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359B" w:rsidRDefault="009A5268">
      <w:pPr>
        <w:pStyle w:val="RecNo"/>
        <w:spacing w:before="0"/>
        <w:rPr>
          <w:lang w:val="en-US"/>
        </w:rPr>
      </w:pPr>
      <w:bookmarkStart w:id="0" w:name="dtitle1" w:colFirst="0" w:colLast="0"/>
      <w:r>
        <w:rPr>
          <w:lang w:val="en-US"/>
        </w:rPr>
        <w:t xml:space="preserve">RECOMMENDATION  </w:t>
      </w:r>
      <w:r>
        <w:rPr>
          <w:rStyle w:val="href"/>
          <w:lang w:val="en-US"/>
        </w:rPr>
        <w:t>ITU-R  SM.1633</w:t>
      </w:r>
      <w:r w:rsidR="0027724D">
        <w:rPr>
          <w:rStyle w:val="href"/>
          <w:lang w:val="en-US"/>
        </w:rPr>
        <w:t>-0</w:t>
      </w:r>
      <w:r w:rsidR="0027724D">
        <w:rPr>
          <w:rStyle w:val="FootnoteReference"/>
          <w:lang w:val="en-US"/>
        </w:rPr>
        <w:footnoteReference w:customMarkFollows="1" w:id="1"/>
        <w:t>*</w:t>
      </w:r>
    </w:p>
    <w:p w:rsidR="00B9359B" w:rsidRDefault="009A5268">
      <w:pPr>
        <w:pStyle w:val="Rectitle"/>
        <w:rPr>
          <w:lang w:val="en-US"/>
        </w:rPr>
      </w:pPr>
      <w:bookmarkStart w:id="1" w:name="dtitle2" w:colFirst="0" w:colLast="0"/>
      <w:bookmarkEnd w:id="0"/>
      <w:r>
        <w:rPr>
          <w:lang w:val="en-US"/>
        </w:rPr>
        <w:t>Compatibility analysis between a passive service and an active service</w:t>
      </w:r>
      <w:r>
        <w:rPr>
          <w:lang w:val="en-US"/>
        </w:rPr>
        <w:br/>
        <w:t>allocated in adjacent and nearby bands</w:t>
      </w:r>
    </w:p>
    <w:p w:rsidR="00B9359B" w:rsidRDefault="009A5268">
      <w:pPr>
        <w:pStyle w:val="Recdate"/>
        <w:rPr>
          <w:lang w:val="en-US"/>
        </w:rPr>
      </w:pPr>
      <w:bookmarkStart w:id="2" w:name="dtitle3" w:colFirst="0" w:colLast="0"/>
      <w:bookmarkEnd w:id="1"/>
      <w:r>
        <w:rPr>
          <w:lang w:val="en-US"/>
        </w:rPr>
        <w:t>(2003)</w:t>
      </w:r>
    </w:p>
    <w:bookmarkEnd w:id="2"/>
    <w:p w:rsidR="00D35B94" w:rsidRPr="00D35B94" w:rsidRDefault="00D35B94" w:rsidP="00D35B94">
      <w:pPr>
        <w:pStyle w:val="Headingb"/>
        <w:rPr>
          <w:sz w:val="22"/>
          <w:szCs w:val="22"/>
          <w:lang w:val="en-GB"/>
        </w:rPr>
      </w:pPr>
      <w:r w:rsidRPr="00D35B94">
        <w:rPr>
          <w:sz w:val="22"/>
          <w:szCs w:val="22"/>
          <w:lang w:val="en-GB"/>
        </w:rPr>
        <w:t>Scope</w:t>
      </w:r>
    </w:p>
    <w:p w:rsidR="00D35B94" w:rsidRPr="00D35B94" w:rsidRDefault="00D35B94" w:rsidP="00D35B94">
      <w:pPr>
        <w:spacing w:after="480"/>
        <w:rPr>
          <w:sz w:val="22"/>
          <w:szCs w:val="22"/>
          <w:lang w:val="en-GB"/>
        </w:rPr>
      </w:pPr>
      <w:r w:rsidRPr="00D35B94">
        <w:rPr>
          <w:sz w:val="22"/>
          <w:szCs w:val="22"/>
          <w:lang w:val="en-GB"/>
        </w:rPr>
        <w:t xml:space="preserve">This Recommendation serves as a basis for methodology of compatibility analysis between a passive service and an active service operating in allocated in adjacent and nearby bands. </w:t>
      </w:r>
    </w:p>
    <w:p w:rsidR="00D35B94" w:rsidRPr="007B1B03" w:rsidRDefault="00D35B94" w:rsidP="00D35B94">
      <w:pPr>
        <w:pStyle w:val="Headingb"/>
        <w:rPr>
          <w:rFonts w:eastAsia="Batang"/>
          <w:lang w:val="en-GB"/>
        </w:rPr>
      </w:pPr>
      <w:r w:rsidRPr="007B1B03">
        <w:rPr>
          <w:rFonts w:eastAsia="Batang"/>
          <w:lang w:val="en-GB"/>
        </w:rPr>
        <w:t>Keywords</w:t>
      </w:r>
    </w:p>
    <w:p w:rsidR="00B9359B" w:rsidRPr="00D35B94" w:rsidRDefault="00D35B94" w:rsidP="00D35B94">
      <w:pPr>
        <w:rPr>
          <w:lang w:val="en-GB"/>
        </w:rPr>
      </w:pPr>
      <w:r w:rsidRPr="00D35B94">
        <w:rPr>
          <w:rFonts w:eastAsia="Batang"/>
          <w:lang w:val="en-GB" w:eastAsia="ko-KR"/>
        </w:rPr>
        <w:t>Compatibility, unwanted emissions, threshold, active service band, passive service band</w:t>
      </w:r>
    </w:p>
    <w:p w:rsidR="00B9359B" w:rsidRDefault="009A5268">
      <w:pPr>
        <w:pStyle w:val="Normalaftertitle"/>
        <w:rPr>
          <w:lang w:val="en-US"/>
        </w:rPr>
      </w:pPr>
      <w:r>
        <w:rPr>
          <w:lang w:val="en-US"/>
        </w:rPr>
        <w:t>The ITU Radiocommunication Assembly,</w:t>
      </w:r>
    </w:p>
    <w:p w:rsidR="00B9359B" w:rsidRDefault="009A5268">
      <w:pPr>
        <w:pStyle w:val="Call"/>
        <w:rPr>
          <w:lang w:val="en-US"/>
        </w:rPr>
      </w:pPr>
      <w:r>
        <w:rPr>
          <w:lang w:val="en-US"/>
        </w:rPr>
        <w:t>considering</w:t>
      </w:r>
    </w:p>
    <w:p w:rsidR="00B9359B" w:rsidRDefault="009A5268">
      <w:pPr>
        <w:rPr>
          <w:lang w:val="en-US"/>
        </w:rPr>
      </w:pPr>
      <w:r>
        <w:rPr>
          <w:lang w:val="en-US"/>
        </w:rPr>
        <w:t>a)</w:t>
      </w:r>
      <w:r>
        <w:rPr>
          <w:lang w:val="en-US"/>
        </w:rPr>
        <w:tab/>
        <w:t>that the radio astronomy service (RAS), the Earth exploration-satellite service (EESS) (passive) and space research service (SRS) (passive) are based on the reception of natural emissions at much lower power levels than are generally used in other radiocommunication services;</w:t>
      </w:r>
    </w:p>
    <w:p w:rsidR="00B9359B" w:rsidRDefault="009A5268">
      <w:pPr>
        <w:rPr>
          <w:lang w:val="en-US"/>
        </w:rPr>
      </w:pPr>
      <w:r>
        <w:rPr>
          <w:lang w:val="en-US"/>
        </w:rPr>
        <w:t>b)</w:t>
      </w:r>
      <w:r>
        <w:rPr>
          <w:lang w:val="en-US"/>
        </w:rPr>
        <w:tab/>
        <w:t>that, due to these low received power levels, these passive services are generally more susceptible to interference from unwanted emissions than other services;</w:t>
      </w:r>
    </w:p>
    <w:p w:rsidR="00B9359B" w:rsidRDefault="009A5268">
      <w:pPr>
        <w:rPr>
          <w:lang w:val="en-US"/>
        </w:rPr>
      </w:pPr>
      <w:r>
        <w:rPr>
          <w:lang w:val="en-US"/>
        </w:rPr>
        <w:t>c)</w:t>
      </w:r>
      <w:r>
        <w:rPr>
          <w:lang w:val="en-US"/>
        </w:rPr>
        <w:tab/>
        <w:t>that general limits for spurious emissions contained in Appendix 3 of the Radio Regulations (RR) may not protect to the desired extent the passive services from interference; however, depending on the separation between the bands allocated to the active and passive services actual spurious emission levels falling in a passive band may be lower;</w:t>
      </w:r>
    </w:p>
    <w:p w:rsidR="00B9359B" w:rsidRDefault="009A5268">
      <w:pPr>
        <w:rPr>
          <w:lang w:val="en-US"/>
        </w:rPr>
      </w:pPr>
      <w:r>
        <w:rPr>
          <w:lang w:val="en-US"/>
        </w:rPr>
        <w:t>d)</w:t>
      </w:r>
      <w:r>
        <w:rPr>
          <w:lang w:val="en-US"/>
        </w:rPr>
        <w:tab/>
        <w:t>that general levels for emissions in the out-of-band (OoB) domain contained in Recom</w:t>
      </w:r>
      <w:r>
        <w:rPr>
          <w:lang w:val="en-US"/>
        </w:rPr>
        <w:softHyphen/>
        <w:t>mendation ITU-R SM.1541 may not protect operations of the passive services from interference;</w:t>
      </w:r>
    </w:p>
    <w:p w:rsidR="00B9359B" w:rsidRDefault="009A5268">
      <w:pPr>
        <w:rPr>
          <w:lang w:val="en-US"/>
        </w:rPr>
      </w:pPr>
      <w:r>
        <w:rPr>
          <w:lang w:val="en-US"/>
        </w:rPr>
        <w:t>e)</w:t>
      </w:r>
      <w:r>
        <w:rPr>
          <w:lang w:val="en-US"/>
        </w:rPr>
        <w:tab/>
        <w:t>that there are various operational practices and mitigation techniques that can be used by the passive and active services to minimize the impact of interference on the passive services;</w:t>
      </w:r>
    </w:p>
    <w:p w:rsidR="00B9359B" w:rsidRDefault="009A5268">
      <w:pPr>
        <w:rPr>
          <w:lang w:val="en-US"/>
        </w:rPr>
      </w:pPr>
      <w:r>
        <w:rPr>
          <w:lang w:val="en-US"/>
        </w:rPr>
        <w:t>f)</w:t>
      </w:r>
      <w:r>
        <w:rPr>
          <w:lang w:val="en-US"/>
        </w:rPr>
        <w:tab/>
        <w:t>that there may be practical and economic limitations on the applicability of these mitigation measures;</w:t>
      </w:r>
    </w:p>
    <w:p w:rsidR="00B9359B" w:rsidRDefault="009A5268">
      <w:pPr>
        <w:rPr>
          <w:lang w:val="en-US"/>
        </w:rPr>
      </w:pPr>
      <w:r>
        <w:rPr>
          <w:lang w:val="en-US"/>
        </w:rPr>
        <w:t>g)</w:t>
      </w:r>
      <w:r>
        <w:rPr>
          <w:lang w:val="en-US"/>
        </w:rPr>
        <w:tab/>
        <w:t>that the burden of achieving compatibility between active and passive services should be equitably borne;</w:t>
      </w:r>
    </w:p>
    <w:p w:rsidR="00B9359B" w:rsidRDefault="009A5268">
      <w:pPr>
        <w:rPr>
          <w:lang w:val="en-US"/>
        </w:rPr>
      </w:pPr>
      <w:r>
        <w:rPr>
          <w:lang w:val="en-US"/>
        </w:rPr>
        <w:t>h)</w:t>
      </w:r>
      <w:r>
        <w:rPr>
          <w:lang w:val="en-US"/>
        </w:rPr>
        <w:tab/>
        <w:t xml:space="preserve">that Recommendation 66 (Rev.WRC-2000) requests in </w:t>
      </w:r>
      <w:r>
        <w:rPr>
          <w:i/>
          <w:lang w:val="en-US"/>
        </w:rPr>
        <w:t xml:space="preserve">recommends </w:t>
      </w:r>
      <w:r>
        <w:rPr>
          <w:lang w:val="en-US"/>
        </w:rPr>
        <w:t>5 that ITU</w:t>
      </w:r>
      <w:r>
        <w:rPr>
          <w:lang w:val="en-US"/>
        </w:rPr>
        <w:noBreakHyphen/>
        <w:t>R “study those frequency bands and instances where, for technical or operational reasons, more stringent spurious emission limits than the general limits in Appendix </w:t>
      </w:r>
      <w:r>
        <w:rPr>
          <w:bCs/>
          <w:lang w:val="en-US"/>
        </w:rPr>
        <w:t>3</w:t>
      </w:r>
      <w:r>
        <w:rPr>
          <w:lang w:val="en-US"/>
        </w:rPr>
        <w:t xml:space="preserve"> may be required to protect passive services such as radio astronomy, and the impact on all concerned services of implementing or not implementing such limits”;</w:t>
      </w:r>
    </w:p>
    <w:p w:rsidR="00B9359B" w:rsidRDefault="009A5268">
      <w:pPr>
        <w:rPr>
          <w:lang w:val="en-US"/>
        </w:rPr>
      </w:pPr>
      <w:r>
        <w:rPr>
          <w:lang w:val="en-US"/>
        </w:rPr>
        <w:t>j)</w:t>
      </w:r>
      <w:r>
        <w:rPr>
          <w:lang w:val="en-US"/>
        </w:rPr>
        <w:tab/>
        <w:t xml:space="preserve">that Recommendation 66 </w:t>
      </w:r>
      <w:r>
        <w:rPr>
          <w:lang w:val="en-GB"/>
        </w:rPr>
        <w:t>(Rev.WRC</w:t>
      </w:r>
      <w:r>
        <w:rPr>
          <w:lang w:val="en-US"/>
        </w:rPr>
        <w:t xml:space="preserve">-2000) requests in </w:t>
      </w:r>
      <w:r>
        <w:rPr>
          <w:i/>
          <w:lang w:val="en-US"/>
        </w:rPr>
        <w:t xml:space="preserve">recommends </w:t>
      </w:r>
      <w:r>
        <w:rPr>
          <w:lang w:val="en-US"/>
        </w:rPr>
        <w:t>6 that ITU</w:t>
      </w:r>
      <w:r>
        <w:rPr>
          <w:lang w:val="en-US"/>
        </w:rPr>
        <w:noBreakHyphen/>
        <w:t>R “study those frequency bands and instances where, for technical or operational reasons, out-of-band limits may be required to protect passive services such as radio astronomy, and the impact on all concerned services of implementing or not implementing such limits”;</w:t>
      </w:r>
    </w:p>
    <w:p w:rsidR="00B9359B" w:rsidRDefault="009A5268">
      <w:pPr>
        <w:rPr>
          <w:lang w:val="en-US"/>
        </w:rPr>
      </w:pPr>
      <w:r>
        <w:rPr>
          <w:lang w:val="en-US"/>
        </w:rPr>
        <w:t>k)</w:t>
      </w:r>
      <w:r>
        <w:rPr>
          <w:lang w:val="en-US"/>
        </w:rPr>
        <w:tab/>
        <w:t>that the situations of greatest potential difficulty to the passive services are those listed in Table 1,</w:t>
      </w:r>
    </w:p>
    <w:p w:rsidR="00B9359B" w:rsidRDefault="009A5268">
      <w:pPr>
        <w:pStyle w:val="Call"/>
        <w:rPr>
          <w:lang w:val="en-US"/>
        </w:rPr>
      </w:pPr>
      <w:bookmarkStart w:id="3" w:name="_GoBack"/>
      <w:bookmarkEnd w:id="3"/>
      <w:r>
        <w:rPr>
          <w:lang w:val="en-US"/>
        </w:rPr>
        <w:t>recommends</w:t>
      </w:r>
    </w:p>
    <w:p w:rsidR="00B9359B" w:rsidRDefault="009A5268">
      <w:pPr>
        <w:rPr>
          <w:lang w:val="en-US"/>
        </w:rPr>
      </w:pPr>
      <w:r>
        <w:rPr>
          <w:b/>
          <w:bCs/>
          <w:lang w:val="en-US"/>
        </w:rPr>
        <w:t>1</w:t>
      </w:r>
      <w:r>
        <w:rPr>
          <w:lang w:val="en-US"/>
        </w:rPr>
        <w:tab/>
        <w:t>that the methodology in Annex 1 should be used in conducting compatibility analysis between a passive service and an active service operating in allocated bands listed in Table 1;</w:t>
      </w:r>
    </w:p>
    <w:p w:rsidR="00B9359B" w:rsidRDefault="009A5268">
      <w:pPr>
        <w:rPr>
          <w:lang w:val="en-US"/>
        </w:rPr>
      </w:pPr>
      <w:r>
        <w:rPr>
          <w:b/>
          <w:bCs/>
          <w:lang w:val="en-US"/>
        </w:rPr>
        <w:t>2</w:t>
      </w:r>
      <w:r>
        <w:rPr>
          <w:lang w:val="en-US"/>
        </w:rPr>
        <w:tab/>
        <w:t>that other methodologies that lead to a compatibility solution could be used where appropriate;</w:t>
      </w:r>
    </w:p>
    <w:p w:rsidR="00B9359B" w:rsidRDefault="009A5268">
      <w:pPr>
        <w:rPr>
          <w:lang w:val="en-US"/>
        </w:rPr>
      </w:pPr>
      <w:r>
        <w:rPr>
          <w:b/>
          <w:bCs/>
          <w:lang w:val="en-US"/>
        </w:rPr>
        <w:t>3</w:t>
      </w:r>
      <w:r>
        <w:rPr>
          <w:lang w:val="en-US"/>
        </w:rPr>
        <w:tab/>
        <w:t>that the results of band-by-band studies, described in Annexes 2 through 21, should be considered in developing solutions to interference problems between the indicated services.</w:t>
      </w:r>
    </w:p>
    <w:p w:rsidR="00B9359B" w:rsidRDefault="00B9359B">
      <w:pPr>
        <w:rPr>
          <w:lang w:val="en-US"/>
        </w:rPr>
      </w:pPr>
    </w:p>
    <w:p w:rsidR="00B9359B" w:rsidRDefault="009A5268">
      <w:pPr>
        <w:pStyle w:val="TableNo"/>
        <w:rPr>
          <w:lang w:val="en-US"/>
        </w:rPr>
      </w:pPr>
      <w:r>
        <w:rPr>
          <w:lang w:val="en-US"/>
        </w:rPr>
        <w:t>TABLE  1</w:t>
      </w:r>
    </w:p>
    <w:p w:rsidR="00B9359B" w:rsidRDefault="009A5268">
      <w:pPr>
        <w:pStyle w:val="Tabletitle"/>
        <w:rPr>
          <w:lang w:val="en-US"/>
        </w:rPr>
      </w:pPr>
      <w:r>
        <w:rPr>
          <w:lang w:val="en-US"/>
        </w:rPr>
        <w:t>Reference list of relevant frequency bands for band-by-band studies</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799"/>
        <w:gridCol w:w="4706"/>
        <w:gridCol w:w="1134"/>
      </w:tblGrid>
      <w:tr w:rsidR="00B9359B">
        <w:tc>
          <w:tcPr>
            <w:tcW w:w="3799" w:type="dxa"/>
          </w:tcPr>
          <w:p w:rsidR="00B9359B" w:rsidRDefault="009A5268">
            <w:pPr>
              <w:pStyle w:val="Tablehead"/>
              <w:framePr w:hSpace="181" w:wrap="notBeside" w:vAnchor="text" w:hAnchor="text" w:xAlign="center" w:y="1"/>
              <w:rPr>
                <w:lang w:val="en-US"/>
              </w:rPr>
            </w:pPr>
            <w:r>
              <w:rPr>
                <w:lang w:val="en-US"/>
              </w:rPr>
              <w:t>Passive service band</w:t>
            </w:r>
          </w:p>
        </w:tc>
        <w:tc>
          <w:tcPr>
            <w:tcW w:w="4706" w:type="dxa"/>
            <w:tcBorders>
              <w:right w:val="single" w:sz="4" w:space="0" w:color="auto"/>
            </w:tcBorders>
          </w:tcPr>
          <w:p w:rsidR="00B9359B" w:rsidRDefault="009A5268">
            <w:pPr>
              <w:pStyle w:val="Tablehead"/>
              <w:framePr w:hSpace="181" w:wrap="notBeside" w:vAnchor="text" w:hAnchor="text" w:xAlign="center" w:y="1"/>
              <w:rPr>
                <w:lang w:val="en-GB"/>
              </w:rPr>
            </w:pPr>
            <w:r>
              <w:rPr>
                <w:lang w:val="en-US"/>
              </w:rPr>
              <w:t>Active service band</w:t>
            </w:r>
          </w:p>
        </w:tc>
        <w:tc>
          <w:tcPr>
            <w:tcW w:w="1134" w:type="dxa"/>
          </w:tcPr>
          <w:p w:rsidR="00B9359B" w:rsidRDefault="009A5268">
            <w:pPr>
              <w:pStyle w:val="Tablehead"/>
              <w:framePr w:hSpace="181" w:wrap="notBeside" w:vAnchor="text" w:hAnchor="text" w:xAlign="center" w:y="1"/>
              <w:rPr>
                <w:lang w:val="fr-CH"/>
              </w:rPr>
            </w:pPr>
            <w:r>
              <w:rPr>
                <w:lang w:val="en-GB"/>
              </w:rPr>
              <w:t>Annex</w:t>
            </w:r>
          </w:p>
        </w:tc>
      </w:tr>
      <w:tr w:rsidR="00B9359B">
        <w:tc>
          <w:tcPr>
            <w:tcW w:w="3799" w:type="dxa"/>
          </w:tcPr>
          <w:p w:rsidR="00B9359B" w:rsidRDefault="009A5268">
            <w:pPr>
              <w:pStyle w:val="Tabletext"/>
              <w:framePr w:hSpace="181" w:wrap="notBeside" w:vAnchor="text" w:hAnchor="text" w:xAlign="center" w:y="1"/>
              <w:spacing w:before="60" w:after="60"/>
              <w:rPr>
                <w:lang w:val="fr-CH"/>
              </w:rPr>
            </w:pPr>
            <w:r>
              <w:rPr>
                <w:lang w:val="fr-CH"/>
              </w:rPr>
              <w:t>1</w:t>
            </w:r>
            <w:r>
              <w:rPr>
                <w:rFonts w:ascii="Tms Rmn" w:hAnsi="Tms Rmn"/>
                <w:sz w:val="12"/>
                <w:lang w:val="fr-CH"/>
              </w:rPr>
              <w:t> </w:t>
            </w:r>
            <w:r>
              <w:rPr>
                <w:lang w:val="fr-CH"/>
              </w:rPr>
              <w:t>400-1</w:t>
            </w:r>
            <w:r>
              <w:rPr>
                <w:rFonts w:ascii="Tms Rmn" w:hAnsi="Tms Rmn"/>
                <w:sz w:val="12"/>
                <w:lang w:val="fr-CH"/>
              </w:rPr>
              <w:t> </w:t>
            </w:r>
            <w:r>
              <w:rPr>
                <w:lang w:val="fr-CH"/>
              </w:rPr>
              <w:t>427 MHz (RAS)</w:t>
            </w:r>
          </w:p>
        </w:tc>
        <w:tc>
          <w:tcPr>
            <w:tcW w:w="4706" w:type="dxa"/>
          </w:tcPr>
          <w:p w:rsidR="00B9359B" w:rsidRDefault="009A5268">
            <w:pPr>
              <w:pStyle w:val="Tabletext"/>
              <w:framePr w:hSpace="181" w:wrap="notBeside" w:vAnchor="text" w:hAnchor="text" w:xAlign="center" w:y="1"/>
              <w:spacing w:before="60" w:after="60"/>
              <w:rPr>
                <w:lang w:val="en-US"/>
              </w:rPr>
            </w:pPr>
            <w:r>
              <w:rPr>
                <w:lang w:val="en-US"/>
              </w:rPr>
              <w:t>1</w:t>
            </w:r>
            <w:r>
              <w:rPr>
                <w:rFonts w:ascii="Tms Rmn" w:hAnsi="Tms Rmn"/>
                <w:sz w:val="12"/>
                <w:lang w:val="en-US"/>
              </w:rPr>
              <w:t> </w:t>
            </w:r>
            <w:r>
              <w:rPr>
                <w:lang w:val="en-US"/>
              </w:rPr>
              <w:t>452-1</w:t>
            </w:r>
            <w:r>
              <w:rPr>
                <w:rFonts w:ascii="Tms Rmn" w:hAnsi="Tms Rmn"/>
                <w:sz w:val="12"/>
                <w:lang w:val="en-US"/>
              </w:rPr>
              <w:t> </w:t>
            </w:r>
            <w:r>
              <w:rPr>
                <w:lang w:val="en-US"/>
              </w:rPr>
              <w:t>492 MHz (BSS)</w:t>
            </w:r>
            <w:r>
              <w:rPr>
                <w:position w:val="-6"/>
                <w:sz w:val="20"/>
              </w:rPr>
              <w:sym w:font="Symbol" w:char="F0AF"/>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2</w:t>
            </w:r>
          </w:p>
        </w:tc>
      </w:tr>
      <w:tr w:rsidR="00B9359B">
        <w:tc>
          <w:tcPr>
            <w:tcW w:w="3799" w:type="dxa"/>
          </w:tcPr>
          <w:p w:rsidR="00B9359B" w:rsidRDefault="009A5268">
            <w:pPr>
              <w:pStyle w:val="Tabletext"/>
              <w:framePr w:hSpace="181" w:wrap="notBeside" w:vAnchor="text" w:hAnchor="text" w:xAlign="center" w:y="1"/>
              <w:spacing w:before="60" w:after="60"/>
              <w:rPr>
                <w:lang w:val="en-US"/>
              </w:rPr>
            </w:pPr>
            <w:r>
              <w:rPr>
                <w:lang w:val="en-US"/>
              </w:rPr>
              <w:t>1</w:t>
            </w:r>
            <w:r>
              <w:rPr>
                <w:rFonts w:ascii="Tms Rmn" w:hAnsi="Tms Rmn"/>
                <w:sz w:val="12"/>
                <w:lang w:val="en-US"/>
              </w:rPr>
              <w:t> </w:t>
            </w:r>
            <w:r>
              <w:rPr>
                <w:lang w:val="en-US"/>
              </w:rPr>
              <w:t>400-1</w:t>
            </w:r>
            <w:r>
              <w:rPr>
                <w:rFonts w:ascii="Tms Rmn" w:hAnsi="Tms Rmn"/>
                <w:sz w:val="12"/>
                <w:lang w:val="en-US"/>
              </w:rPr>
              <w:t> </w:t>
            </w:r>
            <w:r>
              <w:rPr>
                <w:lang w:val="en-US"/>
              </w:rPr>
              <w:t>427 MHz (EESS)</w:t>
            </w:r>
          </w:p>
        </w:tc>
        <w:tc>
          <w:tcPr>
            <w:tcW w:w="4706" w:type="dxa"/>
          </w:tcPr>
          <w:p w:rsidR="00B9359B" w:rsidRDefault="009A5268">
            <w:pPr>
              <w:pStyle w:val="Tabletext"/>
              <w:framePr w:hSpace="181" w:wrap="notBeside" w:vAnchor="text" w:hAnchor="text" w:xAlign="center" w:y="1"/>
              <w:spacing w:before="60" w:after="60"/>
              <w:rPr>
                <w:lang w:val="fr-CH"/>
              </w:rPr>
            </w:pPr>
            <w:r>
              <w:rPr>
                <w:lang w:val="fr-CH"/>
              </w:rPr>
              <w:t>1</w:t>
            </w:r>
            <w:r>
              <w:rPr>
                <w:rFonts w:ascii="Tms Rmn" w:hAnsi="Tms Rmn"/>
                <w:sz w:val="12"/>
                <w:lang w:val="fr-CH"/>
              </w:rPr>
              <w:t> </w:t>
            </w:r>
            <w:r>
              <w:rPr>
                <w:lang w:val="fr-CH"/>
              </w:rPr>
              <w:t>350-1</w:t>
            </w:r>
            <w:r>
              <w:rPr>
                <w:rFonts w:ascii="Tms Rmn" w:hAnsi="Tms Rmn"/>
                <w:sz w:val="12"/>
                <w:lang w:val="fr-CH"/>
              </w:rPr>
              <w:t> </w:t>
            </w:r>
            <w:r>
              <w:rPr>
                <w:lang w:val="fr-CH"/>
              </w:rPr>
              <w:t>400 MHz (Radiolocation)</w:t>
            </w:r>
          </w:p>
        </w:tc>
        <w:tc>
          <w:tcPr>
            <w:tcW w:w="1134" w:type="dxa"/>
          </w:tcPr>
          <w:p w:rsidR="00B9359B" w:rsidRDefault="009A5268">
            <w:pPr>
              <w:pStyle w:val="Tabletext"/>
              <w:framePr w:hSpace="181" w:wrap="notBeside" w:vAnchor="text" w:hAnchor="text" w:xAlign="center" w:y="1"/>
              <w:spacing w:before="60" w:after="60"/>
              <w:jc w:val="center"/>
              <w:rPr>
                <w:lang w:val="fr-CH"/>
              </w:rPr>
            </w:pPr>
            <w:r>
              <w:rPr>
                <w:lang w:val="fr-CH"/>
              </w:rPr>
              <w:t>3</w:t>
            </w:r>
          </w:p>
        </w:tc>
      </w:tr>
      <w:tr w:rsidR="00B9359B">
        <w:tc>
          <w:tcPr>
            <w:tcW w:w="3799" w:type="dxa"/>
          </w:tcPr>
          <w:p w:rsidR="00B9359B" w:rsidRDefault="009A5268">
            <w:pPr>
              <w:pStyle w:val="Tabletext"/>
              <w:framePr w:hSpace="181" w:wrap="notBeside" w:vAnchor="text" w:hAnchor="text" w:xAlign="center" w:y="1"/>
              <w:spacing w:before="60" w:after="60"/>
              <w:rPr>
                <w:lang w:val="fr-CH"/>
              </w:rPr>
            </w:pPr>
            <w:r>
              <w:rPr>
                <w:lang w:val="fr-CH"/>
              </w:rPr>
              <w:t>1</w:t>
            </w:r>
            <w:r>
              <w:rPr>
                <w:rFonts w:ascii="Tms Rmn" w:hAnsi="Tms Rmn"/>
                <w:sz w:val="12"/>
                <w:lang w:val="fr-CH"/>
              </w:rPr>
              <w:t> </w:t>
            </w:r>
            <w:r>
              <w:rPr>
                <w:lang w:val="fr-CH"/>
              </w:rPr>
              <w:t>400-1</w:t>
            </w:r>
            <w:r>
              <w:rPr>
                <w:rFonts w:ascii="Tms Rmn" w:hAnsi="Tms Rmn"/>
                <w:sz w:val="12"/>
                <w:lang w:val="fr-CH"/>
              </w:rPr>
              <w:t> </w:t>
            </w:r>
            <w:r>
              <w:rPr>
                <w:lang w:val="fr-CH"/>
              </w:rPr>
              <w:t>427 MHz (EESS/RAS)</w:t>
            </w:r>
          </w:p>
        </w:tc>
        <w:tc>
          <w:tcPr>
            <w:tcW w:w="4706" w:type="dxa"/>
          </w:tcPr>
          <w:p w:rsidR="00B9359B" w:rsidRDefault="009A5268">
            <w:pPr>
              <w:pStyle w:val="Tabletext"/>
              <w:framePr w:hSpace="181" w:wrap="notBeside" w:vAnchor="text" w:hAnchor="text" w:xAlign="center" w:y="1"/>
              <w:spacing w:before="60" w:after="60"/>
              <w:rPr>
                <w:lang w:val="fr-CH"/>
              </w:rPr>
            </w:pPr>
            <w:r>
              <w:rPr>
                <w:lang w:val="fr-CH"/>
              </w:rPr>
              <w:t>1</w:t>
            </w:r>
            <w:r>
              <w:rPr>
                <w:rFonts w:ascii="Tms Rmn" w:hAnsi="Tms Rmn"/>
                <w:sz w:val="12"/>
                <w:lang w:val="fr-CH"/>
              </w:rPr>
              <w:t> </w:t>
            </w:r>
            <w:r>
              <w:rPr>
                <w:lang w:val="fr-CH"/>
              </w:rPr>
              <w:t>525-1</w:t>
            </w:r>
            <w:r>
              <w:rPr>
                <w:rFonts w:ascii="Tms Rmn" w:hAnsi="Tms Rmn"/>
                <w:sz w:val="12"/>
                <w:lang w:val="fr-CH"/>
              </w:rPr>
              <w:t> </w:t>
            </w:r>
            <w:r>
              <w:rPr>
                <w:lang w:val="fr-CH"/>
              </w:rPr>
              <w:t>559 MHz (MSS)</w:t>
            </w:r>
            <w:r>
              <w:rPr>
                <w:position w:val="-6"/>
                <w:sz w:val="20"/>
              </w:rPr>
              <w:sym w:font="Symbol" w:char="F0AF"/>
            </w:r>
          </w:p>
        </w:tc>
        <w:tc>
          <w:tcPr>
            <w:tcW w:w="1134" w:type="dxa"/>
          </w:tcPr>
          <w:p w:rsidR="00B9359B" w:rsidRDefault="009A5268">
            <w:pPr>
              <w:pStyle w:val="Tabletext"/>
              <w:framePr w:hSpace="181" w:wrap="notBeside" w:vAnchor="text" w:hAnchor="text" w:xAlign="center" w:y="1"/>
              <w:spacing w:before="60" w:after="60"/>
              <w:jc w:val="center"/>
              <w:rPr>
                <w:lang w:val="fr-CH"/>
              </w:rPr>
            </w:pPr>
            <w:r>
              <w:rPr>
                <w:lang w:val="fr-CH"/>
              </w:rPr>
              <w:t>4</w:t>
            </w:r>
          </w:p>
        </w:tc>
      </w:tr>
      <w:tr w:rsidR="00B9359B">
        <w:tc>
          <w:tcPr>
            <w:tcW w:w="3799" w:type="dxa"/>
          </w:tcPr>
          <w:p w:rsidR="00B9359B" w:rsidRDefault="009A5268">
            <w:pPr>
              <w:pStyle w:val="Tabletext"/>
              <w:framePr w:hSpace="181" w:wrap="notBeside" w:vAnchor="text" w:hAnchor="text" w:xAlign="center" w:y="1"/>
              <w:spacing w:before="60" w:after="60"/>
              <w:rPr>
                <w:lang w:val="fr-CH"/>
              </w:rPr>
            </w:pPr>
            <w:r>
              <w:rPr>
                <w:lang w:val="fr-CH"/>
              </w:rPr>
              <w:t>1</w:t>
            </w:r>
            <w:r>
              <w:rPr>
                <w:rFonts w:ascii="Tms Rmn" w:hAnsi="Tms Rmn"/>
                <w:sz w:val="12"/>
                <w:lang w:val="fr-CH"/>
              </w:rPr>
              <w:t> </w:t>
            </w:r>
            <w:r>
              <w:rPr>
                <w:lang w:val="fr-CH"/>
              </w:rPr>
              <w:t>610.6-1</w:t>
            </w:r>
            <w:r>
              <w:rPr>
                <w:rFonts w:ascii="Tms Rmn" w:hAnsi="Tms Rmn"/>
                <w:sz w:val="12"/>
                <w:lang w:val="fr-CH"/>
              </w:rPr>
              <w:t> </w:t>
            </w:r>
            <w:r>
              <w:rPr>
                <w:lang w:val="fr-CH"/>
              </w:rPr>
              <w:t>613.8 MHz (RAS)</w:t>
            </w:r>
          </w:p>
        </w:tc>
        <w:tc>
          <w:tcPr>
            <w:tcW w:w="4706" w:type="dxa"/>
          </w:tcPr>
          <w:p w:rsidR="00B9359B" w:rsidRDefault="009A5268">
            <w:pPr>
              <w:pStyle w:val="Tabletext"/>
              <w:framePr w:hSpace="181" w:wrap="notBeside" w:vAnchor="text" w:hAnchor="text" w:xAlign="center" w:y="1"/>
              <w:spacing w:before="60" w:after="60"/>
              <w:rPr>
                <w:lang w:val="fr-CH"/>
              </w:rPr>
            </w:pPr>
            <w:r>
              <w:rPr>
                <w:lang w:val="fr-CH"/>
              </w:rPr>
              <w:t>1</w:t>
            </w:r>
            <w:r>
              <w:rPr>
                <w:rFonts w:ascii="Tms Rmn" w:hAnsi="Tms Rmn"/>
                <w:sz w:val="12"/>
                <w:lang w:val="fr-CH"/>
              </w:rPr>
              <w:t> </w:t>
            </w:r>
            <w:r>
              <w:rPr>
                <w:lang w:val="fr-CH"/>
              </w:rPr>
              <w:t>559-1</w:t>
            </w:r>
            <w:r>
              <w:rPr>
                <w:rFonts w:ascii="Tms Rmn" w:hAnsi="Tms Rmn"/>
                <w:sz w:val="12"/>
                <w:lang w:val="fr-CH"/>
              </w:rPr>
              <w:t> </w:t>
            </w:r>
            <w:r>
              <w:rPr>
                <w:lang w:val="fr-CH"/>
              </w:rPr>
              <w:t>610 MHz (RNSS)</w:t>
            </w:r>
            <w:r>
              <w:rPr>
                <w:position w:val="-6"/>
                <w:sz w:val="20"/>
              </w:rPr>
              <w:sym w:font="Symbol" w:char="F0AF"/>
            </w:r>
          </w:p>
        </w:tc>
        <w:tc>
          <w:tcPr>
            <w:tcW w:w="1134" w:type="dxa"/>
          </w:tcPr>
          <w:p w:rsidR="00B9359B" w:rsidRDefault="009A5268">
            <w:pPr>
              <w:pStyle w:val="Tabletext"/>
              <w:framePr w:hSpace="181" w:wrap="notBeside" w:vAnchor="text" w:hAnchor="text" w:xAlign="center" w:y="1"/>
              <w:spacing w:before="60" w:after="60"/>
              <w:jc w:val="center"/>
              <w:rPr>
                <w:lang w:val="fr-CH"/>
              </w:rPr>
            </w:pPr>
            <w:r>
              <w:rPr>
                <w:lang w:val="fr-CH"/>
              </w:rPr>
              <w:t>5</w:t>
            </w:r>
          </w:p>
        </w:tc>
      </w:tr>
      <w:tr w:rsidR="00B9359B">
        <w:tc>
          <w:tcPr>
            <w:tcW w:w="3799" w:type="dxa"/>
          </w:tcPr>
          <w:p w:rsidR="00B9359B" w:rsidRDefault="009A5268">
            <w:pPr>
              <w:pStyle w:val="Tabletext"/>
              <w:framePr w:hSpace="181" w:wrap="notBeside" w:vAnchor="text" w:hAnchor="text" w:xAlign="center" w:y="1"/>
              <w:spacing w:before="60" w:after="60"/>
              <w:rPr>
                <w:lang w:val="fr-CH"/>
              </w:rPr>
            </w:pPr>
            <w:r>
              <w:rPr>
                <w:lang w:val="fr-CH"/>
              </w:rPr>
              <w:t>1</w:t>
            </w:r>
            <w:r>
              <w:rPr>
                <w:rFonts w:ascii="Tms Rmn" w:hAnsi="Tms Rmn"/>
                <w:sz w:val="12"/>
                <w:lang w:val="fr-CH"/>
              </w:rPr>
              <w:t> </w:t>
            </w:r>
            <w:r>
              <w:rPr>
                <w:lang w:val="fr-CH"/>
              </w:rPr>
              <w:t>610.6-1</w:t>
            </w:r>
            <w:r>
              <w:rPr>
                <w:rFonts w:ascii="Tms Rmn" w:hAnsi="Tms Rmn"/>
                <w:sz w:val="12"/>
                <w:lang w:val="fr-CH"/>
              </w:rPr>
              <w:t> </w:t>
            </w:r>
            <w:r>
              <w:rPr>
                <w:lang w:val="fr-CH"/>
              </w:rPr>
              <w:t>613.8 MHz (RAS)</w:t>
            </w:r>
          </w:p>
        </w:tc>
        <w:tc>
          <w:tcPr>
            <w:tcW w:w="4706" w:type="dxa"/>
          </w:tcPr>
          <w:p w:rsidR="00B9359B" w:rsidRDefault="009A5268">
            <w:pPr>
              <w:pStyle w:val="Tabletext"/>
              <w:framePr w:hSpace="181" w:wrap="notBeside" w:vAnchor="text" w:hAnchor="text" w:xAlign="center" w:y="1"/>
              <w:spacing w:before="60" w:after="60"/>
              <w:rPr>
                <w:lang w:val="fr-CH"/>
              </w:rPr>
            </w:pPr>
            <w:r>
              <w:rPr>
                <w:lang w:val="fr-CH"/>
              </w:rPr>
              <w:t>1</w:t>
            </w:r>
            <w:r>
              <w:rPr>
                <w:rFonts w:ascii="Tms Rmn" w:hAnsi="Tms Rmn"/>
                <w:sz w:val="12"/>
                <w:lang w:val="fr-CH"/>
              </w:rPr>
              <w:t> </w:t>
            </w:r>
            <w:r>
              <w:rPr>
                <w:lang w:val="fr-CH"/>
              </w:rPr>
              <w:t>613.8-1</w:t>
            </w:r>
            <w:r>
              <w:rPr>
                <w:rFonts w:ascii="Tms Rmn" w:hAnsi="Tms Rmn"/>
                <w:sz w:val="12"/>
                <w:lang w:val="fr-CH"/>
              </w:rPr>
              <w:t> </w:t>
            </w:r>
            <w:r>
              <w:rPr>
                <w:lang w:val="fr-CH"/>
              </w:rPr>
              <w:t>626.5 MHz (MSS</w:t>
            </w:r>
            <w:r>
              <w:rPr>
                <w:position w:val="-6"/>
                <w:sz w:val="20"/>
              </w:rPr>
              <w:sym w:font="Symbol" w:char="F0AF"/>
            </w:r>
            <w:r>
              <w:rPr>
                <w:lang w:val="fr-CH"/>
              </w:rPr>
              <w:t>)</w:t>
            </w:r>
          </w:p>
        </w:tc>
        <w:tc>
          <w:tcPr>
            <w:tcW w:w="1134" w:type="dxa"/>
          </w:tcPr>
          <w:p w:rsidR="00B9359B" w:rsidRDefault="009A5268">
            <w:pPr>
              <w:pStyle w:val="Tabletext"/>
              <w:framePr w:hSpace="181" w:wrap="notBeside" w:vAnchor="text" w:hAnchor="text" w:xAlign="center" w:y="1"/>
              <w:spacing w:before="60" w:after="60"/>
              <w:jc w:val="center"/>
              <w:rPr>
                <w:lang w:val="fr-CH"/>
              </w:rPr>
            </w:pPr>
            <w:r>
              <w:rPr>
                <w:lang w:val="fr-CH"/>
              </w:rPr>
              <w:t>6</w:t>
            </w:r>
          </w:p>
        </w:tc>
      </w:tr>
      <w:tr w:rsidR="00B9359B">
        <w:tc>
          <w:tcPr>
            <w:tcW w:w="3799" w:type="dxa"/>
          </w:tcPr>
          <w:p w:rsidR="00B9359B" w:rsidRDefault="009A5268">
            <w:pPr>
              <w:pStyle w:val="Tabletext"/>
              <w:framePr w:hSpace="181" w:wrap="notBeside" w:vAnchor="text" w:hAnchor="text" w:xAlign="center" w:y="1"/>
              <w:spacing w:before="60" w:after="60"/>
              <w:rPr>
                <w:lang w:val="fr-CH"/>
              </w:rPr>
            </w:pPr>
            <w:r>
              <w:rPr>
                <w:lang w:val="fr-CH"/>
              </w:rPr>
              <w:t>1</w:t>
            </w:r>
            <w:r>
              <w:rPr>
                <w:rFonts w:ascii="Tms Rmn" w:hAnsi="Tms Rmn"/>
                <w:sz w:val="12"/>
                <w:lang w:val="fr-CH"/>
              </w:rPr>
              <w:t> </w:t>
            </w:r>
            <w:r>
              <w:rPr>
                <w:lang w:val="fr-CH"/>
              </w:rPr>
              <w:t>610.6-1</w:t>
            </w:r>
            <w:r>
              <w:rPr>
                <w:rFonts w:ascii="Tms Rmn" w:hAnsi="Tms Rmn"/>
                <w:sz w:val="12"/>
                <w:lang w:val="fr-CH"/>
              </w:rPr>
              <w:t> </w:t>
            </w:r>
            <w:r>
              <w:rPr>
                <w:lang w:val="fr-CH"/>
              </w:rPr>
              <w:t>613.8 MHz (RAS)</w:t>
            </w:r>
          </w:p>
        </w:tc>
        <w:tc>
          <w:tcPr>
            <w:tcW w:w="4706" w:type="dxa"/>
          </w:tcPr>
          <w:p w:rsidR="00B9359B" w:rsidRDefault="009A5268">
            <w:pPr>
              <w:pStyle w:val="Tabletext"/>
              <w:framePr w:hSpace="181" w:wrap="notBeside" w:vAnchor="text" w:hAnchor="text" w:xAlign="center" w:y="1"/>
              <w:spacing w:before="60" w:after="60"/>
              <w:rPr>
                <w:lang w:val="fr-CH"/>
              </w:rPr>
            </w:pPr>
            <w:r>
              <w:rPr>
                <w:lang w:val="fr-CH"/>
              </w:rPr>
              <w:t>1</w:t>
            </w:r>
            <w:r>
              <w:rPr>
                <w:rFonts w:ascii="Tms Rmn" w:hAnsi="Tms Rmn"/>
                <w:sz w:val="12"/>
                <w:lang w:val="fr-CH"/>
              </w:rPr>
              <w:t> </w:t>
            </w:r>
            <w:r>
              <w:rPr>
                <w:lang w:val="fr-CH"/>
              </w:rPr>
              <w:t>525-1</w:t>
            </w:r>
            <w:r>
              <w:rPr>
                <w:rFonts w:ascii="Tms Rmn" w:hAnsi="Tms Rmn"/>
                <w:sz w:val="12"/>
                <w:lang w:val="fr-CH"/>
              </w:rPr>
              <w:t> </w:t>
            </w:r>
            <w:r>
              <w:rPr>
                <w:lang w:val="fr-CH"/>
              </w:rPr>
              <w:t>559 MHz (MSS)</w:t>
            </w:r>
            <w:r>
              <w:rPr>
                <w:position w:val="-6"/>
                <w:sz w:val="20"/>
              </w:rPr>
              <w:sym w:font="Symbol" w:char="F0AF"/>
            </w:r>
          </w:p>
        </w:tc>
        <w:tc>
          <w:tcPr>
            <w:tcW w:w="1134" w:type="dxa"/>
          </w:tcPr>
          <w:p w:rsidR="00B9359B" w:rsidRDefault="009A5268">
            <w:pPr>
              <w:pStyle w:val="Tabletext"/>
              <w:framePr w:hSpace="181" w:wrap="notBeside" w:vAnchor="text" w:hAnchor="text" w:xAlign="center" w:y="1"/>
              <w:spacing w:before="60" w:after="60"/>
              <w:jc w:val="center"/>
              <w:rPr>
                <w:lang w:val="fr-CH"/>
              </w:rPr>
            </w:pPr>
            <w:r>
              <w:rPr>
                <w:lang w:val="fr-CH"/>
              </w:rPr>
              <w:t>7</w:t>
            </w:r>
          </w:p>
        </w:tc>
      </w:tr>
      <w:tr w:rsidR="00B9359B">
        <w:tc>
          <w:tcPr>
            <w:tcW w:w="3799" w:type="dxa"/>
          </w:tcPr>
          <w:p w:rsidR="00B9359B" w:rsidRDefault="009A5268">
            <w:pPr>
              <w:pStyle w:val="Tabletext"/>
              <w:framePr w:hSpace="181" w:wrap="notBeside" w:vAnchor="text" w:hAnchor="text" w:xAlign="center" w:y="1"/>
              <w:spacing w:before="60" w:after="60"/>
              <w:rPr>
                <w:lang w:val="fr-CH"/>
              </w:rPr>
            </w:pPr>
            <w:r>
              <w:rPr>
                <w:lang w:val="fr-CH"/>
              </w:rPr>
              <w:t>2</w:t>
            </w:r>
            <w:r>
              <w:rPr>
                <w:rFonts w:ascii="Tms Rmn" w:hAnsi="Tms Rmn"/>
                <w:sz w:val="12"/>
                <w:lang w:val="fr-CH"/>
              </w:rPr>
              <w:t> </w:t>
            </w:r>
            <w:r>
              <w:rPr>
                <w:lang w:val="fr-CH"/>
              </w:rPr>
              <w:t>690-2</w:t>
            </w:r>
            <w:r>
              <w:rPr>
                <w:rFonts w:ascii="Tms Rmn" w:hAnsi="Tms Rmn"/>
                <w:sz w:val="12"/>
                <w:lang w:val="fr-CH"/>
              </w:rPr>
              <w:t> </w:t>
            </w:r>
            <w:r>
              <w:rPr>
                <w:lang w:val="fr-CH"/>
              </w:rPr>
              <w:t>700 MHz (RAS)</w:t>
            </w:r>
          </w:p>
        </w:tc>
        <w:tc>
          <w:tcPr>
            <w:tcW w:w="4706" w:type="dxa"/>
          </w:tcPr>
          <w:p w:rsidR="00B9359B" w:rsidRDefault="009A5268">
            <w:pPr>
              <w:pStyle w:val="Tabletext"/>
              <w:framePr w:hSpace="181" w:wrap="notBeside" w:vAnchor="text" w:hAnchor="text" w:xAlign="center" w:y="1"/>
              <w:spacing w:before="60" w:after="60"/>
              <w:rPr>
                <w:lang w:val="en-US"/>
              </w:rPr>
            </w:pPr>
            <w:r>
              <w:rPr>
                <w:lang w:val="en-US"/>
              </w:rPr>
              <w:t>2</w:t>
            </w:r>
            <w:r>
              <w:rPr>
                <w:rFonts w:ascii="Tms Rmn" w:hAnsi="Tms Rmn"/>
                <w:sz w:val="12"/>
                <w:lang w:val="en-US"/>
              </w:rPr>
              <w:t> </w:t>
            </w:r>
            <w:r>
              <w:rPr>
                <w:lang w:val="en-US"/>
              </w:rPr>
              <w:t>655-2</w:t>
            </w:r>
            <w:r>
              <w:rPr>
                <w:rFonts w:ascii="Tms Rmn" w:hAnsi="Tms Rmn"/>
                <w:sz w:val="12"/>
                <w:lang w:val="en-US"/>
              </w:rPr>
              <w:t> </w:t>
            </w:r>
            <w:r>
              <w:rPr>
                <w:lang w:val="en-US"/>
              </w:rPr>
              <w:t>690 MHz (BSS, FSS)</w:t>
            </w:r>
            <w:r>
              <w:rPr>
                <w:position w:val="-6"/>
                <w:sz w:val="20"/>
              </w:rPr>
              <w:sym w:font="Symbol" w:char="F0AF"/>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8</w:t>
            </w:r>
          </w:p>
        </w:tc>
      </w:tr>
      <w:tr w:rsidR="00B9359B">
        <w:tc>
          <w:tcPr>
            <w:tcW w:w="3799" w:type="dxa"/>
          </w:tcPr>
          <w:p w:rsidR="00B9359B" w:rsidRDefault="009A5268">
            <w:pPr>
              <w:pStyle w:val="Tabletext"/>
              <w:framePr w:hSpace="181" w:wrap="notBeside" w:vAnchor="text" w:hAnchor="text" w:xAlign="center" w:y="1"/>
              <w:spacing w:before="60" w:after="60"/>
              <w:rPr>
                <w:lang w:val="en-US"/>
              </w:rPr>
            </w:pPr>
            <w:r>
              <w:rPr>
                <w:lang w:val="en-US"/>
              </w:rPr>
              <w:t>10.6-10.7 GHz (EESS)</w:t>
            </w:r>
          </w:p>
        </w:tc>
        <w:tc>
          <w:tcPr>
            <w:tcW w:w="4706" w:type="dxa"/>
          </w:tcPr>
          <w:p w:rsidR="00B9359B" w:rsidRDefault="009A5268">
            <w:pPr>
              <w:pStyle w:val="Tabletext"/>
              <w:framePr w:hSpace="181" w:wrap="notBeside" w:vAnchor="text" w:hAnchor="text" w:xAlign="center" w:y="1"/>
              <w:spacing w:before="60" w:after="60"/>
              <w:rPr>
                <w:lang w:val="en-US"/>
              </w:rPr>
            </w:pPr>
            <w:r>
              <w:rPr>
                <w:lang w:val="en-US"/>
              </w:rPr>
              <w:t>10.7-10.95 GHz (FSS)</w:t>
            </w:r>
            <w:r>
              <w:rPr>
                <w:position w:val="-6"/>
                <w:sz w:val="20"/>
              </w:rPr>
              <w:sym w:font="Symbol" w:char="F0AF"/>
            </w:r>
          </w:p>
        </w:tc>
        <w:tc>
          <w:tcPr>
            <w:tcW w:w="1134" w:type="dxa"/>
          </w:tcPr>
          <w:p w:rsidR="00B9359B" w:rsidRDefault="009A5268">
            <w:pPr>
              <w:pStyle w:val="Tabletext"/>
              <w:framePr w:hSpace="181" w:wrap="notBeside" w:vAnchor="text" w:hAnchor="text" w:xAlign="center" w:y="1"/>
              <w:spacing w:before="60" w:after="60"/>
              <w:jc w:val="center"/>
            </w:pPr>
            <w:r>
              <w:t>9</w:t>
            </w:r>
          </w:p>
        </w:tc>
      </w:tr>
      <w:tr w:rsidR="00B9359B">
        <w:tc>
          <w:tcPr>
            <w:tcW w:w="3799" w:type="dxa"/>
          </w:tcPr>
          <w:p w:rsidR="00B9359B" w:rsidRDefault="009A5268">
            <w:pPr>
              <w:pStyle w:val="Tabletext"/>
              <w:framePr w:hSpace="181" w:wrap="notBeside" w:vAnchor="text" w:hAnchor="text" w:xAlign="center" w:y="1"/>
              <w:spacing w:before="60" w:after="60"/>
            </w:pPr>
            <w:r>
              <w:t>10.6-10.7 GHz (RAS)</w:t>
            </w:r>
          </w:p>
        </w:tc>
        <w:tc>
          <w:tcPr>
            <w:tcW w:w="4706" w:type="dxa"/>
          </w:tcPr>
          <w:p w:rsidR="00B9359B" w:rsidRDefault="009A5268">
            <w:pPr>
              <w:pStyle w:val="Tabletext"/>
              <w:framePr w:hSpace="181" w:wrap="notBeside" w:vAnchor="text" w:hAnchor="text" w:xAlign="center" w:y="1"/>
              <w:spacing w:before="60" w:after="60"/>
            </w:pPr>
            <w:r>
              <w:t>10.7-10.95 GHz (FSS)</w:t>
            </w:r>
            <w:r>
              <w:rPr>
                <w:position w:val="-6"/>
                <w:sz w:val="20"/>
              </w:rPr>
              <w:sym w:font="Symbol" w:char="F0AF"/>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10</w:t>
            </w:r>
          </w:p>
        </w:tc>
      </w:tr>
      <w:tr w:rsidR="00B9359B">
        <w:tc>
          <w:tcPr>
            <w:tcW w:w="3799" w:type="dxa"/>
          </w:tcPr>
          <w:p w:rsidR="00B9359B" w:rsidRDefault="009A5268">
            <w:pPr>
              <w:pStyle w:val="Tabletext"/>
              <w:framePr w:hSpace="181" w:wrap="notBeside" w:vAnchor="text" w:hAnchor="text" w:xAlign="center" w:y="1"/>
              <w:spacing w:before="60" w:after="60"/>
              <w:rPr>
                <w:lang w:val="en-US"/>
              </w:rPr>
            </w:pPr>
            <w:r>
              <w:rPr>
                <w:lang w:val="en-US"/>
              </w:rPr>
              <w:t>21.2-21.4 GHz (EESS)</w:t>
            </w:r>
          </w:p>
        </w:tc>
        <w:tc>
          <w:tcPr>
            <w:tcW w:w="4706" w:type="dxa"/>
          </w:tcPr>
          <w:p w:rsidR="00B9359B" w:rsidRDefault="009A5268">
            <w:pPr>
              <w:pStyle w:val="Tabletext"/>
              <w:framePr w:hSpace="181" w:wrap="notBeside" w:vAnchor="text" w:hAnchor="text" w:xAlign="center" w:y="1"/>
              <w:spacing w:before="60" w:after="60"/>
              <w:rPr>
                <w:lang w:val="en-US"/>
              </w:rPr>
            </w:pPr>
            <w:r>
              <w:rPr>
                <w:lang w:val="en-US"/>
              </w:rPr>
              <w:t>20.2-21.2 GHz (MSS, FSS)</w:t>
            </w:r>
            <w:r>
              <w:rPr>
                <w:position w:val="-6"/>
                <w:sz w:val="20"/>
              </w:rPr>
              <w:sym w:font="Symbol" w:char="F0AF"/>
            </w:r>
          </w:p>
        </w:tc>
        <w:tc>
          <w:tcPr>
            <w:tcW w:w="1134" w:type="dxa"/>
          </w:tcPr>
          <w:p w:rsidR="00B9359B" w:rsidRDefault="009A5268">
            <w:pPr>
              <w:pStyle w:val="Tabletext"/>
              <w:framePr w:hSpace="181" w:wrap="notBeside" w:vAnchor="text" w:hAnchor="text" w:xAlign="center" w:y="1"/>
              <w:spacing w:before="60" w:after="60"/>
              <w:jc w:val="center"/>
            </w:pPr>
            <w:r>
              <w:t>11</w:t>
            </w:r>
          </w:p>
        </w:tc>
      </w:tr>
      <w:tr w:rsidR="00B9359B">
        <w:tc>
          <w:tcPr>
            <w:tcW w:w="3799" w:type="dxa"/>
          </w:tcPr>
          <w:p w:rsidR="00B9359B" w:rsidRDefault="009A5268">
            <w:pPr>
              <w:pStyle w:val="Tabletext"/>
              <w:framePr w:hSpace="181" w:wrap="notBeside" w:vAnchor="text" w:hAnchor="text" w:xAlign="center" w:y="1"/>
              <w:spacing w:before="60" w:after="60"/>
            </w:pPr>
            <w:r>
              <w:t>22.21-22.5 GHz (RAS)</w:t>
            </w:r>
          </w:p>
        </w:tc>
        <w:tc>
          <w:tcPr>
            <w:tcW w:w="4706" w:type="dxa"/>
          </w:tcPr>
          <w:p w:rsidR="00B9359B" w:rsidRDefault="009A5268">
            <w:pPr>
              <w:pStyle w:val="Tabletext"/>
              <w:framePr w:hSpace="181" w:wrap="notBeside" w:vAnchor="text" w:hAnchor="text" w:xAlign="center" w:y="1"/>
              <w:spacing w:before="60" w:after="60"/>
            </w:pPr>
            <w:r>
              <w:t>21.4-22 GHz (BSS)</w:t>
            </w:r>
            <w:r>
              <w:rPr>
                <w:position w:val="-6"/>
                <w:sz w:val="20"/>
              </w:rPr>
              <w:sym w:font="Symbol" w:char="F0AF"/>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12</w:t>
            </w:r>
          </w:p>
        </w:tc>
      </w:tr>
      <w:tr w:rsidR="00B9359B">
        <w:tc>
          <w:tcPr>
            <w:tcW w:w="3799" w:type="dxa"/>
          </w:tcPr>
          <w:p w:rsidR="00B9359B" w:rsidRDefault="009A5268">
            <w:pPr>
              <w:pStyle w:val="Tabletext"/>
              <w:framePr w:hSpace="181" w:wrap="notBeside" w:vAnchor="text" w:hAnchor="text" w:xAlign="center" w:y="1"/>
              <w:spacing w:before="60" w:after="60"/>
              <w:rPr>
                <w:lang w:val="en-US"/>
              </w:rPr>
            </w:pPr>
            <w:r>
              <w:rPr>
                <w:lang w:val="en-US"/>
              </w:rPr>
              <w:t>23.6-24 GHz (EESS)</w:t>
            </w:r>
          </w:p>
        </w:tc>
        <w:tc>
          <w:tcPr>
            <w:tcW w:w="4706" w:type="dxa"/>
          </w:tcPr>
          <w:p w:rsidR="00B9359B" w:rsidRDefault="009A5268">
            <w:pPr>
              <w:pStyle w:val="Tabletext"/>
              <w:framePr w:hSpace="181" w:wrap="notBeside" w:vAnchor="text" w:hAnchor="text" w:xAlign="center" w:y="1"/>
              <w:spacing w:before="60" w:after="60"/>
              <w:rPr>
                <w:lang w:val="en-US"/>
              </w:rPr>
            </w:pPr>
            <w:r>
              <w:rPr>
                <w:lang w:val="en-US"/>
              </w:rPr>
              <w:t>22.55-23.55 GHz (ISS)</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13</w:t>
            </w:r>
          </w:p>
        </w:tc>
      </w:tr>
      <w:tr w:rsidR="00B9359B">
        <w:tc>
          <w:tcPr>
            <w:tcW w:w="3799" w:type="dxa"/>
          </w:tcPr>
          <w:p w:rsidR="00B9359B" w:rsidRDefault="009A5268">
            <w:pPr>
              <w:pStyle w:val="Tabletext"/>
              <w:framePr w:hSpace="181" w:wrap="notBeside" w:vAnchor="text" w:hAnchor="text" w:xAlign="center" w:y="1"/>
              <w:spacing w:before="60" w:after="60"/>
              <w:rPr>
                <w:lang w:val="en-US"/>
              </w:rPr>
            </w:pPr>
            <w:r>
              <w:rPr>
                <w:lang w:val="en-US"/>
              </w:rPr>
              <w:t>31.3-31.5 GHz (EESS)</w:t>
            </w:r>
          </w:p>
        </w:tc>
        <w:tc>
          <w:tcPr>
            <w:tcW w:w="4706" w:type="dxa"/>
          </w:tcPr>
          <w:p w:rsidR="00B9359B" w:rsidRDefault="009A5268">
            <w:pPr>
              <w:pStyle w:val="Tabletext"/>
              <w:framePr w:hSpace="181" w:wrap="notBeside" w:vAnchor="text" w:hAnchor="text" w:xAlign="center" w:y="1"/>
              <w:spacing w:before="60" w:after="60"/>
              <w:rPr>
                <w:lang w:val="en-US"/>
              </w:rPr>
            </w:pPr>
            <w:r>
              <w:rPr>
                <w:lang w:val="en-US"/>
              </w:rPr>
              <w:t>30-31 GHz (FSS, MSS)</w:t>
            </w:r>
            <w:r>
              <w:rPr>
                <w:position w:val="2"/>
                <w:sz w:val="20"/>
              </w:rPr>
              <w:sym w:font="Symbol" w:char="F0AD"/>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14</w:t>
            </w:r>
          </w:p>
        </w:tc>
      </w:tr>
      <w:tr w:rsidR="00B9359B">
        <w:tc>
          <w:tcPr>
            <w:tcW w:w="3799" w:type="dxa"/>
          </w:tcPr>
          <w:p w:rsidR="00B9359B" w:rsidRDefault="009A5268">
            <w:pPr>
              <w:pStyle w:val="Tabletext"/>
              <w:framePr w:hSpace="181" w:wrap="notBeside" w:vAnchor="text" w:hAnchor="text" w:xAlign="center" w:y="1"/>
              <w:spacing w:before="60" w:after="60"/>
              <w:rPr>
                <w:lang w:val="en-US"/>
              </w:rPr>
            </w:pPr>
            <w:r>
              <w:rPr>
                <w:lang w:val="en-US"/>
              </w:rPr>
              <w:t>31.3-31.5 GHz (EESS)</w:t>
            </w:r>
          </w:p>
        </w:tc>
        <w:tc>
          <w:tcPr>
            <w:tcW w:w="4706" w:type="dxa"/>
          </w:tcPr>
          <w:p w:rsidR="00B9359B" w:rsidRDefault="009A5268">
            <w:pPr>
              <w:pStyle w:val="Tabletext"/>
              <w:framePr w:hSpace="181" w:wrap="notBeside" w:vAnchor="text" w:hAnchor="text" w:xAlign="center" w:y="1"/>
              <w:spacing w:before="60" w:after="60"/>
              <w:rPr>
                <w:lang w:val="en-US"/>
              </w:rPr>
            </w:pPr>
            <w:r>
              <w:rPr>
                <w:lang w:val="en-US"/>
              </w:rPr>
              <w:t xml:space="preserve">31.0-31.3 GHz (FS) </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15</w:t>
            </w:r>
          </w:p>
        </w:tc>
      </w:tr>
      <w:tr w:rsidR="00B9359B">
        <w:tc>
          <w:tcPr>
            <w:tcW w:w="3799" w:type="dxa"/>
          </w:tcPr>
          <w:p w:rsidR="00B9359B" w:rsidRDefault="009A5268">
            <w:pPr>
              <w:pStyle w:val="Tabletext"/>
              <w:framePr w:hSpace="181" w:wrap="notBeside" w:vAnchor="text" w:hAnchor="text" w:xAlign="center" w:y="1"/>
              <w:spacing w:before="60" w:after="60"/>
              <w:rPr>
                <w:lang w:val="en-US"/>
              </w:rPr>
            </w:pPr>
            <w:r>
              <w:rPr>
                <w:lang w:val="en-US"/>
              </w:rPr>
              <w:t>31.5-31.8 GHz (EESS)</w:t>
            </w:r>
          </w:p>
        </w:tc>
        <w:tc>
          <w:tcPr>
            <w:tcW w:w="4706" w:type="dxa"/>
          </w:tcPr>
          <w:p w:rsidR="00B9359B" w:rsidRDefault="009A5268">
            <w:pPr>
              <w:pStyle w:val="Tabletext"/>
              <w:framePr w:hSpace="181" w:wrap="notBeside" w:vAnchor="text" w:hAnchor="text" w:xAlign="center" w:y="1"/>
              <w:spacing w:before="60" w:after="60"/>
              <w:rPr>
                <w:lang w:val="en-US"/>
              </w:rPr>
            </w:pPr>
            <w:r>
              <w:rPr>
                <w:lang w:val="en-US"/>
              </w:rPr>
              <w:t>31.8-33.4 GHz (FS)</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16</w:t>
            </w:r>
          </w:p>
        </w:tc>
      </w:tr>
      <w:tr w:rsidR="00B9359B">
        <w:tc>
          <w:tcPr>
            <w:tcW w:w="3799" w:type="dxa"/>
          </w:tcPr>
          <w:p w:rsidR="00B9359B" w:rsidRDefault="009A5268">
            <w:pPr>
              <w:pStyle w:val="Tabletext"/>
              <w:framePr w:hSpace="181" w:wrap="notBeside" w:vAnchor="text" w:hAnchor="text" w:xAlign="center" w:y="1"/>
              <w:spacing w:before="60" w:after="60"/>
              <w:rPr>
                <w:lang w:val="en-US"/>
              </w:rPr>
            </w:pPr>
            <w:r>
              <w:rPr>
                <w:lang w:val="en-US"/>
              </w:rPr>
              <w:t>31.5-31.8 GHz (EESS)</w:t>
            </w:r>
          </w:p>
        </w:tc>
        <w:tc>
          <w:tcPr>
            <w:tcW w:w="4706" w:type="dxa"/>
          </w:tcPr>
          <w:p w:rsidR="00B9359B" w:rsidRDefault="009A5268">
            <w:pPr>
              <w:pStyle w:val="Tabletext"/>
              <w:framePr w:hSpace="181" w:wrap="notBeside" w:vAnchor="text" w:hAnchor="text" w:xAlign="center" w:y="1"/>
              <w:spacing w:before="60" w:after="60"/>
              <w:rPr>
                <w:lang w:val="en-US"/>
              </w:rPr>
            </w:pPr>
            <w:r>
              <w:rPr>
                <w:lang w:val="en-US"/>
              </w:rPr>
              <w:t>31.8-33.4 GHz (RN)</w:t>
            </w:r>
          </w:p>
        </w:tc>
        <w:tc>
          <w:tcPr>
            <w:tcW w:w="1134" w:type="dxa"/>
          </w:tcPr>
          <w:p w:rsidR="00B9359B" w:rsidRDefault="009A5268">
            <w:pPr>
              <w:pStyle w:val="Tabletext"/>
              <w:framePr w:hSpace="181" w:wrap="notBeside" w:vAnchor="text" w:hAnchor="text" w:xAlign="center" w:y="1"/>
              <w:spacing w:before="60" w:after="60"/>
              <w:jc w:val="center"/>
              <w:rPr>
                <w:lang w:val="fr-CH"/>
              </w:rPr>
            </w:pPr>
            <w:r>
              <w:rPr>
                <w:lang w:val="fr-CH"/>
              </w:rPr>
              <w:t>17</w:t>
            </w:r>
          </w:p>
        </w:tc>
      </w:tr>
      <w:tr w:rsidR="00B9359B">
        <w:tc>
          <w:tcPr>
            <w:tcW w:w="3799" w:type="dxa"/>
          </w:tcPr>
          <w:p w:rsidR="00B9359B" w:rsidRDefault="009A5268">
            <w:pPr>
              <w:pStyle w:val="Tabletext"/>
              <w:framePr w:hSpace="181" w:wrap="notBeside" w:vAnchor="text" w:hAnchor="text" w:xAlign="center" w:y="1"/>
              <w:spacing w:before="60" w:after="60"/>
              <w:rPr>
                <w:lang w:val="fr-CH"/>
              </w:rPr>
            </w:pPr>
            <w:r>
              <w:rPr>
                <w:lang w:val="fr-CH"/>
              </w:rPr>
              <w:t>42.5-43.5 GHz (RAS)</w:t>
            </w:r>
          </w:p>
        </w:tc>
        <w:tc>
          <w:tcPr>
            <w:tcW w:w="4706" w:type="dxa"/>
          </w:tcPr>
          <w:p w:rsidR="00B9359B" w:rsidRDefault="009A5268">
            <w:pPr>
              <w:pStyle w:val="Tabletext"/>
              <w:framePr w:hSpace="181" w:wrap="notBeside" w:vAnchor="text" w:hAnchor="text" w:xAlign="center" w:y="1"/>
              <w:spacing w:before="60" w:after="60"/>
              <w:rPr>
                <w:lang w:val="fr-CH"/>
              </w:rPr>
            </w:pPr>
            <w:r>
              <w:rPr>
                <w:lang w:val="fr-CH"/>
              </w:rPr>
              <w:t>41.5-42.5 GHz (BSS, FSS)</w:t>
            </w:r>
            <w:r>
              <w:rPr>
                <w:position w:val="-6"/>
                <w:sz w:val="20"/>
              </w:rPr>
              <w:sym w:font="Symbol" w:char="F0AF"/>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18</w:t>
            </w:r>
          </w:p>
        </w:tc>
      </w:tr>
      <w:tr w:rsidR="00B9359B">
        <w:tc>
          <w:tcPr>
            <w:tcW w:w="3799" w:type="dxa"/>
          </w:tcPr>
          <w:p w:rsidR="00B9359B" w:rsidRDefault="009A5268">
            <w:pPr>
              <w:pStyle w:val="Tabletext"/>
              <w:framePr w:hSpace="181" w:wrap="notBeside" w:vAnchor="text" w:hAnchor="text" w:xAlign="center" w:y="1"/>
              <w:spacing w:before="60" w:after="60"/>
              <w:rPr>
                <w:lang w:val="en-US"/>
              </w:rPr>
            </w:pPr>
            <w:r>
              <w:rPr>
                <w:lang w:val="en-US"/>
              </w:rPr>
              <w:t>50.2-50.4 GHz (EESS)</w:t>
            </w:r>
          </w:p>
        </w:tc>
        <w:tc>
          <w:tcPr>
            <w:tcW w:w="4706" w:type="dxa"/>
          </w:tcPr>
          <w:p w:rsidR="00B9359B" w:rsidRDefault="009A5268">
            <w:pPr>
              <w:pStyle w:val="Tabletext"/>
              <w:framePr w:hSpace="181" w:wrap="notBeside" w:vAnchor="text" w:hAnchor="text" w:xAlign="center" w:y="1"/>
              <w:spacing w:before="60" w:after="60"/>
              <w:rPr>
                <w:lang w:val="en-US"/>
              </w:rPr>
            </w:pPr>
            <w:r>
              <w:rPr>
                <w:lang w:val="en-US"/>
              </w:rPr>
              <w:t>47.2-50.2 GHz (FSS)</w:t>
            </w:r>
            <w:r>
              <w:rPr>
                <w:position w:val="2"/>
                <w:sz w:val="20"/>
              </w:rPr>
              <w:sym w:font="Symbol" w:char="F0AD"/>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19</w:t>
            </w:r>
          </w:p>
        </w:tc>
      </w:tr>
      <w:tr w:rsidR="00B9359B">
        <w:tc>
          <w:tcPr>
            <w:tcW w:w="3799" w:type="dxa"/>
          </w:tcPr>
          <w:p w:rsidR="00B9359B" w:rsidRDefault="009A5268">
            <w:pPr>
              <w:pStyle w:val="Tabletext"/>
              <w:framePr w:hSpace="181" w:wrap="notBeside" w:vAnchor="text" w:hAnchor="text" w:xAlign="center" w:y="1"/>
              <w:spacing w:before="60" w:after="60"/>
              <w:rPr>
                <w:lang w:val="en-US"/>
              </w:rPr>
            </w:pPr>
            <w:r>
              <w:rPr>
                <w:lang w:val="en-US"/>
              </w:rPr>
              <w:t>50.2-50.4 GHz (EESS)</w:t>
            </w:r>
          </w:p>
        </w:tc>
        <w:tc>
          <w:tcPr>
            <w:tcW w:w="4706" w:type="dxa"/>
          </w:tcPr>
          <w:p w:rsidR="00B9359B" w:rsidRDefault="009A5268">
            <w:pPr>
              <w:pStyle w:val="Tabletext"/>
              <w:framePr w:hSpace="181" w:wrap="notBeside" w:vAnchor="text" w:hAnchor="text" w:xAlign="center" w:y="1"/>
              <w:spacing w:before="60" w:after="60"/>
              <w:rPr>
                <w:lang w:val="en-US"/>
              </w:rPr>
            </w:pPr>
            <w:r>
              <w:rPr>
                <w:lang w:val="en-US"/>
              </w:rPr>
              <w:t>50.4-51.4 GHz (FSS, MSS)</w:t>
            </w:r>
            <w:r>
              <w:rPr>
                <w:position w:val="2"/>
                <w:sz w:val="20"/>
              </w:rPr>
              <w:sym w:font="Symbol" w:char="F0AD"/>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20</w:t>
            </w:r>
          </w:p>
        </w:tc>
      </w:tr>
      <w:tr w:rsidR="00B9359B">
        <w:tc>
          <w:tcPr>
            <w:tcW w:w="3799" w:type="dxa"/>
          </w:tcPr>
          <w:p w:rsidR="00B9359B" w:rsidRDefault="009A5268">
            <w:pPr>
              <w:pStyle w:val="Tabletext"/>
              <w:framePr w:hSpace="181" w:wrap="notBeside" w:vAnchor="text" w:hAnchor="text" w:xAlign="center" w:y="1"/>
              <w:spacing w:before="60" w:after="60"/>
              <w:rPr>
                <w:lang w:val="en-US"/>
              </w:rPr>
            </w:pPr>
            <w:r>
              <w:rPr>
                <w:lang w:val="en-US"/>
              </w:rPr>
              <w:t>52.6-52.8 GHz (EESS)</w:t>
            </w:r>
          </w:p>
        </w:tc>
        <w:tc>
          <w:tcPr>
            <w:tcW w:w="4706" w:type="dxa"/>
          </w:tcPr>
          <w:p w:rsidR="00B9359B" w:rsidRDefault="009A5268">
            <w:pPr>
              <w:pStyle w:val="Tabletext"/>
              <w:framePr w:hSpace="181" w:wrap="notBeside" w:vAnchor="text" w:hAnchor="text" w:xAlign="center" w:y="1"/>
              <w:spacing w:before="60" w:after="60"/>
              <w:rPr>
                <w:lang w:val="en-US"/>
              </w:rPr>
            </w:pPr>
            <w:r>
              <w:rPr>
                <w:lang w:val="en-US"/>
              </w:rPr>
              <w:t>51.4-52.6 GHz (FS)</w:t>
            </w:r>
          </w:p>
        </w:tc>
        <w:tc>
          <w:tcPr>
            <w:tcW w:w="1134" w:type="dxa"/>
          </w:tcPr>
          <w:p w:rsidR="00B9359B" w:rsidRDefault="009A5268">
            <w:pPr>
              <w:pStyle w:val="Tabletext"/>
              <w:framePr w:hSpace="181" w:wrap="notBeside" w:vAnchor="text" w:hAnchor="text" w:xAlign="center" w:y="1"/>
              <w:spacing w:before="60" w:after="60"/>
              <w:jc w:val="center"/>
              <w:rPr>
                <w:lang w:val="fr-CH"/>
              </w:rPr>
            </w:pPr>
            <w:r>
              <w:rPr>
                <w:lang w:val="fr-CH"/>
              </w:rPr>
              <w:t>21</w:t>
            </w:r>
          </w:p>
        </w:tc>
      </w:tr>
      <w:tr w:rsidR="00B935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639" w:type="dxa"/>
            <w:gridSpan w:val="3"/>
          </w:tcPr>
          <w:p w:rsidR="00B9359B" w:rsidRDefault="009A5268">
            <w:pPr>
              <w:pStyle w:val="Tablelegend"/>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680"/>
              </w:tabs>
              <w:ind w:left="595" w:hanging="680"/>
              <w:rPr>
                <w:lang w:val="fr-CH"/>
              </w:rPr>
            </w:pPr>
            <w:r>
              <w:rPr>
                <w:lang w:val="fr-CH"/>
              </w:rPr>
              <w:t>RNSS:</w:t>
            </w:r>
            <w:r>
              <w:rPr>
                <w:lang w:val="fr-CH"/>
              </w:rPr>
              <w:tab/>
              <w:t>radionavigation satellite service.</w:t>
            </w:r>
          </w:p>
          <w:p w:rsidR="00B9359B" w:rsidRDefault="009A5268">
            <w:pPr>
              <w:pStyle w:val="Tablelegend"/>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680"/>
              </w:tabs>
              <w:spacing w:before="0"/>
              <w:ind w:left="595" w:hanging="680"/>
              <w:rPr>
                <w:lang w:val="en-US"/>
              </w:rPr>
            </w:pPr>
            <w:r>
              <w:rPr>
                <w:lang w:val="en-US"/>
              </w:rPr>
              <w:t>ISS:</w:t>
            </w:r>
            <w:r>
              <w:rPr>
                <w:lang w:val="en-US"/>
              </w:rPr>
              <w:tab/>
              <w:t>inter-satellite service.</w:t>
            </w:r>
          </w:p>
          <w:p w:rsidR="00B9359B" w:rsidRDefault="009A5268">
            <w:pPr>
              <w:pStyle w:val="Tablelegend"/>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680"/>
              </w:tabs>
              <w:spacing w:before="0"/>
              <w:ind w:left="595" w:hanging="680"/>
              <w:rPr>
                <w:lang w:val="en-US"/>
              </w:rPr>
            </w:pPr>
            <w:r>
              <w:rPr>
                <w:lang w:val="en-US"/>
              </w:rPr>
              <w:t>FS:</w:t>
            </w:r>
            <w:r>
              <w:rPr>
                <w:lang w:val="en-US"/>
              </w:rPr>
              <w:tab/>
              <w:t>fixed service.</w:t>
            </w:r>
          </w:p>
        </w:tc>
      </w:tr>
    </w:tbl>
    <w:p w:rsidR="00B9359B" w:rsidRDefault="00B9359B">
      <w:pPr>
        <w:pStyle w:val="Tablefin"/>
      </w:pPr>
    </w:p>
    <w:p w:rsidR="00B9359B" w:rsidRDefault="009A5268">
      <w:pPr>
        <w:pStyle w:val="AnnexNoTitle"/>
        <w:rPr>
          <w:lang w:val="en-US"/>
        </w:rPr>
      </w:pPr>
      <w:r>
        <w:rPr>
          <w:lang w:val="en-US"/>
        </w:rPr>
        <w:br w:type="page"/>
      </w:r>
      <w:r>
        <w:rPr>
          <w:lang w:val="en-US"/>
        </w:rPr>
        <w:lastRenderedPageBreak/>
        <w:t>Annex 1</w:t>
      </w:r>
      <w:r>
        <w:rPr>
          <w:lang w:val="en-US"/>
        </w:rPr>
        <w:br/>
      </w:r>
      <w:r>
        <w:rPr>
          <w:lang w:val="en-US"/>
        </w:rPr>
        <w:br/>
        <w:t>Methodology</w:t>
      </w:r>
    </w:p>
    <w:p w:rsidR="00B9359B" w:rsidRDefault="009A5268">
      <w:pPr>
        <w:pStyle w:val="Heading1"/>
        <w:rPr>
          <w:lang w:val="en-US"/>
        </w:rPr>
      </w:pPr>
      <w:bookmarkStart w:id="4" w:name="_Toc51045405"/>
      <w:r>
        <w:rPr>
          <w:lang w:val="en-US"/>
        </w:rPr>
        <w:t>1</w:t>
      </w:r>
      <w:r>
        <w:rPr>
          <w:lang w:val="en-US"/>
        </w:rPr>
        <w:tab/>
        <w:t>General</w:t>
      </w:r>
      <w:bookmarkEnd w:id="4"/>
    </w:p>
    <w:p w:rsidR="00B9359B" w:rsidRDefault="009A5268">
      <w:pPr>
        <w:rPr>
          <w:lang w:val="en-US"/>
        </w:rPr>
      </w:pPr>
      <w:r>
        <w:rPr>
          <w:lang w:val="en-US"/>
        </w:rPr>
        <w:t>The following general methodology defines a systematic means for deriving mutually acceptable compatibility criteria between operators of active and passive services operating in their allocated bands. The flow diagram (Fig. 1) summarizes the methodology with each individual step described in detail in § 2 of this Annex. As the procedure is iterative, several cycles might be required before a solution is found.</w:t>
      </w:r>
    </w:p>
    <w:p w:rsidR="00B9359B" w:rsidRDefault="009A5268">
      <w:pPr>
        <w:rPr>
          <w:lang w:val="en-US"/>
        </w:rPr>
      </w:pPr>
      <w:r>
        <w:rPr>
          <w:lang w:val="en-US"/>
        </w:rPr>
        <w:t>The first step is to determine the transmission parameters of the active service (box (i)). The starting point is the worst-case scenario that is used to determine whether there is the potential for detrimental interference to passive services by any and all types of active services operating in an adjacent or nearby band. This worst-case power level could often be determined from existing regulatory limits (box (1)), such as the pfd’s found in RR Article 21. Such regulatory limits for the power transmitted by the active service must then be used to determine the worst-case level of unwanted emission into the passive band (box (ii)).</w:t>
      </w:r>
    </w:p>
    <w:p w:rsidR="00B9359B" w:rsidRDefault="009A5268">
      <w:pPr>
        <w:rPr>
          <w:lang w:val="en-US"/>
        </w:rPr>
      </w:pPr>
      <w:r>
        <w:rPr>
          <w:lang w:val="en-US"/>
        </w:rPr>
        <w:t xml:space="preserve">The following step is to determine if this worst-case interference level is higher than the passive service interference threshold for the band under consideration (diamond (a)). These threshold levels are given in various ITU-R Recommendations (box (2)) such as Recommendations </w:t>
      </w:r>
      <w:r>
        <w:rPr>
          <w:rFonts w:ascii="Times" w:hAnsi="Times"/>
          <w:lang w:val="en-US"/>
        </w:rPr>
        <w:t>ITU</w:t>
      </w:r>
      <w:r>
        <w:rPr>
          <w:rFonts w:ascii="Times" w:hAnsi="Times"/>
          <w:lang w:val="en-US"/>
        </w:rPr>
        <w:noBreakHyphen/>
        <w:t>R</w:t>
      </w:r>
      <w:r>
        <w:rPr>
          <w:rFonts w:ascii="Times" w:hAnsi="Times"/>
          <w:lang w:val="en-GB"/>
        </w:rPr>
        <w:t> RA.769</w:t>
      </w:r>
      <w:r>
        <w:rPr>
          <w:lang w:val="en-US"/>
        </w:rPr>
        <w:t xml:space="preserve">, or </w:t>
      </w:r>
      <w:r>
        <w:rPr>
          <w:rFonts w:ascii="Times" w:hAnsi="Times"/>
          <w:lang w:val="en-US"/>
        </w:rPr>
        <w:t>ITU-R SA.1029</w:t>
      </w:r>
      <w:r>
        <w:rPr>
          <w:lang w:val="en-US"/>
        </w:rPr>
        <w:t xml:space="preserve">. If this interference threshold is higher than the worst-case level of unwanted emissions in the band, then there is no adverse impact to the passive service operations. In this case the methodology follows the “Yes” line and the process terminates. At this point, as at all other end points in the methodology, the assumptions used to achieve the end point form the technical basis for a compatible working arrangement between the active and passive services involved. How these technical assumptions and their resulting conclusions are used is a regulatory exercise and is beyond the technical scope of this Recommendation. However, for the case of diamond (a), if the interference is assessed to be greater than the passive service criteria, then it is necessary to follow the “No” branch to diamond (b). On the first iteration, no new information is available so the path continues to box (iii). On later iterations, the threshold in diamond (b) may be different from the passive service criteria used in diamond (a) as a consequence of modified or additional parameters and burden sharing. These modified or additional parameters may result from diamonds (c), (d) or (e). Diamond (b) allows a further assessment whether compatibility has been achieved. </w:t>
      </w:r>
    </w:p>
    <w:p w:rsidR="00B9359B" w:rsidRDefault="009A5268">
      <w:pPr>
        <w:rPr>
          <w:lang w:val="en-US"/>
        </w:rPr>
      </w:pPr>
      <w:r>
        <w:rPr>
          <w:lang w:val="en-US"/>
        </w:rPr>
        <w:t>If such is the case the process follows along the “Yes” branch, and the procedure ends. If such is not the case, the discrepancy has to be assessed, whereby in reaching diamonds (c), (d) or (e) the following alternatives should be investigated:</w:t>
      </w:r>
    </w:p>
    <w:p w:rsidR="00B9359B" w:rsidRDefault="009A5268">
      <w:pPr>
        <w:pStyle w:val="enumlev1"/>
        <w:rPr>
          <w:lang w:val="en-US"/>
        </w:rPr>
      </w:pPr>
      <w:r>
        <w:rPr>
          <w:lang w:val="en-US"/>
        </w:rPr>
        <w:t>–</w:t>
      </w:r>
      <w:r>
        <w:rPr>
          <w:lang w:val="en-US"/>
        </w:rPr>
        <w:tab/>
        <w:t>refine the emission parameters of the active service such as the actual system parameters, available prime power, etc. and/or;</w:t>
      </w:r>
    </w:p>
    <w:p w:rsidR="00B9359B" w:rsidRDefault="009A5268">
      <w:pPr>
        <w:pStyle w:val="enumlev1"/>
        <w:rPr>
          <w:lang w:val="en-US"/>
        </w:rPr>
      </w:pPr>
      <w:r>
        <w:rPr>
          <w:lang w:val="en-US"/>
        </w:rPr>
        <w:t>–</w:t>
      </w:r>
      <w:r>
        <w:rPr>
          <w:lang w:val="en-US"/>
        </w:rPr>
        <w:tab/>
        <w:t>refine the reception parameters in the passive band, and/or;</w:t>
      </w:r>
    </w:p>
    <w:p w:rsidR="00B9359B" w:rsidRDefault="009A5268">
      <w:pPr>
        <w:pStyle w:val="enumlev1"/>
        <w:rPr>
          <w:lang w:val="en-US"/>
        </w:rPr>
      </w:pPr>
      <w:r>
        <w:rPr>
          <w:lang w:val="en-US"/>
        </w:rPr>
        <w:t>–</w:t>
      </w:r>
      <w:r>
        <w:rPr>
          <w:lang w:val="en-US"/>
        </w:rPr>
        <w:tab/>
        <w:t>develop further mitigation techniques for both the active and passive services, which may include both alternatives (a) and (b).</w:t>
      </w:r>
    </w:p>
    <w:p w:rsidR="00B9359B" w:rsidRDefault="009A5268">
      <w:pPr>
        <w:pStyle w:val="FigureNo"/>
      </w:pPr>
      <w:r>
        <w:rPr>
          <w:lang w:val="en-US"/>
        </w:rPr>
        <w:br w:type="page"/>
      </w:r>
      <w:r w:rsidR="00AB52AF">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3pt;height:677.55pt">
            <v:imagedata r:id="rId7" o:title=""/>
          </v:shape>
        </w:pict>
      </w:r>
    </w:p>
    <w:p w:rsidR="00B9359B" w:rsidRDefault="009A5268">
      <w:pPr>
        <w:rPr>
          <w:lang w:val="en-US"/>
        </w:rPr>
      </w:pPr>
      <w:r>
        <w:rPr>
          <w:lang w:val="en-US"/>
        </w:rPr>
        <w:br w:type="page"/>
        <w:t>When during the assessment of discrepancies, as indicated in box (iii), it is shown that the divergence between the two levels is large, then it is clear that the assumptions used in the first iteration are insufficient to resolve the issue and more detailed assumptions about the characteristics and operations of both services must be made. However, if the divergence is small, it may be possible to modify slightly one of the underlying assumptions so as to enable converging on a solution on the next iteration. A review of the data at hand may suggest what additional assumptions might be beneficial.</w:t>
      </w:r>
    </w:p>
    <w:p w:rsidR="00B9359B" w:rsidRDefault="009A5268">
      <w:pPr>
        <w:rPr>
          <w:lang w:val="en-US"/>
        </w:rPr>
      </w:pPr>
      <w:r>
        <w:rPr>
          <w:lang w:val="en-US"/>
        </w:rPr>
        <w:t>From this consideration, either one or more of the active service parameters, passive service parameters, the compatibility criteria or possible mitigation methods can be considered for modification in successive iterations. As many iterations will take place as necessary to either completely close the gap or to have exhausted all potential solutions. If all possible solutions have been exhausted and no compatible operation appears to be possible, then the method ends with a “consultative solution”. This implies that the only possible solution is for a specific active system to consult with a specific passive service system operator, in order to achieve a one-to-one solution, if that is possible. Specifics of such a consultative solution are outside the purview of this Recommendation.</w:t>
      </w:r>
    </w:p>
    <w:p w:rsidR="00B9359B" w:rsidRDefault="009A5268">
      <w:pPr>
        <w:rPr>
          <w:lang w:val="en-US"/>
        </w:rPr>
      </w:pPr>
      <w:r>
        <w:rPr>
          <w:lang w:val="en-US"/>
        </w:rPr>
        <w:t>This methodology only addresses the potential interference from a single active service operating in its allocated band. Noting that EESS (passive) may receive interference simultaneously from multiple services, additional consideration may be required to account for the aggregate effects of multiple active services.</w:t>
      </w:r>
    </w:p>
    <w:p w:rsidR="00B9359B" w:rsidRDefault="009A5268">
      <w:pPr>
        <w:pStyle w:val="Heading1"/>
        <w:rPr>
          <w:lang w:val="en-US"/>
        </w:rPr>
      </w:pPr>
      <w:bookmarkStart w:id="5" w:name="_Toc51045406"/>
      <w:r>
        <w:rPr>
          <w:lang w:val="en-US"/>
        </w:rPr>
        <w:t>2</w:t>
      </w:r>
      <w:r>
        <w:rPr>
          <w:lang w:val="en-US"/>
        </w:rPr>
        <w:tab/>
        <w:t>Detailed description of the flow chart</w:t>
      </w:r>
      <w:bookmarkEnd w:id="5"/>
    </w:p>
    <w:p w:rsidR="00B9359B" w:rsidRPr="0027724D" w:rsidRDefault="009A5268">
      <w:pPr>
        <w:pStyle w:val="Heading2"/>
        <w:rPr>
          <w:lang w:val="en-US"/>
        </w:rPr>
      </w:pPr>
      <w:bookmarkStart w:id="6" w:name="_Toc51045407"/>
      <w:r w:rsidRPr="0027724D">
        <w:rPr>
          <w:lang w:val="en-US"/>
        </w:rPr>
        <w:t>2.1</w:t>
      </w:r>
      <w:r w:rsidRPr="0027724D">
        <w:rPr>
          <w:lang w:val="en-US"/>
        </w:rPr>
        <w:tab/>
        <w:t>Box (1): Existing ITU documents</w:t>
      </w:r>
      <w:bookmarkEnd w:id="6"/>
    </w:p>
    <w:p w:rsidR="00B9359B" w:rsidRDefault="009A5268">
      <w:pPr>
        <w:rPr>
          <w:lang w:val="en-US"/>
        </w:rPr>
      </w:pPr>
      <w:r>
        <w:rPr>
          <w:lang w:val="en-US"/>
        </w:rPr>
        <w:t>This box refers to documents that may be relevant for determining transmitter emissions. The following Articles of the RR and ITU-R Recommendations and Reports are relevant to determining transmitter power that may fall into passive bands, and are provided for reference. These regulations and recommendations are to be used as the starting point in the evaluation of potential active service unwanted emissions into passive service bands.</w:t>
      </w:r>
    </w:p>
    <w:p w:rsidR="00B9359B" w:rsidRDefault="009A5268">
      <w:pPr>
        <w:pStyle w:val="Headingb"/>
        <w:rPr>
          <w:lang w:val="en-US"/>
        </w:rPr>
      </w:pPr>
      <w:r>
        <w:rPr>
          <w:lang w:val="en-US"/>
        </w:rPr>
        <w:t>Radio Regulations</w:t>
      </w:r>
    </w:p>
    <w:p w:rsidR="00B9359B" w:rsidRDefault="009A5268">
      <w:pPr>
        <w:rPr>
          <w:lang w:val="en-US"/>
        </w:rPr>
      </w:pPr>
      <w:r>
        <w:rPr>
          <w:lang w:val="en-US"/>
        </w:rPr>
        <w:t>Articles 1, 5, 21, 22, Appendix 3.</w:t>
      </w:r>
    </w:p>
    <w:p w:rsidR="00B9359B" w:rsidRDefault="009A5268">
      <w:pPr>
        <w:pStyle w:val="Headingb"/>
        <w:rPr>
          <w:lang w:val="en-US"/>
        </w:rPr>
      </w:pPr>
      <w:r>
        <w:rPr>
          <w:lang w:val="en-US"/>
        </w:rPr>
        <w:t>Recommendations</w:t>
      </w:r>
    </w:p>
    <w:p w:rsidR="00B9359B" w:rsidRDefault="009A5268">
      <w:pPr>
        <w:tabs>
          <w:tab w:val="clear" w:pos="794"/>
          <w:tab w:val="clear" w:pos="1191"/>
          <w:tab w:val="clear" w:pos="1588"/>
        </w:tabs>
        <w:ind w:left="1985" w:hanging="1985"/>
        <w:rPr>
          <w:lang w:val="en-US"/>
        </w:rPr>
      </w:pPr>
      <w:r>
        <w:rPr>
          <w:lang w:val="en-US"/>
        </w:rPr>
        <w:t>ITU-R F.758:</w:t>
      </w:r>
      <w:r>
        <w:rPr>
          <w:lang w:val="en-US"/>
        </w:rPr>
        <w:tab/>
        <w:t>Considerations in the development of criteria for sharing between the terrestrial fixed service and other services</w:t>
      </w:r>
    </w:p>
    <w:p w:rsidR="00B9359B" w:rsidRDefault="009A5268">
      <w:pPr>
        <w:tabs>
          <w:tab w:val="clear" w:pos="794"/>
          <w:tab w:val="clear" w:pos="1191"/>
          <w:tab w:val="clear" w:pos="1588"/>
        </w:tabs>
        <w:ind w:left="1985" w:hanging="1985"/>
        <w:rPr>
          <w:lang w:val="en-US"/>
        </w:rPr>
      </w:pPr>
      <w:r>
        <w:rPr>
          <w:lang w:val="en-US"/>
        </w:rPr>
        <w:t>ITU-R F.1191:</w:t>
      </w:r>
      <w:r>
        <w:rPr>
          <w:lang w:val="en-US"/>
        </w:rPr>
        <w:tab/>
        <w:t>Bandwidths and unwanted emissions of digital fixed service systems</w:t>
      </w:r>
    </w:p>
    <w:p w:rsidR="00B9359B" w:rsidRDefault="009A5268">
      <w:pPr>
        <w:tabs>
          <w:tab w:val="clear" w:pos="794"/>
          <w:tab w:val="clear" w:pos="1191"/>
          <w:tab w:val="clear" w:pos="1588"/>
        </w:tabs>
        <w:ind w:left="1985" w:hanging="1985"/>
        <w:rPr>
          <w:lang w:val="en-US"/>
        </w:rPr>
      </w:pPr>
      <w:r>
        <w:rPr>
          <w:lang w:val="en-US"/>
        </w:rPr>
        <w:t>ITU-R SM.326:</w:t>
      </w:r>
      <w:r>
        <w:rPr>
          <w:lang w:val="en-US"/>
        </w:rPr>
        <w:tab/>
        <w:t>Determination and measurement of the power of amplitude-modulated radio transmitters</w:t>
      </w:r>
    </w:p>
    <w:p w:rsidR="00B9359B" w:rsidRDefault="009A5268">
      <w:pPr>
        <w:tabs>
          <w:tab w:val="clear" w:pos="794"/>
          <w:tab w:val="clear" w:pos="1191"/>
          <w:tab w:val="clear" w:pos="1588"/>
        </w:tabs>
        <w:ind w:left="1985" w:hanging="1985"/>
        <w:rPr>
          <w:lang w:val="en-US"/>
        </w:rPr>
      </w:pPr>
      <w:r>
        <w:rPr>
          <w:lang w:val="en-US"/>
        </w:rPr>
        <w:t>ITU-R SM.328:</w:t>
      </w:r>
      <w:r>
        <w:rPr>
          <w:lang w:val="en-US"/>
        </w:rPr>
        <w:tab/>
        <w:t>Spectra and bandwidth of emissions</w:t>
      </w:r>
    </w:p>
    <w:p w:rsidR="00B9359B" w:rsidRDefault="009A5268">
      <w:pPr>
        <w:tabs>
          <w:tab w:val="clear" w:pos="794"/>
          <w:tab w:val="clear" w:pos="1191"/>
          <w:tab w:val="clear" w:pos="1588"/>
        </w:tabs>
        <w:ind w:left="1985" w:hanging="1985"/>
        <w:rPr>
          <w:lang w:val="en-US"/>
        </w:rPr>
      </w:pPr>
      <w:r>
        <w:rPr>
          <w:lang w:val="en-US"/>
        </w:rPr>
        <w:t>ITU-R SM.329:</w:t>
      </w:r>
      <w:r>
        <w:rPr>
          <w:lang w:val="en-US"/>
        </w:rPr>
        <w:tab/>
        <w:t>Unwanted emissions in the spurious domain</w:t>
      </w:r>
    </w:p>
    <w:p w:rsidR="00B9359B" w:rsidRDefault="009A5268">
      <w:pPr>
        <w:tabs>
          <w:tab w:val="clear" w:pos="794"/>
          <w:tab w:val="clear" w:pos="1191"/>
          <w:tab w:val="clear" w:pos="1588"/>
        </w:tabs>
        <w:ind w:left="1985" w:hanging="1985"/>
        <w:rPr>
          <w:lang w:val="en-US"/>
        </w:rPr>
      </w:pPr>
      <w:r>
        <w:rPr>
          <w:lang w:val="en-US"/>
        </w:rPr>
        <w:t>ITU-R SM.1446:</w:t>
      </w:r>
      <w:r>
        <w:rPr>
          <w:lang w:val="en-US"/>
        </w:rPr>
        <w:tab/>
        <w:t>Definition and measurement of intermodulation products in transmitter using frequency, phase, or complex modulation techniques</w:t>
      </w:r>
    </w:p>
    <w:p w:rsidR="00B9359B" w:rsidRDefault="009A5268">
      <w:pPr>
        <w:tabs>
          <w:tab w:val="clear" w:pos="794"/>
          <w:tab w:val="clear" w:pos="1191"/>
          <w:tab w:val="clear" w:pos="1588"/>
        </w:tabs>
        <w:ind w:left="1985" w:hanging="1985"/>
        <w:rPr>
          <w:lang w:val="en-US"/>
        </w:rPr>
      </w:pPr>
      <w:r>
        <w:rPr>
          <w:lang w:val="en-US"/>
        </w:rPr>
        <w:br w:type="page"/>
        <w:t>ITU-R SM.1539:</w:t>
      </w:r>
      <w:r>
        <w:rPr>
          <w:lang w:val="en-US"/>
        </w:rPr>
        <w:tab/>
      </w:r>
      <w:r>
        <w:rPr>
          <w:rFonts w:hint="eastAsia"/>
          <w:lang w:val="en-US"/>
        </w:rPr>
        <w:t xml:space="preserve">Variation of the boundary between the </w:t>
      </w:r>
      <w:r>
        <w:rPr>
          <w:lang w:val="en-US"/>
        </w:rPr>
        <w:t xml:space="preserve">out-of-band </w:t>
      </w:r>
      <w:r>
        <w:rPr>
          <w:rFonts w:hint="eastAsia"/>
          <w:lang w:val="en-US"/>
        </w:rPr>
        <w:t xml:space="preserve">and </w:t>
      </w:r>
      <w:r>
        <w:rPr>
          <w:lang w:val="en-US"/>
        </w:rPr>
        <w:t>spurious domain</w:t>
      </w:r>
      <w:r>
        <w:rPr>
          <w:rFonts w:hint="eastAsia"/>
          <w:lang w:val="en-US"/>
        </w:rPr>
        <w:t>s</w:t>
      </w:r>
      <w:r>
        <w:rPr>
          <w:lang w:val="en-US"/>
        </w:rPr>
        <w:t xml:space="preserve"> </w:t>
      </w:r>
      <w:r>
        <w:rPr>
          <w:rFonts w:hint="eastAsia"/>
          <w:lang w:val="en-US"/>
        </w:rPr>
        <w:t>r</w:t>
      </w:r>
      <w:r>
        <w:rPr>
          <w:lang w:val="en-US"/>
        </w:rPr>
        <w:t>equired</w:t>
      </w:r>
      <w:r>
        <w:rPr>
          <w:rFonts w:hint="eastAsia"/>
          <w:lang w:val="en-US"/>
        </w:rPr>
        <w:t xml:space="preserve"> for the app</w:t>
      </w:r>
      <w:r>
        <w:rPr>
          <w:lang w:val="en-US"/>
        </w:rPr>
        <w:t>l</w:t>
      </w:r>
      <w:r>
        <w:rPr>
          <w:rFonts w:hint="eastAsia"/>
          <w:lang w:val="en-US"/>
        </w:rPr>
        <w:t xml:space="preserve">ication of Recommendations </w:t>
      </w:r>
      <w:r>
        <w:rPr>
          <w:lang w:val="en-US"/>
        </w:rPr>
        <w:t>ITU</w:t>
      </w:r>
      <w:r>
        <w:rPr>
          <w:rFonts w:hint="eastAsia"/>
          <w:lang w:val="en-US"/>
        </w:rPr>
        <w:t>-</w:t>
      </w:r>
      <w:r>
        <w:rPr>
          <w:lang w:val="en-US"/>
        </w:rPr>
        <w:t>R</w:t>
      </w:r>
      <w:r>
        <w:rPr>
          <w:rFonts w:hint="eastAsia"/>
          <w:lang w:val="en-US"/>
        </w:rPr>
        <w:t xml:space="preserve"> </w:t>
      </w:r>
      <w:r>
        <w:rPr>
          <w:lang w:val="en-US"/>
        </w:rPr>
        <w:t>SM</w:t>
      </w:r>
      <w:r>
        <w:rPr>
          <w:rFonts w:hint="eastAsia"/>
          <w:lang w:val="en-US"/>
        </w:rPr>
        <w:t>.</w:t>
      </w:r>
      <w:r>
        <w:rPr>
          <w:lang w:val="en-US"/>
        </w:rPr>
        <w:t>1541</w:t>
      </w:r>
      <w:r>
        <w:rPr>
          <w:rFonts w:hint="eastAsia"/>
          <w:lang w:val="en-US"/>
        </w:rPr>
        <w:t xml:space="preserve"> </w:t>
      </w:r>
      <w:r>
        <w:rPr>
          <w:lang w:val="en-US"/>
        </w:rPr>
        <w:t>and ITU</w:t>
      </w:r>
      <w:r>
        <w:rPr>
          <w:lang w:val="en-US"/>
        </w:rPr>
        <w:noBreakHyphen/>
        <w:t>R </w:t>
      </w:r>
      <w:r>
        <w:rPr>
          <w:rFonts w:hint="eastAsia"/>
          <w:lang w:val="en-US"/>
        </w:rPr>
        <w:t>SM.329</w:t>
      </w:r>
    </w:p>
    <w:p w:rsidR="00B9359B" w:rsidRDefault="009A5268">
      <w:pPr>
        <w:tabs>
          <w:tab w:val="clear" w:pos="794"/>
          <w:tab w:val="clear" w:pos="1191"/>
          <w:tab w:val="clear" w:pos="1588"/>
        </w:tabs>
        <w:ind w:left="1985" w:hanging="1985"/>
        <w:rPr>
          <w:lang w:val="en-US"/>
        </w:rPr>
      </w:pPr>
      <w:r>
        <w:rPr>
          <w:lang w:val="en-US"/>
        </w:rPr>
        <w:t>ITU-R SM.1540:</w:t>
      </w:r>
      <w:r>
        <w:rPr>
          <w:lang w:val="en-US"/>
        </w:rPr>
        <w:tab/>
        <w:t>Unwanted emissions in the out-of-band domain falling into adjacent allocated bands</w:t>
      </w:r>
    </w:p>
    <w:p w:rsidR="00B9359B" w:rsidRDefault="009A5268">
      <w:pPr>
        <w:tabs>
          <w:tab w:val="clear" w:pos="794"/>
          <w:tab w:val="clear" w:pos="1191"/>
          <w:tab w:val="clear" w:pos="1588"/>
        </w:tabs>
        <w:ind w:left="1985" w:hanging="1985"/>
        <w:rPr>
          <w:lang w:val="en-US"/>
        </w:rPr>
      </w:pPr>
      <w:r>
        <w:rPr>
          <w:lang w:val="en-US"/>
        </w:rPr>
        <w:t>ITU-R SM.1541:</w:t>
      </w:r>
      <w:r>
        <w:rPr>
          <w:lang w:val="en-US"/>
        </w:rPr>
        <w:tab/>
        <w:t>Unwanted emissions in the out-of-band domain.</w:t>
      </w:r>
    </w:p>
    <w:p w:rsidR="00B9359B" w:rsidRDefault="009A5268">
      <w:pPr>
        <w:rPr>
          <w:lang w:val="en-US"/>
        </w:rPr>
      </w:pPr>
      <w:r>
        <w:rPr>
          <w:lang w:val="en-US"/>
        </w:rPr>
        <w:t>Some data may be needed beyond what these Recommendations provide. This includes:</w:t>
      </w:r>
    </w:p>
    <w:p w:rsidR="00B9359B" w:rsidRDefault="009A5268">
      <w:pPr>
        <w:pStyle w:val="enumlev1"/>
        <w:rPr>
          <w:lang w:val="en-US"/>
        </w:rPr>
      </w:pPr>
      <w:r>
        <w:sym w:font="Symbol" w:char="F02D"/>
      </w:r>
      <w:r>
        <w:rPr>
          <w:lang w:val="en-US"/>
        </w:rPr>
        <w:tab/>
        <w:t>the duty cycle of the systems;</w:t>
      </w:r>
    </w:p>
    <w:p w:rsidR="00B9359B" w:rsidRDefault="009A5268">
      <w:pPr>
        <w:pStyle w:val="enumlev1"/>
        <w:rPr>
          <w:lang w:val="en-US"/>
        </w:rPr>
      </w:pPr>
      <w:r>
        <w:sym w:font="Symbol" w:char="F02D"/>
      </w:r>
      <w:r>
        <w:rPr>
          <w:lang w:val="en-US"/>
        </w:rPr>
        <w:tab/>
        <w:t>the geographic distribution and densities of the emitters including deployment densities;</w:t>
      </w:r>
    </w:p>
    <w:p w:rsidR="00B9359B" w:rsidRDefault="009A5268">
      <w:pPr>
        <w:pStyle w:val="enumlev1"/>
        <w:rPr>
          <w:lang w:val="en-US"/>
        </w:rPr>
      </w:pPr>
      <w:r>
        <w:sym w:font="Symbol" w:char="F02D"/>
      </w:r>
      <w:r>
        <w:rPr>
          <w:lang w:val="en-US"/>
        </w:rPr>
        <w:tab/>
        <w:t>the antenna aiming or scanning for radiodetermination systems or Earth-to-space transmissions;</w:t>
      </w:r>
    </w:p>
    <w:p w:rsidR="00B9359B" w:rsidRDefault="009A5268">
      <w:pPr>
        <w:pStyle w:val="enumlev1"/>
        <w:rPr>
          <w:lang w:val="en-US"/>
        </w:rPr>
      </w:pPr>
      <w:r>
        <w:sym w:font="Symbol" w:char="F02D"/>
      </w:r>
      <w:r>
        <w:rPr>
          <w:lang w:val="en-US"/>
        </w:rPr>
        <w:tab/>
        <w:t>the beam coverage for space-to-Earth transmissions;</w:t>
      </w:r>
    </w:p>
    <w:p w:rsidR="00B9359B" w:rsidRDefault="009A5268">
      <w:pPr>
        <w:pStyle w:val="enumlev1"/>
        <w:rPr>
          <w:lang w:val="en-US"/>
        </w:rPr>
      </w:pPr>
      <w:r>
        <w:sym w:font="Symbol" w:char="F02D"/>
      </w:r>
      <w:r>
        <w:rPr>
          <w:lang w:val="en-US"/>
        </w:rPr>
        <w:tab/>
        <w:t>relevant spectral masks; and</w:t>
      </w:r>
    </w:p>
    <w:p w:rsidR="00B9359B" w:rsidRDefault="009A5268">
      <w:pPr>
        <w:pStyle w:val="enumlev1"/>
        <w:rPr>
          <w:lang w:val="en-US"/>
        </w:rPr>
      </w:pPr>
      <w:r>
        <w:sym w:font="Symbol" w:char="F02D"/>
      </w:r>
      <w:r>
        <w:rPr>
          <w:lang w:val="en-US"/>
        </w:rPr>
        <w:tab/>
        <w:t>antenna patterns.</w:t>
      </w:r>
    </w:p>
    <w:p w:rsidR="00B9359B" w:rsidRDefault="009A5268" w:rsidP="00B45148">
      <w:pPr>
        <w:rPr>
          <w:lang w:val="en-US"/>
        </w:rPr>
      </w:pPr>
      <w:r>
        <w:rPr>
          <w:lang w:val="en-US"/>
        </w:rPr>
        <w:t>Not all of the required data may be available for all items listed above. Assumptions may be necessary for some parameters. Other information such as deployment may require the development of models.</w:t>
      </w:r>
    </w:p>
    <w:p w:rsidR="00B9359B" w:rsidRPr="0027724D" w:rsidRDefault="009A5268">
      <w:pPr>
        <w:pStyle w:val="Heading2"/>
        <w:rPr>
          <w:lang w:val="en-US"/>
        </w:rPr>
      </w:pPr>
      <w:bookmarkStart w:id="7" w:name="_Toc51045408"/>
      <w:r w:rsidRPr="0027724D">
        <w:rPr>
          <w:lang w:val="en-US"/>
        </w:rPr>
        <w:t>2.2</w:t>
      </w:r>
      <w:r w:rsidRPr="0027724D">
        <w:rPr>
          <w:lang w:val="en-US"/>
        </w:rPr>
        <w:tab/>
        <w:t>Box (2): Existing ITU documents</w:t>
      </w:r>
      <w:bookmarkEnd w:id="7"/>
    </w:p>
    <w:p w:rsidR="00B9359B" w:rsidRDefault="009A5268">
      <w:pPr>
        <w:rPr>
          <w:lang w:val="en-US"/>
        </w:rPr>
      </w:pPr>
      <w:r>
        <w:rPr>
          <w:lang w:val="en-US"/>
        </w:rPr>
        <w:t>This box refers to documents relevant to the selection of the appropriate passive service criteria for protection from interference. The various passive service criteria, each developed by the working party responsible for the respective passive services, serve as the input of diamond (a) on the flowchart. These Recommendations have been developed, over time, in order to assist other working parties dealing with active services in evaluating the potential for interference from their respective services into the passive services. The list of Recommendations to be considered is as follows:</w:t>
      </w:r>
    </w:p>
    <w:p w:rsidR="00B9359B" w:rsidRDefault="009A5268">
      <w:pPr>
        <w:pStyle w:val="Headingb"/>
        <w:rPr>
          <w:lang w:val="en-US"/>
        </w:rPr>
      </w:pPr>
      <w:r>
        <w:rPr>
          <w:lang w:val="en-US"/>
        </w:rPr>
        <w:t>Recommendations</w:t>
      </w:r>
    </w:p>
    <w:p w:rsidR="00B9359B" w:rsidRDefault="009A5268">
      <w:pPr>
        <w:tabs>
          <w:tab w:val="clear" w:pos="794"/>
          <w:tab w:val="clear" w:pos="1191"/>
          <w:tab w:val="clear" w:pos="1588"/>
        </w:tabs>
        <w:ind w:left="1985" w:hanging="1985"/>
        <w:rPr>
          <w:lang w:val="en-US"/>
        </w:rPr>
      </w:pPr>
      <w:r>
        <w:rPr>
          <w:lang w:val="en-US"/>
        </w:rPr>
        <w:t>ITU-R RA.769:</w:t>
      </w:r>
      <w:r>
        <w:rPr>
          <w:lang w:val="en-US"/>
        </w:rPr>
        <w:tab/>
        <w:t>Protection criteria used for radioastronomical measurements</w:t>
      </w:r>
    </w:p>
    <w:p w:rsidR="00B9359B" w:rsidRDefault="009A5268">
      <w:pPr>
        <w:tabs>
          <w:tab w:val="clear" w:pos="794"/>
          <w:tab w:val="clear" w:pos="1191"/>
          <w:tab w:val="clear" w:pos="1588"/>
        </w:tabs>
        <w:ind w:left="1985" w:hanging="1985"/>
        <w:rPr>
          <w:lang w:val="en-US"/>
        </w:rPr>
      </w:pPr>
      <w:r>
        <w:rPr>
          <w:lang w:val="en-US"/>
        </w:rPr>
        <w:t>ITU-R RA.1513:</w:t>
      </w:r>
      <w:r>
        <w:rPr>
          <w:lang w:val="en-US"/>
        </w:rPr>
        <w:tab/>
        <w:t>Levels of data loss to radio astronomy observations and percentage-of-time criteria resulting from degradation by interference for frequency bands allocated to the radio astronomy on a primary basis</w:t>
      </w:r>
    </w:p>
    <w:p w:rsidR="00B9359B" w:rsidRDefault="009A5268">
      <w:pPr>
        <w:tabs>
          <w:tab w:val="clear" w:pos="794"/>
          <w:tab w:val="clear" w:pos="1191"/>
          <w:tab w:val="clear" w:pos="1588"/>
        </w:tabs>
        <w:ind w:left="1985" w:hanging="1985"/>
        <w:rPr>
          <w:lang w:val="en-US"/>
        </w:rPr>
      </w:pPr>
      <w:r>
        <w:rPr>
          <w:lang w:val="en-US"/>
        </w:rPr>
        <w:t>ITU-R SA.1028:</w:t>
      </w:r>
      <w:r>
        <w:rPr>
          <w:lang w:val="en-US"/>
        </w:rPr>
        <w:tab/>
        <w:t>Performance criteria for satellite passive remote sensing</w:t>
      </w:r>
    </w:p>
    <w:p w:rsidR="00B9359B" w:rsidRDefault="009A5268">
      <w:pPr>
        <w:tabs>
          <w:tab w:val="clear" w:pos="794"/>
          <w:tab w:val="clear" w:pos="1191"/>
          <w:tab w:val="clear" w:pos="1588"/>
        </w:tabs>
        <w:ind w:left="1985" w:hanging="1985"/>
        <w:rPr>
          <w:lang w:val="en-US"/>
        </w:rPr>
      </w:pPr>
      <w:r>
        <w:rPr>
          <w:lang w:val="en-US"/>
        </w:rPr>
        <w:t>ITU-R SA.1029:</w:t>
      </w:r>
      <w:r>
        <w:rPr>
          <w:lang w:val="en-US"/>
        </w:rPr>
        <w:tab/>
        <w:t>Interference criteria for satellite passive remote sensing.</w:t>
      </w:r>
    </w:p>
    <w:p w:rsidR="00B9359B" w:rsidRDefault="009A5268">
      <w:pPr>
        <w:pStyle w:val="Heading2"/>
        <w:rPr>
          <w:lang w:val="en-US"/>
        </w:rPr>
      </w:pPr>
      <w:bookmarkStart w:id="8" w:name="_Toc51045409"/>
      <w:r>
        <w:rPr>
          <w:lang w:val="en-US"/>
        </w:rPr>
        <w:t>2.3</w:t>
      </w:r>
      <w:r>
        <w:rPr>
          <w:lang w:val="en-US"/>
        </w:rPr>
        <w:tab/>
        <w:t>Box (3): Evaluate interference</w:t>
      </w:r>
      <w:bookmarkEnd w:id="8"/>
    </w:p>
    <w:p w:rsidR="00B9359B" w:rsidRDefault="009A5268">
      <w:pPr>
        <w:rPr>
          <w:lang w:val="en-US"/>
        </w:rPr>
      </w:pPr>
      <w:r>
        <w:rPr>
          <w:lang w:val="en-US"/>
        </w:rPr>
        <w:t>The function of this box is to allow for the passive service to generate a new sharing criterion based on the information provided from boxes (5) and (6). As an example, lower side lobe levels might be assumed than the 0 dBi receive antenna gain figure currently assumed for the RAS. If this were the case, the process of re-calculating the sharing criteria would be done in box (3).</w:t>
      </w:r>
    </w:p>
    <w:p w:rsidR="00B9359B" w:rsidRDefault="009A5268">
      <w:pPr>
        <w:rPr>
          <w:lang w:val="en-US"/>
        </w:rPr>
      </w:pPr>
      <w:r>
        <w:rPr>
          <w:lang w:val="en-US"/>
        </w:rPr>
        <w:br w:type="page"/>
        <w:t>To evaluate interference from non-GSO FSS systems to stations in the RAS, the methodology of   Recommendation ITU-R S.1586 should be used. Likewise, to evaluate interference from non</w:t>
      </w:r>
      <w:r>
        <w:rPr>
          <w:lang w:val="en-US"/>
        </w:rPr>
        <w:noBreakHyphen/>
        <w:t>GSO MSS and RNSS systems to stations in the RAS, the methodology of Recommendation ITU</w:t>
      </w:r>
      <w:r>
        <w:rPr>
          <w:lang w:val="en-US"/>
        </w:rPr>
        <w:noBreakHyphen/>
        <w:t>R M.1583 should be used.</w:t>
      </w:r>
    </w:p>
    <w:p w:rsidR="00B9359B" w:rsidRDefault="009A5268">
      <w:pPr>
        <w:pStyle w:val="Heading2"/>
        <w:rPr>
          <w:lang w:val="en-US"/>
        </w:rPr>
      </w:pPr>
      <w:bookmarkStart w:id="9" w:name="_Toc51045410"/>
      <w:r>
        <w:rPr>
          <w:lang w:val="en-US"/>
        </w:rPr>
        <w:t>2.4</w:t>
      </w:r>
      <w:r>
        <w:rPr>
          <w:lang w:val="en-US"/>
        </w:rPr>
        <w:tab/>
        <w:t>Boxes (4), (5) and (6): New information</w:t>
      </w:r>
      <w:bookmarkEnd w:id="9"/>
    </w:p>
    <w:p w:rsidR="00B9359B" w:rsidRDefault="009A5268">
      <w:pPr>
        <w:rPr>
          <w:lang w:val="en-US"/>
        </w:rPr>
      </w:pPr>
      <w:r>
        <w:rPr>
          <w:lang w:val="en-US"/>
        </w:rPr>
        <w:t>The function of the box is to accommodate new information brought into the sharing study while it proceeds through multiple iterations. An example of such a situation would be the making usage of RR Appendix 4 information submitted to the Radiocommunication Bureau (BR) in box (4) to justify the use of an in-band pfd less than the regulatory figure. Other information may consist of filter or antenna information in any of boxes (4), (5) and (6) that is brought into the process in order to close the gap. New information may also consist of additional input not considered previously, such as specific ITU-R Recommendations, regional recommendations, or regional standards. Examples for the relevant boxes are as follows:</w:t>
      </w:r>
    </w:p>
    <w:p w:rsidR="00B9359B" w:rsidRDefault="009A5268">
      <w:pPr>
        <w:pStyle w:val="Headingb"/>
        <w:rPr>
          <w:lang w:val="en-US"/>
        </w:rPr>
      </w:pPr>
      <w:r>
        <w:rPr>
          <w:lang w:val="en-US"/>
        </w:rPr>
        <w:t>Box (4)</w:t>
      </w:r>
    </w:p>
    <w:p w:rsidR="00B9359B" w:rsidRDefault="009A5268">
      <w:pPr>
        <w:rPr>
          <w:lang w:val="en-US"/>
        </w:rPr>
      </w:pPr>
      <w:r>
        <w:rPr>
          <w:lang w:val="en-US"/>
        </w:rPr>
        <w:t>At higher frequencies, transmit antenna patterns can have a significantly narrower beamwidth in order to maximize the power in a limited service area so as to increase throughput and overcome atmospheric effects. As a result, the majority of the surface of the Earth may receive an unwanted emission pfd level that is well below the detrimental level of the passive service. Instead of having the level applicable over the entire surface of the Earth, it may be possible to relax the level over a fraction of the Earth’s surface. As a result, the probability that an RAS station will receive detrimental interference from a specific direction becomes very small.</w:t>
      </w:r>
    </w:p>
    <w:p w:rsidR="00B9359B" w:rsidRDefault="009A5268">
      <w:pPr>
        <w:rPr>
          <w:lang w:val="en-US"/>
        </w:rPr>
      </w:pPr>
      <w:r>
        <w:rPr>
          <w:lang w:val="en-US"/>
        </w:rPr>
        <w:t xml:space="preserve">In the band 40-42.5 GHz, Recommendation ITU-R S.1557 </w:t>
      </w:r>
      <w:r>
        <w:sym w:font="Symbol" w:char="F02D"/>
      </w:r>
      <w:r>
        <w:rPr>
          <w:lang w:val="en-US"/>
        </w:rPr>
        <w:t xml:space="preserve"> Operational requirements and charac</w:t>
      </w:r>
      <w:r>
        <w:rPr>
          <w:lang w:val="en-US"/>
        </w:rPr>
        <w:softHyphen/>
        <w:t>teristics of fixed-satellite service systems operating in the 50/40 GHz bands for use in sharing studies between the fixed</w:t>
      </w:r>
      <w:r>
        <w:rPr>
          <w:lang w:val="en-US"/>
        </w:rPr>
        <w:noBreakHyphen/>
        <w:t>satellite service and the fixed service, contains parameters that may be used for studies relevant to this band.</w:t>
      </w:r>
    </w:p>
    <w:p w:rsidR="00B9359B" w:rsidRDefault="009A5268">
      <w:pPr>
        <w:pStyle w:val="Headingb"/>
        <w:rPr>
          <w:lang w:val="en-US"/>
        </w:rPr>
      </w:pPr>
      <w:r>
        <w:rPr>
          <w:lang w:val="en-US"/>
        </w:rPr>
        <w:t>Box (5)</w:t>
      </w:r>
    </w:p>
    <w:p w:rsidR="00B9359B" w:rsidRDefault="009A5268">
      <w:pPr>
        <w:rPr>
          <w:lang w:val="en-US"/>
        </w:rPr>
      </w:pPr>
      <w:r>
        <w:rPr>
          <w:lang w:val="en-US"/>
        </w:rPr>
        <w:t>Characteristics such as band-specific receive antenna patterns are characteristics that could be used to decrease the difference between the passive service detrimental interference level and the received unwanted emission level.</w:t>
      </w:r>
    </w:p>
    <w:p w:rsidR="00B9359B" w:rsidRDefault="009A5268">
      <w:pPr>
        <w:pStyle w:val="Headingb"/>
        <w:rPr>
          <w:lang w:val="en-US"/>
        </w:rPr>
      </w:pPr>
      <w:r>
        <w:rPr>
          <w:lang w:val="en-US"/>
        </w:rPr>
        <w:t>Box (6)</w:t>
      </w:r>
    </w:p>
    <w:p w:rsidR="00B9359B" w:rsidRDefault="009A5268">
      <w:pPr>
        <w:rPr>
          <w:lang w:val="en-US"/>
        </w:rPr>
      </w:pPr>
      <w:r>
        <w:rPr>
          <w:lang w:val="en-US"/>
        </w:rPr>
        <w:t xml:space="preserve">Many mitigation methods that may minimize the impact of the active service on the passive service are listed in Recommendation </w:t>
      </w:r>
      <w:r>
        <w:rPr>
          <w:rFonts w:ascii="Times" w:hAnsi="Times"/>
          <w:bCs/>
          <w:lang w:val="en-US"/>
        </w:rPr>
        <w:t>ITU-R SM.1542</w:t>
      </w:r>
      <w:r>
        <w:rPr>
          <w:bCs/>
          <w:lang w:val="en-US"/>
        </w:rPr>
        <w:t>. In any specifi</w:t>
      </w:r>
      <w:r>
        <w:rPr>
          <w:lang w:val="en-US"/>
        </w:rPr>
        <w:t>c case, only some of the mitigation methods listed may apply to the situation at hand. In applying certain mitigation methods, it may often be necessary to determine how the burden resulting from its application will be partitioned.</w:t>
      </w:r>
    </w:p>
    <w:p w:rsidR="00B9359B" w:rsidRDefault="009A5268">
      <w:pPr>
        <w:pStyle w:val="Heading2"/>
        <w:rPr>
          <w:lang w:val="en-US"/>
        </w:rPr>
      </w:pPr>
      <w:bookmarkStart w:id="10" w:name="_Toc51045411"/>
      <w:r>
        <w:rPr>
          <w:lang w:val="en-US"/>
        </w:rPr>
        <w:t>2.5</w:t>
      </w:r>
      <w:r>
        <w:rPr>
          <w:lang w:val="en-US"/>
        </w:rPr>
        <w:tab/>
        <w:t>Box (i): Transmitter emission</w:t>
      </w:r>
      <w:bookmarkEnd w:id="10"/>
    </w:p>
    <w:p w:rsidR="00B9359B" w:rsidRDefault="009A5268">
      <w:pPr>
        <w:rPr>
          <w:lang w:val="en-US"/>
        </w:rPr>
      </w:pPr>
      <w:r>
        <w:rPr>
          <w:lang w:val="en-US"/>
        </w:rPr>
        <w:t>The purpose of this box is to establish the transmit in-band power density at the antenna flange.</w:t>
      </w:r>
    </w:p>
    <w:p w:rsidR="00B9359B" w:rsidRDefault="009A5268">
      <w:pPr>
        <w:pStyle w:val="Heading3"/>
        <w:rPr>
          <w:lang w:val="en-US"/>
        </w:rPr>
      </w:pPr>
      <w:r>
        <w:rPr>
          <w:lang w:val="en-US"/>
        </w:rPr>
        <w:br w:type="page"/>
      </w:r>
      <w:bookmarkStart w:id="11" w:name="_Toc51045412"/>
      <w:r>
        <w:rPr>
          <w:lang w:val="en-US"/>
        </w:rPr>
        <w:t>2.5.1</w:t>
      </w:r>
      <w:r>
        <w:rPr>
          <w:lang w:val="en-US"/>
        </w:rPr>
        <w:tab/>
        <w:t>General case</w:t>
      </w:r>
      <w:bookmarkEnd w:id="11"/>
    </w:p>
    <w:p w:rsidR="00B9359B" w:rsidRDefault="009A5268">
      <w:pPr>
        <w:rPr>
          <w:lang w:val="en-US"/>
        </w:rPr>
      </w:pPr>
      <w:r>
        <w:rPr>
          <w:lang w:val="en-US"/>
        </w:rPr>
        <w:t>Generally the value can be found by:</w:t>
      </w:r>
    </w:p>
    <w:p w:rsidR="00B9359B" w:rsidRDefault="009A5268">
      <w:pPr>
        <w:pStyle w:val="Equation"/>
        <w:rPr>
          <w:lang w:val="en-US"/>
        </w:rPr>
      </w:pPr>
      <w:r>
        <w:rPr>
          <w:lang w:val="en-US"/>
        </w:rPr>
        <w:tab/>
      </w:r>
      <w:r>
        <w:rPr>
          <w:lang w:val="en-US"/>
        </w:rPr>
        <w:tab/>
      </w:r>
      <w:r>
        <w:rPr>
          <w:position w:val="-16"/>
        </w:rPr>
        <w:object w:dxaOrig="2740" w:dyaOrig="400">
          <v:shape id="_x0000_i1026" type="#_x0000_t75" style="width:137pt;height:19.9pt" o:ole="">
            <v:imagedata r:id="rId8" o:title=""/>
          </v:shape>
          <o:OLEObject Type="Embed" ProgID="Equation.3" ShapeID="_x0000_i1026" DrawAspect="Content" ObjectID="_1629894551" r:id="rId9"/>
        </w:object>
      </w:r>
      <w:r>
        <w:rPr>
          <w:lang w:val="en-US"/>
        </w:rPr>
        <w:tab/>
        <w:t>(1)</w:t>
      </w:r>
    </w:p>
    <w:p w:rsidR="00B9359B" w:rsidRDefault="009A5268">
      <w:pPr>
        <w:rPr>
          <w:lang w:val="en-US"/>
        </w:rPr>
      </w:pPr>
      <w:r>
        <w:rPr>
          <w:lang w:val="en-US"/>
        </w:rPr>
        <w:t>where:</w:t>
      </w:r>
    </w:p>
    <w:p w:rsidR="00B9359B" w:rsidRDefault="009A5268">
      <w:pPr>
        <w:pStyle w:val="Equationlegend"/>
      </w:pPr>
      <w:r>
        <w:rPr>
          <w:i/>
        </w:rPr>
        <w:tab/>
        <w:t>p</w:t>
      </w:r>
      <w:r>
        <w:rPr>
          <w:i/>
          <w:iCs/>
          <w:vertAlign w:val="subscript"/>
        </w:rPr>
        <w:t>density</w:t>
      </w:r>
      <w:r>
        <w:rPr>
          <w:rFonts w:ascii="Tms Rmn" w:hAnsi="Tms Rmn"/>
          <w:sz w:val="12"/>
        </w:rPr>
        <w:t> </w:t>
      </w:r>
      <w:r>
        <w:t>:</w:t>
      </w:r>
      <w:r>
        <w:tab/>
        <w:t>transmit power density into the transmit antenna (dBW/Hz)</w:t>
      </w:r>
    </w:p>
    <w:p w:rsidR="00B9359B" w:rsidRDefault="009A5268">
      <w:pPr>
        <w:pStyle w:val="Equationlegend"/>
      </w:pPr>
      <w:r>
        <w:tab/>
      </w:r>
      <w:r>
        <w:rPr>
          <w:i/>
        </w:rPr>
        <w:t>e.i.r.p.</w:t>
      </w:r>
      <w:r>
        <w:rPr>
          <w:i/>
          <w:iCs/>
          <w:vertAlign w:val="subscript"/>
        </w:rPr>
        <w:t>density</w:t>
      </w:r>
      <w:r>
        <w:rPr>
          <w:rFonts w:ascii="Tms Rmn" w:hAnsi="Tms Rmn"/>
          <w:sz w:val="12"/>
        </w:rPr>
        <w:t> </w:t>
      </w:r>
      <w:r>
        <w:t>:</w:t>
      </w:r>
      <w:r>
        <w:tab/>
        <w:t>transmit e.i.r.p. density (dBW/Hz)</w:t>
      </w:r>
    </w:p>
    <w:p w:rsidR="00B9359B" w:rsidRDefault="009A5268">
      <w:pPr>
        <w:pStyle w:val="Equationlegend"/>
      </w:pPr>
      <w:r>
        <w:tab/>
      </w:r>
      <w:r>
        <w:rPr>
          <w:i/>
          <w:iCs/>
        </w:rPr>
        <w:t>G</w:t>
      </w:r>
      <w:r>
        <w:rPr>
          <w:i/>
          <w:iCs/>
          <w:vertAlign w:val="subscript"/>
        </w:rPr>
        <w:t>t</w:t>
      </w:r>
      <w:r>
        <w:rPr>
          <w:rFonts w:ascii="Tms Rmn" w:hAnsi="Tms Rmn"/>
          <w:sz w:val="12"/>
        </w:rPr>
        <w:t> </w:t>
      </w:r>
      <w:r>
        <w:t>:</w:t>
      </w:r>
      <w:r>
        <w:tab/>
        <w:t>transmission antenna gain (dBi).</w:t>
      </w:r>
    </w:p>
    <w:p w:rsidR="00B9359B" w:rsidRDefault="009A5268">
      <w:pPr>
        <w:rPr>
          <w:lang w:val="en-US"/>
        </w:rPr>
      </w:pPr>
      <w:r>
        <w:rPr>
          <w:lang w:val="en-US"/>
        </w:rPr>
        <w:t>Transmit power density can also be computed as:</w:t>
      </w:r>
    </w:p>
    <w:p w:rsidR="00B9359B" w:rsidRDefault="009A5268">
      <w:pPr>
        <w:pStyle w:val="Equation"/>
        <w:tabs>
          <w:tab w:val="clear" w:pos="794"/>
          <w:tab w:val="clear" w:pos="4820"/>
          <w:tab w:val="center" w:pos="0"/>
          <w:tab w:val="left" w:pos="2835"/>
        </w:tabs>
        <w:spacing w:before="240"/>
        <w:jc w:val="center"/>
        <w:rPr>
          <w:lang w:val="en-US"/>
        </w:rPr>
      </w:pPr>
      <w:r>
        <w:rPr>
          <w:lang w:val="en-US"/>
        </w:rPr>
        <w:tab/>
      </w:r>
      <w:r>
        <w:rPr>
          <w:position w:val="-16"/>
        </w:rPr>
        <w:object w:dxaOrig="4800" w:dyaOrig="400">
          <v:shape id="_x0000_i1027" type="#_x0000_t75" style="width:240.2pt;height:19.9pt" o:ole="">
            <v:imagedata r:id="rId10" o:title=""/>
          </v:shape>
          <o:OLEObject Type="Embed" ProgID="Equation.3" ShapeID="_x0000_i1027" DrawAspect="Content" ObjectID="_1629894552" r:id="rId11"/>
        </w:object>
      </w:r>
      <w:r>
        <w:rPr>
          <w:lang w:val="en-US"/>
        </w:rPr>
        <w:tab/>
        <w:t>(2)</w:t>
      </w:r>
    </w:p>
    <w:p w:rsidR="00B9359B" w:rsidRDefault="009A5268">
      <w:pPr>
        <w:rPr>
          <w:lang w:val="en-US"/>
        </w:rPr>
      </w:pPr>
      <w:r>
        <w:rPr>
          <w:lang w:val="en-US"/>
        </w:rPr>
        <w:t>where:</w:t>
      </w:r>
    </w:p>
    <w:p w:rsidR="00B9359B" w:rsidRDefault="009A5268">
      <w:pPr>
        <w:pStyle w:val="Equationlegend"/>
        <w:spacing w:before="0"/>
      </w:pPr>
      <w:r>
        <w:tab/>
      </w:r>
      <w:r>
        <w:rPr>
          <w:i/>
          <w:iCs/>
        </w:rPr>
        <w:t>p</w:t>
      </w:r>
      <w:r>
        <w:rPr>
          <w:i/>
          <w:iCs/>
          <w:vertAlign w:val="subscript"/>
        </w:rPr>
        <w:t>t</w:t>
      </w:r>
      <w:r>
        <w:rPr>
          <w:rFonts w:ascii="Tms Rmn" w:hAnsi="Tms Rmn"/>
          <w:sz w:val="12"/>
        </w:rPr>
        <w:t> </w:t>
      </w:r>
      <w:r>
        <w:t>:</w:t>
      </w:r>
      <w:r>
        <w:tab/>
        <w:t>transmission amplifier maximum rated power (W)</w:t>
      </w:r>
    </w:p>
    <w:p w:rsidR="00B9359B" w:rsidRDefault="009A5268">
      <w:pPr>
        <w:pStyle w:val="Equationlegend"/>
      </w:pPr>
      <w:r>
        <w:tab/>
      </w:r>
      <w:r>
        <w:rPr>
          <w:i/>
          <w:iCs/>
        </w:rPr>
        <w:t>OBO</w:t>
      </w:r>
      <w:r>
        <w:rPr>
          <w:rFonts w:ascii="Tms Rmn" w:hAnsi="Tms Rmn"/>
          <w:sz w:val="12"/>
        </w:rPr>
        <w:t> </w:t>
      </w:r>
      <w:r>
        <w:t>:</w:t>
      </w:r>
      <w:r>
        <w:tab/>
        <w:t>output back off (dB)</w:t>
      </w:r>
    </w:p>
    <w:p w:rsidR="00B9359B" w:rsidRDefault="009A5268">
      <w:pPr>
        <w:pStyle w:val="Equationlegend"/>
      </w:pPr>
      <w:r>
        <w:tab/>
      </w:r>
      <w:r>
        <w:rPr>
          <w:i/>
          <w:iCs/>
        </w:rPr>
        <w:t>BW</w:t>
      </w:r>
      <w:r>
        <w:rPr>
          <w:i/>
          <w:iCs/>
          <w:vertAlign w:val="subscript"/>
        </w:rPr>
        <w:t>nb</w:t>
      </w:r>
      <w:r>
        <w:rPr>
          <w:rFonts w:ascii="Tms Rmn" w:hAnsi="Tms Rmn"/>
          <w:sz w:val="12"/>
        </w:rPr>
        <w:t> </w:t>
      </w:r>
      <w:r>
        <w:t>:</w:t>
      </w:r>
      <w:r>
        <w:tab/>
        <w:t>necessary bandwidth (Hz)</w:t>
      </w:r>
    </w:p>
    <w:p w:rsidR="00B9359B" w:rsidRDefault="009A5268">
      <w:pPr>
        <w:pStyle w:val="Equationlegend"/>
      </w:pPr>
      <w:r>
        <w:tab/>
      </w:r>
      <w:r>
        <w:rPr>
          <w:i/>
          <w:iCs/>
        </w:rPr>
        <w:t>L</w:t>
      </w:r>
      <w:r>
        <w:rPr>
          <w:i/>
          <w:iCs/>
          <w:vertAlign w:val="subscript"/>
        </w:rPr>
        <w:t>c</w:t>
      </w:r>
      <w:r>
        <w:rPr>
          <w:rFonts w:ascii="Tms Rmn" w:hAnsi="Tms Rmn"/>
          <w:sz w:val="12"/>
        </w:rPr>
        <w:t> </w:t>
      </w:r>
      <w:r>
        <w:t>:</w:t>
      </w:r>
      <w:r>
        <w:tab/>
        <w:t>circuit loss between the transmission amplifier and transmission antenna (dB).</w:t>
      </w:r>
    </w:p>
    <w:p w:rsidR="00B9359B" w:rsidRDefault="009A5268">
      <w:pPr>
        <w:rPr>
          <w:lang w:val="en-US"/>
        </w:rPr>
      </w:pPr>
      <w:r>
        <w:rPr>
          <w:lang w:val="en-US"/>
        </w:rPr>
        <w:t xml:space="preserve">It should be noted in equation (2) that the transmit power density is assumed to be uniformly distributed over the necessary bandwidth. If this assumption is erroneous, a correction can be introduced by appropriately modifying the bandwidth. </w:t>
      </w:r>
    </w:p>
    <w:p w:rsidR="00B9359B" w:rsidRDefault="009A5268">
      <w:pPr>
        <w:pStyle w:val="Heading3"/>
        <w:rPr>
          <w:lang w:val="en-US"/>
        </w:rPr>
      </w:pPr>
      <w:bookmarkStart w:id="12" w:name="_Toc51045413"/>
      <w:r>
        <w:rPr>
          <w:lang w:val="en-US"/>
        </w:rPr>
        <w:t>2.5.2</w:t>
      </w:r>
      <w:r>
        <w:rPr>
          <w:lang w:val="en-US"/>
        </w:rPr>
        <w:tab/>
        <w:t>In-band satellite transmitted power level based on RR Table 21-4</w:t>
      </w:r>
      <w:bookmarkEnd w:id="12"/>
    </w:p>
    <w:p w:rsidR="00B9359B" w:rsidRDefault="009A5268">
      <w:pPr>
        <w:rPr>
          <w:lang w:val="en-US"/>
        </w:rPr>
      </w:pPr>
      <w:r>
        <w:rPr>
          <w:lang w:val="en-US"/>
        </w:rPr>
        <w:t>To derive the transmit power density from the pfd limits, then:</w:t>
      </w:r>
    </w:p>
    <w:p w:rsidR="00B9359B" w:rsidRDefault="009A5268">
      <w:pPr>
        <w:pStyle w:val="Equation"/>
        <w:rPr>
          <w:lang w:val="en-US"/>
        </w:rPr>
      </w:pPr>
      <w:r>
        <w:rPr>
          <w:lang w:val="en-US"/>
        </w:rPr>
        <w:tab/>
      </w:r>
      <w:r>
        <w:rPr>
          <w:lang w:val="en-US"/>
        </w:rPr>
        <w:tab/>
      </w:r>
      <w:r>
        <w:rPr>
          <w:position w:val="-16"/>
        </w:rPr>
        <w:object w:dxaOrig="3920" w:dyaOrig="480">
          <v:shape id="_x0000_i1028" type="#_x0000_t75" style="width:196.1pt;height:24.2pt" o:ole="">
            <v:imagedata r:id="rId12" o:title=""/>
          </v:shape>
          <o:OLEObject Type="Embed" ProgID="Equation.3" ShapeID="_x0000_i1028" DrawAspect="Content" ObjectID="_1629894553" r:id="rId13"/>
        </w:object>
      </w:r>
      <w:r>
        <w:rPr>
          <w:lang w:val="en-US"/>
        </w:rPr>
        <w:tab/>
        <w:t>(3)</w:t>
      </w:r>
    </w:p>
    <w:p w:rsidR="00B9359B" w:rsidRDefault="009A5268">
      <w:pPr>
        <w:rPr>
          <w:lang w:val="en-US"/>
        </w:rPr>
      </w:pPr>
      <w:r>
        <w:rPr>
          <w:lang w:val="en-US"/>
        </w:rPr>
        <w:t>where:</w:t>
      </w:r>
    </w:p>
    <w:p w:rsidR="00B9359B" w:rsidRDefault="009A5268">
      <w:pPr>
        <w:pStyle w:val="Equationlegend"/>
        <w:spacing w:before="0"/>
      </w:pPr>
      <w:r>
        <w:rPr>
          <w:i/>
        </w:rPr>
        <w:tab/>
        <w:t>pfd</w:t>
      </w:r>
      <w:r>
        <w:rPr>
          <w:rFonts w:ascii="Tms Rmn" w:hAnsi="Tms Rmn"/>
          <w:iCs/>
          <w:sz w:val="12"/>
        </w:rPr>
        <w:t> </w:t>
      </w:r>
      <w:r>
        <w:t>:</w:t>
      </w:r>
      <w:r>
        <w:tab/>
        <w:t>downlink power flux-density (dB(W/(m</w:t>
      </w:r>
      <w:r>
        <w:rPr>
          <w:vertAlign w:val="superscript"/>
        </w:rPr>
        <w:t>2</w:t>
      </w:r>
      <w:r>
        <w:t> </w:t>
      </w:r>
      <w:r>
        <w:rPr>
          <w:rFonts w:ascii="Symbol" w:hAnsi="Symbol"/>
          <w:lang w:val="fr-FR"/>
        </w:rPr>
        <w:t></w:t>
      </w:r>
      <w:r>
        <w:t> MHz)))</w:t>
      </w:r>
    </w:p>
    <w:p w:rsidR="00B9359B" w:rsidRDefault="009A5268">
      <w:pPr>
        <w:pStyle w:val="Equationlegend"/>
      </w:pPr>
      <w:r>
        <w:rPr>
          <w:i/>
        </w:rPr>
        <w:tab/>
        <w:t>d</w:t>
      </w:r>
      <w:r>
        <w:rPr>
          <w:rFonts w:ascii="Tms Rmn" w:hAnsi="Tms Rmn"/>
          <w:iCs/>
          <w:sz w:val="12"/>
        </w:rPr>
        <w:t> </w:t>
      </w:r>
      <w:r>
        <w:t>:</w:t>
      </w:r>
      <w:r>
        <w:tab/>
        <w:t>slant path, from satellite to earth station (km)</w:t>
      </w:r>
    </w:p>
    <w:p w:rsidR="00B9359B" w:rsidRDefault="009A5268">
      <w:pPr>
        <w:pStyle w:val="Equationlegend"/>
      </w:pPr>
      <w:r>
        <w:rPr>
          <w:i/>
        </w:rPr>
        <w:tab/>
        <w:t>G</w:t>
      </w:r>
      <w:r>
        <w:rPr>
          <w:i/>
          <w:vertAlign w:val="subscript"/>
        </w:rPr>
        <w:t>t</w:t>
      </w:r>
      <w:r>
        <w:rPr>
          <w:rFonts w:ascii="Tms Rmn" w:hAnsi="Tms Rmn"/>
          <w:iCs/>
          <w:sz w:val="12"/>
        </w:rPr>
        <w:t> </w:t>
      </w:r>
      <w:r>
        <w:rPr>
          <w:bCs/>
        </w:rPr>
        <w:t>:</w:t>
      </w:r>
      <w:r>
        <w:rPr>
          <w:b/>
        </w:rPr>
        <w:tab/>
      </w:r>
      <w:r>
        <w:t>transmission antenna gain (dBi)</w:t>
      </w:r>
    </w:p>
    <w:p w:rsidR="00B9359B" w:rsidRDefault="009A5268">
      <w:pPr>
        <w:pStyle w:val="Equationlegend"/>
      </w:pPr>
      <w:r>
        <w:rPr>
          <w:i/>
        </w:rPr>
        <w:tab/>
        <w:t>L</w:t>
      </w:r>
      <w:r>
        <w:rPr>
          <w:i/>
          <w:vertAlign w:val="subscript"/>
        </w:rPr>
        <w:t>c</w:t>
      </w:r>
      <w:r>
        <w:rPr>
          <w:rFonts w:ascii="Tms Rmn" w:hAnsi="Tms Rmn"/>
          <w:iCs/>
          <w:sz w:val="12"/>
        </w:rPr>
        <w:t> </w:t>
      </w:r>
      <w:r>
        <w:t>:</w:t>
      </w:r>
      <w:r>
        <w:tab/>
        <w:t>circuit loss between the transmission amplifier and transmission antenna (dB).</w:t>
      </w:r>
    </w:p>
    <w:p w:rsidR="00B9359B" w:rsidRDefault="009A5268">
      <w:pPr>
        <w:rPr>
          <w:lang w:val="en-US"/>
        </w:rPr>
      </w:pPr>
      <w:r>
        <w:rPr>
          <w:lang w:val="en-US"/>
        </w:rPr>
        <w:t>If these values are used, the result will yield the highest possible transmitter emission level, which is in many cases unrealistic. This is because various factors such as the actual transmit antenna roll-off and spectral waveforms are not taken into the consideration. In making the above calculations, it should be kept in mind that the transmit antenna gain depends on each system and its applications. Typically, the satellite transmit antenna gain varies as follows:</w:t>
      </w:r>
    </w:p>
    <w:p w:rsidR="00B9359B" w:rsidRDefault="009A5268">
      <w:pPr>
        <w:pStyle w:val="enumlev1"/>
        <w:rPr>
          <w:lang w:val="en-US"/>
        </w:rPr>
      </w:pPr>
      <w:r>
        <w:sym w:font="Symbol" w:char="F02D"/>
      </w:r>
      <w:r>
        <w:rPr>
          <w:lang w:val="en-US"/>
        </w:rPr>
        <w:tab/>
        <w:t>for non-GSO MSS systems the gain varies over a range from 17 dBi to 31 dBi depending on the satellite altitudes, elevation angles;</w:t>
      </w:r>
    </w:p>
    <w:p w:rsidR="00B9359B" w:rsidRDefault="009A5268">
      <w:pPr>
        <w:pStyle w:val="enumlev1"/>
        <w:rPr>
          <w:lang w:val="en-US"/>
        </w:rPr>
      </w:pPr>
      <w:r>
        <w:sym w:font="Symbol" w:char="F02D"/>
      </w:r>
      <w:r>
        <w:rPr>
          <w:lang w:val="en-US"/>
        </w:rPr>
        <w:tab/>
        <w:t>for GSO MSS systems the gain varies over the range from 41 dBi to 45 dBi;</w:t>
      </w:r>
    </w:p>
    <w:p w:rsidR="00B9359B" w:rsidRDefault="009A5268">
      <w:pPr>
        <w:pStyle w:val="enumlev1"/>
        <w:rPr>
          <w:lang w:val="en-US"/>
        </w:rPr>
      </w:pPr>
      <w:r>
        <w:sym w:font="Symbol" w:char="F02D"/>
      </w:r>
      <w:r>
        <w:rPr>
          <w:lang w:val="en-US"/>
        </w:rPr>
        <w:tab/>
        <w:t>for FSS satellite antenna gain of existing 4/6 GHz and 12/14 GHz, the gain varies in a range from 20 dBi to 42 dBi. However, the antenna gain of the future 4/6 GHz and 12/14 GHz satellite systems may be significantly higher than those of the existing systems; and</w:t>
      </w:r>
    </w:p>
    <w:p w:rsidR="00B9359B" w:rsidRDefault="009A5268">
      <w:pPr>
        <w:pStyle w:val="enumlev1"/>
        <w:rPr>
          <w:lang w:val="en-US"/>
        </w:rPr>
      </w:pPr>
      <w:r w:rsidRPr="0027724D">
        <w:rPr>
          <w:lang w:val="en-US"/>
        </w:rPr>
        <w:br w:type="page"/>
      </w:r>
      <w:r>
        <w:sym w:font="Symbol" w:char="F02D"/>
      </w:r>
      <w:r>
        <w:rPr>
          <w:lang w:val="en-US"/>
        </w:rPr>
        <w:tab/>
        <w:t>for FSS satellite systems in the 20/30 GHz and 40/50 GHz bands, the satellite transmit antenna gain is in a range from 44 dBi to 60 dBi.</w:t>
      </w:r>
    </w:p>
    <w:p w:rsidR="00B9359B" w:rsidRDefault="009A5268">
      <w:pPr>
        <w:pStyle w:val="Heading3"/>
        <w:rPr>
          <w:lang w:val="en-US"/>
        </w:rPr>
      </w:pPr>
      <w:bookmarkStart w:id="13" w:name="_Toc51045414"/>
      <w:r>
        <w:rPr>
          <w:lang w:val="en-US"/>
        </w:rPr>
        <w:t>2.5.3</w:t>
      </w:r>
      <w:r>
        <w:rPr>
          <w:lang w:val="en-US"/>
        </w:rPr>
        <w:tab/>
        <w:t>Power density based on total space station RF power</w:t>
      </w:r>
      <w:bookmarkEnd w:id="13"/>
      <w:r>
        <w:rPr>
          <w:lang w:val="en-US"/>
        </w:rPr>
        <w:t xml:space="preserve"> </w:t>
      </w:r>
    </w:p>
    <w:p w:rsidR="00B9359B" w:rsidRDefault="009A5268">
      <w:pPr>
        <w:rPr>
          <w:lang w:val="en-US"/>
        </w:rPr>
      </w:pPr>
      <w:r>
        <w:rPr>
          <w:lang w:val="en-US"/>
        </w:rPr>
        <w:t>Calculating the transmit e.i.r.p. density depends on a satellite total transmit RF power, circuits loss between a transmit power amplifier and transmit antenna, transmit antenna gain, frequency re-use scheme, assigned bandwidth, number of beams, etc. The average transmits e.i.r.p. density can be computed as:</w:t>
      </w:r>
    </w:p>
    <w:p w:rsidR="00B9359B" w:rsidRDefault="009A5268">
      <w:pPr>
        <w:pStyle w:val="Equation"/>
        <w:rPr>
          <w:lang w:val="en-US"/>
        </w:rPr>
      </w:pPr>
      <w:r>
        <w:rPr>
          <w:lang w:val="en-US"/>
        </w:rPr>
        <w:tab/>
      </w:r>
      <w:r>
        <w:rPr>
          <w:lang w:val="en-US"/>
        </w:rPr>
        <w:tab/>
      </w:r>
      <w:r>
        <w:rPr>
          <w:position w:val="-36"/>
        </w:rPr>
        <w:object w:dxaOrig="6300" w:dyaOrig="840">
          <v:shape id="_x0000_i1029" type="#_x0000_t75" style="width:315.4pt;height:41.9pt" o:ole="">
            <v:imagedata r:id="rId14" o:title=""/>
          </v:shape>
          <o:OLEObject Type="Embed" ProgID="Equation.3" ShapeID="_x0000_i1029" DrawAspect="Content" ObjectID="_1629894554" r:id="rId15"/>
        </w:object>
      </w:r>
      <w:r>
        <w:rPr>
          <w:lang w:val="en-US"/>
        </w:rPr>
        <w:tab/>
        <w:t>(4)</w:t>
      </w:r>
    </w:p>
    <w:p w:rsidR="00B9359B" w:rsidRDefault="009A5268">
      <w:pPr>
        <w:rPr>
          <w:lang w:val="en-US"/>
        </w:rPr>
      </w:pPr>
      <w:r>
        <w:rPr>
          <w:lang w:val="en-US"/>
        </w:rPr>
        <w:t>where:</w:t>
      </w:r>
    </w:p>
    <w:p w:rsidR="00B9359B" w:rsidRDefault="009A5268">
      <w:pPr>
        <w:pStyle w:val="Equationlegend"/>
      </w:pPr>
      <w:r>
        <w:rPr>
          <w:b/>
        </w:rPr>
        <w:tab/>
      </w:r>
      <w:r>
        <w:rPr>
          <w:i/>
        </w:rPr>
        <w:t>p</w:t>
      </w:r>
      <w:r>
        <w:rPr>
          <w:i/>
          <w:vertAlign w:val="subscript"/>
        </w:rPr>
        <w:t>total</w:t>
      </w:r>
      <w:r>
        <w:rPr>
          <w:rFonts w:ascii="Tms Rmn" w:hAnsi="Tms Rmn"/>
          <w:iCs/>
          <w:sz w:val="12"/>
        </w:rPr>
        <w:t> </w:t>
      </w:r>
      <w:r>
        <w:t>:</w:t>
      </w:r>
      <w:r>
        <w:tab/>
        <w:t>total RF transmit power (W)</w:t>
      </w:r>
    </w:p>
    <w:p w:rsidR="00B9359B" w:rsidRDefault="009A5268">
      <w:pPr>
        <w:pStyle w:val="Equationlegend"/>
      </w:pPr>
      <w:r>
        <w:tab/>
      </w:r>
      <w:r>
        <w:rPr>
          <w:i/>
        </w:rPr>
        <w:t>N</w:t>
      </w:r>
      <w:r>
        <w:rPr>
          <w:i/>
          <w:iCs/>
          <w:vertAlign w:val="subscript"/>
        </w:rPr>
        <w:t>beam</w:t>
      </w:r>
      <w:r>
        <w:rPr>
          <w:rFonts w:ascii="Tms Rmn" w:hAnsi="Tms Rmn"/>
          <w:iCs/>
          <w:sz w:val="12"/>
        </w:rPr>
        <w:t> </w:t>
      </w:r>
      <w:r>
        <w:t>:</w:t>
      </w:r>
      <w:r>
        <w:tab/>
        <w:t>number of beams</w:t>
      </w:r>
    </w:p>
    <w:p w:rsidR="00B9359B" w:rsidRDefault="009A5268">
      <w:pPr>
        <w:pStyle w:val="Equationlegend"/>
        <w:jc w:val="left"/>
      </w:pPr>
      <w:r>
        <w:tab/>
      </w:r>
      <w:r>
        <w:rPr>
          <w:i/>
        </w:rPr>
        <w:t>BW</w:t>
      </w:r>
      <w:r>
        <w:rPr>
          <w:i/>
          <w:iCs/>
          <w:vertAlign w:val="subscript"/>
        </w:rPr>
        <w:t>as</w:t>
      </w:r>
      <w:r>
        <w:rPr>
          <w:rFonts w:ascii="Tms Rmn" w:hAnsi="Tms Rmn"/>
          <w:iCs/>
          <w:sz w:val="12"/>
        </w:rPr>
        <w:t> </w:t>
      </w:r>
      <w:r>
        <w:t>:</w:t>
      </w:r>
      <w:r>
        <w:tab/>
        <w:t>assigned bandwidth (Hz)</w:t>
      </w:r>
    </w:p>
    <w:p w:rsidR="00B9359B" w:rsidRDefault="009A5268">
      <w:pPr>
        <w:pStyle w:val="Equationlegend"/>
        <w:spacing w:before="0"/>
      </w:pPr>
      <w:r>
        <w:tab/>
      </w:r>
      <w:r>
        <w:tab/>
        <w:t>For example: 500 MHz for 4/6 GHz-band; 1</w:t>
      </w:r>
      <w:r>
        <w:rPr>
          <w:rFonts w:ascii="Tms Rmn" w:hAnsi="Tms Rmn"/>
          <w:sz w:val="12"/>
        </w:rPr>
        <w:t> </w:t>
      </w:r>
      <w:r>
        <w:t>000 MHz for 12/14 GHz-band, etc.</w:t>
      </w:r>
    </w:p>
    <w:p w:rsidR="00B9359B" w:rsidRDefault="009A5268">
      <w:pPr>
        <w:pStyle w:val="Equationlegend"/>
      </w:pPr>
      <w:r>
        <w:tab/>
      </w:r>
      <w:r>
        <w:rPr>
          <w:i/>
        </w:rPr>
        <w:t>N</w:t>
      </w:r>
      <w:r>
        <w:rPr>
          <w:i/>
          <w:iCs/>
          <w:vertAlign w:val="subscript"/>
        </w:rPr>
        <w:t>freq</w:t>
      </w:r>
      <w:r>
        <w:rPr>
          <w:rFonts w:ascii="Tms Rmn" w:hAnsi="Tms Rmn"/>
          <w:iCs/>
          <w:sz w:val="12"/>
        </w:rPr>
        <w:t> </w:t>
      </w:r>
      <w:r>
        <w:t>:</w:t>
      </w:r>
      <w:r>
        <w:tab/>
        <w:t>frequency re-use scheme</w:t>
      </w:r>
    </w:p>
    <w:p w:rsidR="00B9359B" w:rsidRDefault="009A5268">
      <w:pPr>
        <w:pStyle w:val="Equationlegend"/>
      </w:pPr>
      <w:r>
        <w:tab/>
      </w:r>
      <w:r>
        <w:rPr>
          <w:i/>
        </w:rPr>
        <w:t>OBO</w:t>
      </w:r>
      <w:r>
        <w:rPr>
          <w:rFonts w:ascii="Tms Rmn" w:hAnsi="Tms Rmn"/>
          <w:iCs/>
          <w:sz w:val="12"/>
        </w:rPr>
        <w:t> </w:t>
      </w:r>
      <w:r>
        <w:t>:</w:t>
      </w:r>
      <w:r>
        <w:tab/>
        <w:t>output back off (dB).</w:t>
      </w:r>
    </w:p>
    <w:p w:rsidR="00B9359B" w:rsidRDefault="009A5268">
      <w:pPr>
        <w:pStyle w:val="Heading3"/>
        <w:rPr>
          <w:lang w:val="en-US"/>
        </w:rPr>
      </w:pPr>
      <w:bookmarkStart w:id="14" w:name="_Toc51045415"/>
      <w:r>
        <w:rPr>
          <w:lang w:val="en-US"/>
        </w:rPr>
        <w:t>2.5.4</w:t>
      </w:r>
      <w:r>
        <w:rPr>
          <w:lang w:val="en-US"/>
        </w:rPr>
        <w:tab/>
        <w:t>Power density based on ITU satellite filings</w:t>
      </w:r>
      <w:bookmarkEnd w:id="14"/>
    </w:p>
    <w:p w:rsidR="00B9359B" w:rsidRDefault="009A5268">
      <w:pPr>
        <w:rPr>
          <w:lang w:val="en-US"/>
        </w:rPr>
      </w:pPr>
      <w:r>
        <w:rPr>
          <w:lang w:val="en-US"/>
        </w:rPr>
        <w:t>The satellite transmit power density can be obtained directly from RR Appendix 4 filings.</w:t>
      </w:r>
    </w:p>
    <w:p w:rsidR="00B9359B" w:rsidRDefault="009A5268">
      <w:pPr>
        <w:pStyle w:val="Heading2"/>
        <w:rPr>
          <w:lang w:val="en-US"/>
        </w:rPr>
      </w:pPr>
      <w:bookmarkStart w:id="15" w:name="_Toc511466299"/>
      <w:bookmarkStart w:id="16" w:name="_Toc511466439"/>
      <w:bookmarkStart w:id="17" w:name="_Toc51045416"/>
      <w:r>
        <w:rPr>
          <w:lang w:val="en-US"/>
        </w:rPr>
        <w:t>2.6</w:t>
      </w:r>
      <w:r>
        <w:rPr>
          <w:lang w:val="en-US"/>
        </w:rPr>
        <w:tab/>
        <w:t>Box (ii): Interference power</w:t>
      </w:r>
      <w:bookmarkEnd w:id="15"/>
      <w:bookmarkEnd w:id="16"/>
      <w:bookmarkEnd w:id="17"/>
    </w:p>
    <w:p w:rsidR="00B9359B" w:rsidRDefault="009A5268">
      <w:pPr>
        <w:rPr>
          <w:lang w:val="en-US"/>
        </w:rPr>
      </w:pPr>
      <w:r>
        <w:rPr>
          <w:lang w:val="en-US"/>
        </w:rPr>
        <w:t>The aim of this step is to derive the level of unwanted emission received by the passive service based on the in-band pfd determined in box (i). How this is assessed will vary depending on the characteristics of the transmitting service and those of the passive service receiving the interference. The potential interference to the passive service due to the unwanted emissions of the active service systems could be computed based on the following:</w:t>
      </w:r>
    </w:p>
    <w:p w:rsidR="00B9359B" w:rsidRDefault="009A5268">
      <w:pPr>
        <w:pStyle w:val="Equation"/>
        <w:rPr>
          <w:lang w:val="en-US"/>
        </w:rPr>
      </w:pPr>
      <w:r>
        <w:rPr>
          <w:lang w:val="en-US"/>
        </w:rPr>
        <w:tab/>
      </w:r>
      <w:r>
        <w:rPr>
          <w:lang w:val="en-US"/>
        </w:rPr>
        <w:tab/>
      </w:r>
      <w:r>
        <w:rPr>
          <w:position w:val="-16"/>
        </w:rPr>
        <w:object w:dxaOrig="5220" w:dyaOrig="400">
          <v:shape id="_x0000_i1030" type="#_x0000_t75" style="width:261.15pt;height:19.9pt" o:ole="">
            <v:imagedata r:id="rId16" o:title=""/>
          </v:shape>
          <o:OLEObject Type="Embed" ProgID="Equation.3" ShapeID="_x0000_i1030" DrawAspect="Content" ObjectID="_1629894555" r:id="rId17"/>
        </w:object>
      </w:r>
      <w:r>
        <w:rPr>
          <w:lang w:val="en-US"/>
        </w:rPr>
        <w:tab/>
        <w:t>(5)</w:t>
      </w:r>
    </w:p>
    <w:p w:rsidR="00B9359B" w:rsidRDefault="009A5268">
      <w:pPr>
        <w:rPr>
          <w:lang w:val="en-US"/>
        </w:rPr>
      </w:pPr>
      <w:r>
        <w:rPr>
          <w:lang w:val="en-US"/>
        </w:rPr>
        <w:t>where:</w:t>
      </w:r>
    </w:p>
    <w:p w:rsidR="00B9359B" w:rsidRDefault="009A5268">
      <w:pPr>
        <w:pStyle w:val="Equationlegend"/>
      </w:pPr>
      <w:r>
        <w:tab/>
      </w:r>
      <w:r>
        <w:rPr>
          <w:i/>
        </w:rPr>
        <w:t>pfd</w:t>
      </w:r>
      <w:r>
        <w:rPr>
          <w:i/>
          <w:sz w:val="28"/>
          <w:vertAlign w:val="subscript"/>
        </w:rPr>
        <w:t>(</w:t>
      </w:r>
      <w:r>
        <w:rPr>
          <w:i/>
          <w:vertAlign w:val="subscript"/>
        </w:rPr>
        <w:t>unwanted emissions)</w:t>
      </w:r>
      <w:r>
        <w:rPr>
          <w:rFonts w:ascii="Tms Rmn" w:hAnsi="Tms Rmn"/>
          <w:iCs/>
          <w:sz w:val="12"/>
        </w:rPr>
        <w:t> </w:t>
      </w:r>
      <w:r>
        <w:t>:</w:t>
      </w:r>
      <w:r>
        <w:rPr>
          <w:vertAlign w:val="subscript"/>
        </w:rPr>
        <w:tab/>
      </w:r>
      <w:r>
        <w:t>power flux-density level at the RAS receive sites</w:t>
      </w:r>
    </w:p>
    <w:p w:rsidR="00B9359B" w:rsidRDefault="009A5268">
      <w:pPr>
        <w:pStyle w:val="Equationlegend"/>
        <w:tabs>
          <w:tab w:val="clear" w:pos="1701"/>
          <w:tab w:val="left" w:pos="454"/>
          <w:tab w:val="left" w:pos="510"/>
          <w:tab w:val="left" w:pos="540"/>
          <w:tab w:val="left" w:pos="720"/>
          <w:tab w:val="left" w:pos="900"/>
          <w:tab w:val="left" w:pos="1440"/>
        </w:tabs>
      </w:pPr>
      <w:r>
        <w:rPr>
          <w:i/>
        </w:rPr>
        <w:tab/>
        <w:t>pfd</w:t>
      </w:r>
      <w:r>
        <w:rPr>
          <w:i/>
          <w:iCs/>
          <w:vertAlign w:val="subscript"/>
        </w:rPr>
        <w:t>in-band_active</w:t>
      </w:r>
      <w:r>
        <w:rPr>
          <w:rFonts w:ascii="Tms Rmn" w:hAnsi="Tms Rmn"/>
          <w:sz w:val="12"/>
        </w:rPr>
        <w:t> </w:t>
      </w:r>
      <w:r>
        <w:t>:</w:t>
      </w:r>
      <w:r>
        <w:tab/>
        <w:t>in band pfd levels of the active service systems. The maximum allowable pfd limits shown in RR Table 21-4 may be used in the calculation. In some cases, there are no downlink pfd limits, and the maximum downlink pfd limits of the active system may be used</w:t>
      </w:r>
    </w:p>
    <w:p w:rsidR="00B9359B" w:rsidRDefault="009A5268">
      <w:pPr>
        <w:pStyle w:val="Equationlegend"/>
        <w:tabs>
          <w:tab w:val="clear" w:pos="1701"/>
          <w:tab w:val="left" w:pos="1276"/>
        </w:tabs>
      </w:pPr>
      <w:r>
        <w:tab/>
      </w:r>
      <w:r>
        <w:rPr>
          <w:i/>
        </w:rPr>
        <w:t>OoB</w:t>
      </w:r>
      <w:r>
        <w:rPr>
          <w:rFonts w:ascii="Tms Rmn" w:hAnsi="Tms Rmn"/>
          <w:iCs/>
          <w:sz w:val="12"/>
        </w:rPr>
        <w:t> </w:t>
      </w:r>
      <w:r>
        <w:t>:</w:t>
      </w:r>
      <w:r>
        <w:tab/>
        <w:t xml:space="preserve">out-of-band rejection mask (for example, based on Recommendation </w:t>
      </w:r>
      <w:r>
        <w:rPr>
          <w:rFonts w:ascii="Times" w:hAnsi="Times"/>
        </w:rPr>
        <w:t>ITU</w:t>
      </w:r>
      <w:r>
        <w:rPr>
          <w:rFonts w:ascii="Times" w:hAnsi="Times"/>
        </w:rPr>
        <w:noBreakHyphen/>
        <w:t>R SM.1541)</w:t>
      </w:r>
    </w:p>
    <w:p w:rsidR="00B9359B" w:rsidRDefault="009A5268">
      <w:pPr>
        <w:pStyle w:val="Equationlegend"/>
        <w:tabs>
          <w:tab w:val="clear" w:pos="1701"/>
          <w:tab w:val="left" w:pos="900"/>
          <w:tab w:val="left" w:pos="1260"/>
          <w:tab w:val="right" w:pos="1800"/>
        </w:tabs>
        <w:rPr>
          <w:rFonts w:ascii="Times" w:hAnsi="Times"/>
        </w:rPr>
      </w:pPr>
      <w:r>
        <w:tab/>
      </w:r>
      <w:r>
        <w:tab/>
      </w:r>
      <w:r>
        <w:tab/>
      </w:r>
      <w:r>
        <w:rPr>
          <w:i/>
        </w:rPr>
        <w:t>L</w:t>
      </w:r>
      <w:r>
        <w:rPr>
          <w:rFonts w:ascii="Tms Rmn" w:hAnsi="Tms Rmn"/>
          <w:iCs/>
          <w:sz w:val="12"/>
        </w:rPr>
        <w:t> </w:t>
      </w:r>
      <w:r>
        <w:t>:</w:t>
      </w:r>
      <w:r>
        <w:tab/>
        <w:t>the attenuation by atmospheric gases and scintillation loss (Recommendation ITU</w:t>
      </w:r>
      <w:r>
        <w:noBreakHyphen/>
        <w:t xml:space="preserve">R P.676 </w:t>
      </w:r>
      <w:r>
        <w:sym w:font="Symbol" w:char="F02D"/>
      </w:r>
      <w:r>
        <w:t xml:space="preserve"> Attenuation by atmospheric gases).</w:t>
      </w:r>
    </w:p>
    <w:p w:rsidR="00B9359B" w:rsidRDefault="009A5268">
      <w:pPr>
        <w:rPr>
          <w:lang w:val="en-US"/>
        </w:rPr>
      </w:pPr>
      <w:r>
        <w:rPr>
          <w:lang w:val="en-US"/>
        </w:rPr>
        <w:br w:type="page"/>
        <w:t>RR No. 1.153 and Recommendation ITU-R SM.1541 suggest methods for determining active services emissions within the OoB domain. In applying Recommendation ITU-R SM.1541, the  range of the OoB domain is determined through the application of Recommendation ITU</w:t>
      </w:r>
      <w:r>
        <w:rPr>
          <w:lang w:val="en-US"/>
        </w:rPr>
        <w:noBreakHyphen/>
        <w:t>R  SM.1539. Recommendation ITU-R SM.329 is used to derive levels of unwanted emissions from active services that occur in the spurious domain.</w:t>
      </w:r>
    </w:p>
    <w:p w:rsidR="00B9359B" w:rsidRDefault="009A5268">
      <w:pPr>
        <w:pStyle w:val="Heading3"/>
        <w:rPr>
          <w:lang w:val="en-US"/>
        </w:rPr>
      </w:pPr>
      <w:bookmarkStart w:id="18" w:name="_Toc51045417"/>
      <w:r>
        <w:rPr>
          <w:lang w:val="en-US"/>
        </w:rPr>
        <w:t>2.6.1</w:t>
      </w:r>
      <w:r>
        <w:rPr>
          <w:lang w:val="en-US"/>
        </w:rPr>
        <w:tab/>
        <w:t>EESS receiver</w:t>
      </w:r>
      <w:bookmarkEnd w:id="18"/>
    </w:p>
    <w:p w:rsidR="00B9359B" w:rsidRDefault="009A5268">
      <w:pPr>
        <w:rPr>
          <w:lang w:val="en-US"/>
        </w:rPr>
      </w:pPr>
      <w:r>
        <w:rPr>
          <w:lang w:val="en-US"/>
        </w:rPr>
        <w:t>The EESS is vulnerable to interference from terrestrial transmitters, including single high level transmitters and the aggregate emissions of densely deployed low power level transmitters. Space</w:t>
      </w:r>
      <w:r>
        <w:rPr>
          <w:lang w:val="en-US"/>
        </w:rPr>
        <w:softHyphen/>
        <w:t xml:space="preserve">borne transmitters could add to the energy received by the sensor via reflections off the Earth into the antenna main beam, or directly through the side or back of the antenna. </w:t>
      </w:r>
    </w:p>
    <w:p w:rsidR="00B9359B" w:rsidRDefault="009A5268">
      <w:pPr>
        <w:rPr>
          <w:lang w:val="en-US"/>
        </w:rPr>
      </w:pPr>
      <w:r>
        <w:rPr>
          <w:lang w:val="en-US"/>
        </w:rPr>
        <w:t>Inputs that are required to evaluate the resulting power from active systems at an EESS receiver, include:</w:t>
      </w:r>
    </w:p>
    <w:p w:rsidR="00B9359B" w:rsidRDefault="009A5268">
      <w:pPr>
        <w:pStyle w:val="enumlev1"/>
        <w:rPr>
          <w:lang w:val="en-US"/>
        </w:rPr>
      </w:pPr>
      <w:r>
        <w:sym w:font="Symbol" w:char="F02D"/>
      </w:r>
      <w:r>
        <w:rPr>
          <w:lang w:val="en-US"/>
        </w:rPr>
        <w:tab/>
        <w:t>the gain of the EESS system;</w:t>
      </w:r>
    </w:p>
    <w:p w:rsidR="00B9359B" w:rsidRDefault="009A5268">
      <w:pPr>
        <w:pStyle w:val="enumlev1"/>
        <w:rPr>
          <w:lang w:val="en-US"/>
        </w:rPr>
      </w:pPr>
      <w:r>
        <w:sym w:font="Symbol" w:char="F02D"/>
      </w:r>
      <w:r>
        <w:rPr>
          <w:lang w:val="en-US"/>
        </w:rPr>
        <w:tab/>
        <w:t>the pointing characteristics of the EESS system;</w:t>
      </w:r>
    </w:p>
    <w:p w:rsidR="00B9359B" w:rsidRDefault="009A5268">
      <w:pPr>
        <w:pStyle w:val="enumlev1"/>
        <w:rPr>
          <w:lang w:val="en-US"/>
        </w:rPr>
      </w:pPr>
      <w:r>
        <w:sym w:font="Symbol" w:char="F02D"/>
      </w:r>
      <w:r>
        <w:rPr>
          <w:lang w:val="en-US"/>
        </w:rPr>
        <w:tab/>
        <w:t>the altitude of the EESS system; and</w:t>
      </w:r>
    </w:p>
    <w:p w:rsidR="00B9359B" w:rsidRDefault="009A5268">
      <w:pPr>
        <w:pStyle w:val="enumlev1"/>
        <w:rPr>
          <w:lang w:val="en-US"/>
        </w:rPr>
      </w:pPr>
      <w:r>
        <w:sym w:font="Symbol" w:char="F02D"/>
      </w:r>
      <w:r>
        <w:rPr>
          <w:lang w:val="en-US"/>
        </w:rPr>
        <w:tab/>
        <w:t>the atmospheric absorption.</w:t>
      </w:r>
    </w:p>
    <w:p w:rsidR="00B9359B" w:rsidRDefault="009A5268">
      <w:pPr>
        <w:pStyle w:val="Heading4"/>
        <w:rPr>
          <w:lang w:val="en-US"/>
        </w:rPr>
      </w:pPr>
      <w:bookmarkStart w:id="19" w:name="_Toc51045418"/>
      <w:r>
        <w:rPr>
          <w:lang w:val="en-US"/>
        </w:rPr>
        <w:t>2.6.1.1</w:t>
      </w:r>
      <w:r>
        <w:rPr>
          <w:lang w:val="en-US"/>
        </w:rPr>
        <w:tab/>
        <w:t>Transmitter geographical density</w:t>
      </w:r>
      <w:bookmarkEnd w:id="19"/>
    </w:p>
    <w:p w:rsidR="00B9359B" w:rsidRDefault="009A5268">
      <w:pPr>
        <w:rPr>
          <w:lang w:val="en-US"/>
        </w:rPr>
      </w:pPr>
      <w:r>
        <w:rPr>
          <w:lang w:val="en-US"/>
        </w:rPr>
        <w:t>Systems deployed on the surface of the Earth are essentially stationary during the measurement period of the sensor. The interference potential increases when several transmitters appear in the main beam of the sensor antenna. The information required for the evaluation of the power received from active systems deployed within the EESS pixel is as follows:</w:t>
      </w:r>
    </w:p>
    <w:p w:rsidR="00B9359B" w:rsidRDefault="009A5268">
      <w:pPr>
        <w:pStyle w:val="enumlev1"/>
        <w:rPr>
          <w:lang w:val="en-US"/>
        </w:rPr>
      </w:pPr>
      <w:r>
        <w:sym w:font="Symbol" w:char="F02D"/>
      </w:r>
      <w:r>
        <w:rPr>
          <w:lang w:val="en-US"/>
        </w:rPr>
        <w:tab/>
        <w:t>the size of the EESS pixel;</w:t>
      </w:r>
    </w:p>
    <w:p w:rsidR="00B9359B" w:rsidRDefault="009A5268">
      <w:pPr>
        <w:pStyle w:val="enumlev1"/>
        <w:rPr>
          <w:lang w:val="en-US"/>
        </w:rPr>
      </w:pPr>
      <w:r>
        <w:sym w:font="Symbol" w:char="F02D"/>
      </w:r>
      <w:r>
        <w:rPr>
          <w:lang w:val="en-US"/>
        </w:rPr>
        <w:tab/>
        <w:t>the number of terminals to be deployed in the pixel size using the same frequency at the same time;</w:t>
      </w:r>
    </w:p>
    <w:p w:rsidR="00B9359B" w:rsidRDefault="009A5268">
      <w:pPr>
        <w:pStyle w:val="enumlev1"/>
        <w:rPr>
          <w:sz w:val="20"/>
          <w:lang w:val="en-US"/>
        </w:rPr>
      </w:pPr>
      <w:r>
        <w:sym w:font="Symbol" w:char="F02D"/>
      </w:r>
      <w:r>
        <w:rPr>
          <w:lang w:val="en-US"/>
        </w:rPr>
        <w:tab/>
        <w:t>an approximation of the gain of the terrestrial systems in the direction of the EESS satellite. Recommendation ITU-R F.1245 provides antenna pattern for FS P-P systems and Recom</w:t>
      </w:r>
      <w:r>
        <w:rPr>
          <w:lang w:val="en-US"/>
        </w:rPr>
        <w:softHyphen/>
        <w:t>mendation ITU-R F.1336 provides reference radiation patterns for point-to-multipoint (P</w:t>
      </w:r>
      <w:r>
        <w:rPr>
          <w:lang w:val="en-US"/>
        </w:rPr>
        <w:noBreakHyphen/>
        <w:t>MP) systems. Since FS terminals are pointing in direction close to the horizon, the probability to have a FS system pointing directly within the main beam of an EESS satellite antenna is very low. As a first step approach, the average gain of FS systems in the direction of the EESS satellite to be used in the calculation of the aggregate power received at the EESS satellite, may be approximated by taking for each of the FS terminals a gain which is the gain calculated for a 90</w:t>
      </w:r>
      <w:r>
        <w:rPr>
          <w:rFonts w:ascii="Symbol" w:hAnsi="Symbol"/>
          <w:lang w:val="en-US"/>
        </w:rPr>
        <w:t></w:t>
      </w:r>
      <w:r>
        <w:rPr>
          <w:lang w:val="en-US"/>
        </w:rPr>
        <w:t xml:space="preserve"> off</w:t>
      </w:r>
      <w:r>
        <w:rPr>
          <w:lang w:val="en-US"/>
        </w:rPr>
        <w:noBreakHyphen/>
        <w:t>axis angle.</w:t>
      </w:r>
    </w:p>
    <w:p w:rsidR="00B9359B" w:rsidRDefault="009A5268">
      <w:pPr>
        <w:rPr>
          <w:lang w:val="en-US"/>
        </w:rPr>
      </w:pPr>
      <w:r>
        <w:rPr>
          <w:lang w:val="en-US"/>
        </w:rPr>
        <w:t>In case of FS systems, the following parameters should be considered:</w:t>
      </w:r>
    </w:p>
    <w:p w:rsidR="00B9359B" w:rsidRDefault="009A5268">
      <w:pPr>
        <w:pStyle w:val="enumlev1"/>
        <w:rPr>
          <w:lang w:val="en-US"/>
        </w:rPr>
      </w:pPr>
      <w:r>
        <w:sym w:font="Symbol" w:char="F02D"/>
      </w:r>
      <w:r>
        <w:rPr>
          <w:lang w:val="en-US"/>
        </w:rPr>
        <w:tab/>
        <w:t>the channel arrangement (if available) as a first step approach(examine the “closest” channels to the EESS band);</w:t>
      </w:r>
    </w:p>
    <w:p w:rsidR="00B9359B" w:rsidRDefault="009A5268">
      <w:pPr>
        <w:pStyle w:val="enumlev1"/>
        <w:rPr>
          <w:lang w:val="en-US"/>
        </w:rPr>
      </w:pPr>
      <w:r>
        <w:sym w:font="Symbol" w:char="F02D"/>
      </w:r>
      <w:r>
        <w:rPr>
          <w:lang w:val="en-US"/>
        </w:rPr>
        <w:tab/>
        <w:t xml:space="preserve">Recommendation </w:t>
      </w:r>
      <w:r>
        <w:rPr>
          <w:bCs/>
          <w:lang w:val="en-US"/>
        </w:rPr>
        <w:t>ITU-R</w:t>
      </w:r>
      <w:r>
        <w:rPr>
          <w:lang w:val="en-US"/>
        </w:rPr>
        <w:t xml:space="preserve"> F.1191 states that for digital FS systems, the necessary bandwidth is to be considered to have the same value as the occupied bandwidth and that the FS power </w:t>
      </w:r>
      <w:r>
        <w:rPr>
          <w:lang w:val="en-US"/>
        </w:rPr>
        <w:br w:type="page"/>
        <w:t>outside the occupied bandwidth (lower and upper) should not exceed 0.5% of the total mean power of the given emission (RR No. 1.153). Total mean power values are given in Recommendation ITU</w:t>
      </w:r>
      <w:r>
        <w:rPr>
          <w:lang w:val="en-US"/>
        </w:rPr>
        <w:noBreakHyphen/>
        <w:t>R F.758.</w:t>
      </w:r>
    </w:p>
    <w:p w:rsidR="00B9359B" w:rsidRDefault="009A5268">
      <w:pPr>
        <w:pStyle w:val="Heading4"/>
        <w:rPr>
          <w:lang w:val="en-US"/>
        </w:rPr>
      </w:pPr>
      <w:bookmarkStart w:id="20" w:name="_Toc51045419"/>
      <w:r>
        <w:rPr>
          <w:lang w:val="en-US"/>
        </w:rPr>
        <w:t>2.6.1.2</w:t>
      </w:r>
      <w:r>
        <w:rPr>
          <w:lang w:val="en-US"/>
        </w:rPr>
        <w:tab/>
        <w:t>Transmitter pointing toward sensors</w:t>
      </w:r>
      <w:bookmarkEnd w:id="20"/>
    </w:p>
    <w:p w:rsidR="00B9359B" w:rsidRDefault="009A5268">
      <w:pPr>
        <w:rPr>
          <w:lang w:val="en-US"/>
        </w:rPr>
      </w:pPr>
      <w:r>
        <w:rPr>
          <w:lang w:val="en-US"/>
        </w:rPr>
        <w:t>In some cases, individual transmitters could interfere with measurements while the sensor is in the main lobe of the terrestrial station. Information required for the evaluation of the power received from the active system is as follows:</w:t>
      </w:r>
    </w:p>
    <w:p w:rsidR="00B9359B" w:rsidRDefault="009A5268">
      <w:pPr>
        <w:pStyle w:val="enumlev1"/>
        <w:rPr>
          <w:lang w:val="en-US"/>
        </w:rPr>
      </w:pPr>
      <w:r>
        <w:sym w:font="Symbol" w:char="F02D"/>
      </w:r>
      <w:r>
        <w:rPr>
          <w:lang w:val="en-US"/>
        </w:rPr>
        <w:tab/>
        <w:t>the gain of the transmitter in the EESS direction; and</w:t>
      </w:r>
    </w:p>
    <w:p w:rsidR="00B9359B" w:rsidRDefault="009A5268">
      <w:pPr>
        <w:pStyle w:val="enumlev1"/>
        <w:rPr>
          <w:lang w:val="en-US"/>
        </w:rPr>
      </w:pPr>
      <w:r>
        <w:sym w:font="Symbol" w:char="F02D"/>
      </w:r>
      <w:r>
        <w:rPr>
          <w:lang w:val="en-US"/>
        </w:rPr>
        <w:tab/>
        <w:t>the link path.</w:t>
      </w:r>
    </w:p>
    <w:p w:rsidR="00B9359B" w:rsidRDefault="009A5268">
      <w:pPr>
        <w:pStyle w:val="Heading4"/>
        <w:rPr>
          <w:lang w:val="en-US"/>
        </w:rPr>
      </w:pPr>
      <w:bookmarkStart w:id="21" w:name="_Toc51045420"/>
      <w:r>
        <w:rPr>
          <w:lang w:val="en-US"/>
        </w:rPr>
        <w:t>2.6.1.3</w:t>
      </w:r>
      <w:r>
        <w:rPr>
          <w:lang w:val="en-US"/>
        </w:rPr>
        <w:tab/>
        <w:t>Satellite downlinks</w:t>
      </w:r>
      <w:bookmarkEnd w:id="21"/>
    </w:p>
    <w:p w:rsidR="00B9359B" w:rsidRDefault="009A5268">
      <w:pPr>
        <w:rPr>
          <w:lang w:val="en-US"/>
        </w:rPr>
      </w:pPr>
      <w:r>
        <w:rPr>
          <w:lang w:val="en-US"/>
        </w:rPr>
        <w:t>In some cases, interference is possible from reflected signals off the surface of the Earth that could enter the main beam of the space station. Information required for the evaluation of the power received from the active system:</w:t>
      </w:r>
    </w:p>
    <w:p w:rsidR="00B9359B" w:rsidRDefault="009A5268">
      <w:pPr>
        <w:pStyle w:val="enumlev1"/>
        <w:rPr>
          <w:lang w:val="en-US"/>
        </w:rPr>
      </w:pPr>
      <w:r>
        <w:sym w:font="Symbol" w:char="F02D"/>
      </w:r>
      <w:r>
        <w:rPr>
          <w:lang w:val="en-US"/>
        </w:rPr>
        <w:tab/>
        <w:t>the reflection coefficient of terrain or body of water;</w:t>
      </w:r>
    </w:p>
    <w:p w:rsidR="00B9359B" w:rsidRDefault="009A5268">
      <w:pPr>
        <w:pStyle w:val="enumlev1"/>
        <w:rPr>
          <w:lang w:val="en-US"/>
        </w:rPr>
      </w:pPr>
      <w:r>
        <w:sym w:font="Symbol" w:char="F02D"/>
      </w:r>
      <w:r>
        <w:rPr>
          <w:lang w:val="en-US"/>
        </w:rPr>
        <w:tab/>
        <w:t>the gain of the space system in the direction of the Earth;</w:t>
      </w:r>
    </w:p>
    <w:p w:rsidR="00B9359B" w:rsidRDefault="009A5268">
      <w:pPr>
        <w:pStyle w:val="enumlev1"/>
        <w:rPr>
          <w:lang w:val="en-US"/>
        </w:rPr>
      </w:pPr>
      <w:r>
        <w:rPr>
          <w:lang w:val="en-US"/>
        </w:rPr>
        <w:t>–</w:t>
      </w:r>
      <w:r>
        <w:rPr>
          <w:lang w:val="en-US"/>
        </w:rPr>
        <w:tab/>
        <w:t>the altitude of the space system or the pfd at the Earth.</w:t>
      </w:r>
    </w:p>
    <w:p w:rsidR="00B9359B" w:rsidRDefault="009A5268">
      <w:pPr>
        <w:pStyle w:val="Heading3"/>
        <w:rPr>
          <w:lang w:val="en-US"/>
        </w:rPr>
      </w:pPr>
      <w:bookmarkStart w:id="22" w:name="_Toc51045421"/>
      <w:r>
        <w:rPr>
          <w:lang w:val="en-US"/>
        </w:rPr>
        <w:t>2.6.2</w:t>
      </w:r>
      <w:r>
        <w:rPr>
          <w:lang w:val="en-US"/>
        </w:rPr>
        <w:tab/>
        <w:t>RAS receiver</w:t>
      </w:r>
      <w:bookmarkEnd w:id="22"/>
    </w:p>
    <w:p w:rsidR="00B9359B" w:rsidRDefault="009A5268">
      <w:pPr>
        <w:pStyle w:val="Heading4"/>
        <w:rPr>
          <w:lang w:val="en-US"/>
        </w:rPr>
      </w:pPr>
      <w:bookmarkStart w:id="23" w:name="_Toc51045422"/>
      <w:r>
        <w:rPr>
          <w:lang w:val="en-US"/>
        </w:rPr>
        <w:t>2.6.2.1</w:t>
      </w:r>
      <w:r>
        <w:rPr>
          <w:lang w:val="en-US"/>
        </w:rPr>
        <w:tab/>
        <w:t>Unwanted emissions from the fixed service</w:t>
      </w:r>
      <w:bookmarkEnd w:id="23"/>
    </w:p>
    <w:p w:rsidR="00B9359B" w:rsidRDefault="009A5268">
      <w:pPr>
        <w:rPr>
          <w:lang w:val="en-US"/>
        </w:rPr>
      </w:pPr>
      <w:r>
        <w:rPr>
          <w:lang w:val="en-US"/>
        </w:rPr>
        <w:t>Potential interference from high altitude platform station (HAPS) systems to the RAS is expected. No other issues, related to terrestrial sources of interference to radio astronomy bands have been identified in Recommendation</w:t>
      </w:r>
      <w:r>
        <w:rPr>
          <w:bCs/>
          <w:lang w:val="en-US"/>
        </w:rPr>
        <w:t xml:space="preserve"> ITU</w:t>
      </w:r>
      <w:r>
        <w:rPr>
          <w:bCs/>
          <w:lang w:val="en-US"/>
        </w:rPr>
        <w:noBreakHyphen/>
        <w:t>R SM.1542</w:t>
      </w:r>
      <w:r>
        <w:rPr>
          <w:lang w:val="en-US"/>
        </w:rPr>
        <w:t>.</w:t>
      </w:r>
    </w:p>
    <w:p w:rsidR="00B9359B" w:rsidRDefault="009A5268">
      <w:pPr>
        <w:pStyle w:val="Heading4"/>
        <w:rPr>
          <w:lang w:val="en-US"/>
        </w:rPr>
      </w:pPr>
      <w:bookmarkStart w:id="24" w:name="_Toc51045423"/>
      <w:r>
        <w:rPr>
          <w:lang w:val="en-US"/>
        </w:rPr>
        <w:t>2.6.2.2</w:t>
      </w:r>
      <w:r>
        <w:rPr>
          <w:lang w:val="en-US"/>
        </w:rPr>
        <w:tab/>
        <w:t>Unwanted emissions from space systems</w:t>
      </w:r>
      <w:bookmarkEnd w:id="24"/>
    </w:p>
    <w:p w:rsidR="00B9359B" w:rsidRDefault="009A5268">
      <w:pPr>
        <w:rPr>
          <w:lang w:val="en-US"/>
        </w:rPr>
      </w:pPr>
      <w:r>
        <w:rPr>
          <w:lang w:val="en-US"/>
        </w:rPr>
        <w:t>Interference power incident on the RAS station comes from either GSO or non-GSO satellite service downlinks. In the first case the interference will generally not vary in either location or time. In the second case, the interference power will vary both in time and location in the sky. As a result, both are treated separately.</w:t>
      </w:r>
    </w:p>
    <w:p w:rsidR="00B9359B" w:rsidRDefault="009A5268">
      <w:pPr>
        <w:pStyle w:val="Heading5"/>
        <w:rPr>
          <w:lang w:val="en-US"/>
        </w:rPr>
      </w:pPr>
      <w:bookmarkStart w:id="25" w:name="_Toc51045424"/>
      <w:r>
        <w:rPr>
          <w:lang w:val="en-US"/>
        </w:rPr>
        <w:t>2.6.2.2.1</w:t>
      </w:r>
      <w:r>
        <w:rPr>
          <w:lang w:val="en-US"/>
        </w:rPr>
        <w:tab/>
        <w:t>Unwanted emissions from GSO satellite systems (downlink)</w:t>
      </w:r>
      <w:bookmarkEnd w:id="25"/>
    </w:p>
    <w:p w:rsidR="00B9359B" w:rsidRDefault="009A5268">
      <w:pPr>
        <w:rPr>
          <w:lang w:val="en-US"/>
        </w:rPr>
      </w:pPr>
      <w:r>
        <w:rPr>
          <w:lang w:val="en-US"/>
        </w:rPr>
        <w:t>The level of unwanted emissions can be assessed as follows:</w:t>
      </w:r>
    </w:p>
    <w:p w:rsidR="00B9359B" w:rsidRDefault="009A5268">
      <w:pPr>
        <w:pStyle w:val="Equation"/>
        <w:rPr>
          <w:lang w:val="en-US"/>
        </w:rPr>
      </w:pPr>
      <w:r>
        <w:rPr>
          <w:lang w:val="en-US"/>
        </w:rPr>
        <w:tab/>
      </w:r>
      <w:r>
        <w:rPr>
          <w:lang w:val="en-US"/>
        </w:rPr>
        <w:tab/>
      </w:r>
      <w:r>
        <w:rPr>
          <w:position w:val="-30"/>
        </w:rPr>
        <w:object w:dxaOrig="2520" w:dyaOrig="680">
          <v:shape id="_x0000_i1031" type="#_x0000_t75" style="width:126.25pt;height:34.4pt" o:ole="">
            <v:imagedata r:id="rId18" o:title=""/>
          </v:shape>
          <o:OLEObject Type="Embed" ProgID="Equation.3" ShapeID="_x0000_i1031" DrawAspect="Content" ObjectID="_1629894556" r:id="rId19"/>
        </w:object>
      </w:r>
      <w:r>
        <w:rPr>
          <w:lang w:val="en-US"/>
        </w:rPr>
        <w:tab/>
        <w:t>(6)</w:t>
      </w:r>
    </w:p>
    <w:p w:rsidR="00B9359B" w:rsidRDefault="009A5268">
      <w:pPr>
        <w:rPr>
          <w:lang w:val="en-US"/>
        </w:rPr>
      </w:pPr>
      <w:r>
        <w:rPr>
          <w:lang w:val="en-US"/>
        </w:rPr>
        <w:t>where:</w:t>
      </w:r>
    </w:p>
    <w:p w:rsidR="00B9359B" w:rsidRDefault="009A5268">
      <w:pPr>
        <w:pStyle w:val="Equationlegend"/>
      </w:pPr>
      <w:r>
        <w:tab/>
      </w:r>
      <w:r>
        <w:rPr>
          <w:i/>
        </w:rPr>
        <w:t>I</w:t>
      </w:r>
      <w:r>
        <w:rPr>
          <w:rFonts w:ascii="Tms Rmn" w:hAnsi="Tms Rmn"/>
          <w:sz w:val="12"/>
        </w:rPr>
        <w:t> </w:t>
      </w:r>
      <w:r>
        <w:rPr>
          <w:iCs/>
        </w:rPr>
        <w:t>:</w:t>
      </w:r>
      <w:r>
        <w:tab/>
        <w:t>interference power at the RAS station (W/m</w:t>
      </w:r>
      <w:r>
        <w:rPr>
          <w:vertAlign w:val="superscript"/>
        </w:rPr>
        <w:t>2</w:t>
      </w:r>
      <w:r>
        <w:t>)</w:t>
      </w:r>
    </w:p>
    <w:p w:rsidR="00B9359B" w:rsidRDefault="009A5268">
      <w:pPr>
        <w:pStyle w:val="Equationlegend"/>
      </w:pPr>
      <w:r>
        <w:tab/>
      </w:r>
      <w:r>
        <w:rPr>
          <w:i/>
        </w:rPr>
        <w:t>f</w:t>
      </w:r>
      <w:r>
        <w:rPr>
          <w:vertAlign w:val="subscript"/>
        </w:rPr>
        <w:t>1</w:t>
      </w:r>
      <w:r>
        <w:rPr>
          <w:i/>
        </w:rPr>
        <w:t>, f</w:t>
      </w:r>
      <w:r>
        <w:rPr>
          <w:vertAlign w:val="subscript"/>
        </w:rPr>
        <w:t>2</w:t>
      </w:r>
      <w:r>
        <w:rPr>
          <w:rFonts w:ascii="Tms Rmn" w:hAnsi="Tms Rmn"/>
          <w:sz w:val="12"/>
        </w:rPr>
        <w:t> </w:t>
      </w:r>
      <w:r>
        <w:rPr>
          <w:iCs/>
        </w:rPr>
        <w:t>:</w:t>
      </w:r>
      <w:r>
        <w:tab/>
        <w:t>lower and upper edge respectively of the RAS receiver band (Hz)</w:t>
      </w:r>
    </w:p>
    <w:p w:rsidR="00B9359B" w:rsidRDefault="009A5268">
      <w:pPr>
        <w:pStyle w:val="Equationlegend"/>
      </w:pPr>
      <w:r>
        <w:tab/>
      </w:r>
      <w:r>
        <w:rPr>
          <w:i/>
        </w:rPr>
        <w:t>p</w:t>
      </w:r>
      <w:r>
        <w:t>(</w:t>
      </w:r>
      <w:r>
        <w:rPr>
          <w:rFonts w:ascii="Tms Rmn" w:hAnsi="Tms Rmn"/>
          <w:i/>
          <w:sz w:val="12"/>
        </w:rPr>
        <w:t> </w:t>
      </w:r>
      <w:r>
        <w:rPr>
          <w:i/>
        </w:rPr>
        <w:t>f</w:t>
      </w:r>
      <w:r>
        <w:rPr>
          <w:rFonts w:ascii="Tms Rmn" w:hAnsi="Tms Rmn"/>
          <w:sz w:val="12"/>
        </w:rPr>
        <w:t> </w:t>
      </w:r>
      <w:r>
        <w:t>)</w:t>
      </w:r>
      <w:r>
        <w:rPr>
          <w:rFonts w:ascii="Tms Rmn" w:hAnsi="Tms Rmn"/>
          <w:sz w:val="12"/>
        </w:rPr>
        <w:t> </w:t>
      </w:r>
      <w:r>
        <w:rPr>
          <w:iCs/>
        </w:rPr>
        <w:t>:</w:t>
      </w:r>
      <w:r>
        <w:tab/>
        <w:t>unwanted emission power at the transmission antenna flange (W)</w:t>
      </w:r>
    </w:p>
    <w:p w:rsidR="00B9359B" w:rsidRDefault="009A5268">
      <w:pPr>
        <w:pStyle w:val="Equationlegend"/>
      </w:pPr>
      <w:r>
        <w:tab/>
      </w:r>
      <w:r>
        <w:rPr>
          <w:i/>
        </w:rPr>
        <w:t>g</w:t>
      </w:r>
      <w:r>
        <w:t>(</w:t>
      </w:r>
      <w:r>
        <w:rPr>
          <w:rFonts w:ascii="Tms Rmn" w:hAnsi="Tms Rmn"/>
          <w:i/>
          <w:sz w:val="12"/>
        </w:rPr>
        <w:t> </w:t>
      </w:r>
      <w:r>
        <w:rPr>
          <w:i/>
        </w:rPr>
        <w:t>f</w:t>
      </w:r>
      <w:r>
        <w:rPr>
          <w:rFonts w:ascii="Tms Rmn" w:hAnsi="Tms Rmn"/>
          <w:i/>
          <w:sz w:val="12"/>
        </w:rPr>
        <w:t> </w:t>
      </w:r>
      <w:r>
        <w:t>)</w:t>
      </w:r>
      <w:r>
        <w:rPr>
          <w:rFonts w:ascii="Tms Rmn" w:hAnsi="Tms Rmn"/>
          <w:sz w:val="12"/>
        </w:rPr>
        <w:t> </w:t>
      </w:r>
      <w:r>
        <w:rPr>
          <w:iCs/>
        </w:rPr>
        <w:t>:</w:t>
      </w:r>
      <w:r>
        <w:tab/>
        <w:t>gain of the transmission antenna in the direction of the radio astronomy site</w:t>
      </w:r>
    </w:p>
    <w:p w:rsidR="00B9359B" w:rsidRDefault="009A5268">
      <w:pPr>
        <w:pStyle w:val="Equationlegend"/>
      </w:pPr>
      <w:r>
        <w:tab/>
      </w:r>
      <w:r>
        <w:rPr>
          <w:i/>
        </w:rPr>
        <w:t>SL</w:t>
      </w:r>
      <w:r>
        <w:rPr>
          <w:rFonts w:ascii="Tms Rmn" w:hAnsi="Tms Rmn"/>
          <w:sz w:val="12"/>
        </w:rPr>
        <w:t> </w:t>
      </w:r>
      <w:r>
        <w:rPr>
          <w:iCs/>
        </w:rPr>
        <w:t>:</w:t>
      </w:r>
      <w:r>
        <w:tab/>
        <w:t>spreading loss (dB)</w:t>
      </w:r>
    </w:p>
    <w:p w:rsidR="00B9359B" w:rsidRDefault="009A5268">
      <w:pPr>
        <w:pStyle w:val="Equationlegend"/>
      </w:pPr>
      <w:r>
        <w:tab/>
      </w:r>
      <w:r>
        <w:rPr>
          <w:i/>
        </w:rPr>
        <w:t>ATM</w:t>
      </w:r>
      <w:r>
        <w:t>(</w:t>
      </w:r>
      <w:r>
        <w:rPr>
          <w:rFonts w:ascii="Tms Rmn" w:hAnsi="Tms Rmn"/>
          <w:i/>
          <w:sz w:val="12"/>
        </w:rPr>
        <w:t> </w:t>
      </w:r>
      <w:r>
        <w:rPr>
          <w:i/>
        </w:rPr>
        <w:t>f</w:t>
      </w:r>
      <w:r>
        <w:rPr>
          <w:rFonts w:ascii="Tms Rmn" w:hAnsi="Tms Rmn"/>
          <w:i/>
          <w:sz w:val="12"/>
        </w:rPr>
        <w:t> </w:t>
      </w:r>
      <w:r>
        <w:t>)</w:t>
      </w:r>
      <w:r>
        <w:rPr>
          <w:rFonts w:ascii="Tms Rmn" w:hAnsi="Tms Rmn"/>
          <w:sz w:val="12"/>
        </w:rPr>
        <w:t> </w:t>
      </w:r>
      <w:r>
        <w:rPr>
          <w:iCs/>
        </w:rPr>
        <w:t>:</w:t>
      </w:r>
      <w:r>
        <w:tab/>
        <w:t xml:space="preserve">atmospheric absorption in the band </w:t>
      </w:r>
      <w:r>
        <w:rPr>
          <w:i/>
        </w:rPr>
        <w:t>f</w:t>
      </w:r>
      <w:r>
        <w:rPr>
          <w:vertAlign w:val="subscript"/>
        </w:rPr>
        <w:t>1</w:t>
      </w:r>
      <w:r>
        <w:t xml:space="preserve"> – </w:t>
      </w:r>
      <w:r>
        <w:rPr>
          <w:i/>
        </w:rPr>
        <w:t>f</w:t>
      </w:r>
      <w:r>
        <w:rPr>
          <w:vertAlign w:val="subscript"/>
        </w:rPr>
        <w:t>2</w:t>
      </w:r>
      <w:r>
        <w:rPr>
          <w:i/>
          <w:sz w:val="28"/>
        </w:rPr>
        <w:t xml:space="preserve"> </w:t>
      </w:r>
      <w:r>
        <w:t>as a function of frequency.</w:t>
      </w:r>
    </w:p>
    <w:p w:rsidR="00B9359B" w:rsidRDefault="009A5268">
      <w:pPr>
        <w:rPr>
          <w:lang w:val="en-US"/>
        </w:rPr>
      </w:pPr>
      <w:r>
        <w:rPr>
          <w:lang w:val="en-US"/>
        </w:rPr>
        <w:br w:type="page"/>
        <w:t>It should be noted that both the power of the transmitted signal as well as the gain of the antenna sub-system vary with frequency and as such are represented as functions of frequency. The total interference at the location of the RAS station is the integral of these functions as shown above over the passband frequency of the receiver. In cases where the unwanted emission level and the antenna gain are constant throughout the bandwidth of the passive service receiver, the function can be simplified as follows:</w:t>
      </w:r>
    </w:p>
    <w:p w:rsidR="00B9359B" w:rsidRDefault="009A5268">
      <w:pPr>
        <w:pStyle w:val="Equation"/>
        <w:rPr>
          <w:lang w:val="en-US"/>
        </w:rPr>
      </w:pPr>
      <w:r>
        <w:rPr>
          <w:lang w:val="en-US"/>
        </w:rPr>
        <w:tab/>
      </w:r>
      <w:r>
        <w:rPr>
          <w:lang w:val="en-US"/>
        </w:rPr>
        <w:tab/>
      </w:r>
      <w:r>
        <w:rPr>
          <w:position w:val="-30"/>
        </w:rPr>
        <w:object w:dxaOrig="1540" w:dyaOrig="680">
          <v:shape id="_x0000_i1032" type="#_x0000_t75" style="width:76.85pt;height:34.4pt" o:ole="" fillcolor="window">
            <v:imagedata r:id="rId20" o:title=""/>
          </v:shape>
          <o:OLEObject Type="Embed" ProgID="Equation.3" ShapeID="_x0000_i1032" DrawAspect="Content" ObjectID="_1629894557" r:id="rId21"/>
        </w:object>
      </w:r>
      <w:r>
        <w:rPr>
          <w:lang w:val="en-US"/>
        </w:rPr>
        <w:tab/>
        <w:t>(7)</w:t>
      </w:r>
    </w:p>
    <w:p w:rsidR="00B9359B" w:rsidRDefault="009A5268">
      <w:pPr>
        <w:rPr>
          <w:lang w:val="en-US"/>
        </w:rPr>
      </w:pPr>
      <w:r>
        <w:rPr>
          <w:lang w:val="en-US"/>
        </w:rPr>
        <w:t>In cases where the active band is adjacent to the passive band, it may be possible to assume that the transmission antenna gain remains constant in both the transmission band and the passive band. However this may often not be the case, particularly when the passive band is below the cut-off frequency of the waveguide feed network in the antenna sub-system.</w:t>
      </w:r>
    </w:p>
    <w:p w:rsidR="00B9359B" w:rsidRDefault="009A5268">
      <w:pPr>
        <w:pStyle w:val="Heading5"/>
        <w:rPr>
          <w:lang w:val="en-US"/>
        </w:rPr>
      </w:pPr>
      <w:bookmarkStart w:id="26" w:name="_Toc51045425"/>
      <w:r>
        <w:rPr>
          <w:lang w:val="en-US"/>
        </w:rPr>
        <w:t>2.6.2.2.2</w:t>
      </w:r>
      <w:r>
        <w:rPr>
          <w:lang w:val="en-US"/>
        </w:rPr>
        <w:tab/>
        <w:t>Unwanted emissions from non-GSO satellite systems (downlink)</w:t>
      </w:r>
      <w:bookmarkEnd w:id="26"/>
    </w:p>
    <w:p w:rsidR="00B9359B" w:rsidRDefault="009A5268">
      <w:pPr>
        <w:rPr>
          <w:lang w:val="en-US"/>
        </w:rPr>
      </w:pPr>
      <w:r>
        <w:rPr>
          <w:lang w:val="en-US"/>
        </w:rPr>
        <w:t>To evaluate interference from non-GSO FSS systems to stations in the RAS, the methodology of Recommendation ITU-R S.1586 should be used. Likewise, to evaluate interference from non</w:t>
      </w:r>
      <w:r>
        <w:rPr>
          <w:lang w:val="en-US"/>
        </w:rPr>
        <w:noBreakHyphen/>
        <w:t>GSO MSS and RNSS systems to stations in the RAS, the methodology of Recommendation ITU</w:t>
      </w:r>
      <w:r>
        <w:rPr>
          <w:lang w:val="en-US"/>
        </w:rPr>
        <w:noBreakHyphen/>
        <w:t>R M.1583 should be used.</w:t>
      </w:r>
    </w:p>
    <w:p w:rsidR="00B9359B" w:rsidRDefault="009A5268">
      <w:pPr>
        <w:pStyle w:val="Heading2"/>
        <w:rPr>
          <w:lang w:val="en-US"/>
        </w:rPr>
      </w:pPr>
      <w:bookmarkStart w:id="27" w:name="_Toc51045426"/>
      <w:r>
        <w:rPr>
          <w:lang w:val="en-US"/>
        </w:rPr>
        <w:t>2.7</w:t>
      </w:r>
      <w:r>
        <w:rPr>
          <w:lang w:val="en-US"/>
        </w:rPr>
        <w:tab/>
        <w:t>Box (iii): Assess discrepancy</w:t>
      </w:r>
      <w:bookmarkEnd w:id="27"/>
    </w:p>
    <w:p w:rsidR="00B9359B" w:rsidRDefault="009A5268">
      <w:pPr>
        <w:rPr>
          <w:lang w:val="en-US"/>
        </w:rPr>
      </w:pPr>
      <w:r>
        <w:rPr>
          <w:lang w:val="en-US"/>
        </w:rPr>
        <w:t>The purpose of this box is to provide for a review of the input data and the discrepancy before proceeding with another iteration of the methodology. If this box has been reached then the interference received is greater than the threshold, implying that changes must be made in the next iteration to close the gap between the two numbers.</w:t>
      </w:r>
    </w:p>
    <w:p w:rsidR="00B9359B" w:rsidRDefault="009A5268">
      <w:pPr>
        <w:rPr>
          <w:lang w:val="en-US"/>
        </w:rPr>
      </w:pPr>
      <w:r>
        <w:rPr>
          <w:lang w:val="en-US"/>
        </w:rPr>
        <w:t>In the first iterations through the loop, the focus should be on improving the accuracy of assessing the interference into the passive service. As preliminary sharing studies involve coarse assumptions about both systems, these will need to be refined so as to be able to appropriately assess the interference potential. More detailed system descriptions and calculation methodologies may require a greater degree of computational complexity, but in the end may reveal that interference potential is significantly less than coarser assumptions had indicated.</w:t>
      </w:r>
    </w:p>
    <w:p w:rsidR="00B9359B" w:rsidRDefault="009A5268">
      <w:pPr>
        <w:rPr>
          <w:lang w:val="en-US"/>
        </w:rPr>
      </w:pPr>
      <w:r>
        <w:rPr>
          <w:lang w:val="en-US"/>
        </w:rPr>
        <w:t>Once the study is deemed to be sufficiently precise and a gap still exists, it will be necessary for either or both sides to take restrictions in order to clear the problem. These restrictions may take the form of operational restrictions, characteristic changes of the equipment or a modification in the sharing criteria.</w:t>
      </w:r>
    </w:p>
    <w:p w:rsidR="00B9359B" w:rsidRDefault="009A5268">
      <w:pPr>
        <w:rPr>
          <w:lang w:val="en-US"/>
        </w:rPr>
      </w:pPr>
      <w:r>
        <w:rPr>
          <w:lang w:val="en-US"/>
        </w:rPr>
        <w:t>Once the possible areas for changes in the next have been identified in this box, the appropriate decision box will effect the change and lead to a new interference assessment.</w:t>
      </w:r>
    </w:p>
    <w:p w:rsidR="00B9359B" w:rsidRPr="0027724D" w:rsidRDefault="009A5268">
      <w:pPr>
        <w:pStyle w:val="Heading2"/>
        <w:rPr>
          <w:lang w:val="en-US"/>
        </w:rPr>
      </w:pPr>
      <w:bookmarkStart w:id="28" w:name="_Toc51045427"/>
      <w:r w:rsidRPr="0027724D">
        <w:rPr>
          <w:lang w:val="en-US"/>
        </w:rPr>
        <w:t>2.8</w:t>
      </w:r>
      <w:r w:rsidRPr="0027724D">
        <w:rPr>
          <w:lang w:val="en-US"/>
        </w:rPr>
        <w:tab/>
        <w:t>Box (iv): Consultative solution</w:t>
      </w:r>
      <w:bookmarkEnd w:id="28"/>
    </w:p>
    <w:p w:rsidR="00B9359B" w:rsidRDefault="009A5268">
      <w:pPr>
        <w:rPr>
          <w:lang w:val="en-US"/>
        </w:rPr>
      </w:pPr>
      <w:r>
        <w:rPr>
          <w:lang w:val="en-US"/>
        </w:rPr>
        <w:t xml:space="preserve">After several iterations of the methodology, there may still exist a gap between the active and passive service. If no further changes can be made to any of the system parameters, criteria or mitigation methods then there is no general solution that allows all users of the active band to share with all the passive service users. The only remaining solution that can then be explored is for </w:t>
      </w:r>
      <w:r>
        <w:rPr>
          <w:lang w:val="en-US"/>
        </w:rPr>
        <w:br w:type="page"/>
        <w:t>sub</w:t>
      </w:r>
      <w:r>
        <w:rPr>
          <w:lang w:val="en-US"/>
        </w:rPr>
        <w:noBreakHyphen/>
        <w:t>sets of the active band and passive band users to enter discussions and possibly achieve an agreement among them. For example, between two adjacent bands it may not be possible to find a solution between the FSS and RAS. However, a solution may be possible between the non</w:t>
      </w:r>
      <w:r>
        <w:rPr>
          <w:lang w:val="en-US"/>
        </w:rPr>
        <w:noBreakHyphen/>
        <w:t>GSO FSS and the RAS.</w:t>
      </w:r>
    </w:p>
    <w:p w:rsidR="00B9359B" w:rsidRDefault="009A5268">
      <w:pPr>
        <w:rPr>
          <w:lang w:val="en-US"/>
        </w:rPr>
      </w:pPr>
      <w:r>
        <w:rPr>
          <w:lang w:val="en-US"/>
        </w:rPr>
        <w:t>The methodology in Fig. 1 may prove useful in carrying out the discussions in this section between sub-sets of operators sharing the band.</w:t>
      </w:r>
    </w:p>
    <w:p w:rsidR="00B9359B" w:rsidRDefault="009A5268">
      <w:pPr>
        <w:rPr>
          <w:lang w:val="en-US"/>
        </w:rPr>
      </w:pPr>
      <w:r>
        <w:rPr>
          <w:lang w:val="en-US"/>
        </w:rPr>
        <w:t>However, if smaller consultation groups cannot achieve an agreement, then the methodology comes to an end without having closed the gap. The resulting progress from the iterations through the methodology may have proved helpful in closing the gap and suggesting future areas for study. It may also serve as a basis for multiple solutions among which regulators may have to select.</w:t>
      </w:r>
    </w:p>
    <w:p w:rsidR="00B9359B" w:rsidRDefault="009A5268">
      <w:pPr>
        <w:pStyle w:val="Heading2"/>
        <w:rPr>
          <w:lang w:val="en-US"/>
        </w:rPr>
      </w:pPr>
      <w:bookmarkStart w:id="29" w:name="_Toc51045428"/>
      <w:r>
        <w:rPr>
          <w:lang w:val="en-US"/>
        </w:rPr>
        <w:t>2.9</w:t>
      </w:r>
      <w:r>
        <w:rPr>
          <w:lang w:val="en-US"/>
        </w:rPr>
        <w:tab/>
        <w:t xml:space="preserve">Diamond (a): Interference power </w:t>
      </w:r>
      <w:r>
        <w:sym w:font="Symbol" w:char="F0A3"/>
      </w:r>
      <w:r>
        <w:rPr>
          <w:lang w:val="en-US"/>
        </w:rPr>
        <w:t xml:space="preserve"> passive service criteria</w:t>
      </w:r>
      <w:bookmarkEnd w:id="29"/>
    </w:p>
    <w:p w:rsidR="00B9359B" w:rsidRDefault="009A5268">
      <w:pPr>
        <w:rPr>
          <w:lang w:val="en-US"/>
        </w:rPr>
      </w:pPr>
      <w:r>
        <w:rPr>
          <w:lang w:val="en-US"/>
        </w:rPr>
        <w:t>The interference power assessed in box (ii) is compares to the appropriate passive service protection criteria from box (2). If the interference is greater then the detrimental level, the methodology proceeds to decision diamond (b). This method ends if the interference is less than or equal to these criteria.</w:t>
      </w:r>
    </w:p>
    <w:p w:rsidR="00B9359B" w:rsidRDefault="009A5268">
      <w:pPr>
        <w:pStyle w:val="Heading2"/>
        <w:rPr>
          <w:lang w:val="en-US"/>
        </w:rPr>
      </w:pPr>
      <w:bookmarkStart w:id="30" w:name="_Toc51045429"/>
      <w:r>
        <w:rPr>
          <w:lang w:val="en-US"/>
        </w:rPr>
        <w:t>2.10</w:t>
      </w:r>
      <w:r>
        <w:rPr>
          <w:lang w:val="en-US"/>
        </w:rPr>
        <w:tab/>
        <w:t xml:space="preserve">Diamond (b): Interference power </w:t>
      </w:r>
      <w:r>
        <w:rPr>
          <w:rFonts w:ascii="Symbol" w:hAnsi="Symbol"/>
        </w:rPr>
        <w:sym w:font="Symbol" w:char="F0A3"/>
      </w:r>
      <w:r>
        <w:rPr>
          <w:lang w:val="en-US"/>
        </w:rPr>
        <w:t xml:space="preserve"> threshold</w:t>
      </w:r>
      <w:bookmarkEnd w:id="30"/>
    </w:p>
    <w:p w:rsidR="00B9359B" w:rsidRDefault="009A5268">
      <w:pPr>
        <w:rPr>
          <w:lang w:val="en-US"/>
        </w:rPr>
      </w:pPr>
      <w:r>
        <w:rPr>
          <w:lang w:val="en-US"/>
        </w:rPr>
        <w:t>On later iterations the threshold in diamond (b) may indicate that the operating arrangement that provides adequate protection for passive service while minimizing the restrictions upon the active service is possible. Parameters used may result from the procedures in diamonds (c), (d) or (e). The burden following this arrangement would be distributed equitably between two services. In the case of multiple interfering active services, the iteration procedure should be followed for each individual service, possible resulting in different operating arrangements for each. The guiding principle is that the total burden on all parties involved should not render any of these parties incapable of operating effectively.</w:t>
      </w:r>
    </w:p>
    <w:p w:rsidR="00B9359B" w:rsidRDefault="009A5268">
      <w:pPr>
        <w:pStyle w:val="Heading2"/>
        <w:rPr>
          <w:lang w:val="en-US"/>
        </w:rPr>
      </w:pPr>
      <w:bookmarkStart w:id="31" w:name="_Toc51045430"/>
      <w:r>
        <w:rPr>
          <w:lang w:val="en-US"/>
        </w:rPr>
        <w:t>2.11</w:t>
      </w:r>
      <w:r>
        <w:rPr>
          <w:lang w:val="en-US"/>
        </w:rPr>
        <w:tab/>
        <w:t>Diamond (c): Can the emission parameters be refined?</w:t>
      </w:r>
      <w:bookmarkEnd w:id="31"/>
    </w:p>
    <w:p w:rsidR="00B9359B" w:rsidRDefault="009A5268">
      <w:pPr>
        <w:rPr>
          <w:lang w:val="en-US"/>
        </w:rPr>
      </w:pPr>
      <w:r>
        <w:rPr>
          <w:lang w:val="en-US"/>
        </w:rPr>
        <w:t>Following the review done in box (iii), it may be possible to modify the emission parameters of the active service. For example, regulatory limits used as lower levels that are more representative of current may replace the worst-case assumptions for future planned systems. These modified assumptions can then be taken into account in subsequent iterations.</w:t>
      </w:r>
    </w:p>
    <w:p w:rsidR="00B9359B" w:rsidRDefault="009A5268">
      <w:pPr>
        <w:pStyle w:val="Heading2"/>
        <w:rPr>
          <w:lang w:val="en-US"/>
        </w:rPr>
      </w:pPr>
      <w:bookmarkStart w:id="32" w:name="_Toc51045431"/>
      <w:r>
        <w:rPr>
          <w:lang w:val="en-US"/>
        </w:rPr>
        <w:t>2.12</w:t>
      </w:r>
      <w:r>
        <w:rPr>
          <w:lang w:val="en-US"/>
        </w:rPr>
        <w:tab/>
        <w:t>Diamond (d): Can the reception parameters in passive band be refined?</w:t>
      </w:r>
      <w:bookmarkEnd w:id="32"/>
    </w:p>
    <w:p w:rsidR="00B9359B" w:rsidRDefault="009A5268">
      <w:pPr>
        <w:rPr>
          <w:lang w:val="en-US"/>
        </w:rPr>
      </w:pPr>
      <w:r>
        <w:rPr>
          <w:lang w:val="en-US"/>
        </w:rPr>
        <w:t>Following the review done in box (iii), it may be possible to modify reception parameters of the passive service. For example, actual antenna patterns may be used instead of more conservative patterns. These modified assumptions can then be taken into account in subsequent iterations.</w:t>
      </w:r>
    </w:p>
    <w:p w:rsidR="00B9359B" w:rsidRDefault="009A5268">
      <w:pPr>
        <w:pStyle w:val="Heading2"/>
        <w:rPr>
          <w:lang w:val="en-US"/>
        </w:rPr>
      </w:pPr>
      <w:bookmarkStart w:id="33" w:name="_Toc51045432"/>
      <w:r>
        <w:rPr>
          <w:lang w:val="en-US"/>
        </w:rPr>
        <w:br w:type="page"/>
        <w:t>2.13</w:t>
      </w:r>
      <w:r>
        <w:rPr>
          <w:lang w:val="en-US"/>
        </w:rPr>
        <w:tab/>
        <w:t>Diamond (e): Is the application of mitigation techniques feasible?</w:t>
      </w:r>
      <w:bookmarkEnd w:id="33"/>
    </w:p>
    <w:p w:rsidR="00B9359B" w:rsidRDefault="009A5268">
      <w:pPr>
        <w:rPr>
          <w:lang w:val="en-US"/>
        </w:rPr>
      </w:pPr>
      <w:r>
        <w:rPr>
          <w:lang w:val="en-US"/>
        </w:rPr>
        <w:t xml:space="preserve">Once the parameters of the active and passive service can no longer be refined and there still remains a gap between the interference and sharing threshold, then mitigation methods can be considered as a way of reducing the gap. Three likely methods are included in this section, although additional methods do exist (e.g. the list in Annex 3 of Recommendation </w:t>
      </w:r>
      <w:r>
        <w:rPr>
          <w:bCs/>
          <w:lang w:val="en-US"/>
        </w:rPr>
        <w:t>ITU</w:t>
      </w:r>
      <w:r>
        <w:rPr>
          <w:bCs/>
          <w:lang w:val="en-US"/>
        </w:rPr>
        <w:noBreakHyphen/>
        <w:t>R SM.1542</w:t>
      </w:r>
      <w:r>
        <w:rPr>
          <w:lang w:val="en-US"/>
        </w:rPr>
        <w:t>).</w:t>
      </w:r>
    </w:p>
    <w:p w:rsidR="00B9359B" w:rsidRDefault="009A5268">
      <w:pPr>
        <w:pStyle w:val="Heading3"/>
        <w:rPr>
          <w:lang w:val="en-US"/>
        </w:rPr>
      </w:pPr>
      <w:bookmarkStart w:id="34" w:name="_Toc51045433"/>
      <w:r>
        <w:rPr>
          <w:lang w:val="en-US"/>
        </w:rPr>
        <w:t>2.13.1</w:t>
      </w:r>
      <w:r>
        <w:rPr>
          <w:lang w:val="en-US"/>
        </w:rPr>
        <w:tab/>
        <w:t>Active system</w:t>
      </w:r>
      <w:bookmarkEnd w:id="34"/>
    </w:p>
    <w:p w:rsidR="00B9359B" w:rsidRDefault="009A5268">
      <w:pPr>
        <w:pStyle w:val="Heading4"/>
        <w:rPr>
          <w:lang w:val="en-US"/>
        </w:rPr>
      </w:pPr>
      <w:bookmarkStart w:id="35" w:name="_Toc51045434"/>
      <w:r>
        <w:rPr>
          <w:lang w:val="en-US"/>
        </w:rPr>
        <w:t>2.13.1.1</w:t>
      </w:r>
      <w:r>
        <w:rPr>
          <w:lang w:val="en-US"/>
        </w:rPr>
        <w:tab/>
        <w:t>Filtering by the active system</w:t>
      </w:r>
      <w:bookmarkEnd w:id="35"/>
    </w:p>
    <w:p w:rsidR="00B9359B" w:rsidRDefault="009A5268">
      <w:pPr>
        <w:rPr>
          <w:lang w:val="en-US"/>
        </w:rPr>
      </w:pPr>
      <w:r>
        <w:rPr>
          <w:lang w:val="en-US"/>
        </w:rPr>
        <w:t>One method of adequately protecting the passive services is the introduction of additional filtering in the RF chain of the transmitter to reduce the level of unwanted emissions. In some cases this may pose a minimal burden as the architecture of the transmitter allows for the insertion of a filter or the improvement of an existing filter. However in some cases, the applicability of filters may be affected by considerations of cost, weight and/or reduction in capacity.</w:t>
      </w:r>
    </w:p>
    <w:p w:rsidR="00B9359B" w:rsidRDefault="009A5268">
      <w:pPr>
        <w:pStyle w:val="Heading4"/>
        <w:rPr>
          <w:lang w:val="en-US"/>
        </w:rPr>
      </w:pPr>
      <w:bookmarkStart w:id="36" w:name="_Toc51045435"/>
      <w:r>
        <w:rPr>
          <w:lang w:val="en-US"/>
        </w:rPr>
        <w:t>2.13.1.2</w:t>
      </w:r>
      <w:r>
        <w:rPr>
          <w:lang w:val="en-US"/>
        </w:rPr>
        <w:tab/>
        <w:t>Use of a guardband</w:t>
      </w:r>
      <w:bookmarkEnd w:id="36"/>
    </w:p>
    <w:p w:rsidR="00B9359B" w:rsidRDefault="009A5268">
      <w:pPr>
        <w:rPr>
          <w:lang w:val="en-US"/>
        </w:rPr>
      </w:pPr>
      <w:r>
        <w:rPr>
          <w:lang w:val="en-US"/>
        </w:rPr>
        <w:t>One method of reducing the level of the unwanted emission from active service transmitter into the passive band is to introduce a guardband. The guardband allows reducing the interference power received by the passive service operator. Although this may be effective when both systems share adjacent bands, it may be of little value when the separation between the bands is large, as the additional bandwidth may not provide any substantial improvement in filter attenuation. Furthermore, the insertion of a guardband reduces the bandwidth available to one or both services.</w:t>
      </w:r>
    </w:p>
    <w:p w:rsidR="00B9359B" w:rsidRDefault="009A5268">
      <w:pPr>
        <w:rPr>
          <w:lang w:val="en-US"/>
        </w:rPr>
      </w:pPr>
      <w:r>
        <w:rPr>
          <w:lang w:val="en-US"/>
        </w:rPr>
        <w:t>To assess the impact of a guardband the following calculations should be undertaken. The interference power (W) received by the passive service is as follows:</w:t>
      </w:r>
    </w:p>
    <w:p w:rsidR="00B9359B" w:rsidRDefault="009A5268">
      <w:pPr>
        <w:pStyle w:val="Equation"/>
        <w:rPr>
          <w:lang w:val="en-US"/>
        </w:rPr>
      </w:pPr>
      <w:r>
        <w:rPr>
          <w:lang w:val="en-US"/>
        </w:rPr>
        <w:tab/>
      </w:r>
      <w:r>
        <w:rPr>
          <w:lang w:val="en-US"/>
        </w:rPr>
        <w:tab/>
      </w:r>
      <w:r>
        <w:rPr>
          <w:position w:val="-30"/>
        </w:rPr>
        <w:object w:dxaOrig="4000" w:dyaOrig="720">
          <v:shape id="_x0000_i1033" type="#_x0000_t75" style="width:199.9pt;height:36pt" o:ole="" fillcolor="window">
            <v:imagedata r:id="rId22" o:title=""/>
          </v:shape>
          <o:OLEObject Type="Embed" ProgID="Equation.3" ShapeID="_x0000_i1033" DrawAspect="Content" ObjectID="_1629894558" r:id="rId23"/>
        </w:object>
      </w:r>
      <w:r>
        <w:rPr>
          <w:lang w:val="en-US"/>
        </w:rPr>
        <w:tab/>
        <w:t>(8)</w:t>
      </w:r>
    </w:p>
    <w:p w:rsidR="00B9359B" w:rsidRDefault="009A5268">
      <w:pPr>
        <w:rPr>
          <w:lang w:val="en-US"/>
        </w:rPr>
      </w:pPr>
      <w:r>
        <w:rPr>
          <w:lang w:val="en-US"/>
        </w:rPr>
        <w:t>where:</w:t>
      </w:r>
    </w:p>
    <w:p w:rsidR="00B9359B" w:rsidRDefault="009A5268">
      <w:pPr>
        <w:pStyle w:val="Equationlegend"/>
      </w:pPr>
      <w:r>
        <w:rPr>
          <w:i/>
        </w:rPr>
        <w:tab/>
        <w:t>I</w:t>
      </w:r>
      <w:r>
        <w:rPr>
          <w:rFonts w:ascii="Tms Rmn" w:hAnsi="Tms Rmn"/>
          <w:sz w:val="12"/>
        </w:rPr>
        <w:t> </w:t>
      </w:r>
      <w:r>
        <w:rPr>
          <w:iCs/>
        </w:rPr>
        <w:t>:</w:t>
      </w:r>
      <w:r>
        <w:rPr>
          <w:i/>
        </w:rPr>
        <w:tab/>
      </w:r>
      <w:r>
        <w:t>interference power received by the passive service receiver within its receive bandwidth (W/m</w:t>
      </w:r>
      <w:r>
        <w:rPr>
          <w:vertAlign w:val="superscript"/>
        </w:rPr>
        <w:t>2</w:t>
      </w:r>
      <w:r>
        <w:t>)</w:t>
      </w:r>
    </w:p>
    <w:p w:rsidR="00B9359B" w:rsidRDefault="009A5268">
      <w:pPr>
        <w:pStyle w:val="Equationlegend"/>
      </w:pPr>
      <w:r>
        <w:rPr>
          <w:i/>
        </w:rPr>
        <w:tab/>
        <w:t>f</w:t>
      </w:r>
      <w:r>
        <w:rPr>
          <w:vertAlign w:val="subscript"/>
        </w:rPr>
        <w:t>1</w:t>
      </w:r>
      <w:r>
        <w:t>,</w:t>
      </w:r>
      <w:r>
        <w:rPr>
          <w:i/>
        </w:rPr>
        <w:t xml:space="preserve"> f</w:t>
      </w:r>
      <w:r>
        <w:rPr>
          <w:vertAlign w:val="subscript"/>
        </w:rPr>
        <w:t>2</w:t>
      </w:r>
      <w:r>
        <w:rPr>
          <w:rFonts w:ascii="Tms Rmn" w:hAnsi="Tms Rmn"/>
          <w:sz w:val="12"/>
        </w:rPr>
        <w:t> </w:t>
      </w:r>
      <w:r>
        <w:rPr>
          <w:iCs/>
        </w:rPr>
        <w:t>:</w:t>
      </w:r>
      <w:r>
        <w:tab/>
        <w:t>lower and upper edge respectively of the passive service receiver band (Hz)</w:t>
      </w:r>
    </w:p>
    <w:p w:rsidR="00B9359B" w:rsidRDefault="009A5268">
      <w:pPr>
        <w:pStyle w:val="Equationlegend"/>
      </w:pPr>
      <w:r>
        <w:rPr>
          <w:i/>
        </w:rPr>
        <w:tab/>
        <w:t>p</w:t>
      </w:r>
      <w:r>
        <w:t>(</w:t>
      </w:r>
      <w:r>
        <w:rPr>
          <w:rFonts w:ascii="Tms Rmn" w:hAnsi="Tms Rmn"/>
          <w:sz w:val="12"/>
        </w:rPr>
        <w:t> </w:t>
      </w:r>
      <w:r>
        <w:rPr>
          <w:i/>
        </w:rPr>
        <w:t>f</w:t>
      </w:r>
      <w:r>
        <w:rPr>
          <w:rFonts w:ascii="Tms Rmn" w:hAnsi="Tms Rmn"/>
          <w:i/>
          <w:sz w:val="12"/>
        </w:rPr>
        <w:t> </w:t>
      </w:r>
      <w:r>
        <w:t>)</w:t>
      </w:r>
      <w:r>
        <w:rPr>
          <w:rFonts w:ascii="Tms Rmn" w:hAnsi="Tms Rmn"/>
          <w:sz w:val="12"/>
        </w:rPr>
        <w:t> </w:t>
      </w:r>
      <w:r>
        <w:rPr>
          <w:iCs/>
        </w:rPr>
        <w:t>:</w:t>
      </w:r>
      <w:r>
        <w:tab/>
        <w:t>unwanted emission power density as a function of frequency at the trans</w:t>
      </w:r>
      <w:r>
        <w:softHyphen/>
        <w:t>mission antenna flange (W/Hz)</w:t>
      </w:r>
    </w:p>
    <w:p w:rsidR="00B9359B" w:rsidRDefault="009A5268">
      <w:pPr>
        <w:pStyle w:val="Equationlegend"/>
      </w:pPr>
      <w:r>
        <w:rPr>
          <w:i/>
        </w:rPr>
        <w:tab/>
        <w:t>g</w:t>
      </w:r>
      <w:r>
        <w:rPr>
          <w:vertAlign w:val="subscript"/>
        </w:rPr>
        <w:t>1</w:t>
      </w:r>
      <w:r>
        <w:t>(</w:t>
      </w:r>
      <w:r>
        <w:rPr>
          <w:rFonts w:ascii="Tms Rmn" w:hAnsi="Tms Rmn"/>
          <w:sz w:val="12"/>
        </w:rPr>
        <w:t> </w:t>
      </w:r>
      <w:r>
        <w:rPr>
          <w:i/>
        </w:rPr>
        <w:t>f</w:t>
      </w:r>
      <w:r>
        <w:rPr>
          <w:rFonts w:ascii="Tms Rmn" w:hAnsi="Tms Rmn"/>
          <w:i/>
          <w:sz w:val="12"/>
        </w:rPr>
        <w:t> </w:t>
      </w:r>
      <w:r>
        <w:t>)</w:t>
      </w:r>
      <w:r>
        <w:rPr>
          <w:rFonts w:ascii="Tms Rmn" w:hAnsi="Tms Rmn"/>
          <w:sz w:val="12"/>
        </w:rPr>
        <w:t> </w:t>
      </w:r>
      <w:r>
        <w:rPr>
          <w:iCs/>
        </w:rPr>
        <w:t>:</w:t>
      </w:r>
      <w:r>
        <w:rPr>
          <w:i/>
        </w:rPr>
        <w:tab/>
      </w:r>
      <w:r>
        <w:t>gain of the transmission antenna as a function of frequency in the direction of the passive service antenna</w:t>
      </w:r>
    </w:p>
    <w:p w:rsidR="00B9359B" w:rsidRDefault="009A5268">
      <w:pPr>
        <w:pStyle w:val="Equationlegend"/>
      </w:pPr>
      <w:r>
        <w:rPr>
          <w:i/>
        </w:rPr>
        <w:tab/>
        <w:t>g</w:t>
      </w:r>
      <w:r>
        <w:rPr>
          <w:vertAlign w:val="subscript"/>
        </w:rPr>
        <w:t>2</w:t>
      </w:r>
      <w:r>
        <w:t>(</w:t>
      </w:r>
      <w:r>
        <w:rPr>
          <w:rFonts w:ascii="Tms Rmn" w:hAnsi="Tms Rmn"/>
          <w:sz w:val="12"/>
        </w:rPr>
        <w:t> </w:t>
      </w:r>
      <w:r>
        <w:rPr>
          <w:i/>
        </w:rPr>
        <w:t>f</w:t>
      </w:r>
      <w:r>
        <w:rPr>
          <w:rFonts w:ascii="Tms Rmn" w:hAnsi="Tms Rmn"/>
          <w:i/>
          <w:sz w:val="12"/>
        </w:rPr>
        <w:t> </w:t>
      </w:r>
      <w:r>
        <w:t>)</w:t>
      </w:r>
      <w:r>
        <w:rPr>
          <w:rFonts w:ascii="Tms Rmn" w:hAnsi="Tms Rmn"/>
          <w:sz w:val="12"/>
        </w:rPr>
        <w:t> </w:t>
      </w:r>
      <w:r>
        <w:rPr>
          <w:iCs/>
        </w:rPr>
        <w:t>:</w:t>
      </w:r>
      <w:r>
        <w:rPr>
          <w:i/>
        </w:rPr>
        <w:tab/>
      </w:r>
      <w:r>
        <w:t>gain of the passive service antenna as a function of frequency in the direction of the transmission antenna</w:t>
      </w:r>
    </w:p>
    <w:p w:rsidR="00B9359B" w:rsidRDefault="009A5268">
      <w:pPr>
        <w:pStyle w:val="Equationlegend"/>
      </w:pPr>
      <w:r>
        <w:tab/>
      </w:r>
      <w:r>
        <w:rPr>
          <w:i/>
        </w:rPr>
        <w:t>FSL</w:t>
      </w:r>
      <w:r>
        <w:rPr>
          <w:rFonts w:ascii="Tms Rmn" w:hAnsi="Tms Rmn"/>
          <w:iCs/>
          <w:sz w:val="12"/>
        </w:rPr>
        <w:t> </w:t>
      </w:r>
      <w:r>
        <w:t>:</w:t>
      </w:r>
      <w:r>
        <w:tab/>
        <w:t>free space loss (m</w:t>
      </w:r>
      <w:r>
        <w:rPr>
          <w:vertAlign w:val="superscript"/>
        </w:rPr>
        <w:t>2</w:t>
      </w:r>
      <w:r>
        <w:t>)</w:t>
      </w:r>
    </w:p>
    <w:p w:rsidR="00B9359B" w:rsidRDefault="009A5268">
      <w:pPr>
        <w:pStyle w:val="Equationlegend"/>
      </w:pPr>
      <w:r>
        <w:tab/>
      </w:r>
      <w:r>
        <w:rPr>
          <w:i/>
        </w:rPr>
        <w:t>ATM</w:t>
      </w:r>
      <w:r>
        <w:t>(</w:t>
      </w:r>
      <w:r>
        <w:rPr>
          <w:rFonts w:ascii="Tms Rmn" w:hAnsi="Tms Rmn"/>
          <w:sz w:val="12"/>
        </w:rPr>
        <w:t> </w:t>
      </w:r>
      <w:r>
        <w:rPr>
          <w:i/>
        </w:rPr>
        <w:t>f</w:t>
      </w:r>
      <w:r>
        <w:rPr>
          <w:rFonts w:ascii="Tms Rmn" w:hAnsi="Tms Rmn"/>
          <w:i/>
          <w:sz w:val="12"/>
        </w:rPr>
        <w:t> </w:t>
      </w:r>
      <w:r>
        <w:t>)</w:t>
      </w:r>
      <w:r>
        <w:rPr>
          <w:rFonts w:ascii="Tms Rmn" w:hAnsi="Tms Rmn"/>
          <w:sz w:val="12"/>
        </w:rPr>
        <w:t> </w:t>
      </w:r>
      <w:r>
        <w:t>:</w:t>
      </w:r>
      <w:r>
        <w:tab/>
        <w:t xml:space="preserve">atmospheric absorption in the band as a function of frequency </w:t>
      </w:r>
    </w:p>
    <w:p w:rsidR="00B9359B" w:rsidRDefault="009A5268">
      <w:pPr>
        <w:pStyle w:val="Equationlegend"/>
      </w:pPr>
      <w:r>
        <w:tab/>
      </w:r>
      <w:r>
        <w:rPr>
          <w:i/>
        </w:rPr>
        <w:t>r</w:t>
      </w:r>
      <w:r>
        <w:t>(</w:t>
      </w:r>
      <w:r>
        <w:rPr>
          <w:rFonts w:ascii="Tms Rmn" w:hAnsi="Tms Rmn"/>
          <w:sz w:val="12"/>
        </w:rPr>
        <w:t> </w:t>
      </w:r>
      <w:r>
        <w:rPr>
          <w:i/>
        </w:rPr>
        <w:t>f</w:t>
      </w:r>
      <w:r>
        <w:rPr>
          <w:rFonts w:ascii="Tms Rmn" w:hAnsi="Tms Rmn"/>
          <w:i/>
          <w:sz w:val="12"/>
        </w:rPr>
        <w:t> </w:t>
      </w:r>
      <w:r>
        <w:t>)</w:t>
      </w:r>
      <w:r>
        <w:rPr>
          <w:rFonts w:ascii="Tms Rmn" w:hAnsi="Tms Rmn"/>
          <w:sz w:val="12"/>
        </w:rPr>
        <w:t> </w:t>
      </w:r>
      <w:r>
        <w:t>:</w:t>
      </w:r>
      <w:r>
        <w:tab/>
        <w:t>transfer characteristics of passive service receive filters as a function of frequency.</w:t>
      </w:r>
    </w:p>
    <w:p w:rsidR="00B9359B" w:rsidRDefault="009A5268">
      <w:pPr>
        <w:rPr>
          <w:lang w:val="en-US"/>
        </w:rPr>
      </w:pPr>
      <w:r>
        <w:rPr>
          <w:lang w:val="en-US"/>
        </w:rPr>
        <w:br w:type="page"/>
        <w:t>Implementing a guardband involves shifting both the receiver and transmitter curves. As a result of the frequency shift some of the curves may change shape to accommodate the bandwidth available.</w:t>
      </w:r>
    </w:p>
    <w:p w:rsidR="00B9359B" w:rsidRDefault="009A5268">
      <w:pPr>
        <w:pStyle w:val="Heading4"/>
        <w:rPr>
          <w:lang w:val="en-US"/>
        </w:rPr>
      </w:pPr>
      <w:bookmarkStart w:id="37" w:name="_Toc51045436"/>
      <w:r>
        <w:rPr>
          <w:lang w:val="en-US"/>
        </w:rPr>
        <w:t>2.13.1.3</w:t>
      </w:r>
      <w:r>
        <w:rPr>
          <w:lang w:val="en-US"/>
        </w:rPr>
        <w:tab/>
        <w:t>Use of geographic isolation</w:t>
      </w:r>
      <w:bookmarkEnd w:id="37"/>
    </w:p>
    <w:p w:rsidR="00B9359B" w:rsidRDefault="009A5268">
      <w:pPr>
        <w:rPr>
          <w:lang w:val="en-US"/>
        </w:rPr>
      </w:pPr>
      <w:r>
        <w:rPr>
          <w:lang w:val="en-US"/>
        </w:rPr>
        <w:t>Another method to avoid detrimental interference is to make sure that the Earth-based passive service station is sufficiently removed from the boresight of the active service transmitter. If the Earth-based passive service stations are located in areas, which are removed from the space station service area then the interference, is minimized. Furthermore, if the Earth-based passive service stations are few in number and their positions are well known then it should be possible for the space station designer to position the beams so as to avoid the Earth-based passive service stations.</w:t>
      </w:r>
    </w:p>
    <w:p w:rsidR="00B9359B" w:rsidRDefault="009A5268">
      <w:pPr>
        <w:pStyle w:val="Heading3"/>
        <w:rPr>
          <w:lang w:val="en-US"/>
        </w:rPr>
      </w:pPr>
      <w:bookmarkStart w:id="38" w:name="_Toc51045437"/>
      <w:r>
        <w:rPr>
          <w:lang w:val="en-US"/>
        </w:rPr>
        <w:t>2.13.2</w:t>
      </w:r>
      <w:r>
        <w:rPr>
          <w:lang w:val="en-US"/>
        </w:rPr>
        <w:tab/>
        <w:t>Passive system</w:t>
      </w:r>
      <w:bookmarkEnd w:id="38"/>
    </w:p>
    <w:p w:rsidR="00B9359B" w:rsidRDefault="009A5268">
      <w:pPr>
        <w:rPr>
          <w:lang w:val="en-US"/>
        </w:rPr>
      </w:pPr>
      <w:r>
        <w:rPr>
          <w:lang w:val="en-US"/>
        </w:rPr>
        <w:t>See Recommendation ITU-R SM.1542.</w:t>
      </w:r>
    </w:p>
    <w:p w:rsidR="00B9359B" w:rsidRDefault="009A5268">
      <w:pPr>
        <w:pStyle w:val="Heading2"/>
        <w:rPr>
          <w:lang w:val="en-US"/>
        </w:rPr>
      </w:pPr>
      <w:bookmarkStart w:id="39" w:name="_Toc51045438"/>
      <w:r>
        <w:rPr>
          <w:lang w:val="en-US"/>
        </w:rPr>
        <w:t>2.14</w:t>
      </w:r>
      <w:r>
        <w:rPr>
          <w:lang w:val="en-US"/>
        </w:rPr>
        <w:tab/>
        <w:t>End circles (a), (b), (c)</w:t>
      </w:r>
      <w:bookmarkEnd w:id="39"/>
    </w:p>
    <w:p w:rsidR="00B9359B" w:rsidRDefault="009A5268">
      <w:pPr>
        <w:rPr>
          <w:lang w:val="en-US"/>
        </w:rPr>
      </w:pPr>
      <w:r>
        <w:rPr>
          <w:i/>
          <w:iCs/>
          <w:lang w:val="en-US"/>
        </w:rPr>
        <w:t>End (a)</w:t>
      </w:r>
      <w:r>
        <w:rPr>
          <w:lang w:val="en-US"/>
        </w:rPr>
        <w:t>:  The methodology ending at this point has determined that compatibility has been demonstrated between the initial passive service parameters and the initial or refined active service parameters. It is a possible outcome at his point that no modifications were needed and the initial parameters analysed represent compatible systems.</w:t>
      </w:r>
    </w:p>
    <w:p w:rsidR="00B9359B" w:rsidRDefault="009A5268">
      <w:pPr>
        <w:rPr>
          <w:lang w:val="en-US"/>
        </w:rPr>
      </w:pPr>
      <w:r>
        <w:rPr>
          <w:i/>
          <w:iCs/>
          <w:lang w:val="en-US"/>
        </w:rPr>
        <w:t>End (b)</w:t>
      </w:r>
      <w:r>
        <w:rPr>
          <w:lang w:val="en-US"/>
        </w:rPr>
        <w:t>:  The methodology ending at this point has determined that compatibility has been demonstrated between the initial or refined passive service parameters and the initial or refined active service parameters or by the consideration of other mitigation techniques.</w:t>
      </w:r>
    </w:p>
    <w:p w:rsidR="00B9359B" w:rsidRDefault="009A5268">
      <w:pPr>
        <w:rPr>
          <w:lang w:val="en-US"/>
        </w:rPr>
      </w:pPr>
      <w:r>
        <w:rPr>
          <w:i/>
          <w:iCs/>
          <w:lang w:val="en-US"/>
        </w:rPr>
        <w:t>End (c)</w:t>
      </w:r>
      <w:r>
        <w:rPr>
          <w:lang w:val="en-US"/>
        </w:rPr>
        <w:t>:  The methodology ending at this point has determined that compatibility cannot be demonstrated with the initial or refined parameters for each service. It is necessary that the administrations sponsoring specific systems enter into negotiations relative to these systems.</w:t>
      </w:r>
    </w:p>
    <w:p w:rsidR="00B9359B" w:rsidRDefault="00B9359B">
      <w:pPr>
        <w:rPr>
          <w:lang w:val="en-US"/>
        </w:rPr>
      </w:pPr>
    </w:p>
    <w:p w:rsidR="00B9359B" w:rsidRDefault="00B9359B">
      <w:pPr>
        <w:rPr>
          <w:lang w:val="en-US"/>
        </w:rPr>
      </w:pPr>
    </w:p>
    <w:p w:rsidR="00B9359B" w:rsidRDefault="009A5268">
      <w:pPr>
        <w:pStyle w:val="AppendixNoTitle"/>
        <w:rPr>
          <w:lang w:val="en-US"/>
        </w:rPr>
      </w:pPr>
      <w:r>
        <w:rPr>
          <w:lang w:val="en-US"/>
        </w:rPr>
        <w:t>Appendix 1</w:t>
      </w:r>
      <w:r>
        <w:rPr>
          <w:lang w:val="en-US"/>
        </w:rPr>
        <w:br/>
        <w:t>to Annex 1</w:t>
      </w:r>
    </w:p>
    <w:p w:rsidR="00B9359B" w:rsidRDefault="009A5268">
      <w:pPr>
        <w:pStyle w:val="Normalaftertitle"/>
        <w:rPr>
          <w:lang w:val="en-US"/>
        </w:rPr>
      </w:pPr>
      <w:r>
        <w:rPr>
          <w:lang w:val="en-US"/>
        </w:rPr>
        <w:t>This</w:t>
      </w:r>
      <w:r>
        <w:rPr>
          <w:bCs/>
          <w:lang w:val="en-US"/>
        </w:rPr>
        <w:t xml:space="preserve"> technical Appendix to Annex 1 </w:t>
      </w:r>
      <w:r>
        <w:rPr>
          <w:lang w:val="en-US"/>
        </w:rPr>
        <w:t>collects information on technical topics. They are retained either because they are of interest for future calculations (e.g. the propagation coefficients in § 3), or are the subject of further studies.</w:t>
      </w:r>
    </w:p>
    <w:p w:rsidR="00B9359B" w:rsidRDefault="009A5268">
      <w:pPr>
        <w:pStyle w:val="Heading1"/>
        <w:rPr>
          <w:lang w:val="en-US"/>
        </w:rPr>
      </w:pPr>
      <w:bookmarkStart w:id="40" w:name="_Toc51045439"/>
      <w:r>
        <w:rPr>
          <w:lang w:val="en-US"/>
        </w:rPr>
        <w:t>1</w:t>
      </w:r>
      <w:r>
        <w:rPr>
          <w:lang w:val="en-US"/>
        </w:rPr>
        <w:tab/>
        <w:t>Interference power calculations</w:t>
      </w:r>
      <w:bookmarkEnd w:id="40"/>
    </w:p>
    <w:p w:rsidR="00B9359B" w:rsidRDefault="009A5268">
      <w:pPr>
        <w:rPr>
          <w:lang w:val="en-US"/>
        </w:rPr>
      </w:pPr>
      <w:r>
        <w:rPr>
          <w:lang w:val="en-US"/>
        </w:rPr>
        <w:t>Use of</w:t>
      </w:r>
      <w:r>
        <w:rPr>
          <w:bCs/>
          <w:lang w:val="en-US"/>
        </w:rPr>
        <w:t xml:space="preserve"> RR No. </w:t>
      </w:r>
      <w:r>
        <w:rPr>
          <w:lang w:val="en-US"/>
        </w:rPr>
        <w:t>1.153 and Recommendation ITU-R SM.1541 allows evaluation of interference to passive sensors in passive bands from active services operating in adjacent or nearby active service bands. Assuming that the occupied bandwidth of an emission, as defined in</w:t>
      </w:r>
      <w:r>
        <w:rPr>
          <w:bCs/>
          <w:lang w:val="en-US"/>
        </w:rPr>
        <w:t xml:space="preserve"> RR No. 1.153, does not overlap the passive service band, would limit the unwanted emission power in the passive band to no greater than 0.5% of the total mean power of the emission. Recommendation ITU</w:t>
      </w:r>
      <w:r>
        <w:rPr>
          <w:bCs/>
          <w:lang w:val="en-US"/>
        </w:rPr>
        <w:noBreakHyphen/>
        <w:t xml:space="preserve">R SM.1541 </w:t>
      </w:r>
      <w:r>
        <w:rPr>
          <w:lang w:val="en-US"/>
        </w:rPr>
        <w:t xml:space="preserve">provides a worst-case analysis in which the OoB emissions from the active service are overstated. </w:t>
      </w:r>
    </w:p>
    <w:p w:rsidR="00B9359B" w:rsidRDefault="009A5268">
      <w:pPr>
        <w:rPr>
          <w:lang w:val="en-US"/>
        </w:rPr>
      </w:pPr>
      <w:r>
        <w:rPr>
          <w:lang w:val="en-US"/>
        </w:rPr>
        <w:br w:type="page"/>
        <w:t>Equation (9) provides a spectral representation to serve as guidance on unwanted emissions in the  FSS. The spectral representation is referenced to the necessary bandwidth in terms of percentage. If the mask is integrated to determine the amount of power beyond some range from the</w:t>
      </w:r>
      <w:r>
        <w:rPr>
          <w:lang w:val="en-GB"/>
        </w:rPr>
        <w:t xml:space="preserve"> centre</w:t>
      </w:r>
      <w:r>
        <w:rPr>
          <w:lang w:val="en-US"/>
        </w:rPr>
        <w:t xml:space="preserve"> frequency it will provide a curve as shown in Fig. 2. (The Figure assumes a sliding integration domain of 400% of the necessary bandwidth.). An integration of the FSS mask from</w:t>
      </w:r>
      <w:r>
        <w:rPr>
          <w:bCs/>
          <w:lang w:val="en-US"/>
        </w:rPr>
        <w:t xml:space="preserve"> Recommendation ITU</w:t>
      </w:r>
      <w:r>
        <w:rPr>
          <w:bCs/>
          <w:lang w:val="en-US"/>
        </w:rPr>
        <w:noBreakHyphen/>
        <w:t>R SM.1541</w:t>
      </w:r>
      <w:r>
        <w:rPr>
          <w:lang w:val="en-US"/>
        </w:rPr>
        <w:t xml:space="preserve"> indicates that 17% of the in-band energy is transmitted on either side of the necessary bandwidth, and the problem is even further exacerbated when its use is coupled with that of the spurious domain mask in RR Appendix </w:t>
      </w:r>
      <w:r>
        <w:rPr>
          <w:bCs/>
          <w:lang w:val="en-US"/>
        </w:rPr>
        <w:t>3</w:t>
      </w:r>
      <w:r>
        <w:rPr>
          <w:lang w:val="en-US"/>
        </w:rPr>
        <w:t xml:space="preserve"> which is flat for all bands, leading to a value of infinite power on integration. To assist in determining the interference power in passive bands, it was proposed that a spectral representation, based on a raised cosine filter that gives the response in the frequency domain:</w:t>
      </w:r>
    </w:p>
    <w:p w:rsidR="00B9359B" w:rsidRDefault="009A5268">
      <w:pPr>
        <w:pStyle w:val="Equation"/>
        <w:rPr>
          <w:lang w:val="en-US"/>
        </w:rPr>
      </w:pPr>
      <w:r>
        <w:rPr>
          <w:lang w:val="en-US"/>
        </w:rPr>
        <w:tab/>
      </w:r>
      <w:r>
        <w:rPr>
          <w:lang w:val="en-US"/>
        </w:rPr>
        <w:tab/>
      </w:r>
      <w:r>
        <w:rPr>
          <w:i/>
          <w:iCs/>
          <w:lang w:val="en-US"/>
        </w:rPr>
        <w:t>A</w:t>
      </w:r>
      <w:r>
        <w:rPr>
          <w:lang w:val="en-US"/>
        </w:rPr>
        <w:t> </w:t>
      </w:r>
      <w:r>
        <w:rPr>
          <w:rFonts w:ascii="Symbol" w:hAnsi="Symbol"/>
          <w:lang w:val="en-US"/>
        </w:rPr>
        <w:t></w:t>
      </w:r>
      <w:r>
        <w:rPr>
          <w:lang w:val="en-US"/>
        </w:rPr>
        <w:t> [sinc(2</w:t>
      </w:r>
      <w:r>
        <w:rPr>
          <w:i/>
          <w:iCs/>
          <w:lang w:val="en-US"/>
        </w:rPr>
        <w:t>f</w:t>
      </w:r>
      <w:r>
        <w:rPr>
          <w:rFonts w:ascii="Tms Rmn" w:hAnsi="Tms Rmn"/>
          <w:sz w:val="12"/>
          <w:lang w:val="en-US"/>
        </w:rPr>
        <w:t> </w:t>
      </w:r>
      <w:r>
        <w:rPr>
          <w:lang w:val="en-US"/>
        </w:rPr>
        <w:t>/</w:t>
      </w:r>
      <w:r>
        <w:rPr>
          <w:rFonts w:ascii="Tms Rmn" w:hAnsi="Tms Rmn"/>
          <w:sz w:val="6"/>
          <w:lang w:val="en-US"/>
        </w:rPr>
        <w:t> </w:t>
      </w:r>
      <w:r>
        <w:rPr>
          <w:i/>
          <w:iCs/>
          <w:lang w:val="en-US"/>
        </w:rPr>
        <w:t>B</w:t>
      </w:r>
      <w:r>
        <w:rPr>
          <w:i/>
          <w:iCs/>
          <w:vertAlign w:val="subscript"/>
          <w:lang w:val="en-US"/>
        </w:rPr>
        <w:t>N</w:t>
      </w:r>
      <w:r>
        <w:rPr>
          <w:lang w:val="en-US"/>
        </w:rPr>
        <w:t>)]</w:t>
      </w:r>
      <w:r>
        <w:rPr>
          <w:vertAlign w:val="superscript"/>
          <w:lang w:val="en-US"/>
        </w:rPr>
        <w:t>2</w:t>
      </w:r>
      <w:r>
        <w:rPr>
          <w:lang w:val="en-US"/>
        </w:rPr>
        <w:t> / [1 – (2</w:t>
      </w:r>
      <w:r>
        <w:rPr>
          <w:i/>
          <w:iCs/>
          <w:lang w:val="en-US"/>
        </w:rPr>
        <w:t>f</w:t>
      </w:r>
      <w:r>
        <w:rPr>
          <w:rFonts w:ascii="Tms Rmn" w:hAnsi="Tms Rmn"/>
          <w:sz w:val="12"/>
          <w:lang w:val="en-US"/>
        </w:rPr>
        <w:t> </w:t>
      </w:r>
      <w:r>
        <w:rPr>
          <w:lang w:val="en-US"/>
        </w:rPr>
        <w:t>/</w:t>
      </w:r>
      <w:r>
        <w:rPr>
          <w:rFonts w:ascii="Tms Rmn" w:hAnsi="Tms Rmn"/>
          <w:sz w:val="6"/>
          <w:lang w:val="en-US"/>
        </w:rPr>
        <w:t> </w:t>
      </w:r>
      <w:r>
        <w:rPr>
          <w:i/>
          <w:iCs/>
          <w:lang w:val="en-US"/>
        </w:rPr>
        <w:t>B</w:t>
      </w:r>
      <w:r>
        <w:rPr>
          <w:i/>
          <w:iCs/>
          <w:vertAlign w:val="subscript"/>
          <w:lang w:val="en-US"/>
        </w:rPr>
        <w:t>N</w:t>
      </w:r>
      <w:r>
        <w:rPr>
          <w:lang w:val="en-US"/>
        </w:rPr>
        <w:t>)</w:t>
      </w:r>
      <w:r>
        <w:rPr>
          <w:vertAlign w:val="superscript"/>
          <w:lang w:val="en-US"/>
        </w:rPr>
        <w:t>2</w:t>
      </w:r>
      <w:r>
        <w:rPr>
          <w:lang w:val="en-US"/>
        </w:rPr>
        <w:t>]</w:t>
      </w:r>
      <w:r>
        <w:rPr>
          <w:vertAlign w:val="superscript"/>
          <w:lang w:val="en-US"/>
        </w:rPr>
        <w:t>2</w:t>
      </w:r>
      <w:r>
        <w:rPr>
          <w:lang w:val="en-US"/>
        </w:rPr>
        <w:tab/>
      </w:r>
      <w:r>
        <w:rPr>
          <w:rFonts w:ascii="Times" w:hAnsi="Times"/>
          <w:lang w:val="en-US"/>
        </w:rPr>
        <w:t>(9)</w:t>
      </w:r>
    </w:p>
    <w:p w:rsidR="00B9359B" w:rsidRDefault="009A5268">
      <w:pPr>
        <w:tabs>
          <w:tab w:val="center" w:pos="4820"/>
        </w:tabs>
        <w:rPr>
          <w:lang w:val="en-US"/>
        </w:rPr>
      </w:pPr>
      <w:r>
        <w:rPr>
          <w:lang w:val="en-US"/>
        </w:rPr>
        <w:t>where:</w:t>
      </w:r>
    </w:p>
    <w:p w:rsidR="00B9359B" w:rsidRDefault="009A5268">
      <w:pPr>
        <w:pStyle w:val="Equation"/>
        <w:tabs>
          <w:tab w:val="left" w:pos="1980"/>
          <w:tab w:val="left" w:pos="7200"/>
        </w:tabs>
        <w:rPr>
          <w:lang w:val="en-US"/>
        </w:rPr>
      </w:pPr>
      <w:r>
        <w:rPr>
          <w:lang w:val="en-US"/>
        </w:rPr>
        <w:tab/>
      </w:r>
      <w:r>
        <w:rPr>
          <w:lang w:val="en-US"/>
        </w:rPr>
        <w:tab/>
        <w:t>sinc(2</w:t>
      </w:r>
      <w:r>
        <w:rPr>
          <w:i/>
          <w:iCs/>
          <w:lang w:val="en-US"/>
        </w:rPr>
        <w:t>f</w:t>
      </w:r>
      <w:r>
        <w:rPr>
          <w:rFonts w:ascii="Tms Rmn" w:hAnsi="Tms Rmn"/>
          <w:sz w:val="12"/>
          <w:lang w:val="en-US"/>
        </w:rPr>
        <w:t> </w:t>
      </w:r>
      <w:r>
        <w:rPr>
          <w:lang w:val="en-US"/>
        </w:rPr>
        <w:t>/</w:t>
      </w:r>
      <w:r>
        <w:rPr>
          <w:sz w:val="6"/>
          <w:lang w:val="en-US"/>
        </w:rPr>
        <w:t> </w:t>
      </w:r>
      <w:r>
        <w:rPr>
          <w:i/>
          <w:iCs/>
          <w:lang w:val="en-US"/>
        </w:rPr>
        <w:t>B</w:t>
      </w:r>
      <w:r>
        <w:rPr>
          <w:i/>
          <w:iCs/>
          <w:vertAlign w:val="subscript"/>
          <w:lang w:val="en-US"/>
        </w:rPr>
        <w:t>N</w:t>
      </w:r>
      <w:r>
        <w:rPr>
          <w:lang w:val="en-US"/>
        </w:rPr>
        <w:t>) </w:t>
      </w:r>
      <w:r>
        <w:rPr>
          <w:rFonts w:ascii="Symbol" w:hAnsi="Symbol"/>
          <w:lang w:val="en-US"/>
        </w:rPr>
        <w:t></w:t>
      </w:r>
      <w:r>
        <w:rPr>
          <w:lang w:val="en-US"/>
        </w:rPr>
        <w:t> sinc(2</w:t>
      </w:r>
      <w:r>
        <w:rPr>
          <w:rFonts w:ascii="Symbol" w:hAnsi="Symbol"/>
          <w:lang w:val="en-US"/>
        </w:rPr>
        <w:t></w:t>
      </w:r>
      <w:r>
        <w:rPr>
          <w:rFonts w:ascii="Tms Rmn" w:hAnsi="Tms Rmn"/>
          <w:i/>
          <w:iCs/>
          <w:sz w:val="12"/>
          <w:lang w:val="en-US"/>
        </w:rPr>
        <w:t> </w:t>
      </w:r>
      <w:r>
        <w:rPr>
          <w:i/>
          <w:iCs/>
          <w:lang w:val="en-US"/>
        </w:rPr>
        <w:t>f</w:t>
      </w:r>
      <w:r>
        <w:rPr>
          <w:rFonts w:ascii="Tms Rmn" w:hAnsi="Tms Rmn"/>
          <w:sz w:val="12"/>
          <w:lang w:val="en-US"/>
        </w:rPr>
        <w:t> </w:t>
      </w:r>
      <w:r>
        <w:rPr>
          <w:lang w:val="en-US"/>
        </w:rPr>
        <w:t>/</w:t>
      </w:r>
      <w:r>
        <w:rPr>
          <w:sz w:val="6"/>
          <w:lang w:val="en-US"/>
        </w:rPr>
        <w:t> </w:t>
      </w:r>
      <w:r>
        <w:rPr>
          <w:i/>
          <w:iCs/>
          <w:lang w:val="en-US"/>
        </w:rPr>
        <w:t>B</w:t>
      </w:r>
      <w:r>
        <w:rPr>
          <w:i/>
          <w:iCs/>
          <w:vertAlign w:val="subscript"/>
          <w:lang w:val="en-US"/>
        </w:rPr>
        <w:t>N</w:t>
      </w:r>
      <w:r>
        <w:rPr>
          <w:lang w:val="en-US"/>
        </w:rPr>
        <w:t>) / (2</w:t>
      </w:r>
      <w:r>
        <w:rPr>
          <w:rFonts w:ascii="Symbol" w:hAnsi="Symbol"/>
          <w:lang w:val="en-US"/>
        </w:rPr>
        <w:t></w:t>
      </w:r>
      <w:r>
        <w:rPr>
          <w:rFonts w:ascii="Tms Rmn" w:hAnsi="Tms Rmn"/>
          <w:i/>
          <w:iCs/>
          <w:sz w:val="12"/>
          <w:lang w:val="en-US"/>
        </w:rPr>
        <w:t> </w:t>
      </w:r>
      <w:r>
        <w:rPr>
          <w:i/>
          <w:iCs/>
          <w:lang w:val="en-US"/>
        </w:rPr>
        <w:t>f</w:t>
      </w:r>
      <w:r>
        <w:rPr>
          <w:rFonts w:ascii="Tms Rmn" w:hAnsi="Tms Rmn"/>
          <w:sz w:val="12"/>
          <w:lang w:val="en-US"/>
        </w:rPr>
        <w:t> </w:t>
      </w:r>
      <w:r>
        <w:rPr>
          <w:lang w:val="en-US"/>
        </w:rPr>
        <w:t>/</w:t>
      </w:r>
      <w:r>
        <w:rPr>
          <w:sz w:val="6"/>
          <w:lang w:val="en-US"/>
        </w:rPr>
        <w:t> </w:t>
      </w:r>
      <w:r>
        <w:rPr>
          <w:i/>
          <w:iCs/>
          <w:lang w:val="en-US"/>
        </w:rPr>
        <w:t>B</w:t>
      </w:r>
      <w:r>
        <w:rPr>
          <w:i/>
          <w:iCs/>
          <w:vertAlign w:val="subscript"/>
          <w:lang w:val="en-US"/>
        </w:rPr>
        <w:t>N</w:t>
      </w:r>
      <w:r>
        <w:rPr>
          <w:lang w:val="en-US"/>
        </w:rPr>
        <w:t>)</w:t>
      </w:r>
      <w:r>
        <w:rPr>
          <w:lang w:val="en-US"/>
        </w:rPr>
        <w:tab/>
        <w:t>for  2</w:t>
      </w:r>
      <w:r>
        <w:rPr>
          <w:rFonts w:ascii="Symbol" w:hAnsi="Symbol"/>
          <w:lang w:val="en-US"/>
        </w:rPr>
        <w:t></w:t>
      </w:r>
      <w:r>
        <w:rPr>
          <w:rFonts w:ascii="Tms Rmn" w:hAnsi="Tms Rmn"/>
          <w:i/>
          <w:iCs/>
          <w:sz w:val="12"/>
          <w:lang w:val="en-US"/>
        </w:rPr>
        <w:t> </w:t>
      </w:r>
      <w:r>
        <w:rPr>
          <w:i/>
          <w:iCs/>
          <w:lang w:val="en-US"/>
        </w:rPr>
        <w:t>f</w:t>
      </w:r>
      <w:r>
        <w:rPr>
          <w:rFonts w:ascii="Tms Rmn" w:hAnsi="Tms Rmn"/>
          <w:sz w:val="12"/>
          <w:lang w:val="en-US"/>
        </w:rPr>
        <w:t> </w:t>
      </w:r>
      <w:r>
        <w:rPr>
          <w:lang w:val="en-US"/>
        </w:rPr>
        <w:t>/</w:t>
      </w:r>
      <w:r>
        <w:rPr>
          <w:sz w:val="6"/>
          <w:lang w:val="en-US"/>
        </w:rPr>
        <w:t> </w:t>
      </w:r>
      <w:r>
        <w:rPr>
          <w:i/>
          <w:iCs/>
          <w:lang w:val="en-US"/>
        </w:rPr>
        <w:t>B</w:t>
      </w:r>
      <w:r>
        <w:rPr>
          <w:i/>
          <w:iCs/>
          <w:vertAlign w:val="subscript"/>
          <w:lang w:val="en-US"/>
        </w:rPr>
        <w:t>N</w:t>
      </w:r>
      <w:r>
        <w:rPr>
          <w:lang w:val="en-US"/>
        </w:rPr>
        <w:t> </w:t>
      </w:r>
      <w:r>
        <w:rPr>
          <w:rFonts w:ascii="Symbol" w:hAnsi="Symbol"/>
          <w:lang w:val="en-US"/>
        </w:rPr>
        <w:t></w:t>
      </w:r>
      <w:r>
        <w:rPr>
          <w:lang w:val="en-US"/>
        </w:rPr>
        <w:t> 0</w:t>
      </w:r>
    </w:p>
    <w:p w:rsidR="00B9359B" w:rsidRDefault="009A5268">
      <w:pPr>
        <w:pStyle w:val="Equation"/>
        <w:tabs>
          <w:tab w:val="left" w:pos="1980"/>
          <w:tab w:val="left" w:pos="7200"/>
        </w:tabs>
        <w:rPr>
          <w:lang w:val="en-US"/>
        </w:rPr>
      </w:pPr>
      <w:r>
        <w:rPr>
          <w:lang w:val="en-US"/>
        </w:rPr>
        <w:t>and:</w:t>
      </w:r>
    </w:p>
    <w:p w:rsidR="00B9359B" w:rsidRDefault="009A5268">
      <w:pPr>
        <w:pStyle w:val="Equation"/>
        <w:tabs>
          <w:tab w:val="left" w:pos="1980"/>
          <w:tab w:val="left" w:pos="7200"/>
        </w:tabs>
        <w:rPr>
          <w:lang w:val="en-US"/>
        </w:rPr>
      </w:pPr>
      <w:r>
        <w:rPr>
          <w:lang w:val="en-US"/>
        </w:rPr>
        <w:tab/>
      </w:r>
      <w:r>
        <w:rPr>
          <w:lang w:val="en-US"/>
        </w:rPr>
        <w:tab/>
        <w:t>sinc(2</w:t>
      </w:r>
      <w:r>
        <w:rPr>
          <w:i/>
          <w:iCs/>
          <w:lang w:val="en-US"/>
        </w:rPr>
        <w:t>f</w:t>
      </w:r>
      <w:r>
        <w:rPr>
          <w:lang w:val="en-US"/>
        </w:rPr>
        <w:t> / </w:t>
      </w:r>
      <w:r>
        <w:rPr>
          <w:i/>
          <w:iCs/>
          <w:lang w:val="en-US"/>
        </w:rPr>
        <w:t>B</w:t>
      </w:r>
      <w:r>
        <w:rPr>
          <w:i/>
          <w:iCs/>
          <w:vertAlign w:val="subscript"/>
          <w:lang w:val="en-US"/>
        </w:rPr>
        <w:t>N</w:t>
      </w:r>
      <w:r>
        <w:rPr>
          <w:lang w:val="en-US"/>
        </w:rPr>
        <w:t>) </w:t>
      </w:r>
      <w:r>
        <w:rPr>
          <w:rFonts w:ascii="Symbol" w:hAnsi="Symbol"/>
        </w:rPr>
        <w:t></w:t>
      </w:r>
      <w:r>
        <w:rPr>
          <w:lang w:val="en-US"/>
        </w:rPr>
        <w:t> 1</w:t>
      </w:r>
      <w:r>
        <w:rPr>
          <w:lang w:val="en-US"/>
        </w:rPr>
        <w:tab/>
      </w:r>
      <w:r>
        <w:rPr>
          <w:lang w:val="en-US"/>
        </w:rPr>
        <w:tab/>
        <w:t>for  2</w:t>
      </w:r>
      <w:r>
        <w:rPr>
          <w:rFonts w:ascii="Symbol" w:hAnsi="Symbol"/>
          <w:lang w:val="en-US"/>
        </w:rPr>
        <w:t></w:t>
      </w:r>
      <w:r>
        <w:rPr>
          <w:rFonts w:ascii="Tms Rmn" w:hAnsi="Tms Rmn"/>
          <w:i/>
          <w:iCs/>
          <w:sz w:val="12"/>
          <w:lang w:val="en-US"/>
        </w:rPr>
        <w:t> </w:t>
      </w:r>
      <w:r>
        <w:rPr>
          <w:i/>
          <w:iCs/>
          <w:lang w:val="en-US"/>
        </w:rPr>
        <w:t>f</w:t>
      </w:r>
      <w:r>
        <w:rPr>
          <w:rFonts w:ascii="Tms Rmn" w:hAnsi="Tms Rmn"/>
          <w:sz w:val="12"/>
          <w:lang w:val="en-US"/>
        </w:rPr>
        <w:t> </w:t>
      </w:r>
      <w:r>
        <w:rPr>
          <w:lang w:val="en-US"/>
        </w:rPr>
        <w:t>/</w:t>
      </w:r>
      <w:r>
        <w:rPr>
          <w:sz w:val="6"/>
          <w:lang w:val="en-US"/>
        </w:rPr>
        <w:t> </w:t>
      </w:r>
      <w:r>
        <w:rPr>
          <w:i/>
          <w:iCs/>
          <w:lang w:val="en-US"/>
        </w:rPr>
        <w:t>B</w:t>
      </w:r>
      <w:r>
        <w:rPr>
          <w:lang w:val="en-US"/>
        </w:rPr>
        <w:t> </w:t>
      </w:r>
      <w:r>
        <w:rPr>
          <w:rFonts w:ascii="Symbol" w:hAnsi="Symbol"/>
          <w:lang w:val="en-US"/>
        </w:rPr>
        <w:t></w:t>
      </w:r>
      <w:r>
        <w:rPr>
          <w:lang w:val="en-US"/>
        </w:rPr>
        <w:t> 0</w:t>
      </w:r>
    </w:p>
    <w:p w:rsidR="00B9359B" w:rsidRDefault="009A5268">
      <w:pPr>
        <w:rPr>
          <w:lang w:val="en-US"/>
        </w:rPr>
      </w:pPr>
      <w:r>
        <w:rPr>
          <w:lang w:val="en-US"/>
        </w:rPr>
        <w:t>where:</w:t>
      </w:r>
    </w:p>
    <w:p w:rsidR="00B9359B" w:rsidRDefault="009A5268">
      <w:pPr>
        <w:pStyle w:val="Equationlegend"/>
      </w:pPr>
      <w:r>
        <w:tab/>
      </w:r>
      <w:r>
        <w:rPr>
          <w:i/>
          <w:iCs/>
        </w:rPr>
        <w:t>A</w:t>
      </w:r>
      <w:r>
        <w:rPr>
          <w:rFonts w:ascii="Tms Rmn" w:hAnsi="Tms Rmn"/>
          <w:sz w:val="12"/>
        </w:rPr>
        <w:t> </w:t>
      </w:r>
      <w:r>
        <w:rPr>
          <w:rFonts w:ascii="Tms Rmn" w:hAnsi="Tms Rmn"/>
          <w:sz w:val="20"/>
        </w:rPr>
        <w:t>:</w:t>
      </w:r>
      <w:r>
        <w:tab/>
        <w:t>attenuation</w:t>
      </w:r>
    </w:p>
    <w:p w:rsidR="00B9359B" w:rsidRDefault="009A5268">
      <w:pPr>
        <w:pStyle w:val="Equationlegend"/>
      </w:pPr>
      <w:r>
        <w:tab/>
      </w:r>
      <w:r>
        <w:rPr>
          <w:i/>
          <w:iCs/>
        </w:rPr>
        <w:t>f</w:t>
      </w:r>
      <w:r>
        <w:rPr>
          <w:rFonts w:ascii="Tms Rmn" w:hAnsi="Tms Rmn"/>
          <w:sz w:val="12"/>
        </w:rPr>
        <w:t> </w:t>
      </w:r>
      <w:r>
        <w:rPr>
          <w:rFonts w:ascii="Tms Rmn" w:hAnsi="Tms Rmn"/>
          <w:sz w:val="20"/>
        </w:rPr>
        <w:t>:</w:t>
      </w:r>
      <w:r>
        <w:tab/>
        <w:t>frequency, from centre of necessary bandwidth</w:t>
      </w:r>
    </w:p>
    <w:p w:rsidR="00B9359B" w:rsidRDefault="009A5268">
      <w:pPr>
        <w:pStyle w:val="Equationlegend"/>
      </w:pPr>
      <w:r>
        <w:tab/>
      </w:r>
      <w:r>
        <w:rPr>
          <w:i/>
          <w:iCs/>
        </w:rPr>
        <w:t>B</w:t>
      </w:r>
      <w:r>
        <w:rPr>
          <w:i/>
          <w:iCs/>
          <w:vertAlign w:val="subscript"/>
        </w:rPr>
        <w:t>N</w:t>
      </w:r>
      <w:r>
        <w:rPr>
          <w:rFonts w:ascii="Tms Rmn" w:hAnsi="Tms Rmn"/>
          <w:sz w:val="12"/>
        </w:rPr>
        <w:t> </w:t>
      </w:r>
      <w:r>
        <w:rPr>
          <w:rFonts w:ascii="Tms Rmn" w:hAnsi="Tms Rmn"/>
          <w:sz w:val="20"/>
        </w:rPr>
        <w:t>:</w:t>
      </w:r>
      <w:r>
        <w:tab/>
        <w:t>necessary bandwidth.</w:t>
      </w:r>
    </w:p>
    <w:p w:rsidR="00B9359B" w:rsidRDefault="00AB52AF">
      <w:pPr>
        <w:pStyle w:val="FigureNo"/>
        <w:spacing w:after="0"/>
      </w:pPr>
      <w:r>
        <w:pict>
          <v:shape id="_x0000_i1034" type="#_x0000_t75" style="width:315.95pt;height:247.7pt">
            <v:imagedata r:id="rId24" o:title=""/>
          </v:shape>
        </w:pict>
      </w:r>
    </w:p>
    <w:p w:rsidR="00B9359B" w:rsidRDefault="009A5268">
      <w:pPr>
        <w:rPr>
          <w:lang w:val="en-US"/>
        </w:rPr>
      </w:pPr>
      <w:r>
        <w:rPr>
          <w:lang w:val="en-US"/>
        </w:rPr>
        <w:t>This preliminary spectral representation of the unwanted emissions, intended for the band-by-band studies, represents in a very general way the typical mean power distribution through the OoB and spurious domains in an adjacent or nearby allocation. The raised cosine mask has been used in calculations in some of the Annexes; its use in such cases is clearly indicated in the text. The applicability of this spectral representation to various services and stations (e.g. space or terrestrial) as well as the frequency range of its validity should be the subject of further studies before its use becomes widespread.</w:t>
      </w:r>
    </w:p>
    <w:p w:rsidR="00B9359B" w:rsidRDefault="009A5268">
      <w:pPr>
        <w:pStyle w:val="enumlev1"/>
        <w:ind w:left="0" w:firstLine="0"/>
        <w:rPr>
          <w:lang w:val="en-US"/>
        </w:rPr>
      </w:pPr>
      <w:r>
        <w:rPr>
          <w:lang w:val="en-US"/>
        </w:rPr>
        <w:br w:type="page"/>
        <w:t>In cases where the scenario is not static, and the worst-case static analysis results in potential interference, a determination of the statistical distribution of interference events will be required. Performing a dynamic analysis, which accounts for the time varying characteristics of the scenario, can do this. The steps that should be followed are as follows:</w:t>
      </w:r>
    </w:p>
    <w:p w:rsidR="00B9359B" w:rsidRDefault="009A5268">
      <w:pPr>
        <w:pStyle w:val="enumlev1"/>
        <w:ind w:left="0" w:firstLine="0"/>
        <w:rPr>
          <w:lang w:val="en-US"/>
        </w:rPr>
      </w:pPr>
      <w:r>
        <w:rPr>
          <w:i/>
          <w:iCs/>
          <w:lang w:val="en-US"/>
        </w:rPr>
        <w:t>Step 1</w:t>
      </w:r>
      <w:r>
        <w:rPr>
          <w:lang w:val="en-US"/>
        </w:rPr>
        <w:t>:</w:t>
      </w:r>
      <w:r>
        <w:rPr>
          <w:lang w:val="en-US"/>
        </w:rPr>
        <w:tab/>
        <w:t xml:space="preserve">When power predicted by the static analysis exceeds the interference threshold, there is potential for interference in the worst-case static sense. A dynamic simulation should be run in cases where the scenario is time varying to determine the statistical distribution of the interference. A dynamic simulation could show that there is an insignificant occurrence of interference as defined by Recommendation ITU-R </w:t>
      </w:r>
      <w:r>
        <w:rPr>
          <w:bCs/>
          <w:lang w:val="en-US"/>
        </w:rPr>
        <w:t>SA.1029 or from Recommendation ITU</w:t>
      </w:r>
      <w:r>
        <w:rPr>
          <w:bCs/>
          <w:lang w:val="en-US"/>
        </w:rPr>
        <w:noBreakHyphen/>
        <w:t>R RA.1513. If this is the case, then no further an</w:t>
      </w:r>
      <w:r>
        <w:rPr>
          <w:lang w:val="en-US"/>
        </w:rPr>
        <w:t>alysis is required.</w:t>
      </w:r>
    </w:p>
    <w:p w:rsidR="00B9359B" w:rsidRDefault="009A5268">
      <w:pPr>
        <w:pStyle w:val="enumlev1"/>
        <w:ind w:left="0" w:firstLine="0"/>
        <w:rPr>
          <w:lang w:val="en-US"/>
        </w:rPr>
      </w:pPr>
      <w:r>
        <w:rPr>
          <w:i/>
          <w:iCs/>
          <w:lang w:val="en-US"/>
        </w:rPr>
        <w:t>Step 2</w:t>
      </w:r>
      <w:r>
        <w:rPr>
          <w:lang w:val="en-US"/>
        </w:rPr>
        <w:t>:</w:t>
      </w:r>
      <w:r>
        <w:rPr>
          <w:lang w:val="en-US"/>
        </w:rPr>
        <w:tab/>
        <w:t>If the simulation shows that the interference is significant, the process should be repeated using mitigation techniques such as a different satellite operating centre frequency further separated from the passive band or a filter to the satellite emissions and repeat the calculations until the interfering partial power at the passive service system is less than the required protection. This step could also include modification of other satellite parameters.</w:t>
      </w:r>
    </w:p>
    <w:p w:rsidR="00B9359B" w:rsidRDefault="009A5268">
      <w:pPr>
        <w:pStyle w:val="Heading1"/>
        <w:rPr>
          <w:lang w:val="en-US"/>
        </w:rPr>
      </w:pPr>
      <w:bookmarkStart w:id="41" w:name="_Toc51045440"/>
      <w:r>
        <w:rPr>
          <w:lang w:val="en-US"/>
        </w:rPr>
        <w:t>2</w:t>
      </w:r>
      <w:r>
        <w:rPr>
          <w:lang w:val="en-US"/>
        </w:rPr>
        <w:tab/>
        <w:t>Possible refinement of the interference power calculation in the case of unwanted emissions from FS systems that may fall within EESS bands</w:t>
      </w:r>
      <w:bookmarkEnd w:id="41"/>
    </w:p>
    <w:p w:rsidR="00B9359B" w:rsidRDefault="009A5268">
      <w:pPr>
        <w:spacing w:after="120"/>
        <w:rPr>
          <w:lang w:val="en-US"/>
        </w:rPr>
      </w:pPr>
      <w:r>
        <w:rPr>
          <w:lang w:val="en-US"/>
        </w:rPr>
        <w:t xml:space="preserve">In cases where the unwanted emissions level from FS systems at the edge of the OoB domain (derived from </w:t>
      </w:r>
      <w:r>
        <w:rPr>
          <w:bCs/>
          <w:lang w:val="en-US"/>
        </w:rPr>
        <w:t>Recommendation ITU-R</w:t>
      </w:r>
      <w:r>
        <w:rPr>
          <w:b/>
          <w:lang w:val="en-US"/>
        </w:rPr>
        <w:t xml:space="preserve"> </w:t>
      </w:r>
      <w:r>
        <w:rPr>
          <w:bCs/>
          <w:lang w:val="en-US"/>
        </w:rPr>
        <w:t>SM.1541) is significantly below the limit within the spurious domain given in Recommendation ITU</w:t>
      </w:r>
      <w:r>
        <w:rPr>
          <w:bCs/>
          <w:lang w:val="en-US"/>
        </w:rPr>
        <w:noBreakHyphen/>
        <w:t>R SM.329 or in RR Appendix 3, the evaluation of the interference power falling in the EESS band calculated by using limits given in Recom</w:t>
      </w:r>
      <w:r>
        <w:rPr>
          <w:bCs/>
          <w:lang w:val="en-US"/>
        </w:rPr>
        <w:softHyphen/>
        <w:t>mendation ITU</w:t>
      </w:r>
      <w:r>
        <w:rPr>
          <w:bCs/>
          <w:lang w:val="en-US"/>
        </w:rPr>
        <w:noBreakHyphen/>
        <w:t>R SM.329 or RR Appendix 3, will lead to signific</w:t>
      </w:r>
      <w:r>
        <w:rPr>
          <w:lang w:val="en-US"/>
        </w:rPr>
        <w:t>antly overestimate the power falling in a wide reference bandwidth (see Fig. 3).</w:t>
      </w:r>
    </w:p>
    <w:p w:rsidR="00B9359B" w:rsidRDefault="00AB52AF">
      <w:pPr>
        <w:pStyle w:val="FigureNo"/>
      </w:pPr>
      <w:r>
        <w:pict>
          <v:shape id="_x0000_i1035" type="#_x0000_t75" style="width:343.35pt;height:274.55pt">
            <v:imagedata r:id="rId25" o:title=""/>
          </v:shape>
        </w:pict>
      </w:r>
    </w:p>
    <w:p w:rsidR="00B9359B" w:rsidRDefault="009A5268">
      <w:pPr>
        <w:rPr>
          <w:lang w:val="en-US"/>
        </w:rPr>
      </w:pPr>
      <w:r>
        <w:rPr>
          <w:lang w:val="en-US"/>
        </w:rPr>
        <w:br w:type="page"/>
        <w:t>Therefore, calculation of the interference power due to the unwanted emissions of the FS system falling into wide reference bandwidths may be refined by assuming that the spurious emission level does not exceed the level reached at the edge of the OoB domain (see Fig. 4).</w:t>
      </w:r>
    </w:p>
    <w:p w:rsidR="00B9359B" w:rsidRDefault="009A5268">
      <w:pPr>
        <w:pStyle w:val="FigureNo"/>
        <w:rPr>
          <w:lang w:val="en-US"/>
        </w:rPr>
      </w:pPr>
      <w:r>
        <w:rPr>
          <w:lang w:val="en-US"/>
        </w:rPr>
        <w:object w:dxaOrig="7854" w:dyaOrig="6711">
          <v:shape id="_x0000_i1036" type="#_x0000_t75" style="width:393.3pt;height:335.3pt" o:ole="">
            <v:imagedata r:id="rId26" o:title=""/>
          </v:shape>
          <o:OLEObject Type="Embed" ProgID="Designer.Drawing.7" ShapeID="_x0000_i1036" DrawAspect="Content" ObjectID="_1629894559" r:id="rId27"/>
        </w:object>
      </w:r>
    </w:p>
    <w:p w:rsidR="00B9359B" w:rsidRDefault="009A5268">
      <w:pPr>
        <w:pStyle w:val="Heading1"/>
        <w:rPr>
          <w:lang w:val="en-US"/>
        </w:rPr>
      </w:pPr>
      <w:bookmarkStart w:id="42" w:name="_Toc51045441"/>
      <w:r>
        <w:rPr>
          <w:lang w:val="en-US"/>
        </w:rPr>
        <w:t>3</w:t>
      </w:r>
      <w:r>
        <w:rPr>
          <w:lang w:val="en-US"/>
        </w:rPr>
        <w:tab/>
        <w:t>Minimum</w:t>
      </w:r>
      <w:r>
        <w:rPr>
          <w:rFonts w:hint="eastAsia"/>
          <w:lang w:val="en-US"/>
        </w:rPr>
        <w:t xml:space="preserve"> Earth-</w:t>
      </w:r>
      <w:r>
        <w:rPr>
          <w:lang w:val="en-US"/>
        </w:rPr>
        <w:t>to-</w:t>
      </w:r>
      <w:r>
        <w:rPr>
          <w:rFonts w:hint="eastAsia"/>
          <w:lang w:val="en-US"/>
        </w:rPr>
        <w:t xml:space="preserve">space propagation attenuation due to atmospheric gases for use in </w:t>
      </w:r>
      <w:r>
        <w:rPr>
          <w:lang w:val="en-US"/>
        </w:rPr>
        <w:t>compatibility</w:t>
      </w:r>
      <w:r>
        <w:rPr>
          <w:rFonts w:hint="eastAsia"/>
          <w:lang w:val="en-US"/>
        </w:rPr>
        <w:t xml:space="preserve"> studies between passive services and active services</w:t>
      </w:r>
      <w:bookmarkEnd w:id="42"/>
    </w:p>
    <w:p w:rsidR="00B9359B" w:rsidRDefault="009A5268">
      <w:pPr>
        <w:pStyle w:val="Heading2"/>
        <w:rPr>
          <w:lang w:val="en-US"/>
        </w:rPr>
      </w:pPr>
      <w:bookmarkStart w:id="43" w:name="_Toc51045442"/>
      <w:r>
        <w:rPr>
          <w:lang w:val="en-US"/>
        </w:rPr>
        <w:t>3.1</w:t>
      </w:r>
      <w:r>
        <w:rPr>
          <w:lang w:val="en-US"/>
        </w:rPr>
        <w:tab/>
      </w:r>
      <w:r>
        <w:rPr>
          <w:rFonts w:hint="eastAsia"/>
          <w:lang w:val="en-US"/>
        </w:rPr>
        <w:t>Introduction</w:t>
      </w:r>
      <w:bookmarkEnd w:id="43"/>
    </w:p>
    <w:p w:rsidR="00B9359B" w:rsidRDefault="009A5268">
      <w:pPr>
        <w:rPr>
          <w:lang w:val="en-US"/>
        </w:rPr>
      </w:pPr>
      <w:r>
        <w:rPr>
          <w:rFonts w:hint="eastAsia"/>
          <w:lang w:val="en-US"/>
        </w:rPr>
        <w:t>Earth-</w:t>
      </w:r>
      <w:r>
        <w:rPr>
          <w:lang w:val="en-US"/>
        </w:rPr>
        <w:t>to-</w:t>
      </w:r>
      <w:r>
        <w:rPr>
          <w:rFonts w:hint="eastAsia"/>
          <w:lang w:val="en-US"/>
        </w:rPr>
        <w:t xml:space="preserve">space propagation attenuation between a </w:t>
      </w:r>
      <w:r>
        <w:rPr>
          <w:lang w:val="en-US"/>
        </w:rPr>
        <w:t>terrestrial</w:t>
      </w:r>
      <w:r>
        <w:rPr>
          <w:rFonts w:hint="eastAsia"/>
          <w:lang w:val="en-US"/>
        </w:rPr>
        <w:t xml:space="preserve"> station and a space station (</w:t>
      </w:r>
      <w:r>
        <w:rPr>
          <w:lang w:val="en-US"/>
        </w:rPr>
        <w:t xml:space="preserve">GSO </w:t>
      </w:r>
      <w:r>
        <w:rPr>
          <w:rFonts w:hint="eastAsia"/>
          <w:lang w:val="en-US"/>
        </w:rPr>
        <w:t>or non</w:t>
      </w:r>
      <w:r>
        <w:rPr>
          <w:lang w:val="en-US"/>
        </w:rPr>
        <w:noBreakHyphen/>
        <w:t>GSO</w:t>
      </w:r>
      <w:r>
        <w:rPr>
          <w:rFonts w:hint="eastAsia"/>
          <w:lang w:val="en-US"/>
        </w:rPr>
        <w:t>) resulting from absorption due to atmospheric gases including water vapour is an important factor in compatibility studies between passive services and active services. This slant path attenuation depends on the distribution along the path of meteorological parameters such as temperature, pressure and humidity, and thus varies with the geographical location of the site, the month of the year, the height of a terrestrial station above sea level and the elevation angle of the slant path and the operating frequency. The procedure for calculating the slant path attenuation is the line-by-line procedure given in Annex 1 to Recommendation ITU</w:t>
      </w:r>
      <w:r>
        <w:rPr>
          <w:lang w:val="en-US"/>
        </w:rPr>
        <w:noBreakHyphen/>
      </w:r>
      <w:r>
        <w:rPr>
          <w:rFonts w:hint="eastAsia"/>
          <w:lang w:val="en-US"/>
        </w:rPr>
        <w:t>R</w:t>
      </w:r>
      <w:r>
        <w:rPr>
          <w:lang w:val="en-US"/>
        </w:rPr>
        <w:t> </w:t>
      </w:r>
      <w:r>
        <w:rPr>
          <w:rFonts w:hint="eastAsia"/>
          <w:lang w:val="en-US"/>
        </w:rPr>
        <w:t>P.676.</w:t>
      </w:r>
    </w:p>
    <w:p w:rsidR="00B9359B" w:rsidRDefault="009A5268">
      <w:pPr>
        <w:rPr>
          <w:lang w:val="en-US"/>
        </w:rPr>
      </w:pPr>
      <w:r>
        <w:rPr>
          <w:rFonts w:hint="eastAsia"/>
          <w:lang w:val="en-US"/>
        </w:rPr>
        <w:t>The detailed calculation of atmospheric absorption attenuation may utilize local information of average water vapour content in the driest month and of other meteorological parameters along with the atmospheric models of Recommendation ITU-R P.835. When this information is not available, the following results provide a simple procedure for estimating atmospheric attenuation.</w:t>
      </w:r>
    </w:p>
    <w:p w:rsidR="00B9359B" w:rsidRDefault="009A5268">
      <w:pPr>
        <w:rPr>
          <w:lang w:val="en-US"/>
        </w:rPr>
      </w:pPr>
      <w:r>
        <w:rPr>
          <w:lang w:val="en-US"/>
        </w:rPr>
        <w:br w:type="page"/>
      </w:r>
      <w:r>
        <w:rPr>
          <w:rFonts w:hint="eastAsia"/>
          <w:lang w:val="en-US"/>
        </w:rPr>
        <w:t xml:space="preserve">The </w:t>
      </w:r>
      <w:r>
        <w:rPr>
          <w:lang w:val="en-US"/>
        </w:rPr>
        <w:t>equations</w:t>
      </w:r>
      <w:r>
        <w:rPr>
          <w:rFonts w:hint="eastAsia"/>
          <w:lang w:val="en-US"/>
        </w:rPr>
        <w:t xml:space="preserve"> given </w:t>
      </w:r>
      <w:r>
        <w:rPr>
          <w:lang w:val="en-US"/>
        </w:rPr>
        <w:t>below</w:t>
      </w:r>
      <w:r>
        <w:rPr>
          <w:rFonts w:hint="eastAsia"/>
          <w:lang w:val="en-US"/>
        </w:rPr>
        <w:t xml:space="preserve"> consider each of the </w:t>
      </w:r>
      <w:r>
        <w:rPr>
          <w:lang w:val="en-US"/>
        </w:rPr>
        <w:t>frequency</w:t>
      </w:r>
      <w:r>
        <w:rPr>
          <w:rFonts w:hint="eastAsia"/>
          <w:lang w:val="en-US"/>
        </w:rPr>
        <w:t xml:space="preserve"> bands of </w:t>
      </w:r>
      <w:r>
        <w:rPr>
          <w:lang w:val="en-US"/>
        </w:rPr>
        <w:t>interest that</w:t>
      </w:r>
      <w:r>
        <w:rPr>
          <w:rFonts w:hint="eastAsia"/>
          <w:lang w:val="en-US"/>
        </w:rPr>
        <w:t xml:space="preserve"> are allocated to passive services and are presented for five representative geographical areas of the world (northern and southern hemispheres).</w:t>
      </w:r>
    </w:p>
    <w:p w:rsidR="00B9359B" w:rsidRDefault="009A5268">
      <w:pPr>
        <w:pStyle w:val="Heading2"/>
        <w:rPr>
          <w:lang w:val="en-US"/>
        </w:rPr>
      </w:pPr>
      <w:bookmarkStart w:id="44" w:name="_Toc51045443"/>
      <w:r>
        <w:rPr>
          <w:lang w:val="en-US"/>
        </w:rPr>
        <w:t>3.2</w:t>
      </w:r>
      <w:r>
        <w:rPr>
          <w:lang w:val="en-US"/>
        </w:rPr>
        <w:tab/>
      </w:r>
      <w:r>
        <w:rPr>
          <w:rFonts w:hint="eastAsia"/>
          <w:lang w:val="en-US"/>
        </w:rPr>
        <w:t>Estimation of Earth-</w:t>
      </w:r>
      <w:r>
        <w:rPr>
          <w:lang w:val="en-US"/>
        </w:rPr>
        <w:t>to-</w:t>
      </w:r>
      <w:r>
        <w:rPr>
          <w:rFonts w:hint="eastAsia"/>
          <w:lang w:val="en-US"/>
        </w:rPr>
        <w:t>space path attenuation</w:t>
      </w:r>
      <w:bookmarkEnd w:id="44"/>
    </w:p>
    <w:p w:rsidR="00B9359B" w:rsidRDefault="009A5268">
      <w:pPr>
        <w:rPr>
          <w:lang w:val="en-US"/>
        </w:rPr>
      </w:pPr>
      <w:r>
        <w:rPr>
          <w:rFonts w:hint="eastAsia"/>
          <w:lang w:val="en-US"/>
        </w:rPr>
        <w:t>For the purpose of this simplified estimation, a station on the surface of the Earth is identified as being within one of three climate areas depending only on the latitude (absolute value) of the station:</w:t>
      </w:r>
    </w:p>
    <w:p w:rsidR="00B9359B" w:rsidRDefault="009A5268">
      <w:pPr>
        <w:pStyle w:val="enumlev1"/>
        <w:rPr>
          <w:lang w:val="en-US"/>
        </w:rPr>
      </w:pPr>
      <w:r>
        <w:sym w:font="Symbol" w:char="F02D"/>
      </w:r>
      <w:r>
        <w:rPr>
          <w:lang w:val="en-US"/>
        </w:rPr>
        <w:tab/>
      </w:r>
      <w:r>
        <w:rPr>
          <w:rFonts w:hint="eastAsia"/>
          <w:lang w:val="en-US"/>
        </w:rPr>
        <w:t>low-latitudes within 22.5</w:t>
      </w:r>
      <w:r>
        <w:rPr>
          <w:rFonts w:ascii="Symbol" w:hAnsi="Symbol"/>
          <w:lang w:val="en-US"/>
        </w:rPr>
        <w:t></w:t>
      </w:r>
      <w:r>
        <w:rPr>
          <w:rFonts w:hint="eastAsia"/>
          <w:lang w:val="en-US"/>
        </w:rPr>
        <w:t xml:space="preserve"> of the Equator;</w:t>
      </w:r>
    </w:p>
    <w:p w:rsidR="00B9359B" w:rsidRDefault="009A5268">
      <w:pPr>
        <w:pStyle w:val="enumlev1"/>
        <w:rPr>
          <w:lang w:val="en-US"/>
        </w:rPr>
      </w:pPr>
      <w:r>
        <w:sym w:font="Symbol" w:char="F02D"/>
      </w:r>
      <w:r>
        <w:rPr>
          <w:lang w:val="en-US"/>
        </w:rPr>
        <w:tab/>
      </w:r>
      <w:r>
        <w:rPr>
          <w:rFonts w:hint="eastAsia"/>
          <w:lang w:val="en-US"/>
        </w:rPr>
        <w:t>mid-latitudes greater than 22.5</w:t>
      </w:r>
      <w:r>
        <w:rPr>
          <w:rFonts w:ascii="Symbol" w:hAnsi="Symbol"/>
          <w:lang w:val="en-US"/>
        </w:rPr>
        <w:t></w:t>
      </w:r>
      <w:r>
        <w:rPr>
          <w:rFonts w:hint="eastAsia"/>
          <w:lang w:val="en-US"/>
        </w:rPr>
        <w:t>, but less than 45</w:t>
      </w:r>
      <w:r>
        <w:rPr>
          <w:rFonts w:ascii="Symbol" w:hAnsi="Symbol"/>
          <w:lang w:val="en-US"/>
        </w:rPr>
        <w:t></w:t>
      </w:r>
      <w:r>
        <w:rPr>
          <w:rFonts w:hint="eastAsia"/>
          <w:lang w:val="en-US"/>
        </w:rPr>
        <w:t xml:space="preserve"> from the Equator;</w:t>
      </w:r>
    </w:p>
    <w:p w:rsidR="00B9359B" w:rsidRDefault="009A5268">
      <w:pPr>
        <w:pStyle w:val="enumlev1"/>
        <w:rPr>
          <w:lang w:val="en-US"/>
        </w:rPr>
      </w:pPr>
      <w:r>
        <w:sym w:font="Symbol" w:char="F02D"/>
      </w:r>
      <w:r>
        <w:rPr>
          <w:lang w:val="en-US"/>
        </w:rPr>
        <w:tab/>
      </w:r>
      <w:r>
        <w:rPr>
          <w:rFonts w:hint="eastAsia"/>
          <w:lang w:val="en-US"/>
        </w:rPr>
        <w:t>high-latitudes of 45</w:t>
      </w:r>
      <w:r>
        <w:rPr>
          <w:rFonts w:ascii="Symbol" w:hAnsi="Symbol"/>
          <w:lang w:val="en-US"/>
        </w:rPr>
        <w:t></w:t>
      </w:r>
      <w:r>
        <w:rPr>
          <w:rFonts w:hint="eastAsia"/>
          <w:lang w:val="en-US"/>
        </w:rPr>
        <w:t xml:space="preserve"> or more from the Equator.</w:t>
      </w:r>
    </w:p>
    <w:p w:rsidR="00B9359B" w:rsidRDefault="009A5268">
      <w:pPr>
        <w:rPr>
          <w:lang w:val="en-US"/>
        </w:rPr>
      </w:pPr>
      <w:r>
        <w:rPr>
          <w:lang w:val="en-US"/>
        </w:rPr>
        <w:t>Table 2</w:t>
      </w:r>
      <w:r>
        <w:rPr>
          <w:rFonts w:hint="eastAsia"/>
          <w:lang w:val="en-US"/>
        </w:rPr>
        <w:t xml:space="preserve"> shows the climate parameters for each of these areas. Note that the sea-level water vapour density for the low-latitude area is lower than that prescribed in Recommendation ITU</w:t>
      </w:r>
      <w:r>
        <w:rPr>
          <w:lang w:val="en-US"/>
        </w:rPr>
        <w:noBreakHyphen/>
      </w:r>
      <w:r>
        <w:rPr>
          <w:rFonts w:hint="eastAsia"/>
          <w:lang w:val="en-US"/>
        </w:rPr>
        <w:t xml:space="preserve">R P.835 corresponding to the dry season. The attenuation values for these areas have been determined as a function of the elevation angle of the actual transmission (or reception) path from the station on the surface of the Earth to the position of a space station (GSO or non-GSO). The numerical formulae for atmospheric </w:t>
      </w:r>
      <w:r>
        <w:rPr>
          <w:lang w:val="en-US"/>
        </w:rPr>
        <w:t>attenuation, which</w:t>
      </w:r>
      <w:r>
        <w:rPr>
          <w:rFonts w:hint="eastAsia"/>
          <w:lang w:val="en-US"/>
        </w:rPr>
        <w:t xml:space="preserve"> approximate the theoretical values</w:t>
      </w:r>
      <w:r>
        <w:rPr>
          <w:lang w:val="en-US"/>
        </w:rPr>
        <w:t>,</w:t>
      </w:r>
      <w:r>
        <w:rPr>
          <w:rFonts w:hint="eastAsia"/>
          <w:lang w:val="en-US"/>
        </w:rPr>
        <w:t xml:space="preserve"> are given in the following sections, where:</w:t>
      </w:r>
    </w:p>
    <w:p w:rsidR="00B9359B" w:rsidRDefault="009A5268">
      <w:pPr>
        <w:pStyle w:val="Equationlegend"/>
        <w:tabs>
          <w:tab w:val="clear" w:pos="1701"/>
          <w:tab w:val="clear" w:pos="1985"/>
          <w:tab w:val="right" w:pos="540"/>
          <w:tab w:val="left" w:pos="720"/>
          <w:tab w:val="left" w:pos="3912"/>
        </w:tabs>
        <w:ind w:left="3912" w:hanging="3912"/>
      </w:pPr>
      <w:r>
        <w:rPr>
          <w:i/>
        </w:rPr>
        <w:tab/>
      </w:r>
      <w:r>
        <w:rPr>
          <w:i/>
        </w:rPr>
        <w:tab/>
      </w:r>
      <w:r>
        <w:rPr>
          <w:rFonts w:hint="eastAsia"/>
          <w:i/>
        </w:rPr>
        <w:t>A</w:t>
      </w:r>
      <w:r>
        <w:rPr>
          <w:rFonts w:hint="eastAsia"/>
          <w:i/>
          <w:vertAlign w:val="subscript"/>
        </w:rPr>
        <w:t>L</w:t>
      </w:r>
      <w:r>
        <w:rPr>
          <w:i/>
          <w:sz w:val="20"/>
        </w:rPr>
        <w:t xml:space="preserve"> </w:t>
      </w:r>
      <w:r>
        <w:rPr>
          <w:rFonts w:hint="eastAsia"/>
        </w:rPr>
        <w:t>(</w:t>
      </w:r>
      <w:r>
        <w:rPr>
          <w:rFonts w:hint="eastAsia"/>
          <w:i/>
        </w:rPr>
        <w:t>h</w:t>
      </w:r>
      <w:r>
        <w:rPr>
          <w:rFonts w:hint="eastAsia"/>
        </w:rPr>
        <w:t>,</w:t>
      </w:r>
      <w:r>
        <w:t xml:space="preserve"> </w:t>
      </w:r>
      <w:r>
        <w:rPr>
          <w:rFonts w:ascii="Symbol" w:hAnsi="Symbol"/>
          <w:iCs/>
        </w:rPr>
        <w:t></w:t>
      </w:r>
      <w:r>
        <w:rPr>
          <w:rFonts w:hint="eastAsia"/>
        </w:rPr>
        <w:t xml:space="preserve">), </w:t>
      </w:r>
      <w:r>
        <w:rPr>
          <w:rFonts w:hint="eastAsia"/>
          <w:i/>
        </w:rPr>
        <w:t>A</w:t>
      </w:r>
      <w:r>
        <w:rPr>
          <w:rFonts w:hint="eastAsia"/>
          <w:i/>
          <w:vertAlign w:val="subscript"/>
        </w:rPr>
        <w:t>M</w:t>
      </w:r>
      <w:r>
        <w:rPr>
          <w:i/>
          <w:sz w:val="20"/>
        </w:rPr>
        <w:t xml:space="preserve"> </w:t>
      </w:r>
      <w:r>
        <w:rPr>
          <w:rFonts w:hint="eastAsia"/>
        </w:rPr>
        <w:t>(</w:t>
      </w:r>
      <w:r>
        <w:rPr>
          <w:rFonts w:hint="eastAsia"/>
          <w:i/>
        </w:rPr>
        <w:t>h</w:t>
      </w:r>
      <w:r>
        <w:rPr>
          <w:rFonts w:hint="eastAsia"/>
        </w:rPr>
        <w:t>,</w:t>
      </w:r>
      <w:r>
        <w:t xml:space="preserve"> </w:t>
      </w:r>
      <w:r>
        <w:rPr>
          <w:rFonts w:ascii="Symbol" w:hAnsi="Symbol"/>
          <w:iCs/>
        </w:rPr>
        <w:t></w:t>
      </w:r>
      <w:r>
        <w:rPr>
          <w:rFonts w:hint="eastAsia"/>
        </w:rPr>
        <w:t xml:space="preserve">), </w:t>
      </w:r>
      <w:r>
        <w:rPr>
          <w:rFonts w:hint="eastAsia"/>
          <w:i/>
        </w:rPr>
        <w:t>A</w:t>
      </w:r>
      <w:r>
        <w:rPr>
          <w:rFonts w:hint="eastAsia"/>
          <w:i/>
          <w:vertAlign w:val="subscript"/>
        </w:rPr>
        <w:t>H</w:t>
      </w:r>
      <w:r>
        <w:rPr>
          <w:i/>
          <w:sz w:val="20"/>
        </w:rPr>
        <w:t xml:space="preserve"> </w:t>
      </w:r>
      <w:r>
        <w:rPr>
          <w:rFonts w:hint="eastAsia"/>
        </w:rPr>
        <w:t>(</w:t>
      </w:r>
      <w:r>
        <w:rPr>
          <w:rFonts w:hint="eastAsia"/>
          <w:i/>
        </w:rPr>
        <w:t>h</w:t>
      </w:r>
      <w:r>
        <w:rPr>
          <w:rFonts w:hint="eastAsia"/>
        </w:rPr>
        <w:t>,</w:t>
      </w:r>
      <w:r>
        <w:t xml:space="preserve"> </w:t>
      </w:r>
      <w:r>
        <w:rPr>
          <w:rFonts w:ascii="Symbol" w:hAnsi="Symbol"/>
          <w:iCs/>
        </w:rPr>
        <w:t></w:t>
      </w:r>
      <w:r>
        <w:rPr>
          <w:rFonts w:hint="eastAsia"/>
        </w:rPr>
        <w:t>)</w:t>
      </w:r>
      <w:r>
        <w:rPr>
          <w:rFonts w:ascii="Tms Rmn" w:hAnsi="Tms Rmn" w:hint="eastAsia"/>
          <w:sz w:val="12"/>
        </w:rPr>
        <w:t> </w:t>
      </w:r>
      <w:r>
        <w:rPr>
          <w:rFonts w:hint="eastAsia"/>
        </w:rPr>
        <w:t>:</w:t>
      </w:r>
      <w:r>
        <w:tab/>
      </w:r>
      <w:r>
        <w:rPr>
          <w:rFonts w:hint="eastAsia"/>
        </w:rPr>
        <w:t>total atmospheric absorption loss (dB) for the low-latitude, mid-latitude and high-latitude areas, respectively;</w:t>
      </w:r>
    </w:p>
    <w:p w:rsidR="00B9359B" w:rsidRDefault="009A5268">
      <w:pPr>
        <w:pStyle w:val="Equationlegend"/>
        <w:tabs>
          <w:tab w:val="clear" w:pos="1701"/>
          <w:tab w:val="clear" w:pos="1985"/>
          <w:tab w:val="left" w:pos="2340"/>
          <w:tab w:val="left" w:pos="2948"/>
          <w:tab w:val="left" w:pos="3060"/>
          <w:tab w:val="left" w:pos="3912"/>
        </w:tabs>
        <w:ind w:left="3912" w:hanging="3912"/>
      </w:pPr>
      <w:r>
        <w:rPr>
          <w:i/>
        </w:rPr>
        <w:tab/>
      </w:r>
      <w:r>
        <w:rPr>
          <w:i/>
        </w:rPr>
        <w:tab/>
      </w:r>
      <w:r>
        <w:rPr>
          <w:rFonts w:hint="eastAsia"/>
          <w:i/>
        </w:rPr>
        <w:t>h</w:t>
      </w:r>
      <w:r>
        <w:rPr>
          <w:rFonts w:hint="eastAsia"/>
        </w:rPr>
        <w:t xml:space="preserve"> and </w:t>
      </w:r>
      <w:r>
        <w:rPr>
          <w:rFonts w:ascii="Symbol" w:hAnsi="Symbol"/>
          <w:iCs/>
        </w:rPr>
        <w:t></w:t>
      </w:r>
      <w:r>
        <w:rPr>
          <w:rFonts w:ascii="Tms Rmn" w:hAnsi="Tms Rmn"/>
          <w:iCs/>
          <w:sz w:val="12"/>
        </w:rPr>
        <w:t> </w:t>
      </w:r>
      <w:r>
        <w:rPr>
          <w:rFonts w:hint="eastAsia"/>
        </w:rPr>
        <w:t>:</w:t>
      </w:r>
      <w:r>
        <w:tab/>
      </w:r>
      <w:r>
        <w:rPr>
          <w:rFonts w:hint="eastAsia"/>
        </w:rPr>
        <w:t>altitude above sea level of the station on the surface of the Earth (km) and elevation angle (degrees), respectively.</w:t>
      </w:r>
    </w:p>
    <w:p w:rsidR="00B9359B" w:rsidRDefault="00B9359B">
      <w:pPr>
        <w:pStyle w:val="Equationlegend"/>
        <w:tabs>
          <w:tab w:val="clear" w:pos="1701"/>
          <w:tab w:val="clear" w:pos="1985"/>
          <w:tab w:val="left" w:pos="2340"/>
          <w:tab w:val="left" w:pos="2948"/>
          <w:tab w:val="left" w:pos="3060"/>
          <w:tab w:val="left" w:pos="3912"/>
        </w:tabs>
        <w:spacing w:before="0"/>
        <w:ind w:left="3912" w:hanging="3912"/>
      </w:pPr>
    </w:p>
    <w:p w:rsidR="00B9359B" w:rsidRDefault="009A5268">
      <w:pPr>
        <w:pStyle w:val="TableNo"/>
        <w:rPr>
          <w:lang w:val="en-US"/>
        </w:rPr>
      </w:pPr>
      <w:r>
        <w:rPr>
          <w:rFonts w:hint="eastAsia"/>
          <w:lang w:val="en-US"/>
        </w:rPr>
        <w:t>TABLE</w:t>
      </w:r>
      <w:r>
        <w:rPr>
          <w:lang w:val="en-US"/>
        </w:rPr>
        <w:t xml:space="preserve">  2</w:t>
      </w:r>
    </w:p>
    <w:p w:rsidR="00B9359B" w:rsidRDefault="009A5268">
      <w:pPr>
        <w:pStyle w:val="Tabletitle"/>
        <w:rPr>
          <w:lang w:val="en-US"/>
        </w:rPr>
      </w:pPr>
      <w:r>
        <w:rPr>
          <w:rFonts w:hint="eastAsia"/>
          <w:lang w:val="en-US"/>
        </w:rPr>
        <w:t>Parameters at sea level for the climate areas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5"/>
        <w:gridCol w:w="2175"/>
        <w:gridCol w:w="2176"/>
        <w:gridCol w:w="2384"/>
      </w:tblGrid>
      <w:tr w:rsidR="00B9359B" w:rsidRPr="00D35B94">
        <w:tc>
          <w:tcPr>
            <w:tcW w:w="2175" w:type="dxa"/>
            <w:vAlign w:val="center"/>
          </w:tcPr>
          <w:p w:rsidR="00B9359B" w:rsidRDefault="009A5268">
            <w:pPr>
              <w:pStyle w:val="Tablehead"/>
              <w:framePr w:hSpace="181" w:wrap="notBeside" w:vAnchor="text" w:hAnchor="text" w:xAlign="center" w:y="1"/>
              <w:rPr>
                <w:lang w:val="en-US"/>
              </w:rPr>
            </w:pPr>
            <w:r>
              <w:rPr>
                <w:rFonts w:hint="eastAsia"/>
                <w:lang w:val="en-US"/>
              </w:rPr>
              <w:t>Climate area</w:t>
            </w:r>
          </w:p>
        </w:tc>
        <w:tc>
          <w:tcPr>
            <w:tcW w:w="2175" w:type="dxa"/>
            <w:vAlign w:val="center"/>
          </w:tcPr>
          <w:p w:rsidR="00B9359B" w:rsidRDefault="009A5268">
            <w:pPr>
              <w:pStyle w:val="Tablehead"/>
              <w:framePr w:hSpace="181" w:wrap="notBeside" w:vAnchor="text" w:hAnchor="text" w:xAlign="center" w:y="1"/>
              <w:rPr>
                <w:lang w:val="en-US"/>
              </w:rPr>
            </w:pPr>
            <w:r>
              <w:rPr>
                <w:rFonts w:hint="eastAsia"/>
                <w:lang w:val="en-US"/>
              </w:rPr>
              <w:t>Temp</w:t>
            </w:r>
            <w:r>
              <w:rPr>
                <w:lang w:val="en-US"/>
              </w:rPr>
              <w:t>e</w:t>
            </w:r>
            <w:r>
              <w:rPr>
                <w:rFonts w:hint="eastAsia"/>
                <w:lang w:val="en-US"/>
              </w:rPr>
              <w:t>rature</w:t>
            </w:r>
            <w:r>
              <w:rPr>
                <w:lang w:val="en-US"/>
              </w:rPr>
              <w:br/>
            </w:r>
            <w:r>
              <w:rPr>
                <w:rFonts w:hint="eastAsia"/>
                <w:lang w:val="en-US"/>
              </w:rPr>
              <w:t>(K)</w:t>
            </w:r>
          </w:p>
        </w:tc>
        <w:tc>
          <w:tcPr>
            <w:tcW w:w="2176" w:type="dxa"/>
            <w:vAlign w:val="center"/>
          </w:tcPr>
          <w:p w:rsidR="00B9359B" w:rsidRDefault="009A5268">
            <w:pPr>
              <w:pStyle w:val="Tablehead"/>
              <w:framePr w:hSpace="181" w:wrap="notBeside" w:vAnchor="text" w:hAnchor="text" w:xAlign="center" w:y="1"/>
              <w:rPr>
                <w:lang w:val="en-US"/>
              </w:rPr>
            </w:pPr>
            <w:r>
              <w:rPr>
                <w:rFonts w:hint="eastAsia"/>
                <w:lang w:val="en-US"/>
              </w:rPr>
              <w:t>Atmospheric pressure</w:t>
            </w:r>
            <w:r>
              <w:rPr>
                <w:lang w:val="en-US"/>
              </w:rPr>
              <w:br/>
            </w:r>
            <w:r>
              <w:rPr>
                <w:rFonts w:hint="eastAsia"/>
                <w:lang w:val="en-US"/>
              </w:rPr>
              <w:t>(hPa)</w:t>
            </w:r>
          </w:p>
        </w:tc>
        <w:tc>
          <w:tcPr>
            <w:tcW w:w="2384" w:type="dxa"/>
            <w:vAlign w:val="center"/>
          </w:tcPr>
          <w:p w:rsidR="00B9359B" w:rsidRDefault="009A5268">
            <w:pPr>
              <w:pStyle w:val="Tablehead"/>
              <w:framePr w:hSpace="181" w:wrap="notBeside" w:vAnchor="text" w:hAnchor="text" w:xAlign="center" w:y="1"/>
              <w:rPr>
                <w:lang w:val="en-US"/>
              </w:rPr>
            </w:pPr>
            <w:r>
              <w:rPr>
                <w:rFonts w:hint="eastAsia"/>
                <w:lang w:val="en-US"/>
              </w:rPr>
              <w:t>Water vapour</w:t>
            </w:r>
            <w:r>
              <w:rPr>
                <w:lang w:val="en-US"/>
              </w:rPr>
              <w:br/>
            </w:r>
            <w:r>
              <w:rPr>
                <w:rFonts w:hint="eastAsia"/>
                <w:lang w:val="en-US"/>
              </w:rPr>
              <w:t>density</w:t>
            </w:r>
            <w:r>
              <w:rPr>
                <w:lang w:val="en-US"/>
              </w:rPr>
              <w:br/>
            </w:r>
            <w:r>
              <w:rPr>
                <w:rFonts w:hint="eastAsia"/>
                <w:lang w:val="en-US"/>
              </w:rPr>
              <w:t>(g/m</w:t>
            </w:r>
            <w:r>
              <w:rPr>
                <w:rFonts w:hint="eastAsia"/>
                <w:vertAlign w:val="superscript"/>
                <w:lang w:val="en-US"/>
              </w:rPr>
              <w:t>3</w:t>
            </w:r>
            <w:r>
              <w:rPr>
                <w:rFonts w:hint="eastAsia"/>
                <w:lang w:val="en-US"/>
              </w:rPr>
              <w:t>)</w:t>
            </w:r>
          </w:p>
        </w:tc>
      </w:tr>
      <w:tr w:rsidR="00B9359B">
        <w:tc>
          <w:tcPr>
            <w:tcW w:w="2175" w:type="dxa"/>
          </w:tcPr>
          <w:p w:rsidR="00B9359B" w:rsidRDefault="009A5268">
            <w:pPr>
              <w:pStyle w:val="Tabletext"/>
              <w:framePr w:hSpace="181" w:wrap="notBeside" w:vAnchor="text" w:hAnchor="text" w:xAlign="center" w:y="1"/>
              <w:spacing w:before="60" w:after="60"/>
              <w:rPr>
                <w:lang w:val="en-US"/>
              </w:rPr>
            </w:pPr>
            <w:r>
              <w:rPr>
                <w:rFonts w:hint="eastAsia"/>
                <w:lang w:val="en-US"/>
              </w:rPr>
              <w:t>Low-latitude</w:t>
            </w:r>
          </w:p>
        </w:tc>
        <w:tc>
          <w:tcPr>
            <w:tcW w:w="2175"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2"/>
              </w:tabs>
              <w:spacing w:before="60" w:after="60"/>
              <w:jc w:val="left"/>
              <w:rPr>
                <w:lang w:val="en-US"/>
              </w:rPr>
            </w:pPr>
            <w:r>
              <w:rPr>
                <w:rFonts w:hint="eastAsia"/>
                <w:lang w:val="en-US"/>
              </w:rPr>
              <w:t>300</w:t>
            </w:r>
            <w:r>
              <w:rPr>
                <w:lang w:val="en-US"/>
              </w:rPr>
              <w:t>.</w:t>
            </w:r>
            <w:r>
              <w:rPr>
                <w:rFonts w:hint="eastAsia"/>
                <w:lang w:val="en-US"/>
              </w:rPr>
              <w:t>4</w:t>
            </w:r>
          </w:p>
        </w:tc>
        <w:tc>
          <w:tcPr>
            <w:tcW w:w="2176"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2"/>
              </w:tabs>
              <w:spacing w:before="60" w:after="60"/>
              <w:jc w:val="left"/>
              <w:rPr>
                <w:lang w:val="en-US"/>
              </w:rPr>
            </w:pPr>
            <w:r>
              <w:rPr>
                <w:rFonts w:hint="eastAsia"/>
                <w:lang w:val="en-US"/>
              </w:rPr>
              <w:t>1</w:t>
            </w:r>
            <w:r>
              <w:rPr>
                <w:rFonts w:ascii="Tms Rmn" w:hAnsi="Tms Rmn"/>
                <w:sz w:val="12"/>
                <w:lang w:val="en-US"/>
              </w:rPr>
              <w:t> </w:t>
            </w:r>
            <w:r>
              <w:rPr>
                <w:rFonts w:hint="eastAsia"/>
                <w:lang w:val="en-US"/>
              </w:rPr>
              <w:t>012</w:t>
            </w:r>
            <w:r>
              <w:rPr>
                <w:lang w:val="en-US"/>
              </w:rPr>
              <w:t>.</w:t>
            </w:r>
            <w:r>
              <w:rPr>
                <w:rFonts w:hint="eastAsia"/>
                <w:lang w:val="en-US"/>
              </w:rPr>
              <w:t>0</w:t>
            </w:r>
          </w:p>
        </w:tc>
        <w:tc>
          <w:tcPr>
            <w:tcW w:w="2384"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32"/>
              </w:tabs>
              <w:spacing w:before="60" w:after="60"/>
              <w:jc w:val="left"/>
              <w:rPr>
                <w:lang w:val="en-US"/>
              </w:rPr>
            </w:pPr>
            <w:r>
              <w:rPr>
                <w:rFonts w:hint="eastAsia"/>
                <w:lang w:val="en-US"/>
              </w:rPr>
              <w:t>10</w:t>
            </w:r>
            <w:r>
              <w:rPr>
                <w:lang w:val="en-US"/>
              </w:rPr>
              <w:t>.</w:t>
            </w:r>
            <w:r>
              <w:rPr>
                <w:rFonts w:hint="eastAsia"/>
                <w:lang w:val="en-US"/>
              </w:rPr>
              <w:t>0</w:t>
            </w:r>
          </w:p>
        </w:tc>
      </w:tr>
      <w:tr w:rsidR="00B9359B">
        <w:tc>
          <w:tcPr>
            <w:tcW w:w="2175" w:type="dxa"/>
          </w:tcPr>
          <w:p w:rsidR="00B9359B" w:rsidRDefault="009A5268">
            <w:pPr>
              <w:pStyle w:val="Tabletext"/>
              <w:framePr w:hSpace="181" w:wrap="notBeside" w:vAnchor="text" w:hAnchor="text" w:xAlign="center" w:y="1"/>
              <w:spacing w:before="60" w:after="60"/>
              <w:rPr>
                <w:lang w:val="en-US"/>
              </w:rPr>
            </w:pPr>
            <w:r>
              <w:rPr>
                <w:rFonts w:hint="eastAsia"/>
                <w:lang w:val="en-US"/>
              </w:rPr>
              <w:t>Mid-latitude</w:t>
            </w:r>
          </w:p>
        </w:tc>
        <w:tc>
          <w:tcPr>
            <w:tcW w:w="2175"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2"/>
              </w:tabs>
              <w:spacing w:before="60" w:after="60"/>
              <w:jc w:val="left"/>
              <w:rPr>
                <w:lang w:val="en-US"/>
              </w:rPr>
            </w:pPr>
            <w:r>
              <w:rPr>
                <w:rFonts w:hint="eastAsia"/>
                <w:lang w:val="en-US"/>
              </w:rPr>
              <w:t>272</w:t>
            </w:r>
            <w:r>
              <w:rPr>
                <w:lang w:val="en-US"/>
              </w:rPr>
              <w:t>.</w:t>
            </w:r>
            <w:r>
              <w:rPr>
                <w:rFonts w:hint="eastAsia"/>
                <w:lang w:val="en-US"/>
              </w:rPr>
              <w:t>7</w:t>
            </w:r>
          </w:p>
        </w:tc>
        <w:tc>
          <w:tcPr>
            <w:tcW w:w="2176"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2"/>
              </w:tabs>
              <w:spacing w:before="60" w:after="60"/>
              <w:jc w:val="left"/>
              <w:rPr>
                <w:lang w:val="en-US"/>
              </w:rPr>
            </w:pPr>
            <w:r>
              <w:rPr>
                <w:rFonts w:hint="eastAsia"/>
                <w:lang w:val="en-US"/>
              </w:rPr>
              <w:t>1</w:t>
            </w:r>
            <w:r>
              <w:rPr>
                <w:rFonts w:ascii="Tms Rmn" w:hAnsi="Tms Rmn"/>
                <w:sz w:val="12"/>
                <w:lang w:val="en-US"/>
              </w:rPr>
              <w:t> </w:t>
            </w:r>
            <w:r>
              <w:rPr>
                <w:rFonts w:hint="eastAsia"/>
                <w:lang w:val="en-US"/>
              </w:rPr>
              <w:t>018</w:t>
            </w:r>
            <w:r>
              <w:rPr>
                <w:lang w:val="en-US"/>
              </w:rPr>
              <w:t>.</w:t>
            </w:r>
            <w:r>
              <w:rPr>
                <w:rFonts w:hint="eastAsia"/>
                <w:lang w:val="en-US"/>
              </w:rPr>
              <w:t>9</w:t>
            </w:r>
          </w:p>
        </w:tc>
        <w:tc>
          <w:tcPr>
            <w:tcW w:w="2384"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32"/>
              </w:tabs>
              <w:spacing w:before="60" w:after="60"/>
              <w:jc w:val="left"/>
              <w:rPr>
                <w:lang w:val="en-US"/>
              </w:rPr>
            </w:pPr>
            <w:r>
              <w:rPr>
                <w:rFonts w:hint="eastAsia"/>
                <w:lang w:val="en-US"/>
              </w:rPr>
              <w:t>3</w:t>
            </w:r>
            <w:r>
              <w:rPr>
                <w:lang w:val="en-US"/>
              </w:rPr>
              <w:t>.</w:t>
            </w:r>
            <w:r>
              <w:rPr>
                <w:rFonts w:hint="eastAsia"/>
                <w:lang w:val="en-US"/>
              </w:rPr>
              <w:t>5</w:t>
            </w:r>
          </w:p>
        </w:tc>
      </w:tr>
      <w:tr w:rsidR="00B9359B">
        <w:tc>
          <w:tcPr>
            <w:tcW w:w="2175" w:type="dxa"/>
          </w:tcPr>
          <w:p w:rsidR="00B9359B" w:rsidRDefault="009A5268">
            <w:pPr>
              <w:pStyle w:val="Tabletext"/>
              <w:framePr w:hSpace="181" w:wrap="notBeside" w:vAnchor="text" w:hAnchor="text" w:xAlign="center" w:y="1"/>
              <w:spacing w:before="60" w:after="60"/>
              <w:rPr>
                <w:lang w:val="en-US"/>
              </w:rPr>
            </w:pPr>
            <w:r>
              <w:rPr>
                <w:rFonts w:hint="eastAsia"/>
                <w:lang w:val="en-US"/>
              </w:rPr>
              <w:t>High-latitude</w:t>
            </w:r>
          </w:p>
        </w:tc>
        <w:tc>
          <w:tcPr>
            <w:tcW w:w="2175"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2"/>
              </w:tabs>
              <w:spacing w:before="60" w:after="60"/>
              <w:jc w:val="left"/>
              <w:rPr>
                <w:lang w:val="en-US"/>
              </w:rPr>
            </w:pPr>
            <w:r>
              <w:rPr>
                <w:rFonts w:hint="eastAsia"/>
                <w:lang w:val="en-US"/>
              </w:rPr>
              <w:t>257</w:t>
            </w:r>
            <w:r>
              <w:rPr>
                <w:lang w:val="en-US"/>
              </w:rPr>
              <w:t>.</w:t>
            </w:r>
            <w:r>
              <w:rPr>
                <w:rFonts w:hint="eastAsia"/>
                <w:lang w:val="en-US"/>
              </w:rPr>
              <w:t>4</w:t>
            </w:r>
          </w:p>
        </w:tc>
        <w:tc>
          <w:tcPr>
            <w:tcW w:w="2176"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2"/>
              </w:tabs>
              <w:spacing w:before="60" w:after="60"/>
              <w:jc w:val="left"/>
              <w:rPr>
                <w:lang w:val="en-US"/>
              </w:rPr>
            </w:pPr>
            <w:r>
              <w:rPr>
                <w:rFonts w:hint="eastAsia"/>
                <w:lang w:val="en-US"/>
              </w:rPr>
              <w:t>1</w:t>
            </w:r>
            <w:r>
              <w:rPr>
                <w:rFonts w:ascii="Tms Rmn" w:hAnsi="Tms Rmn"/>
                <w:sz w:val="12"/>
                <w:lang w:val="en-US"/>
              </w:rPr>
              <w:t> </w:t>
            </w:r>
            <w:r>
              <w:rPr>
                <w:rFonts w:hint="eastAsia"/>
                <w:lang w:val="en-US"/>
              </w:rPr>
              <w:t>010</w:t>
            </w:r>
            <w:r>
              <w:rPr>
                <w:lang w:val="en-US"/>
              </w:rPr>
              <w:t>.</w:t>
            </w:r>
            <w:r>
              <w:rPr>
                <w:rFonts w:hint="eastAsia"/>
                <w:lang w:val="en-US"/>
              </w:rPr>
              <w:t>8</w:t>
            </w:r>
          </w:p>
        </w:tc>
        <w:tc>
          <w:tcPr>
            <w:tcW w:w="2384"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32"/>
              </w:tabs>
              <w:spacing w:before="60" w:after="60"/>
              <w:jc w:val="left"/>
              <w:rPr>
                <w:lang w:val="en-US"/>
              </w:rPr>
            </w:pPr>
            <w:r>
              <w:rPr>
                <w:rFonts w:hint="eastAsia"/>
                <w:lang w:val="en-US"/>
              </w:rPr>
              <w:t>1</w:t>
            </w:r>
            <w:r>
              <w:rPr>
                <w:lang w:val="en-US"/>
              </w:rPr>
              <w:t>.</w:t>
            </w:r>
            <w:r>
              <w:rPr>
                <w:rFonts w:hint="eastAsia"/>
                <w:lang w:val="en-US"/>
              </w:rPr>
              <w:t>23</w:t>
            </w:r>
          </w:p>
        </w:tc>
      </w:tr>
    </w:tbl>
    <w:p w:rsidR="00B9359B" w:rsidRDefault="00B9359B">
      <w:pPr>
        <w:pStyle w:val="Tablefin"/>
      </w:pPr>
    </w:p>
    <w:p w:rsidR="00B9359B" w:rsidRDefault="009A5268">
      <w:pPr>
        <w:rPr>
          <w:bCs/>
          <w:lang w:val="en-US"/>
        </w:rPr>
      </w:pPr>
      <w:r>
        <w:rPr>
          <w:lang w:val="en-US"/>
        </w:rPr>
        <w:t>T</w:t>
      </w:r>
      <w:r>
        <w:rPr>
          <w:rFonts w:hint="eastAsia"/>
          <w:lang w:val="en-US"/>
        </w:rPr>
        <w:t xml:space="preserve">he line-by-line method in </w:t>
      </w:r>
      <w:r>
        <w:rPr>
          <w:rFonts w:hint="eastAsia"/>
          <w:bCs/>
          <w:lang w:val="en-US"/>
        </w:rPr>
        <w:t>Annex 1 to Recommendation ITU-R P.676 was used for integration. The height profiles of temperature, pressure and water vapour density as defined in Recommendation ITU</w:t>
      </w:r>
      <w:r>
        <w:rPr>
          <w:bCs/>
          <w:lang w:val="en-US"/>
        </w:rPr>
        <w:noBreakHyphen/>
      </w:r>
      <w:r>
        <w:rPr>
          <w:rFonts w:hint="eastAsia"/>
          <w:bCs/>
          <w:lang w:val="en-US"/>
        </w:rPr>
        <w:t xml:space="preserve">R P.835 were used in calculating the loss. Since the bandwidth of each frequency band allocated to passive services is relatively narrow, the </w:t>
      </w:r>
      <w:r>
        <w:rPr>
          <w:bCs/>
          <w:lang w:val="en-US"/>
        </w:rPr>
        <w:t>centre</w:t>
      </w:r>
      <w:r>
        <w:rPr>
          <w:rFonts w:hint="eastAsia"/>
          <w:bCs/>
          <w:lang w:val="en-US"/>
        </w:rPr>
        <w:t xml:space="preserve"> of the band was used as a representative frequency, assuming that the attenuation is almost constant over each band. The approximation was carried out for </w:t>
      </w:r>
      <w:r>
        <w:rPr>
          <w:lang w:val="en-US"/>
        </w:rPr>
        <w:t>0 </w:t>
      </w:r>
      <w:r>
        <w:rPr>
          <w:rFonts w:ascii="Symbol" w:hAnsi="Symbol"/>
        </w:rPr>
        <w:t></w:t>
      </w:r>
      <w:r>
        <w:rPr>
          <w:lang w:val="en-US"/>
        </w:rPr>
        <w:t> </w:t>
      </w:r>
      <w:r>
        <w:rPr>
          <w:i/>
          <w:iCs/>
          <w:lang w:val="en-US"/>
        </w:rPr>
        <w:t>h</w:t>
      </w:r>
      <w:r>
        <w:rPr>
          <w:lang w:val="en-US"/>
        </w:rPr>
        <w:t> </w:t>
      </w:r>
      <w:r>
        <w:rPr>
          <w:rFonts w:ascii="Symbol" w:hAnsi="Symbol"/>
        </w:rPr>
        <w:t></w:t>
      </w:r>
      <w:r>
        <w:rPr>
          <w:lang w:val="en-US"/>
        </w:rPr>
        <w:t xml:space="preserve"> 3 km and </w:t>
      </w:r>
      <w:r>
        <w:rPr>
          <w:rFonts w:hint="eastAsia"/>
          <w:lang w:val="en-US"/>
        </w:rPr>
        <w:t>0</w:t>
      </w:r>
      <w:r>
        <w:rPr>
          <w:rFonts w:ascii="Symbol" w:hAnsi="Symbol"/>
          <w:lang w:val="en-US"/>
        </w:rPr>
        <w:t></w:t>
      </w:r>
      <w:r>
        <w:rPr>
          <w:lang w:val="en-US"/>
        </w:rPr>
        <w:t> </w:t>
      </w:r>
      <w:r>
        <w:rPr>
          <w:rFonts w:ascii="Symbol" w:hAnsi="Symbol"/>
          <w:bCs/>
        </w:rPr>
        <w:t></w:t>
      </w:r>
      <w:r>
        <w:rPr>
          <w:bCs/>
          <w:lang w:val="en-US"/>
        </w:rPr>
        <w:t> </w:t>
      </w:r>
      <w:r>
        <w:rPr>
          <w:rFonts w:ascii="Symbol" w:hAnsi="Symbol"/>
        </w:rPr>
        <w:t></w:t>
      </w:r>
      <w:r>
        <w:rPr>
          <w:bCs/>
          <w:lang w:val="en-US"/>
        </w:rPr>
        <w:t> </w:t>
      </w:r>
      <w:r>
        <w:rPr>
          <w:rFonts w:ascii="Symbol" w:hAnsi="Symbol"/>
          <w:bCs/>
        </w:rPr>
        <w:t></w:t>
      </w:r>
      <w:r>
        <w:rPr>
          <w:bCs/>
          <w:lang w:val="en-US"/>
        </w:rPr>
        <w:t> 90</w:t>
      </w:r>
      <w:r>
        <w:rPr>
          <w:rFonts w:ascii="Symbol" w:hAnsi="Symbol"/>
          <w:lang w:val="en-US"/>
        </w:rPr>
        <w:t></w:t>
      </w:r>
      <w:r>
        <w:rPr>
          <w:rFonts w:hint="eastAsia"/>
          <w:bCs/>
          <w:lang w:val="en-US"/>
        </w:rPr>
        <w:t>.</w:t>
      </w:r>
      <w:r>
        <w:rPr>
          <w:bCs/>
          <w:lang w:val="en-US"/>
        </w:rPr>
        <w:t xml:space="preserve"> Some of the formulae listed appear in Recommen</w:t>
      </w:r>
      <w:r>
        <w:rPr>
          <w:bCs/>
          <w:lang w:val="en-US"/>
        </w:rPr>
        <w:softHyphen/>
        <w:t>dations ITU</w:t>
      </w:r>
      <w:r>
        <w:rPr>
          <w:bCs/>
          <w:lang w:val="en-US"/>
        </w:rPr>
        <w:noBreakHyphen/>
        <w:t>R SF.1395 and ITU</w:t>
      </w:r>
      <w:r>
        <w:rPr>
          <w:bCs/>
          <w:lang w:val="en-US"/>
        </w:rPr>
        <w:noBreakHyphen/>
        <w:t>R F.1404, but are included here for completeness.</w:t>
      </w:r>
    </w:p>
    <w:p w:rsidR="00B9359B" w:rsidRDefault="009A5268">
      <w:pPr>
        <w:rPr>
          <w:lang w:val="en-US"/>
        </w:rPr>
      </w:pPr>
      <w:r>
        <w:rPr>
          <w:rFonts w:hint="eastAsia"/>
          <w:lang w:val="en-US"/>
        </w:rPr>
        <w:t>If the interference path is one between two space stations, the atmospheric absorption attenuation should be regarded as 0</w:t>
      </w:r>
      <w:r>
        <w:rPr>
          <w:lang w:val="en-US"/>
        </w:rPr>
        <w:t> </w:t>
      </w:r>
      <w:r>
        <w:rPr>
          <w:rFonts w:hint="eastAsia"/>
          <w:lang w:val="en-US"/>
        </w:rPr>
        <w:t>dB.</w:t>
      </w:r>
    </w:p>
    <w:p w:rsidR="00B9359B" w:rsidRDefault="009A5268">
      <w:pPr>
        <w:pStyle w:val="Headingb"/>
        <w:rPr>
          <w:lang w:val="en-US"/>
        </w:rPr>
      </w:pPr>
      <w:r>
        <w:rPr>
          <w:lang w:val="en-US"/>
        </w:rPr>
        <w:br w:type="page"/>
      </w:r>
      <w:r>
        <w:rPr>
          <w:rFonts w:hint="eastAsia"/>
          <w:lang w:val="en-US"/>
        </w:rPr>
        <w:t>Frequency band 1</w:t>
      </w:r>
      <w:r>
        <w:rPr>
          <w:rFonts w:ascii="Tms Rmn" w:hAnsi="Tms Rmn" w:hint="eastAsia"/>
          <w:sz w:val="12"/>
          <w:lang w:val="en-US"/>
        </w:rPr>
        <w:t> </w:t>
      </w:r>
      <w:r>
        <w:rPr>
          <w:rFonts w:hint="eastAsia"/>
          <w:lang w:val="en-US"/>
        </w:rPr>
        <w:t>400-1</w:t>
      </w:r>
      <w:r>
        <w:rPr>
          <w:rFonts w:ascii="Tms Rmn" w:hAnsi="Tms Rmn" w:hint="eastAsia"/>
          <w:sz w:val="12"/>
          <w:lang w:val="en-US"/>
        </w:rPr>
        <w:t> </w:t>
      </w:r>
      <w:r>
        <w:rPr>
          <w:rFonts w:hint="eastAsia"/>
          <w:lang w:val="en-US"/>
        </w:rPr>
        <w:t>427 MHz</w:t>
      </w:r>
    </w:p>
    <w:p w:rsidR="00B9359B" w:rsidRDefault="009A5268">
      <w:pPr>
        <w:pStyle w:val="Equation"/>
        <w:tabs>
          <w:tab w:val="clear" w:pos="794"/>
          <w:tab w:val="left" w:pos="540"/>
        </w:tabs>
        <w:jc w:val="left"/>
        <w:rPr>
          <w:lang w:val="en-US"/>
        </w:rPr>
      </w:pPr>
      <w:r>
        <w:rPr>
          <w:i/>
          <w:lang w:val="en-US"/>
        </w:rPr>
        <w:tab/>
      </w:r>
      <w:r>
        <w:rPr>
          <w:rFonts w:hint="eastAsia"/>
          <w:i/>
          <w:lang w:val="en-US"/>
        </w:rPr>
        <w:t>A</w:t>
      </w:r>
      <w:r>
        <w:rPr>
          <w:rFonts w:hint="eastAsia"/>
          <w:i/>
          <w:vertAlign w:val="subscript"/>
          <w:lang w:val="en-US"/>
        </w:rPr>
        <w:t>L</w:t>
      </w:r>
      <w:r>
        <w:rPr>
          <w:i/>
          <w:vertAlign w:val="subscript"/>
          <w:lang w:val="en-US"/>
        </w:rPr>
        <w:t> </w:t>
      </w:r>
      <w:r>
        <w:rPr>
          <w:rFonts w:hint="eastAsia"/>
          <w:lang w:val="en-US"/>
        </w:rPr>
        <w:t>(</w:t>
      </w:r>
      <w:r>
        <w:rPr>
          <w:rFonts w:hint="eastAsia"/>
          <w:i/>
          <w:lang w:val="en-US"/>
        </w:rPr>
        <w:t>h</w:t>
      </w:r>
      <w:r>
        <w:rPr>
          <w:rFonts w:hint="eastAsia"/>
          <w:lang w:val="en-US"/>
        </w:rPr>
        <w:t xml:space="preserve">, </w:t>
      </w:r>
      <w:r>
        <w:rPr>
          <w:rFonts w:ascii="Symbol" w:hAnsi="Symbol"/>
        </w:rPr>
        <w:sym w:font="Symbol" w:char="F071"/>
      </w:r>
      <w:r>
        <w:rPr>
          <w:rFonts w:hint="eastAsia"/>
          <w:lang w:val="en-US"/>
        </w:rPr>
        <w:t>)</w:t>
      </w:r>
      <w:r>
        <w:rPr>
          <w:lang w:val="en-US"/>
        </w:rPr>
        <w:t> </w:t>
      </w:r>
      <w:r>
        <w:rPr>
          <w:rFonts w:ascii="Symbol" w:hAnsi="Symbol"/>
          <w:lang w:val="es-ES"/>
        </w:rPr>
        <w:t></w:t>
      </w:r>
      <w:r>
        <w:rPr>
          <w:lang w:val="en-US"/>
        </w:rPr>
        <w:t> </w:t>
      </w:r>
      <w:r>
        <w:rPr>
          <w:rFonts w:hint="eastAsia"/>
          <w:lang w:val="en-US"/>
        </w:rPr>
        <w:t>1</w:t>
      </w:r>
      <w:r>
        <w:rPr>
          <w:lang w:val="en-US"/>
        </w:rPr>
        <w:t>.</w:t>
      </w:r>
      <w:r>
        <w:rPr>
          <w:rFonts w:hint="eastAsia"/>
          <w:lang w:val="en-US"/>
        </w:rPr>
        <w:t>59</w:t>
      </w:r>
      <w:r>
        <w:rPr>
          <w:lang w:val="en-US"/>
        </w:rPr>
        <w:t> </w:t>
      </w:r>
      <w:r>
        <w:rPr>
          <w:rFonts w:hint="eastAsia"/>
          <w:lang w:val="en-US"/>
        </w:rPr>
        <w:t>/</w:t>
      </w:r>
      <w:r>
        <w:rPr>
          <w:lang w:val="en-US"/>
        </w:rPr>
        <w:t> </w:t>
      </w:r>
      <w:r>
        <w:rPr>
          <w:rFonts w:hint="eastAsia"/>
          <w:lang w:val="en-US"/>
        </w:rPr>
        <w:t>[1</w:t>
      </w:r>
      <w:r>
        <w:rPr>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6294</w:t>
      </w:r>
      <w:r>
        <w:rPr>
          <w:lang w:val="en-US"/>
        </w:rPr>
        <w:t> </w:t>
      </w:r>
      <w:r>
        <w:rPr>
          <w:rFonts w:ascii="Symbol" w:hAnsi="Symbol"/>
        </w:rPr>
        <w:sym w:font="Symbol" w:char="F071"/>
      </w:r>
      <w:r>
        <w:rPr>
          <w:lang w:val="en-US"/>
        </w:rPr>
        <w:t> </w:t>
      </w:r>
      <w:r>
        <w:rPr>
          <w:rFonts w:ascii="Symbol" w:hAnsi="Symbol"/>
        </w:rPr>
        <w:t></w:t>
      </w:r>
      <w:r>
        <w:rPr>
          <w:lang w:val="en-US"/>
        </w:rPr>
        <w:t> </w:t>
      </w:r>
      <w:r>
        <w:rPr>
          <w:rFonts w:hint="eastAsia"/>
          <w:i/>
          <w:lang w:val="en-US"/>
        </w:rPr>
        <w:t>h</w:t>
      </w:r>
      <w:r>
        <w:rPr>
          <w:lang w:val="en-US"/>
        </w:rPr>
        <w:t> </w:t>
      </w:r>
      <w:r>
        <w:rPr>
          <w:rFonts w:hint="eastAsia"/>
          <w:lang w:val="en-US"/>
        </w:rPr>
        <w:t>(0</w:t>
      </w:r>
      <w:r>
        <w:rPr>
          <w:lang w:val="en-US"/>
        </w:rPr>
        <w:t>.</w:t>
      </w:r>
      <w:r>
        <w:rPr>
          <w:rFonts w:hint="eastAsia"/>
          <w:lang w:val="en-US"/>
        </w:rPr>
        <w:t>2258</w:t>
      </w:r>
      <w:r>
        <w:rPr>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1220</w:t>
      </w:r>
      <w:r>
        <w:rPr>
          <w:lang w:val="en-US"/>
        </w:rPr>
        <w:t> </w:t>
      </w:r>
      <w:r>
        <w:sym w:font="Symbol" w:char="F071"/>
      </w:r>
      <w:r>
        <w:rPr>
          <w:rFonts w:hint="eastAsia"/>
          <w:lang w:val="en-US"/>
        </w:rPr>
        <w:t>)]</w:t>
      </w:r>
      <w:r>
        <w:rPr>
          <w:rFonts w:hint="eastAsia"/>
          <w:lang w:val="en-US"/>
        </w:rPr>
        <w:tab/>
        <w:t>(1a)</w:t>
      </w:r>
    </w:p>
    <w:p w:rsidR="00B9359B" w:rsidRDefault="009A5268">
      <w:pPr>
        <w:pStyle w:val="Equation"/>
        <w:tabs>
          <w:tab w:val="clear" w:pos="794"/>
          <w:tab w:val="clear" w:pos="4820"/>
          <w:tab w:val="left" w:pos="540"/>
          <w:tab w:val="left" w:pos="1652"/>
        </w:tabs>
        <w:jc w:val="left"/>
        <w:rPr>
          <w:lang w:val="en-US"/>
        </w:rPr>
      </w:pPr>
      <w:r>
        <w:rPr>
          <w:i/>
          <w:lang w:val="en-US"/>
        </w:rPr>
        <w:tab/>
      </w:r>
      <w:r>
        <w:rPr>
          <w:rFonts w:hint="eastAsia"/>
          <w:i/>
          <w:lang w:val="en-US"/>
        </w:rPr>
        <w:t>A</w:t>
      </w:r>
      <w:r>
        <w:rPr>
          <w:rFonts w:hint="eastAsia"/>
          <w:i/>
          <w:vertAlign w:val="subscript"/>
          <w:lang w:val="en-US"/>
        </w:rPr>
        <w:t>M</w:t>
      </w:r>
      <w:r>
        <w:rPr>
          <w:i/>
          <w:vertAlign w:val="subscript"/>
          <w:lang w:val="en-US"/>
        </w:rPr>
        <w:t> </w:t>
      </w:r>
      <w:r>
        <w:rPr>
          <w:rFonts w:hint="eastAsia"/>
          <w:lang w:val="en-US"/>
        </w:rPr>
        <w:t>(</w:t>
      </w:r>
      <w:r>
        <w:rPr>
          <w:rFonts w:hint="eastAsia"/>
          <w:i/>
          <w:lang w:val="en-US"/>
        </w:rPr>
        <w:t>h</w:t>
      </w:r>
      <w:r>
        <w:rPr>
          <w:rFonts w:hint="eastAsia"/>
          <w:lang w:val="en-US"/>
        </w:rPr>
        <w:t xml:space="preserve">, </w:t>
      </w:r>
      <w:r>
        <w:rPr>
          <w:rFonts w:ascii="Symbol" w:hAnsi="Symbol"/>
        </w:rPr>
        <w:sym w:font="Symbol" w:char="F071"/>
      </w:r>
      <w:r>
        <w:rPr>
          <w:rFonts w:hint="eastAsia"/>
          <w:lang w:val="en-US"/>
        </w:rPr>
        <w:t>)</w:t>
      </w:r>
      <w:r>
        <w:rPr>
          <w:lang w:val="en-US"/>
        </w:rPr>
        <w:t> </w:t>
      </w:r>
      <w:r>
        <w:rPr>
          <w:rFonts w:ascii="Symbol" w:hAnsi="Symbol"/>
          <w:lang w:val="es-ES"/>
        </w:rPr>
        <w:t></w:t>
      </w:r>
      <w:r>
        <w:rPr>
          <w:lang w:val="en-US"/>
        </w:rPr>
        <w:tab/>
      </w:r>
      <w:r>
        <w:rPr>
          <w:rFonts w:hint="eastAsia"/>
          <w:lang w:val="en-US"/>
        </w:rPr>
        <w:t>1</w:t>
      </w:r>
      <w:r>
        <w:rPr>
          <w:lang w:val="en-US"/>
        </w:rPr>
        <w:t>.</w:t>
      </w:r>
      <w:r>
        <w:rPr>
          <w:rFonts w:hint="eastAsia"/>
          <w:lang w:val="en-US"/>
        </w:rPr>
        <w:t>89</w:t>
      </w:r>
      <w:r>
        <w:rPr>
          <w:lang w:val="en-US"/>
        </w:rPr>
        <w:t> </w:t>
      </w:r>
      <w:r>
        <w:rPr>
          <w:rFonts w:hint="eastAsia"/>
          <w:lang w:val="en-US"/>
        </w:rPr>
        <w:t>/</w:t>
      </w:r>
      <w:r>
        <w:rPr>
          <w:lang w:val="en-US"/>
        </w:rPr>
        <w:t> </w:t>
      </w:r>
      <w:r>
        <w:rPr>
          <w:rFonts w:hint="eastAsia"/>
          <w:lang w:val="en-US"/>
        </w:rPr>
        <w:t>[1</w:t>
      </w:r>
      <w:r>
        <w:rPr>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6813</w:t>
      </w:r>
      <w:r>
        <w:rPr>
          <w:i/>
          <w:lang w:val="en-US"/>
        </w:rPr>
        <w:t> </w:t>
      </w:r>
      <w:r>
        <w:rPr>
          <w:rFonts w:ascii="Symbol" w:hAnsi="Symbol"/>
        </w:rPr>
        <w:sym w:font="Symbol" w:char="F071"/>
      </w:r>
      <w:r>
        <w:rPr>
          <w:rFonts w:hint="eastAsia"/>
          <w:lang w:val="en-US"/>
        </w:rPr>
        <w:t> </w:t>
      </w:r>
      <w:r>
        <w:rPr>
          <w:rFonts w:ascii="Symbol" w:hAnsi="Symbol"/>
          <w:lang w:val="en-US"/>
        </w:rPr>
        <w:t></w:t>
      </w:r>
      <w:r>
        <w:rPr>
          <w:lang w:val="en-US"/>
        </w:rPr>
        <w:t> </w:t>
      </w:r>
      <w:r>
        <w:rPr>
          <w:rFonts w:hint="eastAsia"/>
          <w:i/>
          <w:lang w:val="en-US"/>
        </w:rPr>
        <w:t>h</w:t>
      </w:r>
      <w:r>
        <w:rPr>
          <w:i/>
          <w:lang w:val="en-US"/>
        </w:rPr>
        <w:t> </w:t>
      </w:r>
      <w:r>
        <w:rPr>
          <w:rFonts w:hint="eastAsia"/>
          <w:lang w:val="en-US"/>
        </w:rPr>
        <w:t>(0</w:t>
      </w:r>
      <w:r>
        <w:rPr>
          <w:lang w:val="en-US"/>
        </w:rPr>
        <w:t>.</w:t>
      </w:r>
      <w:r>
        <w:rPr>
          <w:rFonts w:hint="eastAsia"/>
          <w:lang w:val="en-US"/>
        </w:rPr>
        <w:t>2828</w:t>
      </w:r>
      <w:r>
        <w:rPr>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1580</w:t>
      </w:r>
      <w:r>
        <w:rPr>
          <w:i/>
          <w:lang w:val="en-US"/>
        </w:rPr>
        <w:t> </w:t>
      </w:r>
      <w:r>
        <w:rPr>
          <w:rFonts w:ascii="Symbol" w:hAnsi="Symbol"/>
        </w:rPr>
        <w:sym w:font="Symbol" w:char="F071"/>
      </w:r>
      <w:r>
        <w:rPr>
          <w:rFonts w:hint="eastAsia"/>
          <w:lang w:val="en-US"/>
        </w:rPr>
        <w:t>)]</w:t>
      </w:r>
      <w:r>
        <w:rPr>
          <w:rFonts w:hint="eastAsia"/>
          <w:lang w:val="en-US"/>
        </w:rPr>
        <w:tab/>
        <w:t>(1b)</w:t>
      </w:r>
    </w:p>
    <w:p w:rsidR="00B9359B" w:rsidRDefault="009A5268">
      <w:pPr>
        <w:pStyle w:val="Equation"/>
        <w:tabs>
          <w:tab w:val="clear" w:pos="794"/>
          <w:tab w:val="clear" w:pos="4820"/>
          <w:tab w:val="left" w:pos="540"/>
          <w:tab w:val="left" w:pos="1652"/>
        </w:tabs>
        <w:jc w:val="left"/>
        <w:rPr>
          <w:lang w:val="en-US"/>
        </w:rPr>
      </w:pPr>
      <w:r>
        <w:rPr>
          <w:i/>
          <w:lang w:val="en-US"/>
        </w:rPr>
        <w:tab/>
      </w:r>
      <w:r>
        <w:rPr>
          <w:rFonts w:hint="eastAsia"/>
          <w:i/>
          <w:lang w:val="en-US"/>
        </w:rPr>
        <w:t>A</w:t>
      </w:r>
      <w:r>
        <w:rPr>
          <w:rFonts w:hint="eastAsia"/>
          <w:i/>
          <w:vertAlign w:val="subscript"/>
          <w:lang w:val="en-US"/>
        </w:rPr>
        <w:t>H</w:t>
      </w:r>
      <w:r>
        <w:rPr>
          <w:i/>
          <w:vertAlign w:val="subscript"/>
          <w:lang w:val="en-US"/>
        </w:rPr>
        <w:t> </w:t>
      </w:r>
      <w:r>
        <w:rPr>
          <w:rFonts w:hint="eastAsia"/>
          <w:lang w:val="en-US"/>
        </w:rPr>
        <w:t>(</w:t>
      </w:r>
      <w:r>
        <w:rPr>
          <w:rFonts w:hint="eastAsia"/>
          <w:i/>
          <w:lang w:val="en-US"/>
        </w:rPr>
        <w:t>h</w:t>
      </w:r>
      <w:r>
        <w:rPr>
          <w:rFonts w:hint="eastAsia"/>
          <w:lang w:val="en-US"/>
        </w:rPr>
        <w:t xml:space="preserve">, </w:t>
      </w:r>
      <w:r>
        <w:rPr>
          <w:rFonts w:ascii="Symbol" w:hAnsi="Symbol"/>
        </w:rPr>
        <w:sym w:font="Symbol" w:char="F071"/>
      </w:r>
      <w:r>
        <w:rPr>
          <w:rFonts w:hint="eastAsia"/>
          <w:lang w:val="en-US"/>
        </w:rPr>
        <w:t>)</w:t>
      </w:r>
      <w:r>
        <w:rPr>
          <w:lang w:val="en-US"/>
        </w:rPr>
        <w:t> </w:t>
      </w:r>
      <w:r>
        <w:rPr>
          <w:rFonts w:ascii="Symbol" w:hAnsi="Symbol"/>
          <w:lang w:val="es-ES"/>
        </w:rPr>
        <w:t></w:t>
      </w:r>
      <w:r>
        <w:rPr>
          <w:lang w:val="en-US"/>
        </w:rPr>
        <w:tab/>
      </w:r>
      <w:r>
        <w:rPr>
          <w:rFonts w:hint="eastAsia"/>
          <w:lang w:val="en-US"/>
        </w:rPr>
        <w:t>2</w:t>
      </w:r>
      <w:r>
        <w:rPr>
          <w:lang w:val="en-US"/>
        </w:rPr>
        <w:t>.</w:t>
      </w:r>
      <w:r>
        <w:rPr>
          <w:rFonts w:hint="eastAsia"/>
          <w:lang w:val="en-US"/>
        </w:rPr>
        <w:t>09</w:t>
      </w:r>
      <w:r>
        <w:rPr>
          <w:lang w:val="en-US"/>
        </w:rPr>
        <w:t> </w:t>
      </w:r>
      <w:r>
        <w:rPr>
          <w:rFonts w:hint="eastAsia"/>
          <w:lang w:val="en-US"/>
        </w:rPr>
        <w:t>/</w:t>
      </w:r>
      <w:r>
        <w:rPr>
          <w:lang w:val="en-US"/>
        </w:rPr>
        <w:t> </w:t>
      </w:r>
      <w:r>
        <w:rPr>
          <w:rFonts w:hint="eastAsia"/>
          <w:lang w:val="en-US"/>
        </w:rPr>
        <w:t>[1</w:t>
      </w:r>
      <w:r>
        <w:rPr>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7106</w:t>
      </w:r>
      <w:r>
        <w:rPr>
          <w:i/>
          <w:lang w:val="en-US"/>
        </w:rPr>
        <w:t> </w:t>
      </w:r>
      <w:r>
        <w:rPr>
          <w:rFonts w:ascii="Symbol" w:hAnsi="Symbol"/>
        </w:rPr>
        <w:sym w:font="Symbol" w:char="F071"/>
      </w:r>
      <w:r>
        <w:rPr>
          <w:rFonts w:hint="eastAsia"/>
          <w:lang w:val="en-US"/>
        </w:rPr>
        <w:t> </w:t>
      </w:r>
      <w:r>
        <w:rPr>
          <w:rFonts w:ascii="Symbol" w:hAnsi="Symbol"/>
          <w:lang w:val="en-US"/>
        </w:rPr>
        <w:t></w:t>
      </w:r>
      <w:r>
        <w:rPr>
          <w:lang w:val="en-US"/>
        </w:rPr>
        <w:t> </w:t>
      </w:r>
      <w:r>
        <w:rPr>
          <w:rFonts w:hint="eastAsia"/>
          <w:i/>
          <w:lang w:val="en-US"/>
        </w:rPr>
        <w:t>h</w:t>
      </w:r>
      <w:r>
        <w:rPr>
          <w:i/>
          <w:lang w:val="en-US"/>
        </w:rPr>
        <w:t> </w:t>
      </w:r>
      <w:r>
        <w:rPr>
          <w:rFonts w:hint="eastAsia"/>
          <w:lang w:val="en-US"/>
        </w:rPr>
        <w:t>(0</w:t>
      </w:r>
      <w:r>
        <w:rPr>
          <w:lang w:val="en-US"/>
        </w:rPr>
        <w:t>.</w:t>
      </w:r>
      <w:r>
        <w:rPr>
          <w:rFonts w:hint="eastAsia"/>
          <w:lang w:val="en-US"/>
        </w:rPr>
        <w:t>3057</w:t>
      </w:r>
      <w:r>
        <w:rPr>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1718</w:t>
      </w:r>
      <w:r>
        <w:rPr>
          <w:i/>
          <w:lang w:val="en-US"/>
        </w:rPr>
        <w:t> </w:t>
      </w:r>
      <w:r>
        <w:rPr>
          <w:rFonts w:ascii="Symbol" w:hAnsi="Symbol"/>
        </w:rPr>
        <w:sym w:font="Symbol" w:char="F071"/>
      </w:r>
      <w:r>
        <w:rPr>
          <w:rFonts w:hint="eastAsia"/>
          <w:lang w:val="en-US"/>
        </w:rPr>
        <w:t>)]</w:t>
      </w:r>
      <w:r>
        <w:rPr>
          <w:rFonts w:hint="eastAsia"/>
          <w:lang w:val="en-US"/>
        </w:rPr>
        <w:tab/>
        <w:t>(1c)</w:t>
      </w:r>
    </w:p>
    <w:p w:rsidR="00B9359B" w:rsidRDefault="009A5268">
      <w:pPr>
        <w:pStyle w:val="Headingb"/>
        <w:rPr>
          <w:lang w:val="en-US"/>
        </w:rPr>
      </w:pPr>
      <w:r>
        <w:rPr>
          <w:rFonts w:hint="eastAsia"/>
          <w:lang w:val="en-US"/>
        </w:rPr>
        <w:t>Frequency band 1</w:t>
      </w:r>
      <w:r>
        <w:rPr>
          <w:rFonts w:ascii="Tms Rmn" w:hAnsi="Tms Rmn" w:hint="eastAsia"/>
          <w:sz w:val="12"/>
          <w:lang w:val="en-US"/>
        </w:rPr>
        <w:t> </w:t>
      </w:r>
      <w:r>
        <w:rPr>
          <w:rFonts w:hint="eastAsia"/>
          <w:lang w:val="en-US"/>
        </w:rPr>
        <w:t>610.6-1</w:t>
      </w:r>
      <w:r>
        <w:rPr>
          <w:rFonts w:ascii="Tms Rmn" w:hAnsi="Tms Rmn" w:hint="eastAsia"/>
          <w:sz w:val="12"/>
          <w:lang w:val="en-US"/>
        </w:rPr>
        <w:t> </w:t>
      </w:r>
      <w:r>
        <w:rPr>
          <w:rFonts w:hint="eastAsia"/>
          <w:lang w:val="en-US"/>
        </w:rPr>
        <w:t>613.8 MHz</w:t>
      </w:r>
    </w:p>
    <w:p w:rsidR="00B9359B" w:rsidRDefault="009A5268">
      <w:pPr>
        <w:pStyle w:val="Equation"/>
        <w:tabs>
          <w:tab w:val="clear" w:pos="794"/>
          <w:tab w:val="clear" w:pos="4820"/>
          <w:tab w:val="left" w:pos="540"/>
          <w:tab w:val="left" w:pos="1652"/>
        </w:tabs>
        <w:jc w:val="left"/>
        <w:rPr>
          <w:lang w:val="en-US"/>
        </w:rPr>
      </w:pPr>
      <w:r>
        <w:rPr>
          <w:i/>
          <w:lang w:val="en-US"/>
        </w:rPr>
        <w:tab/>
      </w:r>
      <w:r>
        <w:rPr>
          <w:rFonts w:hint="eastAsia"/>
          <w:i/>
          <w:lang w:val="en-US"/>
        </w:rPr>
        <w:t>A</w:t>
      </w:r>
      <w:r>
        <w:rPr>
          <w:rFonts w:hint="eastAsia"/>
          <w:i/>
          <w:vertAlign w:val="subscript"/>
          <w:lang w:val="en-US"/>
        </w:rPr>
        <w:t>L</w:t>
      </w:r>
      <w:r>
        <w:rPr>
          <w:i/>
          <w:vertAlign w:val="subscript"/>
          <w:lang w:val="en-US"/>
        </w:rPr>
        <w:t> </w:t>
      </w:r>
      <w:r>
        <w:rPr>
          <w:rFonts w:hint="eastAsia"/>
          <w:lang w:val="en-US"/>
        </w:rPr>
        <w:t>(</w:t>
      </w:r>
      <w:r>
        <w:rPr>
          <w:rFonts w:hint="eastAsia"/>
          <w:i/>
          <w:lang w:val="en-US"/>
        </w:rPr>
        <w:t>h</w:t>
      </w:r>
      <w:r>
        <w:rPr>
          <w:rFonts w:hint="eastAsia"/>
          <w:lang w:val="en-US"/>
        </w:rPr>
        <w:t xml:space="preserve">, </w:t>
      </w:r>
      <w:r>
        <w:rPr>
          <w:rFonts w:ascii="Symbol" w:hAnsi="Symbol"/>
        </w:rPr>
        <w:sym w:font="Symbol" w:char="F071"/>
      </w:r>
      <w:r>
        <w:rPr>
          <w:rFonts w:hint="eastAsia"/>
          <w:lang w:val="en-US"/>
        </w:rPr>
        <w:t>)</w:t>
      </w:r>
      <w:r>
        <w:rPr>
          <w:lang w:val="en-US"/>
        </w:rPr>
        <w:t> </w:t>
      </w:r>
      <w:r>
        <w:rPr>
          <w:rFonts w:ascii="Symbol" w:hAnsi="Symbol"/>
          <w:lang w:val="es-ES"/>
        </w:rPr>
        <w:t></w:t>
      </w:r>
      <w:r>
        <w:rPr>
          <w:lang w:val="en-US"/>
        </w:rPr>
        <w:tab/>
      </w:r>
      <w:r>
        <w:rPr>
          <w:rFonts w:hint="eastAsia"/>
          <w:lang w:val="en-US"/>
        </w:rPr>
        <w:t>1</w:t>
      </w:r>
      <w:r>
        <w:rPr>
          <w:lang w:val="en-US"/>
        </w:rPr>
        <w:t>.</w:t>
      </w:r>
      <w:r>
        <w:rPr>
          <w:rFonts w:hint="eastAsia"/>
          <w:lang w:val="en-US"/>
        </w:rPr>
        <w:t>63</w:t>
      </w:r>
      <w:r>
        <w:rPr>
          <w:lang w:val="en-US"/>
        </w:rPr>
        <w:t> </w:t>
      </w:r>
      <w:r>
        <w:rPr>
          <w:rFonts w:hint="eastAsia"/>
          <w:lang w:val="en-US"/>
        </w:rPr>
        <w:t>/</w:t>
      </w:r>
      <w:r>
        <w:rPr>
          <w:lang w:val="en-US"/>
        </w:rPr>
        <w:t> </w:t>
      </w:r>
      <w:r>
        <w:rPr>
          <w:rFonts w:hint="eastAsia"/>
          <w:lang w:val="en-US"/>
        </w:rPr>
        <w:t>[1</w:t>
      </w:r>
      <w:r>
        <w:rPr>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6348</w:t>
      </w:r>
      <w:r>
        <w:rPr>
          <w:i/>
          <w:lang w:val="en-US"/>
        </w:rPr>
        <w:t> </w:t>
      </w:r>
      <w:r>
        <w:rPr>
          <w:rFonts w:ascii="Symbol" w:hAnsi="Symbol"/>
        </w:rPr>
        <w:sym w:font="Symbol" w:char="F071"/>
      </w:r>
      <w:r>
        <w:rPr>
          <w:rFonts w:hint="eastAsia"/>
          <w:lang w:val="en-US"/>
        </w:rPr>
        <w:t> </w:t>
      </w:r>
      <w:r>
        <w:rPr>
          <w:rFonts w:ascii="Symbol" w:hAnsi="Symbol"/>
          <w:lang w:val="en-US"/>
        </w:rPr>
        <w:t></w:t>
      </w:r>
      <w:r>
        <w:rPr>
          <w:lang w:val="en-US"/>
        </w:rPr>
        <w:t> </w:t>
      </w:r>
      <w:r>
        <w:rPr>
          <w:rFonts w:hint="eastAsia"/>
          <w:i/>
          <w:lang w:val="en-US"/>
        </w:rPr>
        <w:t>h</w:t>
      </w:r>
      <w:r>
        <w:rPr>
          <w:lang w:val="en-US"/>
        </w:rPr>
        <w:t> </w:t>
      </w:r>
      <w:r>
        <w:rPr>
          <w:rFonts w:hint="eastAsia"/>
          <w:lang w:val="en-US"/>
        </w:rPr>
        <w:t>(0</w:t>
      </w:r>
      <w:r>
        <w:rPr>
          <w:lang w:val="en-US"/>
        </w:rPr>
        <w:t>.</w:t>
      </w:r>
      <w:r>
        <w:rPr>
          <w:rFonts w:hint="eastAsia"/>
          <w:lang w:val="en-US"/>
        </w:rPr>
        <w:t>2323</w:t>
      </w:r>
      <w:r>
        <w:rPr>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1250</w:t>
      </w:r>
      <w:r>
        <w:rPr>
          <w:i/>
          <w:lang w:val="en-US"/>
        </w:rPr>
        <w:t> </w:t>
      </w:r>
      <w:r>
        <w:rPr>
          <w:rFonts w:ascii="Symbol" w:hAnsi="Symbol"/>
        </w:rPr>
        <w:sym w:font="Symbol" w:char="F071"/>
      </w:r>
      <w:r>
        <w:rPr>
          <w:rFonts w:hint="eastAsia"/>
          <w:lang w:val="en-US"/>
        </w:rPr>
        <w:t>)]</w:t>
      </w:r>
      <w:r>
        <w:rPr>
          <w:rFonts w:hint="eastAsia"/>
          <w:lang w:val="en-US"/>
        </w:rPr>
        <w:tab/>
        <w:t>(2a)</w:t>
      </w:r>
    </w:p>
    <w:p w:rsidR="00B9359B" w:rsidRDefault="009A5268">
      <w:pPr>
        <w:pStyle w:val="Equation"/>
        <w:tabs>
          <w:tab w:val="clear" w:pos="794"/>
          <w:tab w:val="clear" w:pos="4820"/>
          <w:tab w:val="left" w:pos="540"/>
          <w:tab w:val="left" w:pos="1652"/>
        </w:tabs>
        <w:jc w:val="left"/>
        <w:rPr>
          <w:lang w:val="en-US"/>
        </w:rPr>
      </w:pPr>
      <w:r>
        <w:rPr>
          <w:i/>
          <w:lang w:val="en-US"/>
        </w:rPr>
        <w:tab/>
      </w:r>
      <w:r>
        <w:rPr>
          <w:rFonts w:hint="eastAsia"/>
          <w:i/>
          <w:lang w:val="en-US"/>
        </w:rPr>
        <w:t>A</w:t>
      </w:r>
      <w:r>
        <w:rPr>
          <w:rFonts w:hint="eastAsia"/>
          <w:i/>
          <w:vertAlign w:val="subscript"/>
          <w:lang w:val="en-US"/>
        </w:rPr>
        <w:t>M</w:t>
      </w:r>
      <w:r>
        <w:rPr>
          <w:i/>
          <w:vertAlign w:val="subscript"/>
          <w:lang w:val="en-US"/>
        </w:rPr>
        <w:t> </w:t>
      </w:r>
      <w:r>
        <w:rPr>
          <w:rFonts w:hint="eastAsia"/>
          <w:lang w:val="en-US"/>
        </w:rPr>
        <w:t>(</w:t>
      </w:r>
      <w:r>
        <w:rPr>
          <w:rFonts w:hint="eastAsia"/>
          <w:i/>
          <w:lang w:val="en-US"/>
        </w:rPr>
        <w:t>h</w:t>
      </w:r>
      <w:r>
        <w:rPr>
          <w:rFonts w:hint="eastAsia"/>
          <w:lang w:val="en-US"/>
        </w:rPr>
        <w:t xml:space="preserve">, </w:t>
      </w:r>
      <w:r>
        <w:rPr>
          <w:rFonts w:ascii="Symbol" w:hAnsi="Symbol"/>
        </w:rPr>
        <w:sym w:font="Symbol" w:char="F071"/>
      </w:r>
      <w:r>
        <w:rPr>
          <w:rFonts w:hint="eastAsia"/>
          <w:lang w:val="en-US"/>
        </w:rPr>
        <w:t>)</w:t>
      </w:r>
      <w:r>
        <w:rPr>
          <w:lang w:val="en-US"/>
        </w:rPr>
        <w:t> </w:t>
      </w:r>
      <w:r>
        <w:rPr>
          <w:rFonts w:ascii="Symbol" w:hAnsi="Symbol"/>
          <w:lang w:val="es-ES"/>
        </w:rPr>
        <w:t></w:t>
      </w:r>
      <w:r>
        <w:rPr>
          <w:lang w:val="en-US"/>
        </w:rPr>
        <w:tab/>
      </w:r>
      <w:r>
        <w:rPr>
          <w:rFonts w:hint="eastAsia"/>
          <w:lang w:val="en-US"/>
        </w:rPr>
        <w:t>1</w:t>
      </w:r>
      <w:r>
        <w:rPr>
          <w:lang w:val="en-US"/>
        </w:rPr>
        <w:t>.</w:t>
      </w:r>
      <w:r>
        <w:rPr>
          <w:rFonts w:hint="eastAsia"/>
          <w:lang w:val="en-US"/>
        </w:rPr>
        <w:t>95</w:t>
      </w:r>
      <w:r>
        <w:rPr>
          <w:lang w:val="en-US"/>
        </w:rPr>
        <w:t> </w:t>
      </w:r>
      <w:r>
        <w:rPr>
          <w:rFonts w:hint="eastAsia"/>
          <w:lang w:val="en-US"/>
        </w:rPr>
        <w:t>/</w:t>
      </w:r>
      <w:r>
        <w:rPr>
          <w:lang w:val="en-US"/>
        </w:rPr>
        <w:t> </w:t>
      </w:r>
      <w:r>
        <w:rPr>
          <w:rFonts w:hint="eastAsia"/>
          <w:lang w:val="en-US"/>
        </w:rPr>
        <w:t>[1</w:t>
      </w:r>
      <w:r>
        <w:rPr>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6870</w:t>
      </w:r>
      <w:r>
        <w:rPr>
          <w:i/>
          <w:lang w:val="en-US"/>
        </w:rPr>
        <w:t> </w:t>
      </w:r>
      <w:r>
        <w:rPr>
          <w:rFonts w:ascii="Symbol" w:hAnsi="Symbol"/>
        </w:rPr>
        <w:sym w:font="Symbol" w:char="F071"/>
      </w:r>
      <w:r>
        <w:rPr>
          <w:rFonts w:hint="eastAsia"/>
          <w:lang w:val="en-US"/>
        </w:rPr>
        <w:t> </w:t>
      </w:r>
      <w:r>
        <w:rPr>
          <w:rFonts w:ascii="Symbol" w:hAnsi="Symbol"/>
          <w:lang w:val="en-US"/>
        </w:rPr>
        <w:t></w:t>
      </w:r>
      <w:r>
        <w:rPr>
          <w:lang w:val="en-US"/>
        </w:rPr>
        <w:t> </w:t>
      </w:r>
      <w:r>
        <w:rPr>
          <w:rFonts w:hint="eastAsia"/>
          <w:i/>
          <w:lang w:val="en-US"/>
        </w:rPr>
        <w:t>h</w:t>
      </w:r>
      <w:r>
        <w:rPr>
          <w:lang w:val="en-US"/>
        </w:rPr>
        <w:t> </w:t>
      </w:r>
      <w:r>
        <w:rPr>
          <w:rFonts w:hint="eastAsia"/>
          <w:lang w:val="en-US"/>
        </w:rPr>
        <w:t>(0</w:t>
      </w:r>
      <w:r>
        <w:rPr>
          <w:lang w:val="en-US"/>
        </w:rPr>
        <w:t>.</w:t>
      </w:r>
      <w:r>
        <w:rPr>
          <w:rFonts w:hint="eastAsia"/>
          <w:lang w:val="en-US"/>
        </w:rPr>
        <w:t>2908</w:t>
      </w:r>
      <w:r>
        <w:rPr>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1621</w:t>
      </w:r>
      <w:r>
        <w:rPr>
          <w:i/>
          <w:lang w:val="en-US"/>
        </w:rPr>
        <w:t> </w:t>
      </w:r>
      <w:r>
        <w:rPr>
          <w:rFonts w:ascii="Symbol" w:hAnsi="Symbol"/>
        </w:rPr>
        <w:sym w:font="Symbol" w:char="F071"/>
      </w:r>
      <w:r>
        <w:rPr>
          <w:rFonts w:hint="eastAsia"/>
          <w:lang w:val="en-US"/>
        </w:rPr>
        <w:t>)]</w:t>
      </w:r>
      <w:r>
        <w:rPr>
          <w:rFonts w:hint="eastAsia"/>
          <w:lang w:val="en-US"/>
        </w:rPr>
        <w:tab/>
        <w:t>(2b)</w:t>
      </w:r>
    </w:p>
    <w:p w:rsidR="00B9359B" w:rsidRDefault="009A5268">
      <w:pPr>
        <w:pStyle w:val="Equation"/>
        <w:tabs>
          <w:tab w:val="clear" w:pos="794"/>
          <w:tab w:val="clear" w:pos="4820"/>
          <w:tab w:val="left" w:pos="540"/>
          <w:tab w:val="left" w:pos="1652"/>
        </w:tabs>
        <w:jc w:val="left"/>
        <w:rPr>
          <w:lang w:val="en-US"/>
        </w:rPr>
      </w:pPr>
      <w:r>
        <w:rPr>
          <w:i/>
          <w:lang w:val="en-US"/>
        </w:rPr>
        <w:tab/>
      </w:r>
      <w:r>
        <w:rPr>
          <w:rFonts w:hint="eastAsia"/>
          <w:i/>
          <w:lang w:val="en-US"/>
        </w:rPr>
        <w:t>A</w:t>
      </w:r>
      <w:r>
        <w:rPr>
          <w:rFonts w:hint="eastAsia"/>
          <w:i/>
          <w:vertAlign w:val="subscript"/>
          <w:lang w:val="en-US"/>
        </w:rPr>
        <w:t>H</w:t>
      </w:r>
      <w:r>
        <w:rPr>
          <w:i/>
          <w:vertAlign w:val="subscript"/>
          <w:lang w:val="en-US"/>
        </w:rPr>
        <w:t> </w:t>
      </w:r>
      <w:r>
        <w:rPr>
          <w:rFonts w:hint="eastAsia"/>
          <w:lang w:val="en-US"/>
        </w:rPr>
        <w:t>(</w:t>
      </w:r>
      <w:r>
        <w:rPr>
          <w:rFonts w:hint="eastAsia"/>
          <w:i/>
          <w:lang w:val="en-US"/>
        </w:rPr>
        <w:t>h</w:t>
      </w:r>
      <w:r>
        <w:rPr>
          <w:rFonts w:hint="eastAsia"/>
          <w:lang w:val="en-US"/>
        </w:rPr>
        <w:t xml:space="preserve">, </w:t>
      </w:r>
      <w:r>
        <w:rPr>
          <w:rFonts w:ascii="Symbol" w:hAnsi="Symbol"/>
        </w:rPr>
        <w:sym w:font="Symbol" w:char="F071"/>
      </w:r>
      <w:r>
        <w:rPr>
          <w:rFonts w:hint="eastAsia"/>
          <w:lang w:val="en-US"/>
        </w:rPr>
        <w:t>)</w:t>
      </w:r>
      <w:r>
        <w:rPr>
          <w:lang w:val="en-US"/>
        </w:rPr>
        <w:t> </w:t>
      </w:r>
      <w:r>
        <w:rPr>
          <w:rFonts w:ascii="Symbol" w:hAnsi="Symbol"/>
          <w:lang w:val="es-ES"/>
        </w:rPr>
        <w:t></w:t>
      </w:r>
      <w:r>
        <w:rPr>
          <w:lang w:val="en-US"/>
        </w:rPr>
        <w:tab/>
      </w:r>
      <w:r>
        <w:rPr>
          <w:rFonts w:hint="eastAsia"/>
          <w:lang w:val="en-US"/>
        </w:rPr>
        <w:t>2</w:t>
      </w:r>
      <w:r>
        <w:rPr>
          <w:lang w:val="en-US"/>
        </w:rPr>
        <w:t>.</w:t>
      </w:r>
      <w:r>
        <w:rPr>
          <w:rFonts w:hint="eastAsia"/>
          <w:lang w:val="en-US"/>
        </w:rPr>
        <w:t>16</w:t>
      </w:r>
      <w:r>
        <w:rPr>
          <w:lang w:val="en-US"/>
        </w:rPr>
        <w:t> </w:t>
      </w:r>
      <w:r>
        <w:rPr>
          <w:rFonts w:hint="eastAsia"/>
          <w:lang w:val="en-US"/>
        </w:rPr>
        <w:t>/</w:t>
      </w:r>
      <w:r>
        <w:rPr>
          <w:lang w:val="en-US"/>
        </w:rPr>
        <w:t> </w:t>
      </w:r>
      <w:r>
        <w:rPr>
          <w:rFonts w:hint="eastAsia"/>
          <w:lang w:val="en-US"/>
        </w:rPr>
        <w:t>[1</w:t>
      </w:r>
      <w:r>
        <w:rPr>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7172</w:t>
      </w:r>
      <w:r>
        <w:rPr>
          <w:i/>
          <w:lang w:val="en-US"/>
        </w:rPr>
        <w:t> </w:t>
      </w:r>
      <w:r>
        <w:rPr>
          <w:rFonts w:ascii="Symbol" w:hAnsi="Symbol"/>
        </w:rPr>
        <w:sym w:font="Symbol" w:char="F071"/>
      </w:r>
      <w:r>
        <w:rPr>
          <w:rFonts w:hint="eastAsia"/>
          <w:lang w:val="en-US"/>
        </w:rPr>
        <w:t> </w:t>
      </w:r>
      <w:r>
        <w:rPr>
          <w:rFonts w:ascii="Symbol" w:hAnsi="Symbol"/>
          <w:lang w:val="en-US"/>
        </w:rPr>
        <w:t></w:t>
      </w:r>
      <w:r>
        <w:rPr>
          <w:lang w:val="en-US"/>
        </w:rPr>
        <w:t> </w:t>
      </w:r>
      <w:r>
        <w:rPr>
          <w:rFonts w:hint="eastAsia"/>
          <w:i/>
          <w:lang w:val="en-US"/>
        </w:rPr>
        <w:t>h</w:t>
      </w:r>
      <w:r>
        <w:rPr>
          <w:lang w:val="en-US"/>
        </w:rPr>
        <w:t> </w:t>
      </w:r>
      <w:r>
        <w:rPr>
          <w:rFonts w:hint="eastAsia"/>
          <w:lang w:val="en-US"/>
        </w:rPr>
        <w:t>(0</w:t>
      </w:r>
      <w:r>
        <w:rPr>
          <w:lang w:val="en-US"/>
        </w:rPr>
        <w:t>.</w:t>
      </w:r>
      <w:r>
        <w:rPr>
          <w:rFonts w:hint="eastAsia"/>
          <w:lang w:val="en-US"/>
        </w:rPr>
        <w:t>3148</w:t>
      </w:r>
      <w:r>
        <w:rPr>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1767</w:t>
      </w:r>
      <w:r>
        <w:rPr>
          <w:i/>
          <w:lang w:val="en-US"/>
        </w:rPr>
        <w:t> </w:t>
      </w:r>
      <w:r>
        <w:rPr>
          <w:rFonts w:ascii="Symbol" w:hAnsi="Symbol"/>
        </w:rPr>
        <w:sym w:font="Symbol" w:char="F071"/>
      </w:r>
      <w:r>
        <w:rPr>
          <w:rFonts w:hint="eastAsia"/>
          <w:lang w:val="en-US"/>
        </w:rPr>
        <w:t>)]</w:t>
      </w:r>
      <w:r>
        <w:rPr>
          <w:rFonts w:hint="eastAsia"/>
          <w:lang w:val="en-US"/>
        </w:rPr>
        <w:tab/>
        <w:t>(2c)</w:t>
      </w:r>
    </w:p>
    <w:p w:rsidR="00B9359B" w:rsidRDefault="009A5268">
      <w:pPr>
        <w:pStyle w:val="Headingb"/>
        <w:rPr>
          <w:lang w:val="en-US"/>
        </w:rPr>
      </w:pPr>
      <w:r>
        <w:rPr>
          <w:rFonts w:hint="eastAsia"/>
          <w:lang w:val="en-US"/>
        </w:rPr>
        <w:t>Frequency band 2</w:t>
      </w:r>
      <w:r>
        <w:rPr>
          <w:rFonts w:ascii="Tms Rmn" w:hAnsi="Tms Rmn" w:hint="eastAsia"/>
          <w:sz w:val="12"/>
          <w:lang w:val="en-US"/>
        </w:rPr>
        <w:t> </w:t>
      </w:r>
      <w:r>
        <w:rPr>
          <w:rFonts w:hint="eastAsia"/>
          <w:lang w:val="en-US"/>
        </w:rPr>
        <w:t>690-2</w:t>
      </w:r>
      <w:r>
        <w:rPr>
          <w:rFonts w:ascii="Tms Rmn" w:hAnsi="Tms Rmn" w:hint="eastAsia"/>
          <w:sz w:val="12"/>
          <w:lang w:val="en-US"/>
        </w:rPr>
        <w:t> </w:t>
      </w:r>
      <w:r>
        <w:rPr>
          <w:rFonts w:hint="eastAsia"/>
          <w:lang w:val="en-US"/>
        </w:rPr>
        <w:t>700 MHz</w:t>
      </w:r>
    </w:p>
    <w:p w:rsidR="00B9359B" w:rsidRDefault="009A5268">
      <w:pPr>
        <w:pStyle w:val="Equation"/>
        <w:tabs>
          <w:tab w:val="clear" w:pos="794"/>
          <w:tab w:val="clear" w:pos="4820"/>
          <w:tab w:val="left" w:pos="540"/>
          <w:tab w:val="left" w:pos="1652"/>
        </w:tabs>
        <w:jc w:val="left"/>
        <w:rPr>
          <w:lang w:val="en-US"/>
        </w:rPr>
      </w:pPr>
      <w:r>
        <w:rPr>
          <w:i/>
          <w:lang w:val="en-US"/>
        </w:rPr>
        <w:tab/>
      </w:r>
      <w:r>
        <w:rPr>
          <w:rFonts w:hint="eastAsia"/>
          <w:i/>
          <w:lang w:val="en-US"/>
        </w:rPr>
        <w:t>A</w:t>
      </w:r>
      <w:r>
        <w:rPr>
          <w:rFonts w:hint="eastAsia"/>
          <w:i/>
          <w:vertAlign w:val="subscript"/>
          <w:lang w:val="en-US"/>
        </w:rPr>
        <w:t>L</w:t>
      </w:r>
      <w:r>
        <w:rPr>
          <w:i/>
          <w:vertAlign w:val="subscript"/>
          <w:lang w:val="en-US"/>
        </w:rPr>
        <w:t> </w:t>
      </w:r>
      <w:r>
        <w:rPr>
          <w:rFonts w:hint="eastAsia"/>
          <w:lang w:val="en-US"/>
        </w:rPr>
        <w:t>(</w:t>
      </w:r>
      <w:r>
        <w:rPr>
          <w:rFonts w:hint="eastAsia"/>
          <w:i/>
          <w:lang w:val="en-US"/>
        </w:rPr>
        <w:t>h</w:t>
      </w:r>
      <w:r>
        <w:rPr>
          <w:rFonts w:hint="eastAsia"/>
          <w:lang w:val="en-US"/>
        </w:rPr>
        <w:t xml:space="preserve">, </w:t>
      </w:r>
      <w:r>
        <w:rPr>
          <w:rFonts w:ascii="Symbol" w:hAnsi="Symbol"/>
        </w:rPr>
        <w:sym w:font="Symbol" w:char="F071"/>
      </w:r>
      <w:r>
        <w:rPr>
          <w:rFonts w:hint="eastAsia"/>
          <w:lang w:val="en-US"/>
        </w:rPr>
        <w:t>)</w:t>
      </w:r>
      <w:r>
        <w:rPr>
          <w:lang w:val="en-US"/>
        </w:rPr>
        <w:t> </w:t>
      </w:r>
      <w:r>
        <w:rPr>
          <w:rFonts w:ascii="Symbol" w:hAnsi="Symbol"/>
          <w:lang w:val="es-ES"/>
        </w:rPr>
        <w:t></w:t>
      </w:r>
      <w:r>
        <w:rPr>
          <w:lang w:val="en-US"/>
        </w:rPr>
        <w:tab/>
      </w:r>
      <w:r>
        <w:rPr>
          <w:rFonts w:hint="eastAsia"/>
          <w:lang w:val="en-US"/>
        </w:rPr>
        <w:t>1</w:t>
      </w:r>
      <w:r>
        <w:rPr>
          <w:lang w:val="en-US"/>
        </w:rPr>
        <w:t>.</w:t>
      </w:r>
      <w:r>
        <w:rPr>
          <w:rFonts w:hint="eastAsia"/>
          <w:lang w:val="en-US"/>
        </w:rPr>
        <w:t>78</w:t>
      </w:r>
      <w:r>
        <w:rPr>
          <w:lang w:val="en-US"/>
        </w:rPr>
        <w:t> </w:t>
      </w:r>
      <w:r>
        <w:rPr>
          <w:rFonts w:hint="eastAsia"/>
          <w:lang w:val="en-US"/>
        </w:rPr>
        <w:t>/</w:t>
      </w:r>
      <w:r>
        <w:rPr>
          <w:lang w:val="en-US"/>
        </w:rPr>
        <w:t> </w:t>
      </w:r>
      <w:r>
        <w:rPr>
          <w:rFonts w:hint="eastAsia"/>
          <w:lang w:val="en-US"/>
        </w:rPr>
        <w:t>[1</w:t>
      </w:r>
      <w:r>
        <w:rPr>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6527</w:t>
      </w:r>
      <w:r>
        <w:rPr>
          <w:i/>
          <w:lang w:val="en-US"/>
        </w:rPr>
        <w:t> </w:t>
      </w:r>
      <w:r>
        <w:rPr>
          <w:rFonts w:ascii="Symbol" w:hAnsi="Symbol"/>
        </w:rPr>
        <w:sym w:font="Symbol" w:char="F071"/>
      </w:r>
      <w:r>
        <w:rPr>
          <w:rFonts w:hint="eastAsia"/>
          <w:lang w:val="en-US"/>
        </w:rPr>
        <w:t> </w:t>
      </w:r>
      <w:r>
        <w:rPr>
          <w:rFonts w:ascii="Symbol" w:hAnsi="Symbol"/>
          <w:lang w:val="en-US"/>
        </w:rPr>
        <w:t></w:t>
      </w:r>
      <w:r>
        <w:rPr>
          <w:lang w:val="en-US"/>
        </w:rPr>
        <w:t> </w:t>
      </w:r>
      <w:r>
        <w:rPr>
          <w:rFonts w:hint="eastAsia"/>
          <w:i/>
          <w:lang w:val="en-US"/>
        </w:rPr>
        <w:t>h</w:t>
      </w:r>
      <w:r>
        <w:rPr>
          <w:lang w:val="en-US"/>
        </w:rPr>
        <w:t> </w:t>
      </w:r>
      <w:r>
        <w:rPr>
          <w:rFonts w:hint="eastAsia"/>
          <w:lang w:val="en-US"/>
        </w:rPr>
        <w:t>(0</w:t>
      </w:r>
      <w:r>
        <w:rPr>
          <w:lang w:val="en-US"/>
        </w:rPr>
        <w:t>.</w:t>
      </w:r>
      <w:r>
        <w:rPr>
          <w:rFonts w:hint="eastAsia"/>
          <w:lang w:val="en-US"/>
        </w:rPr>
        <w:t>2552</w:t>
      </w:r>
      <w:r>
        <w:rPr>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1355</w:t>
      </w:r>
      <w:r>
        <w:rPr>
          <w:i/>
          <w:lang w:val="en-US"/>
        </w:rPr>
        <w:t> </w:t>
      </w:r>
      <w:r>
        <w:rPr>
          <w:rFonts w:ascii="Symbol" w:hAnsi="Symbol"/>
        </w:rPr>
        <w:sym w:font="Symbol" w:char="F071"/>
      </w:r>
      <w:r>
        <w:rPr>
          <w:rFonts w:hint="eastAsia"/>
          <w:lang w:val="en-US"/>
        </w:rPr>
        <w:t>)]</w:t>
      </w:r>
      <w:r>
        <w:rPr>
          <w:rFonts w:hint="eastAsia"/>
          <w:lang w:val="en-US"/>
        </w:rPr>
        <w:tab/>
        <w:t>(3a)</w:t>
      </w:r>
    </w:p>
    <w:p w:rsidR="00B9359B" w:rsidRDefault="009A5268">
      <w:pPr>
        <w:pStyle w:val="Equation"/>
        <w:tabs>
          <w:tab w:val="clear" w:pos="794"/>
          <w:tab w:val="clear" w:pos="4820"/>
          <w:tab w:val="left" w:pos="540"/>
          <w:tab w:val="left" w:pos="1652"/>
        </w:tabs>
        <w:jc w:val="left"/>
        <w:rPr>
          <w:lang w:val="en-US"/>
        </w:rPr>
      </w:pPr>
      <w:r>
        <w:rPr>
          <w:i/>
          <w:lang w:val="en-US"/>
        </w:rPr>
        <w:tab/>
      </w:r>
      <w:r>
        <w:rPr>
          <w:rFonts w:hint="eastAsia"/>
          <w:i/>
          <w:lang w:val="en-US"/>
        </w:rPr>
        <w:t>A</w:t>
      </w:r>
      <w:r>
        <w:rPr>
          <w:rFonts w:hint="eastAsia"/>
          <w:i/>
          <w:vertAlign w:val="subscript"/>
          <w:lang w:val="en-US"/>
        </w:rPr>
        <w:t>M</w:t>
      </w:r>
      <w:r>
        <w:rPr>
          <w:i/>
          <w:vertAlign w:val="subscript"/>
          <w:lang w:val="en-US"/>
        </w:rPr>
        <w:t> </w:t>
      </w:r>
      <w:r>
        <w:rPr>
          <w:rFonts w:hint="eastAsia"/>
          <w:lang w:val="en-US"/>
        </w:rPr>
        <w:t>(</w:t>
      </w:r>
      <w:r>
        <w:rPr>
          <w:rFonts w:hint="eastAsia"/>
          <w:i/>
          <w:lang w:val="en-US"/>
        </w:rPr>
        <w:t>h</w:t>
      </w:r>
      <w:r>
        <w:rPr>
          <w:rFonts w:hint="eastAsia"/>
          <w:lang w:val="en-US"/>
        </w:rPr>
        <w:t xml:space="preserve">, </w:t>
      </w:r>
      <w:r>
        <w:rPr>
          <w:rFonts w:ascii="Symbol" w:hAnsi="Symbol"/>
        </w:rPr>
        <w:sym w:font="Symbol" w:char="F071"/>
      </w:r>
      <w:r>
        <w:rPr>
          <w:rFonts w:hint="eastAsia"/>
          <w:lang w:val="en-US"/>
        </w:rPr>
        <w:t>)</w:t>
      </w:r>
      <w:r>
        <w:rPr>
          <w:lang w:val="en-US"/>
        </w:rPr>
        <w:t> </w:t>
      </w:r>
      <w:r>
        <w:rPr>
          <w:rFonts w:ascii="Symbol" w:hAnsi="Symbol"/>
          <w:lang w:val="es-ES"/>
        </w:rPr>
        <w:t></w:t>
      </w:r>
      <w:r>
        <w:rPr>
          <w:lang w:val="en-US"/>
        </w:rPr>
        <w:tab/>
      </w:r>
      <w:r>
        <w:rPr>
          <w:rFonts w:hint="eastAsia"/>
          <w:lang w:val="en-US"/>
        </w:rPr>
        <w:t>2</w:t>
      </w:r>
      <w:r>
        <w:rPr>
          <w:lang w:val="en-US"/>
        </w:rPr>
        <w:t>.</w:t>
      </w:r>
      <w:r>
        <w:rPr>
          <w:rFonts w:hint="eastAsia"/>
          <w:lang w:val="en-US"/>
        </w:rPr>
        <w:t>11</w:t>
      </w:r>
      <w:r>
        <w:rPr>
          <w:lang w:val="en-US"/>
        </w:rPr>
        <w:t> </w:t>
      </w:r>
      <w:r>
        <w:rPr>
          <w:rFonts w:hint="eastAsia"/>
          <w:lang w:val="en-US"/>
        </w:rPr>
        <w:t>/</w:t>
      </w:r>
      <w:r>
        <w:rPr>
          <w:lang w:val="en-US"/>
        </w:rPr>
        <w:t> </w:t>
      </w:r>
      <w:r>
        <w:rPr>
          <w:rFonts w:hint="eastAsia"/>
          <w:lang w:val="en-US"/>
        </w:rPr>
        <w:t>[1</w:t>
      </w:r>
      <w:r>
        <w:rPr>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7022</w:t>
      </w:r>
      <w:r>
        <w:rPr>
          <w:i/>
          <w:lang w:val="en-US"/>
        </w:rPr>
        <w:t> </w:t>
      </w:r>
      <w:r>
        <w:rPr>
          <w:rFonts w:ascii="Symbol" w:hAnsi="Symbol"/>
        </w:rPr>
        <w:sym w:font="Symbol" w:char="F071"/>
      </w:r>
      <w:r>
        <w:rPr>
          <w:rFonts w:hint="eastAsia"/>
          <w:lang w:val="en-US"/>
        </w:rPr>
        <w:t> </w:t>
      </w:r>
      <w:r>
        <w:rPr>
          <w:rFonts w:ascii="Symbol" w:hAnsi="Symbol"/>
          <w:lang w:val="en-US"/>
        </w:rPr>
        <w:t></w:t>
      </w:r>
      <w:r>
        <w:rPr>
          <w:lang w:val="en-US"/>
        </w:rPr>
        <w:t> </w:t>
      </w:r>
      <w:r>
        <w:rPr>
          <w:rFonts w:hint="eastAsia"/>
          <w:i/>
          <w:lang w:val="en-US"/>
        </w:rPr>
        <w:t>h</w:t>
      </w:r>
      <w:r>
        <w:rPr>
          <w:lang w:val="en-US"/>
        </w:rPr>
        <w:t> </w:t>
      </w:r>
      <w:r>
        <w:rPr>
          <w:rFonts w:hint="eastAsia"/>
          <w:lang w:val="en-US"/>
        </w:rPr>
        <w:t>(0</w:t>
      </w:r>
      <w:r>
        <w:rPr>
          <w:lang w:val="en-US"/>
        </w:rPr>
        <w:t>.</w:t>
      </w:r>
      <w:r>
        <w:rPr>
          <w:rFonts w:hint="eastAsia"/>
          <w:lang w:val="en-US"/>
        </w:rPr>
        <w:t>3123 </w:t>
      </w:r>
      <w:r>
        <w:rPr>
          <w:rFonts w:ascii="Symbol" w:hAnsi="Symbol"/>
          <w:lang w:val="en-US"/>
        </w:rPr>
        <w:t></w:t>
      </w:r>
      <w:r>
        <w:rPr>
          <w:lang w:val="en-US"/>
        </w:rPr>
        <w:t> </w:t>
      </w:r>
      <w:r>
        <w:rPr>
          <w:rFonts w:hint="eastAsia"/>
          <w:lang w:val="en-US"/>
        </w:rPr>
        <w:t>0</w:t>
      </w:r>
      <w:r>
        <w:rPr>
          <w:lang w:val="en-US"/>
        </w:rPr>
        <w:t>.</w:t>
      </w:r>
      <w:r>
        <w:rPr>
          <w:rFonts w:hint="eastAsia"/>
          <w:lang w:val="en-US"/>
        </w:rPr>
        <w:t>1730</w:t>
      </w:r>
      <w:r>
        <w:rPr>
          <w:i/>
          <w:lang w:val="en-US"/>
        </w:rPr>
        <w:t> </w:t>
      </w:r>
      <w:r>
        <w:rPr>
          <w:rFonts w:ascii="Symbol" w:hAnsi="Symbol"/>
        </w:rPr>
        <w:sym w:font="Symbol" w:char="F071"/>
      </w:r>
      <w:r>
        <w:rPr>
          <w:rFonts w:hint="eastAsia"/>
          <w:lang w:val="en-US"/>
        </w:rPr>
        <w:t>)]</w:t>
      </w:r>
      <w:r>
        <w:rPr>
          <w:lang w:val="en-US"/>
        </w:rPr>
        <w:tab/>
      </w:r>
      <w:r>
        <w:rPr>
          <w:rFonts w:hint="eastAsia"/>
          <w:lang w:val="en-US"/>
        </w:rPr>
        <w:t>(3b)</w:t>
      </w:r>
    </w:p>
    <w:p w:rsidR="00B9359B" w:rsidRDefault="009A5268">
      <w:pPr>
        <w:pStyle w:val="Equation"/>
        <w:tabs>
          <w:tab w:val="clear" w:pos="794"/>
          <w:tab w:val="clear" w:pos="4820"/>
          <w:tab w:val="left" w:pos="540"/>
          <w:tab w:val="left" w:pos="1652"/>
        </w:tabs>
        <w:jc w:val="left"/>
        <w:rPr>
          <w:lang w:val="en-US"/>
        </w:rPr>
      </w:pPr>
      <w:r>
        <w:rPr>
          <w:i/>
          <w:lang w:val="en-US"/>
        </w:rPr>
        <w:tab/>
      </w:r>
      <w:r>
        <w:rPr>
          <w:rFonts w:hint="eastAsia"/>
          <w:i/>
          <w:lang w:val="en-US"/>
        </w:rPr>
        <w:t>A</w:t>
      </w:r>
      <w:r>
        <w:rPr>
          <w:rFonts w:hint="eastAsia"/>
          <w:i/>
          <w:vertAlign w:val="subscript"/>
          <w:lang w:val="en-US"/>
        </w:rPr>
        <w:t>H</w:t>
      </w:r>
      <w:r>
        <w:rPr>
          <w:i/>
          <w:vertAlign w:val="subscript"/>
          <w:lang w:val="en-US"/>
        </w:rPr>
        <w:t> </w:t>
      </w:r>
      <w:r>
        <w:rPr>
          <w:rFonts w:hint="eastAsia"/>
          <w:lang w:val="en-US"/>
        </w:rPr>
        <w:t>(</w:t>
      </w:r>
      <w:r>
        <w:rPr>
          <w:rFonts w:hint="eastAsia"/>
          <w:i/>
          <w:lang w:val="en-US"/>
        </w:rPr>
        <w:t>h</w:t>
      </w:r>
      <w:r>
        <w:rPr>
          <w:rFonts w:hint="eastAsia"/>
          <w:lang w:val="en-US"/>
        </w:rPr>
        <w:t xml:space="preserve">, </w:t>
      </w:r>
      <w:r>
        <w:rPr>
          <w:rFonts w:ascii="Symbol" w:hAnsi="Symbol"/>
        </w:rPr>
        <w:sym w:font="Symbol" w:char="F071"/>
      </w:r>
      <w:r>
        <w:rPr>
          <w:rFonts w:hint="eastAsia"/>
          <w:lang w:val="en-US"/>
        </w:rPr>
        <w:t>)</w:t>
      </w:r>
      <w:r>
        <w:rPr>
          <w:lang w:val="en-US"/>
        </w:rPr>
        <w:t> </w:t>
      </w:r>
      <w:r>
        <w:rPr>
          <w:rFonts w:ascii="Symbol" w:hAnsi="Symbol"/>
          <w:lang w:val="es-ES"/>
        </w:rPr>
        <w:t></w:t>
      </w:r>
      <w:r>
        <w:rPr>
          <w:lang w:val="en-US"/>
        </w:rPr>
        <w:tab/>
      </w:r>
      <w:r>
        <w:rPr>
          <w:rFonts w:hint="eastAsia"/>
          <w:lang w:val="en-US"/>
        </w:rPr>
        <w:t>2</w:t>
      </w:r>
      <w:r>
        <w:rPr>
          <w:lang w:val="en-US"/>
        </w:rPr>
        <w:t>.</w:t>
      </w:r>
      <w:r>
        <w:rPr>
          <w:rFonts w:hint="eastAsia"/>
          <w:lang w:val="en-US"/>
        </w:rPr>
        <w:t>33</w:t>
      </w:r>
      <w:r>
        <w:rPr>
          <w:lang w:val="en-US"/>
        </w:rPr>
        <w:t> </w:t>
      </w:r>
      <w:r>
        <w:rPr>
          <w:rFonts w:hint="eastAsia"/>
          <w:lang w:val="en-US"/>
        </w:rPr>
        <w:t>/</w:t>
      </w:r>
      <w:r>
        <w:rPr>
          <w:lang w:val="en-US"/>
        </w:rPr>
        <w:t> </w:t>
      </w:r>
      <w:r>
        <w:rPr>
          <w:rFonts w:hint="eastAsia"/>
          <w:lang w:val="en-US"/>
        </w:rPr>
        <w:t>[1</w:t>
      </w:r>
      <w:r>
        <w:rPr>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7331</w:t>
      </w:r>
      <w:r>
        <w:rPr>
          <w:i/>
          <w:lang w:val="en-US"/>
        </w:rPr>
        <w:t> </w:t>
      </w:r>
      <w:r>
        <w:rPr>
          <w:rFonts w:ascii="Symbol" w:hAnsi="Symbol"/>
        </w:rPr>
        <w:sym w:font="Symbol" w:char="F071"/>
      </w:r>
      <w:r>
        <w:rPr>
          <w:rFonts w:hint="eastAsia"/>
          <w:lang w:val="en-US"/>
        </w:rPr>
        <w:t> </w:t>
      </w:r>
      <w:r>
        <w:rPr>
          <w:rFonts w:ascii="Symbol" w:hAnsi="Symbol"/>
          <w:lang w:val="en-US"/>
        </w:rPr>
        <w:t></w:t>
      </w:r>
      <w:r>
        <w:rPr>
          <w:lang w:val="en-US"/>
        </w:rPr>
        <w:t> </w:t>
      </w:r>
      <w:r>
        <w:rPr>
          <w:rFonts w:hint="eastAsia"/>
          <w:i/>
          <w:lang w:val="en-US"/>
        </w:rPr>
        <w:t>h</w:t>
      </w:r>
      <w:r>
        <w:rPr>
          <w:lang w:val="en-US"/>
        </w:rPr>
        <w:t> </w:t>
      </w:r>
      <w:r>
        <w:rPr>
          <w:rFonts w:hint="eastAsia"/>
          <w:lang w:val="en-US"/>
        </w:rPr>
        <w:t>(0</w:t>
      </w:r>
      <w:r>
        <w:rPr>
          <w:lang w:val="en-US"/>
        </w:rPr>
        <w:t>.</w:t>
      </w:r>
      <w:r>
        <w:rPr>
          <w:rFonts w:hint="eastAsia"/>
          <w:lang w:val="en-US"/>
        </w:rPr>
        <w:t>3371 </w:t>
      </w:r>
      <w:r>
        <w:rPr>
          <w:rFonts w:ascii="Symbol" w:hAnsi="Symbol"/>
          <w:lang w:val="en-US"/>
        </w:rPr>
        <w:t></w:t>
      </w:r>
      <w:r>
        <w:rPr>
          <w:lang w:val="en-US"/>
        </w:rPr>
        <w:t> </w:t>
      </w:r>
      <w:r>
        <w:rPr>
          <w:rFonts w:hint="eastAsia"/>
          <w:lang w:val="en-US"/>
        </w:rPr>
        <w:t>0</w:t>
      </w:r>
      <w:r>
        <w:rPr>
          <w:lang w:val="en-US"/>
        </w:rPr>
        <w:t>.</w:t>
      </w:r>
      <w:r>
        <w:rPr>
          <w:rFonts w:hint="eastAsia"/>
          <w:lang w:val="en-US"/>
        </w:rPr>
        <w:t>1881</w:t>
      </w:r>
      <w:r>
        <w:rPr>
          <w:i/>
          <w:lang w:val="en-US"/>
        </w:rPr>
        <w:t> </w:t>
      </w:r>
      <w:r>
        <w:rPr>
          <w:rFonts w:ascii="Symbol" w:hAnsi="Symbol"/>
        </w:rPr>
        <w:sym w:font="Symbol" w:char="F071"/>
      </w:r>
      <w:r>
        <w:rPr>
          <w:rFonts w:hint="eastAsia"/>
          <w:lang w:val="en-US"/>
        </w:rPr>
        <w:t>)]</w:t>
      </w:r>
      <w:r>
        <w:rPr>
          <w:rFonts w:hint="eastAsia"/>
          <w:lang w:val="en-US"/>
        </w:rPr>
        <w:tab/>
        <w:t>(3c)</w:t>
      </w:r>
    </w:p>
    <w:p w:rsidR="00B9359B" w:rsidRDefault="009A5268">
      <w:pPr>
        <w:pStyle w:val="Headingb"/>
        <w:rPr>
          <w:lang w:val="en-US"/>
        </w:rPr>
      </w:pPr>
      <w:r>
        <w:rPr>
          <w:rFonts w:hint="eastAsia"/>
          <w:lang w:val="en-US"/>
        </w:rPr>
        <w:t>Frequency band 10.6-10.7 GHz</w:t>
      </w:r>
    </w:p>
    <w:p w:rsidR="00B9359B" w:rsidRDefault="009A5268">
      <w:pPr>
        <w:pStyle w:val="Equation"/>
        <w:tabs>
          <w:tab w:val="clear" w:pos="794"/>
          <w:tab w:val="clear" w:pos="4820"/>
          <w:tab w:val="left" w:pos="540"/>
          <w:tab w:val="left" w:pos="1652"/>
        </w:tabs>
        <w:jc w:val="left"/>
        <w:rPr>
          <w:lang w:val="en-US"/>
        </w:rPr>
      </w:pPr>
      <w:r>
        <w:rPr>
          <w:i/>
          <w:lang w:val="en-US"/>
        </w:rPr>
        <w:tab/>
      </w:r>
      <w:r>
        <w:rPr>
          <w:rFonts w:hint="eastAsia"/>
          <w:i/>
          <w:lang w:val="en-US"/>
        </w:rPr>
        <w:t>A</w:t>
      </w:r>
      <w:r>
        <w:rPr>
          <w:rFonts w:hint="eastAsia"/>
          <w:i/>
          <w:vertAlign w:val="subscript"/>
          <w:lang w:val="en-US"/>
        </w:rPr>
        <w:t>L</w:t>
      </w:r>
      <w:r>
        <w:rPr>
          <w:i/>
          <w:vertAlign w:val="subscript"/>
          <w:lang w:val="en-US"/>
        </w:rPr>
        <w:t> </w:t>
      </w:r>
      <w:r>
        <w:rPr>
          <w:rFonts w:hint="eastAsia"/>
          <w:lang w:val="en-US"/>
        </w:rPr>
        <w:t>(</w:t>
      </w:r>
      <w:r>
        <w:rPr>
          <w:rFonts w:hint="eastAsia"/>
          <w:i/>
          <w:lang w:val="en-US"/>
        </w:rPr>
        <w:t>h</w:t>
      </w:r>
      <w:r>
        <w:rPr>
          <w:rFonts w:hint="eastAsia"/>
          <w:lang w:val="en-US"/>
        </w:rPr>
        <w:t xml:space="preserve">, </w:t>
      </w:r>
      <w:r>
        <w:rPr>
          <w:rFonts w:ascii="Symbol" w:hAnsi="Symbol"/>
        </w:rPr>
        <w:sym w:font="Symbol" w:char="F071"/>
      </w:r>
      <w:r>
        <w:rPr>
          <w:rFonts w:hint="eastAsia"/>
          <w:lang w:val="en-US"/>
        </w:rPr>
        <w:t>)</w:t>
      </w:r>
      <w:r>
        <w:rPr>
          <w:lang w:val="en-US"/>
        </w:rPr>
        <w:t> </w:t>
      </w:r>
      <w:r>
        <w:rPr>
          <w:rFonts w:ascii="Symbol" w:hAnsi="Symbol"/>
          <w:lang w:val="es-ES"/>
        </w:rPr>
        <w:t></w:t>
      </w:r>
      <w:r>
        <w:rPr>
          <w:lang w:val="en-US"/>
        </w:rPr>
        <w:tab/>
      </w:r>
      <w:r>
        <w:rPr>
          <w:rFonts w:hint="eastAsia"/>
          <w:lang w:val="en-US"/>
        </w:rPr>
        <w:t>3</w:t>
      </w:r>
      <w:r>
        <w:rPr>
          <w:lang w:val="en-US"/>
        </w:rPr>
        <w:t>.</w:t>
      </w:r>
      <w:r>
        <w:rPr>
          <w:rFonts w:hint="eastAsia"/>
          <w:lang w:val="en-US"/>
        </w:rPr>
        <w:t>38</w:t>
      </w:r>
      <w:r>
        <w:rPr>
          <w:lang w:val="en-US"/>
        </w:rPr>
        <w:t> </w:t>
      </w:r>
      <w:r>
        <w:rPr>
          <w:rFonts w:hint="eastAsia"/>
          <w:lang w:val="en-US"/>
        </w:rPr>
        <w:t>/</w:t>
      </w:r>
      <w:r>
        <w:rPr>
          <w:lang w:val="en-US"/>
        </w:rPr>
        <w:t> </w:t>
      </w:r>
      <w:r>
        <w:rPr>
          <w:rFonts w:hint="eastAsia"/>
          <w:lang w:val="en-US"/>
        </w:rPr>
        <w:t>[1 </w:t>
      </w:r>
      <w:r>
        <w:rPr>
          <w:rFonts w:ascii="Symbol" w:hAnsi="Symbol"/>
          <w:lang w:val="en-US"/>
        </w:rPr>
        <w:t></w:t>
      </w:r>
      <w:r>
        <w:rPr>
          <w:lang w:val="en-US"/>
        </w:rPr>
        <w:t> </w:t>
      </w:r>
      <w:r>
        <w:rPr>
          <w:rFonts w:hint="eastAsia"/>
          <w:lang w:val="en-US"/>
        </w:rPr>
        <w:t>0</w:t>
      </w:r>
      <w:r>
        <w:rPr>
          <w:lang w:val="en-US"/>
        </w:rPr>
        <w:t>.</w:t>
      </w:r>
      <w:r>
        <w:rPr>
          <w:rFonts w:hint="eastAsia"/>
          <w:lang w:val="en-US"/>
        </w:rPr>
        <w:t>8346</w:t>
      </w:r>
      <w:r>
        <w:rPr>
          <w:i/>
          <w:lang w:val="en-US"/>
        </w:rPr>
        <w:t> </w:t>
      </w:r>
      <w:r>
        <w:rPr>
          <w:rFonts w:ascii="Symbol" w:hAnsi="Symbol"/>
        </w:rPr>
        <w:sym w:font="Symbol" w:char="F071"/>
      </w:r>
      <w:r>
        <w:rPr>
          <w:rFonts w:hint="eastAsia"/>
          <w:lang w:val="en-US"/>
        </w:rPr>
        <w:t> </w:t>
      </w:r>
      <w:r>
        <w:rPr>
          <w:rFonts w:ascii="Symbol" w:hAnsi="Symbol"/>
          <w:lang w:val="en-US"/>
        </w:rPr>
        <w:t></w:t>
      </w:r>
      <w:r>
        <w:rPr>
          <w:lang w:val="en-US"/>
        </w:rPr>
        <w:t> </w:t>
      </w:r>
      <w:r>
        <w:rPr>
          <w:rFonts w:hint="eastAsia"/>
          <w:i/>
          <w:lang w:val="en-US"/>
        </w:rPr>
        <w:t>h</w:t>
      </w:r>
      <w:r>
        <w:rPr>
          <w:lang w:val="en-US"/>
        </w:rPr>
        <w:t> </w:t>
      </w:r>
      <w:r>
        <w:rPr>
          <w:rFonts w:hint="eastAsia"/>
          <w:lang w:val="en-US"/>
        </w:rPr>
        <w:t>(0</w:t>
      </w:r>
      <w:r>
        <w:rPr>
          <w:lang w:val="en-US"/>
        </w:rPr>
        <w:t>.</w:t>
      </w:r>
      <w:r>
        <w:rPr>
          <w:rFonts w:hint="eastAsia"/>
          <w:lang w:val="en-US"/>
        </w:rPr>
        <w:t>2690 </w:t>
      </w:r>
      <w:r>
        <w:rPr>
          <w:rFonts w:ascii="Symbol" w:hAnsi="Symbol"/>
          <w:lang w:val="en-US"/>
        </w:rPr>
        <w:t></w:t>
      </w:r>
      <w:r>
        <w:rPr>
          <w:lang w:val="en-US"/>
        </w:rPr>
        <w:t> </w:t>
      </w:r>
      <w:r>
        <w:rPr>
          <w:rFonts w:hint="eastAsia"/>
          <w:lang w:val="en-US"/>
        </w:rPr>
        <w:t>0</w:t>
      </w:r>
      <w:r>
        <w:rPr>
          <w:lang w:val="en-US"/>
        </w:rPr>
        <w:t>.</w:t>
      </w:r>
      <w:r>
        <w:rPr>
          <w:rFonts w:hint="eastAsia"/>
          <w:lang w:val="en-US"/>
        </w:rPr>
        <w:t>2738</w:t>
      </w:r>
      <w:r>
        <w:rPr>
          <w:i/>
          <w:lang w:val="en-US"/>
        </w:rPr>
        <w:t> </w:t>
      </w:r>
      <w:r>
        <w:rPr>
          <w:rFonts w:ascii="Symbol" w:hAnsi="Symbol"/>
        </w:rPr>
        <w:sym w:font="Symbol" w:char="F071"/>
      </w:r>
      <w:r>
        <w:rPr>
          <w:rFonts w:hint="eastAsia"/>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09948</w:t>
      </w:r>
      <w:r>
        <w:rPr>
          <w:lang w:val="en-US"/>
        </w:rPr>
        <w:t> </w:t>
      </w:r>
      <w:r>
        <w:rPr>
          <w:rFonts w:hint="eastAsia"/>
          <w:i/>
          <w:iCs/>
          <w:lang w:val="en-US"/>
        </w:rPr>
        <w:t>h</w:t>
      </w:r>
      <w:r>
        <w:rPr>
          <w:rFonts w:hint="eastAsia"/>
          <w:vertAlign w:val="superscript"/>
          <w:lang w:val="en-US"/>
        </w:rPr>
        <w:t>2</w:t>
      </w:r>
      <w:r>
        <w:rPr>
          <w:rFonts w:hint="eastAsia"/>
          <w:lang w:val="en-US"/>
        </w:rPr>
        <w:t>]</w:t>
      </w:r>
      <w:r>
        <w:rPr>
          <w:rFonts w:hint="eastAsia"/>
          <w:lang w:val="en-US"/>
        </w:rPr>
        <w:tab/>
        <w:t>(4a)</w:t>
      </w:r>
    </w:p>
    <w:p w:rsidR="00B9359B" w:rsidRDefault="009A5268">
      <w:pPr>
        <w:pStyle w:val="Equation"/>
        <w:tabs>
          <w:tab w:val="clear" w:pos="794"/>
          <w:tab w:val="clear" w:pos="4820"/>
          <w:tab w:val="left" w:pos="540"/>
          <w:tab w:val="left" w:pos="1652"/>
        </w:tabs>
        <w:jc w:val="left"/>
        <w:rPr>
          <w:lang w:val="en-US"/>
        </w:rPr>
      </w:pPr>
      <w:r>
        <w:rPr>
          <w:i/>
          <w:lang w:val="en-US"/>
        </w:rPr>
        <w:tab/>
      </w:r>
      <w:r>
        <w:rPr>
          <w:rFonts w:hint="eastAsia"/>
          <w:i/>
          <w:lang w:val="en-US"/>
        </w:rPr>
        <w:t>A</w:t>
      </w:r>
      <w:r>
        <w:rPr>
          <w:rFonts w:hint="eastAsia"/>
          <w:i/>
          <w:vertAlign w:val="subscript"/>
          <w:lang w:val="en-US"/>
        </w:rPr>
        <w:t>M</w:t>
      </w:r>
      <w:r>
        <w:rPr>
          <w:i/>
          <w:vertAlign w:val="subscript"/>
          <w:lang w:val="en-US"/>
        </w:rPr>
        <w:t> </w:t>
      </w:r>
      <w:r>
        <w:rPr>
          <w:rFonts w:hint="eastAsia"/>
          <w:lang w:val="en-US"/>
        </w:rPr>
        <w:t>(</w:t>
      </w:r>
      <w:r>
        <w:rPr>
          <w:rFonts w:hint="eastAsia"/>
          <w:i/>
          <w:lang w:val="en-US"/>
        </w:rPr>
        <w:t>h</w:t>
      </w:r>
      <w:r>
        <w:rPr>
          <w:rFonts w:hint="eastAsia"/>
          <w:lang w:val="en-US"/>
        </w:rPr>
        <w:t xml:space="preserve">, </w:t>
      </w:r>
      <w:r>
        <w:rPr>
          <w:rFonts w:ascii="Symbol" w:hAnsi="Symbol"/>
        </w:rPr>
        <w:sym w:font="Symbol" w:char="F071"/>
      </w:r>
      <w:r>
        <w:rPr>
          <w:rFonts w:hint="eastAsia"/>
          <w:lang w:val="en-US"/>
        </w:rPr>
        <w:t>)</w:t>
      </w:r>
      <w:r>
        <w:rPr>
          <w:lang w:val="en-US"/>
        </w:rPr>
        <w:t> </w:t>
      </w:r>
      <w:r>
        <w:rPr>
          <w:rFonts w:ascii="Symbol" w:hAnsi="Symbol"/>
          <w:lang w:val="es-ES"/>
        </w:rPr>
        <w:t></w:t>
      </w:r>
      <w:r>
        <w:rPr>
          <w:rFonts w:ascii="Symbol" w:hAnsi="Symbol"/>
          <w:lang w:val="en-US"/>
        </w:rPr>
        <w:tab/>
      </w:r>
      <w:r>
        <w:rPr>
          <w:rFonts w:hint="eastAsia"/>
          <w:lang w:val="en-US"/>
        </w:rPr>
        <w:t>3</w:t>
      </w:r>
      <w:r>
        <w:rPr>
          <w:lang w:val="en-US"/>
        </w:rPr>
        <w:t>.</w:t>
      </w:r>
      <w:r>
        <w:rPr>
          <w:rFonts w:hint="eastAsia"/>
          <w:lang w:val="en-US"/>
        </w:rPr>
        <w:t>00</w:t>
      </w:r>
      <w:r>
        <w:rPr>
          <w:lang w:val="en-US"/>
        </w:rPr>
        <w:t> </w:t>
      </w:r>
      <w:r>
        <w:rPr>
          <w:rFonts w:hint="eastAsia"/>
          <w:lang w:val="en-US"/>
        </w:rPr>
        <w:t>/</w:t>
      </w:r>
      <w:r>
        <w:rPr>
          <w:lang w:val="en-US"/>
        </w:rPr>
        <w:t> </w:t>
      </w:r>
      <w:r>
        <w:rPr>
          <w:rFonts w:hint="eastAsia"/>
          <w:lang w:val="en-US"/>
        </w:rPr>
        <w:t>[1 </w:t>
      </w:r>
      <w:r>
        <w:rPr>
          <w:rFonts w:ascii="Symbol" w:hAnsi="Symbol"/>
          <w:lang w:val="en-US"/>
        </w:rPr>
        <w:t></w:t>
      </w:r>
      <w:r>
        <w:rPr>
          <w:lang w:val="en-US"/>
        </w:rPr>
        <w:t> </w:t>
      </w:r>
      <w:r>
        <w:rPr>
          <w:rFonts w:hint="eastAsia"/>
          <w:lang w:val="en-US"/>
        </w:rPr>
        <w:t>0</w:t>
      </w:r>
      <w:r>
        <w:rPr>
          <w:lang w:val="en-US"/>
        </w:rPr>
        <w:t>.</w:t>
      </w:r>
      <w:r>
        <w:rPr>
          <w:rFonts w:hint="eastAsia"/>
          <w:lang w:val="en-US"/>
        </w:rPr>
        <w:t>7507</w:t>
      </w:r>
      <w:r>
        <w:rPr>
          <w:i/>
          <w:lang w:val="en-US"/>
        </w:rPr>
        <w:t> </w:t>
      </w:r>
      <w:r>
        <w:rPr>
          <w:rFonts w:ascii="Symbol" w:hAnsi="Symbol"/>
        </w:rPr>
        <w:sym w:font="Symbol" w:char="F071"/>
      </w:r>
      <w:r>
        <w:rPr>
          <w:rFonts w:hint="eastAsia"/>
          <w:lang w:val="en-US"/>
        </w:rPr>
        <w:t> </w:t>
      </w:r>
      <w:r>
        <w:rPr>
          <w:rFonts w:ascii="Symbol" w:hAnsi="Symbol"/>
          <w:lang w:val="en-US"/>
        </w:rPr>
        <w:t></w:t>
      </w:r>
      <w:r>
        <w:rPr>
          <w:lang w:val="en-US"/>
        </w:rPr>
        <w:t> </w:t>
      </w:r>
      <w:r>
        <w:rPr>
          <w:rFonts w:hint="eastAsia"/>
          <w:i/>
          <w:lang w:val="en-US"/>
        </w:rPr>
        <w:t>h</w:t>
      </w:r>
      <w:r>
        <w:rPr>
          <w:lang w:val="en-US"/>
        </w:rPr>
        <w:t> </w:t>
      </w:r>
      <w:r>
        <w:rPr>
          <w:rFonts w:hint="eastAsia"/>
          <w:lang w:val="en-US"/>
        </w:rPr>
        <w:t>(0</w:t>
      </w:r>
      <w:r>
        <w:rPr>
          <w:lang w:val="en-US"/>
        </w:rPr>
        <w:t>.</w:t>
      </w:r>
      <w:r>
        <w:rPr>
          <w:rFonts w:hint="eastAsia"/>
          <w:lang w:val="en-US"/>
        </w:rPr>
        <w:t>3983 </w:t>
      </w:r>
      <w:r>
        <w:rPr>
          <w:rFonts w:ascii="Symbol" w:hAnsi="Symbol"/>
          <w:lang w:val="en-US"/>
        </w:rPr>
        <w:t></w:t>
      </w:r>
      <w:r>
        <w:rPr>
          <w:lang w:val="en-US"/>
        </w:rPr>
        <w:t> </w:t>
      </w:r>
      <w:r>
        <w:rPr>
          <w:rFonts w:hint="eastAsia"/>
          <w:lang w:val="en-US"/>
        </w:rPr>
        <w:t>0</w:t>
      </w:r>
      <w:r>
        <w:rPr>
          <w:lang w:val="en-US"/>
        </w:rPr>
        <w:t>.</w:t>
      </w:r>
      <w:r>
        <w:rPr>
          <w:rFonts w:hint="eastAsia"/>
          <w:lang w:val="en-US"/>
        </w:rPr>
        <w:t>2147</w:t>
      </w:r>
      <w:r>
        <w:rPr>
          <w:i/>
          <w:lang w:val="en-US"/>
        </w:rPr>
        <w:t> </w:t>
      </w:r>
      <w:r>
        <w:rPr>
          <w:rFonts w:ascii="Symbol" w:hAnsi="Symbol"/>
        </w:rPr>
        <w:sym w:font="Symbol" w:char="F071"/>
      </w:r>
      <w:r>
        <w:rPr>
          <w:rFonts w:hint="eastAsia"/>
          <w:lang w:val="en-US"/>
        </w:rPr>
        <w:t>)]</w:t>
      </w:r>
      <w:r>
        <w:rPr>
          <w:rFonts w:hint="eastAsia"/>
          <w:lang w:val="en-US"/>
        </w:rPr>
        <w:tab/>
        <w:t>(4b)</w:t>
      </w:r>
    </w:p>
    <w:p w:rsidR="00B9359B" w:rsidRDefault="009A5268">
      <w:pPr>
        <w:pStyle w:val="Equation"/>
        <w:tabs>
          <w:tab w:val="clear" w:pos="794"/>
          <w:tab w:val="clear" w:pos="4820"/>
          <w:tab w:val="left" w:pos="540"/>
          <w:tab w:val="left" w:pos="1652"/>
        </w:tabs>
        <w:jc w:val="left"/>
        <w:rPr>
          <w:lang w:val="en-US"/>
        </w:rPr>
      </w:pPr>
      <w:r>
        <w:rPr>
          <w:i/>
          <w:lang w:val="en-US"/>
        </w:rPr>
        <w:tab/>
      </w:r>
      <w:r>
        <w:rPr>
          <w:rFonts w:hint="eastAsia"/>
          <w:i/>
          <w:lang w:val="en-US"/>
        </w:rPr>
        <w:t>A</w:t>
      </w:r>
      <w:r>
        <w:rPr>
          <w:rFonts w:hint="eastAsia"/>
          <w:i/>
          <w:vertAlign w:val="subscript"/>
          <w:lang w:val="en-US"/>
        </w:rPr>
        <w:t>H</w:t>
      </w:r>
      <w:r>
        <w:rPr>
          <w:i/>
          <w:vertAlign w:val="subscript"/>
          <w:lang w:val="en-US"/>
        </w:rPr>
        <w:t> </w:t>
      </w:r>
      <w:r>
        <w:rPr>
          <w:rFonts w:hint="eastAsia"/>
          <w:lang w:val="en-US"/>
        </w:rPr>
        <w:t>(</w:t>
      </w:r>
      <w:r>
        <w:rPr>
          <w:rFonts w:hint="eastAsia"/>
          <w:i/>
          <w:lang w:val="en-US"/>
        </w:rPr>
        <w:t>h</w:t>
      </w:r>
      <w:r>
        <w:rPr>
          <w:rFonts w:hint="eastAsia"/>
          <w:lang w:val="en-US"/>
        </w:rPr>
        <w:t xml:space="preserve">, </w:t>
      </w:r>
      <w:r>
        <w:rPr>
          <w:rFonts w:ascii="Symbol" w:hAnsi="Symbol"/>
        </w:rPr>
        <w:sym w:font="Symbol" w:char="F071"/>
      </w:r>
      <w:r>
        <w:rPr>
          <w:rFonts w:hint="eastAsia"/>
          <w:lang w:val="en-US"/>
        </w:rPr>
        <w:t>)</w:t>
      </w:r>
      <w:r>
        <w:rPr>
          <w:lang w:val="en-US"/>
        </w:rPr>
        <w:t> </w:t>
      </w:r>
      <w:r>
        <w:rPr>
          <w:rFonts w:ascii="Symbol" w:hAnsi="Symbol"/>
          <w:lang w:val="es-ES"/>
        </w:rPr>
        <w:t></w:t>
      </w:r>
      <w:r>
        <w:rPr>
          <w:lang w:val="en-US"/>
        </w:rPr>
        <w:tab/>
      </w:r>
      <w:r>
        <w:rPr>
          <w:rFonts w:hint="eastAsia"/>
          <w:lang w:val="en-US"/>
        </w:rPr>
        <w:t>2</w:t>
      </w:r>
      <w:r>
        <w:rPr>
          <w:lang w:val="en-US"/>
        </w:rPr>
        <w:t>.</w:t>
      </w:r>
      <w:r>
        <w:rPr>
          <w:rFonts w:hint="eastAsia"/>
          <w:lang w:val="en-US"/>
        </w:rPr>
        <w:t>97</w:t>
      </w:r>
      <w:r>
        <w:rPr>
          <w:lang w:val="en-US"/>
        </w:rPr>
        <w:t> </w:t>
      </w:r>
      <w:r>
        <w:rPr>
          <w:rFonts w:hint="eastAsia"/>
          <w:lang w:val="en-US"/>
        </w:rPr>
        <w:t>/</w:t>
      </w:r>
      <w:r>
        <w:rPr>
          <w:lang w:val="en-US"/>
        </w:rPr>
        <w:t> </w:t>
      </w:r>
      <w:r>
        <w:rPr>
          <w:rFonts w:hint="eastAsia"/>
          <w:lang w:val="en-US"/>
        </w:rPr>
        <w:t>[1 </w:t>
      </w:r>
      <w:r>
        <w:rPr>
          <w:rFonts w:ascii="Symbol" w:hAnsi="Symbol"/>
          <w:lang w:val="en-US"/>
        </w:rPr>
        <w:t></w:t>
      </w:r>
      <w:r>
        <w:rPr>
          <w:lang w:val="en-US"/>
        </w:rPr>
        <w:t> </w:t>
      </w:r>
      <w:r>
        <w:rPr>
          <w:rFonts w:hint="eastAsia"/>
          <w:lang w:val="en-US"/>
        </w:rPr>
        <w:t>0</w:t>
      </w:r>
      <w:r>
        <w:rPr>
          <w:lang w:val="en-US"/>
        </w:rPr>
        <w:t>.</w:t>
      </w:r>
      <w:r>
        <w:rPr>
          <w:rFonts w:hint="eastAsia"/>
          <w:lang w:val="en-US"/>
        </w:rPr>
        <w:t>7476</w:t>
      </w:r>
      <w:r>
        <w:rPr>
          <w:i/>
          <w:lang w:val="en-US"/>
        </w:rPr>
        <w:t> </w:t>
      </w:r>
      <w:r>
        <w:rPr>
          <w:rFonts w:ascii="Symbol" w:hAnsi="Symbol"/>
        </w:rPr>
        <w:sym w:font="Symbol" w:char="F071"/>
      </w:r>
      <w:r>
        <w:rPr>
          <w:rFonts w:hint="eastAsia"/>
          <w:lang w:val="en-US"/>
        </w:rPr>
        <w:t> </w:t>
      </w:r>
      <w:r>
        <w:rPr>
          <w:rFonts w:ascii="Symbol" w:hAnsi="Symbol"/>
          <w:lang w:val="en-US"/>
        </w:rPr>
        <w:t></w:t>
      </w:r>
      <w:r>
        <w:rPr>
          <w:lang w:val="en-US"/>
        </w:rPr>
        <w:t> </w:t>
      </w:r>
      <w:r>
        <w:rPr>
          <w:rFonts w:hint="eastAsia"/>
          <w:i/>
          <w:lang w:val="en-US"/>
        </w:rPr>
        <w:t>h</w:t>
      </w:r>
      <w:r>
        <w:rPr>
          <w:lang w:val="en-US"/>
        </w:rPr>
        <w:t> </w:t>
      </w:r>
      <w:r>
        <w:rPr>
          <w:rFonts w:hint="eastAsia"/>
          <w:lang w:val="en-US"/>
        </w:rPr>
        <w:t>(0</w:t>
      </w:r>
      <w:r>
        <w:rPr>
          <w:lang w:val="en-US"/>
        </w:rPr>
        <w:t>.</w:t>
      </w:r>
      <w:r>
        <w:rPr>
          <w:rFonts w:hint="eastAsia"/>
          <w:lang w:val="en-US"/>
        </w:rPr>
        <w:t>3734 </w:t>
      </w:r>
      <w:r>
        <w:rPr>
          <w:rFonts w:ascii="Symbol" w:hAnsi="Symbol"/>
          <w:lang w:val="en-US"/>
        </w:rPr>
        <w:t></w:t>
      </w:r>
      <w:r>
        <w:rPr>
          <w:lang w:val="en-US"/>
        </w:rPr>
        <w:t> </w:t>
      </w:r>
      <w:r>
        <w:rPr>
          <w:rFonts w:hint="eastAsia"/>
          <w:lang w:val="en-US"/>
        </w:rPr>
        <w:t>0</w:t>
      </w:r>
      <w:r>
        <w:rPr>
          <w:lang w:val="en-US"/>
        </w:rPr>
        <w:t>.</w:t>
      </w:r>
      <w:r>
        <w:rPr>
          <w:rFonts w:hint="eastAsia"/>
          <w:lang w:val="en-US"/>
        </w:rPr>
        <w:t>2072</w:t>
      </w:r>
      <w:r>
        <w:rPr>
          <w:i/>
          <w:lang w:val="en-US"/>
        </w:rPr>
        <w:t> </w:t>
      </w:r>
      <w:r>
        <w:rPr>
          <w:rFonts w:ascii="Symbol" w:hAnsi="Symbol"/>
        </w:rPr>
        <w:sym w:font="Symbol" w:char="F071"/>
      </w:r>
      <w:r>
        <w:rPr>
          <w:rFonts w:hint="eastAsia"/>
          <w:lang w:val="en-US"/>
        </w:rPr>
        <w:t>)]</w:t>
      </w:r>
      <w:r>
        <w:rPr>
          <w:rFonts w:hint="eastAsia"/>
          <w:lang w:val="en-US"/>
        </w:rPr>
        <w:tab/>
        <w:t>(4c)</w:t>
      </w:r>
    </w:p>
    <w:p w:rsidR="00B9359B" w:rsidRDefault="009A5268">
      <w:pPr>
        <w:pStyle w:val="Headingb"/>
        <w:rPr>
          <w:lang w:val="en-US"/>
        </w:rPr>
      </w:pPr>
      <w:r>
        <w:rPr>
          <w:rFonts w:hint="eastAsia"/>
          <w:lang w:val="en-US"/>
        </w:rPr>
        <w:t>Frequency band 21.2-21.4 GHz</w:t>
      </w:r>
    </w:p>
    <w:p w:rsidR="00B9359B" w:rsidRDefault="009A5268">
      <w:pPr>
        <w:pStyle w:val="Equation"/>
        <w:tabs>
          <w:tab w:val="clear" w:pos="794"/>
          <w:tab w:val="clear" w:pos="4820"/>
          <w:tab w:val="left" w:pos="540"/>
          <w:tab w:val="left" w:pos="1652"/>
        </w:tabs>
        <w:jc w:val="left"/>
        <w:rPr>
          <w:lang w:val="en-US"/>
        </w:rPr>
      </w:pPr>
      <w:r>
        <w:rPr>
          <w:i/>
          <w:lang w:val="en-US"/>
        </w:rPr>
        <w:tab/>
      </w:r>
      <w:r>
        <w:rPr>
          <w:rFonts w:hint="eastAsia"/>
          <w:i/>
          <w:lang w:val="en-US"/>
        </w:rPr>
        <w:t>A</w:t>
      </w:r>
      <w:r>
        <w:rPr>
          <w:rFonts w:hint="eastAsia"/>
          <w:i/>
          <w:vertAlign w:val="subscript"/>
          <w:lang w:val="en-US"/>
        </w:rPr>
        <w:t>L</w:t>
      </w:r>
      <w:r>
        <w:rPr>
          <w:i/>
          <w:vertAlign w:val="subscript"/>
          <w:lang w:val="en-US"/>
        </w:rPr>
        <w:t> </w:t>
      </w:r>
      <w:r>
        <w:rPr>
          <w:rFonts w:hint="eastAsia"/>
          <w:lang w:val="en-US"/>
        </w:rPr>
        <w:t>(</w:t>
      </w:r>
      <w:r>
        <w:rPr>
          <w:rFonts w:hint="eastAsia"/>
          <w:i/>
          <w:lang w:val="en-US"/>
        </w:rPr>
        <w:t>h</w:t>
      </w:r>
      <w:r>
        <w:rPr>
          <w:rFonts w:hint="eastAsia"/>
          <w:lang w:val="en-US"/>
        </w:rPr>
        <w:t xml:space="preserve">, </w:t>
      </w:r>
      <w:r>
        <w:rPr>
          <w:rFonts w:ascii="Symbol" w:hAnsi="Symbol"/>
        </w:rPr>
        <w:sym w:font="Symbol" w:char="F071"/>
      </w:r>
      <w:r>
        <w:rPr>
          <w:rFonts w:hint="eastAsia"/>
          <w:lang w:val="en-US"/>
        </w:rPr>
        <w:t>)</w:t>
      </w:r>
      <w:r>
        <w:rPr>
          <w:lang w:val="en-US"/>
        </w:rPr>
        <w:t> </w:t>
      </w:r>
      <w:r>
        <w:rPr>
          <w:rFonts w:ascii="Symbol" w:hAnsi="Symbol"/>
          <w:lang w:val="es-ES"/>
        </w:rPr>
        <w:t></w:t>
      </w:r>
      <w:r>
        <w:rPr>
          <w:lang w:val="en-US"/>
        </w:rPr>
        <w:tab/>
      </w:r>
      <w:r>
        <w:rPr>
          <w:rFonts w:hint="eastAsia"/>
          <w:lang w:val="en-US"/>
        </w:rPr>
        <w:t>39</w:t>
      </w:r>
      <w:r>
        <w:rPr>
          <w:lang w:val="en-US"/>
        </w:rPr>
        <w:t>.</w:t>
      </w:r>
      <w:r>
        <w:rPr>
          <w:rFonts w:hint="eastAsia"/>
          <w:lang w:val="en-US"/>
        </w:rPr>
        <w:t>24</w:t>
      </w:r>
      <w:r>
        <w:rPr>
          <w:lang w:val="en-US"/>
        </w:rPr>
        <w:t> </w:t>
      </w:r>
      <w:r>
        <w:rPr>
          <w:rFonts w:hint="eastAsia"/>
          <w:lang w:val="en-US"/>
        </w:rPr>
        <w:t>/</w:t>
      </w:r>
      <w:r>
        <w:rPr>
          <w:lang w:val="en-US"/>
        </w:rPr>
        <w:t> </w:t>
      </w:r>
      <w:r>
        <w:rPr>
          <w:rFonts w:hint="eastAsia"/>
          <w:lang w:val="en-US"/>
        </w:rPr>
        <w:t>[1 </w:t>
      </w:r>
      <w:r>
        <w:rPr>
          <w:rFonts w:ascii="Symbol" w:hAnsi="Symbol"/>
          <w:lang w:val="en-US"/>
        </w:rPr>
        <w:t></w:t>
      </w:r>
      <w:r>
        <w:rPr>
          <w:lang w:val="en-US"/>
        </w:rPr>
        <w:t> </w:t>
      </w:r>
      <w:r>
        <w:rPr>
          <w:rFonts w:hint="eastAsia"/>
          <w:lang w:val="en-US"/>
        </w:rPr>
        <w:t>0</w:t>
      </w:r>
      <w:r>
        <w:rPr>
          <w:lang w:val="en-US"/>
        </w:rPr>
        <w:t>.</w:t>
      </w:r>
      <w:r>
        <w:rPr>
          <w:rFonts w:hint="eastAsia"/>
          <w:lang w:val="en-US"/>
        </w:rPr>
        <w:t>8450</w:t>
      </w:r>
      <w:r>
        <w:rPr>
          <w:lang w:val="en-US"/>
        </w:rPr>
        <w:t> </w:t>
      </w:r>
      <w:r>
        <w:sym w:font="Symbol" w:char="F071"/>
      </w:r>
      <w:r>
        <w:rPr>
          <w:rFonts w:hint="eastAsia"/>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06450</w:t>
      </w:r>
      <w:r>
        <w:rPr>
          <w:lang w:val="en-US"/>
        </w:rPr>
        <w:t> </w:t>
      </w:r>
      <w:r>
        <w:sym w:font="Symbol" w:char="F071"/>
      </w:r>
      <w:r>
        <w:rPr>
          <w:rFonts w:hint="eastAsia"/>
          <w:vertAlign w:val="superscript"/>
          <w:lang w:val="en-US"/>
        </w:rPr>
        <w:t>2</w:t>
      </w:r>
      <w:r>
        <w:rPr>
          <w:lang w:val="en-US"/>
        </w:rPr>
        <w:t> – </w:t>
      </w:r>
      <w:r>
        <w:rPr>
          <w:rFonts w:hint="eastAsia"/>
          <w:lang w:val="en-US"/>
        </w:rPr>
        <w:t>0</w:t>
      </w:r>
      <w:r>
        <w:rPr>
          <w:lang w:val="en-US"/>
        </w:rPr>
        <w:t>.</w:t>
      </w:r>
      <w:r>
        <w:rPr>
          <w:rFonts w:hint="eastAsia"/>
          <w:lang w:val="en-US"/>
        </w:rPr>
        <w:t>002107</w:t>
      </w:r>
      <w:r>
        <w:rPr>
          <w:lang w:val="en-US"/>
        </w:rPr>
        <w:t> </w:t>
      </w:r>
      <w:r>
        <w:sym w:font="Symbol" w:char="F071"/>
      </w:r>
      <w:r>
        <w:rPr>
          <w:rFonts w:hint="eastAsia"/>
          <w:vertAlign w:val="superscript"/>
          <w:lang w:val="en-US"/>
        </w:rPr>
        <w:t>3</w:t>
      </w:r>
      <w:r>
        <w:rPr>
          <w:rFonts w:hint="eastAsia"/>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1657</w:t>
      </w:r>
      <w:r>
        <w:rPr>
          <w:lang w:val="en-US"/>
        </w:rPr>
        <w:t> </w:t>
      </w:r>
      <w:r>
        <w:rPr>
          <w:rFonts w:ascii="Symbol" w:hAnsi="Symbol"/>
        </w:rPr>
        <w:t></w:t>
      </w:r>
      <w:r>
        <w:rPr>
          <w:lang w:val="en-US"/>
        </w:rPr>
        <w:t> </w:t>
      </w:r>
      <w:r>
        <w:rPr>
          <w:rFonts w:hint="eastAsia"/>
          <w:lang w:val="en-US"/>
        </w:rPr>
        <w:t>10</w:t>
      </w:r>
      <w:r>
        <w:rPr>
          <w:vertAlign w:val="superscript"/>
          <w:lang w:val="en-US"/>
        </w:rPr>
        <w:t>–</w:t>
      </w:r>
      <w:r>
        <w:rPr>
          <w:sz w:val="4"/>
          <w:vertAlign w:val="superscript"/>
          <w:lang w:val="en-US"/>
        </w:rPr>
        <w:t xml:space="preserve"> </w:t>
      </w:r>
      <w:r>
        <w:rPr>
          <w:vertAlign w:val="superscript"/>
          <w:lang w:val="en-US"/>
        </w:rPr>
        <w:t>4</w:t>
      </w:r>
      <w:r>
        <w:rPr>
          <w:lang w:val="en-US"/>
        </w:rPr>
        <w:t> </w:t>
      </w:r>
      <w:r>
        <w:sym w:font="Symbol" w:char="F071"/>
      </w:r>
      <w:r>
        <w:rPr>
          <w:vertAlign w:val="superscript"/>
          <w:lang w:val="en-US"/>
        </w:rPr>
        <w:t>4</w:t>
      </w:r>
      <w:r>
        <w:rPr>
          <w:lang w:val="en-US"/>
        </w:rPr>
        <w:t> </w:t>
      </w:r>
      <w:r>
        <w:rPr>
          <w:rFonts w:ascii="Symbol" w:hAnsi="Symbol"/>
          <w:lang w:val="es-ES"/>
        </w:rPr>
        <w:t></w:t>
      </w:r>
      <w:r>
        <w:rPr>
          <w:rFonts w:ascii="Symbol" w:hAnsi="Symbol"/>
          <w:lang w:val="en-US"/>
        </w:rPr>
        <w:br/>
      </w:r>
      <w:r>
        <w:rPr>
          <w:i/>
          <w:lang w:val="en-US"/>
        </w:rPr>
        <w:tab/>
      </w:r>
      <w:r>
        <w:rPr>
          <w:i/>
          <w:lang w:val="en-US"/>
        </w:rPr>
        <w:tab/>
      </w:r>
      <w:r>
        <w:rPr>
          <w:rFonts w:hint="eastAsia"/>
          <w:i/>
          <w:lang w:val="en-US"/>
        </w:rPr>
        <w:t>h</w:t>
      </w:r>
      <w:r>
        <w:rPr>
          <w:lang w:val="en-US"/>
        </w:rPr>
        <w:t> </w:t>
      </w:r>
      <w:r>
        <w:rPr>
          <w:rFonts w:hint="eastAsia"/>
          <w:lang w:val="en-US"/>
        </w:rPr>
        <w:t>(0</w:t>
      </w:r>
      <w:r>
        <w:rPr>
          <w:lang w:val="en-US"/>
        </w:rPr>
        <w:t>.</w:t>
      </w:r>
      <w:r>
        <w:rPr>
          <w:rFonts w:hint="eastAsia"/>
          <w:lang w:val="en-US"/>
        </w:rPr>
        <w:t>2902</w:t>
      </w:r>
      <w:r>
        <w:rPr>
          <w:i/>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3773</w:t>
      </w:r>
      <w:r>
        <w:rPr>
          <w:lang w:val="en-US"/>
        </w:rPr>
        <w:t> </w:t>
      </w:r>
      <w:r>
        <w:sym w:font="Symbol" w:char="F071"/>
      </w:r>
      <w:r>
        <w:rPr>
          <w:rFonts w:hint="eastAsia"/>
          <w:lang w:val="en-US"/>
        </w:rPr>
        <w:t>)</w:t>
      </w:r>
      <w:r>
        <w:rPr>
          <w:lang w:val="en-US"/>
        </w:rPr>
        <w:t> </w:t>
      </w:r>
      <w:r>
        <w:rPr>
          <w:rFonts w:ascii="Symbol" w:hAnsi="Symbol"/>
          <w:lang w:val="es-ES"/>
        </w:rPr>
        <w:t></w:t>
      </w:r>
      <w:r>
        <w:rPr>
          <w:lang w:val="en-US"/>
        </w:rPr>
        <w:t> </w:t>
      </w:r>
      <w:r>
        <w:rPr>
          <w:rFonts w:hint="eastAsia"/>
          <w:i/>
          <w:lang w:val="en-US"/>
        </w:rPr>
        <w:t>h</w:t>
      </w:r>
      <w:r>
        <w:rPr>
          <w:rFonts w:hint="eastAsia"/>
          <w:vertAlign w:val="superscript"/>
          <w:lang w:val="en-US"/>
        </w:rPr>
        <w:t>2</w:t>
      </w:r>
      <w:r>
        <w:rPr>
          <w:lang w:val="en-US"/>
        </w:rPr>
        <w:t> </w:t>
      </w:r>
      <w:r>
        <w:rPr>
          <w:rFonts w:hint="eastAsia"/>
          <w:lang w:val="en-US"/>
        </w:rPr>
        <w:t>(0</w:t>
      </w:r>
      <w:r>
        <w:rPr>
          <w:lang w:val="en-US"/>
        </w:rPr>
        <w:t>.</w:t>
      </w:r>
      <w:r>
        <w:rPr>
          <w:rFonts w:hint="eastAsia"/>
          <w:lang w:val="en-US"/>
        </w:rPr>
        <w:t>09362</w:t>
      </w:r>
      <w:r>
        <w:rPr>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1667</w:t>
      </w:r>
      <w:r>
        <w:rPr>
          <w:lang w:val="en-US"/>
        </w:rPr>
        <w:t> </w:t>
      </w:r>
      <w:r>
        <w:sym w:font="Symbol" w:char="F071"/>
      </w:r>
      <w:r>
        <w:rPr>
          <w:rFonts w:hint="eastAsia"/>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03977</w:t>
      </w:r>
      <w:r>
        <w:rPr>
          <w:lang w:val="en-US"/>
        </w:rPr>
        <w:t> </w:t>
      </w:r>
      <w:r>
        <w:rPr>
          <w:rFonts w:hint="eastAsia"/>
          <w:i/>
          <w:lang w:val="en-US"/>
        </w:rPr>
        <w:t>h</w:t>
      </w:r>
      <w:r>
        <w:rPr>
          <w:rFonts w:hint="eastAsia"/>
          <w:vertAlign w:val="superscript"/>
          <w:lang w:val="en-US"/>
        </w:rPr>
        <w:t>3</w:t>
      </w:r>
      <w:r>
        <w:rPr>
          <w:rFonts w:hint="eastAsia"/>
          <w:lang w:val="en-US"/>
        </w:rPr>
        <w:t>]</w:t>
      </w:r>
      <w:r>
        <w:rPr>
          <w:lang w:val="en-US"/>
        </w:rPr>
        <w:tab/>
      </w:r>
      <w:r>
        <w:rPr>
          <w:rFonts w:hint="eastAsia"/>
          <w:lang w:val="en-US"/>
        </w:rPr>
        <w:t>(5a)</w:t>
      </w:r>
    </w:p>
    <w:p w:rsidR="00B9359B" w:rsidRDefault="009A5268">
      <w:pPr>
        <w:pStyle w:val="Equation"/>
        <w:tabs>
          <w:tab w:val="clear" w:pos="794"/>
          <w:tab w:val="clear" w:pos="4820"/>
          <w:tab w:val="left" w:pos="540"/>
          <w:tab w:val="left" w:pos="1652"/>
        </w:tabs>
        <w:jc w:val="left"/>
        <w:rPr>
          <w:lang w:val="en-US"/>
        </w:rPr>
      </w:pPr>
      <w:r>
        <w:rPr>
          <w:i/>
          <w:lang w:val="en-US"/>
        </w:rPr>
        <w:tab/>
      </w:r>
      <w:r>
        <w:rPr>
          <w:rFonts w:hint="eastAsia"/>
          <w:i/>
          <w:lang w:val="en-US"/>
        </w:rPr>
        <w:t>A</w:t>
      </w:r>
      <w:r>
        <w:rPr>
          <w:rFonts w:hint="eastAsia"/>
          <w:i/>
          <w:vertAlign w:val="subscript"/>
          <w:lang w:val="en-US"/>
        </w:rPr>
        <w:t>M</w:t>
      </w:r>
      <w:r>
        <w:rPr>
          <w:i/>
          <w:vertAlign w:val="subscript"/>
          <w:lang w:val="en-US"/>
        </w:rPr>
        <w:t> </w:t>
      </w:r>
      <w:r>
        <w:rPr>
          <w:rFonts w:hint="eastAsia"/>
          <w:lang w:val="en-US"/>
        </w:rPr>
        <w:t>(</w:t>
      </w:r>
      <w:r>
        <w:rPr>
          <w:rFonts w:hint="eastAsia"/>
          <w:i/>
          <w:lang w:val="en-US"/>
        </w:rPr>
        <w:t>h</w:t>
      </w:r>
      <w:r>
        <w:rPr>
          <w:rFonts w:hint="eastAsia"/>
          <w:lang w:val="en-US"/>
        </w:rPr>
        <w:t xml:space="preserve">, </w:t>
      </w:r>
      <w:r>
        <w:rPr>
          <w:rFonts w:ascii="Symbol" w:hAnsi="Symbol"/>
        </w:rPr>
        <w:sym w:font="Symbol" w:char="F071"/>
      </w:r>
      <w:r>
        <w:rPr>
          <w:rFonts w:hint="eastAsia"/>
          <w:lang w:val="en-US"/>
        </w:rPr>
        <w:t>)</w:t>
      </w:r>
      <w:r>
        <w:rPr>
          <w:lang w:val="en-US"/>
        </w:rPr>
        <w:t> </w:t>
      </w:r>
      <w:r>
        <w:rPr>
          <w:rFonts w:ascii="Symbol" w:hAnsi="Symbol"/>
          <w:lang w:val="es-ES"/>
        </w:rPr>
        <w:t></w:t>
      </w:r>
      <w:r>
        <w:rPr>
          <w:rFonts w:ascii="Symbol" w:hAnsi="Symbol"/>
          <w:lang w:val="en-US"/>
        </w:rPr>
        <w:tab/>
      </w:r>
      <w:r>
        <w:rPr>
          <w:rFonts w:hint="eastAsia"/>
          <w:lang w:val="en-US"/>
        </w:rPr>
        <w:t>17</w:t>
      </w:r>
      <w:r>
        <w:rPr>
          <w:lang w:val="en-US"/>
        </w:rPr>
        <w:t>.</w:t>
      </w:r>
      <w:r>
        <w:rPr>
          <w:rFonts w:hint="eastAsia"/>
          <w:lang w:val="en-US"/>
        </w:rPr>
        <w:t>15</w:t>
      </w:r>
      <w:r>
        <w:rPr>
          <w:lang w:val="en-US"/>
        </w:rPr>
        <w:t> </w:t>
      </w:r>
      <w:r>
        <w:rPr>
          <w:rFonts w:hint="eastAsia"/>
          <w:lang w:val="en-US"/>
        </w:rPr>
        <w:t>/</w:t>
      </w:r>
      <w:r>
        <w:rPr>
          <w:lang w:val="en-US"/>
        </w:rPr>
        <w:t> </w:t>
      </w:r>
      <w:r>
        <w:rPr>
          <w:rFonts w:hint="eastAsia"/>
          <w:lang w:val="en-US"/>
        </w:rPr>
        <w:t>[1 </w:t>
      </w:r>
      <w:r>
        <w:rPr>
          <w:rFonts w:ascii="Symbol" w:hAnsi="Symbol"/>
          <w:lang w:val="en-US"/>
        </w:rPr>
        <w:t></w:t>
      </w:r>
      <w:r>
        <w:rPr>
          <w:lang w:val="en-US"/>
        </w:rPr>
        <w:t> </w:t>
      </w:r>
      <w:r>
        <w:rPr>
          <w:rFonts w:hint="eastAsia"/>
          <w:lang w:val="en-US"/>
        </w:rPr>
        <w:t>0</w:t>
      </w:r>
      <w:r>
        <w:rPr>
          <w:lang w:val="en-US"/>
        </w:rPr>
        <w:t>.</w:t>
      </w:r>
      <w:r>
        <w:rPr>
          <w:rFonts w:hint="eastAsia"/>
          <w:lang w:val="en-US"/>
        </w:rPr>
        <w:t>8101</w:t>
      </w:r>
      <w:r>
        <w:rPr>
          <w:lang w:val="en-US"/>
        </w:rPr>
        <w:t> </w:t>
      </w:r>
      <w:r>
        <w:sym w:font="Symbol" w:char="F071"/>
      </w:r>
      <w:r>
        <w:rPr>
          <w:rFonts w:hint="eastAsia"/>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02691</w:t>
      </w:r>
      <w:r>
        <w:rPr>
          <w:iCs/>
        </w:rPr>
        <w:sym w:font="Symbol" w:char="F071"/>
      </w:r>
      <w:r>
        <w:rPr>
          <w:rFonts w:hint="eastAsia"/>
          <w:vertAlign w:val="superscript"/>
          <w:lang w:val="en-US"/>
        </w:rPr>
        <w:t>2</w:t>
      </w:r>
      <w:r>
        <w:rPr>
          <w:rFonts w:hint="eastAsia"/>
          <w:lang w:val="en-US"/>
        </w:rPr>
        <w:t> </w:t>
      </w:r>
      <w:r>
        <w:rPr>
          <w:rFonts w:ascii="Symbol" w:hAnsi="Symbol"/>
          <w:lang w:val="en-US"/>
        </w:rPr>
        <w:t></w:t>
      </w:r>
      <w:r>
        <w:rPr>
          <w:lang w:val="en-US"/>
        </w:rPr>
        <w:t> </w:t>
      </w:r>
      <w:r>
        <w:rPr>
          <w:rFonts w:hint="eastAsia"/>
          <w:i/>
          <w:lang w:val="en-US"/>
        </w:rPr>
        <w:t>h</w:t>
      </w:r>
      <w:r>
        <w:rPr>
          <w:lang w:val="en-US"/>
        </w:rPr>
        <w:t> </w:t>
      </w:r>
      <w:r>
        <w:rPr>
          <w:rFonts w:hint="eastAsia"/>
          <w:lang w:val="en-US"/>
        </w:rPr>
        <w:t>(0</w:t>
      </w:r>
      <w:r>
        <w:rPr>
          <w:lang w:val="en-US"/>
        </w:rPr>
        <w:t>.</w:t>
      </w:r>
      <w:r>
        <w:rPr>
          <w:rFonts w:hint="eastAsia"/>
          <w:lang w:val="en-US"/>
        </w:rPr>
        <w:t>2374 </w:t>
      </w:r>
      <w:r>
        <w:rPr>
          <w:rFonts w:ascii="Symbol" w:hAnsi="Symbol"/>
          <w:lang w:val="en-US"/>
        </w:rPr>
        <w:t></w:t>
      </w:r>
      <w:r>
        <w:rPr>
          <w:lang w:val="en-US"/>
        </w:rPr>
        <w:t> </w:t>
      </w:r>
      <w:r>
        <w:rPr>
          <w:rFonts w:hint="eastAsia"/>
          <w:lang w:val="en-US"/>
        </w:rPr>
        <w:t>0</w:t>
      </w:r>
      <w:r>
        <w:rPr>
          <w:lang w:val="en-US"/>
        </w:rPr>
        <w:t>.</w:t>
      </w:r>
      <w:r>
        <w:rPr>
          <w:rFonts w:hint="eastAsia"/>
          <w:lang w:val="en-US"/>
        </w:rPr>
        <w:t>2727</w:t>
      </w:r>
      <w:r>
        <w:rPr>
          <w:lang w:val="en-US"/>
        </w:rPr>
        <w:t> </w:t>
      </w:r>
      <w:r>
        <w:sym w:font="Symbol" w:char="F071"/>
      </w:r>
      <w:r>
        <w:rPr>
          <w:rFonts w:hint="eastAsia"/>
          <w:lang w:val="en-US"/>
        </w:rPr>
        <w:t>)</w:t>
      </w:r>
      <w:r>
        <w:rPr>
          <w:lang w:val="en-US"/>
        </w:rPr>
        <w:t> </w:t>
      </w:r>
      <w:r>
        <w:rPr>
          <w:rFonts w:ascii="Symbol" w:hAnsi="Symbol"/>
          <w:lang w:val="en-US"/>
        </w:rPr>
        <w:t></w:t>
      </w:r>
      <w:r>
        <w:rPr>
          <w:rFonts w:ascii="Symbol" w:hAnsi="Symbol"/>
          <w:lang w:val="en-US"/>
        </w:rPr>
        <w:br/>
      </w:r>
      <w:r>
        <w:rPr>
          <w:lang w:val="en-US"/>
        </w:rPr>
        <w:tab/>
      </w:r>
      <w:r>
        <w:rPr>
          <w:lang w:val="en-US"/>
        </w:rPr>
        <w:tab/>
      </w:r>
      <w:r>
        <w:rPr>
          <w:rFonts w:hint="eastAsia"/>
          <w:i/>
          <w:lang w:val="en-US"/>
        </w:rPr>
        <w:t>h</w:t>
      </w:r>
      <w:r>
        <w:rPr>
          <w:rFonts w:hint="eastAsia"/>
          <w:vertAlign w:val="superscript"/>
          <w:lang w:val="en-US"/>
        </w:rPr>
        <w:t>2</w:t>
      </w:r>
      <w:r>
        <w:rPr>
          <w:lang w:val="en-US"/>
        </w:rPr>
        <w:t> </w:t>
      </w:r>
      <w:r>
        <w:rPr>
          <w:rFonts w:hint="eastAsia"/>
          <w:lang w:val="en-US"/>
        </w:rPr>
        <w:t>(0</w:t>
      </w:r>
      <w:r>
        <w:rPr>
          <w:lang w:val="en-US"/>
        </w:rPr>
        <w:t>.</w:t>
      </w:r>
      <w:r>
        <w:rPr>
          <w:rFonts w:hint="eastAsia"/>
          <w:lang w:val="en-US"/>
        </w:rPr>
        <w:t>1157 </w:t>
      </w:r>
      <w:r>
        <w:rPr>
          <w:rFonts w:ascii="Symbol" w:hAnsi="Symbol"/>
          <w:lang w:val="en-US"/>
        </w:rPr>
        <w:t></w:t>
      </w:r>
      <w:r>
        <w:rPr>
          <w:lang w:val="en-US"/>
        </w:rPr>
        <w:t> </w:t>
      </w:r>
      <w:r>
        <w:rPr>
          <w:rFonts w:hint="eastAsia"/>
          <w:lang w:val="en-US"/>
        </w:rPr>
        <w:t>0</w:t>
      </w:r>
      <w:r>
        <w:rPr>
          <w:lang w:val="en-US"/>
        </w:rPr>
        <w:t>.</w:t>
      </w:r>
      <w:r>
        <w:rPr>
          <w:rFonts w:hint="eastAsia"/>
          <w:lang w:val="en-US"/>
        </w:rPr>
        <w:t>08487</w:t>
      </w:r>
      <w:r>
        <w:rPr>
          <w:lang w:val="en-US"/>
        </w:rPr>
        <w:t> </w:t>
      </w:r>
      <w:r>
        <w:sym w:font="Symbol" w:char="F071"/>
      </w:r>
      <w:r>
        <w:rPr>
          <w:rFonts w:hint="eastAsia"/>
          <w:lang w:val="en-US"/>
        </w:rPr>
        <w:t>)]</w:t>
      </w:r>
      <w:r>
        <w:rPr>
          <w:rFonts w:hint="eastAsia"/>
          <w:lang w:val="en-US"/>
        </w:rPr>
        <w:tab/>
        <w:t>(5b)</w:t>
      </w:r>
    </w:p>
    <w:p w:rsidR="00B9359B" w:rsidRDefault="009A5268">
      <w:pPr>
        <w:pStyle w:val="Equation"/>
        <w:tabs>
          <w:tab w:val="clear" w:pos="794"/>
          <w:tab w:val="clear" w:pos="4820"/>
          <w:tab w:val="left" w:pos="540"/>
          <w:tab w:val="left" w:pos="1652"/>
        </w:tabs>
        <w:jc w:val="left"/>
        <w:rPr>
          <w:lang w:val="en-US"/>
        </w:rPr>
      </w:pPr>
      <w:r>
        <w:rPr>
          <w:i/>
          <w:lang w:val="en-US"/>
        </w:rPr>
        <w:tab/>
      </w:r>
      <w:r>
        <w:rPr>
          <w:rFonts w:hint="eastAsia"/>
          <w:i/>
          <w:lang w:val="en-US"/>
        </w:rPr>
        <w:t>A</w:t>
      </w:r>
      <w:r>
        <w:rPr>
          <w:rFonts w:hint="eastAsia"/>
          <w:i/>
          <w:vertAlign w:val="subscript"/>
          <w:lang w:val="en-US"/>
        </w:rPr>
        <w:t>H</w:t>
      </w:r>
      <w:r>
        <w:rPr>
          <w:i/>
          <w:vertAlign w:val="subscript"/>
          <w:lang w:val="en-US"/>
        </w:rPr>
        <w:t> </w:t>
      </w:r>
      <w:r>
        <w:rPr>
          <w:rFonts w:hint="eastAsia"/>
          <w:lang w:val="en-US"/>
        </w:rPr>
        <w:t>(</w:t>
      </w:r>
      <w:r>
        <w:rPr>
          <w:rFonts w:hint="eastAsia"/>
          <w:i/>
          <w:lang w:val="en-US"/>
        </w:rPr>
        <w:t>h</w:t>
      </w:r>
      <w:r>
        <w:rPr>
          <w:rFonts w:hint="eastAsia"/>
          <w:lang w:val="en-US"/>
        </w:rPr>
        <w:t xml:space="preserve">, </w:t>
      </w:r>
      <w:r>
        <w:rPr>
          <w:rFonts w:ascii="Symbol" w:hAnsi="Symbol"/>
        </w:rPr>
        <w:sym w:font="Symbol" w:char="F071"/>
      </w:r>
      <w:r>
        <w:rPr>
          <w:rFonts w:hint="eastAsia"/>
          <w:lang w:val="en-US"/>
        </w:rPr>
        <w:t>)</w:t>
      </w:r>
      <w:r>
        <w:rPr>
          <w:lang w:val="en-US"/>
        </w:rPr>
        <w:t> </w:t>
      </w:r>
      <w:r>
        <w:rPr>
          <w:rFonts w:ascii="Symbol" w:hAnsi="Symbol"/>
          <w:lang w:val="es-ES"/>
        </w:rPr>
        <w:t></w:t>
      </w:r>
      <w:r>
        <w:rPr>
          <w:lang w:val="en-US"/>
        </w:rPr>
        <w:tab/>
      </w:r>
      <w:r>
        <w:rPr>
          <w:rFonts w:hint="eastAsia"/>
          <w:lang w:val="en-US"/>
        </w:rPr>
        <w:t>9</w:t>
      </w:r>
      <w:r>
        <w:rPr>
          <w:lang w:val="en-US"/>
        </w:rPr>
        <w:t>.</w:t>
      </w:r>
      <w:r>
        <w:rPr>
          <w:rFonts w:hint="eastAsia"/>
          <w:lang w:val="en-US"/>
        </w:rPr>
        <w:t>87</w:t>
      </w:r>
      <w:r>
        <w:rPr>
          <w:lang w:val="en-US"/>
        </w:rPr>
        <w:t> </w:t>
      </w:r>
      <w:r>
        <w:rPr>
          <w:rFonts w:hint="eastAsia"/>
          <w:lang w:val="en-US"/>
        </w:rPr>
        <w:t>/</w:t>
      </w:r>
      <w:r>
        <w:rPr>
          <w:lang w:val="en-US"/>
        </w:rPr>
        <w:t> </w:t>
      </w:r>
      <w:r>
        <w:rPr>
          <w:rFonts w:hint="eastAsia"/>
          <w:lang w:val="en-US"/>
        </w:rPr>
        <w:t>[1 </w:t>
      </w:r>
      <w:r>
        <w:rPr>
          <w:rFonts w:ascii="Symbol" w:hAnsi="Symbol"/>
          <w:lang w:val="en-US"/>
        </w:rPr>
        <w:t></w:t>
      </w:r>
      <w:r>
        <w:rPr>
          <w:lang w:val="en-US"/>
        </w:rPr>
        <w:t> </w:t>
      </w:r>
      <w:r>
        <w:rPr>
          <w:rFonts w:hint="eastAsia"/>
          <w:lang w:val="en-US"/>
        </w:rPr>
        <w:t>0</w:t>
      </w:r>
      <w:r>
        <w:rPr>
          <w:lang w:val="en-US"/>
        </w:rPr>
        <w:t>.</w:t>
      </w:r>
      <w:r>
        <w:rPr>
          <w:rFonts w:hint="eastAsia"/>
          <w:lang w:val="en-US"/>
        </w:rPr>
        <w:t>6239</w:t>
      </w:r>
      <w:r>
        <w:rPr>
          <w:lang w:val="en-US"/>
        </w:rPr>
        <w:t> </w:t>
      </w:r>
      <w:r>
        <w:sym w:font="Symbol" w:char="F071"/>
      </w:r>
      <w:r>
        <w:rPr>
          <w:rFonts w:hint="eastAsia"/>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04358</w:t>
      </w:r>
      <w:r>
        <w:rPr>
          <w:lang w:val="en-US"/>
        </w:rPr>
        <w:t> </w:t>
      </w:r>
      <w:r>
        <w:sym w:font="Symbol" w:char="F071"/>
      </w:r>
      <w:r>
        <w:rPr>
          <w:rFonts w:hint="eastAsia"/>
          <w:vertAlign w:val="superscript"/>
          <w:lang w:val="en-US"/>
        </w:rPr>
        <w:t>2</w:t>
      </w:r>
      <w:r>
        <w:rPr>
          <w:rFonts w:hint="eastAsia"/>
          <w:lang w:val="en-US"/>
        </w:rPr>
        <w:t> </w:t>
      </w:r>
      <w:r>
        <w:rPr>
          <w:rFonts w:ascii="Symbol" w:hAnsi="Symbol"/>
          <w:lang w:val="en-US"/>
        </w:rPr>
        <w:t></w:t>
      </w:r>
      <w:r>
        <w:rPr>
          <w:lang w:val="en-US"/>
        </w:rPr>
        <w:t> </w:t>
      </w:r>
      <w:r>
        <w:rPr>
          <w:rFonts w:hint="eastAsia"/>
          <w:i/>
          <w:lang w:val="en-US"/>
        </w:rPr>
        <w:t>h</w:t>
      </w:r>
      <w:r>
        <w:rPr>
          <w:lang w:val="en-US"/>
        </w:rPr>
        <w:t> </w:t>
      </w:r>
      <w:r>
        <w:rPr>
          <w:rFonts w:hint="eastAsia"/>
          <w:lang w:val="en-US"/>
        </w:rPr>
        <w:t>(0</w:t>
      </w:r>
      <w:r>
        <w:rPr>
          <w:lang w:val="en-US"/>
        </w:rPr>
        <w:t>.</w:t>
      </w:r>
      <w:r>
        <w:rPr>
          <w:rFonts w:hint="eastAsia"/>
          <w:lang w:val="en-US"/>
        </w:rPr>
        <w:t>07017 </w:t>
      </w:r>
      <w:r>
        <w:rPr>
          <w:rFonts w:ascii="Symbol" w:hAnsi="Symbol"/>
          <w:lang w:val="en-US"/>
        </w:rPr>
        <w:t></w:t>
      </w:r>
      <w:r>
        <w:rPr>
          <w:lang w:val="en-US"/>
        </w:rPr>
        <w:t> </w:t>
      </w:r>
      <w:r>
        <w:rPr>
          <w:rFonts w:hint="eastAsia"/>
          <w:lang w:val="en-US"/>
        </w:rPr>
        <w:t>0</w:t>
      </w:r>
      <w:r>
        <w:rPr>
          <w:lang w:val="en-US"/>
        </w:rPr>
        <w:t>.</w:t>
      </w:r>
      <w:r>
        <w:rPr>
          <w:rFonts w:hint="eastAsia"/>
          <w:lang w:val="en-US"/>
        </w:rPr>
        <w:t>3633</w:t>
      </w:r>
      <w:r>
        <w:rPr>
          <w:lang w:val="en-US"/>
        </w:rPr>
        <w:t> </w:t>
      </w:r>
      <w:r>
        <w:sym w:font="Symbol" w:char="F071"/>
      </w:r>
      <w:r>
        <w:rPr>
          <w:rFonts w:hint="eastAsia"/>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1166</w:t>
      </w:r>
      <w:r>
        <w:rPr>
          <w:lang w:val="en-US"/>
        </w:rPr>
        <w:t> </w:t>
      </w:r>
      <w:r>
        <w:rPr>
          <w:rFonts w:hint="eastAsia"/>
          <w:i/>
          <w:iCs/>
          <w:lang w:val="en-US"/>
        </w:rPr>
        <w:t>h</w:t>
      </w:r>
      <w:r>
        <w:rPr>
          <w:rFonts w:hint="eastAsia"/>
          <w:vertAlign w:val="superscript"/>
          <w:lang w:val="en-US"/>
        </w:rPr>
        <w:t>2</w:t>
      </w:r>
      <w:r>
        <w:rPr>
          <w:rFonts w:hint="eastAsia"/>
          <w:lang w:val="en-US"/>
        </w:rPr>
        <w:t>]</w:t>
      </w:r>
      <w:r>
        <w:rPr>
          <w:rFonts w:hint="eastAsia"/>
          <w:b/>
          <w:lang w:val="en-US"/>
        </w:rPr>
        <w:tab/>
      </w:r>
      <w:r>
        <w:rPr>
          <w:rFonts w:hint="eastAsia"/>
          <w:lang w:val="en-US"/>
        </w:rPr>
        <w:t>(5c)</w:t>
      </w:r>
    </w:p>
    <w:p w:rsidR="00B9359B" w:rsidRDefault="009A5268">
      <w:pPr>
        <w:pStyle w:val="Headingb"/>
        <w:rPr>
          <w:lang w:val="en-US"/>
        </w:rPr>
      </w:pPr>
      <w:r>
        <w:rPr>
          <w:rFonts w:hint="eastAsia"/>
          <w:lang w:val="en-US"/>
        </w:rPr>
        <w:t>Frequency band 22.21-22.5 GHz</w:t>
      </w:r>
    </w:p>
    <w:p w:rsidR="00B9359B" w:rsidRDefault="009A5268">
      <w:pPr>
        <w:pStyle w:val="Equation"/>
        <w:tabs>
          <w:tab w:val="clear" w:pos="794"/>
          <w:tab w:val="clear" w:pos="4820"/>
          <w:tab w:val="left" w:pos="540"/>
          <w:tab w:val="left" w:pos="1652"/>
        </w:tabs>
        <w:jc w:val="left"/>
        <w:rPr>
          <w:lang w:val="en-US"/>
        </w:rPr>
      </w:pPr>
      <w:r>
        <w:rPr>
          <w:i/>
          <w:lang w:val="en-US"/>
        </w:rPr>
        <w:tab/>
      </w:r>
      <w:r>
        <w:rPr>
          <w:rFonts w:hint="eastAsia"/>
          <w:i/>
          <w:lang w:val="en-US"/>
        </w:rPr>
        <w:t>A</w:t>
      </w:r>
      <w:r>
        <w:rPr>
          <w:rFonts w:hint="eastAsia"/>
          <w:i/>
          <w:vertAlign w:val="subscript"/>
          <w:lang w:val="en-US"/>
        </w:rPr>
        <w:t>L</w:t>
      </w:r>
      <w:r>
        <w:rPr>
          <w:i/>
          <w:vertAlign w:val="subscript"/>
          <w:lang w:val="en-US"/>
        </w:rPr>
        <w:t> </w:t>
      </w:r>
      <w:r>
        <w:rPr>
          <w:rFonts w:hint="eastAsia"/>
          <w:lang w:val="en-US"/>
        </w:rPr>
        <w:t>(</w:t>
      </w:r>
      <w:r>
        <w:rPr>
          <w:rFonts w:hint="eastAsia"/>
          <w:i/>
          <w:lang w:val="en-US"/>
        </w:rPr>
        <w:t>h</w:t>
      </w:r>
      <w:r>
        <w:rPr>
          <w:rFonts w:hint="eastAsia"/>
          <w:lang w:val="en-US"/>
        </w:rPr>
        <w:t xml:space="preserve">, </w:t>
      </w:r>
      <w:r>
        <w:rPr>
          <w:rFonts w:ascii="Symbol" w:hAnsi="Symbol"/>
        </w:rPr>
        <w:sym w:font="Symbol" w:char="F071"/>
      </w:r>
      <w:r>
        <w:rPr>
          <w:rFonts w:hint="eastAsia"/>
          <w:lang w:val="en-US"/>
        </w:rPr>
        <w:t>)</w:t>
      </w:r>
      <w:r>
        <w:rPr>
          <w:lang w:val="en-US"/>
        </w:rPr>
        <w:t> </w:t>
      </w:r>
      <w:r>
        <w:rPr>
          <w:rFonts w:ascii="Symbol" w:hAnsi="Symbol"/>
          <w:lang w:val="es-ES"/>
        </w:rPr>
        <w:t></w:t>
      </w:r>
      <w:r>
        <w:rPr>
          <w:lang w:val="en-US"/>
        </w:rPr>
        <w:tab/>
      </w:r>
      <w:r>
        <w:rPr>
          <w:rFonts w:hint="eastAsia"/>
          <w:lang w:val="en-US"/>
        </w:rPr>
        <w:t>47</w:t>
      </w:r>
      <w:r>
        <w:rPr>
          <w:lang w:val="en-US"/>
        </w:rPr>
        <w:t>.</w:t>
      </w:r>
      <w:r>
        <w:rPr>
          <w:rFonts w:hint="eastAsia"/>
          <w:lang w:val="en-US"/>
        </w:rPr>
        <w:t>63</w:t>
      </w:r>
      <w:r>
        <w:rPr>
          <w:lang w:val="en-US"/>
        </w:rPr>
        <w:t> </w:t>
      </w:r>
      <w:r>
        <w:rPr>
          <w:rFonts w:hint="eastAsia"/>
          <w:lang w:val="en-US"/>
        </w:rPr>
        <w:t>/</w:t>
      </w:r>
      <w:r>
        <w:rPr>
          <w:lang w:val="en-US"/>
        </w:rPr>
        <w:t> </w:t>
      </w:r>
      <w:r>
        <w:rPr>
          <w:rFonts w:hint="eastAsia"/>
          <w:lang w:val="en-US"/>
        </w:rPr>
        <w:t>[1</w:t>
      </w:r>
      <w:r>
        <w:rPr>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7826</w:t>
      </w:r>
      <w:r>
        <w:rPr>
          <w:lang w:val="en-US"/>
        </w:rPr>
        <w:t> </w:t>
      </w:r>
      <w:r>
        <w:sym w:font="Symbol" w:char="F071"/>
      </w:r>
      <w:r>
        <w:rPr>
          <w:i/>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1060</w:t>
      </w:r>
      <w:r>
        <w:rPr>
          <w:lang w:val="en-US"/>
        </w:rPr>
        <w:t> </w:t>
      </w:r>
      <w:r>
        <w:sym w:font="Symbol" w:char="F071"/>
      </w:r>
      <w:r>
        <w:rPr>
          <w:rFonts w:hint="eastAsia"/>
          <w:vertAlign w:val="superscript"/>
          <w:lang w:val="en-US"/>
        </w:rPr>
        <w:t>2</w:t>
      </w:r>
      <w:r>
        <w:rPr>
          <w:lang w:val="en-US"/>
        </w:rPr>
        <w:t> – </w:t>
      </w:r>
      <w:r>
        <w:rPr>
          <w:rFonts w:hint="eastAsia"/>
          <w:lang w:val="en-US"/>
        </w:rPr>
        <w:t>0</w:t>
      </w:r>
      <w:r>
        <w:rPr>
          <w:lang w:val="en-US"/>
        </w:rPr>
        <w:t>.</w:t>
      </w:r>
      <w:r>
        <w:rPr>
          <w:rFonts w:hint="eastAsia"/>
          <w:lang w:val="en-US"/>
        </w:rPr>
        <w:t>009088</w:t>
      </w:r>
      <w:r>
        <w:rPr>
          <w:lang w:val="en-US"/>
        </w:rPr>
        <w:t> </w:t>
      </w:r>
      <w:r>
        <w:sym w:font="Symbol" w:char="F071"/>
      </w:r>
      <w:r>
        <w:rPr>
          <w:rFonts w:hint="eastAsia"/>
          <w:vertAlign w:val="superscript"/>
          <w:lang w:val="en-US"/>
        </w:rPr>
        <w:t>3</w:t>
      </w:r>
      <w:r>
        <w:rPr>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0002975</w:t>
      </w:r>
      <w:r>
        <w:rPr>
          <w:lang w:val="en-US"/>
        </w:rPr>
        <w:t> </w:t>
      </w:r>
      <w:r>
        <w:sym w:font="Symbol" w:char="F071"/>
      </w:r>
      <w:r>
        <w:rPr>
          <w:rFonts w:hint="eastAsia"/>
          <w:vertAlign w:val="superscript"/>
          <w:lang w:val="en-US"/>
        </w:rPr>
        <w:t>4</w:t>
      </w:r>
      <w:r>
        <w:rPr>
          <w:lang w:val="en-US"/>
        </w:rPr>
        <w:t> – </w:t>
      </w:r>
      <w:r>
        <w:rPr>
          <w:rFonts w:hint="eastAsia"/>
          <w:lang w:val="en-US"/>
        </w:rPr>
        <w:t>0</w:t>
      </w:r>
      <w:r>
        <w:rPr>
          <w:lang w:val="en-US"/>
        </w:rPr>
        <w:t>.</w:t>
      </w:r>
      <w:r>
        <w:rPr>
          <w:rFonts w:hint="eastAsia"/>
          <w:lang w:val="en-US"/>
        </w:rPr>
        <w:t>3991</w:t>
      </w:r>
      <w:r>
        <w:rPr>
          <w:lang w:val="en-US"/>
        </w:rPr>
        <w:t> </w:t>
      </w:r>
      <w:r>
        <w:rPr>
          <w:rFonts w:ascii="Symbol" w:hAnsi="Symbol"/>
        </w:rPr>
        <w:t></w:t>
      </w:r>
      <w:r>
        <w:rPr>
          <w:lang w:val="en-US"/>
        </w:rPr>
        <w:t> </w:t>
      </w:r>
      <w:r>
        <w:rPr>
          <w:lang w:val="en-US"/>
        </w:rPr>
        <w:br/>
      </w:r>
      <w:r>
        <w:rPr>
          <w:lang w:val="en-US"/>
        </w:rPr>
        <w:tab/>
      </w:r>
      <w:r>
        <w:rPr>
          <w:lang w:val="en-US"/>
        </w:rPr>
        <w:tab/>
      </w:r>
      <w:r>
        <w:rPr>
          <w:rFonts w:hint="eastAsia"/>
          <w:lang w:val="en-US"/>
        </w:rPr>
        <w:t>10</w:t>
      </w:r>
      <w:r>
        <w:rPr>
          <w:vertAlign w:val="superscript"/>
          <w:lang w:val="en-US"/>
        </w:rPr>
        <w:t>–</w:t>
      </w:r>
      <w:r>
        <w:rPr>
          <w:rFonts w:hint="eastAsia"/>
          <w:vertAlign w:val="superscript"/>
          <w:lang w:val="en-US"/>
        </w:rPr>
        <w:t>5</w:t>
      </w:r>
      <w:r>
        <w:rPr>
          <w:lang w:val="en-US"/>
        </w:rPr>
        <w:t> </w:t>
      </w:r>
      <w:r>
        <w:sym w:font="Symbol" w:char="F071"/>
      </w:r>
      <w:r>
        <w:rPr>
          <w:rFonts w:hint="eastAsia"/>
          <w:vertAlign w:val="superscript"/>
          <w:lang w:val="en-US"/>
        </w:rPr>
        <w:t>5</w:t>
      </w:r>
      <w:r>
        <w:rPr>
          <w:lang w:val="en-US"/>
        </w:rPr>
        <w:t> </w:t>
      </w:r>
      <w:r>
        <w:rPr>
          <w:rFonts w:ascii="Symbol" w:hAnsi="Symbol"/>
          <w:lang w:val="es-ES"/>
        </w:rPr>
        <w:t></w:t>
      </w:r>
      <w:r>
        <w:rPr>
          <w:rFonts w:hint="eastAsia"/>
          <w:lang w:val="en-US"/>
        </w:rPr>
        <w:t> 0</w:t>
      </w:r>
      <w:r>
        <w:rPr>
          <w:lang w:val="en-US"/>
        </w:rPr>
        <w:t>.</w:t>
      </w:r>
      <w:r>
        <w:rPr>
          <w:rFonts w:hint="eastAsia"/>
          <w:lang w:val="en-US"/>
        </w:rPr>
        <w:t>1853</w:t>
      </w:r>
      <w:r>
        <w:rPr>
          <w:lang w:val="en-US"/>
        </w:rPr>
        <w:t> </w:t>
      </w:r>
      <w:r>
        <w:rPr>
          <w:rFonts w:ascii="Symbol" w:hAnsi="Symbol"/>
        </w:rPr>
        <w:t></w:t>
      </w:r>
      <w:r>
        <w:rPr>
          <w:lang w:val="en-US"/>
        </w:rPr>
        <w:t> </w:t>
      </w:r>
      <w:r>
        <w:rPr>
          <w:rFonts w:hint="eastAsia"/>
          <w:lang w:val="en-US"/>
        </w:rPr>
        <w:t>10</w:t>
      </w:r>
      <w:r>
        <w:rPr>
          <w:vertAlign w:val="superscript"/>
          <w:lang w:val="en-US"/>
        </w:rPr>
        <w:t>–</w:t>
      </w:r>
      <w:r>
        <w:rPr>
          <w:rFonts w:hint="eastAsia"/>
          <w:vertAlign w:val="superscript"/>
          <w:lang w:val="en-US"/>
        </w:rPr>
        <w:t>7</w:t>
      </w:r>
      <w:r>
        <w:rPr>
          <w:lang w:val="en-US"/>
        </w:rPr>
        <w:t> </w:t>
      </w:r>
      <w:r>
        <w:sym w:font="Symbol" w:char="F071"/>
      </w:r>
      <w:r>
        <w:rPr>
          <w:rFonts w:hint="eastAsia"/>
          <w:vertAlign w:val="superscript"/>
          <w:lang w:val="en-US"/>
        </w:rPr>
        <w:t>6</w:t>
      </w:r>
      <w:r>
        <w:rPr>
          <w:lang w:val="en-US"/>
        </w:rPr>
        <w:t> </w:t>
      </w:r>
      <w:r>
        <w:rPr>
          <w:rFonts w:ascii="Symbol" w:hAnsi="Symbol"/>
          <w:lang w:val="es-ES"/>
        </w:rPr>
        <w:t></w:t>
      </w:r>
      <w:r>
        <w:rPr>
          <w:lang w:val="en-US"/>
        </w:rPr>
        <w:t> </w:t>
      </w:r>
      <w:r>
        <w:rPr>
          <w:rFonts w:hint="eastAsia"/>
          <w:i/>
          <w:lang w:val="en-US"/>
        </w:rPr>
        <w:t>h</w:t>
      </w:r>
      <w:r>
        <w:rPr>
          <w:lang w:val="en-US"/>
        </w:rPr>
        <w:t> </w:t>
      </w:r>
      <w:r>
        <w:rPr>
          <w:rFonts w:hint="eastAsia"/>
          <w:lang w:val="en-US"/>
        </w:rPr>
        <w:t>(0</w:t>
      </w:r>
      <w:r>
        <w:rPr>
          <w:lang w:val="en-US"/>
        </w:rPr>
        <w:t>.</w:t>
      </w:r>
      <w:r>
        <w:rPr>
          <w:rFonts w:hint="eastAsia"/>
          <w:lang w:val="en-US"/>
        </w:rPr>
        <w:t>2959</w:t>
      </w:r>
      <w:r>
        <w:rPr>
          <w:i/>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3016</w:t>
      </w:r>
      <w:r>
        <w:rPr>
          <w:lang w:val="en-US"/>
        </w:rPr>
        <w:t> </w:t>
      </w:r>
      <w:r>
        <w:sym w:font="Symbol" w:char="F071"/>
      </w:r>
      <w:r>
        <w:rPr>
          <w:rFonts w:hint="eastAsia"/>
          <w:lang w:val="en-US"/>
        </w:rPr>
        <w:t>)</w:t>
      </w:r>
      <w:r>
        <w:rPr>
          <w:lang w:val="en-US"/>
        </w:rPr>
        <w:t> </w:t>
      </w:r>
      <w:r>
        <w:rPr>
          <w:rFonts w:ascii="Symbol" w:hAnsi="Symbol"/>
          <w:lang w:val="es-ES"/>
        </w:rPr>
        <w:t></w:t>
      </w:r>
      <w:r>
        <w:rPr>
          <w:lang w:val="en-US"/>
        </w:rPr>
        <w:t> </w:t>
      </w:r>
      <w:r>
        <w:rPr>
          <w:rFonts w:hint="eastAsia"/>
          <w:i/>
          <w:lang w:val="en-US"/>
        </w:rPr>
        <w:t>h</w:t>
      </w:r>
      <w:r>
        <w:rPr>
          <w:rFonts w:hint="eastAsia"/>
          <w:vertAlign w:val="superscript"/>
          <w:lang w:val="en-US"/>
        </w:rPr>
        <w:t>2</w:t>
      </w:r>
      <w:r>
        <w:rPr>
          <w:lang w:val="en-US"/>
        </w:rPr>
        <w:t> </w:t>
      </w:r>
      <w:r>
        <w:rPr>
          <w:rFonts w:hint="eastAsia"/>
          <w:lang w:val="en-US"/>
        </w:rPr>
        <w:t>(0</w:t>
      </w:r>
      <w:r>
        <w:rPr>
          <w:lang w:val="en-US"/>
        </w:rPr>
        <w:t>.</w:t>
      </w:r>
      <w:r>
        <w:rPr>
          <w:rFonts w:hint="eastAsia"/>
          <w:lang w:val="en-US"/>
        </w:rPr>
        <w:t>06740</w:t>
      </w:r>
      <w:r>
        <w:rPr>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1773</w:t>
      </w:r>
      <w:r>
        <w:rPr>
          <w:lang w:val="en-US"/>
        </w:rPr>
        <w:t> </w:t>
      </w:r>
      <w:r>
        <w:sym w:font="Symbol" w:char="F071"/>
      </w:r>
      <w:r>
        <w:rPr>
          <w:rFonts w:hint="eastAsia"/>
          <w:lang w:val="en-US"/>
        </w:rPr>
        <w:t>)</w:t>
      </w:r>
      <w:r>
        <w:rPr>
          <w:lang w:val="en-US"/>
        </w:rPr>
        <w:t> </w:t>
      </w:r>
      <w:r>
        <w:rPr>
          <w:rFonts w:ascii="Symbol" w:hAnsi="Symbol"/>
          <w:lang w:val="es-ES"/>
        </w:rPr>
        <w:t></w:t>
      </w:r>
      <w:r>
        <w:rPr>
          <w:rFonts w:ascii="Symbol" w:hAnsi="Symbol"/>
          <w:lang w:val="en-US"/>
        </w:rPr>
        <w:br/>
      </w:r>
      <w:r>
        <w:rPr>
          <w:lang w:val="en-US"/>
        </w:rPr>
        <w:tab/>
      </w:r>
      <w:r>
        <w:rPr>
          <w:lang w:val="en-US"/>
        </w:rPr>
        <w:tab/>
      </w:r>
      <w:r>
        <w:rPr>
          <w:rFonts w:hint="eastAsia"/>
          <w:lang w:val="en-US"/>
        </w:rPr>
        <w:t>0</w:t>
      </w:r>
      <w:r>
        <w:rPr>
          <w:lang w:val="en-US"/>
        </w:rPr>
        <w:t>.</w:t>
      </w:r>
      <w:r>
        <w:rPr>
          <w:rFonts w:hint="eastAsia"/>
          <w:lang w:val="en-US"/>
        </w:rPr>
        <w:t>03795</w:t>
      </w:r>
      <w:r>
        <w:rPr>
          <w:lang w:val="en-US"/>
        </w:rPr>
        <w:t> </w:t>
      </w:r>
      <w:r>
        <w:rPr>
          <w:rFonts w:hint="eastAsia"/>
          <w:i/>
          <w:lang w:val="en-US"/>
        </w:rPr>
        <w:t>h</w:t>
      </w:r>
      <w:r>
        <w:rPr>
          <w:rFonts w:hint="eastAsia"/>
          <w:vertAlign w:val="superscript"/>
          <w:lang w:val="en-US"/>
        </w:rPr>
        <w:t>3</w:t>
      </w:r>
      <w:r>
        <w:rPr>
          <w:rFonts w:hint="eastAsia"/>
          <w:lang w:val="en-US"/>
        </w:rPr>
        <w:t>]</w:t>
      </w:r>
      <w:r>
        <w:rPr>
          <w:rFonts w:hint="eastAsia"/>
          <w:lang w:val="en-US"/>
        </w:rPr>
        <w:tab/>
        <w:t>(6a)</w:t>
      </w:r>
    </w:p>
    <w:p w:rsidR="00B9359B" w:rsidRDefault="009A5268">
      <w:pPr>
        <w:pStyle w:val="Equation"/>
        <w:tabs>
          <w:tab w:val="clear" w:pos="794"/>
          <w:tab w:val="clear" w:pos="4820"/>
          <w:tab w:val="left" w:pos="540"/>
          <w:tab w:val="left" w:pos="1652"/>
        </w:tabs>
        <w:jc w:val="left"/>
        <w:rPr>
          <w:lang w:val="en-US"/>
        </w:rPr>
      </w:pPr>
      <w:r>
        <w:rPr>
          <w:i/>
          <w:lang w:val="en-US"/>
        </w:rPr>
        <w:tab/>
      </w:r>
      <w:r>
        <w:rPr>
          <w:rFonts w:hint="eastAsia"/>
          <w:i/>
          <w:lang w:val="en-US"/>
        </w:rPr>
        <w:t>A</w:t>
      </w:r>
      <w:r>
        <w:rPr>
          <w:rFonts w:hint="eastAsia"/>
          <w:i/>
          <w:vertAlign w:val="subscript"/>
          <w:lang w:val="en-US"/>
        </w:rPr>
        <w:t>M</w:t>
      </w:r>
      <w:r>
        <w:rPr>
          <w:i/>
          <w:vertAlign w:val="subscript"/>
          <w:lang w:val="en-US"/>
        </w:rPr>
        <w:t> </w:t>
      </w:r>
      <w:r>
        <w:rPr>
          <w:rFonts w:hint="eastAsia"/>
          <w:lang w:val="en-US"/>
        </w:rPr>
        <w:t>(</w:t>
      </w:r>
      <w:r>
        <w:rPr>
          <w:rFonts w:hint="eastAsia"/>
          <w:i/>
          <w:lang w:val="en-US"/>
        </w:rPr>
        <w:t>h</w:t>
      </w:r>
      <w:r>
        <w:rPr>
          <w:rFonts w:hint="eastAsia"/>
          <w:lang w:val="en-US"/>
        </w:rPr>
        <w:t xml:space="preserve">, </w:t>
      </w:r>
      <w:r>
        <w:rPr>
          <w:rFonts w:ascii="Symbol" w:hAnsi="Symbol"/>
        </w:rPr>
        <w:sym w:font="Symbol" w:char="F071"/>
      </w:r>
      <w:r>
        <w:rPr>
          <w:rFonts w:hint="eastAsia"/>
          <w:lang w:val="en-US"/>
        </w:rPr>
        <w:t>)</w:t>
      </w:r>
      <w:r>
        <w:rPr>
          <w:lang w:val="en-US"/>
        </w:rPr>
        <w:t> </w:t>
      </w:r>
      <w:r>
        <w:rPr>
          <w:rFonts w:ascii="Symbol" w:hAnsi="Symbol"/>
          <w:lang w:val="es-ES"/>
        </w:rPr>
        <w:t></w:t>
      </w:r>
      <w:r>
        <w:rPr>
          <w:rFonts w:ascii="Symbol" w:hAnsi="Symbol"/>
          <w:lang w:val="en-US"/>
        </w:rPr>
        <w:tab/>
      </w:r>
      <w:r>
        <w:rPr>
          <w:rFonts w:hint="eastAsia"/>
          <w:lang w:val="en-US"/>
        </w:rPr>
        <w:t>20</w:t>
      </w:r>
      <w:r>
        <w:rPr>
          <w:lang w:val="en-US"/>
        </w:rPr>
        <w:t>.</w:t>
      </w:r>
      <w:r>
        <w:rPr>
          <w:rFonts w:hint="eastAsia"/>
          <w:lang w:val="en-US"/>
        </w:rPr>
        <w:t>26</w:t>
      </w:r>
      <w:r>
        <w:rPr>
          <w:lang w:val="en-US"/>
        </w:rPr>
        <w:t> </w:t>
      </w:r>
      <w:r>
        <w:rPr>
          <w:rFonts w:hint="eastAsia"/>
          <w:lang w:val="en-US"/>
        </w:rPr>
        <w:t>/</w:t>
      </w:r>
      <w:r>
        <w:rPr>
          <w:lang w:val="en-US"/>
        </w:rPr>
        <w:t> </w:t>
      </w:r>
      <w:r>
        <w:rPr>
          <w:rFonts w:hint="eastAsia"/>
          <w:lang w:val="en-US"/>
        </w:rPr>
        <w:t>[1</w:t>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7215</w:t>
      </w:r>
      <w:r>
        <w:rPr>
          <w:lang w:val="en-US"/>
        </w:rPr>
        <w:t> </w:t>
      </w:r>
      <w:r>
        <w:sym w:font="Symbol" w:char="F071"/>
      </w:r>
      <w:r>
        <w:rPr>
          <w:i/>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05983</w:t>
      </w:r>
      <w:r>
        <w:rPr>
          <w:lang w:val="en-US"/>
        </w:rPr>
        <w:t> </w:t>
      </w:r>
      <w:r>
        <w:sym w:font="Symbol" w:char="F071"/>
      </w:r>
      <w:r>
        <w:rPr>
          <w:rFonts w:hint="eastAsia"/>
          <w:vertAlign w:val="superscript"/>
          <w:lang w:val="en-US"/>
        </w:rPr>
        <w:t>2</w:t>
      </w:r>
      <w:r>
        <w:rPr>
          <w:lang w:val="en-US"/>
        </w:rPr>
        <w:t> – </w:t>
      </w:r>
      <w:r>
        <w:rPr>
          <w:rFonts w:hint="eastAsia"/>
          <w:lang w:val="en-US"/>
        </w:rPr>
        <w:t>0</w:t>
      </w:r>
      <w:r>
        <w:rPr>
          <w:lang w:val="en-US"/>
        </w:rPr>
        <w:t>.</w:t>
      </w:r>
      <w:r>
        <w:rPr>
          <w:rFonts w:hint="eastAsia"/>
          <w:lang w:val="en-US"/>
        </w:rPr>
        <w:t>001961</w:t>
      </w:r>
      <w:r>
        <w:rPr>
          <w:lang w:val="en-US"/>
        </w:rPr>
        <w:t> </w:t>
      </w:r>
      <w:r>
        <w:sym w:font="Symbol" w:char="F071"/>
      </w:r>
      <w:r>
        <w:rPr>
          <w:rFonts w:hint="eastAsia"/>
          <w:vertAlign w:val="superscript"/>
          <w:lang w:val="en-US"/>
        </w:rPr>
        <w:t>3</w:t>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1555</w:t>
      </w:r>
      <w:r>
        <w:rPr>
          <w:lang w:val="en-US"/>
        </w:rPr>
        <w:t> </w:t>
      </w:r>
      <w:r>
        <w:rPr>
          <w:rFonts w:ascii="Symbol" w:hAnsi="Symbol"/>
        </w:rPr>
        <w:t></w:t>
      </w:r>
      <w:r>
        <w:rPr>
          <w:lang w:val="en-US"/>
        </w:rPr>
        <w:t> </w:t>
      </w:r>
      <w:r>
        <w:rPr>
          <w:rFonts w:hint="eastAsia"/>
          <w:lang w:val="en-US"/>
        </w:rPr>
        <w:t>10</w:t>
      </w:r>
      <w:r>
        <w:rPr>
          <w:vertAlign w:val="superscript"/>
          <w:lang w:val="en-US"/>
        </w:rPr>
        <w:t>–</w:t>
      </w:r>
      <w:r>
        <w:rPr>
          <w:sz w:val="4"/>
          <w:vertAlign w:val="superscript"/>
          <w:lang w:val="en-US"/>
        </w:rPr>
        <w:t xml:space="preserve"> </w:t>
      </w:r>
      <w:r>
        <w:rPr>
          <w:vertAlign w:val="superscript"/>
          <w:lang w:val="en-US"/>
        </w:rPr>
        <w:t>4</w:t>
      </w:r>
      <w:r>
        <w:rPr>
          <w:lang w:val="en-US"/>
        </w:rPr>
        <w:t> </w:t>
      </w:r>
      <w:r>
        <w:sym w:font="Symbol" w:char="F071"/>
      </w:r>
      <w:r>
        <w:rPr>
          <w:rFonts w:hint="eastAsia"/>
          <w:vertAlign w:val="superscript"/>
          <w:lang w:val="en-US"/>
        </w:rPr>
        <w:t>4</w:t>
      </w:r>
      <w:r>
        <w:rPr>
          <w:lang w:val="en-US"/>
        </w:rPr>
        <w:t> </w:t>
      </w:r>
      <w:r>
        <w:rPr>
          <w:lang w:val="en-US"/>
        </w:rPr>
        <w:br/>
      </w:r>
      <w:r>
        <w:rPr>
          <w:lang w:val="en-US"/>
        </w:rPr>
        <w:tab/>
      </w:r>
      <w:r>
        <w:rPr>
          <w:lang w:val="en-US"/>
        </w:rPr>
        <w:tab/>
      </w:r>
      <w:r>
        <w:rPr>
          <w:rFonts w:hint="eastAsia"/>
          <w:i/>
          <w:lang w:val="en-US"/>
        </w:rPr>
        <w:t>h</w:t>
      </w:r>
      <w:r>
        <w:rPr>
          <w:lang w:val="en-US"/>
        </w:rPr>
        <w:t> </w:t>
      </w:r>
      <w:r>
        <w:rPr>
          <w:rFonts w:hint="eastAsia"/>
          <w:lang w:val="en-US"/>
        </w:rPr>
        <w:t>(0</w:t>
      </w:r>
      <w:r>
        <w:rPr>
          <w:lang w:val="en-US"/>
        </w:rPr>
        <w:t>.</w:t>
      </w:r>
      <w:r>
        <w:rPr>
          <w:rFonts w:hint="eastAsia"/>
          <w:lang w:val="en-US"/>
        </w:rPr>
        <w:t>2047</w:t>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2338</w:t>
      </w:r>
      <w:r>
        <w:rPr>
          <w:lang w:val="en-US"/>
        </w:rPr>
        <w:t> </w:t>
      </w:r>
      <w:r>
        <w:sym w:font="Symbol" w:char="F071"/>
      </w:r>
      <w:r>
        <w:rPr>
          <w:rFonts w:hint="eastAsia"/>
          <w:lang w:val="en-US"/>
        </w:rPr>
        <w:t>)</w:t>
      </w:r>
      <w:r>
        <w:rPr>
          <w:lang w:val="en-US"/>
        </w:rPr>
        <w:t> </w:t>
      </w:r>
      <w:r>
        <w:rPr>
          <w:rFonts w:ascii="Symbol" w:hAnsi="Symbol"/>
          <w:lang w:val="en-US"/>
        </w:rPr>
        <w:t></w:t>
      </w:r>
      <w:r>
        <w:rPr>
          <w:lang w:val="en-US"/>
        </w:rPr>
        <w:t> </w:t>
      </w:r>
      <w:r>
        <w:rPr>
          <w:rFonts w:hint="eastAsia"/>
          <w:i/>
          <w:lang w:val="en-US"/>
        </w:rPr>
        <w:t>h</w:t>
      </w:r>
      <w:r>
        <w:rPr>
          <w:rFonts w:hint="eastAsia"/>
          <w:vertAlign w:val="superscript"/>
          <w:lang w:val="en-US"/>
        </w:rPr>
        <w:t>2</w:t>
      </w:r>
      <w:r>
        <w:rPr>
          <w:lang w:val="en-US"/>
        </w:rPr>
        <w:t> </w:t>
      </w:r>
      <w:r>
        <w:rPr>
          <w:rFonts w:hint="eastAsia"/>
          <w:lang w:val="en-US"/>
        </w:rPr>
        <w:t>(0</w:t>
      </w:r>
      <w:r>
        <w:rPr>
          <w:lang w:val="en-US"/>
        </w:rPr>
        <w:t>.</w:t>
      </w:r>
      <w:r>
        <w:rPr>
          <w:rFonts w:hint="eastAsia"/>
          <w:lang w:val="en-US"/>
        </w:rPr>
        <w:t>1088</w:t>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08897</w:t>
      </w:r>
      <w:r>
        <w:rPr>
          <w:lang w:val="en-US"/>
        </w:rPr>
        <w:t> </w:t>
      </w:r>
      <w:r>
        <w:sym w:font="Symbol" w:char="F071"/>
      </w:r>
      <w:r>
        <w:rPr>
          <w:rFonts w:hint="eastAsia"/>
          <w:lang w:val="en-US"/>
        </w:rPr>
        <w:t>)]</w:t>
      </w:r>
      <w:r>
        <w:rPr>
          <w:rFonts w:hint="eastAsia"/>
          <w:lang w:val="en-US"/>
        </w:rPr>
        <w:tab/>
        <w:t>(6b)</w:t>
      </w:r>
    </w:p>
    <w:p w:rsidR="00B9359B" w:rsidRDefault="009A5268">
      <w:pPr>
        <w:pStyle w:val="Equation"/>
        <w:tabs>
          <w:tab w:val="clear" w:pos="794"/>
          <w:tab w:val="clear" w:pos="4820"/>
          <w:tab w:val="left" w:pos="540"/>
          <w:tab w:val="left" w:pos="1652"/>
        </w:tabs>
        <w:jc w:val="left"/>
        <w:rPr>
          <w:lang w:val="en-US"/>
        </w:rPr>
      </w:pPr>
      <w:r>
        <w:rPr>
          <w:i/>
          <w:lang w:val="en-US"/>
        </w:rPr>
        <w:tab/>
      </w:r>
      <w:r>
        <w:rPr>
          <w:rFonts w:hint="eastAsia"/>
          <w:i/>
          <w:lang w:val="en-US"/>
        </w:rPr>
        <w:t>A</w:t>
      </w:r>
      <w:r>
        <w:rPr>
          <w:rFonts w:hint="eastAsia"/>
          <w:i/>
          <w:vertAlign w:val="subscript"/>
          <w:lang w:val="en-US"/>
        </w:rPr>
        <w:t>H</w:t>
      </w:r>
      <w:r>
        <w:rPr>
          <w:i/>
          <w:vertAlign w:val="subscript"/>
          <w:lang w:val="en-US"/>
        </w:rPr>
        <w:t> </w:t>
      </w:r>
      <w:r>
        <w:rPr>
          <w:rFonts w:hint="eastAsia"/>
          <w:lang w:val="en-US"/>
        </w:rPr>
        <w:t>(</w:t>
      </w:r>
      <w:r>
        <w:rPr>
          <w:rFonts w:hint="eastAsia"/>
          <w:i/>
          <w:lang w:val="en-US"/>
        </w:rPr>
        <w:t>h</w:t>
      </w:r>
      <w:r>
        <w:rPr>
          <w:rFonts w:hint="eastAsia"/>
          <w:lang w:val="en-US"/>
        </w:rPr>
        <w:t xml:space="preserve">, </w:t>
      </w:r>
      <w:r>
        <w:rPr>
          <w:rFonts w:ascii="Symbol" w:hAnsi="Symbol"/>
        </w:rPr>
        <w:sym w:font="Symbol" w:char="F071"/>
      </w:r>
      <w:r>
        <w:rPr>
          <w:rFonts w:hint="eastAsia"/>
          <w:lang w:val="en-US"/>
        </w:rPr>
        <w:t>)</w:t>
      </w:r>
      <w:r>
        <w:rPr>
          <w:lang w:val="en-US"/>
        </w:rPr>
        <w:t> </w:t>
      </w:r>
      <w:r>
        <w:rPr>
          <w:rFonts w:ascii="Symbol" w:hAnsi="Symbol"/>
          <w:lang w:val="es-ES"/>
        </w:rPr>
        <w:t></w:t>
      </w:r>
      <w:r>
        <w:rPr>
          <w:lang w:val="en-US"/>
        </w:rPr>
        <w:tab/>
      </w:r>
      <w:r>
        <w:rPr>
          <w:rFonts w:hint="eastAsia"/>
          <w:lang w:val="en-US"/>
        </w:rPr>
        <w:t>11</w:t>
      </w:r>
      <w:r>
        <w:rPr>
          <w:lang w:val="en-US"/>
        </w:rPr>
        <w:t>.</w:t>
      </w:r>
      <w:r>
        <w:rPr>
          <w:rFonts w:hint="eastAsia"/>
          <w:lang w:val="en-US"/>
        </w:rPr>
        <w:t>48</w:t>
      </w:r>
      <w:r>
        <w:rPr>
          <w:lang w:val="en-US"/>
        </w:rPr>
        <w:t> </w:t>
      </w:r>
      <w:r>
        <w:rPr>
          <w:rFonts w:hint="eastAsia"/>
          <w:lang w:val="en-US"/>
        </w:rPr>
        <w:t>/</w:t>
      </w:r>
      <w:r>
        <w:rPr>
          <w:lang w:val="en-US"/>
        </w:rPr>
        <w:t> </w:t>
      </w:r>
      <w:r>
        <w:rPr>
          <w:rFonts w:hint="eastAsia"/>
          <w:lang w:val="en-US"/>
        </w:rPr>
        <w:t>[1</w:t>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6065</w:t>
      </w:r>
      <w:r>
        <w:rPr>
          <w:lang w:val="en-US"/>
        </w:rPr>
        <w:t> </w:t>
      </w:r>
      <w:r>
        <w:sym w:font="Symbol" w:char="F071"/>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04355</w:t>
      </w:r>
      <w:r>
        <w:rPr>
          <w:lang w:val="en-US"/>
        </w:rPr>
        <w:t> </w:t>
      </w:r>
      <w:r>
        <w:sym w:font="Symbol" w:char="F071"/>
      </w:r>
      <w:r>
        <w:rPr>
          <w:rFonts w:hint="eastAsia"/>
          <w:vertAlign w:val="superscript"/>
          <w:lang w:val="en-US"/>
        </w:rPr>
        <w:t>2</w:t>
      </w:r>
      <w:r>
        <w:rPr>
          <w:lang w:val="en-US"/>
        </w:rPr>
        <w:t> </w:t>
      </w:r>
      <w:r>
        <w:rPr>
          <w:rFonts w:ascii="Symbol" w:hAnsi="Symbol"/>
          <w:lang w:val="en-US"/>
        </w:rPr>
        <w:t></w:t>
      </w:r>
      <w:r>
        <w:rPr>
          <w:lang w:val="en-US"/>
        </w:rPr>
        <w:t> </w:t>
      </w:r>
      <w:r>
        <w:rPr>
          <w:rFonts w:hint="eastAsia"/>
          <w:i/>
          <w:lang w:val="en-US"/>
        </w:rPr>
        <w:t>h</w:t>
      </w:r>
      <w:r>
        <w:rPr>
          <w:lang w:val="en-US"/>
        </w:rPr>
        <w:t> </w:t>
      </w:r>
      <w:r>
        <w:rPr>
          <w:rFonts w:hint="eastAsia"/>
          <w:lang w:val="en-US"/>
        </w:rPr>
        <w:t>(0</w:t>
      </w:r>
      <w:r>
        <w:rPr>
          <w:lang w:val="en-US"/>
        </w:rPr>
        <w:t>.</w:t>
      </w:r>
      <w:r>
        <w:rPr>
          <w:rFonts w:hint="eastAsia"/>
          <w:lang w:val="en-US"/>
        </w:rPr>
        <w:t>05653</w:t>
      </w:r>
      <w:r>
        <w:rPr>
          <w:i/>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3470</w:t>
      </w:r>
      <w:r>
        <w:rPr>
          <w:lang w:val="en-US"/>
        </w:rPr>
        <w:t> </w:t>
      </w:r>
      <w:r>
        <w:sym w:font="Symbol" w:char="F071"/>
      </w:r>
      <w:r>
        <w:rPr>
          <w:rFonts w:hint="eastAsia"/>
          <w:lang w:val="en-US"/>
        </w:rPr>
        <w:t>)</w:t>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1096</w:t>
      </w:r>
      <w:r>
        <w:rPr>
          <w:lang w:val="en-US"/>
        </w:rPr>
        <w:t> </w:t>
      </w:r>
      <w:r>
        <w:rPr>
          <w:rFonts w:hint="eastAsia"/>
          <w:i/>
          <w:lang w:val="en-US"/>
        </w:rPr>
        <w:t>h</w:t>
      </w:r>
      <w:r>
        <w:rPr>
          <w:rFonts w:hint="eastAsia"/>
          <w:vertAlign w:val="superscript"/>
          <w:lang w:val="en-US"/>
        </w:rPr>
        <w:t>2</w:t>
      </w:r>
      <w:r>
        <w:rPr>
          <w:rFonts w:hint="eastAsia"/>
          <w:lang w:val="en-US"/>
        </w:rPr>
        <w:t>]</w:t>
      </w:r>
      <w:r>
        <w:rPr>
          <w:rFonts w:hint="eastAsia"/>
          <w:b/>
          <w:lang w:val="en-US"/>
        </w:rPr>
        <w:tab/>
      </w:r>
      <w:r>
        <w:rPr>
          <w:rFonts w:hint="eastAsia"/>
          <w:lang w:val="en-US"/>
        </w:rPr>
        <w:t>(6c)</w:t>
      </w:r>
    </w:p>
    <w:p w:rsidR="00B9359B" w:rsidRDefault="009A5268">
      <w:pPr>
        <w:pStyle w:val="Headingb"/>
        <w:rPr>
          <w:lang w:val="en-US"/>
        </w:rPr>
      </w:pPr>
      <w:r>
        <w:rPr>
          <w:rFonts w:hint="eastAsia"/>
          <w:lang w:val="en-US"/>
        </w:rPr>
        <w:t>Frequency band 23.6-24.0 GHz</w:t>
      </w:r>
    </w:p>
    <w:p w:rsidR="00B9359B" w:rsidRDefault="009A5268">
      <w:pPr>
        <w:pStyle w:val="Equation"/>
        <w:tabs>
          <w:tab w:val="clear" w:pos="794"/>
          <w:tab w:val="clear" w:pos="4820"/>
          <w:tab w:val="left" w:pos="540"/>
          <w:tab w:val="left" w:pos="1624"/>
          <w:tab w:val="left" w:pos="1652"/>
        </w:tabs>
        <w:jc w:val="left"/>
        <w:rPr>
          <w:lang w:val="en-US"/>
        </w:rPr>
      </w:pPr>
      <w:r>
        <w:rPr>
          <w:i/>
          <w:lang w:val="en-US"/>
        </w:rPr>
        <w:tab/>
      </w:r>
      <w:r>
        <w:rPr>
          <w:rFonts w:hint="eastAsia"/>
          <w:i/>
          <w:lang w:val="en-US"/>
        </w:rPr>
        <w:t>A</w:t>
      </w:r>
      <w:r>
        <w:rPr>
          <w:rFonts w:hint="eastAsia"/>
          <w:i/>
          <w:vertAlign w:val="subscript"/>
          <w:lang w:val="en-US"/>
        </w:rPr>
        <w:t>L</w:t>
      </w:r>
      <w:r>
        <w:rPr>
          <w:i/>
          <w:vertAlign w:val="subscript"/>
          <w:lang w:val="en-US"/>
        </w:rPr>
        <w:t> </w:t>
      </w:r>
      <w:r>
        <w:rPr>
          <w:rFonts w:hint="eastAsia"/>
          <w:lang w:val="en-US"/>
        </w:rPr>
        <w:t>(</w:t>
      </w:r>
      <w:r>
        <w:rPr>
          <w:rFonts w:hint="eastAsia"/>
          <w:i/>
          <w:lang w:val="en-US"/>
        </w:rPr>
        <w:t>h</w:t>
      </w:r>
      <w:r>
        <w:rPr>
          <w:rFonts w:hint="eastAsia"/>
          <w:lang w:val="en-US"/>
        </w:rPr>
        <w:t xml:space="preserve">, </w:t>
      </w:r>
      <w:r>
        <w:rPr>
          <w:rFonts w:ascii="Symbol" w:hAnsi="Symbol"/>
        </w:rPr>
        <w:sym w:font="Symbol" w:char="F071"/>
      </w:r>
      <w:r>
        <w:rPr>
          <w:rFonts w:hint="eastAsia"/>
          <w:lang w:val="en-US"/>
        </w:rPr>
        <w:t>)</w:t>
      </w:r>
      <w:r>
        <w:rPr>
          <w:lang w:val="en-US"/>
        </w:rPr>
        <w:t> </w:t>
      </w:r>
      <w:r>
        <w:rPr>
          <w:rFonts w:ascii="Symbol" w:hAnsi="Symbol"/>
          <w:lang w:val="es-ES"/>
        </w:rPr>
        <w:t></w:t>
      </w:r>
      <w:r>
        <w:rPr>
          <w:lang w:val="en-US"/>
        </w:rPr>
        <w:tab/>
      </w:r>
      <w:r>
        <w:rPr>
          <w:rFonts w:hint="eastAsia"/>
          <w:lang w:val="en-US"/>
        </w:rPr>
        <w:t>41</w:t>
      </w:r>
      <w:r>
        <w:rPr>
          <w:lang w:val="en-US"/>
        </w:rPr>
        <w:t>.</w:t>
      </w:r>
      <w:r>
        <w:rPr>
          <w:rFonts w:hint="eastAsia"/>
          <w:lang w:val="en-US"/>
        </w:rPr>
        <w:t>78</w:t>
      </w:r>
      <w:r>
        <w:rPr>
          <w:lang w:val="en-US"/>
        </w:rPr>
        <w:t> </w:t>
      </w:r>
      <w:r>
        <w:rPr>
          <w:rFonts w:hint="eastAsia"/>
          <w:lang w:val="en-US"/>
        </w:rPr>
        <w:t>/</w:t>
      </w:r>
      <w:r>
        <w:rPr>
          <w:lang w:val="en-US"/>
        </w:rPr>
        <w:t> </w:t>
      </w:r>
      <w:r>
        <w:rPr>
          <w:rFonts w:hint="eastAsia"/>
          <w:lang w:val="en-US"/>
        </w:rPr>
        <w:t>[1</w:t>
      </w:r>
      <w:r>
        <w:rPr>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8705</w:t>
      </w:r>
      <w:r>
        <w:rPr>
          <w:lang w:val="en-US"/>
        </w:rPr>
        <w:t> </w:t>
      </w:r>
      <w:r>
        <w:sym w:font="Symbol" w:char="F071"/>
      </w:r>
      <w:r>
        <w:rPr>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06699</w:t>
      </w:r>
      <w:r>
        <w:rPr>
          <w:lang w:val="en-US"/>
        </w:rPr>
        <w:t> </w:t>
      </w:r>
      <w:r>
        <w:sym w:font="Symbol" w:char="F071"/>
      </w:r>
      <w:r>
        <w:rPr>
          <w:rFonts w:hint="eastAsia"/>
          <w:vertAlign w:val="superscript"/>
          <w:lang w:val="en-US"/>
        </w:rPr>
        <w:t>2</w:t>
      </w:r>
      <w:r>
        <w:rPr>
          <w:lang w:val="en-US"/>
        </w:rPr>
        <w:t> – </w:t>
      </w:r>
      <w:r>
        <w:rPr>
          <w:rFonts w:hint="eastAsia"/>
          <w:lang w:val="en-US"/>
        </w:rPr>
        <w:t>0</w:t>
      </w:r>
      <w:r>
        <w:rPr>
          <w:lang w:val="en-US"/>
        </w:rPr>
        <w:t>.</w:t>
      </w:r>
      <w:r>
        <w:rPr>
          <w:rFonts w:hint="eastAsia"/>
          <w:lang w:val="en-US"/>
        </w:rPr>
        <w:t>002203</w:t>
      </w:r>
      <w:r>
        <w:rPr>
          <w:lang w:val="en-US"/>
        </w:rPr>
        <w:t> </w:t>
      </w:r>
      <w:r>
        <w:sym w:font="Symbol" w:char="F071"/>
      </w:r>
      <w:r>
        <w:rPr>
          <w:rFonts w:hint="eastAsia"/>
          <w:vertAlign w:val="superscript"/>
          <w:lang w:val="en-US"/>
        </w:rPr>
        <w:t>3</w:t>
      </w:r>
      <w:r>
        <w:rPr>
          <w:i/>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1743</w:t>
      </w:r>
      <w:r>
        <w:rPr>
          <w:lang w:val="en-US"/>
        </w:rPr>
        <w:t> </w:t>
      </w:r>
      <w:r>
        <w:rPr>
          <w:rFonts w:ascii="Symbol" w:hAnsi="Symbol"/>
        </w:rPr>
        <w:t></w:t>
      </w:r>
      <w:r>
        <w:rPr>
          <w:lang w:val="en-US"/>
        </w:rPr>
        <w:t> </w:t>
      </w:r>
      <w:r>
        <w:rPr>
          <w:rFonts w:hint="eastAsia"/>
          <w:lang w:val="en-US"/>
        </w:rPr>
        <w:t>10</w:t>
      </w:r>
      <w:r>
        <w:rPr>
          <w:vertAlign w:val="superscript"/>
          <w:lang w:val="en-US"/>
        </w:rPr>
        <w:t>–</w:t>
      </w:r>
      <w:r>
        <w:rPr>
          <w:sz w:val="4"/>
          <w:vertAlign w:val="superscript"/>
          <w:lang w:val="en-US"/>
        </w:rPr>
        <w:t xml:space="preserve"> </w:t>
      </w:r>
      <w:r>
        <w:rPr>
          <w:rFonts w:hint="eastAsia"/>
          <w:vertAlign w:val="superscript"/>
          <w:lang w:val="en-US"/>
        </w:rPr>
        <w:t>4</w:t>
      </w:r>
      <w:r>
        <w:rPr>
          <w:lang w:val="en-US"/>
        </w:rPr>
        <w:t> </w:t>
      </w:r>
      <w:r>
        <w:sym w:font="Symbol" w:char="F071"/>
      </w:r>
      <w:r>
        <w:rPr>
          <w:rFonts w:hint="eastAsia"/>
          <w:vertAlign w:val="superscript"/>
          <w:lang w:val="en-US"/>
        </w:rPr>
        <w:t>4</w:t>
      </w:r>
      <w:r>
        <w:rPr>
          <w:lang w:val="en-US"/>
        </w:rPr>
        <w:t> </w:t>
      </w:r>
      <w:r>
        <w:rPr>
          <w:rFonts w:ascii="Symbol" w:hAnsi="Symbol"/>
          <w:lang w:val="es-ES"/>
        </w:rPr>
        <w:t></w:t>
      </w:r>
      <w:r>
        <w:rPr>
          <w:rFonts w:ascii="Symbol" w:hAnsi="Symbol"/>
          <w:lang w:val="en-US"/>
        </w:rPr>
        <w:br/>
      </w:r>
      <w:r>
        <w:rPr>
          <w:i/>
          <w:lang w:val="en-US"/>
        </w:rPr>
        <w:tab/>
      </w:r>
      <w:r>
        <w:rPr>
          <w:i/>
          <w:lang w:val="en-US"/>
        </w:rPr>
        <w:tab/>
      </w:r>
      <w:r>
        <w:rPr>
          <w:rFonts w:hint="eastAsia"/>
          <w:i/>
          <w:lang w:val="en-US"/>
        </w:rPr>
        <w:t>h</w:t>
      </w:r>
      <w:r>
        <w:rPr>
          <w:lang w:val="en-US"/>
        </w:rPr>
        <w:t> </w:t>
      </w:r>
      <w:r>
        <w:rPr>
          <w:rFonts w:hint="eastAsia"/>
          <w:lang w:val="en-US"/>
        </w:rPr>
        <w:t>(0</w:t>
      </w:r>
      <w:r>
        <w:rPr>
          <w:lang w:val="en-US"/>
        </w:rPr>
        <w:t>.</w:t>
      </w:r>
      <w:r>
        <w:rPr>
          <w:rFonts w:hint="eastAsia"/>
          <w:lang w:val="en-US"/>
        </w:rPr>
        <w:t>3132</w:t>
      </w:r>
      <w:r>
        <w:rPr>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4079</w:t>
      </w:r>
      <w:r>
        <w:rPr>
          <w:lang w:val="en-US"/>
        </w:rPr>
        <w:t> </w:t>
      </w:r>
      <w:r>
        <w:sym w:font="Symbol" w:char="F071"/>
      </w:r>
      <w:r>
        <w:rPr>
          <w:rFonts w:hint="eastAsia"/>
          <w:lang w:val="en-US"/>
        </w:rPr>
        <w:t>)</w:t>
      </w:r>
      <w:r>
        <w:rPr>
          <w:lang w:val="en-US"/>
        </w:rPr>
        <w:t> </w:t>
      </w:r>
      <w:r>
        <w:rPr>
          <w:rFonts w:ascii="Symbol" w:hAnsi="Symbol"/>
          <w:lang w:val="es-ES"/>
        </w:rPr>
        <w:t></w:t>
      </w:r>
      <w:r>
        <w:rPr>
          <w:lang w:val="en-US"/>
        </w:rPr>
        <w:t> </w:t>
      </w:r>
      <w:r>
        <w:rPr>
          <w:rFonts w:hint="eastAsia"/>
          <w:i/>
          <w:lang w:val="en-US"/>
        </w:rPr>
        <w:t>h</w:t>
      </w:r>
      <w:r>
        <w:rPr>
          <w:rFonts w:hint="eastAsia"/>
          <w:vertAlign w:val="superscript"/>
          <w:lang w:val="en-US"/>
        </w:rPr>
        <w:t>2</w:t>
      </w:r>
      <w:r>
        <w:rPr>
          <w:rFonts w:hint="eastAsia"/>
          <w:lang w:val="en-US"/>
        </w:rPr>
        <w:t>(0</w:t>
      </w:r>
      <w:r>
        <w:rPr>
          <w:lang w:val="en-US"/>
        </w:rPr>
        <w:t>.</w:t>
      </w:r>
      <w:r>
        <w:rPr>
          <w:rFonts w:hint="eastAsia"/>
          <w:lang w:val="en-US"/>
        </w:rPr>
        <w:t>09824</w:t>
      </w:r>
      <w:r>
        <w:rPr>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1906</w:t>
      </w:r>
      <w:r>
        <w:rPr>
          <w:lang w:val="en-US"/>
        </w:rPr>
        <w:t> </w:t>
      </w:r>
      <w:r>
        <w:sym w:font="Symbol" w:char="F071"/>
      </w:r>
      <w:r>
        <w:rPr>
          <w:rFonts w:hint="eastAsia"/>
          <w:lang w:val="en-US"/>
        </w:rPr>
        <w:t>)</w:t>
      </w:r>
      <w:r>
        <w:rPr>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04830</w:t>
      </w:r>
      <w:r>
        <w:rPr>
          <w:lang w:val="en-US"/>
        </w:rPr>
        <w:t> </w:t>
      </w:r>
      <w:r>
        <w:rPr>
          <w:rFonts w:hint="eastAsia"/>
          <w:i/>
          <w:lang w:val="en-US"/>
        </w:rPr>
        <w:t>h</w:t>
      </w:r>
      <w:r>
        <w:rPr>
          <w:rFonts w:hint="eastAsia"/>
          <w:vertAlign w:val="superscript"/>
          <w:lang w:val="en-US"/>
        </w:rPr>
        <w:t>3</w:t>
      </w:r>
      <w:r>
        <w:rPr>
          <w:rFonts w:hint="eastAsia"/>
          <w:lang w:val="en-US"/>
        </w:rPr>
        <w:t xml:space="preserve">] </w:t>
      </w:r>
      <w:r>
        <w:rPr>
          <w:lang w:val="en-US"/>
        </w:rPr>
        <w:tab/>
      </w:r>
      <w:r>
        <w:rPr>
          <w:rFonts w:hint="eastAsia"/>
          <w:lang w:val="en-US"/>
        </w:rPr>
        <w:t>(7a)</w:t>
      </w:r>
    </w:p>
    <w:p w:rsidR="00B9359B" w:rsidRDefault="009A5268">
      <w:pPr>
        <w:pStyle w:val="Equation"/>
        <w:tabs>
          <w:tab w:val="clear" w:pos="794"/>
          <w:tab w:val="clear" w:pos="4820"/>
          <w:tab w:val="left" w:pos="540"/>
          <w:tab w:val="left" w:pos="1652"/>
        </w:tabs>
        <w:jc w:val="left"/>
        <w:rPr>
          <w:lang w:val="en-US"/>
        </w:rPr>
      </w:pPr>
      <w:r>
        <w:rPr>
          <w:i/>
          <w:lang w:val="en-US"/>
        </w:rPr>
        <w:tab/>
      </w:r>
      <w:r>
        <w:rPr>
          <w:rFonts w:hint="eastAsia"/>
          <w:i/>
          <w:lang w:val="en-US"/>
        </w:rPr>
        <w:t>A</w:t>
      </w:r>
      <w:r>
        <w:rPr>
          <w:rFonts w:hint="eastAsia"/>
          <w:i/>
          <w:vertAlign w:val="subscript"/>
          <w:lang w:val="en-US"/>
        </w:rPr>
        <w:t>M</w:t>
      </w:r>
      <w:r>
        <w:rPr>
          <w:i/>
          <w:vertAlign w:val="subscript"/>
          <w:lang w:val="en-US"/>
        </w:rPr>
        <w:t> </w:t>
      </w:r>
      <w:r>
        <w:rPr>
          <w:rFonts w:hint="eastAsia"/>
          <w:lang w:val="en-US"/>
        </w:rPr>
        <w:t>(</w:t>
      </w:r>
      <w:r>
        <w:rPr>
          <w:rFonts w:hint="eastAsia"/>
          <w:i/>
          <w:lang w:val="en-US"/>
        </w:rPr>
        <w:t>h</w:t>
      </w:r>
      <w:r>
        <w:rPr>
          <w:rFonts w:hint="eastAsia"/>
          <w:lang w:val="en-US"/>
        </w:rPr>
        <w:t xml:space="preserve">, </w:t>
      </w:r>
      <w:r>
        <w:rPr>
          <w:rFonts w:ascii="Symbol" w:hAnsi="Symbol"/>
        </w:rPr>
        <w:sym w:font="Symbol" w:char="F071"/>
      </w:r>
      <w:r>
        <w:rPr>
          <w:rFonts w:hint="eastAsia"/>
          <w:lang w:val="en-US"/>
        </w:rPr>
        <w:t>)</w:t>
      </w:r>
      <w:r>
        <w:rPr>
          <w:lang w:val="en-US"/>
        </w:rPr>
        <w:t> </w:t>
      </w:r>
      <w:r>
        <w:rPr>
          <w:rFonts w:ascii="Symbol" w:hAnsi="Symbol"/>
          <w:lang w:val="es-ES"/>
        </w:rPr>
        <w:t></w:t>
      </w:r>
      <w:r>
        <w:rPr>
          <w:lang w:val="en-US"/>
        </w:rPr>
        <w:tab/>
      </w:r>
      <w:r>
        <w:rPr>
          <w:rFonts w:hint="eastAsia"/>
          <w:lang w:val="en-US"/>
        </w:rPr>
        <w:t>18</w:t>
      </w:r>
      <w:r>
        <w:rPr>
          <w:lang w:val="en-US"/>
        </w:rPr>
        <w:t>.</w:t>
      </w:r>
      <w:r>
        <w:rPr>
          <w:rFonts w:hint="eastAsia"/>
          <w:lang w:val="en-US"/>
        </w:rPr>
        <w:t>42</w:t>
      </w:r>
      <w:r>
        <w:rPr>
          <w:lang w:val="en-US"/>
        </w:rPr>
        <w:t> </w:t>
      </w:r>
      <w:r>
        <w:rPr>
          <w:rFonts w:hint="eastAsia"/>
          <w:lang w:val="en-US"/>
        </w:rPr>
        <w:t>/</w:t>
      </w:r>
      <w:r>
        <w:rPr>
          <w:lang w:val="en-US"/>
        </w:rPr>
        <w:t> </w:t>
      </w:r>
      <w:r>
        <w:rPr>
          <w:rFonts w:hint="eastAsia"/>
          <w:lang w:val="en-US"/>
        </w:rPr>
        <w:t>[1</w:t>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8311</w:t>
      </w:r>
      <w:r>
        <w:rPr>
          <w:lang w:val="en-US"/>
        </w:rPr>
        <w:t> </w:t>
      </w:r>
      <w:r>
        <w:sym w:font="Symbol" w:char="F071"/>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02870</w:t>
      </w:r>
      <w:r>
        <w:rPr>
          <w:lang w:val="en-US"/>
        </w:rPr>
        <w:t> </w:t>
      </w:r>
      <w:r>
        <w:sym w:font="Symbol" w:char="F071"/>
      </w:r>
      <w:r>
        <w:rPr>
          <w:rFonts w:hint="eastAsia"/>
          <w:vertAlign w:val="superscript"/>
          <w:lang w:val="en-US"/>
        </w:rPr>
        <w:t>2</w:t>
      </w:r>
      <w:r>
        <w:rPr>
          <w:lang w:val="en-US"/>
        </w:rPr>
        <w:t> </w:t>
      </w:r>
      <w:r>
        <w:rPr>
          <w:rFonts w:ascii="Symbol" w:hAnsi="Symbol"/>
          <w:lang w:val="en-US"/>
        </w:rPr>
        <w:t></w:t>
      </w:r>
      <w:r>
        <w:rPr>
          <w:lang w:val="en-US"/>
        </w:rPr>
        <w:t> </w:t>
      </w:r>
      <w:r>
        <w:rPr>
          <w:rFonts w:hint="eastAsia"/>
          <w:i/>
          <w:lang w:val="en-US"/>
        </w:rPr>
        <w:t>h</w:t>
      </w:r>
      <w:r>
        <w:rPr>
          <w:lang w:val="en-US"/>
        </w:rPr>
        <w:t> </w:t>
      </w:r>
      <w:r>
        <w:rPr>
          <w:rFonts w:hint="eastAsia"/>
          <w:lang w:val="en-US"/>
        </w:rPr>
        <w:t>(0</w:t>
      </w:r>
      <w:r>
        <w:rPr>
          <w:lang w:val="en-US"/>
        </w:rPr>
        <w:t>.</w:t>
      </w:r>
      <w:r>
        <w:rPr>
          <w:rFonts w:hint="eastAsia"/>
          <w:lang w:val="en-US"/>
        </w:rPr>
        <w:t>2517</w:t>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2995</w:t>
      </w:r>
      <w:r>
        <w:rPr>
          <w:lang w:val="en-US"/>
        </w:rPr>
        <w:t> </w:t>
      </w:r>
      <w:r>
        <w:sym w:font="Symbol" w:char="F071"/>
      </w:r>
      <w:r>
        <w:rPr>
          <w:rFonts w:hint="eastAsia"/>
          <w:lang w:val="en-US"/>
        </w:rPr>
        <w:t>)</w:t>
      </w:r>
      <w:r>
        <w:rPr>
          <w:lang w:val="en-US"/>
        </w:rPr>
        <w:t> </w:t>
      </w:r>
      <w:r>
        <w:rPr>
          <w:rFonts w:ascii="Symbol" w:hAnsi="Symbol"/>
          <w:lang w:val="en-US"/>
        </w:rPr>
        <w:t></w:t>
      </w:r>
      <w:r>
        <w:rPr>
          <w:lang w:val="en-US"/>
        </w:rPr>
        <w:br/>
      </w:r>
      <w:r>
        <w:rPr>
          <w:lang w:val="en-US"/>
        </w:rPr>
        <w:tab/>
      </w:r>
      <w:r>
        <w:rPr>
          <w:lang w:val="en-US"/>
        </w:rPr>
        <w:tab/>
      </w:r>
      <w:r>
        <w:rPr>
          <w:rFonts w:hint="eastAsia"/>
          <w:i/>
          <w:iCs/>
          <w:lang w:val="en-US"/>
        </w:rPr>
        <w:t>h</w:t>
      </w:r>
      <w:r>
        <w:rPr>
          <w:rFonts w:hint="eastAsia"/>
          <w:vertAlign w:val="superscript"/>
          <w:lang w:val="en-US"/>
        </w:rPr>
        <w:t>2</w:t>
      </w:r>
      <w:r>
        <w:rPr>
          <w:lang w:val="en-US"/>
        </w:rPr>
        <w:t> </w:t>
      </w:r>
      <w:r>
        <w:rPr>
          <w:rFonts w:hint="eastAsia"/>
          <w:lang w:val="en-US"/>
        </w:rPr>
        <w:t>(0</w:t>
      </w:r>
      <w:r>
        <w:rPr>
          <w:lang w:val="en-US"/>
        </w:rPr>
        <w:t>.</w:t>
      </w:r>
      <w:r>
        <w:rPr>
          <w:rFonts w:hint="eastAsia"/>
          <w:lang w:val="en-US"/>
        </w:rPr>
        <w:t>1330</w:t>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09409</w:t>
      </w:r>
      <w:r>
        <w:rPr>
          <w:lang w:val="en-US"/>
        </w:rPr>
        <w:t> </w:t>
      </w:r>
      <w:r>
        <w:sym w:font="Symbol" w:char="F071"/>
      </w:r>
      <w:r>
        <w:rPr>
          <w:rFonts w:hint="eastAsia"/>
          <w:lang w:val="en-US"/>
        </w:rPr>
        <w:t>)]</w:t>
      </w:r>
      <w:r>
        <w:rPr>
          <w:rFonts w:hint="eastAsia"/>
          <w:lang w:val="en-US"/>
        </w:rPr>
        <w:tab/>
        <w:t>(7b)</w:t>
      </w:r>
    </w:p>
    <w:p w:rsidR="00B9359B" w:rsidRDefault="009A5268">
      <w:pPr>
        <w:pStyle w:val="Equation"/>
        <w:tabs>
          <w:tab w:val="clear" w:pos="794"/>
          <w:tab w:val="clear" w:pos="4820"/>
          <w:tab w:val="left" w:pos="540"/>
          <w:tab w:val="left" w:pos="1652"/>
        </w:tabs>
        <w:jc w:val="left"/>
        <w:rPr>
          <w:lang w:val="en-US"/>
        </w:rPr>
      </w:pPr>
      <w:r>
        <w:rPr>
          <w:i/>
          <w:lang w:val="en-US"/>
        </w:rPr>
        <w:tab/>
      </w:r>
      <w:r>
        <w:rPr>
          <w:rFonts w:hint="eastAsia"/>
          <w:i/>
          <w:lang w:val="en-US"/>
        </w:rPr>
        <w:t>A</w:t>
      </w:r>
      <w:r>
        <w:rPr>
          <w:rFonts w:hint="eastAsia"/>
          <w:i/>
          <w:vertAlign w:val="subscript"/>
          <w:lang w:val="en-US"/>
        </w:rPr>
        <w:t>H</w:t>
      </w:r>
      <w:r>
        <w:rPr>
          <w:i/>
          <w:vertAlign w:val="subscript"/>
          <w:lang w:val="en-US"/>
        </w:rPr>
        <w:t> </w:t>
      </w:r>
      <w:r>
        <w:rPr>
          <w:rFonts w:hint="eastAsia"/>
          <w:lang w:val="en-US"/>
        </w:rPr>
        <w:t>(</w:t>
      </w:r>
      <w:r>
        <w:rPr>
          <w:rFonts w:hint="eastAsia"/>
          <w:i/>
          <w:lang w:val="en-US"/>
        </w:rPr>
        <w:t>h</w:t>
      </w:r>
      <w:r>
        <w:rPr>
          <w:rFonts w:hint="eastAsia"/>
          <w:lang w:val="en-US"/>
        </w:rPr>
        <w:t xml:space="preserve">, </w:t>
      </w:r>
      <w:r>
        <w:rPr>
          <w:rFonts w:ascii="Symbol" w:hAnsi="Symbol"/>
        </w:rPr>
        <w:sym w:font="Symbol" w:char="F071"/>
      </w:r>
      <w:r>
        <w:rPr>
          <w:rFonts w:hint="eastAsia"/>
          <w:lang w:val="en-US"/>
        </w:rPr>
        <w:t>)</w:t>
      </w:r>
      <w:r>
        <w:rPr>
          <w:lang w:val="en-US"/>
        </w:rPr>
        <w:t> </w:t>
      </w:r>
      <w:r>
        <w:rPr>
          <w:rFonts w:ascii="Symbol" w:hAnsi="Symbol"/>
          <w:lang w:val="es-ES"/>
        </w:rPr>
        <w:t></w:t>
      </w:r>
      <w:r>
        <w:rPr>
          <w:lang w:val="en-US"/>
        </w:rPr>
        <w:tab/>
      </w:r>
      <w:r>
        <w:rPr>
          <w:rFonts w:hint="eastAsia"/>
          <w:lang w:val="en-US"/>
        </w:rPr>
        <w:t>10</w:t>
      </w:r>
      <w:r>
        <w:rPr>
          <w:lang w:val="en-US"/>
        </w:rPr>
        <w:t>.</w:t>
      </w:r>
      <w:r>
        <w:rPr>
          <w:rFonts w:hint="eastAsia"/>
          <w:lang w:val="en-US"/>
        </w:rPr>
        <w:t>73</w:t>
      </w:r>
      <w:r>
        <w:rPr>
          <w:lang w:val="en-US"/>
        </w:rPr>
        <w:t> </w:t>
      </w:r>
      <w:r>
        <w:rPr>
          <w:rFonts w:hint="eastAsia"/>
          <w:lang w:val="en-US"/>
        </w:rPr>
        <w:t>/</w:t>
      </w:r>
      <w:r>
        <w:rPr>
          <w:lang w:val="en-US"/>
        </w:rPr>
        <w:t> </w:t>
      </w:r>
      <w:r>
        <w:rPr>
          <w:rFonts w:hint="eastAsia"/>
          <w:lang w:val="en-US"/>
        </w:rPr>
        <w:t>[1</w:t>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6427</w:t>
      </w:r>
      <w:r>
        <w:rPr>
          <w:lang w:val="en-US"/>
        </w:rPr>
        <w:t> </w:t>
      </w:r>
      <w:r>
        <w:sym w:font="Symbol" w:char="F071"/>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04402</w:t>
      </w:r>
      <w:r>
        <w:rPr>
          <w:lang w:val="en-US"/>
        </w:rPr>
        <w:t> </w:t>
      </w:r>
      <w:r>
        <w:sym w:font="Symbol" w:char="F071"/>
      </w:r>
      <w:r>
        <w:rPr>
          <w:rFonts w:hint="eastAsia"/>
          <w:vertAlign w:val="superscript"/>
          <w:lang w:val="en-US"/>
        </w:rPr>
        <w:t>2</w:t>
      </w:r>
      <w:r>
        <w:rPr>
          <w:lang w:val="en-US"/>
        </w:rPr>
        <w:t> </w:t>
      </w:r>
      <w:r>
        <w:rPr>
          <w:rFonts w:ascii="Symbol" w:hAnsi="Symbol"/>
          <w:lang w:val="en-US"/>
        </w:rPr>
        <w:t></w:t>
      </w:r>
      <w:r>
        <w:rPr>
          <w:lang w:val="en-US"/>
        </w:rPr>
        <w:t> </w:t>
      </w:r>
      <w:r>
        <w:rPr>
          <w:rFonts w:hint="eastAsia"/>
          <w:i/>
          <w:lang w:val="en-US"/>
        </w:rPr>
        <w:t>h</w:t>
      </w:r>
      <w:r>
        <w:rPr>
          <w:lang w:val="en-US"/>
        </w:rPr>
        <w:t> </w:t>
      </w:r>
      <w:r>
        <w:rPr>
          <w:rFonts w:hint="eastAsia"/>
          <w:lang w:val="en-US"/>
        </w:rPr>
        <w:t>(0</w:t>
      </w:r>
      <w:r>
        <w:rPr>
          <w:lang w:val="en-US"/>
        </w:rPr>
        <w:t>.</w:t>
      </w:r>
      <w:r>
        <w:rPr>
          <w:rFonts w:hint="eastAsia"/>
          <w:lang w:val="en-US"/>
        </w:rPr>
        <w:t>08210</w:t>
      </w:r>
      <w:r>
        <w:rPr>
          <w:i/>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3840</w:t>
      </w:r>
      <w:r>
        <w:rPr>
          <w:lang w:val="en-US"/>
        </w:rPr>
        <w:t> </w:t>
      </w:r>
      <w:r>
        <w:sym w:font="Symbol" w:char="F071"/>
      </w:r>
      <w:r>
        <w:rPr>
          <w:rFonts w:hint="eastAsia"/>
          <w:lang w:val="en-US"/>
        </w:rPr>
        <w:t>)</w:t>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1273</w:t>
      </w:r>
      <w:r>
        <w:rPr>
          <w:lang w:val="en-US"/>
        </w:rPr>
        <w:t> </w:t>
      </w:r>
      <w:r>
        <w:rPr>
          <w:rFonts w:hint="eastAsia"/>
          <w:i/>
          <w:iCs/>
          <w:lang w:val="en-US"/>
        </w:rPr>
        <w:t>h</w:t>
      </w:r>
      <w:r>
        <w:rPr>
          <w:rFonts w:hint="eastAsia"/>
          <w:vertAlign w:val="superscript"/>
          <w:lang w:val="en-US"/>
        </w:rPr>
        <w:t>2</w:t>
      </w:r>
      <w:r>
        <w:rPr>
          <w:rFonts w:hint="eastAsia"/>
          <w:lang w:val="en-US"/>
        </w:rPr>
        <w:t>]</w:t>
      </w:r>
      <w:r>
        <w:rPr>
          <w:rFonts w:hint="eastAsia"/>
          <w:b/>
          <w:lang w:val="en-US"/>
        </w:rPr>
        <w:tab/>
      </w:r>
      <w:r>
        <w:rPr>
          <w:rFonts w:hint="eastAsia"/>
          <w:lang w:val="en-US"/>
        </w:rPr>
        <w:t>(7c)</w:t>
      </w:r>
    </w:p>
    <w:p w:rsidR="00B9359B" w:rsidRDefault="009A5268">
      <w:pPr>
        <w:pStyle w:val="Headingb"/>
        <w:rPr>
          <w:lang w:val="en-US"/>
        </w:rPr>
      </w:pPr>
      <w:r>
        <w:rPr>
          <w:lang w:val="en-US"/>
        </w:rPr>
        <w:br w:type="page"/>
      </w:r>
      <w:r>
        <w:rPr>
          <w:rFonts w:hint="eastAsia"/>
          <w:lang w:val="en-US"/>
        </w:rPr>
        <w:t>Frequency band 31.3-31.5 GHz</w:t>
      </w:r>
    </w:p>
    <w:p w:rsidR="00B9359B" w:rsidRDefault="009A5268">
      <w:pPr>
        <w:pStyle w:val="Equation"/>
        <w:tabs>
          <w:tab w:val="clear" w:pos="794"/>
          <w:tab w:val="clear" w:pos="4820"/>
          <w:tab w:val="left" w:pos="540"/>
          <w:tab w:val="left" w:pos="1652"/>
        </w:tabs>
        <w:jc w:val="left"/>
        <w:rPr>
          <w:lang w:val="en-US"/>
        </w:rPr>
      </w:pPr>
      <w:r>
        <w:rPr>
          <w:i/>
          <w:lang w:val="en-US"/>
        </w:rPr>
        <w:tab/>
      </w:r>
      <w:r>
        <w:rPr>
          <w:rFonts w:hint="eastAsia"/>
          <w:i/>
          <w:lang w:val="en-US"/>
        </w:rPr>
        <w:t>A</w:t>
      </w:r>
      <w:r>
        <w:rPr>
          <w:rFonts w:hint="eastAsia"/>
          <w:i/>
          <w:vertAlign w:val="subscript"/>
          <w:lang w:val="en-US"/>
        </w:rPr>
        <w:t>L</w:t>
      </w:r>
      <w:r>
        <w:rPr>
          <w:i/>
          <w:vertAlign w:val="subscript"/>
          <w:lang w:val="en-US"/>
        </w:rPr>
        <w:t> </w:t>
      </w:r>
      <w:r>
        <w:rPr>
          <w:rFonts w:hint="eastAsia"/>
          <w:lang w:val="en-US"/>
        </w:rPr>
        <w:t>(</w:t>
      </w:r>
      <w:r>
        <w:rPr>
          <w:rFonts w:hint="eastAsia"/>
          <w:i/>
          <w:lang w:val="en-US"/>
        </w:rPr>
        <w:t>h</w:t>
      </w:r>
      <w:r>
        <w:rPr>
          <w:rFonts w:hint="eastAsia"/>
          <w:lang w:val="en-US"/>
        </w:rPr>
        <w:t xml:space="preserve">, </w:t>
      </w:r>
      <w:r>
        <w:rPr>
          <w:rFonts w:ascii="Symbol" w:hAnsi="Symbol"/>
        </w:rPr>
        <w:sym w:font="Symbol" w:char="F071"/>
      </w:r>
      <w:r>
        <w:rPr>
          <w:rFonts w:hint="eastAsia"/>
          <w:lang w:val="en-US"/>
        </w:rPr>
        <w:t>)</w:t>
      </w:r>
      <w:r>
        <w:rPr>
          <w:lang w:val="en-US"/>
        </w:rPr>
        <w:t> </w:t>
      </w:r>
      <w:r>
        <w:rPr>
          <w:rFonts w:ascii="Symbol" w:hAnsi="Symbol"/>
          <w:lang w:val="es-ES"/>
        </w:rPr>
        <w:t></w:t>
      </w:r>
      <w:r>
        <w:rPr>
          <w:rFonts w:ascii="Symbol" w:hAnsi="Symbol"/>
          <w:lang w:val="en-US"/>
        </w:rPr>
        <w:tab/>
      </w:r>
      <w:r>
        <w:rPr>
          <w:rFonts w:hint="eastAsia"/>
          <w:lang w:val="en-US"/>
        </w:rPr>
        <w:t>19</w:t>
      </w:r>
      <w:r>
        <w:rPr>
          <w:lang w:val="en-US"/>
        </w:rPr>
        <w:t>.</w:t>
      </w:r>
      <w:r>
        <w:rPr>
          <w:rFonts w:hint="eastAsia"/>
          <w:lang w:val="en-US"/>
        </w:rPr>
        <w:t>52</w:t>
      </w:r>
      <w:r>
        <w:rPr>
          <w:lang w:val="en-US"/>
        </w:rPr>
        <w:t> </w:t>
      </w:r>
      <w:r>
        <w:rPr>
          <w:rFonts w:hint="eastAsia"/>
          <w:lang w:val="en-US"/>
        </w:rPr>
        <w:t>/</w:t>
      </w:r>
      <w:r>
        <w:rPr>
          <w:lang w:val="en-US"/>
        </w:rPr>
        <w:t> </w:t>
      </w:r>
      <w:r>
        <w:rPr>
          <w:rFonts w:hint="eastAsia"/>
          <w:lang w:val="en-US"/>
        </w:rPr>
        <w:t>[1</w:t>
      </w:r>
      <w:r>
        <w:rPr>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9294</w:t>
      </w:r>
      <w:r>
        <w:rPr>
          <w:lang w:val="en-US"/>
        </w:rPr>
        <w:t> </w:t>
      </w:r>
      <w:r>
        <w:sym w:font="Symbol" w:char="F071"/>
      </w:r>
      <w:r>
        <w:rPr>
          <w:rFonts w:hint="eastAsia"/>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02495</w:t>
      </w:r>
      <w:r>
        <w:rPr>
          <w:lang w:val="en-US"/>
        </w:rPr>
        <w:t> </w:t>
      </w:r>
      <w:r>
        <w:sym w:font="Symbol" w:char="F071"/>
      </w:r>
      <w:r>
        <w:rPr>
          <w:rFonts w:hint="eastAsia"/>
          <w:vertAlign w:val="superscript"/>
          <w:lang w:val="en-US"/>
        </w:rPr>
        <w:t>2</w:t>
      </w:r>
      <w:r>
        <w:rPr>
          <w:lang w:val="en-US"/>
        </w:rPr>
        <w:t> </w:t>
      </w:r>
      <w:r>
        <w:rPr>
          <w:rFonts w:ascii="Symbol" w:hAnsi="Symbol"/>
          <w:lang w:val="es-ES"/>
        </w:rPr>
        <w:t></w:t>
      </w:r>
      <w:r>
        <w:rPr>
          <w:lang w:val="en-US"/>
        </w:rPr>
        <w:t> </w:t>
      </w:r>
      <w:r>
        <w:rPr>
          <w:rFonts w:hint="eastAsia"/>
          <w:i/>
          <w:lang w:val="en-US"/>
        </w:rPr>
        <w:t>h</w:t>
      </w:r>
      <w:r>
        <w:rPr>
          <w:lang w:val="en-US"/>
        </w:rPr>
        <w:t> </w:t>
      </w:r>
      <w:r>
        <w:rPr>
          <w:rFonts w:hint="eastAsia"/>
          <w:lang w:val="en-US"/>
        </w:rPr>
        <w:t>(0</w:t>
      </w:r>
      <w:r>
        <w:rPr>
          <w:lang w:val="en-US"/>
        </w:rPr>
        <w:t>.</w:t>
      </w:r>
      <w:r>
        <w:rPr>
          <w:rFonts w:hint="eastAsia"/>
          <w:lang w:val="en-US"/>
        </w:rPr>
        <w:t>3409</w:t>
      </w:r>
      <w:r>
        <w:rPr>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4368</w:t>
      </w:r>
      <w:r>
        <w:rPr>
          <w:lang w:val="en-US"/>
        </w:rPr>
        <w:t> </w:t>
      </w:r>
      <w:r>
        <w:sym w:font="Symbol" w:char="F071"/>
      </w:r>
      <w:r>
        <w:rPr>
          <w:rFonts w:hint="eastAsia"/>
          <w:lang w:val="en-US"/>
        </w:rPr>
        <w:t>)</w:t>
      </w:r>
      <w:r>
        <w:rPr>
          <w:lang w:val="en-US"/>
        </w:rPr>
        <w:t> </w:t>
      </w:r>
      <w:r>
        <w:rPr>
          <w:rFonts w:ascii="Symbol" w:hAnsi="Symbol"/>
          <w:lang w:val="es-ES"/>
        </w:rPr>
        <w:t></w:t>
      </w:r>
      <w:r>
        <w:rPr>
          <w:lang w:val="en-US"/>
        </w:rPr>
        <w:br/>
      </w:r>
      <w:r>
        <w:rPr>
          <w:lang w:val="en-US"/>
        </w:rPr>
        <w:tab/>
      </w:r>
      <w:r>
        <w:rPr>
          <w:lang w:val="en-US"/>
        </w:rPr>
        <w:tab/>
      </w:r>
      <w:r>
        <w:rPr>
          <w:rFonts w:hint="eastAsia"/>
          <w:i/>
          <w:lang w:val="en-US"/>
        </w:rPr>
        <w:t>h</w:t>
      </w:r>
      <w:r>
        <w:rPr>
          <w:rFonts w:hint="eastAsia"/>
          <w:vertAlign w:val="superscript"/>
          <w:lang w:val="en-US"/>
        </w:rPr>
        <w:t>2</w:t>
      </w:r>
      <w:r>
        <w:rPr>
          <w:lang w:val="en-US"/>
        </w:rPr>
        <w:t> </w:t>
      </w:r>
      <w:r>
        <w:rPr>
          <w:rFonts w:hint="eastAsia"/>
          <w:lang w:val="en-US"/>
        </w:rPr>
        <w:t>(0</w:t>
      </w:r>
      <w:r>
        <w:rPr>
          <w:lang w:val="en-US"/>
        </w:rPr>
        <w:t>.</w:t>
      </w:r>
      <w:r>
        <w:rPr>
          <w:rFonts w:hint="eastAsia"/>
          <w:lang w:val="en-US"/>
        </w:rPr>
        <w:t>1938</w:t>
      </w:r>
      <w:r>
        <w:rPr>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07732</w:t>
      </w:r>
      <w:r>
        <w:rPr>
          <w:lang w:val="en-US"/>
        </w:rPr>
        <w:t> </w:t>
      </w:r>
      <w:r>
        <w:sym w:font="Symbol" w:char="F071"/>
      </w:r>
      <w:r>
        <w:rPr>
          <w:rFonts w:hint="eastAsia"/>
          <w:lang w:val="en-US"/>
        </w:rPr>
        <w:t>)]</w:t>
      </w:r>
      <w:r>
        <w:rPr>
          <w:rFonts w:hint="eastAsia"/>
          <w:lang w:val="en-US"/>
        </w:rPr>
        <w:tab/>
        <w:t>(8a)</w:t>
      </w:r>
    </w:p>
    <w:p w:rsidR="00B9359B" w:rsidRDefault="009A5268">
      <w:pPr>
        <w:pStyle w:val="Equation"/>
        <w:tabs>
          <w:tab w:val="clear" w:pos="794"/>
          <w:tab w:val="clear" w:pos="4820"/>
          <w:tab w:val="left" w:pos="540"/>
          <w:tab w:val="left" w:pos="1652"/>
        </w:tabs>
        <w:jc w:val="left"/>
        <w:rPr>
          <w:lang w:val="en-US"/>
        </w:rPr>
      </w:pPr>
      <w:r>
        <w:rPr>
          <w:i/>
          <w:lang w:val="en-US"/>
        </w:rPr>
        <w:tab/>
      </w:r>
      <w:r>
        <w:rPr>
          <w:rFonts w:hint="eastAsia"/>
          <w:i/>
          <w:lang w:val="en-US"/>
        </w:rPr>
        <w:t>A</w:t>
      </w:r>
      <w:r>
        <w:rPr>
          <w:rFonts w:hint="eastAsia"/>
          <w:i/>
          <w:vertAlign w:val="subscript"/>
          <w:lang w:val="en-US"/>
        </w:rPr>
        <w:t>M</w:t>
      </w:r>
      <w:r>
        <w:rPr>
          <w:i/>
          <w:vertAlign w:val="subscript"/>
          <w:lang w:val="en-US"/>
        </w:rPr>
        <w:t> </w:t>
      </w:r>
      <w:r>
        <w:rPr>
          <w:rFonts w:hint="eastAsia"/>
          <w:lang w:val="en-US"/>
        </w:rPr>
        <w:t>(</w:t>
      </w:r>
      <w:r>
        <w:rPr>
          <w:rFonts w:hint="eastAsia"/>
          <w:i/>
          <w:lang w:val="en-US"/>
        </w:rPr>
        <w:t>h</w:t>
      </w:r>
      <w:r>
        <w:rPr>
          <w:rFonts w:hint="eastAsia"/>
          <w:lang w:val="en-US"/>
        </w:rPr>
        <w:t xml:space="preserve">, </w:t>
      </w:r>
      <w:r>
        <w:rPr>
          <w:rFonts w:ascii="Symbol" w:hAnsi="Symbol"/>
        </w:rPr>
        <w:sym w:font="Symbol" w:char="F071"/>
      </w:r>
      <w:r>
        <w:rPr>
          <w:rFonts w:hint="eastAsia"/>
          <w:lang w:val="en-US"/>
        </w:rPr>
        <w:t>)</w:t>
      </w:r>
      <w:r>
        <w:rPr>
          <w:lang w:val="en-US"/>
        </w:rPr>
        <w:t> </w:t>
      </w:r>
      <w:r>
        <w:rPr>
          <w:rFonts w:ascii="Symbol" w:hAnsi="Symbol"/>
          <w:lang w:val="es-ES"/>
        </w:rPr>
        <w:t></w:t>
      </w:r>
      <w:r>
        <w:rPr>
          <w:lang w:val="en-US"/>
        </w:rPr>
        <w:tab/>
      </w:r>
      <w:r>
        <w:rPr>
          <w:rFonts w:hint="eastAsia"/>
          <w:lang w:val="en-US"/>
        </w:rPr>
        <w:t>11</w:t>
      </w:r>
      <w:r>
        <w:rPr>
          <w:lang w:val="en-US"/>
        </w:rPr>
        <w:t>.</w:t>
      </w:r>
      <w:r>
        <w:rPr>
          <w:rFonts w:hint="eastAsia"/>
          <w:lang w:val="en-US"/>
        </w:rPr>
        <w:t>89</w:t>
      </w:r>
      <w:r>
        <w:rPr>
          <w:lang w:val="en-US"/>
        </w:rPr>
        <w:t> </w:t>
      </w:r>
      <w:r>
        <w:rPr>
          <w:rFonts w:hint="eastAsia"/>
          <w:lang w:val="en-US"/>
        </w:rPr>
        <w:t>/</w:t>
      </w:r>
      <w:r>
        <w:rPr>
          <w:lang w:val="en-US"/>
        </w:rPr>
        <w:t> </w:t>
      </w:r>
      <w:r>
        <w:rPr>
          <w:rFonts w:hint="eastAsia"/>
          <w:lang w:val="en-US"/>
        </w:rPr>
        <w:t>[1</w:t>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8124</w:t>
      </w:r>
      <w:r>
        <w:rPr>
          <w:lang w:val="en-US"/>
        </w:rPr>
        <w:t> </w:t>
      </w:r>
      <w:r>
        <w:sym w:font="Symbol" w:char="F071"/>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01982</w:t>
      </w:r>
      <w:r>
        <w:rPr>
          <w:lang w:val="en-US"/>
        </w:rPr>
        <w:t> </w:t>
      </w:r>
      <w:r>
        <w:sym w:font="Symbol" w:char="F071"/>
      </w:r>
      <w:r>
        <w:rPr>
          <w:rFonts w:hint="eastAsia"/>
          <w:vertAlign w:val="superscript"/>
          <w:lang w:val="en-US"/>
        </w:rPr>
        <w:t>2</w:t>
      </w:r>
      <w:r>
        <w:rPr>
          <w:lang w:val="en-US"/>
        </w:rPr>
        <w:t> </w:t>
      </w:r>
      <w:r>
        <w:rPr>
          <w:rFonts w:ascii="Symbol" w:hAnsi="Symbol"/>
          <w:lang w:val="en-US"/>
        </w:rPr>
        <w:t></w:t>
      </w:r>
      <w:r>
        <w:rPr>
          <w:lang w:val="en-US"/>
        </w:rPr>
        <w:t> </w:t>
      </w:r>
      <w:r>
        <w:rPr>
          <w:rFonts w:hint="eastAsia"/>
          <w:i/>
          <w:lang w:val="en-US"/>
        </w:rPr>
        <w:t>h</w:t>
      </w:r>
      <w:r>
        <w:rPr>
          <w:lang w:val="en-US"/>
        </w:rPr>
        <w:t> </w:t>
      </w:r>
      <w:r>
        <w:rPr>
          <w:rFonts w:hint="eastAsia"/>
          <w:lang w:val="en-US"/>
        </w:rPr>
        <w:t>(0</w:t>
      </w:r>
      <w:r>
        <w:rPr>
          <w:lang w:val="en-US"/>
        </w:rPr>
        <w:t>.</w:t>
      </w:r>
      <w:r>
        <w:rPr>
          <w:rFonts w:hint="eastAsia"/>
          <w:lang w:val="en-US"/>
        </w:rPr>
        <w:t>2738</w:t>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3876</w:t>
      </w:r>
      <w:r>
        <w:rPr>
          <w:lang w:val="en-US"/>
        </w:rPr>
        <w:t> </w:t>
      </w:r>
      <w:r>
        <w:sym w:font="Symbol" w:char="F071"/>
      </w:r>
      <w:r>
        <w:rPr>
          <w:rFonts w:hint="eastAsia"/>
          <w:lang w:val="en-US"/>
        </w:rPr>
        <w:t>)</w:t>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1181</w:t>
      </w:r>
      <w:r>
        <w:rPr>
          <w:lang w:val="en-US"/>
        </w:rPr>
        <w:t> </w:t>
      </w:r>
      <w:r>
        <w:rPr>
          <w:rFonts w:hint="eastAsia"/>
          <w:i/>
          <w:lang w:val="en-US"/>
        </w:rPr>
        <w:t>h</w:t>
      </w:r>
      <w:r>
        <w:rPr>
          <w:rFonts w:hint="eastAsia"/>
          <w:vertAlign w:val="superscript"/>
          <w:lang w:val="en-US"/>
        </w:rPr>
        <w:t>2</w:t>
      </w:r>
      <w:r>
        <w:rPr>
          <w:rFonts w:hint="eastAsia"/>
          <w:lang w:val="en-US"/>
        </w:rPr>
        <w:t>]</w:t>
      </w:r>
      <w:r>
        <w:rPr>
          <w:rFonts w:hint="eastAsia"/>
          <w:lang w:val="en-US"/>
        </w:rPr>
        <w:tab/>
        <w:t>(8b)</w:t>
      </w:r>
    </w:p>
    <w:p w:rsidR="00B9359B" w:rsidRDefault="009A5268">
      <w:pPr>
        <w:pStyle w:val="Equation"/>
        <w:tabs>
          <w:tab w:val="clear" w:pos="794"/>
          <w:tab w:val="clear" w:pos="4820"/>
          <w:tab w:val="left" w:pos="540"/>
          <w:tab w:val="left" w:pos="1652"/>
        </w:tabs>
        <w:jc w:val="left"/>
        <w:rPr>
          <w:lang w:val="en-US"/>
        </w:rPr>
      </w:pPr>
      <w:r>
        <w:rPr>
          <w:i/>
          <w:lang w:val="en-US"/>
        </w:rPr>
        <w:tab/>
      </w:r>
      <w:r>
        <w:rPr>
          <w:rFonts w:hint="eastAsia"/>
          <w:i/>
          <w:lang w:val="en-US"/>
        </w:rPr>
        <w:t>A</w:t>
      </w:r>
      <w:r>
        <w:rPr>
          <w:rFonts w:hint="eastAsia"/>
          <w:i/>
          <w:vertAlign w:val="subscript"/>
          <w:lang w:val="en-US"/>
        </w:rPr>
        <w:t>H</w:t>
      </w:r>
      <w:r>
        <w:rPr>
          <w:i/>
          <w:vertAlign w:val="subscript"/>
          <w:lang w:val="en-US"/>
        </w:rPr>
        <w:t> </w:t>
      </w:r>
      <w:r>
        <w:rPr>
          <w:rFonts w:hint="eastAsia"/>
          <w:lang w:val="en-US"/>
        </w:rPr>
        <w:t>(</w:t>
      </w:r>
      <w:r>
        <w:rPr>
          <w:rFonts w:hint="eastAsia"/>
          <w:i/>
          <w:lang w:val="en-US"/>
        </w:rPr>
        <w:t>h</w:t>
      </w:r>
      <w:r>
        <w:rPr>
          <w:rFonts w:hint="eastAsia"/>
          <w:lang w:val="en-US"/>
        </w:rPr>
        <w:t xml:space="preserve">, </w:t>
      </w:r>
      <w:r>
        <w:rPr>
          <w:rFonts w:ascii="Symbol" w:hAnsi="Symbol"/>
        </w:rPr>
        <w:sym w:font="Symbol" w:char="F071"/>
      </w:r>
      <w:r>
        <w:rPr>
          <w:rFonts w:hint="eastAsia"/>
          <w:lang w:val="en-US"/>
        </w:rPr>
        <w:t>)</w:t>
      </w:r>
      <w:r>
        <w:rPr>
          <w:lang w:val="en-US"/>
        </w:rPr>
        <w:t> </w:t>
      </w:r>
      <w:r>
        <w:rPr>
          <w:rFonts w:ascii="Symbol" w:hAnsi="Symbol"/>
          <w:lang w:val="es-ES"/>
        </w:rPr>
        <w:t></w:t>
      </w:r>
      <w:r>
        <w:rPr>
          <w:lang w:val="en-US"/>
        </w:rPr>
        <w:tab/>
      </w:r>
      <w:r>
        <w:rPr>
          <w:rFonts w:hint="eastAsia"/>
          <w:lang w:val="en-US"/>
        </w:rPr>
        <w:t>9</w:t>
      </w:r>
      <w:r>
        <w:rPr>
          <w:lang w:val="en-US"/>
        </w:rPr>
        <w:t>.</w:t>
      </w:r>
      <w:r>
        <w:rPr>
          <w:rFonts w:hint="eastAsia"/>
          <w:lang w:val="en-US"/>
        </w:rPr>
        <w:t>70</w:t>
      </w:r>
      <w:r>
        <w:rPr>
          <w:lang w:val="en-US"/>
        </w:rPr>
        <w:t> </w:t>
      </w:r>
      <w:r>
        <w:rPr>
          <w:rFonts w:hint="eastAsia"/>
          <w:lang w:val="en-US"/>
        </w:rPr>
        <w:t>/</w:t>
      </w:r>
      <w:r>
        <w:rPr>
          <w:lang w:val="en-US"/>
        </w:rPr>
        <w:t> </w:t>
      </w:r>
      <w:r>
        <w:rPr>
          <w:rFonts w:hint="eastAsia"/>
          <w:lang w:val="en-US"/>
        </w:rPr>
        <w:t>[1</w:t>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8149</w:t>
      </w:r>
      <w:r>
        <w:rPr>
          <w:lang w:val="en-US"/>
        </w:rPr>
        <w:t> </w:t>
      </w:r>
      <w:r>
        <w:sym w:font="Symbol" w:char="F071"/>
      </w:r>
      <w:r>
        <w:rPr>
          <w:lang w:val="en-US"/>
        </w:rPr>
        <w:t> </w:t>
      </w:r>
      <w:r>
        <w:rPr>
          <w:rFonts w:ascii="Symbol" w:hAnsi="Symbol"/>
          <w:lang w:val="en-US"/>
        </w:rPr>
        <w:t></w:t>
      </w:r>
      <w:r>
        <w:rPr>
          <w:lang w:val="en-US"/>
        </w:rPr>
        <w:t> </w:t>
      </w:r>
      <w:r>
        <w:rPr>
          <w:rFonts w:hint="eastAsia"/>
          <w:i/>
          <w:lang w:val="en-US"/>
        </w:rPr>
        <w:t>h</w:t>
      </w:r>
      <w:r>
        <w:rPr>
          <w:lang w:val="en-US"/>
        </w:rPr>
        <w:t> </w:t>
      </w:r>
      <w:r>
        <w:rPr>
          <w:rFonts w:hint="eastAsia"/>
          <w:lang w:val="en-US"/>
        </w:rPr>
        <w:t>(0</w:t>
      </w:r>
      <w:r>
        <w:rPr>
          <w:lang w:val="en-US"/>
        </w:rPr>
        <w:t>.</w:t>
      </w:r>
      <w:r>
        <w:rPr>
          <w:rFonts w:hint="eastAsia"/>
          <w:lang w:val="en-US"/>
        </w:rPr>
        <w:t>2388</w:t>
      </w:r>
      <w:r>
        <w:rPr>
          <w:rFonts w:hint="eastAsia"/>
          <w:i/>
          <w:lang w:val="en-US"/>
        </w:rPr>
        <w:t xml:space="preserve"> </w:t>
      </w:r>
      <w:r>
        <w:rPr>
          <w:rFonts w:ascii="Symbol" w:hAnsi="Symbol"/>
          <w:lang w:val="en-US"/>
        </w:rPr>
        <w:t></w:t>
      </w:r>
      <w:r>
        <w:rPr>
          <w:rFonts w:hint="eastAsia"/>
          <w:lang w:val="en-US"/>
        </w:rPr>
        <w:t xml:space="preserve"> 0</w:t>
      </w:r>
      <w:r>
        <w:rPr>
          <w:lang w:val="en-US"/>
        </w:rPr>
        <w:t>.</w:t>
      </w:r>
      <w:r>
        <w:rPr>
          <w:rFonts w:hint="eastAsia"/>
          <w:lang w:val="en-US"/>
        </w:rPr>
        <w:t>2699</w:t>
      </w:r>
      <w:r>
        <w:rPr>
          <w:lang w:val="en-US"/>
        </w:rPr>
        <w:t> </w:t>
      </w:r>
      <w:r>
        <w:sym w:font="Symbol" w:char="F071"/>
      </w:r>
      <w:r>
        <w:rPr>
          <w:rFonts w:hint="eastAsia"/>
          <w:lang w:val="en-US"/>
        </w:rPr>
        <w:t>)</w:t>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08830</w:t>
      </w:r>
      <w:r>
        <w:rPr>
          <w:lang w:val="en-US"/>
        </w:rPr>
        <w:t> </w:t>
      </w:r>
      <w:r>
        <w:rPr>
          <w:rFonts w:hint="eastAsia"/>
          <w:i/>
          <w:lang w:val="en-US"/>
        </w:rPr>
        <w:t>h</w:t>
      </w:r>
      <w:r>
        <w:rPr>
          <w:rFonts w:hint="eastAsia"/>
          <w:vertAlign w:val="superscript"/>
          <w:lang w:val="en-US"/>
        </w:rPr>
        <w:t>2</w:t>
      </w:r>
      <w:r>
        <w:rPr>
          <w:rFonts w:hint="eastAsia"/>
          <w:lang w:val="en-US"/>
        </w:rPr>
        <w:t>]</w:t>
      </w:r>
      <w:r>
        <w:rPr>
          <w:rFonts w:hint="eastAsia"/>
          <w:lang w:val="en-US"/>
        </w:rPr>
        <w:tab/>
        <w:t>(8c)</w:t>
      </w:r>
    </w:p>
    <w:p w:rsidR="00B9359B" w:rsidRDefault="009A5268">
      <w:pPr>
        <w:pStyle w:val="Headingb"/>
        <w:rPr>
          <w:lang w:val="en-US"/>
        </w:rPr>
      </w:pPr>
      <w:r>
        <w:rPr>
          <w:rFonts w:hint="eastAsia"/>
          <w:lang w:val="en-US"/>
        </w:rPr>
        <w:t>Frequency band 42.5-43.5 GHz</w:t>
      </w:r>
    </w:p>
    <w:p w:rsidR="00B9359B" w:rsidRPr="0027724D" w:rsidRDefault="009A5268">
      <w:pPr>
        <w:pStyle w:val="Equation"/>
        <w:tabs>
          <w:tab w:val="clear" w:pos="794"/>
          <w:tab w:val="clear" w:pos="4820"/>
          <w:tab w:val="left" w:pos="540"/>
          <w:tab w:val="left" w:pos="1652"/>
        </w:tabs>
        <w:jc w:val="left"/>
        <w:rPr>
          <w:lang w:val="en-US"/>
        </w:rPr>
      </w:pPr>
      <w:r>
        <w:rPr>
          <w:i/>
          <w:lang w:val="en-US"/>
        </w:rPr>
        <w:tab/>
      </w:r>
      <w:r w:rsidRPr="0027724D">
        <w:rPr>
          <w:rFonts w:hint="eastAsia"/>
          <w:i/>
          <w:lang w:val="en-US"/>
        </w:rPr>
        <w:t>A</w:t>
      </w:r>
      <w:r w:rsidRPr="0027724D">
        <w:rPr>
          <w:rFonts w:hint="eastAsia"/>
          <w:i/>
          <w:vertAlign w:val="subscript"/>
          <w:lang w:val="en-US"/>
        </w:rPr>
        <w:t>L</w:t>
      </w:r>
      <w:r w:rsidRPr="0027724D">
        <w:rPr>
          <w:i/>
          <w:vertAlign w:val="subscript"/>
          <w:lang w:val="en-US"/>
        </w:rPr>
        <w:t> </w:t>
      </w:r>
      <w:r w:rsidRPr="0027724D">
        <w:rPr>
          <w:rFonts w:hint="eastAsia"/>
          <w:lang w:val="en-US"/>
        </w:rPr>
        <w:t>(</w:t>
      </w:r>
      <w:r w:rsidRPr="0027724D">
        <w:rPr>
          <w:rFonts w:hint="eastAsia"/>
          <w:i/>
          <w:lang w:val="en-US"/>
        </w:rPr>
        <w:t>h</w:t>
      </w:r>
      <w:r w:rsidRPr="0027724D">
        <w:rPr>
          <w:rFonts w:hint="eastAsia"/>
          <w:lang w:val="en-US"/>
        </w:rPr>
        <w:t xml:space="preserve">, </w:t>
      </w:r>
      <w:r>
        <w:rPr>
          <w:rFonts w:ascii="Symbol" w:hAnsi="Symbol"/>
        </w:rPr>
        <w:sym w:font="Symbol" w:char="F071"/>
      </w:r>
      <w:r w:rsidRPr="0027724D">
        <w:rPr>
          <w:rFonts w:hint="eastAsia"/>
          <w:lang w:val="en-US"/>
        </w:rPr>
        <w:t>)</w:t>
      </w:r>
      <w:r w:rsidRPr="0027724D">
        <w:rPr>
          <w:lang w:val="en-US"/>
        </w:rPr>
        <w:t> </w:t>
      </w:r>
      <w:r>
        <w:rPr>
          <w:rFonts w:ascii="Symbol" w:hAnsi="Symbol"/>
          <w:lang w:val="es-ES"/>
        </w:rPr>
        <w:t></w:t>
      </w:r>
      <w:r w:rsidRPr="0027724D">
        <w:rPr>
          <w:lang w:val="en-US"/>
        </w:rPr>
        <w:tab/>
      </w:r>
      <w:r w:rsidRPr="0027724D">
        <w:rPr>
          <w:rFonts w:hint="eastAsia"/>
          <w:lang w:val="en-US"/>
        </w:rPr>
        <w:t>33</w:t>
      </w:r>
      <w:r w:rsidRPr="0027724D">
        <w:rPr>
          <w:lang w:val="en-US"/>
        </w:rPr>
        <w:t>.</w:t>
      </w:r>
      <w:r w:rsidRPr="0027724D">
        <w:rPr>
          <w:rFonts w:hint="eastAsia"/>
          <w:lang w:val="en-US"/>
        </w:rPr>
        <w:t>54</w:t>
      </w:r>
      <w:r w:rsidRPr="0027724D">
        <w:rPr>
          <w:lang w:val="en-US"/>
        </w:rPr>
        <w:t> </w:t>
      </w:r>
      <w:r w:rsidRPr="0027724D">
        <w:rPr>
          <w:rFonts w:hint="eastAsia"/>
          <w:lang w:val="en-US"/>
        </w:rPr>
        <w:t>/</w:t>
      </w:r>
      <w:r w:rsidRPr="0027724D">
        <w:rPr>
          <w:lang w:val="en-US"/>
        </w:rPr>
        <w:t> </w:t>
      </w:r>
      <w:r w:rsidRPr="0027724D">
        <w:rPr>
          <w:rFonts w:hint="eastAsia"/>
          <w:lang w:val="en-US"/>
        </w:rPr>
        <w:t>[1</w:t>
      </w:r>
      <w:r w:rsidRPr="0027724D">
        <w:rPr>
          <w:lang w:val="en-US"/>
        </w:rPr>
        <w:t> </w:t>
      </w:r>
      <w:r>
        <w:rPr>
          <w:rFonts w:ascii="Symbol" w:hAnsi="Symbol"/>
          <w:lang w:val="en-US"/>
        </w:rPr>
        <w:t></w:t>
      </w:r>
      <w:r w:rsidRPr="0027724D">
        <w:rPr>
          <w:lang w:val="en-US"/>
        </w:rPr>
        <w:t> </w:t>
      </w:r>
      <w:r w:rsidRPr="0027724D">
        <w:rPr>
          <w:rFonts w:hint="eastAsia"/>
          <w:lang w:val="en-US"/>
        </w:rPr>
        <w:t>0</w:t>
      </w:r>
      <w:r w:rsidRPr="0027724D">
        <w:rPr>
          <w:lang w:val="en-US"/>
        </w:rPr>
        <w:t>.</w:t>
      </w:r>
      <w:r w:rsidRPr="0027724D">
        <w:rPr>
          <w:rFonts w:hint="eastAsia"/>
          <w:lang w:val="en-US"/>
        </w:rPr>
        <w:t>7690</w:t>
      </w:r>
      <w:r w:rsidRPr="0027724D">
        <w:rPr>
          <w:lang w:val="en-US"/>
        </w:rPr>
        <w:t> </w:t>
      </w:r>
      <w:r>
        <w:sym w:font="Symbol" w:char="F071"/>
      </w:r>
      <w:r w:rsidRPr="0027724D">
        <w:rPr>
          <w:lang w:val="en-US"/>
        </w:rPr>
        <w:t> </w:t>
      </w:r>
      <w:r>
        <w:rPr>
          <w:rFonts w:ascii="Symbol" w:hAnsi="Symbol"/>
          <w:lang w:val="es-ES"/>
        </w:rPr>
        <w:t></w:t>
      </w:r>
      <w:r w:rsidRPr="0027724D">
        <w:rPr>
          <w:rFonts w:hint="eastAsia"/>
          <w:lang w:val="en-US"/>
        </w:rPr>
        <w:t xml:space="preserve"> 0</w:t>
      </w:r>
      <w:r w:rsidRPr="0027724D">
        <w:rPr>
          <w:lang w:val="en-US"/>
        </w:rPr>
        <w:t>.</w:t>
      </w:r>
      <w:r w:rsidRPr="0027724D">
        <w:rPr>
          <w:rFonts w:hint="eastAsia"/>
          <w:lang w:val="en-US"/>
        </w:rPr>
        <w:t>04472</w:t>
      </w:r>
      <w:r w:rsidRPr="0027724D">
        <w:rPr>
          <w:lang w:val="en-US"/>
        </w:rPr>
        <w:t> </w:t>
      </w:r>
      <w:r>
        <w:sym w:font="Symbol" w:char="F071"/>
      </w:r>
      <w:r w:rsidRPr="0027724D">
        <w:rPr>
          <w:rFonts w:hint="eastAsia"/>
          <w:vertAlign w:val="superscript"/>
          <w:lang w:val="en-US"/>
        </w:rPr>
        <w:t>2</w:t>
      </w:r>
      <w:r w:rsidRPr="0027724D">
        <w:rPr>
          <w:lang w:val="en-US"/>
        </w:rPr>
        <w:t> – </w:t>
      </w:r>
      <w:r w:rsidRPr="0027724D">
        <w:rPr>
          <w:rFonts w:hint="eastAsia"/>
          <w:lang w:val="en-US"/>
        </w:rPr>
        <w:t>0</w:t>
      </w:r>
      <w:r w:rsidRPr="0027724D">
        <w:rPr>
          <w:lang w:val="en-US"/>
        </w:rPr>
        <w:t>.</w:t>
      </w:r>
      <w:r w:rsidRPr="0027724D">
        <w:rPr>
          <w:rFonts w:hint="eastAsia"/>
          <w:lang w:val="en-US"/>
        </w:rPr>
        <w:t>001416</w:t>
      </w:r>
      <w:r w:rsidRPr="0027724D">
        <w:rPr>
          <w:lang w:val="en-US"/>
        </w:rPr>
        <w:t> </w:t>
      </w:r>
      <w:r>
        <w:sym w:font="Symbol" w:char="F071"/>
      </w:r>
      <w:r w:rsidRPr="0027724D">
        <w:rPr>
          <w:rFonts w:hint="eastAsia"/>
          <w:vertAlign w:val="superscript"/>
          <w:lang w:val="en-US"/>
        </w:rPr>
        <w:t>3</w:t>
      </w:r>
      <w:r>
        <w:rPr>
          <w:rFonts w:ascii="Symbol" w:hAnsi="Symbol"/>
          <w:lang w:val="es-ES"/>
        </w:rPr>
        <w:t></w:t>
      </w:r>
      <w:r w:rsidRPr="0027724D">
        <w:rPr>
          <w:rFonts w:hint="eastAsia"/>
          <w:lang w:val="en-US"/>
        </w:rPr>
        <w:t xml:space="preserve"> 0</w:t>
      </w:r>
      <w:r w:rsidRPr="0027724D">
        <w:rPr>
          <w:lang w:val="en-US"/>
        </w:rPr>
        <w:t>.</w:t>
      </w:r>
      <w:r w:rsidRPr="0027724D">
        <w:rPr>
          <w:rFonts w:hint="eastAsia"/>
          <w:lang w:val="en-US"/>
        </w:rPr>
        <w:t>1072</w:t>
      </w:r>
      <w:r w:rsidRPr="0027724D">
        <w:rPr>
          <w:lang w:val="en-US"/>
        </w:rPr>
        <w:t> </w:t>
      </w:r>
      <w:r>
        <w:rPr>
          <w:rFonts w:ascii="Symbol" w:hAnsi="Symbol"/>
          <w:lang w:val="es-ES"/>
        </w:rPr>
        <w:t></w:t>
      </w:r>
      <w:r w:rsidRPr="0027724D">
        <w:rPr>
          <w:lang w:val="en-US"/>
        </w:rPr>
        <w:t> </w:t>
      </w:r>
      <w:r w:rsidRPr="0027724D">
        <w:rPr>
          <w:rFonts w:hint="eastAsia"/>
          <w:lang w:val="en-US"/>
        </w:rPr>
        <w:t>10</w:t>
      </w:r>
      <w:r w:rsidRPr="0027724D">
        <w:rPr>
          <w:vertAlign w:val="superscript"/>
          <w:lang w:val="en-US"/>
        </w:rPr>
        <w:t>–</w:t>
      </w:r>
      <w:r w:rsidRPr="0027724D">
        <w:rPr>
          <w:sz w:val="4"/>
          <w:vertAlign w:val="superscript"/>
          <w:lang w:val="en-US"/>
        </w:rPr>
        <w:t xml:space="preserve"> </w:t>
      </w:r>
      <w:r w:rsidRPr="0027724D">
        <w:rPr>
          <w:rFonts w:hint="eastAsia"/>
          <w:vertAlign w:val="superscript"/>
          <w:lang w:val="en-US"/>
        </w:rPr>
        <w:t>4</w:t>
      </w:r>
      <w:r w:rsidRPr="0027724D">
        <w:rPr>
          <w:lang w:val="en-US"/>
        </w:rPr>
        <w:t> </w:t>
      </w:r>
      <w:r>
        <w:sym w:font="Symbol" w:char="F071"/>
      </w:r>
      <w:r w:rsidRPr="0027724D">
        <w:rPr>
          <w:rFonts w:hint="eastAsia"/>
          <w:vertAlign w:val="superscript"/>
          <w:lang w:val="en-US"/>
        </w:rPr>
        <w:t>4</w:t>
      </w:r>
      <w:r w:rsidRPr="0027724D">
        <w:rPr>
          <w:lang w:val="en-US"/>
        </w:rPr>
        <w:t> </w:t>
      </w:r>
      <w:r>
        <w:rPr>
          <w:rFonts w:ascii="Symbol" w:hAnsi="Symbol"/>
          <w:lang w:val="es-ES"/>
        </w:rPr>
        <w:t></w:t>
      </w:r>
      <w:r w:rsidRPr="0027724D">
        <w:rPr>
          <w:vertAlign w:val="superscript"/>
          <w:lang w:val="en-US"/>
        </w:rPr>
        <w:br/>
      </w:r>
      <w:r w:rsidRPr="0027724D">
        <w:rPr>
          <w:i/>
          <w:lang w:val="en-US"/>
        </w:rPr>
        <w:tab/>
      </w:r>
      <w:r w:rsidRPr="0027724D">
        <w:rPr>
          <w:i/>
          <w:lang w:val="en-US"/>
        </w:rPr>
        <w:tab/>
      </w:r>
      <w:r w:rsidRPr="0027724D">
        <w:rPr>
          <w:rFonts w:hint="eastAsia"/>
          <w:i/>
          <w:lang w:val="en-US"/>
        </w:rPr>
        <w:t>h</w:t>
      </w:r>
      <w:r w:rsidRPr="0027724D">
        <w:rPr>
          <w:lang w:val="en-US"/>
        </w:rPr>
        <w:t> </w:t>
      </w:r>
      <w:r w:rsidRPr="0027724D">
        <w:rPr>
          <w:rFonts w:hint="eastAsia"/>
          <w:lang w:val="en-US"/>
        </w:rPr>
        <w:t>(0</w:t>
      </w:r>
      <w:r w:rsidRPr="0027724D">
        <w:rPr>
          <w:lang w:val="en-US"/>
        </w:rPr>
        <w:t>.</w:t>
      </w:r>
      <w:r w:rsidRPr="0027724D">
        <w:rPr>
          <w:rFonts w:hint="eastAsia"/>
          <w:lang w:val="en-US"/>
        </w:rPr>
        <w:t>2675</w:t>
      </w:r>
      <w:r w:rsidRPr="0027724D">
        <w:rPr>
          <w:lang w:val="en-US"/>
        </w:rPr>
        <w:t> </w:t>
      </w:r>
      <w:r>
        <w:rPr>
          <w:rFonts w:ascii="Symbol" w:hAnsi="Symbol"/>
          <w:lang w:val="es-ES"/>
        </w:rPr>
        <w:t></w:t>
      </w:r>
      <w:r w:rsidRPr="0027724D">
        <w:rPr>
          <w:lang w:val="en-US"/>
        </w:rPr>
        <w:t> </w:t>
      </w:r>
      <w:r w:rsidRPr="0027724D">
        <w:rPr>
          <w:rFonts w:hint="eastAsia"/>
          <w:lang w:val="en-US"/>
        </w:rPr>
        <w:t>0</w:t>
      </w:r>
      <w:r w:rsidRPr="0027724D">
        <w:rPr>
          <w:lang w:val="en-US"/>
        </w:rPr>
        <w:t>.</w:t>
      </w:r>
      <w:r w:rsidRPr="0027724D">
        <w:rPr>
          <w:rFonts w:hint="eastAsia"/>
          <w:lang w:val="en-US"/>
        </w:rPr>
        <w:t>3897</w:t>
      </w:r>
      <w:r w:rsidRPr="0027724D">
        <w:rPr>
          <w:lang w:val="en-US"/>
        </w:rPr>
        <w:t> </w:t>
      </w:r>
      <w:r>
        <w:sym w:font="Symbol" w:char="F071"/>
      </w:r>
      <w:r w:rsidRPr="0027724D">
        <w:rPr>
          <w:rFonts w:hint="eastAsia"/>
          <w:lang w:val="en-US"/>
        </w:rPr>
        <w:t>)</w:t>
      </w:r>
      <w:r w:rsidRPr="0027724D">
        <w:rPr>
          <w:lang w:val="en-US"/>
        </w:rPr>
        <w:t> </w:t>
      </w:r>
      <w:r>
        <w:rPr>
          <w:rFonts w:ascii="Symbol" w:hAnsi="Symbol"/>
          <w:lang w:val="es-ES"/>
        </w:rPr>
        <w:t></w:t>
      </w:r>
      <w:r w:rsidRPr="0027724D">
        <w:rPr>
          <w:lang w:val="en-US"/>
        </w:rPr>
        <w:t> </w:t>
      </w:r>
      <w:r w:rsidRPr="0027724D">
        <w:rPr>
          <w:rFonts w:hint="eastAsia"/>
          <w:lang w:val="en-US"/>
        </w:rPr>
        <w:t>0</w:t>
      </w:r>
      <w:r w:rsidRPr="0027724D">
        <w:rPr>
          <w:lang w:val="en-US"/>
        </w:rPr>
        <w:t>.</w:t>
      </w:r>
      <w:r w:rsidRPr="0027724D">
        <w:rPr>
          <w:rFonts w:hint="eastAsia"/>
          <w:lang w:val="en-US"/>
        </w:rPr>
        <w:t>1253</w:t>
      </w:r>
      <w:r w:rsidRPr="0027724D">
        <w:rPr>
          <w:lang w:val="en-US"/>
        </w:rPr>
        <w:t> </w:t>
      </w:r>
      <w:r w:rsidRPr="0027724D">
        <w:rPr>
          <w:rFonts w:hint="eastAsia"/>
          <w:i/>
          <w:lang w:val="en-US"/>
        </w:rPr>
        <w:t>h</w:t>
      </w:r>
      <w:r w:rsidRPr="0027724D">
        <w:rPr>
          <w:rFonts w:hint="eastAsia"/>
          <w:vertAlign w:val="superscript"/>
          <w:lang w:val="en-US"/>
        </w:rPr>
        <w:t>2</w:t>
      </w:r>
      <w:r w:rsidRPr="0027724D">
        <w:rPr>
          <w:rFonts w:hint="eastAsia"/>
          <w:lang w:val="en-US"/>
        </w:rPr>
        <w:t>]</w:t>
      </w:r>
      <w:r w:rsidRPr="0027724D">
        <w:rPr>
          <w:rFonts w:hint="eastAsia"/>
          <w:lang w:val="en-US"/>
        </w:rPr>
        <w:tab/>
        <w:t>(9a)</w:t>
      </w:r>
    </w:p>
    <w:p w:rsidR="00B9359B" w:rsidRPr="0027724D" w:rsidRDefault="009A5268">
      <w:pPr>
        <w:pStyle w:val="Equation"/>
        <w:tabs>
          <w:tab w:val="clear" w:pos="794"/>
          <w:tab w:val="clear" w:pos="4820"/>
          <w:tab w:val="left" w:pos="540"/>
          <w:tab w:val="left" w:pos="1652"/>
        </w:tabs>
        <w:jc w:val="left"/>
        <w:rPr>
          <w:lang w:val="en-US"/>
        </w:rPr>
      </w:pPr>
      <w:r w:rsidRPr="0027724D">
        <w:rPr>
          <w:i/>
          <w:lang w:val="en-US"/>
        </w:rPr>
        <w:tab/>
      </w:r>
      <w:r w:rsidRPr="0027724D">
        <w:rPr>
          <w:rFonts w:hint="eastAsia"/>
          <w:i/>
          <w:lang w:val="en-US"/>
        </w:rPr>
        <w:t>A</w:t>
      </w:r>
      <w:r w:rsidRPr="0027724D">
        <w:rPr>
          <w:rFonts w:hint="eastAsia"/>
          <w:i/>
          <w:vertAlign w:val="subscript"/>
          <w:lang w:val="en-US"/>
        </w:rPr>
        <w:t>M</w:t>
      </w:r>
      <w:r w:rsidRPr="0027724D">
        <w:rPr>
          <w:i/>
          <w:vertAlign w:val="subscript"/>
          <w:lang w:val="en-US"/>
        </w:rPr>
        <w:t> </w:t>
      </w:r>
      <w:r w:rsidRPr="0027724D">
        <w:rPr>
          <w:rFonts w:hint="eastAsia"/>
          <w:lang w:val="en-US"/>
        </w:rPr>
        <w:t>(</w:t>
      </w:r>
      <w:r w:rsidRPr="0027724D">
        <w:rPr>
          <w:rFonts w:hint="eastAsia"/>
          <w:i/>
          <w:lang w:val="en-US"/>
        </w:rPr>
        <w:t>h</w:t>
      </w:r>
      <w:r w:rsidRPr="0027724D">
        <w:rPr>
          <w:rFonts w:hint="eastAsia"/>
          <w:lang w:val="en-US"/>
        </w:rPr>
        <w:t xml:space="preserve">, </w:t>
      </w:r>
      <w:r>
        <w:rPr>
          <w:rFonts w:ascii="Symbol" w:hAnsi="Symbol"/>
        </w:rPr>
        <w:sym w:font="Symbol" w:char="F071"/>
      </w:r>
      <w:r w:rsidRPr="0027724D">
        <w:rPr>
          <w:rFonts w:hint="eastAsia"/>
          <w:lang w:val="en-US"/>
        </w:rPr>
        <w:t>)</w:t>
      </w:r>
      <w:r w:rsidRPr="0027724D">
        <w:rPr>
          <w:lang w:val="en-US"/>
        </w:rPr>
        <w:t> </w:t>
      </w:r>
      <w:r>
        <w:rPr>
          <w:rFonts w:ascii="Symbol" w:hAnsi="Symbol"/>
          <w:lang w:val="es-ES"/>
        </w:rPr>
        <w:t></w:t>
      </w:r>
      <w:r w:rsidRPr="0027724D">
        <w:rPr>
          <w:lang w:val="en-US"/>
        </w:rPr>
        <w:t> </w:t>
      </w:r>
      <w:r w:rsidRPr="0027724D">
        <w:rPr>
          <w:rFonts w:hint="eastAsia"/>
          <w:lang w:val="en-US"/>
        </w:rPr>
        <w:t>26</w:t>
      </w:r>
      <w:r w:rsidRPr="0027724D">
        <w:rPr>
          <w:lang w:val="en-US"/>
        </w:rPr>
        <w:t>.</w:t>
      </w:r>
      <w:r w:rsidRPr="0027724D">
        <w:rPr>
          <w:rFonts w:hint="eastAsia"/>
          <w:lang w:val="en-US"/>
        </w:rPr>
        <w:t>58</w:t>
      </w:r>
      <w:r w:rsidRPr="0027724D">
        <w:rPr>
          <w:lang w:val="en-US"/>
        </w:rPr>
        <w:t> </w:t>
      </w:r>
      <w:r w:rsidRPr="0027724D">
        <w:rPr>
          <w:rFonts w:hint="eastAsia"/>
          <w:lang w:val="en-US"/>
        </w:rPr>
        <w:t>/</w:t>
      </w:r>
      <w:r w:rsidRPr="0027724D">
        <w:rPr>
          <w:lang w:val="en-US"/>
        </w:rPr>
        <w:t> </w:t>
      </w:r>
      <w:r w:rsidRPr="0027724D">
        <w:rPr>
          <w:rFonts w:hint="eastAsia"/>
          <w:lang w:val="en-US"/>
        </w:rPr>
        <w:t>[1</w:t>
      </w:r>
      <w:r w:rsidRPr="0027724D">
        <w:rPr>
          <w:lang w:val="en-US"/>
        </w:rPr>
        <w:t> </w:t>
      </w:r>
      <w:r>
        <w:rPr>
          <w:rFonts w:ascii="Symbol" w:hAnsi="Symbol"/>
          <w:lang w:val="en-US"/>
        </w:rPr>
        <w:t></w:t>
      </w:r>
      <w:r w:rsidRPr="0027724D">
        <w:rPr>
          <w:lang w:val="en-US"/>
        </w:rPr>
        <w:t> </w:t>
      </w:r>
      <w:r w:rsidRPr="0027724D">
        <w:rPr>
          <w:rFonts w:hint="eastAsia"/>
          <w:lang w:val="en-US"/>
        </w:rPr>
        <w:t>0</w:t>
      </w:r>
      <w:r w:rsidRPr="0027724D">
        <w:rPr>
          <w:lang w:val="en-US"/>
        </w:rPr>
        <w:t>.</w:t>
      </w:r>
      <w:r w:rsidRPr="0027724D">
        <w:rPr>
          <w:rFonts w:hint="eastAsia"/>
          <w:lang w:val="en-US"/>
        </w:rPr>
        <w:t>6859</w:t>
      </w:r>
      <w:r w:rsidRPr="0027724D">
        <w:rPr>
          <w:lang w:val="en-US"/>
        </w:rPr>
        <w:t> </w:t>
      </w:r>
      <w:r>
        <w:sym w:font="Symbol" w:char="F071"/>
      </w:r>
      <w:r w:rsidRPr="0027724D">
        <w:rPr>
          <w:lang w:val="en-US"/>
        </w:rPr>
        <w:t> </w:t>
      </w:r>
      <w:r>
        <w:rPr>
          <w:rFonts w:ascii="Symbol" w:hAnsi="Symbol"/>
          <w:lang w:val="en-US"/>
        </w:rPr>
        <w:t></w:t>
      </w:r>
      <w:r w:rsidRPr="0027724D">
        <w:rPr>
          <w:lang w:val="en-US"/>
        </w:rPr>
        <w:t> </w:t>
      </w:r>
      <w:r w:rsidRPr="0027724D">
        <w:rPr>
          <w:rFonts w:hint="eastAsia"/>
          <w:lang w:val="en-US"/>
        </w:rPr>
        <w:t>0</w:t>
      </w:r>
      <w:r w:rsidRPr="0027724D">
        <w:rPr>
          <w:lang w:val="en-US"/>
        </w:rPr>
        <w:t>.</w:t>
      </w:r>
      <w:r w:rsidRPr="0027724D">
        <w:rPr>
          <w:rFonts w:hint="eastAsia"/>
          <w:lang w:val="en-US"/>
        </w:rPr>
        <w:t>04579</w:t>
      </w:r>
      <w:r w:rsidRPr="0027724D">
        <w:rPr>
          <w:lang w:val="en-US"/>
        </w:rPr>
        <w:t> </w:t>
      </w:r>
      <w:r>
        <w:sym w:font="Symbol" w:char="F071"/>
      </w:r>
      <w:r w:rsidRPr="0027724D">
        <w:rPr>
          <w:rFonts w:hint="eastAsia"/>
          <w:vertAlign w:val="superscript"/>
          <w:lang w:val="en-US"/>
        </w:rPr>
        <w:t>2</w:t>
      </w:r>
      <w:r w:rsidRPr="0027724D">
        <w:rPr>
          <w:lang w:val="en-US"/>
        </w:rPr>
        <w:t> – </w:t>
      </w:r>
      <w:r w:rsidRPr="0027724D">
        <w:rPr>
          <w:rFonts w:hint="eastAsia"/>
          <w:lang w:val="en-US"/>
        </w:rPr>
        <w:t>0</w:t>
      </w:r>
      <w:r w:rsidRPr="0027724D">
        <w:rPr>
          <w:lang w:val="en-US"/>
        </w:rPr>
        <w:t>.</w:t>
      </w:r>
      <w:r w:rsidRPr="0027724D">
        <w:rPr>
          <w:rFonts w:hint="eastAsia"/>
          <w:lang w:val="en-US"/>
        </w:rPr>
        <w:t>001451</w:t>
      </w:r>
      <w:r w:rsidRPr="0027724D">
        <w:rPr>
          <w:lang w:val="en-US"/>
        </w:rPr>
        <w:t> </w:t>
      </w:r>
      <w:r>
        <w:sym w:font="Symbol" w:char="F071"/>
      </w:r>
      <w:r w:rsidRPr="0027724D">
        <w:rPr>
          <w:rFonts w:hint="eastAsia"/>
          <w:vertAlign w:val="superscript"/>
          <w:lang w:val="en-US"/>
        </w:rPr>
        <w:t>3</w:t>
      </w:r>
      <w:r w:rsidRPr="0027724D">
        <w:rPr>
          <w:lang w:val="en-US"/>
        </w:rPr>
        <w:t> </w:t>
      </w:r>
      <w:r>
        <w:rPr>
          <w:rFonts w:ascii="Symbol" w:hAnsi="Symbol"/>
          <w:lang w:val="en-US"/>
        </w:rPr>
        <w:t></w:t>
      </w:r>
      <w:r w:rsidRPr="0027724D">
        <w:rPr>
          <w:lang w:val="en-US"/>
        </w:rPr>
        <w:t> </w:t>
      </w:r>
      <w:r w:rsidRPr="0027724D">
        <w:rPr>
          <w:rFonts w:hint="eastAsia"/>
          <w:lang w:val="en-US"/>
        </w:rPr>
        <w:t>0</w:t>
      </w:r>
      <w:r w:rsidRPr="0027724D">
        <w:rPr>
          <w:lang w:val="en-US"/>
        </w:rPr>
        <w:t>.</w:t>
      </w:r>
      <w:r w:rsidRPr="0027724D">
        <w:rPr>
          <w:rFonts w:hint="eastAsia"/>
          <w:lang w:val="en-US"/>
        </w:rPr>
        <w:t>1108</w:t>
      </w:r>
      <w:r w:rsidRPr="0027724D">
        <w:rPr>
          <w:lang w:val="en-US"/>
        </w:rPr>
        <w:t> </w:t>
      </w:r>
      <w:r>
        <w:rPr>
          <w:rFonts w:ascii="Symbol" w:hAnsi="Symbol"/>
          <w:lang w:val="es-ES"/>
        </w:rPr>
        <w:t></w:t>
      </w:r>
      <w:r w:rsidRPr="0027724D">
        <w:rPr>
          <w:lang w:val="en-US"/>
        </w:rPr>
        <w:t> </w:t>
      </w:r>
      <w:r w:rsidRPr="0027724D">
        <w:rPr>
          <w:rFonts w:hint="eastAsia"/>
          <w:lang w:val="en-US"/>
        </w:rPr>
        <w:t>10</w:t>
      </w:r>
      <w:r w:rsidRPr="0027724D">
        <w:rPr>
          <w:vertAlign w:val="superscript"/>
          <w:lang w:val="en-US"/>
        </w:rPr>
        <w:t>–</w:t>
      </w:r>
      <w:r w:rsidRPr="0027724D">
        <w:rPr>
          <w:sz w:val="4"/>
          <w:vertAlign w:val="superscript"/>
          <w:lang w:val="en-US"/>
        </w:rPr>
        <w:t xml:space="preserve"> </w:t>
      </w:r>
      <w:r w:rsidRPr="0027724D">
        <w:rPr>
          <w:rFonts w:hint="eastAsia"/>
          <w:vertAlign w:val="superscript"/>
          <w:lang w:val="en-US"/>
        </w:rPr>
        <w:t>4</w:t>
      </w:r>
      <w:r w:rsidRPr="0027724D">
        <w:rPr>
          <w:lang w:val="en-US"/>
        </w:rPr>
        <w:t> </w:t>
      </w:r>
      <w:r>
        <w:sym w:font="Symbol" w:char="F071"/>
      </w:r>
      <w:r w:rsidRPr="0027724D">
        <w:rPr>
          <w:rFonts w:hint="eastAsia"/>
          <w:vertAlign w:val="superscript"/>
          <w:lang w:val="en-US"/>
        </w:rPr>
        <w:t>4</w:t>
      </w:r>
      <w:r w:rsidRPr="0027724D">
        <w:rPr>
          <w:vertAlign w:val="superscript"/>
          <w:lang w:val="en-US"/>
        </w:rPr>
        <w:t> </w:t>
      </w:r>
      <w:r>
        <w:rPr>
          <w:rFonts w:ascii="Symbol" w:hAnsi="Symbol"/>
          <w:lang w:val="en-US"/>
        </w:rPr>
        <w:t></w:t>
      </w:r>
      <w:r w:rsidRPr="0027724D">
        <w:rPr>
          <w:vertAlign w:val="superscript"/>
          <w:lang w:val="en-US"/>
        </w:rPr>
        <w:br/>
      </w:r>
      <w:r w:rsidRPr="0027724D">
        <w:rPr>
          <w:lang w:val="en-US"/>
        </w:rPr>
        <w:tab/>
      </w:r>
      <w:r w:rsidRPr="0027724D">
        <w:rPr>
          <w:lang w:val="en-US"/>
        </w:rPr>
        <w:tab/>
      </w:r>
      <w:r w:rsidRPr="0027724D">
        <w:rPr>
          <w:rFonts w:hint="eastAsia"/>
          <w:i/>
          <w:lang w:val="en-US"/>
        </w:rPr>
        <w:t>h</w:t>
      </w:r>
      <w:r w:rsidRPr="0027724D">
        <w:rPr>
          <w:lang w:val="en-US"/>
        </w:rPr>
        <w:t> </w:t>
      </w:r>
      <w:r w:rsidRPr="0027724D">
        <w:rPr>
          <w:rFonts w:hint="eastAsia"/>
          <w:lang w:val="en-US"/>
        </w:rPr>
        <w:t>(0</w:t>
      </w:r>
      <w:r w:rsidRPr="0027724D">
        <w:rPr>
          <w:lang w:val="en-US"/>
        </w:rPr>
        <w:t>.</w:t>
      </w:r>
      <w:r w:rsidRPr="0027724D">
        <w:rPr>
          <w:rFonts w:hint="eastAsia"/>
          <w:lang w:val="en-US"/>
        </w:rPr>
        <w:t>2418</w:t>
      </w:r>
      <w:r w:rsidRPr="0027724D">
        <w:rPr>
          <w:lang w:val="en-US"/>
        </w:rPr>
        <w:t> </w:t>
      </w:r>
      <w:r>
        <w:rPr>
          <w:rFonts w:ascii="Symbol" w:hAnsi="Symbol"/>
          <w:lang w:val="en-US"/>
        </w:rPr>
        <w:t></w:t>
      </w:r>
      <w:r w:rsidRPr="0027724D">
        <w:rPr>
          <w:lang w:val="en-US"/>
        </w:rPr>
        <w:t> </w:t>
      </w:r>
      <w:r w:rsidRPr="0027724D">
        <w:rPr>
          <w:rFonts w:hint="eastAsia"/>
          <w:lang w:val="en-US"/>
        </w:rPr>
        <w:t>0</w:t>
      </w:r>
      <w:r w:rsidRPr="0027724D">
        <w:rPr>
          <w:lang w:val="en-US"/>
        </w:rPr>
        <w:t>.</w:t>
      </w:r>
      <w:r w:rsidRPr="0027724D">
        <w:rPr>
          <w:rFonts w:hint="eastAsia"/>
          <w:lang w:val="en-US"/>
        </w:rPr>
        <w:t>3068</w:t>
      </w:r>
      <w:r w:rsidRPr="0027724D">
        <w:rPr>
          <w:lang w:val="en-US"/>
        </w:rPr>
        <w:t> </w:t>
      </w:r>
      <w:r>
        <w:sym w:font="Symbol" w:char="F071"/>
      </w:r>
      <w:r w:rsidRPr="0027724D">
        <w:rPr>
          <w:rFonts w:hint="eastAsia"/>
          <w:lang w:val="en-US"/>
        </w:rPr>
        <w:t>)</w:t>
      </w:r>
      <w:r w:rsidRPr="0027724D">
        <w:rPr>
          <w:lang w:val="en-US"/>
        </w:rPr>
        <w:t> </w:t>
      </w:r>
      <w:r>
        <w:rPr>
          <w:rFonts w:ascii="Symbol" w:hAnsi="Symbol"/>
          <w:lang w:val="en-US"/>
        </w:rPr>
        <w:t></w:t>
      </w:r>
      <w:r w:rsidRPr="0027724D">
        <w:rPr>
          <w:lang w:val="en-US"/>
        </w:rPr>
        <w:t> </w:t>
      </w:r>
      <w:r w:rsidRPr="0027724D">
        <w:rPr>
          <w:rFonts w:hint="eastAsia"/>
          <w:lang w:val="en-US"/>
        </w:rPr>
        <w:t>0</w:t>
      </w:r>
      <w:r w:rsidRPr="0027724D">
        <w:rPr>
          <w:lang w:val="en-US"/>
        </w:rPr>
        <w:t>.</w:t>
      </w:r>
      <w:r w:rsidRPr="0027724D">
        <w:rPr>
          <w:rFonts w:hint="eastAsia"/>
          <w:lang w:val="en-US"/>
        </w:rPr>
        <w:t>07381</w:t>
      </w:r>
      <w:r w:rsidRPr="0027724D">
        <w:rPr>
          <w:lang w:val="en-US"/>
        </w:rPr>
        <w:t> </w:t>
      </w:r>
      <w:r w:rsidRPr="0027724D">
        <w:rPr>
          <w:rFonts w:hint="eastAsia"/>
          <w:i/>
          <w:lang w:val="en-US"/>
        </w:rPr>
        <w:t>h</w:t>
      </w:r>
      <w:r w:rsidRPr="0027724D">
        <w:rPr>
          <w:rFonts w:hint="eastAsia"/>
          <w:vertAlign w:val="superscript"/>
          <w:lang w:val="en-US"/>
        </w:rPr>
        <w:t>2</w:t>
      </w:r>
      <w:r w:rsidRPr="0027724D">
        <w:rPr>
          <w:rFonts w:hint="eastAsia"/>
          <w:lang w:val="en-US"/>
        </w:rPr>
        <w:t>]</w:t>
      </w:r>
      <w:r w:rsidRPr="0027724D">
        <w:rPr>
          <w:rFonts w:hint="eastAsia"/>
          <w:lang w:val="en-US"/>
        </w:rPr>
        <w:tab/>
        <w:t>(9b)</w:t>
      </w:r>
    </w:p>
    <w:p w:rsidR="00B9359B" w:rsidRPr="0027724D" w:rsidRDefault="009A5268">
      <w:pPr>
        <w:pStyle w:val="Equation"/>
        <w:tabs>
          <w:tab w:val="clear" w:pos="794"/>
          <w:tab w:val="clear" w:pos="4820"/>
          <w:tab w:val="left" w:pos="540"/>
          <w:tab w:val="left" w:pos="1652"/>
        </w:tabs>
        <w:jc w:val="left"/>
        <w:rPr>
          <w:lang w:val="en-US"/>
        </w:rPr>
      </w:pPr>
      <w:r w:rsidRPr="0027724D">
        <w:rPr>
          <w:i/>
          <w:lang w:val="en-US"/>
        </w:rPr>
        <w:tab/>
      </w:r>
      <w:r w:rsidRPr="0027724D">
        <w:rPr>
          <w:rFonts w:hint="eastAsia"/>
          <w:i/>
          <w:lang w:val="en-US"/>
        </w:rPr>
        <w:t>A</w:t>
      </w:r>
      <w:r w:rsidRPr="0027724D">
        <w:rPr>
          <w:rFonts w:hint="eastAsia"/>
          <w:i/>
          <w:vertAlign w:val="subscript"/>
          <w:lang w:val="en-US"/>
        </w:rPr>
        <w:t>H</w:t>
      </w:r>
      <w:r w:rsidRPr="0027724D">
        <w:rPr>
          <w:i/>
          <w:vertAlign w:val="subscript"/>
          <w:lang w:val="en-US"/>
        </w:rPr>
        <w:t> </w:t>
      </w:r>
      <w:r w:rsidRPr="0027724D">
        <w:rPr>
          <w:rFonts w:hint="eastAsia"/>
          <w:lang w:val="en-US"/>
        </w:rPr>
        <w:t>(</w:t>
      </w:r>
      <w:r w:rsidRPr="0027724D">
        <w:rPr>
          <w:rFonts w:hint="eastAsia"/>
          <w:i/>
          <w:lang w:val="en-US"/>
        </w:rPr>
        <w:t>h</w:t>
      </w:r>
      <w:r w:rsidRPr="0027724D">
        <w:rPr>
          <w:rFonts w:hint="eastAsia"/>
          <w:lang w:val="en-US"/>
        </w:rPr>
        <w:t xml:space="preserve">, </w:t>
      </w:r>
      <w:r>
        <w:rPr>
          <w:rFonts w:ascii="Symbol" w:hAnsi="Symbol"/>
        </w:rPr>
        <w:sym w:font="Symbol" w:char="F071"/>
      </w:r>
      <w:r w:rsidRPr="0027724D">
        <w:rPr>
          <w:rFonts w:hint="eastAsia"/>
          <w:lang w:val="en-US"/>
        </w:rPr>
        <w:t>)</w:t>
      </w:r>
      <w:r w:rsidRPr="0027724D">
        <w:rPr>
          <w:lang w:val="en-US"/>
        </w:rPr>
        <w:t> </w:t>
      </w:r>
      <w:r>
        <w:rPr>
          <w:rFonts w:ascii="Symbol" w:hAnsi="Symbol"/>
          <w:lang w:val="es-ES"/>
        </w:rPr>
        <w:t></w:t>
      </w:r>
      <w:r w:rsidRPr="0027724D">
        <w:rPr>
          <w:lang w:val="en-US"/>
        </w:rPr>
        <w:tab/>
      </w:r>
      <w:r w:rsidRPr="0027724D">
        <w:rPr>
          <w:rFonts w:hint="eastAsia"/>
          <w:lang w:val="en-US"/>
        </w:rPr>
        <w:t>25</w:t>
      </w:r>
      <w:r w:rsidRPr="0027724D">
        <w:rPr>
          <w:lang w:val="en-US"/>
        </w:rPr>
        <w:t>.</w:t>
      </w:r>
      <w:r w:rsidRPr="0027724D">
        <w:rPr>
          <w:rFonts w:hint="eastAsia"/>
          <w:lang w:val="en-US"/>
        </w:rPr>
        <w:t>01</w:t>
      </w:r>
      <w:r w:rsidRPr="0027724D">
        <w:rPr>
          <w:lang w:val="en-US"/>
        </w:rPr>
        <w:t> </w:t>
      </w:r>
      <w:r w:rsidRPr="0027724D">
        <w:rPr>
          <w:rFonts w:hint="eastAsia"/>
          <w:lang w:val="en-US"/>
        </w:rPr>
        <w:t>/</w:t>
      </w:r>
      <w:r w:rsidRPr="0027724D">
        <w:rPr>
          <w:lang w:val="en-US"/>
        </w:rPr>
        <w:t> </w:t>
      </w:r>
      <w:r w:rsidRPr="0027724D">
        <w:rPr>
          <w:rFonts w:hint="eastAsia"/>
          <w:lang w:val="en-US"/>
        </w:rPr>
        <w:t>[1</w:t>
      </w:r>
      <w:r w:rsidRPr="0027724D">
        <w:rPr>
          <w:lang w:val="en-US"/>
        </w:rPr>
        <w:t> </w:t>
      </w:r>
      <w:r>
        <w:rPr>
          <w:rFonts w:ascii="Symbol" w:hAnsi="Symbol"/>
          <w:lang w:val="en-US"/>
        </w:rPr>
        <w:t></w:t>
      </w:r>
      <w:r w:rsidRPr="0027724D">
        <w:rPr>
          <w:lang w:val="en-US"/>
        </w:rPr>
        <w:t> </w:t>
      </w:r>
      <w:r w:rsidRPr="0027724D">
        <w:rPr>
          <w:rFonts w:hint="eastAsia"/>
          <w:lang w:val="en-US"/>
        </w:rPr>
        <w:t>0</w:t>
      </w:r>
      <w:r w:rsidRPr="0027724D">
        <w:rPr>
          <w:lang w:val="en-US"/>
        </w:rPr>
        <w:t>.</w:t>
      </w:r>
      <w:r w:rsidRPr="0027724D">
        <w:rPr>
          <w:rFonts w:hint="eastAsia"/>
          <w:lang w:val="en-US"/>
        </w:rPr>
        <w:t>6552</w:t>
      </w:r>
      <w:r w:rsidRPr="0027724D">
        <w:rPr>
          <w:lang w:val="en-US"/>
        </w:rPr>
        <w:t> </w:t>
      </w:r>
      <w:r>
        <w:sym w:font="Symbol" w:char="F071"/>
      </w:r>
      <w:r w:rsidRPr="0027724D">
        <w:rPr>
          <w:lang w:val="en-US"/>
        </w:rPr>
        <w:t> </w:t>
      </w:r>
      <w:r>
        <w:rPr>
          <w:rFonts w:ascii="Symbol" w:hAnsi="Symbol"/>
          <w:lang w:val="en-US"/>
        </w:rPr>
        <w:t></w:t>
      </w:r>
      <w:r w:rsidRPr="0027724D">
        <w:rPr>
          <w:lang w:val="en-US"/>
        </w:rPr>
        <w:t> </w:t>
      </w:r>
      <w:r w:rsidRPr="0027724D">
        <w:rPr>
          <w:rFonts w:hint="eastAsia"/>
          <w:lang w:val="en-US"/>
        </w:rPr>
        <w:t>0</w:t>
      </w:r>
      <w:r w:rsidRPr="0027724D">
        <w:rPr>
          <w:lang w:val="en-US"/>
        </w:rPr>
        <w:t>.</w:t>
      </w:r>
      <w:r w:rsidRPr="0027724D">
        <w:rPr>
          <w:rFonts w:hint="eastAsia"/>
          <w:lang w:val="en-US"/>
        </w:rPr>
        <w:t>04585</w:t>
      </w:r>
      <w:r w:rsidRPr="0027724D">
        <w:rPr>
          <w:lang w:val="en-US"/>
        </w:rPr>
        <w:t> </w:t>
      </w:r>
      <w:r>
        <w:sym w:font="Symbol" w:char="F071"/>
      </w:r>
      <w:r w:rsidRPr="0027724D">
        <w:rPr>
          <w:rFonts w:hint="eastAsia"/>
          <w:vertAlign w:val="superscript"/>
          <w:lang w:val="en-US"/>
        </w:rPr>
        <w:t>2</w:t>
      </w:r>
      <w:r w:rsidRPr="0027724D">
        <w:rPr>
          <w:lang w:val="en-US"/>
        </w:rPr>
        <w:t> – </w:t>
      </w:r>
      <w:r w:rsidRPr="0027724D">
        <w:rPr>
          <w:rFonts w:hint="eastAsia"/>
          <w:lang w:val="en-US"/>
        </w:rPr>
        <w:t>0</w:t>
      </w:r>
      <w:r w:rsidRPr="0027724D">
        <w:rPr>
          <w:lang w:val="en-US"/>
        </w:rPr>
        <w:t>.</w:t>
      </w:r>
      <w:r w:rsidRPr="0027724D">
        <w:rPr>
          <w:rFonts w:hint="eastAsia"/>
          <w:lang w:val="en-US"/>
        </w:rPr>
        <w:t>001450</w:t>
      </w:r>
      <w:r w:rsidRPr="0027724D">
        <w:rPr>
          <w:lang w:val="en-US"/>
        </w:rPr>
        <w:t> </w:t>
      </w:r>
      <w:r>
        <w:sym w:font="Symbol" w:char="F071"/>
      </w:r>
      <w:r w:rsidRPr="0027724D">
        <w:rPr>
          <w:rFonts w:hint="eastAsia"/>
          <w:vertAlign w:val="superscript"/>
          <w:lang w:val="en-US"/>
        </w:rPr>
        <w:t>3</w:t>
      </w:r>
      <w:r w:rsidRPr="0027724D">
        <w:rPr>
          <w:rFonts w:hint="eastAsia"/>
          <w:i/>
          <w:lang w:val="en-US"/>
        </w:rPr>
        <w:t xml:space="preserve"> </w:t>
      </w:r>
      <w:r>
        <w:rPr>
          <w:rFonts w:ascii="Symbol" w:hAnsi="Symbol"/>
          <w:lang w:val="en-US"/>
        </w:rPr>
        <w:t></w:t>
      </w:r>
      <w:r w:rsidRPr="0027724D">
        <w:rPr>
          <w:rFonts w:hint="eastAsia"/>
          <w:lang w:val="en-US"/>
        </w:rPr>
        <w:t xml:space="preserve"> 0</w:t>
      </w:r>
      <w:r w:rsidRPr="0027724D">
        <w:rPr>
          <w:lang w:val="en-US"/>
        </w:rPr>
        <w:t>.</w:t>
      </w:r>
      <w:r w:rsidRPr="0027724D">
        <w:rPr>
          <w:rFonts w:hint="eastAsia"/>
          <w:lang w:val="en-US"/>
        </w:rPr>
        <w:t>1109</w:t>
      </w:r>
      <w:r w:rsidRPr="0027724D">
        <w:rPr>
          <w:lang w:val="en-US"/>
        </w:rPr>
        <w:t> </w:t>
      </w:r>
      <w:r>
        <w:rPr>
          <w:rFonts w:ascii="Symbol" w:hAnsi="Symbol"/>
          <w:lang w:val="es-ES"/>
        </w:rPr>
        <w:t></w:t>
      </w:r>
      <w:r w:rsidRPr="0027724D">
        <w:rPr>
          <w:lang w:val="en-US"/>
        </w:rPr>
        <w:t> </w:t>
      </w:r>
      <w:r w:rsidRPr="0027724D">
        <w:rPr>
          <w:rFonts w:hint="eastAsia"/>
          <w:lang w:val="en-US"/>
        </w:rPr>
        <w:t>10</w:t>
      </w:r>
      <w:r w:rsidRPr="0027724D">
        <w:rPr>
          <w:vertAlign w:val="superscript"/>
          <w:lang w:val="en-US"/>
        </w:rPr>
        <w:t>–</w:t>
      </w:r>
      <w:r w:rsidRPr="0027724D">
        <w:rPr>
          <w:sz w:val="4"/>
          <w:vertAlign w:val="superscript"/>
          <w:lang w:val="en-US"/>
        </w:rPr>
        <w:t xml:space="preserve"> </w:t>
      </w:r>
      <w:r w:rsidRPr="0027724D">
        <w:rPr>
          <w:rFonts w:hint="eastAsia"/>
          <w:vertAlign w:val="superscript"/>
          <w:lang w:val="en-US"/>
        </w:rPr>
        <w:t>4</w:t>
      </w:r>
      <w:r w:rsidRPr="0027724D">
        <w:rPr>
          <w:lang w:val="en-US"/>
        </w:rPr>
        <w:t> </w:t>
      </w:r>
      <w:r>
        <w:sym w:font="Symbol" w:char="F071"/>
      </w:r>
      <w:r w:rsidRPr="0027724D">
        <w:rPr>
          <w:rFonts w:hint="eastAsia"/>
          <w:vertAlign w:val="superscript"/>
          <w:lang w:val="en-US"/>
        </w:rPr>
        <w:t>4</w:t>
      </w:r>
      <w:r w:rsidRPr="0027724D">
        <w:rPr>
          <w:lang w:val="en-US"/>
        </w:rPr>
        <w:t> </w:t>
      </w:r>
      <w:r>
        <w:rPr>
          <w:rFonts w:ascii="Symbol" w:hAnsi="Symbol"/>
          <w:lang w:val="en-US"/>
        </w:rPr>
        <w:t></w:t>
      </w:r>
      <w:r w:rsidRPr="0027724D">
        <w:rPr>
          <w:vertAlign w:val="superscript"/>
          <w:lang w:val="en-US"/>
        </w:rPr>
        <w:br/>
      </w:r>
      <w:r w:rsidRPr="0027724D">
        <w:rPr>
          <w:lang w:val="en-US"/>
        </w:rPr>
        <w:tab/>
      </w:r>
      <w:r w:rsidRPr="0027724D">
        <w:rPr>
          <w:lang w:val="en-US"/>
        </w:rPr>
        <w:tab/>
      </w:r>
      <w:r w:rsidRPr="0027724D">
        <w:rPr>
          <w:rFonts w:hint="eastAsia"/>
          <w:i/>
          <w:lang w:val="en-US"/>
        </w:rPr>
        <w:t>h</w:t>
      </w:r>
      <w:r w:rsidRPr="0027724D">
        <w:rPr>
          <w:lang w:val="en-US"/>
        </w:rPr>
        <w:t> </w:t>
      </w:r>
      <w:r w:rsidRPr="0027724D">
        <w:rPr>
          <w:rFonts w:hint="eastAsia"/>
          <w:lang w:val="en-US"/>
        </w:rPr>
        <w:t>(0</w:t>
      </w:r>
      <w:r w:rsidRPr="0027724D">
        <w:rPr>
          <w:lang w:val="en-US"/>
        </w:rPr>
        <w:t>.</w:t>
      </w:r>
      <w:r w:rsidRPr="0027724D">
        <w:rPr>
          <w:rFonts w:hint="eastAsia"/>
          <w:lang w:val="en-US"/>
        </w:rPr>
        <w:t>2219</w:t>
      </w:r>
      <w:r w:rsidRPr="0027724D">
        <w:rPr>
          <w:lang w:val="en-US"/>
        </w:rPr>
        <w:t> </w:t>
      </w:r>
      <w:r>
        <w:rPr>
          <w:rFonts w:ascii="Symbol" w:hAnsi="Symbol"/>
          <w:lang w:val="en-US"/>
        </w:rPr>
        <w:t></w:t>
      </w:r>
      <w:r w:rsidRPr="0027724D">
        <w:rPr>
          <w:lang w:val="en-US"/>
        </w:rPr>
        <w:t> </w:t>
      </w:r>
      <w:r w:rsidRPr="0027724D">
        <w:rPr>
          <w:rFonts w:hint="eastAsia"/>
          <w:lang w:val="en-US"/>
        </w:rPr>
        <w:t>0</w:t>
      </w:r>
      <w:r w:rsidRPr="0027724D">
        <w:rPr>
          <w:lang w:val="en-US"/>
        </w:rPr>
        <w:t>.</w:t>
      </w:r>
      <w:r w:rsidRPr="0027724D">
        <w:rPr>
          <w:rFonts w:hint="eastAsia"/>
          <w:lang w:val="en-US"/>
        </w:rPr>
        <w:t>2734</w:t>
      </w:r>
      <w:r w:rsidRPr="0027724D">
        <w:rPr>
          <w:lang w:val="en-US"/>
        </w:rPr>
        <w:t> </w:t>
      </w:r>
      <w:r>
        <w:sym w:font="Symbol" w:char="F071"/>
      </w:r>
      <w:r w:rsidRPr="0027724D">
        <w:rPr>
          <w:rFonts w:hint="eastAsia"/>
          <w:lang w:val="en-US"/>
        </w:rPr>
        <w:t>)</w:t>
      </w:r>
      <w:r w:rsidRPr="0027724D">
        <w:rPr>
          <w:lang w:val="en-US"/>
        </w:rPr>
        <w:t> </w:t>
      </w:r>
      <w:r>
        <w:rPr>
          <w:rFonts w:ascii="Symbol" w:hAnsi="Symbol"/>
          <w:lang w:val="en-US"/>
        </w:rPr>
        <w:t></w:t>
      </w:r>
      <w:r w:rsidRPr="0027724D">
        <w:rPr>
          <w:lang w:val="en-US"/>
        </w:rPr>
        <w:t> </w:t>
      </w:r>
      <w:r w:rsidRPr="0027724D">
        <w:rPr>
          <w:rFonts w:hint="eastAsia"/>
          <w:lang w:val="en-US"/>
        </w:rPr>
        <w:t>0</w:t>
      </w:r>
      <w:r w:rsidRPr="0027724D">
        <w:rPr>
          <w:lang w:val="en-US"/>
        </w:rPr>
        <w:t>.</w:t>
      </w:r>
      <w:r w:rsidRPr="0027724D">
        <w:rPr>
          <w:rFonts w:hint="eastAsia"/>
          <w:lang w:val="en-US"/>
        </w:rPr>
        <w:t>06186</w:t>
      </w:r>
      <w:r w:rsidRPr="0027724D">
        <w:rPr>
          <w:lang w:val="en-US"/>
        </w:rPr>
        <w:t> </w:t>
      </w:r>
      <w:r w:rsidRPr="0027724D">
        <w:rPr>
          <w:rFonts w:hint="eastAsia"/>
          <w:i/>
          <w:lang w:val="en-US"/>
        </w:rPr>
        <w:t>h</w:t>
      </w:r>
      <w:r w:rsidRPr="0027724D">
        <w:rPr>
          <w:rFonts w:hint="eastAsia"/>
          <w:vertAlign w:val="superscript"/>
          <w:lang w:val="en-US"/>
        </w:rPr>
        <w:t>2</w:t>
      </w:r>
      <w:r w:rsidRPr="0027724D">
        <w:rPr>
          <w:rFonts w:hint="eastAsia"/>
          <w:lang w:val="en-US"/>
        </w:rPr>
        <w:t>]</w:t>
      </w:r>
      <w:r w:rsidRPr="0027724D">
        <w:rPr>
          <w:rFonts w:hint="eastAsia"/>
          <w:lang w:val="en-US"/>
        </w:rPr>
        <w:tab/>
        <w:t>(9c)</w:t>
      </w:r>
    </w:p>
    <w:p w:rsidR="00B9359B" w:rsidRPr="0027724D" w:rsidRDefault="009A5268">
      <w:pPr>
        <w:pStyle w:val="Headingb"/>
        <w:rPr>
          <w:lang w:val="en-US"/>
        </w:rPr>
      </w:pPr>
      <w:r w:rsidRPr="0027724D">
        <w:rPr>
          <w:rFonts w:hint="eastAsia"/>
          <w:lang w:val="en-US"/>
        </w:rPr>
        <w:t>Frequency band 50.2-50.4 GHz</w:t>
      </w:r>
    </w:p>
    <w:p w:rsidR="00B9359B" w:rsidRPr="0027724D" w:rsidRDefault="009A5268">
      <w:pPr>
        <w:pStyle w:val="Equation"/>
        <w:tabs>
          <w:tab w:val="clear" w:pos="794"/>
          <w:tab w:val="clear" w:pos="4820"/>
          <w:tab w:val="left" w:pos="540"/>
          <w:tab w:val="left" w:pos="1652"/>
        </w:tabs>
        <w:jc w:val="left"/>
        <w:rPr>
          <w:lang w:val="en-US"/>
        </w:rPr>
      </w:pPr>
      <w:r w:rsidRPr="0027724D">
        <w:rPr>
          <w:i/>
          <w:lang w:val="en-US"/>
        </w:rPr>
        <w:tab/>
      </w:r>
      <w:r w:rsidRPr="0027724D">
        <w:rPr>
          <w:rFonts w:hint="eastAsia"/>
          <w:i/>
          <w:lang w:val="en-US"/>
        </w:rPr>
        <w:t>A</w:t>
      </w:r>
      <w:r w:rsidRPr="0027724D">
        <w:rPr>
          <w:rFonts w:hint="eastAsia"/>
          <w:i/>
          <w:vertAlign w:val="subscript"/>
          <w:lang w:val="en-US"/>
        </w:rPr>
        <w:t>L</w:t>
      </w:r>
      <w:r w:rsidRPr="0027724D">
        <w:rPr>
          <w:i/>
          <w:vertAlign w:val="subscript"/>
          <w:lang w:val="en-US"/>
        </w:rPr>
        <w:t> </w:t>
      </w:r>
      <w:r w:rsidRPr="0027724D">
        <w:rPr>
          <w:rFonts w:hint="eastAsia"/>
          <w:lang w:val="en-US"/>
        </w:rPr>
        <w:t>(</w:t>
      </w:r>
      <w:r w:rsidRPr="0027724D">
        <w:rPr>
          <w:rFonts w:hint="eastAsia"/>
          <w:i/>
          <w:lang w:val="en-US"/>
        </w:rPr>
        <w:t>h</w:t>
      </w:r>
      <w:r w:rsidRPr="0027724D">
        <w:rPr>
          <w:rFonts w:hint="eastAsia"/>
          <w:lang w:val="en-US"/>
        </w:rPr>
        <w:t xml:space="preserve">, </w:t>
      </w:r>
      <w:r>
        <w:rPr>
          <w:rFonts w:ascii="Symbol" w:hAnsi="Symbol"/>
        </w:rPr>
        <w:sym w:font="Symbol" w:char="F071"/>
      </w:r>
      <w:r w:rsidRPr="0027724D">
        <w:rPr>
          <w:rFonts w:hint="eastAsia"/>
          <w:lang w:val="en-US"/>
        </w:rPr>
        <w:t>)</w:t>
      </w:r>
      <w:r w:rsidRPr="0027724D">
        <w:rPr>
          <w:lang w:val="en-US"/>
        </w:rPr>
        <w:t> </w:t>
      </w:r>
      <w:r>
        <w:rPr>
          <w:rFonts w:ascii="Symbol" w:hAnsi="Symbol"/>
          <w:lang w:val="es-ES"/>
        </w:rPr>
        <w:t></w:t>
      </w:r>
      <w:r w:rsidRPr="0027724D">
        <w:rPr>
          <w:lang w:val="en-US"/>
        </w:rPr>
        <w:tab/>
      </w:r>
      <w:r w:rsidRPr="0027724D">
        <w:rPr>
          <w:rFonts w:hint="eastAsia"/>
          <w:lang w:val="en-US"/>
        </w:rPr>
        <w:t>91</w:t>
      </w:r>
      <w:r w:rsidRPr="0027724D">
        <w:rPr>
          <w:lang w:val="en-US"/>
        </w:rPr>
        <w:t>.</w:t>
      </w:r>
      <w:r w:rsidRPr="0027724D">
        <w:rPr>
          <w:rFonts w:hint="eastAsia"/>
          <w:lang w:val="en-US"/>
        </w:rPr>
        <w:t>86</w:t>
      </w:r>
      <w:r w:rsidRPr="0027724D">
        <w:rPr>
          <w:lang w:val="en-US"/>
        </w:rPr>
        <w:t> </w:t>
      </w:r>
      <w:r w:rsidRPr="0027724D">
        <w:rPr>
          <w:rFonts w:hint="eastAsia"/>
          <w:lang w:val="en-US"/>
        </w:rPr>
        <w:t>/</w:t>
      </w:r>
      <w:r w:rsidRPr="0027724D">
        <w:rPr>
          <w:lang w:val="en-US"/>
        </w:rPr>
        <w:t> </w:t>
      </w:r>
      <w:r w:rsidRPr="0027724D">
        <w:rPr>
          <w:rFonts w:hint="eastAsia"/>
          <w:lang w:val="en-US"/>
        </w:rPr>
        <w:t>[1</w:t>
      </w:r>
      <w:r w:rsidRPr="0027724D">
        <w:rPr>
          <w:lang w:val="en-US"/>
        </w:rPr>
        <w:t> </w:t>
      </w:r>
      <w:r>
        <w:rPr>
          <w:rFonts w:ascii="Symbol" w:hAnsi="Symbol"/>
          <w:lang w:val="es-ES"/>
        </w:rPr>
        <w:t></w:t>
      </w:r>
      <w:r w:rsidRPr="0027724D">
        <w:rPr>
          <w:lang w:val="en-US"/>
        </w:rPr>
        <w:t> </w:t>
      </w:r>
      <w:r w:rsidRPr="0027724D">
        <w:rPr>
          <w:rFonts w:hint="eastAsia"/>
          <w:lang w:val="en-US"/>
        </w:rPr>
        <w:t>0</w:t>
      </w:r>
      <w:r w:rsidRPr="0027724D">
        <w:rPr>
          <w:lang w:val="en-US"/>
        </w:rPr>
        <w:t>.</w:t>
      </w:r>
      <w:r w:rsidRPr="0027724D">
        <w:rPr>
          <w:rFonts w:hint="eastAsia"/>
          <w:lang w:val="en-US"/>
        </w:rPr>
        <w:t>65929</w:t>
      </w:r>
      <w:r w:rsidRPr="0027724D">
        <w:rPr>
          <w:lang w:val="en-US"/>
        </w:rPr>
        <w:t> </w:t>
      </w:r>
      <w:r>
        <w:sym w:font="Symbol" w:char="F071"/>
      </w:r>
      <w:r w:rsidRPr="0027724D">
        <w:rPr>
          <w:lang w:val="en-US"/>
        </w:rPr>
        <w:t> </w:t>
      </w:r>
      <w:r>
        <w:rPr>
          <w:rFonts w:ascii="Symbol" w:hAnsi="Symbol"/>
          <w:lang w:val="es-ES"/>
        </w:rPr>
        <w:t></w:t>
      </w:r>
      <w:r w:rsidRPr="0027724D">
        <w:rPr>
          <w:lang w:val="en-US"/>
        </w:rPr>
        <w:t> </w:t>
      </w:r>
      <w:r w:rsidRPr="0027724D">
        <w:rPr>
          <w:rFonts w:hint="eastAsia"/>
          <w:lang w:val="en-US"/>
        </w:rPr>
        <w:t>0</w:t>
      </w:r>
      <w:r w:rsidRPr="0027724D">
        <w:rPr>
          <w:lang w:val="en-US"/>
        </w:rPr>
        <w:t>.</w:t>
      </w:r>
      <w:r w:rsidRPr="0027724D">
        <w:rPr>
          <w:rFonts w:hint="eastAsia"/>
          <w:lang w:val="en-US"/>
        </w:rPr>
        <w:t>055368</w:t>
      </w:r>
      <w:r w:rsidRPr="0027724D">
        <w:rPr>
          <w:lang w:val="en-US"/>
        </w:rPr>
        <w:t> </w:t>
      </w:r>
      <w:r>
        <w:sym w:font="Symbol" w:char="F071"/>
      </w:r>
      <w:r w:rsidRPr="0027724D">
        <w:rPr>
          <w:rFonts w:hint="eastAsia"/>
          <w:vertAlign w:val="superscript"/>
          <w:lang w:val="en-US"/>
        </w:rPr>
        <w:t>2</w:t>
      </w:r>
      <w:r w:rsidRPr="0027724D">
        <w:rPr>
          <w:i/>
          <w:lang w:val="en-US"/>
        </w:rPr>
        <w:t> </w:t>
      </w:r>
      <w:r w:rsidRPr="0027724D">
        <w:rPr>
          <w:lang w:val="en-US"/>
        </w:rPr>
        <w:t>– </w:t>
      </w:r>
      <w:r w:rsidRPr="0027724D">
        <w:rPr>
          <w:rFonts w:hint="eastAsia"/>
          <w:lang w:val="en-US"/>
        </w:rPr>
        <w:t>0</w:t>
      </w:r>
      <w:r w:rsidRPr="0027724D">
        <w:rPr>
          <w:lang w:val="en-US"/>
        </w:rPr>
        <w:t>.</w:t>
      </w:r>
      <w:r w:rsidRPr="0027724D">
        <w:rPr>
          <w:rFonts w:hint="eastAsia"/>
          <w:lang w:val="en-US"/>
        </w:rPr>
        <w:t>0039239</w:t>
      </w:r>
      <w:r w:rsidRPr="0027724D">
        <w:rPr>
          <w:lang w:val="en-US"/>
        </w:rPr>
        <w:t> </w:t>
      </w:r>
      <w:r>
        <w:sym w:font="Symbol" w:char="F071"/>
      </w:r>
      <w:r w:rsidRPr="0027724D">
        <w:rPr>
          <w:rFonts w:hint="eastAsia"/>
          <w:vertAlign w:val="superscript"/>
          <w:lang w:val="en-US"/>
        </w:rPr>
        <w:t>3</w:t>
      </w:r>
      <w:r w:rsidRPr="0027724D">
        <w:rPr>
          <w:i/>
          <w:lang w:val="en-US"/>
        </w:rPr>
        <w:t> </w:t>
      </w:r>
      <w:r>
        <w:rPr>
          <w:rFonts w:ascii="Symbol" w:hAnsi="Symbol"/>
          <w:lang w:val="es-ES"/>
        </w:rPr>
        <w:t></w:t>
      </w:r>
      <w:r w:rsidRPr="0027724D">
        <w:rPr>
          <w:lang w:val="en-US"/>
        </w:rPr>
        <w:t> </w:t>
      </w:r>
      <w:r w:rsidRPr="0027724D">
        <w:rPr>
          <w:rFonts w:hint="eastAsia"/>
          <w:lang w:val="en-US"/>
        </w:rPr>
        <w:t>0</w:t>
      </w:r>
      <w:r w:rsidRPr="0027724D">
        <w:rPr>
          <w:lang w:val="en-US"/>
        </w:rPr>
        <w:t>.</w:t>
      </w:r>
      <w:r w:rsidRPr="0027724D">
        <w:rPr>
          <w:rFonts w:hint="eastAsia"/>
          <w:lang w:val="en-US"/>
        </w:rPr>
        <w:t>00011109</w:t>
      </w:r>
      <w:r w:rsidRPr="0027724D">
        <w:rPr>
          <w:lang w:val="en-US"/>
        </w:rPr>
        <w:t> </w:t>
      </w:r>
      <w:r>
        <w:sym w:font="Symbol" w:char="F071"/>
      </w:r>
      <w:r w:rsidRPr="0027724D">
        <w:rPr>
          <w:rFonts w:hint="eastAsia"/>
          <w:vertAlign w:val="superscript"/>
          <w:lang w:val="en-US"/>
        </w:rPr>
        <w:t>4</w:t>
      </w:r>
      <w:r w:rsidRPr="0027724D">
        <w:rPr>
          <w:lang w:val="en-US"/>
        </w:rPr>
        <w:t> –</w:t>
      </w:r>
      <w:r w:rsidRPr="0027724D">
        <w:rPr>
          <w:vertAlign w:val="superscript"/>
          <w:lang w:val="en-US"/>
        </w:rPr>
        <w:br/>
      </w:r>
      <w:r w:rsidRPr="0027724D">
        <w:rPr>
          <w:lang w:val="en-US"/>
        </w:rPr>
        <w:tab/>
      </w:r>
      <w:r w:rsidRPr="0027724D">
        <w:rPr>
          <w:lang w:val="en-US"/>
        </w:rPr>
        <w:tab/>
      </w:r>
      <w:r w:rsidRPr="0027724D">
        <w:rPr>
          <w:rFonts w:hint="eastAsia"/>
          <w:lang w:val="en-US"/>
        </w:rPr>
        <w:t>0</w:t>
      </w:r>
      <w:r w:rsidRPr="0027724D">
        <w:rPr>
          <w:lang w:val="en-US"/>
        </w:rPr>
        <w:t>.</w:t>
      </w:r>
      <w:r w:rsidRPr="0027724D">
        <w:rPr>
          <w:rFonts w:hint="eastAsia"/>
          <w:lang w:val="en-US"/>
        </w:rPr>
        <w:t>13407</w:t>
      </w:r>
      <w:r w:rsidRPr="0027724D">
        <w:rPr>
          <w:lang w:val="en-US"/>
        </w:rPr>
        <w:t> </w:t>
      </w:r>
      <w:r>
        <w:rPr>
          <w:rFonts w:ascii="Symbol" w:hAnsi="Symbol"/>
        </w:rPr>
        <w:t></w:t>
      </w:r>
      <w:r w:rsidRPr="0027724D">
        <w:rPr>
          <w:lang w:val="en-US"/>
        </w:rPr>
        <w:t> </w:t>
      </w:r>
      <w:r w:rsidRPr="0027724D">
        <w:rPr>
          <w:rFonts w:hint="eastAsia"/>
          <w:lang w:val="en-US"/>
        </w:rPr>
        <w:t>10</w:t>
      </w:r>
      <w:r w:rsidRPr="0027724D">
        <w:rPr>
          <w:vertAlign w:val="superscript"/>
          <w:lang w:val="en-US"/>
        </w:rPr>
        <w:t>–</w:t>
      </w:r>
      <w:r w:rsidRPr="0027724D">
        <w:rPr>
          <w:rFonts w:hint="eastAsia"/>
          <w:vertAlign w:val="superscript"/>
          <w:lang w:val="en-US"/>
        </w:rPr>
        <w:t>5</w:t>
      </w:r>
      <w:r w:rsidRPr="0027724D">
        <w:rPr>
          <w:lang w:val="en-US"/>
        </w:rPr>
        <w:t> </w:t>
      </w:r>
      <w:r>
        <w:sym w:font="Symbol" w:char="F071"/>
      </w:r>
      <w:r w:rsidRPr="0027724D">
        <w:rPr>
          <w:rFonts w:hint="eastAsia"/>
          <w:vertAlign w:val="superscript"/>
          <w:lang w:val="en-US"/>
        </w:rPr>
        <w:t>5</w:t>
      </w:r>
      <w:r w:rsidRPr="0027724D">
        <w:rPr>
          <w:lang w:val="en-US"/>
        </w:rPr>
        <w:t> </w:t>
      </w:r>
      <w:r>
        <w:rPr>
          <w:rFonts w:ascii="Symbol" w:hAnsi="Symbol"/>
          <w:lang w:val="es-ES"/>
        </w:rPr>
        <w:t></w:t>
      </w:r>
      <w:r w:rsidRPr="0027724D">
        <w:rPr>
          <w:lang w:val="en-US"/>
        </w:rPr>
        <w:t> </w:t>
      </w:r>
      <w:r w:rsidRPr="0027724D">
        <w:rPr>
          <w:rFonts w:hint="eastAsia"/>
          <w:lang w:val="en-US"/>
        </w:rPr>
        <w:t>0</w:t>
      </w:r>
      <w:r w:rsidRPr="0027724D">
        <w:rPr>
          <w:lang w:val="en-US"/>
        </w:rPr>
        <w:t>.</w:t>
      </w:r>
      <w:r w:rsidRPr="0027724D">
        <w:rPr>
          <w:rFonts w:hint="eastAsia"/>
          <w:lang w:val="en-US"/>
        </w:rPr>
        <w:t>57041</w:t>
      </w:r>
      <w:r w:rsidRPr="0027724D">
        <w:rPr>
          <w:lang w:val="en-US"/>
        </w:rPr>
        <w:t> </w:t>
      </w:r>
      <w:r>
        <w:rPr>
          <w:rFonts w:ascii="Symbol" w:hAnsi="Symbol"/>
        </w:rPr>
        <w:t></w:t>
      </w:r>
      <w:r w:rsidRPr="0027724D">
        <w:rPr>
          <w:lang w:val="en-US"/>
        </w:rPr>
        <w:t> </w:t>
      </w:r>
      <w:r w:rsidRPr="0027724D">
        <w:rPr>
          <w:rFonts w:hint="eastAsia"/>
          <w:lang w:val="en-US"/>
        </w:rPr>
        <w:t>10</w:t>
      </w:r>
      <w:r w:rsidRPr="0027724D">
        <w:rPr>
          <w:vertAlign w:val="superscript"/>
          <w:lang w:val="en-US"/>
        </w:rPr>
        <w:t>–</w:t>
      </w:r>
      <w:r w:rsidRPr="0027724D">
        <w:rPr>
          <w:rFonts w:hint="eastAsia"/>
          <w:vertAlign w:val="superscript"/>
          <w:lang w:val="en-US"/>
        </w:rPr>
        <w:t>8</w:t>
      </w:r>
      <w:r w:rsidRPr="0027724D">
        <w:rPr>
          <w:lang w:val="en-US"/>
        </w:rPr>
        <w:t> </w:t>
      </w:r>
      <w:r>
        <w:sym w:font="Symbol" w:char="F071"/>
      </w:r>
      <w:r w:rsidRPr="0027724D">
        <w:rPr>
          <w:rFonts w:hint="eastAsia"/>
          <w:vertAlign w:val="superscript"/>
          <w:lang w:val="en-US"/>
        </w:rPr>
        <w:t>6</w:t>
      </w:r>
      <w:r w:rsidRPr="0027724D">
        <w:rPr>
          <w:lang w:val="en-US"/>
        </w:rPr>
        <w:t> </w:t>
      </w:r>
      <w:r>
        <w:rPr>
          <w:rFonts w:ascii="Symbol" w:hAnsi="Symbol"/>
          <w:lang w:val="es-ES"/>
        </w:rPr>
        <w:t></w:t>
      </w:r>
      <w:r w:rsidRPr="0027724D">
        <w:rPr>
          <w:lang w:val="en-US"/>
        </w:rPr>
        <w:t> </w:t>
      </w:r>
      <w:r w:rsidRPr="0027724D">
        <w:rPr>
          <w:rFonts w:hint="eastAsia"/>
          <w:i/>
          <w:lang w:val="en-US"/>
        </w:rPr>
        <w:t>h</w:t>
      </w:r>
      <w:r w:rsidRPr="0027724D">
        <w:rPr>
          <w:lang w:val="en-US"/>
        </w:rPr>
        <w:t> </w:t>
      </w:r>
      <w:r w:rsidRPr="0027724D">
        <w:rPr>
          <w:rFonts w:hint="eastAsia"/>
          <w:lang w:val="en-US"/>
        </w:rPr>
        <w:t>(0</w:t>
      </w:r>
      <w:r w:rsidRPr="0027724D">
        <w:rPr>
          <w:lang w:val="en-US"/>
        </w:rPr>
        <w:t>.</w:t>
      </w:r>
      <w:r w:rsidRPr="0027724D">
        <w:rPr>
          <w:rFonts w:hint="eastAsia"/>
          <w:lang w:val="en-US"/>
        </w:rPr>
        <w:t>24505</w:t>
      </w:r>
      <w:r w:rsidRPr="0027724D">
        <w:rPr>
          <w:lang w:val="en-US"/>
        </w:rPr>
        <w:t> </w:t>
      </w:r>
      <w:r>
        <w:rPr>
          <w:rFonts w:ascii="Symbol" w:hAnsi="Symbol"/>
          <w:lang w:val="es-ES"/>
        </w:rPr>
        <w:t></w:t>
      </w:r>
      <w:r w:rsidRPr="0027724D">
        <w:rPr>
          <w:lang w:val="en-US"/>
        </w:rPr>
        <w:t> </w:t>
      </w:r>
      <w:r w:rsidRPr="0027724D">
        <w:rPr>
          <w:rFonts w:hint="eastAsia"/>
          <w:lang w:val="en-US"/>
        </w:rPr>
        <w:t>0</w:t>
      </w:r>
      <w:r w:rsidRPr="0027724D">
        <w:rPr>
          <w:lang w:val="en-US"/>
        </w:rPr>
        <w:t>.</w:t>
      </w:r>
      <w:r w:rsidRPr="0027724D">
        <w:rPr>
          <w:rFonts w:hint="eastAsia"/>
          <w:lang w:val="en-US"/>
        </w:rPr>
        <w:t>18790</w:t>
      </w:r>
      <w:r w:rsidRPr="0027724D">
        <w:rPr>
          <w:lang w:val="en-US"/>
        </w:rPr>
        <w:t> </w:t>
      </w:r>
      <w:r>
        <w:sym w:font="Symbol" w:char="F071"/>
      </w:r>
      <w:r w:rsidRPr="0027724D">
        <w:rPr>
          <w:lang w:val="en-US"/>
        </w:rPr>
        <w:t> </w:t>
      </w:r>
      <w:r>
        <w:rPr>
          <w:rFonts w:ascii="Symbol" w:hAnsi="Symbol"/>
        </w:rPr>
        <w:t></w:t>
      </w:r>
      <w:r w:rsidRPr="0027724D">
        <w:rPr>
          <w:lang w:val="en-US"/>
        </w:rPr>
        <w:br/>
      </w:r>
      <w:r w:rsidRPr="0027724D">
        <w:rPr>
          <w:lang w:val="en-US"/>
        </w:rPr>
        <w:tab/>
      </w:r>
      <w:r w:rsidRPr="0027724D">
        <w:rPr>
          <w:lang w:val="en-US"/>
        </w:rPr>
        <w:tab/>
      </w:r>
      <w:r w:rsidRPr="0027724D">
        <w:rPr>
          <w:rFonts w:hint="eastAsia"/>
          <w:lang w:val="en-US"/>
        </w:rPr>
        <w:t>0</w:t>
      </w:r>
      <w:r w:rsidRPr="0027724D">
        <w:rPr>
          <w:lang w:val="en-US"/>
        </w:rPr>
        <w:t>.</w:t>
      </w:r>
      <w:r w:rsidRPr="0027724D">
        <w:rPr>
          <w:rFonts w:hint="eastAsia"/>
          <w:lang w:val="en-US"/>
        </w:rPr>
        <w:t>0016855</w:t>
      </w:r>
      <w:r w:rsidRPr="0027724D">
        <w:rPr>
          <w:lang w:val="en-US"/>
        </w:rPr>
        <w:t> </w:t>
      </w:r>
      <w:r>
        <w:sym w:font="Symbol" w:char="F071"/>
      </w:r>
      <w:r w:rsidRPr="0027724D">
        <w:rPr>
          <w:rFonts w:hint="eastAsia"/>
          <w:vertAlign w:val="superscript"/>
          <w:lang w:val="en-US"/>
        </w:rPr>
        <w:t>2</w:t>
      </w:r>
      <w:r w:rsidRPr="0027724D">
        <w:rPr>
          <w:rFonts w:hint="eastAsia"/>
          <w:lang w:val="en-US"/>
        </w:rPr>
        <w:t>)</w:t>
      </w:r>
      <w:r w:rsidRPr="0027724D">
        <w:rPr>
          <w:lang w:val="en-US"/>
        </w:rPr>
        <w:t> </w:t>
      </w:r>
      <w:r>
        <w:rPr>
          <w:rFonts w:ascii="Symbol" w:hAnsi="Symbol"/>
          <w:lang w:val="es-ES"/>
        </w:rPr>
        <w:t></w:t>
      </w:r>
      <w:r w:rsidRPr="0027724D">
        <w:rPr>
          <w:rFonts w:hint="eastAsia"/>
          <w:lang w:val="en-US"/>
        </w:rPr>
        <w:t> </w:t>
      </w:r>
      <w:r w:rsidRPr="0027724D">
        <w:rPr>
          <w:rFonts w:hint="eastAsia"/>
          <w:i/>
          <w:lang w:val="en-US"/>
        </w:rPr>
        <w:t>h</w:t>
      </w:r>
      <w:r w:rsidRPr="0027724D">
        <w:rPr>
          <w:rFonts w:hint="eastAsia"/>
          <w:vertAlign w:val="superscript"/>
          <w:lang w:val="en-US"/>
        </w:rPr>
        <w:t>2</w:t>
      </w:r>
      <w:r w:rsidRPr="0027724D">
        <w:rPr>
          <w:lang w:val="en-US"/>
        </w:rPr>
        <w:t> </w:t>
      </w:r>
      <w:r w:rsidRPr="0027724D">
        <w:rPr>
          <w:rFonts w:hint="eastAsia"/>
          <w:lang w:val="en-US"/>
        </w:rPr>
        <w:t>(0</w:t>
      </w:r>
      <w:r w:rsidRPr="0027724D">
        <w:rPr>
          <w:lang w:val="en-US"/>
        </w:rPr>
        <w:t>.</w:t>
      </w:r>
      <w:r w:rsidRPr="0027724D">
        <w:rPr>
          <w:rFonts w:hint="eastAsia"/>
          <w:lang w:val="en-US"/>
        </w:rPr>
        <w:t>055349</w:t>
      </w:r>
      <w:r w:rsidRPr="0027724D">
        <w:rPr>
          <w:lang w:val="en-US"/>
        </w:rPr>
        <w:t> </w:t>
      </w:r>
      <w:r>
        <w:rPr>
          <w:rFonts w:ascii="Symbol" w:hAnsi="Symbol"/>
          <w:lang w:val="es-ES"/>
        </w:rPr>
        <w:t></w:t>
      </w:r>
      <w:r w:rsidRPr="0027724D">
        <w:rPr>
          <w:lang w:val="en-US"/>
        </w:rPr>
        <w:t> </w:t>
      </w:r>
      <w:r w:rsidRPr="0027724D">
        <w:rPr>
          <w:rFonts w:hint="eastAsia"/>
          <w:lang w:val="en-US"/>
        </w:rPr>
        <w:t>0</w:t>
      </w:r>
      <w:r w:rsidRPr="0027724D">
        <w:rPr>
          <w:lang w:val="en-US"/>
        </w:rPr>
        <w:t>.</w:t>
      </w:r>
      <w:r w:rsidRPr="0027724D">
        <w:rPr>
          <w:rFonts w:hint="eastAsia"/>
          <w:lang w:val="en-US"/>
        </w:rPr>
        <w:t>026631</w:t>
      </w:r>
      <w:r w:rsidRPr="0027724D">
        <w:rPr>
          <w:lang w:val="en-US"/>
        </w:rPr>
        <w:t> </w:t>
      </w:r>
      <w:r>
        <w:sym w:font="Symbol" w:char="F071"/>
      </w:r>
      <w:r w:rsidRPr="0027724D">
        <w:rPr>
          <w:rFonts w:hint="eastAsia"/>
          <w:lang w:val="en-US"/>
        </w:rPr>
        <w:t>)]</w:t>
      </w:r>
      <w:r w:rsidRPr="0027724D">
        <w:rPr>
          <w:rFonts w:hint="eastAsia"/>
          <w:lang w:val="en-US"/>
        </w:rPr>
        <w:tab/>
        <w:t>(10a)</w:t>
      </w:r>
    </w:p>
    <w:p w:rsidR="00B9359B" w:rsidRPr="0027724D" w:rsidRDefault="009A5268">
      <w:pPr>
        <w:pStyle w:val="Equation"/>
        <w:tabs>
          <w:tab w:val="clear" w:pos="794"/>
          <w:tab w:val="clear" w:pos="4820"/>
          <w:tab w:val="left" w:pos="540"/>
          <w:tab w:val="left" w:pos="1652"/>
        </w:tabs>
        <w:jc w:val="left"/>
        <w:rPr>
          <w:lang w:val="en-US"/>
        </w:rPr>
      </w:pPr>
      <w:r w:rsidRPr="0027724D">
        <w:rPr>
          <w:i/>
          <w:lang w:val="en-US"/>
        </w:rPr>
        <w:tab/>
      </w:r>
      <w:r w:rsidRPr="0027724D">
        <w:rPr>
          <w:rFonts w:hint="eastAsia"/>
          <w:i/>
          <w:lang w:val="en-US"/>
        </w:rPr>
        <w:t>A</w:t>
      </w:r>
      <w:r w:rsidRPr="0027724D">
        <w:rPr>
          <w:rFonts w:hint="eastAsia"/>
          <w:i/>
          <w:vertAlign w:val="subscript"/>
          <w:lang w:val="en-US"/>
        </w:rPr>
        <w:t>M</w:t>
      </w:r>
      <w:r w:rsidRPr="0027724D">
        <w:rPr>
          <w:i/>
          <w:vertAlign w:val="subscript"/>
          <w:lang w:val="en-US"/>
        </w:rPr>
        <w:t> </w:t>
      </w:r>
      <w:r w:rsidRPr="0027724D">
        <w:rPr>
          <w:rFonts w:hint="eastAsia"/>
          <w:lang w:val="en-US"/>
        </w:rPr>
        <w:t>(</w:t>
      </w:r>
      <w:r w:rsidRPr="0027724D">
        <w:rPr>
          <w:rFonts w:hint="eastAsia"/>
          <w:i/>
          <w:lang w:val="en-US"/>
        </w:rPr>
        <w:t>h</w:t>
      </w:r>
      <w:r w:rsidRPr="0027724D">
        <w:rPr>
          <w:rFonts w:hint="eastAsia"/>
          <w:lang w:val="en-US"/>
        </w:rPr>
        <w:t xml:space="preserve">, </w:t>
      </w:r>
      <w:r>
        <w:rPr>
          <w:rFonts w:ascii="Symbol" w:hAnsi="Symbol"/>
        </w:rPr>
        <w:sym w:font="Symbol" w:char="F071"/>
      </w:r>
      <w:r w:rsidRPr="0027724D">
        <w:rPr>
          <w:rFonts w:hint="eastAsia"/>
          <w:lang w:val="en-US"/>
        </w:rPr>
        <w:t>)</w:t>
      </w:r>
      <w:r w:rsidRPr="0027724D">
        <w:rPr>
          <w:lang w:val="en-US"/>
        </w:rPr>
        <w:t> </w:t>
      </w:r>
      <w:r>
        <w:rPr>
          <w:rFonts w:ascii="Symbol" w:hAnsi="Symbol"/>
          <w:lang w:val="es-ES"/>
        </w:rPr>
        <w:t></w:t>
      </w:r>
      <w:r w:rsidRPr="0027724D">
        <w:rPr>
          <w:lang w:val="en-US"/>
        </w:rPr>
        <w:tab/>
      </w:r>
      <w:r w:rsidRPr="0027724D">
        <w:rPr>
          <w:rFonts w:hint="eastAsia"/>
          <w:lang w:val="en-US"/>
        </w:rPr>
        <w:t>90</w:t>
      </w:r>
      <w:r w:rsidRPr="0027724D">
        <w:rPr>
          <w:lang w:val="en-US"/>
        </w:rPr>
        <w:t>.</w:t>
      </w:r>
      <w:r w:rsidRPr="0027724D">
        <w:rPr>
          <w:rFonts w:hint="eastAsia"/>
          <w:lang w:val="en-US"/>
        </w:rPr>
        <w:t>25</w:t>
      </w:r>
      <w:r w:rsidRPr="0027724D">
        <w:rPr>
          <w:lang w:val="en-US"/>
        </w:rPr>
        <w:t> </w:t>
      </w:r>
      <w:r w:rsidRPr="0027724D">
        <w:rPr>
          <w:rFonts w:hint="eastAsia"/>
          <w:lang w:val="en-US"/>
        </w:rPr>
        <w:t>/</w:t>
      </w:r>
      <w:r w:rsidRPr="0027724D">
        <w:rPr>
          <w:lang w:val="en-US"/>
        </w:rPr>
        <w:t> </w:t>
      </w:r>
      <w:r w:rsidRPr="0027724D">
        <w:rPr>
          <w:rFonts w:hint="eastAsia"/>
          <w:lang w:val="en-US"/>
        </w:rPr>
        <w:t>[1</w:t>
      </w:r>
      <w:r w:rsidRPr="0027724D">
        <w:rPr>
          <w:lang w:val="en-US"/>
        </w:rPr>
        <w:t> </w:t>
      </w:r>
      <w:r>
        <w:rPr>
          <w:rFonts w:ascii="Symbol" w:hAnsi="Symbol"/>
          <w:lang w:val="en-US"/>
        </w:rPr>
        <w:t></w:t>
      </w:r>
      <w:r w:rsidRPr="0027724D">
        <w:rPr>
          <w:lang w:val="en-US"/>
        </w:rPr>
        <w:t> </w:t>
      </w:r>
      <w:r w:rsidRPr="0027724D">
        <w:rPr>
          <w:rFonts w:hint="eastAsia"/>
          <w:lang w:val="en-US"/>
        </w:rPr>
        <w:t>0</w:t>
      </w:r>
      <w:r w:rsidRPr="0027724D">
        <w:rPr>
          <w:lang w:val="en-US"/>
        </w:rPr>
        <w:t>.</w:t>
      </w:r>
      <w:r w:rsidRPr="0027724D">
        <w:rPr>
          <w:rFonts w:hint="eastAsia"/>
          <w:lang w:val="en-US"/>
        </w:rPr>
        <w:t>64981</w:t>
      </w:r>
      <w:r w:rsidRPr="0027724D">
        <w:rPr>
          <w:lang w:val="en-US"/>
        </w:rPr>
        <w:t> </w:t>
      </w:r>
      <w:r>
        <w:sym w:font="Symbol" w:char="F071"/>
      </w:r>
      <w:r w:rsidRPr="0027724D">
        <w:rPr>
          <w:lang w:val="en-US"/>
        </w:rPr>
        <w:t> </w:t>
      </w:r>
      <w:r>
        <w:rPr>
          <w:rFonts w:ascii="Symbol" w:hAnsi="Symbol"/>
          <w:lang w:val="en-US"/>
        </w:rPr>
        <w:t></w:t>
      </w:r>
      <w:r w:rsidRPr="0027724D">
        <w:rPr>
          <w:lang w:val="en-US"/>
        </w:rPr>
        <w:t> </w:t>
      </w:r>
      <w:r w:rsidRPr="0027724D">
        <w:rPr>
          <w:rFonts w:hint="eastAsia"/>
          <w:lang w:val="en-US"/>
        </w:rPr>
        <w:t>0</w:t>
      </w:r>
      <w:r w:rsidRPr="0027724D">
        <w:rPr>
          <w:lang w:val="en-US"/>
        </w:rPr>
        <w:t>.</w:t>
      </w:r>
      <w:r w:rsidRPr="0027724D">
        <w:rPr>
          <w:rFonts w:hint="eastAsia"/>
          <w:lang w:val="en-US"/>
        </w:rPr>
        <w:t>059840</w:t>
      </w:r>
      <w:r w:rsidRPr="0027724D">
        <w:rPr>
          <w:lang w:val="en-US"/>
        </w:rPr>
        <w:t> </w:t>
      </w:r>
      <w:r>
        <w:sym w:font="Symbol" w:char="F071"/>
      </w:r>
      <w:r w:rsidRPr="0027724D">
        <w:rPr>
          <w:rFonts w:hint="eastAsia"/>
          <w:vertAlign w:val="superscript"/>
          <w:lang w:val="en-US"/>
        </w:rPr>
        <w:t>2</w:t>
      </w:r>
      <w:r w:rsidRPr="0027724D">
        <w:rPr>
          <w:lang w:val="en-US"/>
        </w:rPr>
        <w:t> – </w:t>
      </w:r>
      <w:r w:rsidRPr="0027724D">
        <w:rPr>
          <w:rFonts w:hint="eastAsia"/>
          <w:lang w:val="en-US"/>
        </w:rPr>
        <w:t>0</w:t>
      </w:r>
      <w:r w:rsidRPr="0027724D">
        <w:rPr>
          <w:lang w:val="en-US"/>
        </w:rPr>
        <w:t>.</w:t>
      </w:r>
      <w:r w:rsidRPr="0027724D">
        <w:rPr>
          <w:rFonts w:hint="eastAsia"/>
          <w:lang w:val="en-US"/>
        </w:rPr>
        <w:t>0043911</w:t>
      </w:r>
      <w:r w:rsidRPr="0027724D">
        <w:rPr>
          <w:lang w:val="en-US"/>
        </w:rPr>
        <w:t> </w:t>
      </w:r>
      <w:r>
        <w:sym w:font="Symbol" w:char="F071"/>
      </w:r>
      <w:r w:rsidRPr="0027724D">
        <w:rPr>
          <w:rFonts w:hint="eastAsia"/>
          <w:vertAlign w:val="superscript"/>
          <w:lang w:val="en-US"/>
        </w:rPr>
        <w:t>3</w:t>
      </w:r>
      <w:r w:rsidRPr="0027724D">
        <w:rPr>
          <w:lang w:val="en-US"/>
        </w:rPr>
        <w:t> </w:t>
      </w:r>
      <w:r>
        <w:rPr>
          <w:rFonts w:ascii="Symbol" w:hAnsi="Symbol"/>
          <w:lang w:val="en-US"/>
        </w:rPr>
        <w:t></w:t>
      </w:r>
      <w:r w:rsidRPr="0027724D">
        <w:rPr>
          <w:lang w:val="en-US"/>
        </w:rPr>
        <w:t> </w:t>
      </w:r>
      <w:r w:rsidRPr="0027724D">
        <w:rPr>
          <w:rFonts w:hint="eastAsia"/>
          <w:lang w:val="en-US"/>
        </w:rPr>
        <w:t>0</w:t>
      </w:r>
      <w:r w:rsidRPr="0027724D">
        <w:rPr>
          <w:lang w:val="en-US"/>
        </w:rPr>
        <w:t>.</w:t>
      </w:r>
      <w:r w:rsidRPr="0027724D">
        <w:rPr>
          <w:rFonts w:hint="eastAsia"/>
          <w:lang w:val="en-US"/>
        </w:rPr>
        <w:t>00012737</w:t>
      </w:r>
      <w:r w:rsidRPr="0027724D">
        <w:rPr>
          <w:lang w:val="en-US"/>
        </w:rPr>
        <w:t> </w:t>
      </w:r>
      <w:r>
        <w:sym w:font="Symbol" w:char="F071"/>
      </w:r>
      <w:r w:rsidRPr="0027724D">
        <w:rPr>
          <w:rFonts w:hint="eastAsia"/>
          <w:vertAlign w:val="superscript"/>
          <w:lang w:val="en-US"/>
        </w:rPr>
        <w:t>4</w:t>
      </w:r>
      <w:r w:rsidRPr="0027724D">
        <w:rPr>
          <w:lang w:val="en-US"/>
        </w:rPr>
        <w:t> –</w:t>
      </w:r>
      <w:r w:rsidRPr="0027724D">
        <w:rPr>
          <w:vertAlign w:val="superscript"/>
          <w:lang w:val="en-US"/>
        </w:rPr>
        <w:br/>
      </w:r>
      <w:r w:rsidRPr="0027724D">
        <w:rPr>
          <w:lang w:val="en-US"/>
        </w:rPr>
        <w:tab/>
      </w:r>
      <w:r w:rsidRPr="0027724D">
        <w:rPr>
          <w:lang w:val="en-US"/>
        </w:rPr>
        <w:tab/>
      </w:r>
      <w:r w:rsidRPr="0027724D">
        <w:rPr>
          <w:rFonts w:hint="eastAsia"/>
          <w:lang w:val="en-US"/>
        </w:rPr>
        <w:t>0</w:t>
      </w:r>
      <w:r w:rsidRPr="0027724D">
        <w:rPr>
          <w:lang w:val="en-US"/>
        </w:rPr>
        <w:t>.</w:t>
      </w:r>
      <w:r w:rsidRPr="0027724D">
        <w:rPr>
          <w:rFonts w:hint="eastAsia"/>
          <w:lang w:val="en-US"/>
        </w:rPr>
        <w:t>15609</w:t>
      </w:r>
      <w:r w:rsidRPr="0027724D">
        <w:rPr>
          <w:lang w:val="en-US"/>
        </w:rPr>
        <w:t> </w:t>
      </w:r>
      <w:r>
        <w:rPr>
          <w:rFonts w:ascii="Symbol" w:hAnsi="Symbol"/>
        </w:rPr>
        <w:t></w:t>
      </w:r>
      <w:r w:rsidRPr="0027724D">
        <w:rPr>
          <w:lang w:val="en-US"/>
        </w:rPr>
        <w:t> </w:t>
      </w:r>
      <w:r w:rsidRPr="0027724D">
        <w:rPr>
          <w:rFonts w:hint="eastAsia"/>
          <w:lang w:val="en-US"/>
        </w:rPr>
        <w:t>10</w:t>
      </w:r>
      <w:r w:rsidRPr="0027724D">
        <w:rPr>
          <w:vertAlign w:val="superscript"/>
          <w:lang w:val="en-US"/>
        </w:rPr>
        <w:t>–</w:t>
      </w:r>
      <w:r w:rsidRPr="0027724D">
        <w:rPr>
          <w:rFonts w:hint="eastAsia"/>
          <w:vertAlign w:val="superscript"/>
          <w:lang w:val="en-US"/>
        </w:rPr>
        <w:t>5</w:t>
      </w:r>
      <w:r w:rsidRPr="0027724D">
        <w:rPr>
          <w:lang w:val="en-US"/>
        </w:rPr>
        <w:t> </w:t>
      </w:r>
      <w:r>
        <w:sym w:font="Symbol" w:char="F071"/>
      </w:r>
      <w:r w:rsidRPr="0027724D">
        <w:rPr>
          <w:rFonts w:hint="eastAsia"/>
          <w:vertAlign w:val="superscript"/>
          <w:lang w:val="en-US"/>
        </w:rPr>
        <w:t>5</w:t>
      </w:r>
      <w:r w:rsidRPr="0027724D">
        <w:rPr>
          <w:lang w:val="en-US"/>
        </w:rPr>
        <w:t> </w:t>
      </w:r>
      <w:r>
        <w:rPr>
          <w:rFonts w:ascii="Symbol" w:hAnsi="Symbol"/>
          <w:lang w:val="en-US"/>
        </w:rPr>
        <w:t></w:t>
      </w:r>
      <w:r w:rsidRPr="0027724D">
        <w:rPr>
          <w:lang w:val="en-US"/>
        </w:rPr>
        <w:t> </w:t>
      </w:r>
      <w:r w:rsidRPr="0027724D">
        <w:rPr>
          <w:rFonts w:hint="eastAsia"/>
          <w:lang w:val="en-US"/>
        </w:rPr>
        <w:t>0</w:t>
      </w:r>
      <w:r w:rsidRPr="0027724D">
        <w:rPr>
          <w:lang w:val="en-US"/>
        </w:rPr>
        <w:t>.</w:t>
      </w:r>
      <w:r w:rsidRPr="0027724D">
        <w:rPr>
          <w:rFonts w:hint="eastAsia"/>
          <w:lang w:val="en-US"/>
        </w:rPr>
        <w:t>67150</w:t>
      </w:r>
      <w:r w:rsidRPr="0027724D">
        <w:rPr>
          <w:lang w:val="en-US"/>
        </w:rPr>
        <w:t> </w:t>
      </w:r>
      <w:r>
        <w:rPr>
          <w:rFonts w:ascii="Symbol" w:hAnsi="Symbol"/>
        </w:rPr>
        <w:t></w:t>
      </w:r>
      <w:r w:rsidRPr="0027724D">
        <w:rPr>
          <w:lang w:val="en-US"/>
        </w:rPr>
        <w:t> </w:t>
      </w:r>
      <w:r w:rsidRPr="0027724D">
        <w:rPr>
          <w:rFonts w:hint="eastAsia"/>
          <w:lang w:val="en-US"/>
        </w:rPr>
        <w:t>10</w:t>
      </w:r>
      <w:r w:rsidRPr="0027724D">
        <w:rPr>
          <w:vertAlign w:val="superscript"/>
          <w:lang w:val="en-US"/>
        </w:rPr>
        <w:t>–</w:t>
      </w:r>
      <w:r w:rsidRPr="0027724D">
        <w:rPr>
          <w:rFonts w:hint="eastAsia"/>
          <w:vertAlign w:val="superscript"/>
          <w:lang w:val="en-US"/>
        </w:rPr>
        <w:t>8</w:t>
      </w:r>
      <w:r w:rsidRPr="0027724D">
        <w:rPr>
          <w:lang w:val="en-US"/>
        </w:rPr>
        <w:t> </w:t>
      </w:r>
      <w:r>
        <w:sym w:font="Symbol" w:char="F071"/>
      </w:r>
      <w:r w:rsidRPr="0027724D">
        <w:rPr>
          <w:rFonts w:hint="eastAsia"/>
          <w:vertAlign w:val="superscript"/>
          <w:lang w:val="en-US"/>
        </w:rPr>
        <w:t>6</w:t>
      </w:r>
      <w:r w:rsidRPr="0027724D">
        <w:rPr>
          <w:lang w:val="en-US"/>
        </w:rPr>
        <w:t> </w:t>
      </w:r>
      <w:r>
        <w:rPr>
          <w:rFonts w:ascii="Symbol" w:hAnsi="Symbol"/>
          <w:lang w:val="en-US"/>
        </w:rPr>
        <w:t></w:t>
      </w:r>
      <w:r w:rsidRPr="0027724D">
        <w:rPr>
          <w:lang w:val="en-US"/>
        </w:rPr>
        <w:t> </w:t>
      </w:r>
      <w:r w:rsidRPr="0027724D">
        <w:rPr>
          <w:rFonts w:hint="eastAsia"/>
          <w:i/>
          <w:lang w:val="en-US"/>
        </w:rPr>
        <w:t>h</w:t>
      </w:r>
      <w:r w:rsidRPr="0027724D">
        <w:rPr>
          <w:lang w:val="en-US"/>
        </w:rPr>
        <w:t> </w:t>
      </w:r>
      <w:r w:rsidRPr="0027724D">
        <w:rPr>
          <w:rFonts w:hint="eastAsia"/>
          <w:lang w:val="en-US"/>
        </w:rPr>
        <w:t>(0</w:t>
      </w:r>
      <w:r w:rsidRPr="0027724D">
        <w:rPr>
          <w:lang w:val="en-US"/>
        </w:rPr>
        <w:t>.</w:t>
      </w:r>
      <w:r w:rsidRPr="0027724D">
        <w:rPr>
          <w:rFonts w:hint="eastAsia"/>
          <w:lang w:val="en-US"/>
        </w:rPr>
        <w:t>23568</w:t>
      </w:r>
      <w:r w:rsidRPr="0027724D">
        <w:rPr>
          <w:lang w:val="en-US"/>
        </w:rPr>
        <w:t> </w:t>
      </w:r>
      <w:r>
        <w:rPr>
          <w:rFonts w:ascii="Symbol" w:hAnsi="Symbol"/>
          <w:lang w:val="en-US"/>
        </w:rPr>
        <w:t></w:t>
      </w:r>
      <w:r w:rsidRPr="0027724D">
        <w:rPr>
          <w:lang w:val="en-US"/>
        </w:rPr>
        <w:t> </w:t>
      </w:r>
      <w:r w:rsidRPr="0027724D">
        <w:rPr>
          <w:rFonts w:hint="eastAsia"/>
          <w:lang w:val="en-US"/>
        </w:rPr>
        <w:t>0</w:t>
      </w:r>
      <w:r w:rsidRPr="0027724D">
        <w:rPr>
          <w:lang w:val="en-US"/>
        </w:rPr>
        <w:t>.</w:t>
      </w:r>
      <w:r w:rsidRPr="0027724D">
        <w:rPr>
          <w:rFonts w:hint="eastAsia"/>
          <w:lang w:val="en-US"/>
        </w:rPr>
        <w:t>17708</w:t>
      </w:r>
      <w:r w:rsidRPr="0027724D">
        <w:rPr>
          <w:lang w:val="en-US"/>
        </w:rPr>
        <w:t> </w:t>
      </w:r>
      <w:r>
        <w:sym w:font="Symbol" w:char="F071"/>
      </w:r>
      <w:r w:rsidRPr="0027724D">
        <w:rPr>
          <w:lang w:val="en-US"/>
        </w:rPr>
        <w:t> </w:t>
      </w:r>
      <w:r>
        <w:rPr>
          <w:rFonts w:ascii="Symbol" w:hAnsi="Symbol"/>
          <w:lang w:val="en-US"/>
        </w:rPr>
        <w:t></w:t>
      </w:r>
      <w:r w:rsidRPr="0027724D">
        <w:rPr>
          <w:lang w:val="en-US"/>
        </w:rPr>
        <w:br/>
      </w:r>
      <w:r w:rsidRPr="0027724D">
        <w:rPr>
          <w:lang w:val="en-US"/>
        </w:rPr>
        <w:tab/>
      </w:r>
      <w:r w:rsidRPr="0027724D">
        <w:rPr>
          <w:lang w:val="en-US"/>
        </w:rPr>
        <w:tab/>
      </w:r>
      <w:r w:rsidRPr="0027724D">
        <w:rPr>
          <w:rFonts w:hint="eastAsia"/>
          <w:lang w:val="en-US"/>
        </w:rPr>
        <w:t>0</w:t>
      </w:r>
      <w:r w:rsidRPr="0027724D">
        <w:rPr>
          <w:lang w:val="en-US"/>
        </w:rPr>
        <w:t>.</w:t>
      </w:r>
      <w:r w:rsidRPr="0027724D">
        <w:rPr>
          <w:rFonts w:hint="eastAsia"/>
          <w:lang w:val="en-US"/>
        </w:rPr>
        <w:t>0022801</w:t>
      </w:r>
      <w:r w:rsidRPr="0027724D">
        <w:rPr>
          <w:lang w:val="en-US"/>
        </w:rPr>
        <w:t> </w:t>
      </w:r>
      <w:r>
        <w:sym w:font="Symbol" w:char="F071"/>
      </w:r>
      <w:r w:rsidRPr="0027724D">
        <w:rPr>
          <w:rFonts w:hint="eastAsia"/>
          <w:vertAlign w:val="superscript"/>
          <w:lang w:val="en-US"/>
        </w:rPr>
        <w:t>2</w:t>
      </w:r>
      <w:r w:rsidRPr="0027724D">
        <w:rPr>
          <w:rFonts w:hint="eastAsia"/>
          <w:lang w:val="en-US"/>
        </w:rPr>
        <w:t>)</w:t>
      </w:r>
      <w:r w:rsidRPr="0027724D">
        <w:rPr>
          <w:lang w:val="en-US"/>
        </w:rPr>
        <w:t> </w:t>
      </w:r>
      <w:r>
        <w:rPr>
          <w:rFonts w:ascii="Symbol" w:hAnsi="Symbol"/>
          <w:lang w:val="en-US"/>
        </w:rPr>
        <w:t></w:t>
      </w:r>
      <w:r w:rsidRPr="0027724D">
        <w:rPr>
          <w:lang w:val="en-US"/>
        </w:rPr>
        <w:t> </w:t>
      </w:r>
      <w:r w:rsidRPr="0027724D">
        <w:rPr>
          <w:rFonts w:hint="eastAsia"/>
          <w:i/>
          <w:lang w:val="en-US"/>
        </w:rPr>
        <w:t>h</w:t>
      </w:r>
      <w:r w:rsidRPr="0027724D">
        <w:rPr>
          <w:rFonts w:hint="eastAsia"/>
          <w:vertAlign w:val="superscript"/>
          <w:lang w:val="en-US"/>
        </w:rPr>
        <w:t>2</w:t>
      </w:r>
      <w:r w:rsidRPr="0027724D">
        <w:rPr>
          <w:lang w:val="en-US"/>
        </w:rPr>
        <w:t> </w:t>
      </w:r>
      <w:r w:rsidRPr="0027724D">
        <w:rPr>
          <w:rFonts w:hint="eastAsia"/>
          <w:lang w:val="en-US"/>
        </w:rPr>
        <w:t>(0</w:t>
      </w:r>
      <w:r w:rsidRPr="0027724D">
        <w:rPr>
          <w:lang w:val="en-US"/>
        </w:rPr>
        <w:t>.</w:t>
      </w:r>
      <w:r w:rsidRPr="0027724D">
        <w:rPr>
          <w:rFonts w:hint="eastAsia"/>
          <w:lang w:val="en-US"/>
        </w:rPr>
        <w:t>052633</w:t>
      </w:r>
      <w:r w:rsidRPr="0027724D">
        <w:rPr>
          <w:lang w:val="en-US"/>
        </w:rPr>
        <w:t> </w:t>
      </w:r>
      <w:r>
        <w:rPr>
          <w:rFonts w:ascii="Symbol" w:hAnsi="Symbol"/>
          <w:lang w:val="en-US"/>
        </w:rPr>
        <w:t></w:t>
      </w:r>
      <w:r w:rsidRPr="0027724D">
        <w:rPr>
          <w:lang w:val="en-US"/>
        </w:rPr>
        <w:t> </w:t>
      </w:r>
      <w:r w:rsidRPr="0027724D">
        <w:rPr>
          <w:rFonts w:hint="eastAsia"/>
          <w:lang w:val="en-US"/>
        </w:rPr>
        <w:t>0</w:t>
      </w:r>
      <w:r w:rsidRPr="0027724D">
        <w:rPr>
          <w:lang w:val="en-US"/>
        </w:rPr>
        <w:t>.</w:t>
      </w:r>
      <w:r w:rsidRPr="0027724D">
        <w:rPr>
          <w:rFonts w:hint="eastAsia"/>
          <w:lang w:val="en-US"/>
        </w:rPr>
        <w:t>033709</w:t>
      </w:r>
      <w:r w:rsidRPr="0027724D">
        <w:rPr>
          <w:lang w:val="en-US"/>
        </w:rPr>
        <w:t> </w:t>
      </w:r>
      <w:r>
        <w:sym w:font="Symbol" w:char="F071"/>
      </w:r>
      <w:r w:rsidRPr="0027724D">
        <w:rPr>
          <w:rFonts w:hint="eastAsia"/>
          <w:lang w:val="en-US"/>
        </w:rPr>
        <w:t>)]</w:t>
      </w:r>
      <w:r w:rsidRPr="0027724D">
        <w:rPr>
          <w:rFonts w:hint="eastAsia"/>
          <w:lang w:val="en-US"/>
        </w:rPr>
        <w:tab/>
        <w:t>(10b)</w:t>
      </w:r>
    </w:p>
    <w:p w:rsidR="00B9359B" w:rsidRPr="0027724D" w:rsidRDefault="009A5268">
      <w:pPr>
        <w:pStyle w:val="Equation"/>
        <w:tabs>
          <w:tab w:val="clear" w:pos="794"/>
          <w:tab w:val="clear" w:pos="4820"/>
          <w:tab w:val="left" w:pos="540"/>
          <w:tab w:val="left" w:pos="1652"/>
        </w:tabs>
        <w:jc w:val="left"/>
        <w:rPr>
          <w:lang w:val="en-US"/>
        </w:rPr>
      </w:pPr>
      <w:r w:rsidRPr="0027724D">
        <w:rPr>
          <w:i/>
          <w:lang w:val="en-US"/>
        </w:rPr>
        <w:tab/>
      </w:r>
      <w:r w:rsidRPr="0027724D">
        <w:rPr>
          <w:rFonts w:hint="eastAsia"/>
          <w:i/>
          <w:lang w:val="en-US"/>
        </w:rPr>
        <w:t>A</w:t>
      </w:r>
      <w:r w:rsidRPr="0027724D">
        <w:rPr>
          <w:rFonts w:hint="eastAsia"/>
          <w:i/>
          <w:vertAlign w:val="subscript"/>
          <w:lang w:val="en-US"/>
        </w:rPr>
        <w:t>H</w:t>
      </w:r>
      <w:r w:rsidRPr="0027724D">
        <w:rPr>
          <w:i/>
          <w:vertAlign w:val="subscript"/>
          <w:lang w:val="en-US"/>
        </w:rPr>
        <w:t> </w:t>
      </w:r>
      <w:r w:rsidRPr="0027724D">
        <w:rPr>
          <w:rFonts w:hint="eastAsia"/>
          <w:lang w:val="en-US"/>
        </w:rPr>
        <w:t>(</w:t>
      </w:r>
      <w:r w:rsidRPr="0027724D">
        <w:rPr>
          <w:rFonts w:hint="eastAsia"/>
          <w:i/>
          <w:lang w:val="en-US"/>
        </w:rPr>
        <w:t>h</w:t>
      </w:r>
      <w:r w:rsidRPr="0027724D">
        <w:rPr>
          <w:rFonts w:hint="eastAsia"/>
          <w:lang w:val="en-US"/>
        </w:rPr>
        <w:t xml:space="preserve">, </w:t>
      </w:r>
      <w:r>
        <w:rPr>
          <w:rFonts w:ascii="Symbol" w:hAnsi="Symbol"/>
        </w:rPr>
        <w:sym w:font="Symbol" w:char="F071"/>
      </w:r>
      <w:r w:rsidRPr="0027724D">
        <w:rPr>
          <w:rFonts w:hint="eastAsia"/>
          <w:lang w:val="en-US"/>
        </w:rPr>
        <w:t>)</w:t>
      </w:r>
      <w:r w:rsidRPr="0027724D">
        <w:rPr>
          <w:lang w:val="en-US"/>
        </w:rPr>
        <w:t> </w:t>
      </w:r>
      <w:r>
        <w:rPr>
          <w:rFonts w:ascii="Symbol" w:hAnsi="Symbol"/>
          <w:lang w:val="es-ES"/>
        </w:rPr>
        <w:t></w:t>
      </w:r>
      <w:r w:rsidRPr="0027724D">
        <w:rPr>
          <w:lang w:val="en-US"/>
        </w:rPr>
        <w:tab/>
      </w:r>
      <w:r w:rsidRPr="0027724D">
        <w:rPr>
          <w:rFonts w:hint="eastAsia"/>
          <w:lang w:val="en-US"/>
        </w:rPr>
        <w:t>93</w:t>
      </w:r>
      <w:r w:rsidRPr="0027724D">
        <w:rPr>
          <w:lang w:val="en-US"/>
        </w:rPr>
        <w:t>.</w:t>
      </w:r>
      <w:r w:rsidRPr="0027724D">
        <w:rPr>
          <w:rFonts w:hint="eastAsia"/>
          <w:lang w:val="en-US"/>
        </w:rPr>
        <w:t>17</w:t>
      </w:r>
      <w:r w:rsidRPr="0027724D">
        <w:rPr>
          <w:lang w:val="en-US"/>
        </w:rPr>
        <w:t> </w:t>
      </w:r>
      <w:r w:rsidRPr="0027724D">
        <w:rPr>
          <w:rFonts w:hint="eastAsia"/>
          <w:lang w:val="en-US"/>
        </w:rPr>
        <w:t>/</w:t>
      </w:r>
      <w:r w:rsidRPr="0027724D">
        <w:rPr>
          <w:lang w:val="en-US"/>
        </w:rPr>
        <w:t> </w:t>
      </w:r>
      <w:r w:rsidRPr="0027724D">
        <w:rPr>
          <w:rFonts w:hint="eastAsia"/>
          <w:lang w:val="en-US"/>
        </w:rPr>
        <w:t>[1</w:t>
      </w:r>
      <w:r w:rsidRPr="0027724D">
        <w:rPr>
          <w:lang w:val="en-US"/>
        </w:rPr>
        <w:t> </w:t>
      </w:r>
      <w:r>
        <w:rPr>
          <w:rFonts w:ascii="Symbol" w:hAnsi="Symbol"/>
          <w:lang w:val="en-US"/>
        </w:rPr>
        <w:t></w:t>
      </w:r>
      <w:r w:rsidRPr="0027724D">
        <w:rPr>
          <w:lang w:val="en-US"/>
        </w:rPr>
        <w:t> </w:t>
      </w:r>
      <w:r w:rsidRPr="0027724D">
        <w:rPr>
          <w:rFonts w:hint="eastAsia"/>
          <w:lang w:val="en-US"/>
        </w:rPr>
        <w:t>0</w:t>
      </w:r>
      <w:r w:rsidRPr="0027724D">
        <w:rPr>
          <w:lang w:val="en-US"/>
        </w:rPr>
        <w:t>.</w:t>
      </w:r>
      <w:r w:rsidRPr="0027724D">
        <w:rPr>
          <w:rFonts w:hint="eastAsia"/>
          <w:lang w:val="en-US"/>
        </w:rPr>
        <w:t>65343</w:t>
      </w:r>
      <w:r w:rsidRPr="0027724D">
        <w:rPr>
          <w:lang w:val="en-US"/>
        </w:rPr>
        <w:t> </w:t>
      </w:r>
      <w:r>
        <w:sym w:font="Symbol" w:char="F071"/>
      </w:r>
      <w:r w:rsidRPr="0027724D">
        <w:rPr>
          <w:lang w:val="en-US"/>
        </w:rPr>
        <w:t> </w:t>
      </w:r>
      <w:r>
        <w:rPr>
          <w:rFonts w:ascii="Symbol" w:hAnsi="Symbol"/>
          <w:lang w:val="en-US"/>
        </w:rPr>
        <w:t></w:t>
      </w:r>
      <w:r w:rsidRPr="0027724D">
        <w:rPr>
          <w:lang w:val="en-US"/>
        </w:rPr>
        <w:t> </w:t>
      </w:r>
      <w:r w:rsidRPr="0027724D">
        <w:rPr>
          <w:rFonts w:hint="eastAsia"/>
          <w:lang w:val="en-US"/>
        </w:rPr>
        <w:t>0</w:t>
      </w:r>
      <w:r w:rsidRPr="0027724D">
        <w:rPr>
          <w:lang w:val="en-US"/>
        </w:rPr>
        <w:t>.</w:t>
      </w:r>
      <w:r w:rsidRPr="0027724D">
        <w:rPr>
          <w:rFonts w:hint="eastAsia"/>
          <w:lang w:val="en-US"/>
        </w:rPr>
        <w:t>061286</w:t>
      </w:r>
      <w:r w:rsidRPr="0027724D">
        <w:rPr>
          <w:lang w:val="en-US"/>
        </w:rPr>
        <w:t> </w:t>
      </w:r>
      <w:r>
        <w:sym w:font="Symbol" w:char="F071"/>
      </w:r>
      <w:r w:rsidRPr="0027724D">
        <w:rPr>
          <w:rFonts w:hint="eastAsia"/>
          <w:vertAlign w:val="superscript"/>
          <w:lang w:val="en-US"/>
        </w:rPr>
        <w:t>2</w:t>
      </w:r>
      <w:r w:rsidRPr="0027724D">
        <w:rPr>
          <w:lang w:val="en-US"/>
        </w:rPr>
        <w:t> – </w:t>
      </w:r>
      <w:r w:rsidRPr="0027724D">
        <w:rPr>
          <w:rFonts w:hint="eastAsia"/>
          <w:lang w:val="en-US"/>
        </w:rPr>
        <w:t>0</w:t>
      </w:r>
      <w:r w:rsidRPr="0027724D">
        <w:rPr>
          <w:lang w:val="en-US"/>
        </w:rPr>
        <w:t>.</w:t>
      </w:r>
      <w:r w:rsidRPr="0027724D">
        <w:rPr>
          <w:rFonts w:hint="eastAsia"/>
          <w:lang w:val="en-US"/>
        </w:rPr>
        <w:t>0045343</w:t>
      </w:r>
      <w:r w:rsidRPr="0027724D">
        <w:rPr>
          <w:lang w:val="en-US"/>
        </w:rPr>
        <w:t> </w:t>
      </w:r>
      <w:r>
        <w:sym w:font="Symbol" w:char="F071"/>
      </w:r>
      <w:r w:rsidRPr="0027724D">
        <w:rPr>
          <w:rFonts w:hint="eastAsia"/>
          <w:vertAlign w:val="superscript"/>
          <w:lang w:val="en-US"/>
        </w:rPr>
        <w:t>3</w:t>
      </w:r>
      <w:r w:rsidRPr="0027724D">
        <w:rPr>
          <w:lang w:val="en-US"/>
        </w:rPr>
        <w:t> </w:t>
      </w:r>
      <w:r>
        <w:rPr>
          <w:rFonts w:ascii="Symbol" w:hAnsi="Symbol"/>
          <w:lang w:val="en-US"/>
        </w:rPr>
        <w:t></w:t>
      </w:r>
      <w:r w:rsidRPr="0027724D">
        <w:rPr>
          <w:lang w:val="en-US"/>
        </w:rPr>
        <w:t> </w:t>
      </w:r>
      <w:r w:rsidRPr="0027724D">
        <w:rPr>
          <w:rFonts w:hint="eastAsia"/>
          <w:lang w:val="en-US"/>
        </w:rPr>
        <w:t>0</w:t>
      </w:r>
      <w:r w:rsidRPr="0027724D">
        <w:rPr>
          <w:lang w:val="en-US"/>
        </w:rPr>
        <w:t>.</w:t>
      </w:r>
      <w:r w:rsidRPr="0027724D">
        <w:rPr>
          <w:rFonts w:hint="eastAsia"/>
          <w:lang w:val="en-US"/>
        </w:rPr>
        <w:t>00013177</w:t>
      </w:r>
      <w:r w:rsidRPr="0027724D">
        <w:rPr>
          <w:lang w:val="en-US"/>
        </w:rPr>
        <w:t> </w:t>
      </w:r>
      <w:r>
        <w:sym w:font="Symbol" w:char="F071"/>
      </w:r>
      <w:r w:rsidRPr="0027724D">
        <w:rPr>
          <w:rFonts w:hint="eastAsia"/>
          <w:vertAlign w:val="superscript"/>
          <w:lang w:val="en-US"/>
        </w:rPr>
        <w:t>4</w:t>
      </w:r>
      <w:r w:rsidRPr="0027724D">
        <w:rPr>
          <w:lang w:val="en-US"/>
        </w:rPr>
        <w:t> –</w:t>
      </w:r>
      <w:r w:rsidRPr="0027724D">
        <w:rPr>
          <w:vertAlign w:val="superscript"/>
          <w:lang w:val="en-US"/>
        </w:rPr>
        <w:br/>
      </w:r>
      <w:r w:rsidRPr="0027724D">
        <w:rPr>
          <w:lang w:val="en-US"/>
        </w:rPr>
        <w:tab/>
      </w:r>
      <w:r w:rsidRPr="0027724D">
        <w:rPr>
          <w:lang w:val="en-US"/>
        </w:rPr>
        <w:tab/>
      </w:r>
      <w:r w:rsidRPr="0027724D">
        <w:rPr>
          <w:rFonts w:hint="eastAsia"/>
          <w:lang w:val="en-US"/>
        </w:rPr>
        <w:t>0</w:t>
      </w:r>
      <w:r w:rsidRPr="0027724D">
        <w:rPr>
          <w:lang w:val="en-US"/>
        </w:rPr>
        <w:t>.</w:t>
      </w:r>
      <w:r w:rsidRPr="0027724D">
        <w:rPr>
          <w:rFonts w:hint="eastAsia"/>
          <w:lang w:val="en-US"/>
        </w:rPr>
        <w:t>16120</w:t>
      </w:r>
      <w:r w:rsidRPr="0027724D">
        <w:rPr>
          <w:lang w:val="en-US"/>
        </w:rPr>
        <w:t> </w:t>
      </w:r>
      <w:r>
        <w:rPr>
          <w:rFonts w:ascii="Symbol" w:hAnsi="Symbol"/>
        </w:rPr>
        <w:t></w:t>
      </w:r>
      <w:r w:rsidRPr="0027724D">
        <w:rPr>
          <w:lang w:val="en-US"/>
        </w:rPr>
        <w:t> </w:t>
      </w:r>
      <w:r w:rsidRPr="0027724D">
        <w:rPr>
          <w:rFonts w:hint="eastAsia"/>
          <w:lang w:val="en-US"/>
        </w:rPr>
        <w:t>10</w:t>
      </w:r>
      <w:r w:rsidRPr="0027724D">
        <w:rPr>
          <w:vertAlign w:val="superscript"/>
          <w:lang w:val="en-US"/>
        </w:rPr>
        <w:t>–</w:t>
      </w:r>
      <w:r w:rsidRPr="0027724D">
        <w:rPr>
          <w:rFonts w:hint="eastAsia"/>
          <w:vertAlign w:val="superscript"/>
          <w:lang w:val="en-US"/>
        </w:rPr>
        <w:t>5</w:t>
      </w:r>
      <w:r w:rsidRPr="0027724D">
        <w:rPr>
          <w:lang w:val="en-US"/>
        </w:rPr>
        <w:t> </w:t>
      </w:r>
      <w:r>
        <w:sym w:font="Symbol" w:char="F071"/>
      </w:r>
      <w:r w:rsidRPr="0027724D">
        <w:rPr>
          <w:rFonts w:hint="eastAsia"/>
          <w:vertAlign w:val="superscript"/>
          <w:lang w:val="en-US"/>
        </w:rPr>
        <w:t>5</w:t>
      </w:r>
      <w:r w:rsidRPr="0027724D">
        <w:rPr>
          <w:lang w:val="en-US"/>
        </w:rPr>
        <w:t> </w:t>
      </w:r>
      <w:r>
        <w:rPr>
          <w:rFonts w:ascii="Symbol" w:hAnsi="Symbol"/>
          <w:lang w:val="en-US"/>
        </w:rPr>
        <w:t></w:t>
      </w:r>
      <w:r w:rsidRPr="0027724D">
        <w:rPr>
          <w:lang w:val="en-US"/>
        </w:rPr>
        <w:t> </w:t>
      </w:r>
      <w:r w:rsidRPr="0027724D">
        <w:rPr>
          <w:rFonts w:hint="eastAsia"/>
          <w:lang w:val="en-US"/>
        </w:rPr>
        <w:t>0</w:t>
      </w:r>
      <w:r w:rsidRPr="0027724D">
        <w:rPr>
          <w:lang w:val="en-US"/>
        </w:rPr>
        <w:t>.</w:t>
      </w:r>
      <w:r w:rsidRPr="0027724D">
        <w:rPr>
          <w:rFonts w:hint="eastAsia"/>
          <w:lang w:val="en-US"/>
        </w:rPr>
        <w:t>69120</w:t>
      </w:r>
      <w:r w:rsidRPr="0027724D">
        <w:rPr>
          <w:lang w:val="en-US"/>
        </w:rPr>
        <w:t> </w:t>
      </w:r>
      <w:r>
        <w:rPr>
          <w:rFonts w:ascii="Symbol" w:hAnsi="Symbol"/>
        </w:rPr>
        <w:t></w:t>
      </w:r>
      <w:r w:rsidRPr="0027724D">
        <w:rPr>
          <w:lang w:val="en-US"/>
        </w:rPr>
        <w:t> </w:t>
      </w:r>
      <w:r w:rsidRPr="0027724D">
        <w:rPr>
          <w:rFonts w:hint="eastAsia"/>
          <w:lang w:val="en-US"/>
        </w:rPr>
        <w:t>10</w:t>
      </w:r>
      <w:r w:rsidRPr="0027724D">
        <w:rPr>
          <w:vertAlign w:val="superscript"/>
          <w:lang w:val="en-US"/>
        </w:rPr>
        <w:t>–</w:t>
      </w:r>
      <w:r w:rsidRPr="0027724D">
        <w:rPr>
          <w:rFonts w:hint="eastAsia"/>
          <w:vertAlign w:val="superscript"/>
          <w:lang w:val="en-US"/>
        </w:rPr>
        <w:t>8</w:t>
      </w:r>
      <w:r w:rsidRPr="0027724D">
        <w:rPr>
          <w:lang w:val="en-US"/>
        </w:rPr>
        <w:t> </w:t>
      </w:r>
      <w:r>
        <w:sym w:font="Symbol" w:char="F071"/>
      </w:r>
      <w:r w:rsidRPr="0027724D">
        <w:rPr>
          <w:rFonts w:hint="eastAsia"/>
          <w:vertAlign w:val="superscript"/>
          <w:lang w:val="en-US"/>
        </w:rPr>
        <w:t>6</w:t>
      </w:r>
      <w:r w:rsidRPr="0027724D">
        <w:rPr>
          <w:lang w:val="en-US"/>
        </w:rPr>
        <w:t> </w:t>
      </w:r>
      <w:r>
        <w:rPr>
          <w:rFonts w:ascii="Symbol" w:hAnsi="Symbol"/>
          <w:lang w:val="en-US"/>
        </w:rPr>
        <w:t></w:t>
      </w:r>
      <w:r w:rsidRPr="0027724D">
        <w:rPr>
          <w:lang w:val="en-US"/>
        </w:rPr>
        <w:t> </w:t>
      </w:r>
      <w:r w:rsidRPr="0027724D">
        <w:rPr>
          <w:rFonts w:hint="eastAsia"/>
          <w:i/>
          <w:lang w:val="en-US"/>
        </w:rPr>
        <w:t>h</w:t>
      </w:r>
      <w:r w:rsidRPr="0027724D">
        <w:rPr>
          <w:lang w:val="en-US"/>
        </w:rPr>
        <w:t> </w:t>
      </w:r>
      <w:r w:rsidRPr="0027724D">
        <w:rPr>
          <w:rFonts w:hint="eastAsia"/>
          <w:lang w:val="en-US"/>
        </w:rPr>
        <w:t>(0</w:t>
      </w:r>
      <w:r w:rsidRPr="0027724D">
        <w:rPr>
          <w:lang w:val="en-US"/>
        </w:rPr>
        <w:t>.</w:t>
      </w:r>
      <w:r w:rsidRPr="0027724D">
        <w:rPr>
          <w:rFonts w:hint="eastAsia"/>
          <w:lang w:val="en-US"/>
        </w:rPr>
        <w:t>24860</w:t>
      </w:r>
      <w:r w:rsidRPr="0027724D">
        <w:rPr>
          <w:lang w:val="en-US"/>
        </w:rPr>
        <w:t> </w:t>
      </w:r>
      <w:r>
        <w:rPr>
          <w:rFonts w:ascii="Symbol" w:hAnsi="Symbol"/>
          <w:lang w:val="en-US"/>
        </w:rPr>
        <w:t></w:t>
      </w:r>
      <w:r w:rsidRPr="0027724D">
        <w:rPr>
          <w:lang w:val="en-US"/>
        </w:rPr>
        <w:t> </w:t>
      </w:r>
      <w:r w:rsidRPr="0027724D">
        <w:rPr>
          <w:rFonts w:hint="eastAsia"/>
          <w:lang w:val="en-US"/>
        </w:rPr>
        <w:t>0</w:t>
      </w:r>
      <w:r w:rsidRPr="0027724D">
        <w:rPr>
          <w:lang w:val="en-US"/>
        </w:rPr>
        <w:t>.</w:t>
      </w:r>
      <w:r w:rsidRPr="0027724D">
        <w:rPr>
          <w:rFonts w:hint="eastAsia"/>
          <w:lang w:val="en-US"/>
        </w:rPr>
        <w:t>16341</w:t>
      </w:r>
      <w:r w:rsidRPr="0027724D">
        <w:rPr>
          <w:lang w:val="en-US"/>
        </w:rPr>
        <w:t> </w:t>
      </w:r>
      <w:r>
        <w:sym w:font="Symbol" w:char="F071"/>
      </w:r>
      <w:r w:rsidRPr="0027724D">
        <w:rPr>
          <w:lang w:val="en-US"/>
        </w:rPr>
        <w:t> </w:t>
      </w:r>
      <w:r>
        <w:rPr>
          <w:rFonts w:ascii="Symbol" w:hAnsi="Symbol"/>
          <w:lang w:val="en-US"/>
        </w:rPr>
        <w:t></w:t>
      </w:r>
      <w:r w:rsidRPr="0027724D">
        <w:rPr>
          <w:lang w:val="en-US"/>
        </w:rPr>
        <w:br/>
      </w:r>
      <w:r w:rsidRPr="0027724D">
        <w:rPr>
          <w:lang w:val="en-US"/>
        </w:rPr>
        <w:tab/>
      </w:r>
      <w:r w:rsidRPr="0027724D">
        <w:rPr>
          <w:lang w:val="en-US"/>
        </w:rPr>
        <w:tab/>
      </w:r>
      <w:r w:rsidRPr="0027724D">
        <w:rPr>
          <w:rFonts w:hint="eastAsia"/>
          <w:lang w:val="en-US"/>
        </w:rPr>
        <w:t>0</w:t>
      </w:r>
      <w:r w:rsidRPr="0027724D">
        <w:rPr>
          <w:lang w:val="en-US"/>
        </w:rPr>
        <w:t>.</w:t>
      </w:r>
      <w:r w:rsidRPr="0027724D">
        <w:rPr>
          <w:rFonts w:hint="eastAsia"/>
          <w:lang w:val="en-US"/>
        </w:rPr>
        <w:t>0027123</w:t>
      </w:r>
      <w:r w:rsidRPr="0027724D">
        <w:rPr>
          <w:lang w:val="en-US"/>
        </w:rPr>
        <w:t> </w:t>
      </w:r>
      <w:r>
        <w:sym w:font="Symbol" w:char="F071"/>
      </w:r>
      <w:r w:rsidRPr="0027724D">
        <w:rPr>
          <w:rFonts w:hint="eastAsia"/>
          <w:vertAlign w:val="superscript"/>
          <w:lang w:val="en-US"/>
        </w:rPr>
        <w:t>2</w:t>
      </w:r>
      <w:r w:rsidRPr="0027724D">
        <w:rPr>
          <w:rFonts w:hint="eastAsia"/>
          <w:lang w:val="en-US"/>
        </w:rPr>
        <w:t>)</w:t>
      </w:r>
      <w:r w:rsidRPr="0027724D">
        <w:rPr>
          <w:lang w:val="en-US"/>
        </w:rPr>
        <w:t> </w:t>
      </w:r>
      <w:r>
        <w:rPr>
          <w:rFonts w:ascii="Symbol" w:hAnsi="Symbol"/>
          <w:lang w:val="en-US"/>
        </w:rPr>
        <w:t></w:t>
      </w:r>
      <w:r w:rsidRPr="0027724D">
        <w:rPr>
          <w:lang w:val="en-US"/>
        </w:rPr>
        <w:t> </w:t>
      </w:r>
      <w:r w:rsidRPr="0027724D">
        <w:rPr>
          <w:rFonts w:hint="eastAsia"/>
          <w:i/>
          <w:lang w:val="en-US"/>
        </w:rPr>
        <w:t>h</w:t>
      </w:r>
      <w:r w:rsidRPr="0027724D">
        <w:rPr>
          <w:rFonts w:hint="eastAsia"/>
          <w:vertAlign w:val="superscript"/>
          <w:lang w:val="en-US"/>
        </w:rPr>
        <w:t>2</w:t>
      </w:r>
      <w:r w:rsidRPr="0027724D">
        <w:rPr>
          <w:lang w:val="en-US"/>
        </w:rPr>
        <w:t> </w:t>
      </w:r>
      <w:r w:rsidRPr="0027724D">
        <w:rPr>
          <w:rFonts w:hint="eastAsia"/>
          <w:lang w:val="en-US"/>
        </w:rPr>
        <w:t>(0</w:t>
      </w:r>
      <w:r w:rsidRPr="0027724D">
        <w:rPr>
          <w:lang w:val="en-US"/>
        </w:rPr>
        <w:t>.</w:t>
      </w:r>
      <w:r w:rsidRPr="0027724D">
        <w:rPr>
          <w:rFonts w:hint="eastAsia"/>
          <w:lang w:val="en-US"/>
        </w:rPr>
        <w:t>047282</w:t>
      </w:r>
      <w:r w:rsidRPr="0027724D">
        <w:rPr>
          <w:lang w:val="en-US"/>
        </w:rPr>
        <w:t> </w:t>
      </w:r>
      <w:r>
        <w:rPr>
          <w:rFonts w:ascii="Symbol" w:hAnsi="Symbol"/>
          <w:lang w:val="en-US"/>
        </w:rPr>
        <w:t></w:t>
      </w:r>
      <w:r w:rsidRPr="0027724D">
        <w:rPr>
          <w:lang w:val="en-US"/>
        </w:rPr>
        <w:t> </w:t>
      </w:r>
      <w:r w:rsidRPr="0027724D">
        <w:rPr>
          <w:rFonts w:hint="eastAsia"/>
          <w:lang w:val="en-US"/>
        </w:rPr>
        <w:t>0</w:t>
      </w:r>
      <w:r w:rsidRPr="0027724D">
        <w:rPr>
          <w:lang w:val="en-US"/>
        </w:rPr>
        <w:t>.</w:t>
      </w:r>
      <w:r w:rsidRPr="0027724D">
        <w:rPr>
          <w:rFonts w:hint="eastAsia"/>
          <w:lang w:val="en-US"/>
        </w:rPr>
        <w:t>035113</w:t>
      </w:r>
      <w:r w:rsidRPr="0027724D">
        <w:rPr>
          <w:lang w:val="en-US"/>
        </w:rPr>
        <w:t> </w:t>
      </w:r>
      <w:r>
        <w:sym w:font="Symbol" w:char="F071"/>
      </w:r>
      <w:r w:rsidRPr="0027724D">
        <w:rPr>
          <w:rFonts w:hint="eastAsia"/>
          <w:lang w:val="en-US"/>
        </w:rPr>
        <w:t>)]</w:t>
      </w:r>
      <w:r w:rsidRPr="0027724D">
        <w:rPr>
          <w:rFonts w:hint="eastAsia"/>
          <w:lang w:val="en-US"/>
        </w:rPr>
        <w:tab/>
        <w:t>(10c)</w:t>
      </w:r>
    </w:p>
    <w:p w:rsidR="00B9359B" w:rsidRDefault="009A5268">
      <w:pPr>
        <w:pStyle w:val="Headingb"/>
        <w:rPr>
          <w:lang w:val="en-US"/>
        </w:rPr>
      </w:pPr>
      <w:r>
        <w:rPr>
          <w:rFonts w:hint="eastAsia"/>
          <w:lang w:val="en-US"/>
        </w:rPr>
        <w:t>Frequency band 52.6-52.8 GHz</w:t>
      </w:r>
    </w:p>
    <w:p w:rsidR="00B9359B" w:rsidRDefault="009A5268">
      <w:pPr>
        <w:pStyle w:val="Equation"/>
        <w:tabs>
          <w:tab w:val="clear" w:pos="794"/>
          <w:tab w:val="clear" w:pos="4820"/>
          <w:tab w:val="left" w:pos="540"/>
          <w:tab w:val="left" w:pos="1652"/>
        </w:tabs>
        <w:jc w:val="left"/>
        <w:rPr>
          <w:lang w:val="en-US"/>
        </w:rPr>
      </w:pPr>
      <w:r>
        <w:rPr>
          <w:i/>
          <w:lang w:val="en-US"/>
        </w:rPr>
        <w:tab/>
      </w:r>
      <w:r>
        <w:rPr>
          <w:rFonts w:hint="eastAsia"/>
          <w:i/>
          <w:lang w:val="en-US"/>
        </w:rPr>
        <w:t>A</w:t>
      </w:r>
      <w:r>
        <w:rPr>
          <w:rFonts w:hint="eastAsia"/>
          <w:i/>
          <w:vertAlign w:val="subscript"/>
          <w:lang w:val="en-US"/>
        </w:rPr>
        <w:t>L</w:t>
      </w:r>
      <w:r>
        <w:rPr>
          <w:i/>
          <w:vertAlign w:val="subscript"/>
          <w:lang w:val="en-US"/>
        </w:rPr>
        <w:t> </w:t>
      </w:r>
      <w:r>
        <w:rPr>
          <w:rFonts w:hint="eastAsia"/>
          <w:lang w:val="en-US"/>
        </w:rPr>
        <w:t>(</w:t>
      </w:r>
      <w:r>
        <w:rPr>
          <w:rFonts w:hint="eastAsia"/>
          <w:i/>
          <w:lang w:val="en-US"/>
        </w:rPr>
        <w:t>h</w:t>
      </w:r>
      <w:r>
        <w:rPr>
          <w:rFonts w:hint="eastAsia"/>
          <w:lang w:val="en-US"/>
        </w:rPr>
        <w:t xml:space="preserve">, </w:t>
      </w:r>
      <w:r>
        <w:rPr>
          <w:rFonts w:ascii="Symbol" w:hAnsi="Symbol"/>
        </w:rPr>
        <w:sym w:font="Symbol" w:char="F071"/>
      </w:r>
      <w:r>
        <w:rPr>
          <w:rFonts w:hint="eastAsia"/>
          <w:lang w:val="en-US"/>
        </w:rPr>
        <w:t>)</w:t>
      </w:r>
      <w:r>
        <w:rPr>
          <w:lang w:val="en-US"/>
        </w:rPr>
        <w:t> </w:t>
      </w:r>
      <w:r>
        <w:rPr>
          <w:rFonts w:ascii="Symbol" w:hAnsi="Symbol"/>
          <w:lang w:val="es-ES"/>
        </w:rPr>
        <w:t></w:t>
      </w:r>
      <w:r>
        <w:rPr>
          <w:lang w:val="en-US"/>
        </w:rPr>
        <w:tab/>
      </w:r>
      <w:r>
        <w:rPr>
          <w:rFonts w:hint="eastAsia"/>
          <w:lang w:val="en-US"/>
        </w:rPr>
        <w:t>243</w:t>
      </w:r>
      <w:r>
        <w:rPr>
          <w:lang w:val="en-US"/>
        </w:rPr>
        <w:t>.</w:t>
      </w:r>
      <w:r>
        <w:rPr>
          <w:rFonts w:hint="eastAsia"/>
          <w:lang w:val="en-US"/>
        </w:rPr>
        <w:t>6</w:t>
      </w:r>
      <w:r>
        <w:rPr>
          <w:lang w:val="en-US"/>
        </w:rPr>
        <w:t> </w:t>
      </w:r>
      <w:r>
        <w:rPr>
          <w:rFonts w:hint="eastAsia"/>
          <w:lang w:val="en-US"/>
        </w:rPr>
        <w:t>/</w:t>
      </w:r>
      <w:r>
        <w:rPr>
          <w:lang w:val="en-US"/>
        </w:rPr>
        <w:t> </w:t>
      </w:r>
      <w:r>
        <w:rPr>
          <w:rFonts w:hint="eastAsia"/>
          <w:lang w:val="en-US"/>
        </w:rPr>
        <w:t>[1</w:t>
      </w:r>
      <w:r>
        <w:rPr>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61184</w:t>
      </w:r>
      <w:r>
        <w:rPr>
          <w:lang w:val="en-US"/>
        </w:rPr>
        <w:t> </w:t>
      </w:r>
      <w:r>
        <w:sym w:font="Symbol" w:char="F071"/>
      </w:r>
      <w:r>
        <w:rPr>
          <w:i/>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035912</w:t>
      </w:r>
      <w:r>
        <w:rPr>
          <w:lang w:val="en-US"/>
        </w:rPr>
        <w:t> </w:t>
      </w:r>
      <w:r>
        <w:sym w:font="Symbol" w:char="F071"/>
      </w:r>
      <w:r>
        <w:rPr>
          <w:rFonts w:hint="eastAsia"/>
          <w:vertAlign w:val="superscript"/>
          <w:lang w:val="en-US"/>
        </w:rPr>
        <w:t>2</w:t>
      </w:r>
      <w:r>
        <w:rPr>
          <w:lang w:val="en-US"/>
        </w:rPr>
        <w:t> – </w:t>
      </w:r>
      <w:r>
        <w:rPr>
          <w:rFonts w:hint="eastAsia"/>
          <w:lang w:val="en-US"/>
        </w:rPr>
        <w:t>0</w:t>
      </w:r>
      <w:r>
        <w:rPr>
          <w:lang w:val="en-US"/>
        </w:rPr>
        <w:t>.</w:t>
      </w:r>
      <w:r>
        <w:rPr>
          <w:rFonts w:hint="eastAsia"/>
          <w:lang w:val="en-US"/>
        </w:rPr>
        <w:t>0018265</w:t>
      </w:r>
      <w:r>
        <w:rPr>
          <w:lang w:val="en-US"/>
        </w:rPr>
        <w:t> </w:t>
      </w:r>
      <w:r>
        <w:sym w:font="Symbol" w:char="F071"/>
      </w:r>
      <w:r>
        <w:rPr>
          <w:rFonts w:hint="eastAsia"/>
          <w:vertAlign w:val="superscript"/>
          <w:lang w:val="en-US"/>
        </w:rPr>
        <w:t>3</w:t>
      </w:r>
      <w:r>
        <w:rPr>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40052</w:t>
      </w:r>
      <w:r>
        <w:rPr>
          <w:lang w:val="en-US"/>
        </w:rPr>
        <w:t> </w:t>
      </w:r>
      <w:r>
        <w:rPr>
          <w:rFonts w:ascii="Symbol" w:hAnsi="Symbol"/>
        </w:rPr>
        <w:t></w:t>
      </w:r>
      <w:r>
        <w:rPr>
          <w:lang w:val="en-US"/>
        </w:rPr>
        <w:t> </w:t>
      </w:r>
      <w:r>
        <w:rPr>
          <w:rFonts w:hint="eastAsia"/>
          <w:lang w:val="en-US"/>
        </w:rPr>
        <w:t>10</w:t>
      </w:r>
      <w:r>
        <w:rPr>
          <w:vertAlign w:val="superscript"/>
          <w:lang w:val="en-US"/>
        </w:rPr>
        <w:t>–</w:t>
      </w:r>
      <w:r>
        <w:rPr>
          <w:sz w:val="4"/>
          <w:vertAlign w:val="superscript"/>
          <w:lang w:val="en-US"/>
        </w:rPr>
        <w:t xml:space="preserve"> </w:t>
      </w:r>
      <w:r>
        <w:rPr>
          <w:rFonts w:hint="eastAsia"/>
          <w:vertAlign w:val="superscript"/>
          <w:lang w:val="en-US"/>
        </w:rPr>
        <w:t>4</w:t>
      </w:r>
      <w:r>
        <w:rPr>
          <w:lang w:val="en-US"/>
        </w:rPr>
        <w:t> </w:t>
      </w:r>
      <w:r>
        <w:sym w:font="Symbol" w:char="F071"/>
      </w:r>
      <w:r>
        <w:rPr>
          <w:rFonts w:hint="eastAsia"/>
          <w:vertAlign w:val="superscript"/>
          <w:lang w:val="en-US"/>
        </w:rPr>
        <w:t>4</w:t>
      </w:r>
      <w:r>
        <w:rPr>
          <w:lang w:val="en-US"/>
        </w:rPr>
        <w:t> –</w:t>
      </w:r>
      <w:r>
        <w:rPr>
          <w:vertAlign w:val="superscript"/>
          <w:lang w:val="en-US"/>
        </w:rPr>
        <w:br/>
      </w:r>
      <w:r>
        <w:rPr>
          <w:lang w:val="en-US"/>
        </w:rPr>
        <w:tab/>
      </w:r>
      <w:r>
        <w:rPr>
          <w:lang w:val="en-US"/>
        </w:rPr>
        <w:tab/>
      </w:r>
      <w:r>
        <w:rPr>
          <w:rFonts w:hint="eastAsia"/>
          <w:lang w:val="en-US"/>
        </w:rPr>
        <w:t>0</w:t>
      </w:r>
      <w:r>
        <w:rPr>
          <w:lang w:val="en-US"/>
        </w:rPr>
        <w:t>.</w:t>
      </w:r>
      <w:r>
        <w:rPr>
          <w:rFonts w:hint="eastAsia"/>
          <w:lang w:val="en-US"/>
        </w:rPr>
        <w:t>41231</w:t>
      </w:r>
      <w:r>
        <w:rPr>
          <w:lang w:val="en-US"/>
        </w:rPr>
        <w:t> </w:t>
      </w:r>
      <w:r>
        <w:rPr>
          <w:rFonts w:ascii="Symbol" w:hAnsi="Symbol"/>
        </w:rPr>
        <w:t></w:t>
      </w:r>
      <w:r>
        <w:rPr>
          <w:lang w:val="en-US"/>
        </w:rPr>
        <w:t> </w:t>
      </w:r>
      <w:r>
        <w:rPr>
          <w:rFonts w:hint="eastAsia"/>
          <w:lang w:val="en-US"/>
        </w:rPr>
        <w:t>10</w:t>
      </w:r>
      <w:r>
        <w:rPr>
          <w:vertAlign w:val="superscript"/>
          <w:lang w:val="en-US"/>
        </w:rPr>
        <w:t>–</w:t>
      </w:r>
      <w:r>
        <w:rPr>
          <w:rFonts w:hint="eastAsia"/>
          <w:vertAlign w:val="superscript"/>
          <w:lang w:val="en-US"/>
        </w:rPr>
        <w:t>6</w:t>
      </w:r>
      <w:r>
        <w:rPr>
          <w:lang w:val="en-US"/>
        </w:rPr>
        <w:t> </w:t>
      </w:r>
      <w:r>
        <w:sym w:font="Symbol" w:char="F071"/>
      </w:r>
      <w:r>
        <w:rPr>
          <w:rFonts w:hint="eastAsia"/>
          <w:vertAlign w:val="superscript"/>
          <w:lang w:val="en-US"/>
        </w:rPr>
        <w:t>5</w:t>
      </w:r>
      <w:r>
        <w:rPr>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15890</w:t>
      </w:r>
      <w:r>
        <w:rPr>
          <w:lang w:val="en-US"/>
        </w:rPr>
        <w:t> </w:t>
      </w:r>
      <w:r>
        <w:rPr>
          <w:rFonts w:ascii="Symbol" w:hAnsi="Symbol"/>
        </w:rPr>
        <w:t></w:t>
      </w:r>
      <w:r>
        <w:rPr>
          <w:lang w:val="en-US"/>
        </w:rPr>
        <w:t> </w:t>
      </w:r>
      <w:r>
        <w:rPr>
          <w:rFonts w:hint="eastAsia"/>
          <w:lang w:val="en-US"/>
        </w:rPr>
        <w:t>10</w:t>
      </w:r>
      <w:r>
        <w:rPr>
          <w:vertAlign w:val="superscript"/>
          <w:lang w:val="en-US"/>
        </w:rPr>
        <w:t>–</w:t>
      </w:r>
      <w:r>
        <w:rPr>
          <w:rFonts w:hint="eastAsia"/>
          <w:vertAlign w:val="superscript"/>
          <w:lang w:val="en-US"/>
        </w:rPr>
        <w:t>8</w:t>
      </w:r>
      <w:r>
        <w:rPr>
          <w:lang w:val="en-US"/>
        </w:rPr>
        <w:t> </w:t>
      </w:r>
      <w:r>
        <w:sym w:font="Symbol" w:char="F071"/>
      </w:r>
      <w:r>
        <w:rPr>
          <w:rFonts w:hint="eastAsia"/>
          <w:vertAlign w:val="superscript"/>
          <w:lang w:val="en-US"/>
        </w:rPr>
        <w:t>6</w:t>
      </w:r>
      <w:r>
        <w:rPr>
          <w:lang w:val="en-US"/>
        </w:rPr>
        <w:t> </w:t>
      </w:r>
      <w:r>
        <w:rPr>
          <w:rFonts w:ascii="Symbol" w:hAnsi="Symbol"/>
          <w:lang w:val="es-ES"/>
        </w:rPr>
        <w:t></w:t>
      </w:r>
      <w:r>
        <w:rPr>
          <w:lang w:val="en-US"/>
        </w:rPr>
        <w:t> </w:t>
      </w:r>
      <w:r>
        <w:rPr>
          <w:rFonts w:hint="eastAsia"/>
          <w:i/>
          <w:lang w:val="en-US"/>
        </w:rPr>
        <w:t>h</w:t>
      </w:r>
      <w:r>
        <w:rPr>
          <w:lang w:val="en-US"/>
        </w:rPr>
        <w:t> </w:t>
      </w:r>
      <w:r>
        <w:rPr>
          <w:rFonts w:hint="eastAsia"/>
          <w:lang w:val="en-US"/>
        </w:rPr>
        <w:t>(0</w:t>
      </w:r>
      <w:r>
        <w:rPr>
          <w:lang w:val="en-US"/>
        </w:rPr>
        <w:t>.</w:t>
      </w:r>
      <w:r>
        <w:rPr>
          <w:rFonts w:hint="eastAsia"/>
          <w:lang w:val="en-US"/>
        </w:rPr>
        <w:t>16591</w:t>
      </w:r>
      <w:r>
        <w:rPr>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16486</w:t>
      </w:r>
      <w:r>
        <w:rPr>
          <w:lang w:val="en-US"/>
        </w:rPr>
        <w:t> </w:t>
      </w:r>
      <w:r>
        <w:sym w:font="Symbol" w:char="F071"/>
      </w:r>
      <w:r>
        <w:rPr>
          <w:lang w:val="en-US"/>
        </w:rPr>
        <w:t> </w:t>
      </w:r>
      <w:r>
        <w:rPr>
          <w:rFonts w:ascii="Symbol" w:hAnsi="Symbol"/>
          <w:lang w:val="es-ES"/>
        </w:rPr>
        <w:t></w:t>
      </w:r>
      <w:r>
        <w:rPr>
          <w:lang w:val="en-US"/>
        </w:rPr>
        <w:br/>
      </w:r>
      <w:r>
        <w:rPr>
          <w:lang w:val="en-US"/>
        </w:rPr>
        <w:tab/>
      </w:r>
      <w:r>
        <w:rPr>
          <w:lang w:val="en-US"/>
        </w:rPr>
        <w:tab/>
      </w:r>
      <w:r>
        <w:rPr>
          <w:rFonts w:hint="eastAsia"/>
          <w:lang w:val="en-US"/>
        </w:rPr>
        <w:t>0</w:t>
      </w:r>
      <w:r>
        <w:rPr>
          <w:lang w:val="en-US"/>
        </w:rPr>
        <w:t>.</w:t>
      </w:r>
      <w:r>
        <w:rPr>
          <w:rFonts w:hint="eastAsia"/>
          <w:lang w:val="en-US"/>
        </w:rPr>
        <w:t>0016442</w:t>
      </w:r>
      <w:r>
        <w:rPr>
          <w:lang w:val="en-US"/>
        </w:rPr>
        <w:t> </w:t>
      </w:r>
      <w:r>
        <w:sym w:font="Symbol" w:char="F071"/>
      </w:r>
      <w:r>
        <w:rPr>
          <w:rFonts w:hint="eastAsia"/>
          <w:vertAlign w:val="superscript"/>
          <w:lang w:val="en-US"/>
        </w:rPr>
        <w:t>2</w:t>
      </w:r>
      <w:r>
        <w:rPr>
          <w:lang w:val="en-US"/>
        </w:rPr>
        <w:t> – </w:t>
      </w:r>
      <w:r>
        <w:rPr>
          <w:rFonts w:hint="eastAsia"/>
          <w:lang w:val="en-US"/>
        </w:rPr>
        <w:t>0</w:t>
      </w:r>
      <w:r>
        <w:rPr>
          <w:lang w:val="en-US"/>
        </w:rPr>
        <w:t>.</w:t>
      </w:r>
      <w:r>
        <w:rPr>
          <w:rFonts w:hint="eastAsia"/>
          <w:lang w:val="en-US"/>
        </w:rPr>
        <w:t>26154</w:t>
      </w:r>
      <w:r>
        <w:rPr>
          <w:lang w:val="en-US"/>
        </w:rPr>
        <w:t> </w:t>
      </w:r>
      <w:r>
        <w:rPr>
          <w:rFonts w:ascii="Symbol" w:hAnsi="Symbol"/>
        </w:rPr>
        <w:t></w:t>
      </w:r>
      <w:r>
        <w:rPr>
          <w:lang w:val="en-US"/>
        </w:rPr>
        <w:t> </w:t>
      </w:r>
      <w:r>
        <w:rPr>
          <w:rFonts w:hint="eastAsia"/>
          <w:lang w:val="en-US"/>
        </w:rPr>
        <w:t>10</w:t>
      </w:r>
      <w:r>
        <w:rPr>
          <w:vertAlign w:val="superscript"/>
          <w:lang w:val="en-US"/>
        </w:rPr>
        <w:t>–</w:t>
      </w:r>
      <w:r>
        <w:rPr>
          <w:sz w:val="4"/>
          <w:vertAlign w:val="superscript"/>
          <w:lang w:val="en-US"/>
        </w:rPr>
        <w:t xml:space="preserve"> </w:t>
      </w:r>
      <w:r>
        <w:rPr>
          <w:rFonts w:hint="eastAsia"/>
          <w:vertAlign w:val="superscript"/>
          <w:lang w:val="en-US"/>
        </w:rPr>
        <w:t>4</w:t>
      </w:r>
      <w:r>
        <w:rPr>
          <w:lang w:val="en-US"/>
        </w:rPr>
        <w:t> </w:t>
      </w:r>
      <w:r>
        <w:sym w:font="Symbol" w:char="F071"/>
      </w:r>
      <w:r>
        <w:rPr>
          <w:rFonts w:hint="eastAsia"/>
          <w:vertAlign w:val="superscript"/>
          <w:lang w:val="en-US"/>
        </w:rPr>
        <w:t>3</w:t>
      </w:r>
      <w:r>
        <w:rPr>
          <w:rFonts w:hint="eastAsia"/>
          <w:lang w:val="en-US"/>
        </w:rPr>
        <w:t>)</w:t>
      </w:r>
      <w:r>
        <w:rPr>
          <w:lang w:val="en-US"/>
        </w:rPr>
        <w:t> </w:t>
      </w:r>
      <w:r>
        <w:rPr>
          <w:rFonts w:ascii="Symbol" w:hAnsi="Symbol"/>
          <w:lang w:val="es-ES"/>
        </w:rPr>
        <w:t></w:t>
      </w:r>
      <w:r>
        <w:rPr>
          <w:lang w:val="en-US"/>
        </w:rPr>
        <w:t> </w:t>
      </w:r>
      <w:r>
        <w:rPr>
          <w:rFonts w:hint="eastAsia"/>
          <w:i/>
          <w:lang w:val="en-US"/>
        </w:rPr>
        <w:t>h</w:t>
      </w:r>
      <w:r>
        <w:rPr>
          <w:rFonts w:hint="eastAsia"/>
          <w:vertAlign w:val="superscript"/>
          <w:lang w:val="en-US"/>
        </w:rPr>
        <w:t>2</w:t>
      </w:r>
      <w:r>
        <w:rPr>
          <w:lang w:val="en-US"/>
        </w:rPr>
        <w:t> </w:t>
      </w:r>
      <w:r>
        <w:rPr>
          <w:rFonts w:hint="eastAsia"/>
          <w:lang w:val="en-US"/>
        </w:rPr>
        <w:t>(0</w:t>
      </w:r>
      <w:r>
        <w:rPr>
          <w:lang w:val="en-US"/>
        </w:rPr>
        <w:t>.</w:t>
      </w:r>
      <w:r>
        <w:rPr>
          <w:rFonts w:hint="eastAsia"/>
          <w:lang w:val="en-US"/>
        </w:rPr>
        <w:t>045789</w:t>
      </w:r>
      <w:r>
        <w:rPr>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022061</w:t>
      </w:r>
      <w:r>
        <w:rPr>
          <w:lang w:val="en-US"/>
        </w:rPr>
        <w:t> </w:t>
      </w:r>
      <w:r>
        <w:sym w:font="Symbol" w:char="F071"/>
      </w:r>
      <w:r>
        <w:rPr>
          <w:rFonts w:hint="eastAsia"/>
          <w:lang w:val="en-US"/>
        </w:rPr>
        <w:t>)]</w:t>
      </w:r>
      <w:r>
        <w:rPr>
          <w:lang w:val="en-US"/>
        </w:rPr>
        <w:tab/>
      </w:r>
      <w:r>
        <w:rPr>
          <w:rFonts w:hint="eastAsia"/>
          <w:lang w:val="en-US"/>
        </w:rPr>
        <w:t>(11a)</w:t>
      </w:r>
    </w:p>
    <w:p w:rsidR="00B9359B" w:rsidRDefault="009A5268">
      <w:pPr>
        <w:pStyle w:val="Equation"/>
        <w:tabs>
          <w:tab w:val="clear" w:pos="794"/>
          <w:tab w:val="clear" w:pos="4820"/>
          <w:tab w:val="left" w:pos="540"/>
          <w:tab w:val="left" w:pos="1652"/>
        </w:tabs>
        <w:jc w:val="left"/>
        <w:rPr>
          <w:lang w:val="en-US"/>
        </w:rPr>
      </w:pPr>
      <w:r>
        <w:rPr>
          <w:i/>
          <w:lang w:val="en-US"/>
        </w:rPr>
        <w:tab/>
      </w:r>
      <w:r>
        <w:rPr>
          <w:rFonts w:hint="eastAsia"/>
          <w:i/>
          <w:lang w:val="en-US"/>
        </w:rPr>
        <w:t>A</w:t>
      </w:r>
      <w:r>
        <w:rPr>
          <w:rFonts w:hint="eastAsia"/>
          <w:i/>
          <w:vertAlign w:val="subscript"/>
          <w:lang w:val="en-US"/>
        </w:rPr>
        <w:t>M</w:t>
      </w:r>
      <w:r>
        <w:rPr>
          <w:i/>
          <w:vertAlign w:val="subscript"/>
          <w:lang w:val="en-US"/>
        </w:rPr>
        <w:t> </w:t>
      </w:r>
      <w:r>
        <w:rPr>
          <w:rFonts w:hint="eastAsia"/>
          <w:lang w:val="en-US"/>
        </w:rPr>
        <w:t>(</w:t>
      </w:r>
      <w:r>
        <w:rPr>
          <w:rFonts w:hint="eastAsia"/>
          <w:i/>
          <w:lang w:val="en-US"/>
        </w:rPr>
        <w:t>h</w:t>
      </w:r>
      <w:r>
        <w:rPr>
          <w:rFonts w:hint="eastAsia"/>
          <w:lang w:val="en-US"/>
        </w:rPr>
        <w:t xml:space="preserve">, </w:t>
      </w:r>
      <w:r>
        <w:rPr>
          <w:rFonts w:ascii="Symbol" w:hAnsi="Symbol"/>
        </w:rPr>
        <w:sym w:font="Symbol" w:char="F071"/>
      </w:r>
      <w:r>
        <w:rPr>
          <w:rFonts w:hint="eastAsia"/>
          <w:lang w:val="en-US"/>
        </w:rPr>
        <w:t>)</w:t>
      </w:r>
      <w:r>
        <w:rPr>
          <w:lang w:val="en-US"/>
        </w:rPr>
        <w:t> </w:t>
      </w:r>
      <w:r>
        <w:rPr>
          <w:rFonts w:ascii="Symbol" w:hAnsi="Symbol"/>
          <w:lang w:val="es-ES"/>
        </w:rPr>
        <w:t></w:t>
      </w:r>
      <w:r>
        <w:rPr>
          <w:lang w:val="en-US"/>
        </w:rPr>
        <w:tab/>
      </w:r>
      <w:r>
        <w:rPr>
          <w:rFonts w:hint="eastAsia"/>
          <w:lang w:val="en-US"/>
        </w:rPr>
        <w:t>243</w:t>
      </w:r>
      <w:r>
        <w:rPr>
          <w:lang w:val="en-US"/>
        </w:rPr>
        <w:t>.</w:t>
      </w:r>
      <w:r>
        <w:rPr>
          <w:rFonts w:hint="eastAsia"/>
          <w:lang w:val="en-US"/>
        </w:rPr>
        <w:t>8</w:t>
      </w:r>
      <w:r>
        <w:rPr>
          <w:lang w:val="en-US"/>
        </w:rPr>
        <w:t> </w:t>
      </w:r>
      <w:r>
        <w:rPr>
          <w:rFonts w:hint="eastAsia"/>
          <w:lang w:val="en-US"/>
        </w:rPr>
        <w:t>/</w:t>
      </w:r>
      <w:r>
        <w:rPr>
          <w:lang w:val="en-US"/>
        </w:rPr>
        <w:t> </w:t>
      </w:r>
      <w:r>
        <w:rPr>
          <w:rFonts w:hint="eastAsia"/>
          <w:lang w:val="en-US"/>
        </w:rPr>
        <w:t>[1</w:t>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63597</w:t>
      </w:r>
      <w:r>
        <w:rPr>
          <w:lang w:val="en-US"/>
        </w:rPr>
        <w:t> </w:t>
      </w:r>
      <w:r>
        <w:sym w:font="Symbol" w:char="F071"/>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037426</w:t>
      </w:r>
      <w:r>
        <w:rPr>
          <w:lang w:val="en-US"/>
        </w:rPr>
        <w:t> </w:t>
      </w:r>
      <w:r>
        <w:sym w:font="Symbol" w:char="F071"/>
      </w:r>
      <w:r>
        <w:rPr>
          <w:rFonts w:hint="eastAsia"/>
          <w:vertAlign w:val="superscript"/>
          <w:lang w:val="en-US"/>
        </w:rPr>
        <w:t>2</w:t>
      </w:r>
      <w:r>
        <w:rPr>
          <w:lang w:val="en-US"/>
        </w:rPr>
        <w:t> – </w:t>
      </w:r>
      <w:r>
        <w:rPr>
          <w:rFonts w:hint="eastAsia"/>
          <w:lang w:val="en-US"/>
        </w:rPr>
        <w:t>0</w:t>
      </w:r>
      <w:r>
        <w:rPr>
          <w:lang w:val="en-US"/>
        </w:rPr>
        <w:t>.</w:t>
      </w:r>
      <w:r>
        <w:rPr>
          <w:rFonts w:hint="eastAsia"/>
          <w:lang w:val="en-US"/>
        </w:rPr>
        <w:t>0019080</w:t>
      </w:r>
      <w:r>
        <w:rPr>
          <w:lang w:val="en-US"/>
        </w:rPr>
        <w:t> </w:t>
      </w:r>
      <w:r>
        <w:sym w:font="Symbol" w:char="F071"/>
      </w:r>
      <w:r>
        <w:rPr>
          <w:rFonts w:hint="eastAsia"/>
          <w:vertAlign w:val="superscript"/>
          <w:lang w:val="en-US"/>
        </w:rPr>
        <w:t>3</w:t>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41762</w:t>
      </w:r>
      <w:r>
        <w:rPr>
          <w:lang w:val="en-US"/>
        </w:rPr>
        <w:t> </w:t>
      </w:r>
      <w:r>
        <w:rPr>
          <w:rFonts w:ascii="Symbol" w:hAnsi="Symbol"/>
        </w:rPr>
        <w:t></w:t>
      </w:r>
      <w:r>
        <w:rPr>
          <w:lang w:val="en-US"/>
        </w:rPr>
        <w:t> </w:t>
      </w:r>
      <w:r>
        <w:rPr>
          <w:rFonts w:hint="eastAsia"/>
          <w:lang w:val="en-US"/>
        </w:rPr>
        <w:t>10</w:t>
      </w:r>
      <w:r>
        <w:rPr>
          <w:vertAlign w:val="superscript"/>
          <w:lang w:val="en-US"/>
        </w:rPr>
        <w:t>–</w:t>
      </w:r>
      <w:r>
        <w:rPr>
          <w:sz w:val="4"/>
          <w:vertAlign w:val="superscript"/>
          <w:lang w:val="en-US"/>
        </w:rPr>
        <w:t xml:space="preserve"> </w:t>
      </w:r>
      <w:r>
        <w:rPr>
          <w:rFonts w:hint="eastAsia"/>
          <w:vertAlign w:val="superscript"/>
          <w:lang w:val="en-US"/>
        </w:rPr>
        <w:t>4</w:t>
      </w:r>
      <w:r>
        <w:rPr>
          <w:lang w:val="en-US"/>
        </w:rPr>
        <w:t> </w:t>
      </w:r>
      <w:r>
        <w:sym w:font="Symbol" w:char="F071"/>
      </w:r>
      <w:r>
        <w:rPr>
          <w:rFonts w:hint="eastAsia"/>
          <w:vertAlign w:val="superscript"/>
          <w:lang w:val="en-US"/>
        </w:rPr>
        <w:t>4</w:t>
      </w:r>
      <w:r>
        <w:rPr>
          <w:lang w:val="en-US"/>
        </w:rPr>
        <w:t> –</w:t>
      </w:r>
      <w:r>
        <w:rPr>
          <w:vertAlign w:val="superscript"/>
          <w:lang w:val="en-US"/>
        </w:rPr>
        <w:br/>
      </w:r>
      <w:r>
        <w:rPr>
          <w:lang w:val="en-US"/>
        </w:rPr>
        <w:tab/>
      </w:r>
      <w:r>
        <w:rPr>
          <w:lang w:val="en-US"/>
        </w:rPr>
        <w:tab/>
      </w:r>
      <w:r>
        <w:rPr>
          <w:rFonts w:hint="eastAsia"/>
          <w:lang w:val="en-US"/>
        </w:rPr>
        <w:t>0</w:t>
      </w:r>
      <w:r>
        <w:rPr>
          <w:lang w:val="en-US"/>
        </w:rPr>
        <w:t>.</w:t>
      </w:r>
      <w:r>
        <w:rPr>
          <w:rFonts w:hint="eastAsia"/>
          <w:lang w:val="en-US"/>
        </w:rPr>
        <w:t>42823</w:t>
      </w:r>
      <w:r>
        <w:rPr>
          <w:lang w:val="en-US"/>
        </w:rPr>
        <w:t> </w:t>
      </w:r>
      <w:r>
        <w:rPr>
          <w:rFonts w:ascii="Symbol" w:hAnsi="Symbol"/>
        </w:rPr>
        <w:t></w:t>
      </w:r>
      <w:r>
        <w:rPr>
          <w:lang w:val="en-US"/>
        </w:rPr>
        <w:t> </w:t>
      </w:r>
      <w:r>
        <w:rPr>
          <w:rFonts w:hint="eastAsia"/>
          <w:lang w:val="en-US"/>
        </w:rPr>
        <w:t>10</w:t>
      </w:r>
      <w:r>
        <w:rPr>
          <w:vertAlign w:val="superscript"/>
          <w:lang w:val="en-US"/>
        </w:rPr>
        <w:t>–</w:t>
      </w:r>
      <w:r>
        <w:rPr>
          <w:rFonts w:hint="eastAsia"/>
          <w:vertAlign w:val="superscript"/>
          <w:lang w:val="en-US"/>
        </w:rPr>
        <w:t>6</w:t>
      </w:r>
      <w:r>
        <w:rPr>
          <w:lang w:val="en-US"/>
        </w:rPr>
        <w:t> </w:t>
      </w:r>
      <w:r>
        <w:sym w:font="Symbol" w:char="F071"/>
      </w:r>
      <w:r>
        <w:rPr>
          <w:rFonts w:hint="eastAsia"/>
          <w:vertAlign w:val="superscript"/>
          <w:lang w:val="en-US"/>
        </w:rPr>
        <w:t>5</w:t>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16431</w:t>
      </w:r>
      <w:r>
        <w:rPr>
          <w:lang w:val="en-US"/>
        </w:rPr>
        <w:t> </w:t>
      </w:r>
      <w:r>
        <w:rPr>
          <w:rFonts w:ascii="Symbol" w:hAnsi="Symbol"/>
        </w:rPr>
        <w:t></w:t>
      </w:r>
      <w:r>
        <w:rPr>
          <w:lang w:val="en-US"/>
        </w:rPr>
        <w:t> </w:t>
      </w:r>
      <w:r>
        <w:rPr>
          <w:rFonts w:hint="eastAsia"/>
          <w:lang w:val="en-US"/>
        </w:rPr>
        <w:t>10</w:t>
      </w:r>
      <w:r>
        <w:rPr>
          <w:vertAlign w:val="superscript"/>
          <w:lang w:val="en-US"/>
        </w:rPr>
        <w:t>–</w:t>
      </w:r>
      <w:r>
        <w:rPr>
          <w:rFonts w:hint="eastAsia"/>
          <w:vertAlign w:val="superscript"/>
          <w:lang w:val="en-US"/>
        </w:rPr>
        <w:t>8</w:t>
      </w:r>
      <w:r>
        <w:rPr>
          <w:lang w:val="en-US"/>
        </w:rPr>
        <w:t> </w:t>
      </w:r>
      <w:r>
        <w:sym w:font="Symbol" w:char="F071"/>
      </w:r>
      <w:r>
        <w:rPr>
          <w:rFonts w:hint="eastAsia"/>
          <w:vertAlign w:val="superscript"/>
          <w:lang w:val="en-US"/>
        </w:rPr>
        <w:t>6</w:t>
      </w:r>
      <w:r>
        <w:rPr>
          <w:lang w:val="en-US"/>
        </w:rPr>
        <w:t> </w:t>
      </w:r>
      <w:r>
        <w:rPr>
          <w:rFonts w:ascii="Symbol" w:hAnsi="Symbol"/>
          <w:lang w:val="en-US"/>
        </w:rPr>
        <w:t></w:t>
      </w:r>
      <w:r>
        <w:rPr>
          <w:lang w:val="en-US"/>
        </w:rPr>
        <w:t> </w:t>
      </w:r>
      <w:r>
        <w:rPr>
          <w:rFonts w:hint="eastAsia"/>
          <w:i/>
          <w:lang w:val="en-US"/>
        </w:rPr>
        <w:t>h</w:t>
      </w:r>
      <w:r>
        <w:rPr>
          <w:lang w:val="en-US"/>
        </w:rPr>
        <w:t> </w:t>
      </w:r>
      <w:r>
        <w:rPr>
          <w:rFonts w:hint="eastAsia"/>
          <w:lang w:val="en-US"/>
        </w:rPr>
        <w:t>(0</w:t>
      </w:r>
      <w:r>
        <w:rPr>
          <w:lang w:val="en-US"/>
        </w:rPr>
        <w:t>.</w:t>
      </w:r>
      <w:r>
        <w:rPr>
          <w:rFonts w:hint="eastAsia"/>
          <w:lang w:val="en-US"/>
        </w:rPr>
        <w:t>17376</w:t>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18234</w:t>
      </w:r>
      <w:r>
        <w:rPr>
          <w:lang w:val="en-US"/>
        </w:rPr>
        <w:t> </w:t>
      </w:r>
      <w:r>
        <w:sym w:font="Symbol" w:char="F071"/>
      </w:r>
      <w:r>
        <w:rPr>
          <w:lang w:val="en-US"/>
        </w:rPr>
        <w:t> </w:t>
      </w:r>
      <w:r>
        <w:rPr>
          <w:rFonts w:ascii="Symbol" w:hAnsi="Symbol"/>
          <w:lang w:val="es-ES"/>
        </w:rPr>
        <w:t></w:t>
      </w:r>
      <w:r>
        <w:rPr>
          <w:lang w:val="en-US"/>
        </w:rPr>
        <w:br/>
      </w:r>
      <w:r>
        <w:rPr>
          <w:lang w:val="en-US"/>
        </w:rPr>
        <w:tab/>
      </w:r>
      <w:r>
        <w:rPr>
          <w:lang w:val="en-US"/>
        </w:rPr>
        <w:tab/>
      </w:r>
      <w:r>
        <w:rPr>
          <w:rFonts w:hint="eastAsia"/>
          <w:lang w:val="en-US"/>
        </w:rPr>
        <w:t>0</w:t>
      </w:r>
      <w:r>
        <w:rPr>
          <w:lang w:val="en-US"/>
        </w:rPr>
        <w:t>.</w:t>
      </w:r>
      <w:r>
        <w:rPr>
          <w:rFonts w:hint="eastAsia"/>
          <w:lang w:val="en-US"/>
        </w:rPr>
        <w:t>0018276</w:t>
      </w:r>
      <w:r>
        <w:rPr>
          <w:lang w:val="en-US"/>
        </w:rPr>
        <w:t> </w:t>
      </w:r>
      <w:r>
        <w:sym w:font="Symbol" w:char="F071"/>
      </w:r>
      <w:r>
        <w:rPr>
          <w:rFonts w:hint="eastAsia"/>
          <w:vertAlign w:val="superscript"/>
          <w:lang w:val="en-US"/>
        </w:rPr>
        <w:t>2</w:t>
      </w:r>
      <w:r>
        <w:rPr>
          <w:lang w:val="en-US"/>
        </w:rPr>
        <w:t> – </w:t>
      </w:r>
      <w:r>
        <w:rPr>
          <w:rFonts w:hint="eastAsia"/>
          <w:lang w:val="en-US"/>
        </w:rPr>
        <w:t>0</w:t>
      </w:r>
      <w:r>
        <w:rPr>
          <w:lang w:val="en-US"/>
        </w:rPr>
        <w:t>.</w:t>
      </w:r>
      <w:r>
        <w:rPr>
          <w:rFonts w:hint="eastAsia"/>
          <w:lang w:val="en-US"/>
        </w:rPr>
        <w:t>29487</w:t>
      </w:r>
      <w:r>
        <w:rPr>
          <w:lang w:val="en-US"/>
        </w:rPr>
        <w:t> </w:t>
      </w:r>
      <w:r>
        <w:rPr>
          <w:rFonts w:ascii="Symbol" w:hAnsi="Symbol"/>
        </w:rPr>
        <w:t></w:t>
      </w:r>
      <w:r>
        <w:rPr>
          <w:lang w:val="en-US"/>
        </w:rPr>
        <w:t> </w:t>
      </w:r>
      <w:r>
        <w:rPr>
          <w:rFonts w:hint="eastAsia"/>
          <w:lang w:val="en-US"/>
        </w:rPr>
        <w:t>10</w:t>
      </w:r>
      <w:r>
        <w:rPr>
          <w:vertAlign w:val="superscript"/>
          <w:lang w:val="en-US"/>
        </w:rPr>
        <w:t>–</w:t>
      </w:r>
      <w:r>
        <w:rPr>
          <w:sz w:val="4"/>
          <w:vertAlign w:val="superscript"/>
          <w:lang w:val="en-US"/>
        </w:rPr>
        <w:t xml:space="preserve"> </w:t>
      </w:r>
      <w:r>
        <w:rPr>
          <w:rFonts w:hint="eastAsia"/>
          <w:vertAlign w:val="superscript"/>
          <w:lang w:val="en-US"/>
        </w:rPr>
        <w:t>4</w:t>
      </w:r>
      <w:r>
        <w:rPr>
          <w:lang w:val="en-US"/>
        </w:rPr>
        <w:t> </w:t>
      </w:r>
      <w:r>
        <w:sym w:font="Symbol" w:char="F071"/>
      </w:r>
      <w:r>
        <w:rPr>
          <w:rFonts w:hint="eastAsia"/>
          <w:vertAlign w:val="superscript"/>
          <w:lang w:val="en-US"/>
        </w:rPr>
        <w:t>3</w:t>
      </w:r>
      <w:r>
        <w:rPr>
          <w:rFonts w:hint="eastAsia"/>
          <w:lang w:val="en-US"/>
        </w:rPr>
        <w:t>)</w:t>
      </w:r>
      <w:r>
        <w:rPr>
          <w:lang w:val="en-US"/>
        </w:rPr>
        <w:t> </w:t>
      </w:r>
      <w:r>
        <w:rPr>
          <w:rFonts w:ascii="Symbol" w:hAnsi="Symbol"/>
          <w:lang w:val="en-US"/>
        </w:rPr>
        <w:t></w:t>
      </w:r>
      <w:r>
        <w:rPr>
          <w:lang w:val="en-US"/>
        </w:rPr>
        <w:t> </w:t>
      </w:r>
      <w:r>
        <w:rPr>
          <w:rFonts w:hint="eastAsia"/>
          <w:i/>
          <w:lang w:val="en-US"/>
        </w:rPr>
        <w:t>h</w:t>
      </w:r>
      <w:r>
        <w:rPr>
          <w:rFonts w:hint="eastAsia"/>
          <w:vertAlign w:val="superscript"/>
          <w:lang w:val="en-US"/>
        </w:rPr>
        <w:t>2</w:t>
      </w:r>
      <w:r>
        <w:rPr>
          <w:lang w:val="en-US"/>
        </w:rPr>
        <w:t> </w:t>
      </w:r>
      <w:r>
        <w:rPr>
          <w:rFonts w:hint="eastAsia"/>
          <w:lang w:val="en-US"/>
        </w:rPr>
        <w:t>(0</w:t>
      </w:r>
      <w:r>
        <w:rPr>
          <w:lang w:val="en-US"/>
        </w:rPr>
        <w:t>.</w:t>
      </w:r>
      <w:r>
        <w:rPr>
          <w:rFonts w:hint="eastAsia"/>
          <w:lang w:val="en-US"/>
        </w:rPr>
        <w:t>053692</w:t>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028670</w:t>
      </w:r>
      <w:r>
        <w:rPr>
          <w:lang w:val="en-US"/>
        </w:rPr>
        <w:t> </w:t>
      </w:r>
      <w:r>
        <w:sym w:font="Symbol" w:char="F071"/>
      </w:r>
      <w:r>
        <w:rPr>
          <w:rFonts w:hint="eastAsia"/>
          <w:lang w:val="en-US"/>
        </w:rPr>
        <w:t>)]</w:t>
      </w:r>
      <w:r>
        <w:rPr>
          <w:lang w:val="en-US"/>
        </w:rPr>
        <w:tab/>
      </w:r>
      <w:r>
        <w:rPr>
          <w:rFonts w:hint="eastAsia"/>
          <w:lang w:val="en-US"/>
        </w:rPr>
        <w:t>(11b)</w:t>
      </w:r>
    </w:p>
    <w:p w:rsidR="00B9359B" w:rsidRDefault="009A5268">
      <w:pPr>
        <w:pStyle w:val="Equation"/>
        <w:tabs>
          <w:tab w:val="clear" w:pos="794"/>
          <w:tab w:val="clear" w:pos="4820"/>
          <w:tab w:val="left" w:pos="540"/>
          <w:tab w:val="left" w:pos="1652"/>
        </w:tabs>
        <w:jc w:val="left"/>
        <w:rPr>
          <w:lang w:val="en-US"/>
        </w:rPr>
      </w:pPr>
      <w:r>
        <w:rPr>
          <w:i/>
          <w:lang w:val="en-US"/>
        </w:rPr>
        <w:tab/>
      </w:r>
      <w:r>
        <w:rPr>
          <w:rFonts w:hint="eastAsia"/>
          <w:i/>
          <w:lang w:val="en-US"/>
        </w:rPr>
        <w:t>A</w:t>
      </w:r>
      <w:r>
        <w:rPr>
          <w:rFonts w:hint="eastAsia"/>
          <w:i/>
          <w:vertAlign w:val="subscript"/>
          <w:lang w:val="en-US"/>
        </w:rPr>
        <w:t>H</w:t>
      </w:r>
      <w:r>
        <w:rPr>
          <w:i/>
          <w:vertAlign w:val="subscript"/>
          <w:lang w:val="en-US"/>
        </w:rPr>
        <w:t> </w:t>
      </w:r>
      <w:r>
        <w:rPr>
          <w:rFonts w:hint="eastAsia"/>
          <w:lang w:val="en-US"/>
        </w:rPr>
        <w:t>(</w:t>
      </w:r>
      <w:r>
        <w:rPr>
          <w:rFonts w:hint="eastAsia"/>
          <w:i/>
          <w:lang w:val="en-US"/>
        </w:rPr>
        <w:t>h</w:t>
      </w:r>
      <w:r>
        <w:rPr>
          <w:rFonts w:hint="eastAsia"/>
          <w:lang w:val="en-US"/>
        </w:rPr>
        <w:t xml:space="preserve">, </w:t>
      </w:r>
      <w:r>
        <w:rPr>
          <w:rFonts w:ascii="Symbol" w:hAnsi="Symbol"/>
        </w:rPr>
        <w:sym w:font="Symbol" w:char="F071"/>
      </w:r>
      <w:r>
        <w:rPr>
          <w:rFonts w:hint="eastAsia"/>
          <w:lang w:val="en-US"/>
        </w:rPr>
        <w:t>)</w:t>
      </w:r>
      <w:r>
        <w:rPr>
          <w:lang w:val="en-US"/>
        </w:rPr>
        <w:t> </w:t>
      </w:r>
      <w:r>
        <w:rPr>
          <w:rFonts w:ascii="Symbol" w:hAnsi="Symbol"/>
          <w:lang w:val="es-ES"/>
        </w:rPr>
        <w:t></w:t>
      </w:r>
      <w:r>
        <w:rPr>
          <w:lang w:val="en-US"/>
        </w:rPr>
        <w:tab/>
      </w:r>
      <w:r>
        <w:rPr>
          <w:rFonts w:hint="eastAsia"/>
          <w:lang w:val="en-US"/>
        </w:rPr>
        <w:t>249</w:t>
      </w:r>
      <w:r>
        <w:rPr>
          <w:lang w:val="en-US"/>
        </w:rPr>
        <w:t>.</w:t>
      </w:r>
      <w:r>
        <w:rPr>
          <w:rFonts w:hint="eastAsia"/>
          <w:lang w:val="en-US"/>
        </w:rPr>
        <w:t>9</w:t>
      </w:r>
      <w:r>
        <w:rPr>
          <w:lang w:val="en-US"/>
        </w:rPr>
        <w:t> </w:t>
      </w:r>
      <w:r>
        <w:rPr>
          <w:rFonts w:hint="eastAsia"/>
          <w:lang w:val="en-US"/>
        </w:rPr>
        <w:t>/</w:t>
      </w:r>
      <w:r>
        <w:rPr>
          <w:lang w:val="en-US"/>
        </w:rPr>
        <w:t> </w:t>
      </w:r>
      <w:r>
        <w:rPr>
          <w:rFonts w:hint="eastAsia"/>
          <w:lang w:val="en-US"/>
        </w:rPr>
        <w:t>[1</w:t>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64303</w:t>
      </w:r>
      <w:r>
        <w:rPr>
          <w:lang w:val="en-US"/>
        </w:rPr>
        <w:t> </w:t>
      </w:r>
      <w:r>
        <w:sym w:font="Symbol" w:char="F071"/>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038850</w:t>
      </w:r>
      <w:r>
        <w:rPr>
          <w:lang w:val="en-US"/>
        </w:rPr>
        <w:t> </w:t>
      </w:r>
      <w:r>
        <w:sym w:font="Symbol" w:char="F071"/>
      </w:r>
      <w:r>
        <w:rPr>
          <w:rFonts w:hint="eastAsia"/>
          <w:vertAlign w:val="superscript"/>
          <w:lang w:val="en-US"/>
        </w:rPr>
        <w:t>2</w:t>
      </w:r>
      <w:r>
        <w:rPr>
          <w:lang w:val="en-US"/>
        </w:rPr>
        <w:t> – </w:t>
      </w:r>
      <w:r>
        <w:rPr>
          <w:rFonts w:hint="eastAsia"/>
          <w:lang w:val="en-US"/>
        </w:rPr>
        <w:t>0</w:t>
      </w:r>
      <w:r>
        <w:rPr>
          <w:lang w:val="en-US"/>
        </w:rPr>
        <w:t>.</w:t>
      </w:r>
      <w:r>
        <w:rPr>
          <w:rFonts w:hint="eastAsia"/>
          <w:lang w:val="en-US"/>
        </w:rPr>
        <w:t>0019901</w:t>
      </w:r>
      <w:r>
        <w:rPr>
          <w:lang w:val="en-US"/>
        </w:rPr>
        <w:t> </w:t>
      </w:r>
      <w:r>
        <w:sym w:font="Symbol" w:char="F071"/>
      </w:r>
      <w:r>
        <w:rPr>
          <w:rFonts w:hint="eastAsia"/>
          <w:vertAlign w:val="superscript"/>
          <w:lang w:val="en-US"/>
        </w:rPr>
        <w:t>3</w:t>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43669</w:t>
      </w:r>
      <w:r>
        <w:rPr>
          <w:lang w:val="en-US"/>
        </w:rPr>
        <w:t> </w:t>
      </w:r>
      <w:r>
        <w:rPr>
          <w:rFonts w:ascii="Symbol" w:hAnsi="Symbol"/>
        </w:rPr>
        <w:t></w:t>
      </w:r>
      <w:r>
        <w:rPr>
          <w:lang w:val="en-US"/>
        </w:rPr>
        <w:t> </w:t>
      </w:r>
      <w:r>
        <w:rPr>
          <w:rFonts w:hint="eastAsia"/>
          <w:lang w:val="en-US"/>
        </w:rPr>
        <w:t>10</w:t>
      </w:r>
      <w:r>
        <w:rPr>
          <w:vertAlign w:val="superscript"/>
          <w:lang w:val="en-US"/>
        </w:rPr>
        <w:t>–</w:t>
      </w:r>
      <w:r>
        <w:rPr>
          <w:sz w:val="4"/>
          <w:vertAlign w:val="superscript"/>
          <w:lang w:val="en-US"/>
        </w:rPr>
        <w:t xml:space="preserve"> </w:t>
      </w:r>
      <w:r>
        <w:rPr>
          <w:rFonts w:hint="eastAsia"/>
          <w:vertAlign w:val="superscript"/>
          <w:lang w:val="en-US"/>
        </w:rPr>
        <w:t>4</w:t>
      </w:r>
      <w:r>
        <w:rPr>
          <w:lang w:val="en-US"/>
        </w:rPr>
        <w:t> </w:t>
      </w:r>
      <w:r>
        <w:sym w:font="Symbol" w:char="F071"/>
      </w:r>
      <w:r>
        <w:rPr>
          <w:rFonts w:hint="eastAsia"/>
          <w:vertAlign w:val="superscript"/>
          <w:lang w:val="en-US"/>
        </w:rPr>
        <w:t>4</w:t>
      </w:r>
      <w:r>
        <w:rPr>
          <w:rFonts w:hint="eastAsia"/>
          <w:lang w:val="en-US"/>
        </w:rPr>
        <w:t> </w:t>
      </w:r>
      <w:r>
        <w:rPr>
          <w:lang w:val="en-US"/>
        </w:rPr>
        <w:t>–</w:t>
      </w:r>
      <w:r>
        <w:rPr>
          <w:vertAlign w:val="superscript"/>
          <w:lang w:val="en-US"/>
        </w:rPr>
        <w:br/>
      </w:r>
      <w:r>
        <w:rPr>
          <w:lang w:val="en-US"/>
        </w:rPr>
        <w:tab/>
      </w:r>
      <w:r>
        <w:rPr>
          <w:lang w:val="en-US"/>
        </w:rPr>
        <w:tab/>
      </w:r>
      <w:r>
        <w:rPr>
          <w:rFonts w:hint="eastAsia"/>
          <w:lang w:val="en-US"/>
        </w:rPr>
        <w:t>0</w:t>
      </w:r>
      <w:r>
        <w:rPr>
          <w:lang w:val="en-US"/>
        </w:rPr>
        <w:t>.</w:t>
      </w:r>
      <w:r>
        <w:rPr>
          <w:rFonts w:hint="eastAsia"/>
          <w:lang w:val="en-US"/>
        </w:rPr>
        <w:t>44802</w:t>
      </w:r>
      <w:r>
        <w:rPr>
          <w:lang w:val="en-US"/>
        </w:rPr>
        <w:t> </w:t>
      </w:r>
      <w:r>
        <w:rPr>
          <w:rFonts w:ascii="Symbol" w:hAnsi="Symbol"/>
        </w:rPr>
        <w:t></w:t>
      </w:r>
      <w:r>
        <w:rPr>
          <w:lang w:val="en-US"/>
        </w:rPr>
        <w:t> </w:t>
      </w:r>
      <w:r>
        <w:rPr>
          <w:rFonts w:hint="eastAsia"/>
          <w:lang w:val="en-US"/>
        </w:rPr>
        <w:t>10</w:t>
      </w:r>
      <w:r>
        <w:rPr>
          <w:vertAlign w:val="superscript"/>
          <w:lang w:val="en-US"/>
        </w:rPr>
        <w:t>–</w:t>
      </w:r>
      <w:r>
        <w:rPr>
          <w:rFonts w:hint="eastAsia"/>
          <w:vertAlign w:val="superscript"/>
          <w:lang w:val="en-US"/>
        </w:rPr>
        <w:t>6</w:t>
      </w:r>
      <w:r>
        <w:rPr>
          <w:lang w:val="en-US"/>
        </w:rPr>
        <w:t> </w:t>
      </w:r>
      <w:r>
        <w:sym w:font="Symbol" w:char="F071"/>
      </w:r>
      <w:r>
        <w:rPr>
          <w:rFonts w:hint="eastAsia"/>
          <w:vertAlign w:val="superscript"/>
          <w:lang w:val="en-US"/>
        </w:rPr>
        <w:t>5</w:t>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17189</w:t>
      </w:r>
      <w:r>
        <w:rPr>
          <w:lang w:val="en-US"/>
        </w:rPr>
        <w:t> </w:t>
      </w:r>
      <w:r>
        <w:rPr>
          <w:rFonts w:ascii="Symbol" w:hAnsi="Symbol"/>
        </w:rPr>
        <w:t></w:t>
      </w:r>
      <w:r>
        <w:rPr>
          <w:lang w:val="en-US"/>
        </w:rPr>
        <w:t> </w:t>
      </w:r>
      <w:r>
        <w:rPr>
          <w:rFonts w:hint="eastAsia"/>
          <w:lang w:val="en-US"/>
        </w:rPr>
        <w:t>10</w:t>
      </w:r>
      <w:r>
        <w:rPr>
          <w:vertAlign w:val="superscript"/>
          <w:lang w:val="en-US"/>
        </w:rPr>
        <w:t>–</w:t>
      </w:r>
      <w:r>
        <w:rPr>
          <w:rFonts w:hint="eastAsia"/>
          <w:vertAlign w:val="superscript"/>
          <w:lang w:val="en-US"/>
        </w:rPr>
        <w:t>8</w:t>
      </w:r>
      <w:r>
        <w:rPr>
          <w:lang w:val="en-US"/>
        </w:rPr>
        <w:t> </w:t>
      </w:r>
      <w:r>
        <w:sym w:font="Symbol" w:char="F071"/>
      </w:r>
      <w:r>
        <w:rPr>
          <w:rFonts w:hint="eastAsia"/>
          <w:vertAlign w:val="superscript"/>
          <w:lang w:val="en-US"/>
        </w:rPr>
        <w:t>6</w:t>
      </w:r>
      <w:r>
        <w:rPr>
          <w:lang w:val="en-US"/>
        </w:rPr>
        <w:t> </w:t>
      </w:r>
      <w:r>
        <w:rPr>
          <w:rFonts w:ascii="Symbol" w:hAnsi="Symbol"/>
          <w:lang w:val="en-US"/>
        </w:rPr>
        <w:t></w:t>
      </w:r>
      <w:r>
        <w:rPr>
          <w:lang w:val="en-US"/>
        </w:rPr>
        <w:t> </w:t>
      </w:r>
      <w:r>
        <w:rPr>
          <w:rFonts w:hint="eastAsia"/>
          <w:i/>
          <w:lang w:val="en-US"/>
        </w:rPr>
        <w:t>h</w:t>
      </w:r>
      <w:r>
        <w:rPr>
          <w:lang w:val="en-US"/>
        </w:rPr>
        <w:t> </w:t>
      </w:r>
      <w:r>
        <w:rPr>
          <w:rFonts w:hint="eastAsia"/>
          <w:lang w:val="en-US"/>
        </w:rPr>
        <w:t>(0</w:t>
      </w:r>
      <w:r>
        <w:rPr>
          <w:lang w:val="en-US"/>
        </w:rPr>
        <w:t>.</w:t>
      </w:r>
      <w:r>
        <w:rPr>
          <w:rFonts w:hint="eastAsia"/>
          <w:lang w:val="en-US"/>
        </w:rPr>
        <w:t>18620</w:t>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18810</w:t>
      </w:r>
      <w:r>
        <w:rPr>
          <w:lang w:val="en-US"/>
        </w:rPr>
        <w:t> </w:t>
      </w:r>
      <w:r>
        <w:sym w:font="Symbol" w:char="F071"/>
      </w:r>
      <w:r>
        <w:rPr>
          <w:lang w:val="en-US"/>
        </w:rPr>
        <w:t> </w:t>
      </w:r>
      <w:r>
        <w:rPr>
          <w:rFonts w:ascii="Symbol" w:hAnsi="Symbol"/>
          <w:lang w:val="en-US"/>
        </w:rPr>
        <w:t></w:t>
      </w:r>
      <w:r>
        <w:rPr>
          <w:lang w:val="en-US"/>
        </w:rPr>
        <w:br/>
      </w:r>
      <w:r>
        <w:rPr>
          <w:lang w:val="en-US"/>
        </w:rPr>
        <w:tab/>
      </w:r>
      <w:r>
        <w:rPr>
          <w:lang w:val="en-US"/>
        </w:rPr>
        <w:tab/>
      </w:r>
      <w:r>
        <w:rPr>
          <w:rFonts w:hint="eastAsia"/>
          <w:lang w:val="en-US"/>
        </w:rPr>
        <w:t>0</w:t>
      </w:r>
      <w:r>
        <w:rPr>
          <w:lang w:val="en-US"/>
        </w:rPr>
        <w:t>.</w:t>
      </w:r>
      <w:r>
        <w:rPr>
          <w:rFonts w:hint="eastAsia"/>
          <w:lang w:val="en-US"/>
        </w:rPr>
        <w:t>0019179</w:t>
      </w:r>
      <w:r>
        <w:rPr>
          <w:lang w:val="en-US"/>
        </w:rPr>
        <w:t> </w:t>
      </w:r>
      <w:r>
        <w:sym w:font="Symbol" w:char="F071"/>
      </w:r>
      <w:r>
        <w:rPr>
          <w:rFonts w:hint="eastAsia"/>
          <w:vertAlign w:val="superscript"/>
          <w:lang w:val="en-US"/>
        </w:rPr>
        <w:t>2</w:t>
      </w:r>
      <w:r>
        <w:rPr>
          <w:lang w:val="en-US"/>
        </w:rPr>
        <w:t> – </w:t>
      </w:r>
      <w:r>
        <w:rPr>
          <w:rFonts w:hint="eastAsia"/>
          <w:lang w:val="en-US"/>
        </w:rPr>
        <w:t>0</w:t>
      </w:r>
      <w:r>
        <w:rPr>
          <w:lang w:val="en-US"/>
        </w:rPr>
        <w:t>.</w:t>
      </w:r>
      <w:r>
        <w:rPr>
          <w:rFonts w:hint="eastAsia"/>
          <w:lang w:val="en-US"/>
        </w:rPr>
        <w:t>31541</w:t>
      </w:r>
      <w:r>
        <w:rPr>
          <w:lang w:val="en-US"/>
        </w:rPr>
        <w:t> </w:t>
      </w:r>
      <w:r>
        <w:rPr>
          <w:rFonts w:ascii="Symbol" w:hAnsi="Symbol"/>
        </w:rPr>
        <w:t></w:t>
      </w:r>
      <w:r>
        <w:rPr>
          <w:lang w:val="en-US"/>
        </w:rPr>
        <w:t> </w:t>
      </w:r>
      <w:r>
        <w:rPr>
          <w:rFonts w:hint="eastAsia"/>
          <w:lang w:val="en-US"/>
        </w:rPr>
        <w:t>10</w:t>
      </w:r>
      <w:r>
        <w:rPr>
          <w:vertAlign w:val="superscript"/>
          <w:lang w:val="en-US"/>
        </w:rPr>
        <w:t>–</w:t>
      </w:r>
      <w:r>
        <w:rPr>
          <w:sz w:val="4"/>
          <w:vertAlign w:val="superscript"/>
          <w:lang w:val="en-US"/>
        </w:rPr>
        <w:t xml:space="preserve"> </w:t>
      </w:r>
      <w:r>
        <w:rPr>
          <w:rFonts w:hint="eastAsia"/>
          <w:vertAlign w:val="superscript"/>
          <w:lang w:val="en-US"/>
        </w:rPr>
        <w:t>4</w:t>
      </w:r>
      <w:r>
        <w:rPr>
          <w:lang w:val="en-US"/>
        </w:rPr>
        <w:t> </w:t>
      </w:r>
      <w:r>
        <w:sym w:font="Symbol" w:char="F071"/>
      </w:r>
      <w:r>
        <w:rPr>
          <w:rFonts w:hint="eastAsia"/>
          <w:vertAlign w:val="superscript"/>
          <w:lang w:val="en-US"/>
        </w:rPr>
        <w:t>3</w:t>
      </w:r>
      <w:r>
        <w:rPr>
          <w:rFonts w:hint="eastAsia"/>
          <w:lang w:val="en-US"/>
        </w:rPr>
        <w:t>)</w:t>
      </w:r>
      <w:r>
        <w:rPr>
          <w:lang w:val="en-US"/>
        </w:rPr>
        <w:t> </w:t>
      </w:r>
      <w:r>
        <w:rPr>
          <w:rFonts w:ascii="Symbol" w:hAnsi="Symbol"/>
          <w:lang w:val="en-US"/>
        </w:rPr>
        <w:t></w:t>
      </w:r>
      <w:r>
        <w:rPr>
          <w:lang w:val="en-US"/>
        </w:rPr>
        <w:t> </w:t>
      </w:r>
      <w:r>
        <w:rPr>
          <w:rFonts w:hint="eastAsia"/>
          <w:i/>
          <w:lang w:val="en-US"/>
        </w:rPr>
        <w:t>h</w:t>
      </w:r>
      <w:r>
        <w:rPr>
          <w:rFonts w:hint="eastAsia"/>
          <w:vertAlign w:val="superscript"/>
          <w:lang w:val="en-US"/>
        </w:rPr>
        <w:t>2</w:t>
      </w:r>
      <w:r>
        <w:rPr>
          <w:lang w:val="en-US"/>
        </w:rPr>
        <w:t> </w:t>
      </w:r>
      <w:r>
        <w:rPr>
          <w:rFonts w:hint="eastAsia"/>
          <w:lang w:val="en-US"/>
        </w:rPr>
        <w:t>(0</w:t>
      </w:r>
      <w:r>
        <w:rPr>
          <w:lang w:val="en-US"/>
        </w:rPr>
        <w:t>.</w:t>
      </w:r>
      <w:r>
        <w:rPr>
          <w:rFonts w:hint="eastAsia"/>
          <w:lang w:val="en-US"/>
        </w:rPr>
        <w:t>052809</w:t>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030444</w:t>
      </w:r>
      <w:r>
        <w:rPr>
          <w:lang w:val="en-US"/>
        </w:rPr>
        <w:t> </w:t>
      </w:r>
      <w:r>
        <w:sym w:font="Symbol" w:char="F071"/>
      </w:r>
      <w:r>
        <w:rPr>
          <w:rFonts w:hint="eastAsia"/>
          <w:lang w:val="en-US"/>
        </w:rPr>
        <w:t>)]</w:t>
      </w:r>
      <w:r>
        <w:rPr>
          <w:lang w:val="en-US"/>
        </w:rPr>
        <w:tab/>
      </w:r>
      <w:r>
        <w:rPr>
          <w:rFonts w:hint="eastAsia"/>
          <w:lang w:val="en-US"/>
        </w:rPr>
        <w:t>(11c)</w:t>
      </w:r>
    </w:p>
    <w:p w:rsidR="00B9359B" w:rsidRDefault="00B9359B">
      <w:pPr>
        <w:spacing w:before="0"/>
        <w:rPr>
          <w:lang w:val="en-US"/>
        </w:rPr>
      </w:pPr>
    </w:p>
    <w:p w:rsidR="00B9359B" w:rsidRDefault="009A5268">
      <w:pPr>
        <w:pStyle w:val="Note"/>
        <w:rPr>
          <w:lang w:val="en-US" w:eastAsia="ja-JP"/>
        </w:rPr>
      </w:pPr>
      <w:r>
        <w:rPr>
          <w:rFonts w:hint="eastAsia"/>
          <w:iCs/>
          <w:caps/>
          <w:lang w:val="en-US" w:eastAsia="ja-JP"/>
        </w:rPr>
        <w:t>Note</w:t>
      </w:r>
      <w:r>
        <w:rPr>
          <w:lang w:val="en-US"/>
        </w:rPr>
        <w:t> 1 </w:t>
      </w:r>
      <w:r>
        <w:sym w:font="Symbol" w:char="F02D"/>
      </w:r>
      <w:r>
        <w:rPr>
          <w:lang w:val="en-US"/>
        </w:rPr>
        <w:t> </w:t>
      </w:r>
      <w:r>
        <w:rPr>
          <w:rFonts w:hint="eastAsia"/>
          <w:lang w:val="en-US" w:eastAsia="ja-JP"/>
        </w:rPr>
        <w:t xml:space="preserve">If propagation attenuation is actually calculated and included in each compatibility analysis where the propagation attenuation was not considered, it is possible </w:t>
      </w:r>
      <w:r>
        <w:rPr>
          <w:lang w:val="en-US" w:eastAsia="ja-JP"/>
        </w:rPr>
        <w:t>that</w:t>
      </w:r>
      <w:r>
        <w:rPr>
          <w:rFonts w:hint="eastAsia"/>
          <w:lang w:val="en-US" w:eastAsia="ja-JP"/>
        </w:rPr>
        <w:t xml:space="preserve"> results of the compatibility analysis slightly change. Calculations of Earth-</w:t>
      </w:r>
      <w:r>
        <w:rPr>
          <w:lang w:val="en-US" w:eastAsia="ja-JP"/>
        </w:rPr>
        <w:t>to-</w:t>
      </w:r>
      <w:r>
        <w:rPr>
          <w:rFonts w:hint="eastAsia"/>
          <w:lang w:val="en-US" w:eastAsia="ja-JP"/>
        </w:rPr>
        <w:t>space propagation attenuation are, of course, not necessary betw</w:t>
      </w:r>
      <w:r>
        <w:rPr>
          <w:rFonts w:hint="eastAsia"/>
          <w:lang w:val="en-US"/>
        </w:rPr>
        <w:t>e</w:t>
      </w:r>
      <w:r>
        <w:rPr>
          <w:rFonts w:hint="eastAsia"/>
          <w:lang w:val="en-US" w:eastAsia="ja-JP"/>
        </w:rPr>
        <w:t>en two earth stations and between two space stations, but necessary between earth and space stations. In this last case, effect of attenuation is rather small for high elevation angles, but the effect is relatively large for low elevation angles. Further study is necessary in future for the case of low elevation angles.</w:t>
      </w:r>
    </w:p>
    <w:p w:rsidR="00B9359B" w:rsidRPr="0027724D" w:rsidRDefault="009A5268">
      <w:pPr>
        <w:pStyle w:val="Heading1"/>
        <w:rPr>
          <w:lang w:val="en-US"/>
        </w:rPr>
      </w:pPr>
      <w:bookmarkStart w:id="45" w:name="_Toc51045444"/>
      <w:r w:rsidRPr="0027724D">
        <w:rPr>
          <w:lang w:val="en-US"/>
        </w:rPr>
        <w:br w:type="page"/>
        <w:t>4</w:t>
      </w:r>
      <w:r w:rsidRPr="0027724D">
        <w:rPr>
          <w:lang w:val="en-US"/>
        </w:rPr>
        <w:tab/>
        <w:t>Note on reflection coefficient</w:t>
      </w:r>
      <w:bookmarkEnd w:id="45"/>
    </w:p>
    <w:p w:rsidR="00B9359B" w:rsidRDefault="009A5268">
      <w:pPr>
        <w:rPr>
          <w:lang w:val="en-US"/>
        </w:rPr>
      </w:pPr>
      <w:r>
        <w:rPr>
          <w:lang w:val="en-US"/>
        </w:rPr>
        <w:t xml:space="preserve">One form of interference power into the EESS passive bands arises from unwanted emissions of FSS downlinks that are reflected upwards from the Earth’s surface towards a nearby EESS sensor. For frequencies around 10-20 GHz, this reflected energy has a significant time-varying component. Reflections by this mode contribute to the worst-case interference that can be expected. Other reflection modes also exist. These would be more frequent in occurrence but at a lower level. Recommendation </w:t>
      </w:r>
      <w:r>
        <w:rPr>
          <w:bCs/>
          <w:lang w:val="en-US"/>
        </w:rPr>
        <w:t>ITU</w:t>
      </w:r>
      <w:r>
        <w:rPr>
          <w:bCs/>
          <w:lang w:val="en-US"/>
        </w:rPr>
        <w:noBreakHyphen/>
        <w:t xml:space="preserve">R SA.1449 </w:t>
      </w:r>
      <w:r>
        <w:rPr>
          <w:lang w:val="en-US"/>
        </w:rPr>
        <w:t>describes a model for the reflection coefficient that may be used as the foundation in developing a reflection coefficient model applicable to these studies. Further work is planned within the ITU-R to develop a bi-static microwave scattering model for inter</w:t>
      </w:r>
      <w:r>
        <w:rPr>
          <w:lang w:val="en-US"/>
        </w:rPr>
        <w:softHyphen/>
        <w:t>ference assessment using this approach.</w:t>
      </w:r>
    </w:p>
    <w:p w:rsidR="00B9359B" w:rsidRDefault="00B9359B">
      <w:pPr>
        <w:rPr>
          <w:lang w:val="en-US"/>
        </w:rPr>
      </w:pPr>
    </w:p>
    <w:p w:rsidR="00B9359B" w:rsidRDefault="00B9359B">
      <w:pPr>
        <w:rPr>
          <w:lang w:val="en-US"/>
        </w:rPr>
      </w:pPr>
    </w:p>
    <w:p w:rsidR="00B9359B" w:rsidRDefault="009A5268">
      <w:pPr>
        <w:pStyle w:val="AnnexNoTitle"/>
        <w:rPr>
          <w:lang w:val="en-US"/>
        </w:rPr>
      </w:pPr>
      <w:r>
        <w:rPr>
          <w:lang w:val="en-US"/>
        </w:rPr>
        <w:t>Annex 2</w:t>
      </w:r>
      <w:r>
        <w:rPr>
          <w:lang w:val="en-US"/>
        </w:rPr>
        <w:br/>
      </w:r>
      <w:r>
        <w:rPr>
          <w:lang w:val="en-US"/>
        </w:rPr>
        <w:br/>
        <w:t>Compatibility analysis between RAS systems operating in the</w:t>
      </w:r>
      <w:r>
        <w:rPr>
          <w:lang w:val="en-US"/>
        </w:rPr>
        <w:br/>
        <w:t>1</w:t>
      </w:r>
      <w:r>
        <w:rPr>
          <w:rFonts w:ascii="Tms Rmn" w:hAnsi="Tms Rmn"/>
          <w:sz w:val="12"/>
          <w:lang w:val="en-US"/>
        </w:rPr>
        <w:t> </w:t>
      </w:r>
      <w:r>
        <w:rPr>
          <w:lang w:val="en-US"/>
        </w:rPr>
        <w:t>400-1</w:t>
      </w:r>
      <w:r>
        <w:rPr>
          <w:rFonts w:ascii="Tms Rmn" w:hAnsi="Tms Rmn"/>
          <w:sz w:val="12"/>
          <w:lang w:val="en-US"/>
        </w:rPr>
        <w:t> </w:t>
      </w:r>
      <w:r>
        <w:rPr>
          <w:lang w:val="en-US"/>
        </w:rPr>
        <w:t>427 MHz band and BSS (space-to-Earth) systems</w:t>
      </w:r>
      <w:r>
        <w:rPr>
          <w:lang w:val="en-US"/>
        </w:rPr>
        <w:br/>
        <w:t>operating in the 1</w:t>
      </w:r>
      <w:r>
        <w:rPr>
          <w:rFonts w:ascii="Tms Rmn" w:hAnsi="Tms Rmn"/>
          <w:sz w:val="12"/>
          <w:lang w:val="en-US"/>
        </w:rPr>
        <w:t> </w:t>
      </w:r>
      <w:r>
        <w:rPr>
          <w:lang w:val="en-US"/>
        </w:rPr>
        <w:t>452-1</w:t>
      </w:r>
      <w:r>
        <w:rPr>
          <w:rFonts w:ascii="Tms Rmn" w:hAnsi="Tms Rmn"/>
          <w:sz w:val="12"/>
          <w:lang w:val="en-US"/>
        </w:rPr>
        <w:t> </w:t>
      </w:r>
      <w:r>
        <w:rPr>
          <w:lang w:val="en-US"/>
        </w:rPr>
        <w:t>492 MHz band</w:t>
      </w:r>
    </w:p>
    <w:p w:rsidR="00B9359B" w:rsidRDefault="009A5268">
      <w:pPr>
        <w:pStyle w:val="Heading1"/>
        <w:rPr>
          <w:lang w:val="en-US"/>
        </w:rPr>
      </w:pPr>
      <w:bookmarkStart w:id="46" w:name="_Toc51045445"/>
      <w:r>
        <w:rPr>
          <w:lang w:val="en-US"/>
        </w:rPr>
        <w:t>1</w:t>
      </w:r>
      <w:r>
        <w:rPr>
          <w:lang w:val="en-US"/>
        </w:rPr>
        <w:tab/>
        <w:t>RAS</w:t>
      </w:r>
      <w:bookmarkEnd w:id="46"/>
    </w:p>
    <w:p w:rsidR="00B9359B" w:rsidRDefault="009A5268">
      <w:pPr>
        <w:pStyle w:val="Heading2"/>
        <w:rPr>
          <w:lang w:val="en-US"/>
        </w:rPr>
      </w:pPr>
      <w:bookmarkStart w:id="47" w:name="_Toc51045446"/>
      <w:r>
        <w:rPr>
          <w:lang w:val="en-US"/>
        </w:rPr>
        <w:t>1.1</w:t>
      </w:r>
      <w:r>
        <w:rPr>
          <w:lang w:val="en-US"/>
        </w:rPr>
        <w:tab/>
        <w:t>Allocated band</w:t>
      </w:r>
      <w:bookmarkEnd w:id="47"/>
    </w:p>
    <w:p w:rsidR="00B9359B" w:rsidRDefault="009A5268">
      <w:pPr>
        <w:rPr>
          <w:lang w:val="en-US"/>
        </w:rPr>
      </w:pPr>
      <w:r>
        <w:rPr>
          <w:lang w:val="en-US"/>
        </w:rPr>
        <w:t>The 1</w:t>
      </w:r>
      <w:r>
        <w:rPr>
          <w:rFonts w:ascii="Tms Rmn" w:hAnsi="Tms Rmn"/>
          <w:sz w:val="12"/>
          <w:lang w:val="en-US"/>
        </w:rPr>
        <w:t> </w:t>
      </w:r>
      <w:r>
        <w:rPr>
          <w:lang w:val="en-US"/>
        </w:rPr>
        <w:t>400-1</w:t>
      </w:r>
      <w:r>
        <w:rPr>
          <w:rFonts w:ascii="Tms Rmn" w:hAnsi="Tms Rmn"/>
          <w:sz w:val="12"/>
          <w:lang w:val="en-US"/>
        </w:rPr>
        <w:t> </w:t>
      </w:r>
      <w:r>
        <w:rPr>
          <w:lang w:val="en-US"/>
        </w:rPr>
        <w:t>427 MHz band is allocated to passive services only, on a primary basis: the RAS, the EESS (passive), and the SRS (passive).</w:t>
      </w:r>
    </w:p>
    <w:p w:rsidR="00B9359B" w:rsidRDefault="009A5268">
      <w:pPr>
        <w:rPr>
          <w:lang w:val="en-US"/>
        </w:rPr>
      </w:pPr>
      <w:r>
        <w:rPr>
          <w:bCs/>
          <w:lang w:val="en-US"/>
        </w:rPr>
        <w:t>RR No. 5.340</w:t>
      </w:r>
      <w:r>
        <w:rPr>
          <w:lang w:val="en-US"/>
        </w:rPr>
        <w:t xml:space="preserve"> prohibits all emissions in this band.</w:t>
      </w:r>
    </w:p>
    <w:p w:rsidR="00B9359B" w:rsidRDefault="009A5268">
      <w:pPr>
        <w:pStyle w:val="Heading2"/>
        <w:rPr>
          <w:lang w:val="en-US"/>
        </w:rPr>
      </w:pPr>
      <w:bookmarkStart w:id="48" w:name="_Toc51045447"/>
      <w:r>
        <w:rPr>
          <w:lang w:val="en-US"/>
        </w:rPr>
        <w:t>1.2</w:t>
      </w:r>
      <w:r>
        <w:rPr>
          <w:lang w:val="en-US"/>
        </w:rPr>
        <w:tab/>
        <w:t>Type of observations</w:t>
      </w:r>
      <w:bookmarkEnd w:id="48"/>
    </w:p>
    <w:p w:rsidR="00B9359B" w:rsidRDefault="009A5268">
      <w:pPr>
        <w:rPr>
          <w:lang w:val="en-US"/>
        </w:rPr>
      </w:pPr>
      <w:r>
        <w:rPr>
          <w:lang w:val="en-US"/>
        </w:rPr>
        <w:t>The 1</w:t>
      </w:r>
      <w:r>
        <w:rPr>
          <w:rFonts w:ascii="Tms Rmn" w:hAnsi="Tms Rmn"/>
          <w:sz w:val="12"/>
          <w:lang w:val="en-US"/>
        </w:rPr>
        <w:t> </w:t>
      </w:r>
      <w:r>
        <w:rPr>
          <w:lang w:val="en-US"/>
        </w:rPr>
        <w:t>400-1</w:t>
      </w:r>
      <w:r>
        <w:rPr>
          <w:rFonts w:ascii="Tms Rmn" w:hAnsi="Tms Rmn"/>
          <w:sz w:val="12"/>
          <w:lang w:val="en-US"/>
        </w:rPr>
        <w:t> </w:t>
      </w:r>
      <w:r>
        <w:rPr>
          <w:lang w:val="en-US"/>
        </w:rPr>
        <w:t>427 MHz band is used more intensely than any other, in all ITU-R Regions. The main radio-astronomical use of band is to make spectral line observations of cosmic neutral atomic hydrogen (also referred to as HI), which has a rest frequency of 1</w:t>
      </w:r>
      <w:r>
        <w:rPr>
          <w:rFonts w:ascii="Tms Rmn" w:hAnsi="Tms Rmn"/>
          <w:sz w:val="12"/>
          <w:lang w:val="en-US"/>
        </w:rPr>
        <w:t> </w:t>
      </w:r>
      <w:r>
        <w:rPr>
          <w:lang w:val="en-US"/>
        </w:rPr>
        <w:t>420.406 MHz. This material is by far the main constituent of our Galaxy and other galaxies, and occurs in huge, complex-structured clouds. This line is observed in both emission and absorption, and is broadened and shifted in frequency by Doppler shifts due to local and bulk motions in the cloud structures. Accordingly, HI observations can be used to map the distribution of material and its motions in our and other galaxies. In this way we can map the structure of our Galaxy, and how material is moving.</w:t>
      </w:r>
    </w:p>
    <w:p w:rsidR="00B9359B" w:rsidRDefault="009A5268">
      <w:pPr>
        <w:rPr>
          <w:lang w:val="en-US"/>
        </w:rPr>
      </w:pPr>
      <w:r>
        <w:rPr>
          <w:lang w:val="en-US"/>
        </w:rPr>
        <w:t>The 1</w:t>
      </w:r>
      <w:r>
        <w:rPr>
          <w:rFonts w:ascii="Tms Rmn" w:hAnsi="Tms Rmn"/>
          <w:sz w:val="12"/>
          <w:lang w:val="en-US"/>
        </w:rPr>
        <w:t> </w:t>
      </w:r>
      <w:r>
        <w:rPr>
          <w:lang w:val="en-US"/>
        </w:rPr>
        <w:t>400-1</w:t>
      </w:r>
      <w:r>
        <w:rPr>
          <w:rFonts w:ascii="Tms Rmn" w:hAnsi="Tms Rmn"/>
          <w:sz w:val="12"/>
          <w:lang w:val="en-US"/>
        </w:rPr>
        <w:t> </w:t>
      </w:r>
      <w:r>
        <w:rPr>
          <w:lang w:val="en-US"/>
        </w:rPr>
        <w:t>427 MHz allocation is sufficiently broad to encompass the Doppler-shifted emission from clouds in our galaxy and in nearby galaxies. Measurements of the polarization of the HI emission or absorption yield important information on galactic magnetic fields and thence an increased understanding of galactic structure.</w:t>
      </w:r>
    </w:p>
    <w:p w:rsidR="00B9359B" w:rsidRDefault="009A5268">
      <w:pPr>
        <w:rPr>
          <w:lang w:val="en-US"/>
        </w:rPr>
      </w:pPr>
      <w:r>
        <w:rPr>
          <w:lang w:val="en-US"/>
        </w:rPr>
        <w:br w:type="page"/>
        <w:t>The 1</w:t>
      </w:r>
      <w:r>
        <w:rPr>
          <w:rFonts w:ascii="Tms Rmn" w:hAnsi="Tms Rmn"/>
          <w:sz w:val="12"/>
          <w:lang w:val="en-US"/>
        </w:rPr>
        <w:t> </w:t>
      </w:r>
      <w:r>
        <w:rPr>
          <w:lang w:val="en-US"/>
        </w:rPr>
        <w:t>400-1</w:t>
      </w:r>
      <w:r>
        <w:rPr>
          <w:rFonts w:ascii="Tms Rmn" w:hAnsi="Tms Rmn"/>
          <w:sz w:val="12"/>
          <w:lang w:val="en-US"/>
        </w:rPr>
        <w:t> </w:t>
      </w:r>
      <w:r>
        <w:rPr>
          <w:lang w:val="en-US"/>
        </w:rPr>
        <w:t>427 MHz band is also used for continuum observations of broadband emissions produced by hot plasma formed when stars heat the surrounding clouds, and by the interaction of high-energy (fast-moving) electrons in the galactic magnetic field (synchrotron emission).</w:t>
      </w:r>
    </w:p>
    <w:p w:rsidR="00B9359B" w:rsidRDefault="009A5268">
      <w:pPr>
        <w:pStyle w:val="Heading2"/>
        <w:rPr>
          <w:lang w:val="en-US"/>
        </w:rPr>
      </w:pPr>
      <w:bookmarkStart w:id="49" w:name="_Toc51045448"/>
      <w:r>
        <w:rPr>
          <w:lang w:val="en-US"/>
        </w:rPr>
        <w:t>1.3</w:t>
      </w:r>
      <w:r>
        <w:rPr>
          <w:lang w:val="en-US"/>
        </w:rPr>
        <w:tab/>
        <w:t>Required protection criteria</w:t>
      </w:r>
      <w:bookmarkEnd w:id="49"/>
    </w:p>
    <w:p w:rsidR="00B9359B" w:rsidRDefault="009A5268">
      <w:pPr>
        <w:rPr>
          <w:lang w:val="en-US"/>
        </w:rPr>
      </w:pPr>
      <w:r>
        <w:rPr>
          <w:lang w:val="en-US"/>
        </w:rPr>
        <w:t>The threshold levels for detrimental interference to radio astronomical observations are given in Recommendation ITU-R RA.769, which lists the levels of unwanted emissions that will increase the measurement error by 10%. The band is used for both spectral line and continuum observations. In the 1</w:t>
      </w:r>
      <w:r>
        <w:rPr>
          <w:rFonts w:ascii="Tms Rmn" w:hAnsi="Tms Rmn"/>
          <w:sz w:val="12"/>
          <w:lang w:val="en-US"/>
        </w:rPr>
        <w:t> </w:t>
      </w:r>
      <w:r>
        <w:rPr>
          <w:lang w:val="en-US"/>
        </w:rPr>
        <w:t>400-1</w:t>
      </w:r>
      <w:r>
        <w:rPr>
          <w:rFonts w:ascii="Tms Rmn" w:hAnsi="Tms Rmn"/>
          <w:sz w:val="12"/>
          <w:lang w:val="en-US"/>
        </w:rPr>
        <w:t> </w:t>
      </w:r>
      <w:r>
        <w:rPr>
          <w:lang w:val="en-US"/>
        </w:rPr>
        <w:t xml:space="preserve">427 MHz band, for single-dish spectral line observations made using a channel bandwidth (one of the spectrometer channels) of 20 kHz, the threshold pfd limit is –196 </w:t>
      </w:r>
      <w:r>
        <w:rPr>
          <w:snapToGrid w:val="0"/>
          <w:lang w:val="en-US"/>
        </w:rPr>
        <w:t>dB(W/m</w:t>
      </w:r>
      <w:r>
        <w:rPr>
          <w:vertAlign w:val="superscript"/>
          <w:lang w:val="en-US"/>
        </w:rPr>
        <w:t>2</w:t>
      </w:r>
      <w:r>
        <w:rPr>
          <w:rFonts w:ascii="Times" w:hAnsi="Times"/>
          <w:spacing w:val="-2"/>
          <w:lang w:val="en-US"/>
        </w:rPr>
        <w:t>)</w:t>
      </w:r>
      <w:r>
        <w:rPr>
          <w:lang w:val="en-US"/>
        </w:rPr>
        <w:t>. For making single-dish continuum observations, the whole 27 MHz width of the band is used, for which case the threshold pfd limit for detrimental interference is –180 dB(W/m</w:t>
      </w:r>
      <w:r>
        <w:rPr>
          <w:vertAlign w:val="superscript"/>
          <w:lang w:val="en-US"/>
        </w:rPr>
        <w:t>2</w:t>
      </w:r>
      <w:r>
        <w:rPr>
          <w:lang w:val="en-US"/>
        </w:rPr>
        <w:t>).</w:t>
      </w:r>
    </w:p>
    <w:p w:rsidR="00B9359B" w:rsidRDefault="009A5268">
      <w:pPr>
        <w:rPr>
          <w:lang w:val="en-US"/>
        </w:rPr>
      </w:pPr>
      <w:r>
        <w:rPr>
          <w:lang w:val="en-US"/>
        </w:rPr>
        <w:t xml:space="preserve">Very long baseline interferometry (VLBI) observations, where signals from widely separated antennas are recorded and correlated after the observations, are much less susceptible to interference. This is reflected in the threshold pfd level for VLBI observations in this band, </w:t>
      </w:r>
      <w:r>
        <w:rPr>
          <w:rFonts w:ascii="Symbol" w:hAnsi="Symbol"/>
          <w:lang w:val="en-US"/>
        </w:rPr>
        <w:noBreakHyphen/>
      </w:r>
      <w:r>
        <w:rPr>
          <w:lang w:val="en-US"/>
        </w:rPr>
        <w:t>166 </w:t>
      </w:r>
      <w:r>
        <w:rPr>
          <w:snapToGrid w:val="0"/>
          <w:lang w:val="en-US"/>
        </w:rPr>
        <w:t>dB(W/m</w:t>
      </w:r>
      <w:r>
        <w:rPr>
          <w:vertAlign w:val="superscript"/>
          <w:lang w:val="en-US"/>
        </w:rPr>
        <w:t>2</w:t>
      </w:r>
      <w:r>
        <w:rPr>
          <w:rFonts w:ascii="Times" w:hAnsi="Times"/>
          <w:spacing w:val="-2"/>
          <w:lang w:val="en-US"/>
        </w:rPr>
        <w:t>), for a bandwidth of 20 kHz.</w:t>
      </w:r>
    </w:p>
    <w:p w:rsidR="00B9359B" w:rsidRDefault="009A5268">
      <w:pPr>
        <w:pStyle w:val="enumlev1"/>
        <w:ind w:left="0" w:firstLine="0"/>
        <w:rPr>
          <w:lang w:val="en-US"/>
        </w:rPr>
      </w:pPr>
      <w:r>
        <w:rPr>
          <w:lang w:val="en-US"/>
        </w:rPr>
        <w:t>The thresholds of detrimental interference levels to the RAS as defined and calculated in the Recommendation ITU-R RA.769 are protection criteria above which radio astro</w:t>
      </w:r>
      <w:r>
        <w:rPr>
          <w:lang w:val="en-US"/>
        </w:rPr>
        <w:softHyphen/>
        <w:t>nomical data are degraded and may be eventually obliterated. In principle, under rather idealized circumstances, if these levels are very slightly exceeded then it may be possible to compensate at the radio astronomy observatory by increased observing time. In doing so, the channel capacity of the telescope is reduced, with a corresponding reduction in scientific throughput. If the level of interference, under the assumptions of Recommendation ITU</w:t>
      </w:r>
      <w:r>
        <w:rPr>
          <w:lang w:val="en-US"/>
        </w:rPr>
        <w:noBreakHyphen/>
        <w:t>R RA.769 (e.g. antenna performance, etc.), becomes 10 dB or more above the Recommendation ITU</w:t>
      </w:r>
      <w:r>
        <w:rPr>
          <w:lang w:val="en-US"/>
        </w:rPr>
        <w:noBreakHyphen/>
        <w:t>R RA.769 definition, then increased observing time will no longer be effective in ensuring that valid scientific data are provided to the scientist. The radio astronomy station will be unable to operate in the affected frequency band, and  its ability to provide service will have been lost if no appropriate mitigation techniques can be applied.</w:t>
      </w:r>
    </w:p>
    <w:p w:rsidR="00B9359B" w:rsidRDefault="009A5268">
      <w:pPr>
        <w:pStyle w:val="Heading2"/>
        <w:rPr>
          <w:lang w:val="en-US"/>
        </w:rPr>
      </w:pPr>
      <w:bookmarkStart w:id="50" w:name="_Toc51045449"/>
      <w:r>
        <w:rPr>
          <w:lang w:val="en-US"/>
        </w:rPr>
        <w:t>1.4</w:t>
      </w:r>
      <w:r>
        <w:rPr>
          <w:lang w:val="en-US"/>
        </w:rPr>
        <w:tab/>
        <w:t>Operational characteristics</w:t>
      </w:r>
      <w:bookmarkEnd w:id="50"/>
    </w:p>
    <w:p w:rsidR="00B9359B" w:rsidRDefault="009A5268">
      <w:pPr>
        <w:rPr>
          <w:lang w:val="en-US"/>
        </w:rPr>
      </w:pPr>
      <w:r>
        <w:rPr>
          <w:lang w:val="en-US"/>
        </w:rPr>
        <w:t>The 1</w:t>
      </w:r>
      <w:r>
        <w:rPr>
          <w:rFonts w:ascii="Tms Rmn" w:hAnsi="Tms Rmn"/>
          <w:sz w:val="12"/>
          <w:lang w:val="en-US"/>
        </w:rPr>
        <w:t> </w:t>
      </w:r>
      <w:r>
        <w:rPr>
          <w:lang w:val="en-US"/>
        </w:rPr>
        <w:t>400-1</w:t>
      </w:r>
      <w:r>
        <w:rPr>
          <w:rFonts w:ascii="Tms Rmn" w:hAnsi="Tms Rmn"/>
          <w:sz w:val="12"/>
          <w:lang w:val="en-US"/>
        </w:rPr>
        <w:t> </w:t>
      </w:r>
      <w:r>
        <w:rPr>
          <w:lang w:val="en-US"/>
        </w:rPr>
        <w:t xml:space="preserve">427 MHz band is the most intensely used radio astronomy band of all. It is used worldwide, in all ITU Regions, and some radio telescopes, such as the Synthesis Radio Telescope at the Dominion Radio Astrophysical Observatory (DRAO), Penticton, Canada observe full-time in this band. Single-antenna radio telescopes are used to measure the integrated spectral pfd (spfd) of sources of small angular diameter and to map structures of large angular size that cannot be mapped using synthesis telescopes. </w:t>
      </w:r>
    </w:p>
    <w:p w:rsidR="00B9359B" w:rsidRDefault="009A5268">
      <w:pPr>
        <w:rPr>
          <w:lang w:val="en-US"/>
        </w:rPr>
      </w:pPr>
      <w:r>
        <w:rPr>
          <w:lang w:val="en-US"/>
        </w:rPr>
        <w:t xml:space="preserve">The higher angular resolution offered by synthesis telescopes make it possible to map the finer structure in the hydrogen clouds and sources of continuum emissions such as supernova remnants. These maps are then combined with the lower-resolution maps obtained using single-antenna radio telescopes to make high-quality 3-D images of our Galaxy and others. Synthesis radio telescopes, </w:t>
      </w:r>
      <w:r>
        <w:rPr>
          <w:lang w:val="en-US"/>
        </w:rPr>
        <w:br w:type="page"/>
        <w:t>using multi-antenna arrays may require between one and a dozen 12 h “exposures” to make a complete map of an area of sky. In order to facilitate mapping comparatively large source structures, some synthesis radio telescopes, such as the DRAO instrument, use arrays of compara</w:t>
      </w:r>
      <w:r>
        <w:rPr>
          <w:lang w:val="en-US"/>
        </w:rPr>
        <w:softHyphen/>
        <w:t>tively small antennas. Instruments of this kind do not have the option of optimum side-lobe suppression and are therefore more vulnerable to interference.</w:t>
      </w:r>
    </w:p>
    <w:p w:rsidR="00B9359B" w:rsidRDefault="009A5268">
      <w:pPr>
        <w:rPr>
          <w:lang w:val="en-US"/>
        </w:rPr>
      </w:pPr>
      <w:r>
        <w:rPr>
          <w:lang w:val="en-US"/>
        </w:rPr>
        <w:t>Spectral line observations are made using multichannel spectrometers that can integrate simul</w:t>
      </w:r>
      <w:r>
        <w:rPr>
          <w:lang w:val="en-US"/>
        </w:rPr>
        <w:softHyphen/>
        <w:t>taneously the power in many (typically 256 to 4</w:t>
      </w:r>
      <w:r>
        <w:rPr>
          <w:rFonts w:ascii="Tms Rmn" w:hAnsi="Tms Rmn"/>
          <w:sz w:val="12"/>
          <w:lang w:val="en-US"/>
        </w:rPr>
        <w:t> </w:t>
      </w:r>
      <w:r>
        <w:rPr>
          <w:lang w:val="en-US"/>
        </w:rPr>
        <w:t xml:space="preserve">096) frequency channels distributed across the band. The number of channels and their individual bandwidths are chosen to adequately sample the spectrum of the net emission from the hydrogen cloud(s) in the antenna beam. </w:t>
      </w:r>
    </w:p>
    <w:p w:rsidR="00B9359B" w:rsidRDefault="009A5268">
      <w:pPr>
        <w:rPr>
          <w:lang w:val="en-US"/>
        </w:rPr>
      </w:pPr>
      <w:r>
        <w:rPr>
          <w:lang w:val="en-US"/>
        </w:rPr>
        <w:t>In general, observations are made differentially. In the case of continuum emissions, the area of sky  containing the source may be mapped and the background emission subtracted, or measurements made of the power coming from the direction from the source (on-source) and at one or more nearby positions in the sky (off-source). By subtracting the off-source values from the on-source values, the emission originating in the source is separated from other contributions to the receiver output.</w:t>
      </w:r>
    </w:p>
    <w:p w:rsidR="00B9359B" w:rsidRDefault="009A5268">
      <w:pPr>
        <w:rPr>
          <w:lang w:val="en-US"/>
        </w:rPr>
      </w:pPr>
      <w:r>
        <w:rPr>
          <w:lang w:val="en-US"/>
        </w:rPr>
        <w:t>In the case of spectral line observations, spectra are recorded at frequency ranges including the line emissions of interest (the line spectra), and then at a frequency that is offset from the line emissions, or at the same frequency but at a nearby position in the sky (the reference spectra). By subtracting the reference spectra from the line spectra, unwanted noise contributions and other contaminants can be removed from the data.</w:t>
      </w:r>
    </w:p>
    <w:p w:rsidR="00B9359B" w:rsidRDefault="009A5268">
      <w:pPr>
        <w:rPr>
          <w:lang w:val="en-US"/>
        </w:rPr>
      </w:pPr>
      <w:r>
        <w:rPr>
          <w:lang w:val="en-US"/>
        </w:rPr>
        <w:t>Since the Galaxy is filled with clouds of neutral hydrogen, radio telescopes detect not only the emission or absorption in the clouds in the antenna main beam, but also a very significant contribution through the antenna side lobes. This “stray radiation” distorts spectra and reduces map detail. Removing this from the data involves large-scale measurement of the whole antenna beam (as far as possible), and estimation of the stray radiation correction. Interference and large “blocked” areas of sky will therefore affect the ability to make maps at parts of the sky large angles from interference sources.</w:t>
      </w:r>
    </w:p>
    <w:p w:rsidR="00B9359B" w:rsidRDefault="009A5268">
      <w:pPr>
        <w:rPr>
          <w:lang w:val="en-US"/>
        </w:rPr>
      </w:pPr>
      <w:r>
        <w:rPr>
          <w:lang w:val="en-US"/>
        </w:rPr>
        <w:t>Extended areas of radio emission can be mapped by recording the emission from a grid of points covering the region of interest. Both continuum and spectral line observations may be made. In the case of single antenna radio telescopes, each grid point observation is an indication of the total power (in the continuum case) or the emission spectrum (in the spectral line case) coming from that position in the sky; the spacing between the grid points should not be more than half the antenna beamwidth. When observations are made using a synthesis radio telescope, where the area to be mapped exceeds the instantaneous mapping field, the grid points should not be further apart than half the beamwidth of one of the radio telescope antennas.</w:t>
      </w:r>
    </w:p>
    <w:p w:rsidR="00B9359B" w:rsidRDefault="009A5268">
      <w:pPr>
        <w:rPr>
          <w:snapToGrid w:val="0"/>
          <w:lang w:val="en-US"/>
        </w:rPr>
      </w:pPr>
      <w:r>
        <w:rPr>
          <w:snapToGrid w:val="0"/>
          <w:lang w:val="en-US"/>
        </w:rPr>
        <w:t>VLBI observations are made by down-converting the signals to a baseband, digitizing them without demodulation, and recording them on tape or other storage media, along with precise timing signals. The data are then taken to a VLBI data processing centre, where the signals are synchronized and correlated. Consequently, the full impact of interference might not be known until the observing period is over and the data have been processed.</w:t>
      </w:r>
    </w:p>
    <w:p w:rsidR="00B9359B" w:rsidRDefault="009A5268">
      <w:pPr>
        <w:pStyle w:val="Heading1"/>
        <w:rPr>
          <w:lang w:val="en-US"/>
        </w:rPr>
      </w:pPr>
      <w:bookmarkStart w:id="51" w:name="_Toc51045450"/>
      <w:r>
        <w:rPr>
          <w:lang w:val="en-US"/>
        </w:rPr>
        <w:br w:type="page"/>
        <w:t>2</w:t>
      </w:r>
      <w:r>
        <w:rPr>
          <w:lang w:val="en-US"/>
        </w:rPr>
        <w:tab/>
        <w:t>BSS</w:t>
      </w:r>
      <w:bookmarkEnd w:id="51"/>
    </w:p>
    <w:p w:rsidR="00B9359B" w:rsidRDefault="009A5268">
      <w:pPr>
        <w:pStyle w:val="Heading2"/>
        <w:rPr>
          <w:lang w:val="en-US"/>
        </w:rPr>
      </w:pPr>
      <w:bookmarkStart w:id="52" w:name="_Toc51045451"/>
      <w:r>
        <w:rPr>
          <w:lang w:val="en-US"/>
        </w:rPr>
        <w:t>2.1</w:t>
      </w:r>
      <w:r>
        <w:rPr>
          <w:lang w:val="en-US"/>
        </w:rPr>
        <w:tab/>
        <w:t>Allocated transmit band</w:t>
      </w:r>
      <w:bookmarkEnd w:id="52"/>
    </w:p>
    <w:p w:rsidR="00B9359B" w:rsidRDefault="009A5268">
      <w:pPr>
        <w:rPr>
          <w:lang w:val="en-US"/>
        </w:rPr>
      </w:pPr>
      <w:r>
        <w:rPr>
          <w:lang w:val="en-US"/>
        </w:rPr>
        <w:t>The 1</w:t>
      </w:r>
      <w:r>
        <w:rPr>
          <w:rFonts w:ascii="Tms Rmn" w:hAnsi="Tms Rmn"/>
          <w:sz w:val="12"/>
          <w:lang w:val="en-US"/>
        </w:rPr>
        <w:t> </w:t>
      </w:r>
      <w:r>
        <w:rPr>
          <w:lang w:val="en-US"/>
        </w:rPr>
        <w:t>452-1</w:t>
      </w:r>
      <w:r>
        <w:rPr>
          <w:rFonts w:ascii="Tms Rmn" w:hAnsi="Tms Rmn"/>
          <w:sz w:val="12"/>
          <w:lang w:val="en-US"/>
        </w:rPr>
        <w:t> </w:t>
      </w:r>
      <w:r>
        <w:rPr>
          <w:lang w:val="en-US"/>
        </w:rPr>
        <w:t>492 MHz band is allocated to the BSS.</w:t>
      </w:r>
    </w:p>
    <w:p w:rsidR="00B9359B" w:rsidRDefault="009A5268">
      <w:pPr>
        <w:pStyle w:val="Heading2"/>
        <w:rPr>
          <w:lang w:val="en-US"/>
        </w:rPr>
      </w:pPr>
      <w:bookmarkStart w:id="53" w:name="_Toc51045452"/>
      <w:r>
        <w:rPr>
          <w:lang w:val="en-US"/>
        </w:rPr>
        <w:t>2.2</w:t>
      </w:r>
      <w:r>
        <w:rPr>
          <w:lang w:val="en-US"/>
        </w:rPr>
        <w:tab/>
        <w:t>Application</w:t>
      </w:r>
      <w:bookmarkEnd w:id="53"/>
    </w:p>
    <w:p w:rsidR="00B9359B" w:rsidRDefault="009A5268">
      <w:pPr>
        <w:rPr>
          <w:lang w:val="en-US"/>
        </w:rPr>
      </w:pPr>
      <w:r>
        <w:rPr>
          <w:lang w:val="en-US"/>
        </w:rPr>
        <w:t>Broadcasting of audio-only transmissions.</w:t>
      </w:r>
    </w:p>
    <w:p w:rsidR="00B9359B" w:rsidRDefault="009A5268">
      <w:pPr>
        <w:pStyle w:val="Heading2"/>
        <w:rPr>
          <w:lang w:val="en-US"/>
        </w:rPr>
      </w:pPr>
      <w:bookmarkStart w:id="54" w:name="_Toc51045453"/>
      <w:r>
        <w:rPr>
          <w:lang w:val="en-US"/>
        </w:rPr>
        <w:t>2.3</w:t>
      </w:r>
      <w:r>
        <w:rPr>
          <w:lang w:val="en-US"/>
        </w:rPr>
        <w:tab/>
        <w:t>Levels based upon regulatory provisions</w:t>
      </w:r>
      <w:bookmarkEnd w:id="54"/>
    </w:p>
    <w:p w:rsidR="00B9359B" w:rsidRDefault="009A5268">
      <w:pPr>
        <w:rPr>
          <w:lang w:val="en-US"/>
        </w:rPr>
      </w:pPr>
      <w:r>
        <w:rPr>
          <w:lang w:val="en-US"/>
        </w:rPr>
        <w:t>Not assessed.</w:t>
      </w:r>
    </w:p>
    <w:p w:rsidR="00B9359B" w:rsidRDefault="009A5268">
      <w:pPr>
        <w:pStyle w:val="Heading2"/>
        <w:rPr>
          <w:lang w:val="en-US"/>
        </w:rPr>
      </w:pPr>
      <w:bookmarkStart w:id="55" w:name="_Toc51045454"/>
      <w:r>
        <w:rPr>
          <w:lang w:val="en-US"/>
        </w:rPr>
        <w:t>2.4</w:t>
      </w:r>
      <w:r>
        <w:rPr>
          <w:lang w:val="en-US"/>
        </w:rPr>
        <w:tab/>
        <w:t>Operational characteristics</w:t>
      </w:r>
      <w:bookmarkEnd w:id="55"/>
    </w:p>
    <w:p w:rsidR="00B9359B" w:rsidRDefault="009A5268">
      <w:pPr>
        <w:rPr>
          <w:lang w:val="en-US"/>
        </w:rPr>
      </w:pPr>
      <w:r>
        <w:rPr>
          <w:lang w:val="en-US"/>
        </w:rPr>
        <w:t>The following characteristics were communicated as the expected maximum values and typical  necessary bandwidth based on characteristics of BSS sound systems already implemented or most likely to be implemented. In addition, this Recommendation proposes typical values for antenna gains.</w:t>
      </w:r>
    </w:p>
    <w:p w:rsidR="00B9359B" w:rsidRDefault="00B9359B">
      <w:pPr>
        <w:spacing w:before="0"/>
        <w:rPr>
          <w:lang w:val="en-US"/>
        </w:rPr>
      </w:pPr>
    </w:p>
    <w:p w:rsidR="00B9359B" w:rsidRDefault="009A5268">
      <w:pPr>
        <w:pStyle w:val="TableNo"/>
        <w:rPr>
          <w:lang w:val="en-US"/>
        </w:rPr>
      </w:pPr>
      <w:r>
        <w:rPr>
          <w:lang w:val="en-US"/>
        </w:rPr>
        <w:t>TABLE  3</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60"/>
        <w:gridCol w:w="1658"/>
        <w:gridCol w:w="1660"/>
        <w:gridCol w:w="1748"/>
        <w:gridCol w:w="2913"/>
      </w:tblGrid>
      <w:tr w:rsidR="00B9359B" w:rsidRPr="00D35B94">
        <w:tc>
          <w:tcPr>
            <w:tcW w:w="1660" w:type="dxa"/>
            <w:vAlign w:val="center"/>
          </w:tcPr>
          <w:p w:rsidR="00B9359B" w:rsidRDefault="009A5268">
            <w:pPr>
              <w:pStyle w:val="Tablehead"/>
              <w:framePr w:hSpace="181" w:wrap="notBeside" w:vAnchor="text" w:hAnchor="text" w:xAlign="center" w:y="1"/>
              <w:rPr>
                <w:lang w:val="en-US"/>
              </w:rPr>
            </w:pPr>
            <w:r>
              <w:rPr>
                <w:lang w:val="en-US"/>
              </w:rPr>
              <w:t>Frequency band</w:t>
            </w:r>
            <w:r>
              <w:rPr>
                <w:lang w:val="en-US"/>
              </w:rPr>
              <w:br/>
              <w:t>(MHz)</w:t>
            </w:r>
          </w:p>
        </w:tc>
        <w:tc>
          <w:tcPr>
            <w:tcW w:w="1658" w:type="dxa"/>
            <w:vAlign w:val="center"/>
          </w:tcPr>
          <w:p w:rsidR="00B9359B" w:rsidRDefault="009A5268">
            <w:pPr>
              <w:pStyle w:val="Tablehead"/>
              <w:framePr w:hSpace="181" w:wrap="notBeside" w:vAnchor="text" w:hAnchor="text" w:xAlign="center" w:y="1"/>
              <w:rPr>
                <w:lang w:val="en-US"/>
              </w:rPr>
            </w:pPr>
            <w:r>
              <w:rPr>
                <w:lang w:val="en-US"/>
              </w:rPr>
              <w:t>Notified</w:t>
            </w:r>
            <w:r>
              <w:rPr>
                <w:lang w:val="en-US"/>
              </w:rPr>
              <w:br/>
              <w:t>system</w:t>
            </w:r>
          </w:p>
        </w:tc>
        <w:tc>
          <w:tcPr>
            <w:tcW w:w="1660" w:type="dxa"/>
            <w:vAlign w:val="center"/>
          </w:tcPr>
          <w:p w:rsidR="00B9359B" w:rsidRDefault="009A5268">
            <w:pPr>
              <w:pStyle w:val="Tablehead"/>
              <w:framePr w:hSpace="181" w:wrap="notBeside" w:vAnchor="text" w:hAnchor="text" w:xAlign="center" w:y="1"/>
              <w:rPr>
                <w:lang w:val="en-US"/>
              </w:rPr>
            </w:pPr>
            <w:r>
              <w:rPr>
                <w:lang w:val="en-US"/>
              </w:rPr>
              <w:t>Necessary bandwidth</w:t>
            </w:r>
            <w:r>
              <w:rPr>
                <w:lang w:val="en-US"/>
              </w:rPr>
              <w:br/>
              <w:t>(MHz)</w:t>
            </w:r>
          </w:p>
        </w:tc>
        <w:tc>
          <w:tcPr>
            <w:tcW w:w="1748" w:type="dxa"/>
            <w:vAlign w:val="center"/>
          </w:tcPr>
          <w:p w:rsidR="00B9359B" w:rsidRDefault="009A5268">
            <w:pPr>
              <w:pStyle w:val="Tablehead"/>
              <w:framePr w:hSpace="181" w:wrap="notBeside" w:vAnchor="text" w:hAnchor="text" w:xAlign="center" w:y="1"/>
              <w:rPr>
                <w:lang w:val="en-US"/>
              </w:rPr>
            </w:pPr>
            <w:r>
              <w:rPr>
                <w:lang w:val="en-US"/>
              </w:rPr>
              <w:t>Satellite</w:t>
            </w:r>
            <w:r>
              <w:rPr>
                <w:lang w:val="en-US"/>
              </w:rPr>
              <w:br/>
              <w:t>antenna gain</w:t>
            </w:r>
            <w:r>
              <w:rPr>
                <w:lang w:val="en-US"/>
              </w:rPr>
              <w:br/>
              <w:t>(dBi)</w:t>
            </w:r>
          </w:p>
        </w:tc>
        <w:tc>
          <w:tcPr>
            <w:tcW w:w="2913" w:type="dxa"/>
            <w:vAlign w:val="center"/>
          </w:tcPr>
          <w:p w:rsidR="00B9359B" w:rsidRDefault="009A5268">
            <w:pPr>
              <w:pStyle w:val="Tablehead"/>
              <w:framePr w:hSpace="181" w:wrap="notBeside" w:vAnchor="text" w:hAnchor="text" w:xAlign="center" w:y="1"/>
              <w:rPr>
                <w:lang w:val="en-US"/>
              </w:rPr>
            </w:pPr>
            <w:r>
              <w:rPr>
                <w:lang w:val="en-US"/>
              </w:rPr>
              <w:t>Expected maximum</w:t>
            </w:r>
            <w:r>
              <w:rPr>
                <w:lang w:val="en-US"/>
              </w:rPr>
              <w:br/>
              <w:t>in-band pfd</w:t>
            </w:r>
            <w:r>
              <w:rPr>
                <w:lang w:val="en-US"/>
              </w:rPr>
              <w:br/>
              <w:t>(dB(W/(m</w:t>
            </w:r>
            <w:r>
              <w:rPr>
                <w:vertAlign w:val="superscript"/>
                <w:lang w:val="en-US"/>
              </w:rPr>
              <w:t>2</w:t>
            </w:r>
            <w:r>
              <w:rPr>
                <w:lang w:val="en-US"/>
              </w:rPr>
              <w:t xml:space="preserve"> · 4 kHz)))</w:t>
            </w:r>
          </w:p>
        </w:tc>
      </w:tr>
      <w:tr w:rsidR="00B9359B">
        <w:trPr>
          <w:cantSplit/>
          <w:trHeight w:val="203"/>
        </w:trPr>
        <w:tc>
          <w:tcPr>
            <w:tcW w:w="1660" w:type="dxa"/>
            <w:vMerge w:val="restart"/>
            <w:vAlign w:val="center"/>
          </w:tcPr>
          <w:p w:rsidR="00B9359B" w:rsidRDefault="009A5268">
            <w:pPr>
              <w:pStyle w:val="Tabletext"/>
              <w:framePr w:hSpace="181" w:wrap="notBeside" w:vAnchor="text" w:hAnchor="text" w:xAlign="center" w:y="1"/>
              <w:spacing w:before="60" w:after="60"/>
              <w:jc w:val="center"/>
              <w:rPr>
                <w:lang w:val="en-US"/>
              </w:rPr>
            </w:pPr>
            <w:r>
              <w:rPr>
                <w:lang w:val="en-US"/>
              </w:rPr>
              <w:t>1</w:t>
            </w:r>
            <w:r>
              <w:rPr>
                <w:rFonts w:ascii="Tms Rmn" w:hAnsi="Tms Rmn"/>
                <w:sz w:val="12"/>
                <w:lang w:val="en-US"/>
              </w:rPr>
              <w:t> </w:t>
            </w:r>
            <w:r>
              <w:rPr>
                <w:lang w:val="en-US"/>
              </w:rPr>
              <w:t>452-1</w:t>
            </w:r>
            <w:r>
              <w:rPr>
                <w:rFonts w:ascii="Tms Rmn" w:hAnsi="Tms Rmn"/>
                <w:sz w:val="12"/>
                <w:lang w:val="en-US"/>
              </w:rPr>
              <w:t> </w:t>
            </w:r>
            <w:r>
              <w:rPr>
                <w:lang w:val="en-US"/>
              </w:rPr>
              <w:t>492</w:t>
            </w:r>
          </w:p>
        </w:tc>
        <w:tc>
          <w:tcPr>
            <w:tcW w:w="1658"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Digital</w:t>
            </w:r>
            <w:r>
              <w:rPr>
                <w:lang w:val="en-US"/>
              </w:rPr>
              <w:br/>
              <w:t>System A</w:t>
            </w:r>
          </w:p>
        </w:tc>
        <w:tc>
          <w:tcPr>
            <w:tcW w:w="1660"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1.536</w:t>
            </w:r>
          </w:p>
        </w:tc>
        <w:tc>
          <w:tcPr>
            <w:tcW w:w="1748"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30</w:t>
            </w:r>
          </w:p>
        </w:tc>
        <w:tc>
          <w:tcPr>
            <w:tcW w:w="2913" w:type="dxa"/>
            <w:vAlign w:val="center"/>
          </w:tcPr>
          <w:p w:rsidR="00B9359B" w:rsidRDefault="009A5268">
            <w:pPr>
              <w:pStyle w:val="Tabletext"/>
              <w:framePr w:hSpace="181" w:wrap="notBeside" w:vAnchor="text" w:hAnchor="text" w:xAlign="center" w:y="1"/>
              <w:spacing w:before="60" w:after="60"/>
              <w:jc w:val="center"/>
              <w:rPr>
                <w:lang w:val="en-US"/>
              </w:rPr>
            </w:pPr>
            <w:r>
              <w:sym w:font="Symbol" w:char="F02D"/>
            </w:r>
            <w:r>
              <w:rPr>
                <w:lang w:val="en-US"/>
              </w:rPr>
              <w:t>128</w:t>
            </w:r>
          </w:p>
        </w:tc>
      </w:tr>
      <w:tr w:rsidR="00B9359B">
        <w:trPr>
          <w:cantSplit/>
          <w:trHeight w:val="202"/>
        </w:trPr>
        <w:tc>
          <w:tcPr>
            <w:tcW w:w="1660" w:type="dxa"/>
            <w:vMerge/>
            <w:tcBorders>
              <w:bottom w:val="single" w:sz="4" w:space="0" w:color="auto"/>
            </w:tcBorders>
            <w:vAlign w:val="center"/>
          </w:tcPr>
          <w:p w:rsidR="00B9359B" w:rsidRDefault="00B9359B">
            <w:pPr>
              <w:pStyle w:val="Tabletext"/>
              <w:framePr w:hSpace="181" w:wrap="notBeside" w:vAnchor="text" w:hAnchor="text" w:xAlign="center" w:y="1"/>
              <w:spacing w:before="60" w:after="60"/>
              <w:jc w:val="center"/>
              <w:rPr>
                <w:lang w:val="en-US"/>
              </w:rPr>
            </w:pPr>
          </w:p>
        </w:tc>
        <w:tc>
          <w:tcPr>
            <w:tcW w:w="1658" w:type="dxa"/>
            <w:tcBorders>
              <w:bottom w:val="single" w:sz="4" w:space="0" w:color="auto"/>
            </w:tcBorders>
            <w:vAlign w:val="center"/>
          </w:tcPr>
          <w:p w:rsidR="00B9359B" w:rsidRDefault="009A5268">
            <w:pPr>
              <w:pStyle w:val="Tabletext"/>
              <w:framePr w:hSpace="181" w:wrap="notBeside" w:vAnchor="text" w:hAnchor="text" w:xAlign="center" w:y="1"/>
              <w:spacing w:before="60" w:after="60"/>
              <w:jc w:val="center"/>
              <w:rPr>
                <w:lang w:val="en-US"/>
              </w:rPr>
            </w:pPr>
            <w:r>
              <w:rPr>
                <w:lang w:val="en-US"/>
              </w:rPr>
              <w:t>Digital</w:t>
            </w:r>
            <w:r>
              <w:rPr>
                <w:lang w:val="en-US"/>
              </w:rPr>
              <w:br/>
              <w:t>System DS</w:t>
            </w:r>
          </w:p>
        </w:tc>
        <w:tc>
          <w:tcPr>
            <w:tcW w:w="1660" w:type="dxa"/>
            <w:tcBorders>
              <w:bottom w:val="single" w:sz="4" w:space="0" w:color="auto"/>
            </w:tcBorders>
            <w:vAlign w:val="center"/>
          </w:tcPr>
          <w:p w:rsidR="00B9359B" w:rsidRDefault="009A5268">
            <w:pPr>
              <w:pStyle w:val="Tabletext"/>
              <w:framePr w:hSpace="181" w:wrap="notBeside" w:vAnchor="text" w:hAnchor="text" w:xAlign="center" w:y="1"/>
              <w:spacing w:before="60" w:after="60"/>
              <w:jc w:val="center"/>
              <w:rPr>
                <w:lang w:val="en-US"/>
              </w:rPr>
            </w:pPr>
            <w:r>
              <w:rPr>
                <w:lang w:val="en-US"/>
              </w:rPr>
              <w:t>1.84</w:t>
            </w:r>
          </w:p>
        </w:tc>
        <w:tc>
          <w:tcPr>
            <w:tcW w:w="1748" w:type="dxa"/>
            <w:tcBorders>
              <w:bottom w:val="single" w:sz="4" w:space="0" w:color="auto"/>
            </w:tcBorders>
            <w:vAlign w:val="center"/>
          </w:tcPr>
          <w:p w:rsidR="00B9359B" w:rsidRDefault="009A5268">
            <w:pPr>
              <w:pStyle w:val="Tabletext"/>
              <w:framePr w:hSpace="181" w:wrap="notBeside" w:vAnchor="text" w:hAnchor="text" w:xAlign="center" w:y="1"/>
              <w:spacing w:before="60" w:after="60"/>
              <w:jc w:val="center"/>
              <w:rPr>
                <w:lang w:val="en-US"/>
              </w:rPr>
            </w:pPr>
            <w:r>
              <w:rPr>
                <w:lang w:val="en-US"/>
              </w:rPr>
              <w:t>30</w:t>
            </w:r>
          </w:p>
        </w:tc>
        <w:tc>
          <w:tcPr>
            <w:tcW w:w="2913" w:type="dxa"/>
            <w:tcBorders>
              <w:bottom w:val="single" w:sz="4" w:space="0" w:color="auto"/>
            </w:tcBorders>
            <w:vAlign w:val="center"/>
          </w:tcPr>
          <w:p w:rsidR="00B9359B" w:rsidRDefault="009A5268">
            <w:pPr>
              <w:pStyle w:val="Tabletext"/>
              <w:framePr w:hSpace="181" w:wrap="notBeside" w:vAnchor="text" w:hAnchor="text" w:xAlign="center" w:y="1"/>
              <w:spacing w:before="60" w:after="60"/>
              <w:jc w:val="center"/>
              <w:rPr>
                <w:lang w:val="en-US"/>
              </w:rPr>
            </w:pPr>
            <w:r>
              <w:sym w:font="Symbol" w:char="F02D"/>
            </w:r>
            <w:r>
              <w:rPr>
                <w:lang w:val="en-US"/>
              </w:rPr>
              <w:t>138</w:t>
            </w:r>
          </w:p>
        </w:tc>
      </w:tr>
    </w:tbl>
    <w:p w:rsidR="00B9359B" w:rsidRDefault="00B9359B">
      <w:pPr>
        <w:pStyle w:val="Tablefin"/>
      </w:pPr>
    </w:p>
    <w:p w:rsidR="00B9359B" w:rsidRDefault="009A5268">
      <w:pPr>
        <w:pStyle w:val="Note"/>
        <w:rPr>
          <w:lang w:val="en-US"/>
        </w:rPr>
      </w:pPr>
      <w:r>
        <w:rPr>
          <w:lang w:val="en-US"/>
        </w:rPr>
        <w:t>NOTE 1 </w:t>
      </w:r>
      <w:r>
        <w:sym w:font="Symbol" w:char="F02D"/>
      </w:r>
      <w:r>
        <w:rPr>
          <w:lang w:val="en-US"/>
        </w:rPr>
        <w:t> The results in this Annex are limited to GSO systems.</w:t>
      </w:r>
    </w:p>
    <w:p w:rsidR="00B9359B" w:rsidRDefault="009A5268">
      <w:pPr>
        <w:pStyle w:val="Heading1"/>
        <w:rPr>
          <w:lang w:val="en-US"/>
        </w:rPr>
      </w:pPr>
      <w:bookmarkStart w:id="56" w:name="_Toc51045455"/>
      <w:r>
        <w:rPr>
          <w:lang w:val="en-US"/>
        </w:rPr>
        <w:t>3</w:t>
      </w:r>
      <w:r>
        <w:rPr>
          <w:lang w:val="en-US"/>
        </w:rPr>
        <w:tab/>
        <w:t>Compatibility threshold</w:t>
      </w:r>
      <w:bookmarkEnd w:id="56"/>
      <w:r>
        <w:rPr>
          <w:lang w:val="en-US"/>
        </w:rPr>
        <w:t xml:space="preserve"> </w:t>
      </w:r>
    </w:p>
    <w:p w:rsidR="00B9359B" w:rsidRDefault="009A5268">
      <w:pPr>
        <w:rPr>
          <w:bCs/>
          <w:lang w:val="en-US"/>
        </w:rPr>
      </w:pPr>
      <w:r>
        <w:rPr>
          <w:lang w:val="en-US"/>
        </w:rPr>
        <w:t>See § 1.3</w:t>
      </w:r>
      <w:r>
        <w:rPr>
          <w:bCs/>
          <w:lang w:val="en-US"/>
        </w:rPr>
        <w:t>.</w:t>
      </w:r>
    </w:p>
    <w:p w:rsidR="00B9359B" w:rsidRDefault="009A5268">
      <w:pPr>
        <w:pStyle w:val="Heading1"/>
        <w:rPr>
          <w:lang w:val="en-US"/>
        </w:rPr>
      </w:pPr>
      <w:bookmarkStart w:id="57" w:name="_Toc51045456"/>
      <w:r>
        <w:rPr>
          <w:lang w:val="en-US"/>
        </w:rPr>
        <w:t>4</w:t>
      </w:r>
      <w:r>
        <w:rPr>
          <w:lang w:val="en-US"/>
        </w:rPr>
        <w:tab/>
        <w:t>Interference assessment</w:t>
      </w:r>
      <w:bookmarkEnd w:id="57"/>
    </w:p>
    <w:p w:rsidR="00B9359B" w:rsidRDefault="009A5268">
      <w:pPr>
        <w:pStyle w:val="Heading2"/>
        <w:rPr>
          <w:lang w:val="en-US"/>
        </w:rPr>
      </w:pPr>
      <w:bookmarkStart w:id="58" w:name="_Toc51045457"/>
      <w:r>
        <w:rPr>
          <w:snapToGrid w:val="0"/>
          <w:lang w:val="en-US"/>
        </w:rPr>
        <w:t>4.1</w:t>
      </w:r>
      <w:r>
        <w:rPr>
          <w:snapToGrid w:val="0"/>
          <w:lang w:val="en-US"/>
        </w:rPr>
        <w:tab/>
        <w:t>Methodology used to assess the interference level</w:t>
      </w:r>
      <w:bookmarkEnd w:id="58"/>
    </w:p>
    <w:p w:rsidR="00B9359B" w:rsidRDefault="009A5268">
      <w:pPr>
        <w:rPr>
          <w:lang w:val="en-US"/>
        </w:rPr>
      </w:pPr>
      <w:r>
        <w:rPr>
          <w:lang w:val="en-US"/>
        </w:rPr>
        <w:t>With respect to non-GSO systems, the protection criteria for radio astronomy and the relevant methodologies are described in Recommendations ITU-R RA.769 and ITU-R RA.1513, as well as in Recommendation ITU</w:t>
      </w:r>
      <w:r>
        <w:rPr>
          <w:lang w:val="en-US"/>
        </w:rPr>
        <w:noBreakHyphen/>
        <w:t>R S.1586 for FSS systems.</w:t>
      </w:r>
    </w:p>
    <w:p w:rsidR="00B9359B" w:rsidRDefault="009A5268">
      <w:pPr>
        <w:rPr>
          <w:lang w:val="en-US"/>
        </w:rPr>
      </w:pPr>
      <w:r>
        <w:rPr>
          <w:lang w:val="en-US"/>
        </w:rPr>
        <w:t>The OoB emission mask that was used for the calculation is described in § 4.3.1.</w:t>
      </w:r>
    </w:p>
    <w:p w:rsidR="00B9359B" w:rsidRDefault="009A5268">
      <w:pPr>
        <w:pStyle w:val="Heading2"/>
        <w:rPr>
          <w:lang w:val="en-US"/>
        </w:rPr>
      </w:pPr>
      <w:bookmarkStart w:id="59" w:name="_Toc51045458"/>
      <w:r>
        <w:rPr>
          <w:lang w:val="en-US"/>
        </w:rPr>
        <w:t>4.2</w:t>
      </w:r>
      <w:r>
        <w:rPr>
          <w:lang w:val="en-US"/>
        </w:rPr>
        <w:tab/>
        <w:t>Calculation of interference level</w:t>
      </w:r>
      <w:bookmarkEnd w:id="59"/>
    </w:p>
    <w:p w:rsidR="00B9359B" w:rsidRDefault="009A5268">
      <w:pPr>
        <w:rPr>
          <w:lang w:val="en-US"/>
        </w:rPr>
      </w:pPr>
      <w:r>
        <w:rPr>
          <w:lang w:val="en-US"/>
        </w:rPr>
        <w:t>See § 4.3.</w:t>
      </w:r>
    </w:p>
    <w:p w:rsidR="00B9359B" w:rsidRDefault="009A5268">
      <w:pPr>
        <w:pStyle w:val="Heading2"/>
        <w:tabs>
          <w:tab w:val="clear" w:pos="794"/>
        </w:tabs>
        <w:rPr>
          <w:lang w:val="en-US"/>
        </w:rPr>
      </w:pPr>
      <w:bookmarkStart w:id="60" w:name="_Toc51045459"/>
      <w:r>
        <w:rPr>
          <w:lang w:val="en-US"/>
        </w:rPr>
        <w:br w:type="page"/>
        <w:t>4.3</w:t>
      </w:r>
      <w:r>
        <w:rPr>
          <w:lang w:val="en-US"/>
        </w:rPr>
        <w:tab/>
        <w:t>Values achieved</w:t>
      </w:r>
      <w:bookmarkEnd w:id="60"/>
    </w:p>
    <w:p w:rsidR="00B9359B" w:rsidRDefault="009A5268">
      <w:pPr>
        <w:rPr>
          <w:lang w:val="en-US"/>
        </w:rPr>
      </w:pPr>
      <w:r>
        <w:rPr>
          <w:lang w:val="en-US"/>
        </w:rPr>
        <w:t>It should be noted that the following sections cover only the case of GSO systems.</w:t>
      </w:r>
    </w:p>
    <w:p w:rsidR="00B9359B" w:rsidRDefault="009A5268">
      <w:pPr>
        <w:pStyle w:val="Heading3"/>
        <w:rPr>
          <w:lang w:val="en-US"/>
        </w:rPr>
      </w:pPr>
      <w:bookmarkStart w:id="61" w:name="_Toc51045460"/>
      <w:r>
        <w:rPr>
          <w:lang w:val="en-US"/>
        </w:rPr>
        <w:t>4.3.1</w:t>
      </w:r>
      <w:r>
        <w:rPr>
          <w:lang w:val="en-US"/>
        </w:rPr>
        <w:tab/>
        <w:t>Spectral line observations</w:t>
      </w:r>
      <w:bookmarkEnd w:id="61"/>
    </w:p>
    <w:p w:rsidR="00B9359B" w:rsidRDefault="009A5268">
      <w:pPr>
        <w:rPr>
          <w:lang w:val="en-US"/>
        </w:rPr>
      </w:pPr>
      <w:r>
        <w:rPr>
          <w:lang w:val="en-US"/>
        </w:rPr>
        <w:t>Based on the necessary bandwidth given in Table 3, and on the separation of the BSS and passive service bands, it appears that for the BSS allocation, the spurious limit applies: 43 </w:t>
      </w:r>
      <w:r>
        <w:rPr>
          <w:rFonts w:ascii="Symbol" w:hAnsi="Symbol"/>
          <w:lang w:val="en-US"/>
        </w:rPr>
        <w:t></w:t>
      </w:r>
      <w:r>
        <w:rPr>
          <w:lang w:val="en-US"/>
        </w:rPr>
        <w:t> 10 log </w:t>
      </w:r>
      <w:r>
        <w:rPr>
          <w:i/>
          <w:iCs/>
          <w:lang w:val="en-US"/>
        </w:rPr>
        <w:t>P</w:t>
      </w:r>
      <w:r>
        <w:rPr>
          <w:lang w:val="en-US"/>
        </w:rPr>
        <w:t xml:space="preserve"> or 60 dBc, whichever is less stringent, where </w:t>
      </w:r>
      <w:r>
        <w:rPr>
          <w:i/>
          <w:iCs/>
          <w:lang w:val="en-US"/>
        </w:rPr>
        <w:t>P</w:t>
      </w:r>
      <w:r>
        <w:rPr>
          <w:lang w:val="en-US"/>
        </w:rPr>
        <w:t xml:space="preserve"> is the mean power (W) supplied to the antenna transmission line. This is detailed in Table 4.</w:t>
      </w:r>
    </w:p>
    <w:p w:rsidR="00B9359B" w:rsidRDefault="009A5268">
      <w:pPr>
        <w:pStyle w:val="TableNo"/>
        <w:rPr>
          <w:lang w:val="en-US"/>
        </w:rPr>
      </w:pPr>
      <w:r>
        <w:rPr>
          <w:lang w:val="en-US"/>
        </w:rPr>
        <w:t>TABLE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21"/>
        <w:gridCol w:w="1418"/>
        <w:gridCol w:w="1418"/>
        <w:gridCol w:w="1361"/>
        <w:gridCol w:w="1361"/>
        <w:gridCol w:w="1361"/>
        <w:gridCol w:w="1701"/>
      </w:tblGrid>
      <w:tr w:rsidR="00B9359B" w:rsidRPr="00D35B94">
        <w:trPr>
          <w:jc w:val="center"/>
        </w:trPr>
        <w:tc>
          <w:tcPr>
            <w:tcW w:w="1021" w:type="dxa"/>
            <w:vAlign w:val="center"/>
          </w:tcPr>
          <w:p w:rsidR="00B9359B" w:rsidRDefault="009A5268">
            <w:pPr>
              <w:pStyle w:val="Tablehead"/>
              <w:framePr w:hSpace="181" w:wrap="notBeside" w:vAnchor="text" w:hAnchor="text" w:xAlign="center" w:y="1"/>
              <w:rPr>
                <w:sz w:val="18"/>
                <w:lang w:val="en-US"/>
              </w:rPr>
            </w:pPr>
            <w:r>
              <w:rPr>
                <w:sz w:val="18"/>
                <w:lang w:val="en-US"/>
              </w:rPr>
              <w:t>BSS allocation</w:t>
            </w:r>
            <w:r>
              <w:rPr>
                <w:sz w:val="18"/>
                <w:lang w:val="en-US"/>
              </w:rPr>
              <w:br/>
              <w:t>(MHz)</w:t>
            </w:r>
          </w:p>
        </w:tc>
        <w:tc>
          <w:tcPr>
            <w:tcW w:w="1418" w:type="dxa"/>
            <w:vAlign w:val="center"/>
          </w:tcPr>
          <w:p w:rsidR="00B9359B" w:rsidRDefault="009A5268">
            <w:pPr>
              <w:pStyle w:val="Tablehead"/>
              <w:framePr w:hSpace="181" w:wrap="notBeside" w:vAnchor="text" w:hAnchor="text" w:xAlign="center" w:y="1"/>
              <w:rPr>
                <w:sz w:val="18"/>
                <w:lang w:val="en-US"/>
              </w:rPr>
            </w:pPr>
            <w:r>
              <w:rPr>
                <w:sz w:val="18"/>
                <w:lang w:val="en-US"/>
              </w:rPr>
              <w:t>Closest passive service allocation</w:t>
            </w:r>
            <w:r>
              <w:rPr>
                <w:sz w:val="18"/>
                <w:lang w:val="en-US"/>
              </w:rPr>
              <w:br/>
              <w:t>(MHz)</w:t>
            </w:r>
          </w:p>
        </w:tc>
        <w:tc>
          <w:tcPr>
            <w:tcW w:w="1418" w:type="dxa"/>
            <w:vAlign w:val="center"/>
          </w:tcPr>
          <w:p w:rsidR="00B9359B" w:rsidRDefault="009A5268">
            <w:pPr>
              <w:pStyle w:val="Tablehead"/>
              <w:framePr w:hSpace="181" w:wrap="notBeside" w:vAnchor="text" w:hAnchor="text" w:xAlign="center" w:y="1"/>
              <w:rPr>
                <w:sz w:val="18"/>
                <w:lang w:val="en-US"/>
              </w:rPr>
            </w:pPr>
            <w:r>
              <w:rPr>
                <w:sz w:val="18"/>
                <w:lang w:val="en-US"/>
              </w:rPr>
              <w:t>Notified</w:t>
            </w:r>
            <w:r>
              <w:rPr>
                <w:sz w:val="18"/>
                <w:lang w:val="en-US"/>
              </w:rPr>
              <w:br/>
              <w:t>system</w:t>
            </w:r>
          </w:p>
        </w:tc>
        <w:tc>
          <w:tcPr>
            <w:tcW w:w="1361" w:type="dxa"/>
            <w:vAlign w:val="center"/>
          </w:tcPr>
          <w:p w:rsidR="00B9359B" w:rsidRDefault="009A5268">
            <w:pPr>
              <w:pStyle w:val="Tablehead"/>
              <w:framePr w:hSpace="181" w:wrap="notBeside" w:vAnchor="text" w:hAnchor="text" w:xAlign="center" w:y="1"/>
              <w:rPr>
                <w:sz w:val="18"/>
                <w:lang w:val="en-US"/>
              </w:rPr>
            </w:pPr>
            <w:r>
              <w:rPr>
                <w:sz w:val="18"/>
                <w:lang w:val="en-US"/>
              </w:rPr>
              <w:t>Necessary bandwidth</w:t>
            </w:r>
            <w:r>
              <w:rPr>
                <w:sz w:val="18"/>
                <w:lang w:val="en-US"/>
              </w:rPr>
              <w:br/>
              <w:t>(MHz)</w:t>
            </w:r>
          </w:p>
        </w:tc>
        <w:tc>
          <w:tcPr>
            <w:tcW w:w="1361" w:type="dxa"/>
            <w:vAlign w:val="center"/>
          </w:tcPr>
          <w:p w:rsidR="00B9359B" w:rsidRDefault="009A5268">
            <w:pPr>
              <w:pStyle w:val="Tablehead"/>
              <w:framePr w:hSpace="181" w:wrap="notBeside" w:vAnchor="text" w:hAnchor="text" w:xAlign="center" w:y="1"/>
              <w:rPr>
                <w:sz w:val="18"/>
                <w:lang w:val="en-US"/>
              </w:rPr>
            </w:pPr>
            <w:r>
              <w:rPr>
                <w:sz w:val="18"/>
                <w:lang w:val="en-US"/>
              </w:rPr>
              <w:t>Start of OoB domain</w:t>
            </w:r>
            <w:r>
              <w:rPr>
                <w:sz w:val="18"/>
                <w:lang w:val="en-US"/>
              </w:rPr>
              <w:br/>
              <w:t>(MHz)</w:t>
            </w:r>
          </w:p>
        </w:tc>
        <w:tc>
          <w:tcPr>
            <w:tcW w:w="1361" w:type="dxa"/>
            <w:vAlign w:val="center"/>
          </w:tcPr>
          <w:p w:rsidR="00B9359B" w:rsidRDefault="009A5268">
            <w:pPr>
              <w:pStyle w:val="Tablehead"/>
              <w:framePr w:hSpace="181" w:wrap="notBeside" w:vAnchor="text" w:hAnchor="text" w:xAlign="center" w:y="1"/>
              <w:rPr>
                <w:sz w:val="18"/>
                <w:lang w:val="en-US"/>
              </w:rPr>
            </w:pPr>
            <w:r>
              <w:rPr>
                <w:sz w:val="18"/>
                <w:lang w:val="en-US"/>
              </w:rPr>
              <w:t>End of OoB domain</w:t>
            </w:r>
            <w:r>
              <w:rPr>
                <w:sz w:val="18"/>
                <w:lang w:val="en-US"/>
              </w:rPr>
              <w:br/>
              <w:t>(MHz)</w:t>
            </w:r>
          </w:p>
        </w:tc>
        <w:tc>
          <w:tcPr>
            <w:tcW w:w="1701" w:type="dxa"/>
            <w:vAlign w:val="center"/>
          </w:tcPr>
          <w:p w:rsidR="00B9359B" w:rsidRDefault="009A5268">
            <w:pPr>
              <w:pStyle w:val="Tablehead"/>
              <w:framePr w:hSpace="181" w:wrap="notBeside" w:vAnchor="text" w:hAnchor="text" w:xAlign="center" w:y="1"/>
              <w:rPr>
                <w:sz w:val="18"/>
                <w:lang w:val="en-US"/>
              </w:rPr>
            </w:pPr>
            <w:r>
              <w:rPr>
                <w:sz w:val="18"/>
                <w:lang w:val="en-US"/>
              </w:rPr>
              <w:t>Required attenuation in the passive allocation</w:t>
            </w:r>
          </w:p>
        </w:tc>
      </w:tr>
      <w:tr w:rsidR="00B9359B">
        <w:trPr>
          <w:cantSplit/>
          <w:trHeight w:val="203"/>
          <w:jc w:val="center"/>
        </w:trPr>
        <w:tc>
          <w:tcPr>
            <w:tcW w:w="1021" w:type="dxa"/>
            <w:vMerge w:val="restart"/>
          </w:tcPr>
          <w:p w:rsidR="00B9359B" w:rsidRDefault="009A5268">
            <w:pPr>
              <w:pStyle w:val="Tabletext"/>
              <w:framePr w:hSpace="181" w:wrap="notBeside" w:vAnchor="text" w:hAnchor="text" w:xAlign="center" w:y="1"/>
              <w:spacing w:before="60" w:after="60"/>
              <w:jc w:val="center"/>
              <w:rPr>
                <w:sz w:val="18"/>
                <w:lang w:val="en-US"/>
              </w:rPr>
            </w:pPr>
            <w:r>
              <w:rPr>
                <w:sz w:val="18"/>
                <w:lang w:val="en-US"/>
              </w:rPr>
              <w:t>1</w:t>
            </w:r>
            <w:r>
              <w:rPr>
                <w:rFonts w:ascii="Tms Rmn" w:hAnsi="Tms Rmn"/>
                <w:sz w:val="12"/>
                <w:lang w:val="en-US"/>
              </w:rPr>
              <w:t> </w:t>
            </w:r>
            <w:r>
              <w:rPr>
                <w:sz w:val="18"/>
                <w:lang w:val="en-US"/>
              </w:rPr>
              <w:t>452-1</w:t>
            </w:r>
            <w:r>
              <w:rPr>
                <w:rFonts w:ascii="Tms Rmn" w:hAnsi="Tms Rmn"/>
                <w:sz w:val="12"/>
                <w:lang w:val="en-US"/>
              </w:rPr>
              <w:t> </w:t>
            </w:r>
            <w:r>
              <w:rPr>
                <w:sz w:val="18"/>
                <w:lang w:val="en-US"/>
              </w:rPr>
              <w:t>492</w:t>
            </w:r>
          </w:p>
        </w:tc>
        <w:tc>
          <w:tcPr>
            <w:tcW w:w="1418" w:type="dxa"/>
            <w:vMerge w:val="restart"/>
          </w:tcPr>
          <w:p w:rsidR="00B9359B" w:rsidRDefault="009A5268">
            <w:pPr>
              <w:pStyle w:val="Tabletext"/>
              <w:framePr w:hSpace="181" w:wrap="notBeside" w:vAnchor="text" w:hAnchor="text" w:xAlign="center" w:y="1"/>
              <w:spacing w:before="60" w:after="60"/>
              <w:jc w:val="center"/>
              <w:rPr>
                <w:sz w:val="18"/>
                <w:lang w:val="en-US"/>
              </w:rPr>
            </w:pPr>
            <w:r>
              <w:rPr>
                <w:sz w:val="18"/>
                <w:lang w:val="en-US"/>
              </w:rPr>
              <w:t>1</w:t>
            </w:r>
            <w:r>
              <w:rPr>
                <w:rFonts w:ascii="Tms Rmn" w:hAnsi="Tms Rmn"/>
                <w:sz w:val="12"/>
                <w:lang w:val="en-US"/>
              </w:rPr>
              <w:t> </w:t>
            </w:r>
            <w:r>
              <w:rPr>
                <w:sz w:val="18"/>
                <w:lang w:val="en-US"/>
              </w:rPr>
              <w:t>400-1</w:t>
            </w:r>
            <w:r>
              <w:rPr>
                <w:rFonts w:ascii="Tms Rmn" w:hAnsi="Tms Rmn"/>
                <w:sz w:val="12"/>
                <w:lang w:val="en-US"/>
              </w:rPr>
              <w:t> </w:t>
            </w:r>
            <w:r>
              <w:rPr>
                <w:sz w:val="18"/>
                <w:lang w:val="en-US"/>
              </w:rPr>
              <w:t>427</w:t>
            </w:r>
          </w:p>
        </w:tc>
        <w:tc>
          <w:tcPr>
            <w:tcW w:w="1418" w:type="dxa"/>
          </w:tcPr>
          <w:p w:rsidR="00B9359B" w:rsidRDefault="009A5268">
            <w:pPr>
              <w:pStyle w:val="Tabletext"/>
              <w:framePr w:hSpace="181" w:wrap="notBeside" w:vAnchor="text" w:hAnchor="text" w:xAlign="center" w:y="1"/>
              <w:spacing w:before="60" w:after="60"/>
              <w:jc w:val="center"/>
              <w:rPr>
                <w:sz w:val="18"/>
                <w:lang w:val="en-US"/>
              </w:rPr>
            </w:pPr>
            <w:r>
              <w:rPr>
                <w:sz w:val="18"/>
                <w:lang w:val="en-US"/>
              </w:rPr>
              <w:t>Digital</w:t>
            </w:r>
            <w:r>
              <w:rPr>
                <w:sz w:val="18"/>
                <w:lang w:val="en-US"/>
              </w:rPr>
              <w:br/>
              <w:t>System A</w:t>
            </w:r>
          </w:p>
        </w:tc>
        <w:tc>
          <w:tcPr>
            <w:tcW w:w="1361" w:type="dxa"/>
          </w:tcPr>
          <w:p w:rsidR="00B9359B" w:rsidRDefault="009A5268">
            <w:pPr>
              <w:pStyle w:val="Tabletext"/>
              <w:framePr w:hSpace="181" w:wrap="notBeside" w:vAnchor="text" w:hAnchor="text" w:xAlign="center" w:y="1"/>
              <w:spacing w:before="60" w:after="60"/>
              <w:jc w:val="center"/>
              <w:rPr>
                <w:sz w:val="18"/>
                <w:lang w:val="en-US"/>
              </w:rPr>
            </w:pPr>
            <w:r>
              <w:rPr>
                <w:sz w:val="18"/>
                <w:lang w:val="en-US"/>
              </w:rPr>
              <w:t>1.536</w:t>
            </w:r>
          </w:p>
        </w:tc>
        <w:tc>
          <w:tcPr>
            <w:tcW w:w="1361" w:type="dxa"/>
          </w:tcPr>
          <w:p w:rsidR="00B9359B" w:rsidRDefault="009A5268">
            <w:pPr>
              <w:pStyle w:val="Tabletext"/>
              <w:framePr w:hSpace="181" w:wrap="notBeside" w:vAnchor="text" w:hAnchor="text" w:xAlign="center" w:y="1"/>
              <w:spacing w:before="60" w:after="60"/>
              <w:jc w:val="center"/>
              <w:rPr>
                <w:sz w:val="18"/>
                <w:lang w:val="en-US"/>
              </w:rPr>
            </w:pPr>
            <w:r>
              <w:rPr>
                <w:sz w:val="18"/>
                <w:lang w:val="en-US"/>
              </w:rPr>
              <w:t>1</w:t>
            </w:r>
            <w:r>
              <w:rPr>
                <w:rFonts w:ascii="Tms Rmn" w:hAnsi="Tms Rmn"/>
                <w:sz w:val="12"/>
                <w:lang w:val="en-US"/>
              </w:rPr>
              <w:t> </w:t>
            </w:r>
            <w:r>
              <w:rPr>
                <w:sz w:val="18"/>
                <w:lang w:val="en-US"/>
              </w:rPr>
              <w:t>452</w:t>
            </w:r>
          </w:p>
        </w:tc>
        <w:tc>
          <w:tcPr>
            <w:tcW w:w="1361" w:type="dxa"/>
          </w:tcPr>
          <w:p w:rsidR="00B9359B" w:rsidRDefault="009A5268">
            <w:pPr>
              <w:pStyle w:val="Tabletext"/>
              <w:framePr w:hSpace="181" w:wrap="notBeside" w:vAnchor="text" w:hAnchor="text" w:xAlign="center" w:y="1"/>
              <w:spacing w:before="60" w:after="60"/>
              <w:jc w:val="center"/>
              <w:rPr>
                <w:sz w:val="18"/>
                <w:lang w:val="en-US"/>
              </w:rPr>
            </w:pPr>
            <w:r>
              <w:rPr>
                <w:sz w:val="18"/>
                <w:lang w:val="en-US"/>
              </w:rPr>
              <w:t>1</w:t>
            </w:r>
            <w:r>
              <w:rPr>
                <w:rFonts w:ascii="Tms Rmn" w:hAnsi="Tms Rmn"/>
                <w:sz w:val="12"/>
                <w:lang w:val="en-US"/>
              </w:rPr>
              <w:t> </w:t>
            </w:r>
            <w:r>
              <w:rPr>
                <w:sz w:val="18"/>
                <w:lang w:val="en-US"/>
              </w:rPr>
              <w:t>448.928</w:t>
            </w:r>
          </w:p>
        </w:tc>
        <w:tc>
          <w:tcPr>
            <w:tcW w:w="1701" w:type="dxa"/>
          </w:tcPr>
          <w:p w:rsidR="00B9359B" w:rsidRDefault="009A5268">
            <w:pPr>
              <w:pStyle w:val="Tabletext"/>
              <w:framePr w:hSpace="181" w:wrap="notBeside" w:vAnchor="text" w:hAnchor="text" w:xAlign="center" w:y="1"/>
              <w:spacing w:before="60" w:after="60"/>
              <w:jc w:val="center"/>
              <w:rPr>
                <w:sz w:val="18"/>
                <w:lang w:val="en-US"/>
              </w:rPr>
            </w:pPr>
            <w:r>
              <w:rPr>
                <w:sz w:val="18"/>
                <w:lang w:val="en-US"/>
              </w:rPr>
              <w:t>43 </w:t>
            </w:r>
            <w:r>
              <w:rPr>
                <w:rFonts w:ascii="Symbol" w:hAnsi="Symbol"/>
                <w:sz w:val="18"/>
              </w:rPr>
              <w:t></w:t>
            </w:r>
            <w:r>
              <w:rPr>
                <w:sz w:val="18"/>
                <w:lang w:val="en-US"/>
              </w:rPr>
              <w:t xml:space="preserve"> 10 log </w:t>
            </w:r>
            <w:r>
              <w:rPr>
                <w:i/>
                <w:iCs/>
                <w:sz w:val="18"/>
                <w:lang w:val="en-US"/>
              </w:rPr>
              <w:t>P</w:t>
            </w:r>
            <w:r>
              <w:rPr>
                <w:sz w:val="18"/>
                <w:lang w:val="en-US"/>
              </w:rPr>
              <w:t xml:space="preserve"> </w:t>
            </w:r>
            <w:r>
              <w:rPr>
                <w:sz w:val="18"/>
                <w:lang w:val="en-US"/>
              </w:rPr>
              <w:br/>
              <w:t>or 60 dBc</w:t>
            </w:r>
          </w:p>
        </w:tc>
      </w:tr>
      <w:tr w:rsidR="00B9359B">
        <w:trPr>
          <w:cantSplit/>
          <w:trHeight w:val="202"/>
          <w:jc w:val="center"/>
        </w:trPr>
        <w:tc>
          <w:tcPr>
            <w:tcW w:w="1021" w:type="dxa"/>
            <w:vMerge/>
          </w:tcPr>
          <w:p w:rsidR="00B9359B" w:rsidRDefault="00B9359B">
            <w:pPr>
              <w:pStyle w:val="Tabletext"/>
              <w:framePr w:hSpace="181" w:wrap="notBeside" w:vAnchor="text" w:hAnchor="text" w:xAlign="center" w:y="1"/>
              <w:spacing w:before="60" w:after="60"/>
              <w:jc w:val="center"/>
              <w:rPr>
                <w:sz w:val="18"/>
                <w:lang w:val="en-US"/>
              </w:rPr>
            </w:pPr>
          </w:p>
        </w:tc>
        <w:tc>
          <w:tcPr>
            <w:tcW w:w="1418" w:type="dxa"/>
            <w:vMerge/>
          </w:tcPr>
          <w:p w:rsidR="00B9359B" w:rsidRDefault="00B9359B">
            <w:pPr>
              <w:pStyle w:val="Tabletext"/>
              <w:framePr w:hSpace="181" w:wrap="notBeside" w:vAnchor="text" w:hAnchor="text" w:xAlign="center" w:y="1"/>
              <w:spacing w:before="60" w:after="60"/>
              <w:jc w:val="center"/>
              <w:rPr>
                <w:sz w:val="18"/>
                <w:lang w:val="en-US"/>
              </w:rPr>
            </w:pPr>
          </w:p>
        </w:tc>
        <w:tc>
          <w:tcPr>
            <w:tcW w:w="1418" w:type="dxa"/>
          </w:tcPr>
          <w:p w:rsidR="00B9359B" w:rsidRDefault="009A5268">
            <w:pPr>
              <w:pStyle w:val="Tabletext"/>
              <w:framePr w:hSpace="181" w:wrap="notBeside" w:vAnchor="text" w:hAnchor="text" w:xAlign="center" w:y="1"/>
              <w:spacing w:before="60" w:after="60"/>
              <w:jc w:val="center"/>
              <w:rPr>
                <w:sz w:val="18"/>
                <w:lang w:val="en-US"/>
              </w:rPr>
            </w:pPr>
            <w:r>
              <w:rPr>
                <w:sz w:val="18"/>
                <w:lang w:val="en-US"/>
              </w:rPr>
              <w:t>Digital System DS</w:t>
            </w:r>
          </w:p>
        </w:tc>
        <w:tc>
          <w:tcPr>
            <w:tcW w:w="1361" w:type="dxa"/>
          </w:tcPr>
          <w:p w:rsidR="00B9359B" w:rsidRDefault="009A5268">
            <w:pPr>
              <w:pStyle w:val="Tabletext"/>
              <w:framePr w:hSpace="181" w:wrap="notBeside" w:vAnchor="text" w:hAnchor="text" w:xAlign="center" w:y="1"/>
              <w:spacing w:before="60" w:after="60"/>
              <w:jc w:val="center"/>
              <w:rPr>
                <w:sz w:val="18"/>
                <w:lang w:val="en-US"/>
              </w:rPr>
            </w:pPr>
            <w:r>
              <w:rPr>
                <w:sz w:val="18"/>
                <w:lang w:val="en-US"/>
              </w:rPr>
              <w:t>1.84</w:t>
            </w:r>
          </w:p>
        </w:tc>
        <w:tc>
          <w:tcPr>
            <w:tcW w:w="1361" w:type="dxa"/>
          </w:tcPr>
          <w:p w:rsidR="00B9359B" w:rsidRDefault="009A5268">
            <w:pPr>
              <w:pStyle w:val="Tabletext"/>
              <w:framePr w:hSpace="181" w:wrap="notBeside" w:vAnchor="text" w:hAnchor="text" w:xAlign="center" w:y="1"/>
              <w:spacing w:before="60" w:after="60"/>
              <w:jc w:val="center"/>
              <w:rPr>
                <w:sz w:val="18"/>
                <w:lang w:val="en-US"/>
              </w:rPr>
            </w:pPr>
            <w:r>
              <w:rPr>
                <w:sz w:val="18"/>
                <w:lang w:val="en-US"/>
              </w:rPr>
              <w:t>1</w:t>
            </w:r>
            <w:r>
              <w:rPr>
                <w:rFonts w:ascii="Tms Rmn" w:hAnsi="Tms Rmn"/>
                <w:sz w:val="12"/>
                <w:lang w:val="en-US"/>
              </w:rPr>
              <w:t> </w:t>
            </w:r>
            <w:r>
              <w:rPr>
                <w:sz w:val="18"/>
                <w:lang w:val="en-US"/>
              </w:rPr>
              <w:t>452</w:t>
            </w:r>
          </w:p>
        </w:tc>
        <w:tc>
          <w:tcPr>
            <w:tcW w:w="1361" w:type="dxa"/>
          </w:tcPr>
          <w:p w:rsidR="00B9359B" w:rsidRDefault="009A5268">
            <w:pPr>
              <w:pStyle w:val="Tabletext"/>
              <w:framePr w:hSpace="181" w:wrap="notBeside" w:vAnchor="text" w:hAnchor="text" w:xAlign="center" w:y="1"/>
              <w:spacing w:before="60" w:after="60"/>
              <w:jc w:val="center"/>
              <w:rPr>
                <w:sz w:val="18"/>
                <w:lang w:val="en-US"/>
              </w:rPr>
            </w:pPr>
            <w:r>
              <w:rPr>
                <w:sz w:val="18"/>
                <w:lang w:val="en-US"/>
              </w:rPr>
              <w:t>1</w:t>
            </w:r>
            <w:r>
              <w:rPr>
                <w:rFonts w:ascii="Tms Rmn" w:hAnsi="Tms Rmn"/>
                <w:sz w:val="12"/>
                <w:lang w:val="en-US"/>
              </w:rPr>
              <w:t> </w:t>
            </w:r>
            <w:r>
              <w:rPr>
                <w:sz w:val="18"/>
                <w:lang w:val="en-US"/>
              </w:rPr>
              <w:t>448.32</w:t>
            </w:r>
          </w:p>
        </w:tc>
        <w:tc>
          <w:tcPr>
            <w:tcW w:w="1701" w:type="dxa"/>
          </w:tcPr>
          <w:p w:rsidR="00B9359B" w:rsidRDefault="009A5268">
            <w:pPr>
              <w:pStyle w:val="Tabletext"/>
              <w:framePr w:hSpace="181" w:wrap="notBeside" w:vAnchor="text" w:hAnchor="text" w:xAlign="center" w:y="1"/>
              <w:spacing w:before="60" w:after="60"/>
              <w:jc w:val="center"/>
              <w:rPr>
                <w:sz w:val="18"/>
                <w:lang w:val="en-US"/>
              </w:rPr>
            </w:pPr>
            <w:r>
              <w:rPr>
                <w:sz w:val="18"/>
                <w:lang w:val="en-US"/>
              </w:rPr>
              <w:t>43 </w:t>
            </w:r>
            <w:r>
              <w:rPr>
                <w:rFonts w:ascii="Symbol" w:hAnsi="Symbol"/>
                <w:sz w:val="18"/>
              </w:rPr>
              <w:t></w:t>
            </w:r>
            <w:r>
              <w:rPr>
                <w:sz w:val="18"/>
                <w:lang w:val="en-US"/>
              </w:rPr>
              <w:t xml:space="preserve"> 10 log </w:t>
            </w:r>
            <w:r>
              <w:rPr>
                <w:i/>
                <w:iCs/>
                <w:sz w:val="18"/>
                <w:lang w:val="en-US"/>
              </w:rPr>
              <w:t>P</w:t>
            </w:r>
            <w:r>
              <w:rPr>
                <w:sz w:val="18"/>
                <w:lang w:val="en-US"/>
              </w:rPr>
              <w:t xml:space="preserve"> </w:t>
            </w:r>
            <w:r>
              <w:rPr>
                <w:sz w:val="18"/>
                <w:lang w:val="en-US"/>
              </w:rPr>
              <w:br/>
              <w:t>or 60 dBc</w:t>
            </w:r>
          </w:p>
        </w:tc>
      </w:tr>
    </w:tbl>
    <w:p w:rsidR="00B9359B" w:rsidRDefault="00B9359B">
      <w:pPr>
        <w:pStyle w:val="Tablefin"/>
        <w:rPr>
          <w:lang w:val="en-US"/>
        </w:rPr>
      </w:pPr>
    </w:p>
    <w:p w:rsidR="00B9359B" w:rsidRDefault="009A5268">
      <w:pPr>
        <w:rPr>
          <w:lang w:val="en-US"/>
        </w:rPr>
      </w:pPr>
      <w:r>
        <w:rPr>
          <w:lang w:val="en-US"/>
        </w:rPr>
        <w:t>The expected unwanted emission level is deduced from the parameters in Table 5.</w:t>
      </w:r>
    </w:p>
    <w:p w:rsidR="00B9359B" w:rsidRDefault="009A5268">
      <w:pPr>
        <w:pStyle w:val="TableNo"/>
        <w:rPr>
          <w:lang w:val="en-US"/>
        </w:rPr>
      </w:pPr>
      <w:r>
        <w:rPr>
          <w:lang w:val="en-US"/>
        </w:rPr>
        <w:t>TABLE  5</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55"/>
        <w:gridCol w:w="981"/>
        <w:gridCol w:w="1789"/>
        <w:gridCol w:w="921"/>
        <w:gridCol w:w="1334"/>
        <w:gridCol w:w="1370"/>
        <w:gridCol w:w="1789"/>
      </w:tblGrid>
      <w:tr w:rsidR="00B9359B" w:rsidRPr="00D35B94">
        <w:trPr>
          <w:cantSplit/>
        </w:trPr>
        <w:tc>
          <w:tcPr>
            <w:tcW w:w="1455" w:type="dxa"/>
            <w:vMerge w:val="restart"/>
            <w:vAlign w:val="center"/>
          </w:tcPr>
          <w:p w:rsidR="00B9359B" w:rsidRDefault="009A5268">
            <w:pPr>
              <w:pStyle w:val="Tablehead"/>
              <w:framePr w:hSpace="181" w:wrap="notBeside" w:vAnchor="text" w:hAnchor="text" w:xAlign="center" w:y="1"/>
              <w:rPr>
                <w:sz w:val="18"/>
                <w:lang w:val="en-US"/>
              </w:rPr>
            </w:pPr>
            <w:r>
              <w:rPr>
                <w:sz w:val="18"/>
                <w:lang w:val="en-US"/>
              </w:rPr>
              <w:t>BSS</w:t>
            </w:r>
            <w:r>
              <w:rPr>
                <w:sz w:val="18"/>
                <w:lang w:val="en-US"/>
              </w:rPr>
              <w:br/>
              <w:t>allocation</w:t>
            </w:r>
            <w:r>
              <w:rPr>
                <w:sz w:val="18"/>
                <w:lang w:val="en-US"/>
              </w:rPr>
              <w:br/>
              <w:t>(MHz)</w:t>
            </w:r>
          </w:p>
        </w:tc>
        <w:tc>
          <w:tcPr>
            <w:tcW w:w="981" w:type="dxa"/>
            <w:vAlign w:val="center"/>
          </w:tcPr>
          <w:p w:rsidR="00B9359B" w:rsidRDefault="009A5268">
            <w:pPr>
              <w:pStyle w:val="Tablehead"/>
              <w:framePr w:hSpace="181" w:wrap="notBeside" w:vAnchor="text" w:hAnchor="text" w:xAlign="center" w:y="1"/>
              <w:rPr>
                <w:sz w:val="18"/>
                <w:lang w:val="en-US"/>
              </w:rPr>
            </w:pPr>
            <w:r>
              <w:rPr>
                <w:sz w:val="18"/>
                <w:lang w:val="en-US"/>
              </w:rPr>
              <w:t>Necessary bandwidth</w:t>
            </w:r>
            <w:r>
              <w:rPr>
                <w:sz w:val="18"/>
                <w:lang w:val="en-US"/>
              </w:rPr>
              <w:br/>
              <w:t>(MHz)</w:t>
            </w:r>
          </w:p>
        </w:tc>
        <w:tc>
          <w:tcPr>
            <w:tcW w:w="1789" w:type="dxa"/>
            <w:vAlign w:val="center"/>
          </w:tcPr>
          <w:p w:rsidR="00B9359B" w:rsidRDefault="009A5268">
            <w:pPr>
              <w:pStyle w:val="Tablehead"/>
              <w:framePr w:hSpace="181" w:wrap="notBeside" w:vAnchor="text" w:hAnchor="text" w:xAlign="center" w:y="1"/>
              <w:rPr>
                <w:sz w:val="18"/>
                <w:lang w:val="en-US"/>
              </w:rPr>
            </w:pPr>
            <w:r>
              <w:rPr>
                <w:sz w:val="18"/>
                <w:lang w:val="en-US"/>
              </w:rPr>
              <w:t>Expected maximum</w:t>
            </w:r>
            <w:r>
              <w:rPr>
                <w:sz w:val="18"/>
                <w:lang w:val="en-US"/>
              </w:rPr>
              <w:br/>
              <w:t>in-band pfd</w:t>
            </w:r>
            <w:r>
              <w:rPr>
                <w:sz w:val="18"/>
                <w:lang w:val="en-US"/>
              </w:rPr>
              <w:br/>
              <w:t>(dB(W/(m</w:t>
            </w:r>
            <w:r>
              <w:rPr>
                <w:sz w:val="18"/>
                <w:vertAlign w:val="superscript"/>
                <w:lang w:val="en-US"/>
              </w:rPr>
              <w:t>2</w:t>
            </w:r>
            <w:r>
              <w:rPr>
                <w:sz w:val="18"/>
                <w:lang w:val="en-US"/>
              </w:rPr>
              <w:t> · 4 kHz)))</w:t>
            </w:r>
          </w:p>
        </w:tc>
        <w:tc>
          <w:tcPr>
            <w:tcW w:w="921" w:type="dxa"/>
            <w:vAlign w:val="center"/>
          </w:tcPr>
          <w:p w:rsidR="00B9359B" w:rsidRDefault="009A5268">
            <w:pPr>
              <w:pStyle w:val="Tablehead"/>
              <w:framePr w:hSpace="181" w:wrap="notBeside" w:vAnchor="text" w:hAnchor="text" w:xAlign="center" w:y="1"/>
              <w:rPr>
                <w:sz w:val="18"/>
                <w:lang w:val="en-US"/>
              </w:rPr>
            </w:pPr>
            <w:r>
              <w:rPr>
                <w:sz w:val="18"/>
                <w:lang w:val="en-US"/>
              </w:rPr>
              <w:t>Satellite antenna gain</w:t>
            </w:r>
            <w:r>
              <w:rPr>
                <w:sz w:val="18"/>
                <w:lang w:val="en-US"/>
              </w:rPr>
              <w:br/>
              <w:t>(dBi)</w:t>
            </w:r>
          </w:p>
        </w:tc>
        <w:tc>
          <w:tcPr>
            <w:tcW w:w="1334" w:type="dxa"/>
            <w:vAlign w:val="center"/>
          </w:tcPr>
          <w:p w:rsidR="00B9359B" w:rsidRDefault="009A5268">
            <w:pPr>
              <w:pStyle w:val="Tablehead"/>
              <w:framePr w:hSpace="181" w:wrap="notBeside" w:vAnchor="text" w:hAnchor="text" w:xAlign="center" w:y="1"/>
              <w:rPr>
                <w:sz w:val="18"/>
                <w:lang w:val="en-US"/>
              </w:rPr>
            </w:pPr>
            <w:r>
              <w:rPr>
                <w:sz w:val="18"/>
                <w:lang w:val="en-US"/>
              </w:rPr>
              <w:t>Total mean output power of the transmitter (dBW)</w:t>
            </w:r>
          </w:p>
        </w:tc>
        <w:tc>
          <w:tcPr>
            <w:tcW w:w="1370" w:type="dxa"/>
            <w:vAlign w:val="center"/>
          </w:tcPr>
          <w:p w:rsidR="00B9359B" w:rsidRDefault="009A5268">
            <w:pPr>
              <w:pStyle w:val="Tablehead"/>
              <w:framePr w:hSpace="181" w:wrap="notBeside" w:vAnchor="text" w:hAnchor="text" w:xAlign="center" w:y="1"/>
              <w:rPr>
                <w:sz w:val="18"/>
                <w:lang w:val="en-US"/>
              </w:rPr>
            </w:pPr>
            <w:r>
              <w:rPr>
                <w:sz w:val="18"/>
                <w:lang w:val="en-US"/>
              </w:rPr>
              <w:t>Required attenuation in the passive allocation</w:t>
            </w:r>
            <w:r>
              <w:rPr>
                <w:sz w:val="18"/>
                <w:lang w:val="en-US"/>
              </w:rPr>
              <w:br/>
              <w:t>(dBc)</w:t>
            </w:r>
          </w:p>
        </w:tc>
        <w:tc>
          <w:tcPr>
            <w:tcW w:w="1789" w:type="dxa"/>
            <w:vAlign w:val="center"/>
          </w:tcPr>
          <w:p w:rsidR="00B9359B" w:rsidRDefault="009A5268">
            <w:pPr>
              <w:pStyle w:val="Tablehead"/>
              <w:framePr w:hSpace="181" w:wrap="notBeside" w:vAnchor="text" w:hAnchor="text" w:xAlign="center" w:y="1"/>
              <w:rPr>
                <w:sz w:val="18"/>
                <w:lang w:val="en-US"/>
              </w:rPr>
            </w:pPr>
            <w:r>
              <w:rPr>
                <w:sz w:val="18"/>
                <w:lang w:val="en-US"/>
              </w:rPr>
              <w:t>Expected maximum unwanted</w:t>
            </w:r>
            <w:r>
              <w:rPr>
                <w:sz w:val="18"/>
                <w:lang w:val="en-US"/>
              </w:rPr>
              <w:br/>
              <w:t>emission levels (dB(W/(m</w:t>
            </w:r>
            <w:r>
              <w:rPr>
                <w:sz w:val="18"/>
                <w:vertAlign w:val="superscript"/>
                <w:lang w:val="en-US"/>
              </w:rPr>
              <w:t>2</w:t>
            </w:r>
            <w:r>
              <w:rPr>
                <w:sz w:val="18"/>
                <w:lang w:val="en-US"/>
              </w:rPr>
              <w:t> · 4 kHz)))</w:t>
            </w:r>
          </w:p>
        </w:tc>
      </w:tr>
      <w:tr w:rsidR="00B9359B">
        <w:trPr>
          <w:cantSplit/>
          <w:trHeight w:val="203"/>
        </w:trPr>
        <w:tc>
          <w:tcPr>
            <w:tcW w:w="1455" w:type="dxa"/>
            <w:vMerge/>
          </w:tcPr>
          <w:p w:rsidR="00B9359B" w:rsidRDefault="00B9359B">
            <w:pPr>
              <w:pStyle w:val="Tabletext"/>
              <w:framePr w:hSpace="181" w:wrap="notBeside" w:vAnchor="text" w:hAnchor="text" w:xAlign="center" w:y="1"/>
              <w:jc w:val="center"/>
              <w:rPr>
                <w:sz w:val="18"/>
                <w:lang w:val="en-US"/>
              </w:rPr>
            </w:pPr>
          </w:p>
        </w:tc>
        <w:tc>
          <w:tcPr>
            <w:tcW w:w="981" w:type="dxa"/>
          </w:tcPr>
          <w:p w:rsidR="00B9359B" w:rsidRDefault="009A5268">
            <w:pPr>
              <w:pStyle w:val="Tabletext"/>
              <w:framePr w:hSpace="181" w:wrap="notBeside" w:vAnchor="text" w:hAnchor="text" w:xAlign="center" w:y="1"/>
              <w:spacing w:before="60" w:after="60"/>
              <w:jc w:val="center"/>
              <w:rPr>
                <w:sz w:val="18"/>
                <w:lang w:val="en-US"/>
              </w:rPr>
            </w:pPr>
            <w:r>
              <w:rPr>
                <w:sz w:val="18"/>
                <w:lang w:val="en-US"/>
              </w:rPr>
              <w:t>(1)</w:t>
            </w:r>
          </w:p>
        </w:tc>
        <w:tc>
          <w:tcPr>
            <w:tcW w:w="1789" w:type="dxa"/>
          </w:tcPr>
          <w:p w:rsidR="00B9359B" w:rsidRDefault="009A5268">
            <w:pPr>
              <w:pStyle w:val="Tabletext"/>
              <w:framePr w:hSpace="181" w:wrap="notBeside" w:vAnchor="text" w:hAnchor="text" w:xAlign="center" w:y="1"/>
              <w:spacing w:before="60" w:after="60"/>
              <w:jc w:val="center"/>
              <w:rPr>
                <w:sz w:val="18"/>
                <w:lang w:val="en-US"/>
              </w:rPr>
            </w:pPr>
            <w:r>
              <w:rPr>
                <w:sz w:val="18"/>
                <w:lang w:val="en-US"/>
              </w:rPr>
              <w:t>(2)</w:t>
            </w:r>
          </w:p>
        </w:tc>
        <w:tc>
          <w:tcPr>
            <w:tcW w:w="921" w:type="dxa"/>
          </w:tcPr>
          <w:p w:rsidR="00B9359B" w:rsidRDefault="009A5268">
            <w:pPr>
              <w:pStyle w:val="Tabletext"/>
              <w:framePr w:hSpace="181" w:wrap="notBeside" w:vAnchor="text" w:hAnchor="text" w:xAlign="center" w:y="1"/>
              <w:spacing w:before="60" w:after="60"/>
              <w:jc w:val="center"/>
              <w:rPr>
                <w:sz w:val="18"/>
                <w:lang w:val="en-US"/>
              </w:rPr>
            </w:pPr>
            <w:r>
              <w:rPr>
                <w:sz w:val="18"/>
                <w:lang w:val="en-US"/>
              </w:rPr>
              <w:t>(3)</w:t>
            </w:r>
          </w:p>
        </w:tc>
        <w:tc>
          <w:tcPr>
            <w:tcW w:w="1334" w:type="dxa"/>
          </w:tcPr>
          <w:p w:rsidR="00B9359B" w:rsidRDefault="009A5268">
            <w:pPr>
              <w:pStyle w:val="Tabletext"/>
              <w:framePr w:hSpace="181" w:wrap="notBeside" w:vAnchor="text" w:hAnchor="text" w:xAlign="center" w:y="1"/>
              <w:spacing w:before="60" w:after="60"/>
              <w:jc w:val="center"/>
              <w:rPr>
                <w:sz w:val="18"/>
                <w:lang w:val="en-US"/>
              </w:rPr>
            </w:pPr>
            <w:r>
              <w:rPr>
                <w:sz w:val="18"/>
                <w:lang w:val="en-US"/>
              </w:rPr>
              <w:t>(4)</w:t>
            </w:r>
          </w:p>
        </w:tc>
        <w:tc>
          <w:tcPr>
            <w:tcW w:w="1370" w:type="dxa"/>
          </w:tcPr>
          <w:p w:rsidR="00B9359B" w:rsidRDefault="009A5268">
            <w:pPr>
              <w:pStyle w:val="Tabletext"/>
              <w:framePr w:hSpace="181" w:wrap="notBeside" w:vAnchor="text" w:hAnchor="text" w:xAlign="center" w:y="1"/>
              <w:spacing w:before="60" w:after="60"/>
              <w:jc w:val="center"/>
              <w:rPr>
                <w:sz w:val="18"/>
                <w:lang w:val="en-US"/>
              </w:rPr>
            </w:pPr>
            <w:r>
              <w:rPr>
                <w:sz w:val="18"/>
                <w:lang w:val="en-US"/>
              </w:rPr>
              <w:t>(5)</w:t>
            </w:r>
          </w:p>
        </w:tc>
        <w:tc>
          <w:tcPr>
            <w:tcW w:w="1789" w:type="dxa"/>
          </w:tcPr>
          <w:p w:rsidR="00B9359B" w:rsidRDefault="009A5268">
            <w:pPr>
              <w:pStyle w:val="Tabletext"/>
              <w:framePr w:hSpace="181" w:wrap="notBeside" w:vAnchor="text" w:hAnchor="text" w:xAlign="center" w:y="1"/>
              <w:spacing w:before="60" w:after="60"/>
              <w:jc w:val="center"/>
              <w:rPr>
                <w:sz w:val="18"/>
                <w:lang w:val="en-US"/>
              </w:rPr>
            </w:pPr>
            <w:r>
              <w:rPr>
                <w:sz w:val="18"/>
                <w:lang w:val="en-US"/>
              </w:rPr>
              <w:t>(6)</w:t>
            </w:r>
          </w:p>
        </w:tc>
      </w:tr>
      <w:tr w:rsidR="00B9359B">
        <w:trPr>
          <w:cantSplit/>
          <w:trHeight w:val="203"/>
        </w:trPr>
        <w:tc>
          <w:tcPr>
            <w:tcW w:w="1455" w:type="dxa"/>
            <w:vMerge w:val="restart"/>
          </w:tcPr>
          <w:p w:rsidR="00B9359B" w:rsidRDefault="009A5268">
            <w:pPr>
              <w:pStyle w:val="Tabletext"/>
              <w:framePr w:hSpace="181" w:wrap="notBeside" w:vAnchor="text" w:hAnchor="text" w:xAlign="center" w:y="1"/>
              <w:spacing w:before="60" w:after="60"/>
              <w:jc w:val="center"/>
              <w:rPr>
                <w:sz w:val="18"/>
                <w:lang w:val="en-US"/>
              </w:rPr>
            </w:pPr>
            <w:r>
              <w:rPr>
                <w:sz w:val="18"/>
                <w:lang w:val="en-US"/>
              </w:rPr>
              <w:t>1</w:t>
            </w:r>
            <w:r>
              <w:rPr>
                <w:rFonts w:ascii="Tms Rmn" w:hAnsi="Tms Rmn"/>
                <w:sz w:val="12"/>
                <w:lang w:val="en-US"/>
              </w:rPr>
              <w:t> </w:t>
            </w:r>
            <w:r>
              <w:rPr>
                <w:sz w:val="18"/>
                <w:lang w:val="en-US"/>
              </w:rPr>
              <w:t>452-1</w:t>
            </w:r>
            <w:r>
              <w:rPr>
                <w:rFonts w:ascii="Tms Rmn" w:hAnsi="Tms Rmn"/>
                <w:sz w:val="12"/>
                <w:lang w:val="en-US"/>
              </w:rPr>
              <w:t> </w:t>
            </w:r>
            <w:r>
              <w:rPr>
                <w:sz w:val="18"/>
                <w:lang w:val="en-US"/>
              </w:rPr>
              <w:t>492</w:t>
            </w:r>
          </w:p>
        </w:tc>
        <w:tc>
          <w:tcPr>
            <w:tcW w:w="981" w:type="dxa"/>
          </w:tcPr>
          <w:p w:rsidR="00B9359B" w:rsidRDefault="009A5268">
            <w:pPr>
              <w:pStyle w:val="Tabletext"/>
              <w:framePr w:hSpace="181" w:wrap="notBeside" w:vAnchor="text" w:hAnchor="text" w:xAlign="center" w:y="1"/>
              <w:spacing w:before="60" w:after="60"/>
              <w:jc w:val="center"/>
              <w:rPr>
                <w:sz w:val="18"/>
                <w:lang w:val="en-US"/>
              </w:rPr>
            </w:pPr>
            <w:r>
              <w:rPr>
                <w:sz w:val="18"/>
                <w:lang w:val="en-US"/>
              </w:rPr>
              <w:t>1.536</w:t>
            </w:r>
          </w:p>
        </w:tc>
        <w:tc>
          <w:tcPr>
            <w:tcW w:w="1789" w:type="dxa"/>
          </w:tcPr>
          <w:p w:rsidR="00B9359B" w:rsidRDefault="009A5268">
            <w:pPr>
              <w:pStyle w:val="Tabletext"/>
              <w:framePr w:hSpace="181" w:wrap="notBeside" w:vAnchor="text" w:hAnchor="text" w:xAlign="center" w:y="1"/>
              <w:spacing w:before="60" w:after="60"/>
              <w:jc w:val="center"/>
              <w:rPr>
                <w:sz w:val="18"/>
                <w:lang w:val="en-US"/>
              </w:rPr>
            </w:pPr>
            <w:r>
              <w:rPr>
                <w:sz w:val="18"/>
              </w:rPr>
              <w:sym w:font="Symbol" w:char="F02D"/>
            </w:r>
            <w:r>
              <w:rPr>
                <w:sz w:val="18"/>
                <w:lang w:val="en-US"/>
              </w:rPr>
              <w:t>128</w:t>
            </w:r>
          </w:p>
        </w:tc>
        <w:tc>
          <w:tcPr>
            <w:tcW w:w="921" w:type="dxa"/>
          </w:tcPr>
          <w:p w:rsidR="00B9359B" w:rsidRDefault="009A5268">
            <w:pPr>
              <w:pStyle w:val="Tabletext"/>
              <w:framePr w:hSpace="181" w:wrap="notBeside" w:vAnchor="text" w:hAnchor="text" w:xAlign="center" w:y="1"/>
              <w:spacing w:before="60" w:after="60"/>
              <w:jc w:val="center"/>
              <w:rPr>
                <w:sz w:val="18"/>
                <w:lang w:val="en-US"/>
              </w:rPr>
            </w:pPr>
            <w:r>
              <w:rPr>
                <w:sz w:val="18"/>
                <w:lang w:val="en-US"/>
              </w:rPr>
              <w:t>30</w:t>
            </w:r>
          </w:p>
        </w:tc>
        <w:tc>
          <w:tcPr>
            <w:tcW w:w="1334" w:type="dxa"/>
          </w:tcPr>
          <w:p w:rsidR="00B9359B" w:rsidRDefault="009A5268">
            <w:pPr>
              <w:pStyle w:val="Tabletext"/>
              <w:framePr w:hSpace="181" w:wrap="notBeside" w:vAnchor="text" w:hAnchor="text" w:xAlign="center" w:y="1"/>
              <w:spacing w:before="60" w:after="60"/>
              <w:jc w:val="center"/>
              <w:rPr>
                <w:sz w:val="18"/>
                <w:lang w:val="en-US"/>
              </w:rPr>
            </w:pPr>
            <w:r>
              <w:rPr>
                <w:sz w:val="18"/>
                <w:lang w:val="en-US"/>
              </w:rPr>
              <w:t>29.8</w:t>
            </w:r>
          </w:p>
        </w:tc>
        <w:tc>
          <w:tcPr>
            <w:tcW w:w="1370" w:type="dxa"/>
          </w:tcPr>
          <w:p w:rsidR="00B9359B" w:rsidRDefault="009A5268">
            <w:pPr>
              <w:pStyle w:val="Tabletext"/>
              <w:framePr w:hSpace="181" w:wrap="notBeside" w:vAnchor="text" w:hAnchor="text" w:xAlign="center" w:y="1"/>
              <w:spacing w:before="60" w:after="60"/>
              <w:jc w:val="center"/>
              <w:rPr>
                <w:sz w:val="18"/>
                <w:lang w:val="en-US"/>
              </w:rPr>
            </w:pPr>
            <w:r>
              <w:rPr>
                <w:sz w:val="18"/>
                <w:lang w:val="en-US"/>
              </w:rPr>
              <w:t>60</w:t>
            </w:r>
          </w:p>
        </w:tc>
        <w:tc>
          <w:tcPr>
            <w:tcW w:w="1789" w:type="dxa"/>
          </w:tcPr>
          <w:p w:rsidR="00B9359B" w:rsidRDefault="009A5268">
            <w:pPr>
              <w:pStyle w:val="Tabletext"/>
              <w:framePr w:hSpace="181" w:wrap="notBeside" w:vAnchor="text" w:hAnchor="text" w:xAlign="center" w:y="1"/>
              <w:spacing w:before="60" w:after="60"/>
              <w:jc w:val="center"/>
              <w:rPr>
                <w:sz w:val="18"/>
                <w:lang w:val="en-US"/>
              </w:rPr>
            </w:pPr>
            <w:r>
              <w:rPr>
                <w:sz w:val="18"/>
                <w:lang w:val="en-US"/>
              </w:rPr>
              <w:t>–162.4</w:t>
            </w:r>
          </w:p>
        </w:tc>
      </w:tr>
      <w:tr w:rsidR="00B9359B">
        <w:trPr>
          <w:cantSplit/>
          <w:trHeight w:val="202"/>
        </w:trPr>
        <w:tc>
          <w:tcPr>
            <w:tcW w:w="1455" w:type="dxa"/>
            <w:vMerge/>
          </w:tcPr>
          <w:p w:rsidR="00B9359B" w:rsidRDefault="00B9359B">
            <w:pPr>
              <w:pStyle w:val="Tabletext"/>
              <w:framePr w:hSpace="181" w:wrap="notBeside" w:vAnchor="text" w:hAnchor="text" w:xAlign="center" w:y="1"/>
              <w:jc w:val="center"/>
              <w:rPr>
                <w:sz w:val="18"/>
                <w:lang w:val="en-US"/>
              </w:rPr>
            </w:pPr>
          </w:p>
        </w:tc>
        <w:tc>
          <w:tcPr>
            <w:tcW w:w="981" w:type="dxa"/>
          </w:tcPr>
          <w:p w:rsidR="00B9359B" w:rsidRDefault="009A5268">
            <w:pPr>
              <w:pStyle w:val="Tabletext"/>
              <w:framePr w:hSpace="181" w:wrap="notBeside" w:vAnchor="text" w:hAnchor="text" w:xAlign="center" w:y="1"/>
              <w:spacing w:before="60" w:after="60"/>
              <w:jc w:val="center"/>
              <w:rPr>
                <w:sz w:val="18"/>
                <w:lang w:val="en-US"/>
              </w:rPr>
            </w:pPr>
            <w:r>
              <w:rPr>
                <w:sz w:val="18"/>
                <w:lang w:val="en-US"/>
              </w:rPr>
              <w:t>1.84</w:t>
            </w:r>
          </w:p>
        </w:tc>
        <w:tc>
          <w:tcPr>
            <w:tcW w:w="1789" w:type="dxa"/>
          </w:tcPr>
          <w:p w:rsidR="00B9359B" w:rsidRDefault="009A5268">
            <w:pPr>
              <w:pStyle w:val="Tabletext"/>
              <w:framePr w:hSpace="181" w:wrap="notBeside" w:vAnchor="text" w:hAnchor="text" w:xAlign="center" w:y="1"/>
              <w:spacing w:before="60" w:after="60"/>
              <w:jc w:val="center"/>
              <w:rPr>
                <w:sz w:val="18"/>
                <w:lang w:val="en-US"/>
              </w:rPr>
            </w:pPr>
            <w:r>
              <w:rPr>
                <w:sz w:val="18"/>
              </w:rPr>
              <w:sym w:font="Symbol" w:char="F02D"/>
            </w:r>
            <w:r>
              <w:rPr>
                <w:sz w:val="18"/>
                <w:lang w:val="en-US"/>
              </w:rPr>
              <w:t>138</w:t>
            </w:r>
          </w:p>
        </w:tc>
        <w:tc>
          <w:tcPr>
            <w:tcW w:w="921" w:type="dxa"/>
          </w:tcPr>
          <w:p w:rsidR="00B9359B" w:rsidRDefault="009A5268">
            <w:pPr>
              <w:pStyle w:val="Tabletext"/>
              <w:framePr w:hSpace="181" w:wrap="notBeside" w:vAnchor="text" w:hAnchor="text" w:xAlign="center" w:y="1"/>
              <w:spacing w:before="60" w:after="60"/>
              <w:jc w:val="center"/>
              <w:rPr>
                <w:sz w:val="18"/>
                <w:lang w:val="en-US"/>
              </w:rPr>
            </w:pPr>
            <w:r>
              <w:rPr>
                <w:sz w:val="18"/>
                <w:lang w:val="en-US"/>
              </w:rPr>
              <w:t>30</w:t>
            </w:r>
          </w:p>
        </w:tc>
        <w:tc>
          <w:tcPr>
            <w:tcW w:w="1334" w:type="dxa"/>
          </w:tcPr>
          <w:p w:rsidR="00B9359B" w:rsidRDefault="009A5268">
            <w:pPr>
              <w:pStyle w:val="Tabletext"/>
              <w:framePr w:hSpace="181" w:wrap="notBeside" w:vAnchor="text" w:hAnchor="text" w:xAlign="center" w:y="1"/>
              <w:spacing w:before="60" w:after="60"/>
              <w:jc w:val="center"/>
              <w:rPr>
                <w:sz w:val="18"/>
                <w:lang w:val="en-US"/>
              </w:rPr>
            </w:pPr>
            <w:r>
              <w:rPr>
                <w:sz w:val="18"/>
                <w:lang w:val="en-US"/>
              </w:rPr>
              <w:t>20.6</w:t>
            </w:r>
          </w:p>
        </w:tc>
        <w:tc>
          <w:tcPr>
            <w:tcW w:w="1370" w:type="dxa"/>
          </w:tcPr>
          <w:p w:rsidR="00B9359B" w:rsidRDefault="009A5268">
            <w:pPr>
              <w:pStyle w:val="Tabletext"/>
              <w:framePr w:hSpace="181" w:wrap="notBeside" w:vAnchor="text" w:hAnchor="text" w:xAlign="center" w:y="1"/>
              <w:spacing w:before="60" w:after="60"/>
              <w:jc w:val="center"/>
              <w:rPr>
                <w:sz w:val="18"/>
                <w:lang w:val="en-US"/>
              </w:rPr>
            </w:pPr>
            <w:r>
              <w:rPr>
                <w:sz w:val="18"/>
                <w:lang w:val="en-US"/>
              </w:rPr>
              <w:t>60</w:t>
            </w:r>
          </w:p>
        </w:tc>
        <w:tc>
          <w:tcPr>
            <w:tcW w:w="1789" w:type="dxa"/>
          </w:tcPr>
          <w:p w:rsidR="00B9359B" w:rsidRDefault="009A5268">
            <w:pPr>
              <w:pStyle w:val="Tabletext"/>
              <w:framePr w:hSpace="181" w:wrap="notBeside" w:vAnchor="text" w:hAnchor="text" w:xAlign="center" w:y="1"/>
              <w:spacing w:before="60" w:after="60"/>
              <w:jc w:val="center"/>
              <w:rPr>
                <w:sz w:val="18"/>
                <w:lang w:val="en-US"/>
              </w:rPr>
            </w:pPr>
            <w:r>
              <w:rPr>
                <w:sz w:val="18"/>
                <w:lang w:val="en-US"/>
              </w:rPr>
              <w:t>–171.4</w:t>
            </w:r>
          </w:p>
        </w:tc>
      </w:tr>
    </w:tbl>
    <w:p w:rsidR="00B9359B" w:rsidRDefault="00B9359B">
      <w:pPr>
        <w:pStyle w:val="Tablefin"/>
      </w:pPr>
    </w:p>
    <w:p w:rsidR="00B9359B" w:rsidRDefault="009A5268">
      <w:pPr>
        <w:rPr>
          <w:lang w:val="en-US"/>
        </w:rPr>
      </w:pPr>
      <w:r>
        <w:rPr>
          <w:lang w:val="en-US"/>
        </w:rPr>
        <w:t>where the columns are related as follows:</w:t>
      </w:r>
    </w:p>
    <w:p w:rsidR="00B9359B" w:rsidRDefault="009A5268">
      <w:pPr>
        <w:pStyle w:val="Equation"/>
        <w:tabs>
          <w:tab w:val="left" w:pos="1176"/>
        </w:tabs>
        <w:rPr>
          <w:lang w:val="en-US"/>
        </w:rPr>
      </w:pPr>
      <w:r>
        <w:rPr>
          <w:lang w:val="en-US"/>
        </w:rPr>
        <w:tab/>
      </w:r>
      <w:r>
        <w:rPr>
          <w:lang w:val="en-US"/>
        </w:rPr>
        <w:tab/>
        <w:t xml:space="preserve">(4) </w:t>
      </w:r>
      <w:r>
        <w:rPr>
          <w:rFonts w:ascii="Symbol" w:hAnsi="Symbol"/>
        </w:rPr>
        <w:t></w:t>
      </w:r>
      <w:r>
        <w:rPr>
          <w:lang w:val="en-US"/>
        </w:rPr>
        <w:t xml:space="preserve"> (2) </w:t>
      </w:r>
      <w:r>
        <w:rPr>
          <w:rFonts w:ascii="Symbol" w:hAnsi="Symbol"/>
        </w:rPr>
        <w:t></w:t>
      </w:r>
      <w:r>
        <w:rPr>
          <w:lang w:val="en-US"/>
        </w:rPr>
        <w:t xml:space="preserve"> 162 (free space loss) – (3)</w:t>
      </w:r>
      <w:r>
        <w:rPr>
          <w:i/>
          <w:iCs/>
          <w:vertAlign w:val="subscript"/>
          <w:lang w:val="en-US"/>
        </w:rPr>
        <w:t>in-band</w:t>
      </w:r>
      <w:r>
        <w:rPr>
          <w:vertAlign w:val="subscript"/>
          <w:lang w:val="en-US"/>
        </w:rPr>
        <w:t xml:space="preserve"> </w:t>
      </w:r>
      <w:r>
        <w:rPr>
          <w:lang w:val="en-US"/>
        </w:rPr>
        <w:t xml:space="preserve">– 36 </w:t>
      </w:r>
      <w:r>
        <w:rPr>
          <w:rFonts w:ascii="Symbol" w:hAnsi="Symbol"/>
        </w:rPr>
        <w:t></w:t>
      </w:r>
      <w:r>
        <w:rPr>
          <w:lang w:val="en-US"/>
        </w:rPr>
        <w:t xml:space="preserve"> 10 log ((1))</w:t>
      </w:r>
    </w:p>
    <w:p w:rsidR="00B9359B" w:rsidRDefault="009A5268">
      <w:pPr>
        <w:rPr>
          <w:lang w:val="en-US"/>
        </w:rPr>
      </w:pPr>
      <w:r>
        <w:rPr>
          <w:lang w:val="en-US"/>
        </w:rPr>
        <w:t>The level of (4) determines the required attenuation in the case of the spurious limit:</w:t>
      </w:r>
    </w:p>
    <w:p w:rsidR="00B9359B" w:rsidRDefault="009A5268">
      <w:pPr>
        <w:pStyle w:val="Equation"/>
        <w:tabs>
          <w:tab w:val="left" w:pos="1176"/>
        </w:tabs>
        <w:rPr>
          <w:lang w:val="en-US"/>
        </w:rPr>
      </w:pPr>
      <w:r>
        <w:rPr>
          <w:lang w:val="en-US"/>
        </w:rPr>
        <w:tab/>
      </w:r>
      <w:r>
        <w:rPr>
          <w:lang w:val="en-US"/>
        </w:rPr>
        <w:tab/>
        <w:t xml:space="preserve">(6) </w:t>
      </w:r>
      <w:r>
        <w:rPr>
          <w:rFonts w:ascii="Symbol" w:hAnsi="Symbol"/>
        </w:rPr>
        <w:t></w:t>
      </w:r>
      <w:r>
        <w:rPr>
          <w:lang w:val="en-US"/>
        </w:rPr>
        <w:t xml:space="preserve"> (4) – (5) </w:t>
      </w:r>
      <w:r>
        <w:rPr>
          <w:rFonts w:ascii="Symbol" w:hAnsi="Symbol"/>
        </w:rPr>
        <w:t></w:t>
      </w:r>
      <w:r>
        <w:rPr>
          <w:lang w:val="en-US"/>
        </w:rPr>
        <w:t xml:space="preserve"> (3)</w:t>
      </w:r>
      <w:r>
        <w:rPr>
          <w:i/>
          <w:iCs/>
          <w:sz w:val="28"/>
          <w:vertAlign w:val="subscript"/>
          <w:lang w:val="en-US"/>
        </w:rPr>
        <w:t>out-of-band</w:t>
      </w:r>
      <w:r>
        <w:rPr>
          <w:lang w:val="en-US"/>
        </w:rPr>
        <w:t xml:space="preserve"> – 162</w:t>
      </w:r>
    </w:p>
    <w:p w:rsidR="00B9359B" w:rsidRDefault="009A5268">
      <w:pPr>
        <w:rPr>
          <w:lang w:val="en-US"/>
        </w:rPr>
      </w:pPr>
      <w:r>
        <w:rPr>
          <w:lang w:val="en-US"/>
        </w:rPr>
        <w:t>It was assumed that the satellite antenna gains at the frequencies of the passive allocation are the same as at the operating frequencies of the satellite allocation (i.e. (3)</w:t>
      </w:r>
      <w:r>
        <w:rPr>
          <w:i/>
          <w:iCs/>
          <w:vertAlign w:val="subscript"/>
          <w:lang w:val="en-US"/>
        </w:rPr>
        <w:t>in-band</w:t>
      </w:r>
      <w:r>
        <w:rPr>
          <w:lang w:val="en-US"/>
        </w:rPr>
        <w:t> </w:t>
      </w:r>
      <w:r>
        <w:rPr>
          <w:rFonts w:ascii="Symbol" w:hAnsi="Symbol"/>
          <w:lang w:val="en-US"/>
        </w:rPr>
        <w:t></w:t>
      </w:r>
      <w:r>
        <w:rPr>
          <w:lang w:val="en-US"/>
        </w:rPr>
        <w:t> (3)</w:t>
      </w:r>
      <w:r>
        <w:rPr>
          <w:i/>
          <w:iCs/>
          <w:vertAlign w:val="subscript"/>
          <w:lang w:val="en-US"/>
        </w:rPr>
        <w:t>out-of-band</w:t>
      </w:r>
      <w:r>
        <w:rPr>
          <w:lang w:val="en-US"/>
        </w:rPr>
        <w:t xml:space="preserve"> with the notations used below). One should keep in mind that this corresponds to a worst case.</w:t>
      </w:r>
    </w:p>
    <w:p w:rsidR="00B9359B" w:rsidRDefault="009A5268">
      <w:pPr>
        <w:rPr>
          <w:lang w:val="en-US"/>
        </w:rPr>
      </w:pPr>
      <w:r>
        <w:rPr>
          <w:lang w:val="en-US"/>
        </w:rPr>
        <w:br w:type="page"/>
        <w:t xml:space="preserve">The passive band is used for both spectral line and continuum observations. Spectral line observations are made using a channel bandwidth (one of the spectrometer channels) of (typically) 20 kHz, the threshold pfd is then –196 </w:t>
      </w:r>
      <w:r>
        <w:rPr>
          <w:snapToGrid w:val="0"/>
          <w:lang w:val="en-US"/>
        </w:rPr>
        <w:t>dB(W/m</w:t>
      </w:r>
      <w:r>
        <w:rPr>
          <w:vertAlign w:val="superscript"/>
          <w:lang w:val="en-US"/>
        </w:rPr>
        <w:t>2</w:t>
      </w:r>
      <w:r>
        <w:rPr>
          <w:rFonts w:ascii="Times" w:hAnsi="Times"/>
          <w:spacing w:val="-2"/>
          <w:lang w:val="en-US"/>
        </w:rPr>
        <w:t>)</w:t>
      </w:r>
      <w:r>
        <w:rPr>
          <w:lang w:val="en-US"/>
        </w:rPr>
        <w:t>. This protection criteria needs to be compared with the following values:</w:t>
      </w:r>
    </w:p>
    <w:p w:rsidR="00B9359B" w:rsidRDefault="009A5268">
      <w:pPr>
        <w:pStyle w:val="Equation"/>
        <w:tabs>
          <w:tab w:val="clear" w:pos="794"/>
        </w:tabs>
        <w:rPr>
          <w:lang w:val="en-US"/>
        </w:rPr>
      </w:pPr>
      <w:r>
        <w:rPr>
          <w:lang w:val="en-US"/>
        </w:rPr>
        <w:tab/>
      </w:r>
      <w:r>
        <w:sym w:font="Symbol" w:char="F02D"/>
      </w:r>
      <w:r>
        <w:rPr>
          <w:lang w:val="en-US"/>
        </w:rPr>
        <w:t xml:space="preserve">162.4 </w:t>
      </w:r>
      <w:r>
        <w:rPr>
          <w:rFonts w:ascii="Symbol" w:hAnsi="Symbol"/>
        </w:rPr>
        <w:t></w:t>
      </w:r>
      <w:r>
        <w:rPr>
          <w:lang w:val="en-US"/>
        </w:rPr>
        <w:t xml:space="preserve"> 10 log ((20/4)) </w:t>
      </w:r>
      <w:r>
        <w:rPr>
          <w:rFonts w:ascii="Symbol" w:hAnsi="Symbol"/>
        </w:rPr>
        <w:t></w:t>
      </w:r>
      <w:r>
        <w:rPr>
          <w:lang w:val="en-US"/>
        </w:rPr>
        <w:t xml:space="preserve"> </w:t>
      </w:r>
      <w:r>
        <w:sym w:font="Symbol" w:char="F02D"/>
      </w:r>
      <w:r>
        <w:rPr>
          <w:lang w:val="en-US"/>
        </w:rPr>
        <w:t>155.4 dB(W/(m</w:t>
      </w:r>
      <w:r>
        <w:rPr>
          <w:vertAlign w:val="superscript"/>
          <w:lang w:val="en-US"/>
        </w:rPr>
        <w:t>2</w:t>
      </w:r>
      <w:r>
        <w:rPr>
          <w:lang w:val="en-US"/>
        </w:rPr>
        <w:t> · 20 kHz))</w:t>
      </w:r>
    </w:p>
    <w:p w:rsidR="00B9359B" w:rsidRDefault="009A5268">
      <w:pPr>
        <w:rPr>
          <w:lang w:val="en-US"/>
        </w:rPr>
      </w:pPr>
      <w:r>
        <w:rPr>
          <w:lang w:val="en-US"/>
        </w:rPr>
        <w:t>and with:</w:t>
      </w:r>
    </w:p>
    <w:p w:rsidR="00B9359B" w:rsidRDefault="009A5268">
      <w:pPr>
        <w:pStyle w:val="Equation"/>
        <w:tabs>
          <w:tab w:val="clear" w:pos="794"/>
        </w:tabs>
        <w:rPr>
          <w:lang w:val="en-US"/>
        </w:rPr>
      </w:pPr>
      <w:r>
        <w:rPr>
          <w:b/>
          <w:bCs/>
          <w:lang w:val="en-US"/>
        </w:rPr>
        <w:tab/>
      </w:r>
      <w:r>
        <w:rPr>
          <w:b/>
          <w:bCs/>
        </w:rPr>
        <w:sym w:font="Symbol" w:char="F02D"/>
      </w:r>
      <w:r>
        <w:rPr>
          <w:lang w:val="en-US"/>
        </w:rPr>
        <w:t xml:space="preserve">171.4 </w:t>
      </w:r>
      <w:r>
        <w:rPr>
          <w:rFonts w:ascii="Symbol" w:hAnsi="Symbol"/>
        </w:rPr>
        <w:t></w:t>
      </w:r>
      <w:r>
        <w:rPr>
          <w:lang w:val="en-US"/>
        </w:rPr>
        <w:t xml:space="preserve"> 10 log ((20/4)) </w:t>
      </w:r>
      <w:r>
        <w:rPr>
          <w:rFonts w:ascii="Symbol" w:hAnsi="Symbol"/>
        </w:rPr>
        <w:t></w:t>
      </w:r>
      <w:r>
        <w:rPr>
          <w:lang w:val="en-US"/>
        </w:rPr>
        <w:t xml:space="preserve"> </w:t>
      </w:r>
      <w:r>
        <w:sym w:font="Symbol" w:char="F02D"/>
      </w:r>
      <w:r>
        <w:rPr>
          <w:lang w:val="en-US"/>
        </w:rPr>
        <w:t>164.4 dB(W/(m</w:t>
      </w:r>
      <w:r>
        <w:rPr>
          <w:vertAlign w:val="superscript"/>
          <w:lang w:val="en-US"/>
        </w:rPr>
        <w:t>2</w:t>
      </w:r>
      <w:r>
        <w:rPr>
          <w:lang w:val="en-US"/>
        </w:rPr>
        <w:t> · 20 kHz))</w:t>
      </w:r>
    </w:p>
    <w:p w:rsidR="00B9359B" w:rsidRDefault="009A5268">
      <w:pPr>
        <w:rPr>
          <w:lang w:val="en-US"/>
        </w:rPr>
      </w:pPr>
      <w:r>
        <w:rPr>
          <w:lang w:val="en-US"/>
        </w:rPr>
        <w:t>It means that at the end of the OoB domain, the discrepancy between the protection criteria and the spurious limit is of the order of 40 dB. Since the end of the OoB domain occurs at 1</w:t>
      </w:r>
      <w:r>
        <w:rPr>
          <w:rFonts w:ascii="Tms Rmn" w:hAnsi="Tms Rmn"/>
          <w:sz w:val="12"/>
          <w:lang w:val="en-US"/>
        </w:rPr>
        <w:t> </w:t>
      </w:r>
      <w:r>
        <w:rPr>
          <w:lang w:val="en-US"/>
        </w:rPr>
        <w:t>448.928 MHz and the RAS allocated band starts at 1</w:t>
      </w:r>
      <w:r>
        <w:rPr>
          <w:rFonts w:ascii="Tms Rmn" w:hAnsi="Tms Rmn"/>
          <w:sz w:val="12"/>
          <w:lang w:val="en-US"/>
        </w:rPr>
        <w:t> </w:t>
      </w:r>
      <w:r>
        <w:rPr>
          <w:lang w:val="en-US"/>
        </w:rPr>
        <w:t>427 MHz (more than 10 times the necessary bandwidth), it is likely that at the beginning of the RAS band, the discrepancy between the level of spurious emissions and the protection criteria will be significantly lower.</w:t>
      </w:r>
    </w:p>
    <w:p w:rsidR="00B9359B" w:rsidRDefault="009A5268">
      <w:pPr>
        <w:rPr>
          <w:lang w:val="en-US"/>
        </w:rPr>
      </w:pPr>
      <w:r>
        <w:rPr>
          <w:lang w:val="en-US"/>
        </w:rPr>
        <w:t>In particular, if we make the assumption that the decrease of the signal, within the spurious domain, will follow the new OoB mask as developed for BSS system (see Recommendation ITU</w:t>
      </w:r>
      <w:r>
        <w:rPr>
          <w:lang w:val="en-US"/>
        </w:rPr>
        <w:noBreakHyphen/>
        <w:t>R SM.1541), then the attenuation will be given by:</w:t>
      </w:r>
    </w:p>
    <w:p w:rsidR="00B9359B" w:rsidRDefault="009A5268">
      <w:pPr>
        <w:pStyle w:val="Equation"/>
        <w:spacing w:before="240" w:after="120"/>
        <w:jc w:val="center"/>
      </w:pPr>
      <w:r>
        <w:rPr>
          <w:position w:val="-28"/>
          <w:sz w:val="20"/>
        </w:rPr>
        <w:object w:dxaOrig="1540" w:dyaOrig="680">
          <v:shape id="_x0000_i1037" type="#_x0000_t75" style="width:76.85pt;height:34.4pt" o:ole="" fillcolor="window">
            <v:imagedata r:id="rId28" o:title=""/>
          </v:shape>
          <o:OLEObject Type="Embed" ProgID="Equation.3" ShapeID="_x0000_i1037" DrawAspect="Content" ObjectID="_1629894560" r:id="rId29"/>
        </w:object>
      </w:r>
      <w:r>
        <w:t>      dBsd</w:t>
      </w:r>
    </w:p>
    <w:p w:rsidR="00B9359B" w:rsidRDefault="00AB52AF">
      <w:pPr>
        <w:pStyle w:val="FigureNo"/>
      </w:pPr>
      <w:r>
        <w:pict>
          <v:shape id="_x0000_i1038" type="#_x0000_t75" style="width:350.85pt;height:253.05pt">
            <v:imagedata r:id="rId30" o:title=""/>
          </v:shape>
        </w:pict>
      </w:r>
    </w:p>
    <w:p w:rsidR="00B9359B" w:rsidRDefault="00B9359B">
      <w:pPr>
        <w:rPr>
          <w:lang w:val="en-US"/>
        </w:rPr>
      </w:pPr>
    </w:p>
    <w:p w:rsidR="00B9359B" w:rsidRDefault="009A5268">
      <w:pPr>
        <w:rPr>
          <w:lang w:val="en-US"/>
        </w:rPr>
      </w:pPr>
      <w:r>
        <w:rPr>
          <w:lang w:val="en-US"/>
        </w:rPr>
        <w:t>In such a case the discrepancy at the edge of the RAS allocation is about 25 dB (about 20 dB in case of Digital System DS). This remaining interference would have to be avoided by additional mitigation technique (geographical isolation and filtering).</w:t>
      </w:r>
    </w:p>
    <w:p w:rsidR="00B9359B" w:rsidRDefault="009A5268">
      <w:pPr>
        <w:pStyle w:val="Heading3"/>
        <w:rPr>
          <w:lang w:val="en-US"/>
        </w:rPr>
      </w:pPr>
      <w:bookmarkStart w:id="62" w:name="_Toc51045461"/>
      <w:r>
        <w:rPr>
          <w:lang w:val="en-US"/>
        </w:rPr>
        <w:br w:type="page"/>
        <w:t>4.3.2</w:t>
      </w:r>
      <w:r>
        <w:rPr>
          <w:lang w:val="en-US"/>
        </w:rPr>
        <w:tab/>
        <w:t>VLBI observations</w:t>
      </w:r>
      <w:bookmarkEnd w:id="62"/>
    </w:p>
    <w:p w:rsidR="00B9359B" w:rsidRDefault="009A5268">
      <w:pPr>
        <w:rPr>
          <w:rFonts w:ascii="Times" w:hAnsi="Times"/>
          <w:spacing w:val="-2"/>
          <w:lang w:val="en-US"/>
        </w:rPr>
      </w:pPr>
      <w:r>
        <w:rPr>
          <w:lang w:val="en-US"/>
        </w:rPr>
        <w:t xml:space="preserve">VLBI observations, where signals from widely separated antennas are recorded and correlated after the observations, are much less susceptible to interference. This is reflected in the threshold pfd level for VLBI observations in this band, </w:t>
      </w:r>
      <w:r>
        <w:sym w:font="Symbol" w:char="F02D"/>
      </w:r>
      <w:r>
        <w:rPr>
          <w:lang w:val="en-US"/>
        </w:rPr>
        <w:t xml:space="preserve">166 </w:t>
      </w:r>
      <w:r>
        <w:rPr>
          <w:snapToGrid w:val="0"/>
          <w:lang w:val="en-US"/>
        </w:rPr>
        <w:t>dB(W/m</w:t>
      </w:r>
      <w:r>
        <w:rPr>
          <w:vertAlign w:val="superscript"/>
          <w:lang w:val="en-US"/>
        </w:rPr>
        <w:t>2</w:t>
      </w:r>
      <w:r>
        <w:rPr>
          <w:rFonts w:ascii="Times" w:hAnsi="Times"/>
          <w:spacing w:val="-2"/>
          <w:lang w:val="en-US"/>
        </w:rPr>
        <w:t>), for a bandwidth of 20 kHz.</w:t>
      </w:r>
    </w:p>
    <w:p w:rsidR="00B9359B" w:rsidRDefault="009A5268">
      <w:pPr>
        <w:rPr>
          <w:rFonts w:ascii="Times" w:hAnsi="Times"/>
          <w:spacing w:val="-2"/>
          <w:lang w:val="en-US"/>
        </w:rPr>
      </w:pPr>
      <w:r>
        <w:rPr>
          <w:rFonts w:ascii="Times" w:hAnsi="Times"/>
          <w:spacing w:val="-2"/>
          <w:lang w:val="en-US"/>
        </w:rPr>
        <w:t>According to the calculation conducted in § 4.3.1, the VLBI protection criteria are likely to be met.</w:t>
      </w:r>
    </w:p>
    <w:p w:rsidR="00B9359B" w:rsidRDefault="009A5268">
      <w:pPr>
        <w:pStyle w:val="Heading3"/>
        <w:rPr>
          <w:lang w:val="en-US"/>
        </w:rPr>
      </w:pPr>
      <w:bookmarkStart w:id="63" w:name="_Toc51045462"/>
      <w:r>
        <w:rPr>
          <w:lang w:val="en-US"/>
        </w:rPr>
        <w:t>4.3.3</w:t>
      </w:r>
      <w:r>
        <w:rPr>
          <w:lang w:val="en-US"/>
        </w:rPr>
        <w:tab/>
        <w:t>Continuum observations</w:t>
      </w:r>
      <w:bookmarkEnd w:id="63"/>
    </w:p>
    <w:p w:rsidR="00B9359B" w:rsidRDefault="009A5268">
      <w:pPr>
        <w:rPr>
          <w:lang w:val="en-US"/>
        </w:rPr>
      </w:pPr>
      <w:r>
        <w:rPr>
          <w:lang w:val="en-US"/>
        </w:rPr>
        <w:t>For making single-dish continuum observations, the whole 27 MHz width of the band is used, for which case the threshold pfd limit for detrimental interference is –180 dB(W/m</w:t>
      </w:r>
      <w:r>
        <w:rPr>
          <w:vertAlign w:val="superscript"/>
          <w:lang w:val="en-US"/>
        </w:rPr>
        <w:t>2</w:t>
      </w:r>
      <w:r>
        <w:rPr>
          <w:lang w:val="en-US"/>
        </w:rPr>
        <w:t>).</w:t>
      </w:r>
    </w:p>
    <w:p w:rsidR="00B9359B" w:rsidRDefault="009A5268">
      <w:pPr>
        <w:rPr>
          <w:lang w:val="en-US"/>
        </w:rPr>
      </w:pPr>
      <w:r>
        <w:rPr>
          <w:lang w:val="en-US"/>
        </w:rPr>
        <w:t>Taking into account the two systems given in Table 3, the maximum in band pfd level is:</w:t>
      </w:r>
    </w:p>
    <w:p w:rsidR="00B9359B" w:rsidRDefault="009A5268">
      <w:pPr>
        <w:pStyle w:val="Equation"/>
        <w:tabs>
          <w:tab w:val="left" w:pos="1176"/>
        </w:tabs>
        <w:rPr>
          <w:lang w:val="en-US"/>
        </w:rPr>
      </w:pPr>
      <w:r>
        <w:rPr>
          <w:lang w:val="en-US"/>
        </w:rPr>
        <w:tab/>
      </w:r>
      <w:r>
        <w:rPr>
          <w:lang w:val="en-US"/>
        </w:rPr>
        <w:tab/>
      </w:r>
      <w:r>
        <w:sym w:font="Symbol" w:char="F02D"/>
      </w:r>
      <w:r>
        <w:rPr>
          <w:lang w:val="en-US"/>
        </w:rPr>
        <w:t xml:space="preserve">128 </w:t>
      </w:r>
      <w:r>
        <w:rPr>
          <w:rFonts w:ascii="Symbol" w:hAnsi="Symbol"/>
        </w:rPr>
        <w:t></w:t>
      </w:r>
      <w:r>
        <w:rPr>
          <w:lang w:val="en-US"/>
        </w:rPr>
        <w:t xml:space="preserve"> 10 log</w:t>
      </w:r>
      <w:r>
        <w:rPr>
          <w:vertAlign w:val="subscript"/>
          <w:lang w:val="en-US"/>
        </w:rPr>
        <w:t>10</w:t>
      </w:r>
      <w:r>
        <w:rPr>
          <w:lang w:val="en-US"/>
        </w:rPr>
        <w:t xml:space="preserve"> (1.536 MHz/4 kHz) </w:t>
      </w:r>
      <w:r>
        <w:rPr>
          <w:rFonts w:ascii="Symbol" w:hAnsi="Symbol"/>
        </w:rPr>
        <w:t></w:t>
      </w:r>
      <w:r>
        <w:rPr>
          <w:lang w:val="en-US"/>
        </w:rPr>
        <w:t xml:space="preserve"> </w:t>
      </w:r>
      <w:r>
        <w:sym w:font="Symbol" w:char="F02D"/>
      </w:r>
      <w:r>
        <w:rPr>
          <w:lang w:val="en-US"/>
        </w:rPr>
        <w:t>102 dB(W/(m</w:t>
      </w:r>
      <w:r>
        <w:rPr>
          <w:vertAlign w:val="superscript"/>
          <w:lang w:val="en-US"/>
        </w:rPr>
        <w:t>2</w:t>
      </w:r>
      <w:r>
        <w:rPr>
          <w:lang w:val="en-US"/>
        </w:rPr>
        <w:t> · 1.536 MHz/4 kHz))</w:t>
      </w:r>
    </w:p>
    <w:p w:rsidR="00B9359B" w:rsidRDefault="009A5268">
      <w:pPr>
        <w:rPr>
          <w:lang w:val="en-US"/>
        </w:rPr>
      </w:pPr>
      <w:r>
        <w:rPr>
          <w:lang w:val="en-US"/>
        </w:rPr>
        <w:t>If this system follows the same decrease of the signal than the one proposed by Radiocommu</w:t>
      </w:r>
      <w:r>
        <w:rPr>
          <w:lang w:val="en-US"/>
        </w:rPr>
        <w:softHyphen/>
        <w:t>nication Working Party 4A in Document 1</w:t>
      </w:r>
      <w:r>
        <w:rPr>
          <w:lang w:val="en-US"/>
        </w:rPr>
        <w:noBreakHyphen/>
        <w:t>7/149, then the rejection between the in-band power and the power integrated over 27 MHz will be higher than 80 dB. This means that the continuum observation protection criteria will be met. This also confirms that the VLBI protection criteria will be met.</w:t>
      </w:r>
    </w:p>
    <w:p w:rsidR="00B9359B" w:rsidRDefault="009A5268">
      <w:pPr>
        <w:pStyle w:val="Heading1"/>
        <w:ind w:left="0" w:firstLine="0"/>
        <w:rPr>
          <w:lang w:val="en-US"/>
        </w:rPr>
      </w:pPr>
      <w:bookmarkStart w:id="64" w:name="_Toc51045463"/>
      <w:r>
        <w:rPr>
          <w:lang w:val="en-US"/>
        </w:rPr>
        <w:t>5</w:t>
      </w:r>
      <w:r>
        <w:rPr>
          <w:lang w:val="en-US"/>
        </w:rPr>
        <w:tab/>
        <w:t>Mitigation techniques</w:t>
      </w:r>
      <w:bookmarkEnd w:id="64"/>
    </w:p>
    <w:p w:rsidR="00B9359B" w:rsidRDefault="009A5268">
      <w:pPr>
        <w:pStyle w:val="Heading2"/>
        <w:rPr>
          <w:lang w:val="en-US"/>
        </w:rPr>
      </w:pPr>
      <w:bookmarkStart w:id="65" w:name="_Toc51045464"/>
      <w:r>
        <w:rPr>
          <w:lang w:val="en-US"/>
        </w:rPr>
        <w:t>5.1</w:t>
      </w:r>
      <w:r>
        <w:rPr>
          <w:lang w:val="en-US"/>
        </w:rPr>
        <w:tab/>
        <w:t>RAS</w:t>
      </w:r>
      <w:bookmarkEnd w:id="65"/>
    </w:p>
    <w:p w:rsidR="00B9359B" w:rsidRDefault="009A5268">
      <w:pPr>
        <w:rPr>
          <w:snapToGrid w:val="0"/>
          <w:lang w:val="en-US"/>
        </w:rPr>
      </w:pPr>
      <w:r>
        <w:rPr>
          <w:snapToGrid w:val="0"/>
          <w:lang w:val="en-US"/>
        </w:rPr>
        <w:t>There are various methods, including those described below, which might be considered to reduce unwanted emissions from the satellite transmitters at a radio telescope.</w:t>
      </w:r>
    </w:p>
    <w:p w:rsidR="00B9359B" w:rsidRDefault="009A5268">
      <w:pPr>
        <w:rPr>
          <w:lang w:val="en-US"/>
        </w:rPr>
      </w:pPr>
      <w:r>
        <w:rPr>
          <w:i/>
          <w:lang w:val="en-US"/>
        </w:rPr>
        <w:t>Antenna sidelobe performance</w:t>
      </w:r>
      <w:r>
        <w:rPr>
          <w:lang w:val="en-US"/>
        </w:rPr>
        <w:t xml:space="preserve">:  The aperture illumination of radio telescopes is usually optimized for </w:t>
      </w:r>
      <w:r>
        <w:rPr>
          <w:i/>
          <w:iCs/>
          <w:lang w:val="en-US"/>
        </w:rPr>
        <w:t>G</w:t>
      </w:r>
      <w:r>
        <w:rPr>
          <w:lang w:val="en-US"/>
        </w:rPr>
        <w:t>/</w:t>
      </w:r>
      <w:r>
        <w:rPr>
          <w:i/>
          <w:iCs/>
          <w:lang w:val="en-US"/>
        </w:rPr>
        <w:t>T</w:t>
      </w:r>
      <w:r>
        <w:rPr>
          <w:lang w:val="en-US"/>
        </w:rPr>
        <w:t xml:space="preserve">, i.e. telescope gain divided by system temperature. This is to maximize the </w:t>
      </w:r>
      <w:r>
        <w:rPr>
          <w:i/>
          <w:iCs/>
          <w:lang w:val="en-US"/>
        </w:rPr>
        <w:t>S</w:t>
      </w:r>
      <w:r>
        <w:rPr>
          <w:lang w:val="en-US"/>
        </w:rPr>
        <w:t>/</w:t>
      </w:r>
      <w:r>
        <w:rPr>
          <w:i/>
          <w:iCs/>
          <w:lang w:val="en-US"/>
        </w:rPr>
        <w:t>N</w:t>
      </w:r>
      <w:r>
        <w:rPr>
          <w:lang w:val="en-US"/>
        </w:rPr>
        <w:t xml:space="preserve"> for point sources. A key element of this approach is to reduce ground radiation entering through far sidelobes. Inevitably this leads to some corresponding increase in the levels of near sidelobes. Experience has shown that the majority of radio telescopes meets the envelope sidelobe mask given in Recommendation ITU</w:t>
      </w:r>
      <w:r>
        <w:rPr>
          <w:lang w:val="en-US"/>
        </w:rPr>
        <w:noBreakHyphen/>
        <w:t>R SA.509 over most directions.</w:t>
      </w:r>
    </w:p>
    <w:p w:rsidR="00B9359B" w:rsidRDefault="009A5268">
      <w:pPr>
        <w:rPr>
          <w:lang w:val="en-US"/>
        </w:rPr>
      </w:pPr>
      <w:r>
        <w:rPr>
          <w:i/>
          <w:lang w:val="en-US"/>
        </w:rPr>
        <w:t>Blanking in time and/or frequency</w:t>
      </w:r>
      <w:r>
        <w:rPr>
          <w:lang w:val="en-US"/>
        </w:rPr>
        <w:t>:  This technique may be applied in some cases where interference into the radio astronomy frequency band can be fully and unambiguously identified in time and/or frequency.</w:t>
      </w:r>
    </w:p>
    <w:p w:rsidR="00B9359B" w:rsidRDefault="009A5268">
      <w:pPr>
        <w:pStyle w:val="Heading2"/>
        <w:rPr>
          <w:lang w:val="en-US"/>
        </w:rPr>
      </w:pPr>
      <w:bookmarkStart w:id="66" w:name="_Toc51045465"/>
      <w:r>
        <w:rPr>
          <w:lang w:val="en-US"/>
        </w:rPr>
        <w:t>5.2</w:t>
      </w:r>
      <w:r>
        <w:rPr>
          <w:lang w:val="en-US"/>
        </w:rPr>
        <w:tab/>
        <w:t>BSS</w:t>
      </w:r>
      <w:bookmarkEnd w:id="66"/>
    </w:p>
    <w:p w:rsidR="00B9359B" w:rsidRDefault="009A5268">
      <w:pPr>
        <w:rPr>
          <w:lang w:val="en-US"/>
        </w:rPr>
      </w:pPr>
      <w:r>
        <w:rPr>
          <w:lang w:val="en-US"/>
        </w:rPr>
        <w:t>This service involves continuous transmission of signals continually or for long periods of time, with constant power and spectrum. Possible mitigation procedures are to avoid transmitting unwanted emissions in the direction of the radio astronomy stations that use this band, or to use filters to appropriately suppress unwanted emissions to a level where detrimental interference to radio astronomical observations in the 1</w:t>
      </w:r>
      <w:r>
        <w:rPr>
          <w:rFonts w:ascii="Tms Rmn" w:hAnsi="Tms Rmn"/>
          <w:sz w:val="12"/>
          <w:lang w:val="en-US"/>
        </w:rPr>
        <w:t> </w:t>
      </w:r>
      <w:r>
        <w:rPr>
          <w:lang w:val="en-US"/>
        </w:rPr>
        <w:t>400-1</w:t>
      </w:r>
      <w:r>
        <w:rPr>
          <w:rFonts w:ascii="Tms Rmn" w:hAnsi="Tms Rmn"/>
          <w:sz w:val="12"/>
          <w:lang w:val="en-US"/>
        </w:rPr>
        <w:t> </w:t>
      </w:r>
      <w:r>
        <w:rPr>
          <w:lang w:val="en-US"/>
        </w:rPr>
        <w:t>427 MHz is not caused.</w:t>
      </w:r>
    </w:p>
    <w:p w:rsidR="00B9359B" w:rsidRDefault="009A5268">
      <w:pPr>
        <w:pStyle w:val="Heading2"/>
        <w:rPr>
          <w:lang w:val="en-US"/>
        </w:rPr>
      </w:pPr>
      <w:bookmarkStart w:id="67" w:name="_Toc51045466"/>
      <w:r>
        <w:rPr>
          <w:lang w:val="en-US"/>
        </w:rPr>
        <w:br w:type="page"/>
        <w:t>5.3</w:t>
      </w:r>
      <w:r>
        <w:rPr>
          <w:lang w:val="en-US"/>
        </w:rPr>
        <w:tab/>
        <w:t>Potential impact</w:t>
      </w:r>
      <w:bookmarkEnd w:id="67"/>
    </w:p>
    <w:p w:rsidR="00B9359B" w:rsidRDefault="009A5268">
      <w:pPr>
        <w:pStyle w:val="Heading3"/>
        <w:rPr>
          <w:lang w:val="en-US"/>
        </w:rPr>
      </w:pPr>
      <w:bookmarkStart w:id="68" w:name="_Toc51045467"/>
      <w:r>
        <w:rPr>
          <w:lang w:val="en-US"/>
        </w:rPr>
        <w:t>5.3.1</w:t>
      </w:r>
      <w:r>
        <w:rPr>
          <w:lang w:val="en-US"/>
        </w:rPr>
        <w:tab/>
        <w:t>RAS</w:t>
      </w:r>
      <w:bookmarkEnd w:id="68"/>
    </w:p>
    <w:p w:rsidR="00B9359B" w:rsidRDefault="009A5268">
      <w:pPr>
        <w:rPr>
          <w:lang w:val="en-US"/>
        </w:rPr>
      </w:pPr>
      <w:r>
        <w:rPr>
          <w:i/>
          <w:lang w:val="en-US"/>
        </w:rPr>
        <w:t>Antenna sidelobe performance</w:t>
      </w:r>
      <w:r>
        <w:rPr>
          <w:lang w:val="en-US"/>
        </w:rPr>
        <w:t>:  Attempts to decrease the sensitivity of the radio astronomy antenna to unwanted emissions coming from space stations are likely to increase the sensitivity of the radio astronomy telescope to ground radiation, and possibly reduce its main beam gain. Both of these effects will reduce the telescope’s channel capacity of and thus lead to an increase of the total required integration time.</w:t>
      </w:r>
    </w:p>
    <w:p w:rsidR="00B9359B" w:rsidRDefault="009A5268">
      <w:pPr>
        <w:rPr>
          <w:lang w:val="en-US"/>
        </w:rPr>
      </w:pPr>
      <w:r>
        <w:rPr>
          <w:i/>
          <w:lang w:val="en-US"/>
        </w:rPr>
        <w:t>Blanking in time and/or frequency</w:t>
      </w:r>
      <w:r>
        <w:rPr>
          <w:lang w:val="en-US"/>
        </w:rPr>
        <w:t>:  Blanking involves a risk of compromising the integrity of the data and may lead to errors in their scientific interpretation. Blanking also causes a concomitant increase in the total integration time required to make the observation, this is equivalent to a loss in the channel capacity of the telescope.</w:t>
      </w:r>
    </w:p>
    <w:p w:rsidR="00B9359B" w:rsidRDefault="009A5268">
      <w:pPr>
        <w:pStyle w:val="Heading3"/>
        <w:rPr>
          <w:lang w:val="en-US"/>
        </w:rPr>
      </w:pPr>
      <w:bookmarkStart w:id="69" w:name="_Toc51045468"/>
      <w:r>
        <w:rPr>
          <w:lang w:val="en-US"/>
        </w:rPr>
        <w:t>5.3.2</w:t>
      </w:r>
      <w:r>
        <w:rPr>
          <w:lang w:val="en-US"/>
        </w:rPr>
        <w:tab/>
        <w:t>BSS</w:t>
      </w:r>
      <w:bookmarkEnd w:id="69"/>
    </w:p>
    <w:p w:rsidR="00B9359B" w:rsidRDefault="009A5268">
      <w:pPr>
        <w:rPr>
          <w:lang w:val="en-US"/>
        </w:rPr>
      </w:pPr>
      <w:r>
        <w:rPr>
          <w:lang w:val="en-US"/>
        </w:rPr>
        <w:t>Filters are an obvious way to suppress unwanted emissions, but the addition of such filters may affect the satellite design in a substantial manner. If a phased array active antenna is used, filters may be required for every driven antenna element. This will increase the weight of the satellite. Compensating for filter losses will require more powerful transmitters, which in turn will require more bus power, and so, larger solar power arrays. The increase in weight could be sufficient to require a larger launcher. The cost impact could be large. Consequently the implementation of filters can be considered only at the design stage of a system. However, continuing technical improvements in the design of filters and active antennas may in time reduce the problem of implementing such solutions to manageable proportions.</w:t>
      </w:r>
    </w:p>
    <w:p w:rsidR="00B9359B" w:rsidRDefault="009A5268">
      <w:pPr>
        <w:pStyle w:val="Heading1"/>
        <w:rPr>
          <w:lang w:val="en-US"/>
        </w:rPr>
      </w:pPr>
      <w:bookmarkStart w:id="70" w:name="_Toc51045469"/>
      <w:r>
        <w:rPr>
          <w:lang w:val="en-US"/>
        </w:rPr>
        <w:t>6</w:t>
      </w:r>
      <w:r>
        <w:rPr>
          <w:lang w:val="en-US"/>
        </w:rPr>
        <w:tab/>
        <w:t>Results of studies</w:t>
      </w:r>
      <w:bookmarkEnd w:id="70"/>
    </w:p>
    <w:p w:rsidR="00B9359B" w:rsidRDefault="009A5268">
      <w:pPr>
        <w:pStyle w:val="Heading2"/>
        <w:rPr>
          <w:lang w:val="en-US"/>
        </w:rPr>
      </w:pPr>
      <w:bookmarkStart w:id="71" w:name="_Toc51045470"/>
      <w:r>
        <w:rPr>
          <w:lang w:val="en-US"/>
        </w:rPr>
        <w:t>6.1</w:t>
      </w:r>
      <w:r>
        <w:rPr>
          <w:lang w:val="en-US"/>
        </w:rPr>
        <w:tab/>
        <w:t>Summary</w:t>
      </w:r>
      <w:bookmarkEnd w:id="71"/>
    </w:p>
    <w:p w:rsidR="00B9359B" w:rsidRDefault="009A5268">
      <w:pPr>
        <w:rPr>
          <w:lang w:val="en-US"/>
        </w:rPr>
      </w:pPr>
      <w:r>
        <w:rPr>
          <w:lang w:val="en-US"/>
        </w:rPr>
        <w:t>The calculations provided in the previous section address compatibility between GSO BSS systems operating in the band 1</w:t>
      </w:r>
      <w:r>
        <w:rPr>
          <w:rFonts w:ascii="Tms Rmn" w:hAnsi="Tms Rmn"/>
          <w:sz w:val="12"/>
          <w:lang w:val="en-US"/>
        </w:rPr>
        <w:t> </w:t>
      </w:r>
      <w:r>
        <w:rPr>
          <w:lang w:val="en-US"/>
        </w:rPr>
        <w:t>400-1</w:t>
      </w:r>
      <w:r>
        <w:rPr>
          <w:rFonts w:ascii="Tms Rmn" w:hAnsi="Tms Rmn"/>
          <w:sz w:val="12"/>
          <w:lang w:val="en-US"/>
        </w:rPr>
        <w:t> </w:t>
      </w:r>
      <w:r>
        <w:rPr>
          <w:lang w:val="en-US"/>
        </w:rPr>
        <w:t>427 MHz and the RAS operating in the band 1</w:t>
      </w:r>
      <w:r>
        <w:rPr>
          <w:rFonts w:ascii="Tms Rmn" w:hAnsi="Tms Rmn"/>
          <w:sz w:val="12"/>
          <w:lang w:val="en-US"/>
        </w:rPr>
        <w:t> </w:t>
      </w:r>
      <w:r>
        <w:rPr>
          <w:lang w:val="en-US"/>
        </w:rPr>
        <w:t>400-1</w:t>
      </w:r>
      <w:r>
        <w:rPr>
          <w:rFonts w:ascii="Tms Rmn" w:hAnsi="Tms Rmn"/>
          <w:sz w:val="12"/>
          <w:lang w:val="en-US"/>
        </w:rPr>
        <w:t> </w:t>
      </w:r>
      <w:r>
        <w:rPr>
          <w:lang w:val="en-US"/>
        </w:rPr>
        <w:t>427 MHz. Further studies will be needed to address the case of non-GSO systems.</w:t>
      </w:r>
    </w:p>
    <w:p w:rsidR="00B9359B" w:rsidRDefault="009A5268">
      <w:pPr>
        <w:rPr>
          <w:lang w:val="en-US"/>
        </w:rPr>
      </w:pPr>
      <w:r>
        <w:rPr>
          <w:lang w:val="en-US"/>
        </w:rPr>
        <w:t>The calculations provided in the above sections show that BSS systems will meet the protection criteria of VLBI and continuum observations, as discussed in § 1.3. However, to meet the spectral line protection criteria, it is likely that mitigation techniques such as filtering would have to be implemented. Taking into account the fact that the existing guardband between the RAS and the BSS allocated bands is large compared to necessary bandwidth used by BSS systems, it is expected that the RAS protection criteria are technically achievable by using mitigation techniques such as filtering and geographical isolation. It should be noted that the economic impact of implementing such techniques is significant.</w:t>
      </w:r>
    </w:p>
    <w:p w:rsidR="00B9359B" w:rsidRDefault="009A5268">
      <w:pPr>
        <w:pStyle w:val="Heading2"/>
        <w:rPr>
          <w:lang w:val="en-US"/>
        </w:rPr>
      </w:pPr>
      <w:bookmarkStart w:id="72" w:name="_Toc51045471"/>
      <w:r>
        <w:rPr>
          <w:lang w:val="en-US"/>
        </w:rPr>
        <w:t>6.2</w:t>
      </w:r>
      <w:r>
        <w:rPr>
          <w:lang w:val="en-US"/>
        </w:rPr>
        <w:tab/>
        <w:t>Conclusions</w:t>
      </w:r>
      <w:bookmarkEnd w:id="72"/>
    </w:p>
    <w:p w:rsidR="00B9359B" w:rsidRDefault="009A5268">
      <w:pPr>
        <w:rPr>
          <w:lang w:val="en-US"/>
        </w:rPr>
      </w:pPr>
      <w:r>
        <w:rPr>
          <w:lang w:val="en-US"/>
        </w:rPr>
        <w:t>The protection criteria for radio astronomical observations in this band can be met for continuum and VLBI observations, and for spectral line observations when appropriate mitigation techniques are used.</w:t>
      </w:r>
    </w:p>
    <w:p w:rsidR="00B9359B" w:rsidRDefault="009A5268">
      <w:pPr>
        <w:pStyle w:val="AnnexNoTitle"/>
        <w:rPr>
          <w:lang w:val="en-US"/>
        </w:rPr>
      </w:pPr>
      <w:r>
        <w:rPr>
          <w:lang w:val="en-US"/>
        </w:rPr>
        <w:br w:type="page"/>
        <w:t>Annex 3</w:t>
      </w:r>
      <w:r>
        <w:rPr>
          <w:lang w:val="en-US"/>
        </w:rPr>
        <w:br/>
      </w:r>
      <w:r>
        <w:rPr>
          <w:lang w:val="en-US"/>
        </w:rPr>
        <w:br/>
        <w:t>Compatibility analysis between the EESS (passive) systems operating in</w:t>
      </w:r>
      <w:r>
        <w:rPr>
          <w:lang w:val="en-US"/>
        </w:rPr>
        <w:br/>
        <w:t>the 1</w:t>
      </w:r>
      <w:r>
        <w:rPr>
          <w:rFonts w:ascii="Tms Rmn" w:hAnsi="Tms Rmn"/>
          <w:sz w:val="12"/>
          <w:lang w:val="en-US"/>
        </w:rPr>
        <w:t> </w:t>
      </w:r>
      <w:r>
        <w:rPr>
          <w:lang w:val="en-US"/>
        </w:rPr>
        <w:t>400-1</w:t>
      </w:r>
      <w:r>
        <w:rPr>
          <w:rFonts w:ascii="Tms Rmn" w:hAnsi="Tms Rmn"/>
          <w:sz w:val="12"/>
          <w:lang w:val="en-US"/>
        </w:rPr>
        <w:t> </w:t>
      </w:r>
      <w:r>
        <w:rPr>
          <w:lang w:val="en-US"/>
        </w:rPr>
        <w:t>427 MHz band and radiolocation service systems</w:t>
      </w:r>
      <w:r>
        <w:rPr>
          <w:lang w:val="en-US"/>
        </w:rPr>
        <w:br/>
        <w:t>operating in the 1</w:t>
      </w:r>
      <w:r>
        <w:rPr>
          <w:rFonts w:ascii="Tms Rmn" w:hAnsi="Tms Rmn"/>
          <w:sz w:val="12"/>
          <w:lang w:val="en-US"/>
        </w:rPr>
        <w:t> </w:t>
      </w:r>
      <w:r>
        <w:rPr>
          <w:lang w:val="en-US"/>
        </w:rPr>
        <w:t>350-1</w:t>
      </w:r>
      <w:r>
        <w:rPr>
          <w:rFonts w:ascii="Tms Rmn" w:hAnsi="Tms Rmn"/>
          <w:sz w:val="12"/>
          <w:lang w:val="en-US"/>
        </w:rPr>
        <w:t> </w:t>
      </w:r>
      <w:r>
        <w:rPr>
          <w:lang w:val="en-US"/>
        </w:rPr>
        <w:t>400 MHz band</w:t>
      </w:r>
    </w:p>
    <w:p w:rsidR="00B9359B" w:rsidRDefault="009A5268">
      <w:pPr>
        <w:pStyle w:val="Heading1"/>
        <w:rPr>
          <w:lang w:val="en-US"/>
        </w:rPr>
      </w:pPr>
      <w:bookmarkStart w:id="73" w:name="_Toc51045472"/>
      <w:r>
        <w:rPr>
          <w:lang w:val="en-US"/>
        </w:rPr>
        <w:t>1</w:t>
      </w:r>
      <w:r>
        <w:rPr>
          <w:lang w:val="en-US"/>
        </w:rPr>
        <w:tab/>
        <w:t>EESS (passive)</w:t>
      </w:r>
      <w:bookmarkEnd w:id="73"/>
    </w:p>
    <w:p w:rsidR="00B9359B" w:rsidRDefault="009A5268">
      <w:pPr>
        <w:pStyle w:val="Heading2"/>
        <w:rPr>
          <w:lang w:val="en-US"/>
        </w:rPr>
      </w:pPr>
      <w:bookmarkStart w:id="74" w:name="_Toc51045473"/>
      <w:r>
        <w:rPr>
          <w:lang w:val="en-US"/>
        </w:rPr>
        <w:t>1.1</w:t>
      </w:r>
      <w:r>
        <w:rPr>
          <w:lang w:val="en-US"/>
        </w:rPr>
        <w:tab/>
        <w:t>Allocated band</w:t>
      </w:r>
      <w:bookmarkEnd w:id="74"/>
    </w:p>
    <w:p w:rsidR="00B9359B" w:rsidRDefault="009A5268">
      <w:pPr>
        <w:rPr>
          <w:lang w:val="en-US"/>
        </w:rPr>
      </w:pPr>
      <w:r>
        <w:rPr>
          <w:lang w:val="en-US"/>
        </w:rPr>
        <w:t>This Annex presents a band-by-band study between the radiolocation service allocated in the 1</w:t>
      </w:r>
      <w:r>
        <w:rPr>
          <w:rFonts w:ascii="Tms Rmn" w:hAnsi="Tms Rmn"/>
          <w:sz w:val="12"/>
          <w:lang w:val="en-US"/>
        </w:rPr>
        <w:t> </w:t>
      </w:r>
      <w:r>
        <w:rPr>
          <w:lang w:val="en-US"/>
        </w:rPr>
        <w:t>350-1</w:t>
      </w:r>
      <w:r>
        <w:rPr>
          <w:rFonts w:ascii="Tms Rmn" w:hAnsi="Tms Rmn"/>
          <w:sz w:val="12"/>
          <w:lang w:val="en-US"/>
        </w:rPr>
        <w:t> </w:t>
      </w:r>
      <w:r>
        <w:rPr>
          <w:lang w:val="en-US"/>
        </w:rPr>
        <w:t>400 MHz adjacent to the 1</w:t>
      </w:r>
      <w:r>
        <w:rPr>
          <w:rFonts w:ascii="Tms Rmn" w:hAnsi="Tms Rmn"/>
          <w:sz w:val="12"/>
          <w:lang w:val="en-US"/>
        </w:rPr>
        <w:t> </w:t>
      </w:r>
      <w:r>
        <w:rPr>
          <w:lang w:val="en-US"/>
        </w:rPr>
        <w:t>400-1</w:t>
      </w:r>
      <w:r>
        <w:rPr>
          <w:rFonts w:ascii="Tms Rmn" w:hAnsi="Tms Rmn"/>
          <w:sz w:val="12"/>
          <w:lang w:val="en-US"/>
        </w:rPr>
        <w:t> </w:t>
      </w:r>
      <w:r>
        <w:rPr>
          <w:lang w:val="en-US"/>
        </w:rPr>
        <w:t>427 MHz</w:t>
      </w:r>
      <w:r>
        <w:rPr>
          <w:b/>
          <w:lang w:val="en-US"/>
        </w:rPr>
        <w:t xml:space="preserve"> </w:t>
      </w:r>
      <w:r>
        <w:rPr>
          <w:lang w:val="en-US"/>
        </w:rPr>
        <w:t>passive band allocated to the Earth exploration-satellite (passive) service. It should be noted that according to RR No.</w:t>
      </w:r>
      <w:r>
        <w:rPr>
          <w:bCs/>
          <w:lang w:val="en-US"/>
        </w:rPr>
        <w:t xml:space="preserve"> 5.340</w:t>
      </w:r>
      <w:r>
        <w:rPr>
          <w:lang w:val="en-US"/>
        </w:rPr>
        <w:t>, all emissions are prohibited in the band 1</w:t>
      </w:r>
      <w:r>
        <w:rPr>
          <w:rFonts w:ascii="Tms Rmn" w:hAnsi="Tms Rmn"/>
          <w:sz w:val="12"/>
          <w:lang w:val="en-US"/>
        </w:rPr>
        <w:t> </w:t>
      </w:r>
      <w:r>
        <w:rPr>
          <w:lang w:val="en-US"/>
        </w:rPr>
        <w:t>400-1</w:t>
      </w:r>
      <w:r>
        <w:rPr>
          <w:rFonts w:ascii="Tms Rmn" w:hAnsi="Tms Rmn"/>
          <w:sz w:val="12"/>
          <w:lang w:val="en-US"/>
        </w:rPr>
        <w:t> </w:t>
      </w:r>
      <w:r>
        <w:rPr>
          <w:lang w:val="en-US"/>
        </w:rPr>
        <w:t>427 MHz. The allocations are shown in Table 6.</w:t>
      </w:r>
    </w:p>
    <w:p w:rsidR="00B9359B" w:rsidRDefault="009A5268">
      <w:pPr>
        <w:pStyle w:val="TableNo"/>
        <w:rPr>
          <w:lang w:val="en-US"/>
        </w:rPr>
      </w:pPr>
      <w:r>
        <w:rPr>
          <w:lang w:val="en-US"/>
        </w:rPr>
        <w:t>TABLE  6</w:t>
      </w:r>
    </w:p>
    <w:p w:rsidR="00B9359B" w:rsidRDefault="009A5268">
      <w:pPr>
        <w:pStyle w:val="Tabletitle"/>
        <w:rPr>
          <w:lang w:val="en-US"/>
        </w:rPr>
      </w:pPr>
      <w:r>
        <w:rPr>
          <w:lang w:val="en-US"/>
        </w:rPr>
        <w:t>Adjacent band allocations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B9359B" w:rsidRPr="00D35B94">
        <w:tc>
          <w:tcPr>
            <w:tcW w:w="3289" w:type="dxa"/>
            <w:shd w:val="clear" w:color="auto" w:fill="FFFFFF"/>
            <w:vAlign w:val="center"/>
          </w:tcPr>
          <w:p w:rsidR="00B9359B" w:rsidRDefault="009A5268">
            <w:pPr>
              <w:pStyle w:val="Tablehead"/>
              <w:framePr w:hSpace="181" w:wrap="notBeside" w:vAnchor="text" w:hAnchor="text" w:xAlign="center" w:y="1"/>
              <w:rPr>
                <w:lang w:val="en-US"/>
              </w:rPr>
            </w:pPr>
            <w:r>
              <w:rPr>
                <w:lang w:val="en-US"/>
              </w:rPr>
              <w:t>Services in lower</w:t>
            </w:r>
            <w:r>
              <w:rPr>
                <w:lang w:val="en-US"/>
              </w:rPr>
              <w:br/>
              <w:t>allocated band</w:t>
            </w:r>
          </w:p>
        </w:tc>
        <w:tc>
          <w:tcPr>
            <w:tcW w:w="3289" w:type="dxa"/>
            <w:shd w:val="clear" w:color="auto" w:fill="FFFFFF"/>
            <w:vAlign w:val="center"/>
          </w:tcPr>
          <w:p w:rsidR="00B9359B" w:rsidRDefault="009A5268">
            <w:pPr>
              <w:pStyle w:val="Tablehead"/>
              <w:framePr w:hSpace="181" w:wrap="notBeside" w:vAnchor="text" w:hAnchor="text" w:xAlign="center" w:y="1"/>
              <w:rPr>
                <w:lang w:val="en-US"/>
              </w:rPr>
            </w:pPr>
            <w:r>
              <w:rPr>
                <w:lang w:val="en-US"/>
              </w:rPr>
              <w:t>Passive band</w:t>
            </w:r>
          </w:p>
        </w:tc>
        <w:tc>
          <w:tcPr>
            <w:tcW w:w="3289" w:type="dxa"/>
            <w:shd w:val="clear" w:color="auto" w:fill="FFFFFF"/>
            <w:vAlign w:val="center"/>
          </w:tcPr>
          <w:p w:rsidR="00B9359B" w:rsidRDefault="009A5268">
            <w:pPr>
              <w:pStyle w:val="Tablehead"/>
              <w:framePr w:hSpace="181" w:wrap="notBeside" w:vAnchor="text" w:hAnchor="text" w:xAlign="center" w:y="1"/>
              <w:rPr>
                <w:lang w:val="en-US"/>
              </w:rPr>
            </w:pPr>
            <w:r>
              <w:rPr>
                <w:lang w:val="en-US"/>
              </w:rPr>
              <w:t>Service in upper</w:t>
            </w:r>
            <w:r>
              <w:rPr>
                <w:lang w:val="en-US"/>
              </w:rPr>
              <w:br/>
              <w:t>allocated band</w:t>
            </w:r>
          </w:p>
        </w:tc>
      </w:tr>
      <w:tr w:rsidR="00B9359B">
        <w:tc>
          <w:tcPr>
            <w:tcW w:w="3289" w:type="dxa"/>
            <w:vAlign w:val="center"/>
          </w:tcPr>
          <w:p w:rsidR="00B9359B" w:rsidRDefault="009A5268">
            <w:pPr>
              <w:pStyle w:val="Tablehead"/>
              <w:framePr w:hSpace="181" w:wrap="notBeside" w:vAnchor="text" w:hAnchor="text" w:xAlign="center" w:y="1"/>
              <w:rPr>
                <w:lang w:val="en-US"/>
              </w:rPr>
            </w:pPr>
            <w:r>
              <w:rPr>
                <w:lang w:val="en-US"/>
              </w:rPr>
              <w:t>1</w:t>
            </w:r>
            <w:r>
              <w:rPr>
                <w:rFonts w:ascii="Tms Rmn" w:hAnsi="Tms Rmn"/>
                <w:sz w:val="12"/>
                <w:lang w:val="en-US"/>
              </w:rPr>
              <w:t> </w:t>
            </w:r>
            <w:r>
              <w:rPr>
                <w:lang w:val="en-US"/>
              </w:rPr>
              <w:t>350-1</w:t>
            </w:r>
            <w:r>
              <w:rPr>
                <w:rFonts w:ascii="Tms Rmn" w:hAnsi="Tms Rmn"/>
                <w:sz w:val="12"/>
                <w:lang w:val="en-US"/>
              </w:rPr>
              <w:t> </w:t>
            </w:r>
            <w:r>
              <w:rPr>
                <w:lang w:val="en-US"/>
              </w:rPr>
              <w:t>400 MHz</w:t>
            </w:r>
          </w:p>
        </w:tc>
        <w:tc>
          <w:tcPr>
            <w:tcW w:w="3289" w:type="dxa"/>
            <w:vAlign w:val="center"/>
          </w:tcPr>
          <w:p w:rsidR="00B9359B" w:rsidRDefault="009A5268">
            <w:pPr>
              <w:pStyle w:val="Tablehead"/>
              <w:framePr w:hSpace="181" w:wrap="notBeside" w:vAnchor="text" w:hAnchor="text" w:xAlign="center" w:y="1"/>
              <w:rPr>
                <w:lang w:val="en-US"/>
              </w:rPr>
            </w:pPr>
            <w:r>
              <w:rPr>
                <w:lang w:val="en-US"/>
              </w:rPr>
              <w:t>1</w:t>
            </w:r>
            <w:r>
              <w:rPr>
                <w:rFonts w:ascii="Tms Rmn" w:hAnsi="Tms Rmn"/>
                <w:sz w:val="12"/>
                <w:lang w:val="en-US"/>
              </w:rPr>
              <w:t> </w:t>
            </w:r>
            <w:r>
              <w:rPr>
                <w:lang w:val="en-US"/>
              </w:rPr>
              <w:t>400-1</w:t>
            </w:r>
            <w:r>
              <w:rPr>
                <w:rFonts w:ascii="Tms Rmn" w:hAnsi="Tms Rmn"/>
                <w:sz w:val="12"/>
                <w:lang w:val="en-US"/>
              </w:rPr>
              <w:t> </w:t>
            </w:r>
            <w:r>
              <w:rPr>
                <w:lang w:val="en-US"/>
              </w:rPr>
              <w:t>427 MHz</w:t>
            </w:r>
          </w:p>
        </w:tc>
        <w:tc>
          <w:tcPr>
            <w:tcW w:w="3289" w:type="dxa"/>
            <w:vAlign w:val="center"/>
          </w:tcPr>
          <w:p w:rsidR="00B9359B" w:rsidRDefault="009A5268">
            <w:pPr>
              <w:pStyle w:val="Tablehead"/>
              <w:framePr w:hSpace="181" w:wrap="notBeside" w:vAnchor="text" w:hAnchor="text" w:xAlign="center" w:y="1"/>
              <w:rPr>
                <w:lang w:val="en-US"/>
              </w:rPr>
            </w:pPr>
            <w:r>
              <w:rPr>
                <w:lang w:val="en-US"/>
              </w:rPr>
              <w:t>1</w:t>
            </w:r>
            <w:r>
              <w:rPr>
                <w:rFonts w:ascii="Tms Rmn" w:hAnsi="Tms Rmn"/>
                <w:sz w:val="12"/>
                <w:lang w:val="en-US"/>
              </w:rPr>
              <w:t> </w:t>
            </w:r>
            <w:r>
              <w:rPr>
                <w:lang w:val="en-US"/>
              </w:rPr>
              <w:t>427-1</w:t>
            </w:r>
            <w:r>
              <w:rPr>
                <w:rFonts w:ascii="Tms Rmn" w:hAnsi="Tms Rmn"/>
                <w:sz w:val="12"/>
                <w:lang w:val="en-US"/>
              </w:rPr>
              <w:t> </w:t>
            </w:r>
            <w:r>
              <w:rPr>
                <w:lang w:val="en-US"/>
              </w:rPr>
              <w:t>429 MHz</w:t>
            </w:r>
          </w:p>
        </w:tc>
      </w:tr>
      <w:tr w:rsidR="00B9359B">
        <w:tc>
          <w:tcPr>
            <w:tcW w:w="3289" w:type="dxa"/>
          </w:tcPr>
          <w:p w:rsidR="00B9359B" w:rsidRDefault="009A5268">
            <w:pPr>
              <w:pStyle w:val="Tabletext"/>
              <w:framePr w:hSpace="181" w:wrap="notBeside" w:vAnchor="text" w:hAnchor="text" w:xAlign="center" w:y="1"/>
              <w:tabs>
                <w:tab w:val="clear" w:pos="2835"/>
                <w:tab w:val="left" w:pos="2887"/>
              </w:tabs>
              <w:spacing w:before="60" w:after="60"/>
              <w:jc w:val="left"/>
              <w:rPr>
                <w:lang w:val="en-US"/>
              </w:rPr>
            </w:pPr>
            <w:r>
              <w:rPr>
                <w:lang w:val="en-US"/>
              </w:rPr>
              <w:t>FIXED (Region 1)</w:t>
            </w:r>
          </w:p>
          <w:p w:rsidR="00B9359B" w:rsidRDefault="009A5268">
            <w:pPr>
              <w:pStyle w:val="Tabletext"/>
              <w:framePr w:hSpace="181" w:wrap="notBeside" w:vAnchor="text" w:hAnchor="text" w:xAlign="center" w:y="1"/>
              <w:tabs>
                <w:tab w:val="clear" w:pos="2835"/>
                <w:tab w:val="left" w:pos="2887"/>
              </w:tabs>
              <w:spacing w:before="60" w:after="60"/>
              <w:jc w:val="left"/>
              <w:rPr>
                <w:lang w:val="en-US"/>
              </w:rPr>
            </w:pPr>
            <w:r>
              <w:rPr>
                <w:lang w:val="en-US"/>
              </w:rPr>
              <w:t>MOBILE (Region 1)</w:t>
            </w:r>
          </w:p>
          <w:p w:rsidR="00B9359B" w:rsidRDefault="009A5268">
            <w:pPr>
              <w:pStyle w:val="Tabletext"/>
              <w:framePr w:hSpace="181" w:wrap="notBeside" w:vAnchor="text" w:hAnchor="text" w:xAlign="center" w:y="1"/>
              <w:tabs>
                <w:tab w:val="clear" w:pos="2835"/>
                <w:tab w:val="left" w:pos="2887"/>
              </w:tabs>
              <w:spacing w:before="60" w:after="60"/>
              <w:jc w:val="left"/>
              <w:rPr>
                <w:lang w:val="en-US"/>
              </w:rPr>
            </w:pPr>
            <w:r>
              <w:rPr>
                <w:lang w:val="en-US"/>
              </w:rPr>
              <w:t>RADIOLOCATION (All)</w:t>
            </w:r>
          </w:p>
          <w:p w:rsidR="00B9359B" w:rsidRDefault="009A5268">
            <w:pPr>
              <w:pStyle w:val="Tabletext"/>
              <w:framePr w:hSpace="181" w:wrap="notBeside" w:vAnchor="text" w:hAnchor="text" w:xAlign="center" w:y="1"/>
              <w:tabs>
                <w:tab w:val="clear" w:pos="2835"/>
                <w:tab w:val="left" w:pos="2887"/>
              </w:tabs>
              <w:spacing w:before="60" w:after="60"/>
              <w:jc w:val="left"/>
              <w:rPr>
                <w:lang w:val="en-US"/>
              </w:rPr>
            </w:pPr>
            <w:r>
              <w:rPr>
                <w:lang w:val="en-US"/>
              </w:rPr>
              <w:br/>
              <w:t>5.399</w:t>
            </w:r>
          </w:p>
        </w:tc>
        <w:tc>
          <w:tcPr>
            <w:tcW w:w="3289" w:type="dxa"/>
          </w:tcPr>
          <w:p w:rsidR="00B9359B" w:rsidRDefault="009A5268">
            <w:pPr>
              <w:pStyle w:val="Tabletext"/>
              <w:framePr w:hSpace="181" w:wrap="notBeside" w:vAnchor="text" w:hAnchor="text" w:xAlign="center" w:y="1"/>
              <w:tabs>
                <w:tab w:val="clear" w:pos="284"/>
                <w:tab w:val="left" w:pos="198"/>
                <w:tab w:val="left" w:pos="387"/>
              </w:tabs>
              <w:spacing w:before="60" w:after="60"/>
              <w:jc w:val="left"/>
              <w:rPr>
                <w:lang w:val="en-US"/>
              </w:rPr>
            </w:pPr>
            <w:r>
              <w:rPr>
                <w:lang w:val="en-US"/>
              </w:rPr>
              <w:t>EARTH</w:t>
            </w:r>
            <w:r>
              <w:rPr>
                <w:sz w:val="16"/>
                <w:lang w:val="en-US"/>
              </w:rPr>
              <w:t xml:space="preserve">  </w:t>
            </w:r>
            <w:r>
              <w:rPr>
                <w:lang w:val="en-US"/>
              </w:rPr>
              <w:t xml:space="preserve">EXPLORATION- </w:t>
            </w:r>
            <w:r>
              <w:rPr>
                <w:lang w:val="en-US"/>
              </w:rPr>
              <w:tab/>
              <w:t>SATELLITE (passive)</w:t>
            </w:r>
          </w:p>
          <w:p w:rsidR="00B9359B" w:rsidRDefault="009A5268">
            <w:pPr>
              <w:pStyle w:val="Tabletext"/>
              <w:framePr w:hSpace="181" w:wrap="notBeside" w:vAnchor="text" w:hAnchor="text" w:xAlign="center" w:y="1"/>
              <w:spacing w:before="60" w:after="60"/>
              <w:jc w:val="left"/>
              <w:rPr>
                <w:lang w:val="en-US"/>
              </w:rPr>
            </w:pPr>
            <w:r>
              <w:rPr>
                <w:lang w:val="en-US"/>
              </w:rPr>
              <w:t>RADIO</w:t>
            </w:r>
            <w:r>
              <w:rPr>
                <w:sz w:val="16"/>
                <w:lang w:val="en-US"/>
              </w:rPr>
              <w:t xml:space="preserve">  </w:t>
            </w:r>
            <w:r>
              <w:rPr>
                <w:lang w:val="en-US"/>
              </w:rPr>
              <w:t>ASTRONOMY</w:t>
            </w:r>
          </w:p>
          <w:p w:rsidR="00B9359B" w:rsidRDefault="009A5268">
            <w:pPr>
              <w:pStyle w:val="Tabletext"/>
              <w:framePr w:hSpace="181" w:wrap="notBeside" w:vAnchor="text" w:hAnchor="text" w:xAlign="center" w:y="1"/>
              <w:spacing w:before="60" w:after="60"/>
              <w:jc w:val="left"/>
              <w:rPr>
                <w:lang w:val="en-US"/>
              </w:rPr>
            </w:pPr>
            <w:r>
              <w:rPr>
                <w:lang w:val="en-US"/>
              </w:rPr>
              <w:t>SPACE</w:t>
            </w:r>
            <w:r>
              <w:rPr>
                <w:sz w:val="16"/>
                <w:lang w:val="en-US"/>
              </w:rPr>
              <w:t xml:space="preserve">  </w:t>
            </w:r>
            <w:r>
              <w:rPr>
                <w:lang w:val="en-US"/>
              </w:rPr>
              <w:t>RESEARCH (passive)</w:t>
            </w:r>
          </w:p>
          <w:p w:rsidR="00B9359B" w:rsidRDefault="009A5268">
            <w:pPr>
              <w:pStyle w:val="Tabletext"/>
              <w:framePr w:hSpace="181" w:wrap="notBeside" w:vAnchor="text" w:hAnchor="text" w:xAlign="center" w:y="1"/>
              <w:spacing w:before="60" w:after="60"/>
              <w:jc w:val="left"/>
              <w:rPr>
                <w:lang w:val="en-US"/>
              </w:rPr>
            </w:pPr>
            <w:r>
              <w:rPr>
                <w:lang w:val="en-US"/>
              </w:rPr>
              <w:t>5.340</w:t>
            </w:r>
          </w:p>
        </w:tc>
        <w:tc>
          <w:tcPr>
            <w:tcW w:w="3289" w:type="dxa"/>
          </w:tcPr>
          <w:p w:rsidR="00B9359B" w:rsidRDefault="009A5268">
            <w:pPr>
              <w:pStyle w:val="Tabletext"/>
              <w:framePr w:hSpace="181" w:wrap="notBeside" w:vAnchor="text" w:hAnchor="text" w:xAlign="center" w:y="1"/>
              <w:tabs>
                <w:tab w:val="clear" w:pos="284"/>
                <w:tab w:val="left" w:pos="198"/>
                <w:tab w:val="left" w:pos="234"/>
              </w:tabs>
              <w:spacing w:before="60" w:after="60"/>
              <w:jc w:val="left"/>
              <w:rPr>
                <w:lang w:val="en-US"/>
              </w:rPr>
            </w:pPr>
            <w:r>
              <w:rPr>
                <w:lang w:val="en-US"/>
              </w:rPr>
              <w:t>SPACE</w:t>
            </w:r>
            <w:r>
              <w:rPr>
                <w:sz w:val="16"/>
                <w:lang w:val="en-US"/>
              </w:rPr>
              <w:t xml:space="preserve">  </w:t>
            </w:r>
            <w:r>
              <w:rPr>
                <w:lang w:val="en-US"/>
              </w:rPr>
              <w:t>OPERATION</w:t>
            </w:r>
            <w:r>
              <w:rPr>
                <w:lang w:val="en-US"/>
              </w:rPr>
              <w:br/>
            </w:r>
            <w:r>
              <w:rPr>
                <w:lang w:val="en-US"/>
              </w:rPr>
              <w:tab/>
              <w:t>(Earth-to-space)</w:t>
            </w:r>
          </w:p>
          <w:p w:rsidR="00B9359B" w:rsidRPr="0027724D" w:rsidRDefault="009A5268">
            <w:pPr>
              <w:pStyle w:val="Tabletext"/>
              <w:framePr w:hSpace="181" w:wrap="notBeside" w:vAnchor="text" w:hAnchor="text" w:xAlign="center" w:y="1"/>
              <w:spacing w:before="60" w:after="60"/>
              <w:jc w:val="left"/>
              <w:rPr>
                <w:lang w:val="fr-CH"/>
              </w:rPr>
            </w:pPr>
            <w:r w:rsidRPr="0027724D">
              <w:rPr>
                <w:lang w:val="fr-CH"/>
              </w:rPr>
              <w:t>FIXED</w:t>
            </w:r>
          </w:p>
          <w:p w:rsidR="00B9359B" w:rsidRPr="0027724D" w:rsidRDefault="009A5268">
            <w:pPr>
              <w:pStyle w:val="Tabletext"/>
              <w:framePr w:hSpace="181" w:wrap="notBeside" w:vAnchor="text" w:hAnchor="text" w:xAlign="center" w:y="1"/>
              <w:spacing w:before="60" w:after="60"/>
              <w:jc w:val="left"/>
              <w:rPr>
                <w:lang w:val="fr-CH"/>
              </w:rPr>
            </w:pPr>
            <w:r w:rsidRPr="0027724D">
              <w:rPr>
                <w:lang w:val="fr-CH"/>
              </w:rPr>
              <w:t>MOBILE except aeronautical mobile</w:t>
            </w:r>
          </w:p>
        </w:tc>
      </w:tr>
    </w:tbl>
    <w:p w:rsidR="00B9359B" w:rsidRPr="0027724D" w:rsidRDefault="00B9359B">
      <w:pPr>
        <w:pStyle w:val="Tablefin"/>
        <w:rPr>
          <w:lang w:val="fr-CH"/>
        </w:rPr>
      </w:pPr>
    </w:p>
    <w:p w:rsidR="00B9359B" w:rsidRDefault="009A5268">
      <w:pPr>
        <w:pStyle w:val="Heading2"/>
        <w:rPr>
          <w:lang w:val="en-US"/>
        </w:rPr>
      </w:pPr>
      <w:bookmarkStart w:id="75" w:name="_Toc51045474"/>
      <w:r>
        <w:rPr>
          <w:lang w:val="en-US"/>
        </w:rPr>
        <w:t>1.2</w:t>
      </w:r>
      <w:r>
        <w:rPr>
          <w:lang w:val="en-US"/>
        </w:rPr>
        <w:tab/>
        <w:t>Application</w:t>
      </w:r>
      <w:bookmarkEnd w:id="75"/>
    </w:p>
    <w:p w:rsidR="00B9359B" w:rsidRDefault="009A5268">
      <w:pPr>
        <w:rPr>
          <w:lang w:val="en-US"/>
        </w:rPr>
      </w:pPr>
      <w:r>
        <w:rPr>
          <w:lang w:val="en-US"/>
        </w:rPr>
        <w:t>NASA/JPL is currently developing an instrument for measuring soil moisture (the HYDROS mission), which will collect measurements in the entire passive microwave band under consideration (1</w:t>
      </w:r>
      <w:r>
        <w:rPr>
          <w:rFonts w:ascii="Tms Rmn" w:hAnsi="Tms Rmn"/>
          <w:sz w:val="12"/>
          <w:lang w:val="en-US"/>
        </w:rPr>
        <w:t> </w:t>
      </w:r>
      <w:r>
        <w:rPr>
          <w:lang w:val="en-US"/>
        </w:rPr>
        <w:t>400 to 1</w:t>
      </w:r>
      <w:r>
        <w:rPr>
          <w:rFonts w:ascii="Tms Rmn" w:hAnsi="Tms Rmn"/>
          <w:sz w:val="12"/>
          <w:lang w:val="en-US"/>
        </w:rPr>
        <w:t> </w:t>
      </w:r>
      <w:r>
        <w:rPr>
          <w:lang w:val="en-US"/>
        </w:rPr>
        <w:t>427 MHz). The European Space Agency (ESA) is developing a separate instrument (the SMOS mission), using a different technological approach, for measurements of soil moisture and ocean salinity. HYDROS and SMOS are complementary missions, both requiring high-precision radiometric measurements globally and continuously in time. Frequencies near 1</w:t>
      </w:r>
      <w:r>
        <w:rPr>
          <w:rFonts w:ascii="Tms Rmn" w:hAnsi="Tms Rmn"/>
          <w:sz w:val="12"/>
          <w:lang w:val="en-US"/>
        </w:rPr>
        <w:t> </w:t>
      </w:r>
      <w:r>
        <w:rPr>
          <w:lang w:val="en-US"/>
        </w:rPr>
        <w:t>400 MHz are ideal for measuring soil moisture, and also for measuring sea surface salinity and vegetation biomass. Soil moisture is a key variable in the hydrologic cycle with significant influence on evaporation, infiltration and runoff. In the vadose zone, soil moisture governs the rate of water uptake by vegetation. Sea surface salinity has an influence on deep thermohaline circulation and the meridional heat transport. Variations in salinity influence the near surface dynamics of tropical oceans. To date, there is no capability to measure soil moisture and sea surface salinity directly on a global basis, so the protection of this passive band is essential.</w:t>
      </w:r>
    </w:p>
    <w:p w:rsidR="00B9359B" w:rsidRDefault="009A5268">
      <w:pPr>
        <w:pStyle w:val="Heading2"/>
        <w:rPr>
          <w:lang w:val="en-US"/>
        </w:rPr>
      </w:pPr>
      <w:bookmarkStart w:id="76" w:name="_Toc51045475"/>
      <w:r>
        <w:rPr>
          <w:lang w:val="en-US"/>
        </w:rPr>
        <w:br w:type="page"/>
        <w:t>1.3</w:t>
      </w:r>
      <w:r>
        <w:rPr>
          <w:lang w:val="en-US"/>
        </w:rPr>
        <w:tab/>
        <w:t>Required protection criteria</w:t>
      </w:r>
      <w:bookmarkEnd w:id="76"/>
    </w:p>
    <w:p w:rsidR="00B9359B" w:rsidRDefault="009A5268">
      <w:pPr>
        <w:rPr>
          <w:lang w:val="en-US"/>
        </w:rPr>
      </w:pPr>
      <w:r>
        <w:rPr>
          <w:lang w:val="en-US"/>
        </w:rPr>
        <w:t>The following Recommendations establish the interference criteria for passive sensors:</w:t>
      </w:r>
    </w:p>
    <w:p w:rsidR="00B9359B" w:rsidRPr="0027724D" w:rsidRDefault="009A5268">
      <w:pPr>
        <w:pStyle w:val="enumlev1"/>
        <w:tabs>
          <w:tab w:val="clear" w:pos="794"/>
          <w:tab w:val="clear" w:pos="1191"/>
          <w:tab w:val="clear" w:pos="1588"/>
          <w:tab w:val="clear" w:pos="1985"/>
          <w:tab w:val="left" w:pos="3515"/>
        </w:tabs>
        <w:ind w:left="3515" w:hanging="3515"/>
        <w:rPr>
          <w:lang w:val="en-US"/>
        </w:rPr>
      </w:pPr>
      <w:r w:rsidRPr="0027724D">
        <w:rPr>
          <w:lang w:val="en-US"/>
        </w:rPr>
        <w:t>Recommendation ITU-R SA.515 –</w:t>
      </w:r>
      <w:r w:rsidRPr="0027724D">
        <w:rPr>
          <w:lang w:val="en-US"/>
        </w:rPr>
        <w:tab/>
        <w:t>Frequency bands and bandwidths used for satellite passive sensing.</w:t>
      </w:r>
    </w:p>
    <w:p w:rsidR="00B9359B" w:rsidRPr="0027724D" w:rsidRDefault="009A5268">
      <w:pPr>
        <w:pStyle w:val="enumlev1"/>
        <w:tabs>
          <w:tab w:val="clear" w:pos="794"/>
          <w:tab w:val="clear" w:pos="1191"/>
          <w:tab w:val="clear" w:pos="1588"/>
          <w:tab w:val="clear" w:pos="1985"/>
          <w:tab w:val="left" w:pos="3515"/>
        </w:tabs>
        <w:ind w:left="3515" w:hanging="3515"/>
        <w:rPr>
          <w:lang w:val="en-US"/>
        </w:rPr>
      </w:pPr>
      <w:r w:rsidRPr="0027724D">
        <w:rPr>
          <w:lang w:val="en-US"/>
        </w:rPr>
        <w:t>Recommendation ITU-R SA.1028 –</w:t>
      </w:r>
      <w:r w:rsidRPr="0027724D">
        <w:rPr>
          <w:lang w:val="en-US"/>
        </w:rPr>
        <w:tab/>
        <w:t>Performance criteria for satellite passive remote sensing.</w:t>
      </w:r>
    </w:p>
    <w:p w:rsidR="00B9359B" w:rsidRPr="0027724D" w:rsidRDefault="009A5268">
      <w:pPr>
        <w:pStyle w:val="enumlev1"/>
        <w:tabs>
          <w:tab w:val="clear" w:pos="794"/>
          <w:tab w:val="clear" w:pos="1191"/>
          <w:tab w:val="clear" w:pos="1588"/>
          <w:tab w:val="clear" w:pos="1985"/>
          <w:tab w:val="left" w:pos="3515"/>
        </w:tabs>
        <w:ind w:left="3515" w:hanging="3515"/>
        <w:rPr>
          <w:lang w:val="en-US"/>
        </w:rPr>
      </w:pPr>
      <w:r w:rsidRPr="0027724D">
        <w:rPr>
          <w:lang w:val="en-US"/>
        </w:rPr>
        <w:t>Recommendation ITU-R SA.1029 –</w:t>
      </w:r>
      <w:r w:rsidRPr="0027724D">
        <w:rPr>
          <w:lang w:val="en-US"/>
        </w:rPr>
        <w:tab/>
        <w:t>Interference criteria for satellite passive remote sensing.</w:t>
      </w:r>
    </w:p>
    <w:p w:rsidR="00B9359B" w:rsidRDefault="009A5268">
      <w:pPr>
        <w:rPr>
          <w:lang w:val="en-US"/>
        </w:rPr>
      </w:pPr>
      <w:r>
        <w:rPr>
          <w:lang w:val="en-US"/>
        </w:rPr>
        <w:t xml:space="preserve">There are two criteria for this band. First there is a power threshold of </w:t>
      </w:r>
      <w:r>
        <w:sym w:font="Symbol" w:char="F02D"/>
      </w:r>
      <w:r>
        <w:rPr>
          <w:lang w:val="en-US"/>
        </w:rPr>
        <w:t>171 dBW in 27 MHz. This is a maximum interference level from all sources.</w:t>
      </w:r>
    </w:p>
    <w:p w:rsidR="00B9359B" w:rsidRDefault="009A5268">
      <w:pPr>
        <w:rPr>
          <w:lang w:val="en-US"/>
        </w:rPr>
      </w:pPr>
      <w:r>
        <w:rPr>
          <w:lang w:val="en-US"/>
        </w:rPr>
        <w:t>Secondly there is a frequency-of-occurrence limit on the threshold being exceeded. The number of measurement cells lost due to the threshold being exceeded must not exceed 5% in cases where the interference events are random, and 1% when the interference events are systematic. Since the radiolocation service is not random (fixed sites and 100% of time operational), the 1% criterion applies.</w:t>
      </w:r>
    </w:p>
    <w:p w:rsidR="00B9359B" w:rsidRDefault="009A5268">
      <w:pPr>
        <w:pStyle w:val="Heading2"/>
        <w:rPr>
          <w:lang w:val="en-US"/>
        </w:rPr>
      </w:pPr>
      <w:bookmarkStart w:id="77" w:name="_Toc51045476"/>
      <w:r>
        <w:rPr>
          <w:lang w:val="en-US"/>
        </w:rPr>
        <w:t>1.4</w:t>
      </w:r>
      <w:r>
        <w:rPr>
          <w:lang w:val="en-US"/>
        </w:rPr>
        <w:tab/>
        <w:t>Operational characteristics</w:t>
      </w:r>
      <w:bookmarkEnd w:id="77"/>
    </w:p>
    <w:p w:rsidR="00B9359B" w:rsidRDefault="009A5268">
      <w:pPr>
        <w:pStyle w:val="TableNo"/>
        <w:spacing w:before="240"/>
        <w:rPr>
          <w:lang w:val="en-US"/>
        </w:rPr>
      </w:pPr>
      <w:r>
        <w:rPr>
          <w:lang w:val="en-US"/>
        </w:rPr>
        <w:t>TABLE  7</w:t>
      </w:r>
    </w:p>
    <w:p w:rsidR="00B9359B" w:rsidRDefault="009A5268">
      <w:pPr>
        <w:pStyle w:val="Tabletitle"/>
        <w:rPr>
          <w:lang w:val="en-US"/>
        </w:rPr>
      </w:pPr>
      <w:r>
        <w:rPr>
          <w:lang w:val="en-US"/>
        </w:rPr>
        <w:t>EESS characteristics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76"/>
        <w:gridCol w:w="2495"/>
        <w:gridCol w:w="2325"/>
      </w:tblGrid>
      <w:tr w:rsidR="00B9359B">
        <w:tc>
          <w:tcPr>
            <w:tcW w:w="4876" w:type="dxa"/>
            <w:vAlign w:val="bottom"/>
          </w:tcPr>
          <w:p w:rsidR="00B9359B" w:rsidRDefault="009A5268">
            <w:pPr>
              <w:pStyle w:val="Tablehead"/>
              <w:framePr w:hSpace="181" w:wrap="notBeside" w:vAnchor="text" w:hAnchor="text" w:xAlign="center" w:y="1"/>
              <w:rPr>
                <w:rFonts w:eastAsia="Arial Unicode MS"/>
                <w:lang w:val="en-US"/>
              </w:rPr>
            </w:pPr>
            <w:r>
              <w:rPr>
                <w:lang w:val="en-US"/>
              </w:rPr>
              <w:t>Parameter</w:t>
            </w:r>
          </w:p>
        </w:tc>
        <w:tc>
          <w:tcPr>
            <w:tcW w:w="2495" w:type="dxa"/>
            <w:vAlign w:val="bottom"/>
          </w:tcPr>
          <w:p w:rsidR="00B9359B" w:rsidRDefault="009A5268">
            <w:pPr>
              <w:pStyle w:val="Tablehead"/>
              <w:framePr w:hSpace="181" w:wrap="notBeside" w:vAnchor="text" w:hAnchor="text" w:xAlign="center" w:y="1"/>
              <w:rPr>
                <w:rFonts w:eastAsia="Arial Unicode MS"/>
                <w:lang w:val="en-US"/>
              </w:rPr>
            </w:pPr>
            <w:r>
              <w:rPr>
                <w:lang w:val="en-US"/>
              </w:rPr>
              <w:t>SMOS</w:t>
            </w:r>
          </w:p>
        </w:tc>
        <w:tc>
          <w:tcPr>
            <w:tcW w:w="2325" w:type="dxa"/>
            <w:vAlign w:val="bottom"/>
          </w:tcPr>
          <w:p w:rsidR="00B9359B" w:rsidRDefault="009A5268">
            <w:pPr>
              <w:pStyle w:val="Tablehead"/>
              <w:framePr w:hSpace="181" w:wrap="notBeside" w:vAnchor="text" w:hAnchor="text" w:xAlign="center" w:y="1"/>
              <w:rPr>
                <w:rFonts w:eastAsia="Arial Unicode MS"/>
                <w:lang w:val="en-US"/>
              </w:rPr>
            </w:pPr>
            <w:r>
              <w:rPr>
                <w:lang w:val="en-US"/>
              </w:rPr>
              <w:t>HYDROS</w:t>
            </w:r>
          </w:p>
        </w:tc>
      </w:tr>
      <w:tr w:rsidR="00B9359B">
        <w:tc>
          <w:tcPr>
            <w:tcW w:w="4876" w:type="dxa"/>
            <w:vAlign w:val="bottom"/>
          </w:tcPr>
          <w:p w:rsidR="00B9359B" w:rsidRDefault="009A5268">
            <w:pPr>
              <w:pStyle w:val="Tabletext"/>
              <w:framePr w:hSpace="181" w:wrap="notBeside" w:vAnchor="text" w:hAnchor="text" w:xAlign="center" w:y="1"/>
              <w:ind w:left="57"/>
              <w:rPr>
                <w:rFonts w:eastAsia="Arial Unicode MS"/>
                <w:lang w:val="en-US"/>
              </w:rPr>
            </w:pPr>
            <w:r>
              <w:rPr>
                <w:lang w:val="en-US"/>
              </w:rPr>
              <w:t>EESS maximum antenna gain (dBi)</w:t>
            </w:r>
          </w:p>
        </w:tc>
        <w:tc>
          <w:tcPr>
            <w:tcW w:w="2495" w:type="dxa"/>
            <w:vAlign w:val="bottom"/>
          </w:tcPr>
          <w:p w:rsidR="00B9359B" w:rsidRDefault="009A5268">
            <w:pPr>
              <w:pStyle w:val="Tabletext"/>
              <w:framePr w:hSpace="181" w:wrap="notBeside" w:vAnchor="text" w:hAnchor="text" w:xAlign="center" w:y="1"/>
              <w:ind w:left="57"/>
              <w:jc w:val="center"/>
              <w:rPr>
                <w:rFonts w:eastAsia="Arial Unicode MS"/>
                <w:lang w:val="en-US"/>
              </w:rPr>
            </w:pPr>
            <w:r>
              <w:rPr>
                <w:lang w:val="en-US"/>
              </w:rPr>
              <w:t>9</w:t>
            </w:r>
          </w:p>
        </w:tc>
        <w:tc>
          <w:tcPr>
            <w:tcW w:w="2325" w:type="dxa"/>
            <w:vAlign w:val="bottom"/>
          </w:tcPr>
          <w:p w:rsidR="00B9359B" w:rsidRDefault="009A5268">
            <w:pPr>
              <w:pStyle w:val="Tabletext"/>
              <w:framePr w:hSpace="181" w:wrap="notBeside" w:vAnchor="text" w:hAnchor="text" w:xAlign="center" w:y="1"/>
              <w:ind w:left="57"/>
              <w:jc w:val="center"/>
              <w:rPr>
                <w:rFonts w:eastAsia="Arial Unicode MS"/>
                <w:lang w:val="en-US"/>
              </w:rPr>
            </w:pPr>
            <w:r>
              <w:rPr>
                <w:lang w:val="en-US"/>
              </w:rPr>
              <w:t>35</w:t>
            </w:r>
          </w:p>
        </w:tc>
      </w:tr>
      <w:tr w:rsidR="00B9359B">
        <w:tc>
          <w:tcPr>
            <w:tcW w:w="4876" w:type="dxa"/>
            <w:vAlign w:val="bottom"/>
          </w:tcPr>
          <w:p w:rsidR="00B9359B" w:rsidRDefault="009A5268">
            <w:pPr>
              <w:pStyle w:val="Tabletext"/>
              <w:framePr w:hSpace="181" w:wrap="notBeside" w:vAnchor="text" w:hAnchor="text" w:xAlign="center" w:y="1"/>
              <w:ind w:left="57"/>
              <w:rPr>
                <w:rFonts w:eastAsia="Arial Unicode MS"/>
                <w:lang w:val="en-US"/>
              </w:rPr>
            </w:pPr>
            <w:r>
              <w:rPr>
                <w:lang w:val="en-US"/>
              </w:rPr>
              <w:t>EESS altitude (km)</w:t>
            </w:r>
          </w:p>
        </w:tc>
        <w:tc>
          <w:tcPr>
            <w:tcW w:w="2495" w:type="dxa"/>
            <w:vAlign w:val="bottom"/>
          </w:tcPr>
          <w:p w:rsidR="00B9359B" w:rsidRDefault="009A5268">
            <w:pPr>
              <w:pStyle w:val="Tabletext"/>
              <w:framePr w:hSpace="181" w:wrap="notBeside" w:vAnchor="text" w:hAnchor="text" w:xAlign="center" w:y="1"/>
              <w:ind w:left="57"/>
              <w:jc w:val="center"/>
              <w:rPr>
                <w:rFonts w:eastAsia="Arial Unicode MS"/>
                <w:lang w:val="en-US"/>
              </w:rPr>
            </w:pPr>
            <w:r>
              <w:rPr>
                <w:lang w:val="en-US"/>
              </w:rPr>
              <w:t>757</w:t>
            </w:r>
          </w:p>
        </w:tc>
        <w:tc>
          <w:tcPr>
            <w:tcW w:w="2325" w:type="dxa"/>
            <w:vAlign w:val="bottom"/>
          </w:tcPr>
          <w:p w:rsidR="00B9359B" w:rsidRDefault="009A5268">
            <w:pPr>
              <w:pStyle w:val="Tabletext"/>
              <w:framePr w:hSpace="181" w:wrap="notBeside" w:vAnchor="text" w:hAnchor="text" w:xAlign="center" w:y="1"/>
              <w:ind w:left="57"/>
              <w:jc w:val="center"/>
              <w:rPr>
                <w:rFonts w:eastAsia="Arial Unicode MS"/>
                <w:lang w:val="en-US"/>
              </w:rPr>
            </w:pPr>
            <w:r>
              <w:rPr>
                <w:lang w:val="en-US"/>
              </w:rPr>
              <w:t>670</w:t>
            </w:r>
          </w:p>
        </w:tc>
      </w:tr>
      <w:tr w:rsidR="00B9359B">
        <w:tc>
          <w:tcPr>
            <w:tcW w:w="4876" w:type="dxa"/>
            <w:vAlign w:val="bottom"/>
          </w:tcPr>
          <w:p w:rsidR="00B9359B" w:rsidRDefault="009A5268">
            <w:pPr>
              <w:pStyle w:val="Tabletext"/>
              <w:framePr w:hSpace="181" w:wrap="notBeside" w:vAnchor="text" w:hAnchor="text" w:xAlign="center" w:y="1"/>
              <w:ind w:left="57"/>
              <w:rPr>
                <w:rFonts w:eastAsia="Arial Unicode MS"/>
                <w:lang w:val="en-US"/>
              </w:rPr>
            </w:pPr>
            <w:r>
              <w:rPr>
                <w:lang w:val="en-US"/>
              </w:rPr>
              <w:t xml:space="preserve">EESS </w:t>
            </w:r>
            <w:r>
              <w:sym w:font="Symbol" w:char="F02D"/>
            </w:r>
            <w:r>
              <w:rPr>
                <w:lang w:val="en-US"/>
              </w:rPr>
              <w:t>3 dB antenna aperture (degrees)</w:t>
            </w:r>
          </w:p>
        </w:tc>
        <w:tc>
          <w:tcPr>
            <w:tcW w:w="2495" w:type="dxa"/>
            <w:vAlign w:val="bottom"/>
          </w:tcPr>
          <w:p w:rsidR="00B9359B" w:rsidRDefault="009A5268">
            <w:pPr>
              <w:pStyle w:val="Tabletext"/>
              <w:framePr w:hSpace="181" w:wrap="notBeside" w:vAnchor="text" w:hAnchor="text" w:xAlign="center" w:y="1"/>
              <w:ind w:left="57"/>
              <w:jc w:val="center"/>
              <w:rPr>
                <w:rFonts w:eastAsia="Arial Unicode MS"/>
                <w:lang w:val="en-US"/>
              </w:rPr>
            </w:pPr>
            <w:r>
              <w:rPr>
                <w:lang w:val="en-US"/>
              </w:rPr>
              <w:t>71.6</w:t>
            </w:r>
          </w:p>
        </w:tc>
        <w:tc>
          <w:tcPr>
            <w:tcW w:w="2325" w:type="dxa"/>
            <w:vAlign w:val="bottom"/>
          </w:tcPr>
          <w:p w:rsidR="00B9359B" w:rsidRDefault="009A5268">
            <w:pPr>
              <w:pStyle w:val="Tabletext"/>
              <w:framePr w:hSpace="181" w:wrap="notBeside" w:vAnchor="text" w:hAnchor="text" w:xAlign="center" w:y="1"/>
              <w:ind w:left="57"/>
              <w:jc w:val="center"/>
              <w:rPr>
                <w:rFonts w:eastAsia="Arial Unicode MS"/>
                <w:lang w:val="en-US"/>
              </w:rPr>
            </w:pPr>
            <w:r>
              <w:rPr>
                <w:lang w:val="en-US"/>
              </w:rPr>
              <w:t>2.6</w:t>
            </w:r>
          </w:p>
        </w:tc>
      </w:tr>
      <w:tr w:rsidR="00B9359B" w:rsidRPr="00D35B94">
        <w:tc>
          <w:tcPr>
            <w:tcW w:w="4876" w:type="dxa"/>
            <w:vAlign w:val="bottom"/>
          </w:tcPr>
          <w:p w:rsidR="00B9359B" w:rsidRDefault="009A5268">
            <w:pPr>
              <w:pStyle w:val="Tabletext"/>
              <w:framePr w:hSpace="181" w:wrap="notBeside" w:vAnchor="text" w:hAnchor="text" w:xAlign="center" w:y="1"/>
              <w:ind w:left="57"/>
              <w:jc w:val="left"/>
              <w:rPr>
                <w:lang w:val="en-US"/>
              </w:rPr>
            </w:pPr>
            <w:r>
              <w:rPr>
                <w:lang w:val="en-US"/>
              </w:rPr>
              <w:t>EESS pointing direction (degrees)</w:t>
            </w:r>
            <w:r>
              <w:rPr>
                <w:lang w:val="en-US"/>
              </w:rPr>
              <w:br/>
            </w:r>
          </w:p>
        </w:tc>
        <w:tc>
          <w:tcPr>
            <w:tcW w:w="2495" w:type="dxa"/>
            <w:vAlign w:val="bottom"/>
          </w:tcPr>
          <w:p w:rsidR="00B9359B" w:rsidRDefault="009A5268">
            <w:pPr>
              <w:pStyle w:val="Tabletext"/>
              <w:framePr w:hSpace="181" w:wrap="notBeside" w:vAnchor="text" w:hAnchor="text" w:xAlign="center" w:y="1"/>
              <w:ind w:left="57"/>
              <w:jc w:val="center"/>
              <w:rPr>
                <w:lang w:val="en-US"/>
              </w:rPr>
            </w:pPr>
            <w:r>
              <w:rPr>
                <w:rFonts w:ascii="Symbol" w:hAnsi="Symbol"/>
                <w:lang w:val="en-US"/>
              </w:rPr>
              <w:t></w:t>
            </w:r>
            <w:r>
              <w:rPr>
                <w:rFonts w:ascii="Symbol" w:hAnsi="Symbol"/>
                <w:lang w:val="en-US"/>
              </w:rPr>
              <w:t></w:t>
            </w:r>
            <w:r>
              <w:rPr>
                <w:lang w:val="en-US"/>
              </w:rPr>
              <w:t xml:space="preserve"> off nadir (fixed)</w:t>
            </w:r>
            <w:r>
              <w:rPr>
                <w:lang w:val="en-US"/>
              </w:rPr>
              <w:br/>
            </w:r>
          </w:p>
        </w:tc>
        <w:tc>
          <w:tcPr>
            <w:tcW w:w="2325" w:type="dxa"/>
            <w:vAlign w:val="bottom"/>
          </w:tcPr>
          <w:p w:rsidR="00B9359B" w:rsidRDefault="009A5268">
            <w:pPr>
              <w:pStyle w:val="Tabletext"/>
              <w:framePr w:hSpace="181" w:wrap="notBeside" w:vAnchor="text" w:hAnchor="text" w:xAlign="center" w:y="1"/>
              <w:ind w:left="57"/>
              <w:jc w:val="center"/>
              <w:rPr>
                <w:lang w:val="en-US"/>
              </w:rPr>
            </w:pPr>
            <w:r>
              <w:rPr>
                <w:lang w:val="en-US"/>
              </w:rPr>
              <w:t>40 off nadir</w:t>
            </w:r>
            <w:r>
              <w:rPr>
                <w:lang w:val="en-US"/>
              </w:rPr>
              <w:br/>
              <w:t>(rotating 6 r.p.m.)</w:t>
            </w:r>
          </w:p>
        </w:tc>
      </w:tr>
      <w:tr w:rsidR="00B9359B">
        <w:tc>
          <w:tcPr>
            <w:tcW w:w="4876" w:type="dxa"/>
            <w:vAlign w:val="bottom"/>
          </w:tcPr>
          <w:p w:rsidR="00B9359B" w:rsidRDefault="009A5268">
            <w:pPr>
              <w:pStyle w:val="Tabletext"/>
              <w:framePr w:hSpace="181" w:wrap="notBeside" w:vAnchor="text" w:hAnchor="text" w:xAlign="center" w:y="1"/>
              <w:ind w:left="57"/>
              <w:rPr>
                <w:rFonts w:eastAsia="Arial Unicode MS"/>
                <w:lang w:val="en-US"/>
              </w:rPr>
            </w:pPr>
            <w:r>
              <w:rPr>
                <w:lang w:val="en-US"/>
              </w:rPr>
              <w:t>Swath width (km)</w:t>
            </w:r>
          </w:p>
        </w:tc>
        <w:tc>
          <w:tcPr>
            <w:tcW w:w="2495" w:type="dxa"/>
            <w:vAlign w:val="bottom"/>
          </w:tcPr>
          <w:p w:rsidR="00B9359B" w:rsidRDefault="009A5268">
            <w:pPr>
              <w:pStyle w:val="Tabletext"/>
              <w:framePr w:hSpace="181" w:wrap="notBeside" w:vAnchor="text" w:hAnchor="text" w:xAlign="center" w:y="1"/>
              <w:ind w:left="57"/>
              <w:jc w:val="center"/>
              <w:rPr>
                <w:rFonts w:eastAsia="Arial Unicode MS"/>
                <w:lang w:val="en-US"/>
              </w:rPr>
            </w:pPr>
            <w:r>
              <w:rPr>
                <w:lang w:val="en-US"/>
              </w:rPr>
              <w:t>620</w:t>
            </w:r>
          </w:p>
        </w:tc>
        <w:tc>
          <w:tcPr>
            <w:tcW w:w="2325" w:type="dxa"/>
            <w:vAlign w:val="bottom"/>
          </w:tcPr>
          <w:p w:rsidR="00B9359B" w:rsidRDefault="009A5268">
            <w:pPr>
              <w:pStyle w:val="Tabletext"/>
              <w:framePr w:hSpace="181" w:wrap="notBeside" w:vAnchor="text" w:hAnchor="text" w:xAlign="center" w:y="1"/>
              <w:ind w:left="57"/>
              <w:jc w:val="center"/>
              <w:rPr>
                <w:rFonts w:eastAsia="Arial Unicode MS"/>
                <w:lang w:val="en-US"/>
              </w:rPr>
            </w:pPr>
            <w:r>
              <w:rPr>
                <w:lang w:val="en-US"/>
              </w:rPr>
              <w:t>45</w:t>
            </w:r>
          </w:p>
        </w:tc>
      </w:tr>
    </w:tbl>
    <w:p w:rsidR="00B9359B" w:rsidRDefault="00B9359B">
      <w:pPr>
        <w:pStyle w:val="Tablefin"/>
      </w:pPr>
    </w:p>
    <w:p w:rsidR="00B9359B" w:rsidRDefault="00AB52AF">
      <w:pPr>
        <w:pStyle w:val="FigureNo"/>
        <w:spacing w:before="120" w:after="0"/>
      </w:pPr>
      <w:r>
        <w:pict>
          <v:shape id="_x0000_i1039" type="#_x0000_t75" style="width:291.2pt;height:267.05pt">
            <v:imagedata r:id="rId31" o:title=""/>
          </v:shape>
        </w:pict>
      </w:r>
    </w:p>
    <w:p w:rsidR="00B9359B" w:rsidRDefault="009A5268">
      <w:pPr>
        <w:pStyle w:val="FigureNo"/>
        <w:spacing w:before="0" w:after="0"/>
      </w:pPr>
      <w:r>
        <w:br w:type="page"/>
      </w:r>
      <w:r>
        <w:object w:dxaOrig="7517" w:dyaOrig="7739">
          <v:shape id="_x0000_i1040" type="#_x0000_t75" style="width:375.05pt;height:386.35pt" o:ole="">
            <v:imagedata r:id="rId32" o:title=""/>
          </v:shape>
          <o:OLEObject Type="Embed" ProgID="Designer.Drawing.7" ShapeID="_x0000_i1040" DrawAspect="Content" ObjectID="_1629894561" r:id="rId33"/>
        </w:object>
      </w:r>
    </w:p>
    <w:p w:rsidR="00B9359B" w:rsidRDefault="009A5268">
      <w:pPr>
        <w:pStyle w:val="Heading1"/>
        <w:rPr>
          <w:lang w:val="en-US"/>
        </w:rPr>
      </w:pPr>
      <w:bookmarkStart w:id="78" w:name="_Toc51045477"/>
      <w:r>
        <w:rPr>
          <w:lang w:val="en-US"/>
        </w:rPr>
        <w:t>2</w:t>
      </w:r>
      <w:r>
        <w:rPr>
          <w:lang w:val="en-US"/>
        </w:rPr>
        <w:tab/>
        <w:t>Radiolocation service</w:t>
      </w:r>
      <w:bookmarkEnd w:id="78"/>
    </w:p>
    <w:p w:rsidR="00B9359B" w:rsidRDefault="009A5268">
      <w:pPr>
        <w:pStyle w:val="Heading2"/>
        <w:rPr>
          <w:lang w:val="en-US"/>
        </w:rPr>
      </w:pPr>
      <w:bookmarkStart w:id="79" w:name="_Toc51045478"/>
      <w:r>
        <w:rPr>
          <w:lang w:val="en-US"/>
        </w:rPr>
        <w:t>2.1</w:t>
      </w:r>
      <w:r>
        <w:rPr>
          <w:lang w:val="en-US"/>
        </w:rPr>
        <w:tab/>
        <w:t>Allocated transmit band</w:t>
      </w:r>
      <w:bookmarkEnd w:id="79"/>
    </w:p>
    <w:p w:rsidR="00B9359B" w:rsidRDefault="009A5268">
      <w:pPr>
        <w:rPr>
          <w:lang w:val="en-US"/>
        </w:rPr>
      </w:pPr>
      <w:r>
        <w:rPr>
          <w:lang w:val="en-US"/>
        </w:rPr>
        <w:t>The active service band is the radiolocation band 1</w:t>
      </w:r>
      <w:r>
        <w:rPr>
          <w:rFonts w:ascii="Tms Rmn" w:hAnsi="Tms Rmn"/>
          <w:sz w:val="12"/>
          <w:lang w:val="en-US"/>
        </w:rPr>
        <w:t> </w:t>
      </w:r>
      <w:r>
        <w:rPr>
          <w:lang w:val="en-US"/>
        </w:rPr>
        <w:t>350-1</w:t>
      </w:r>
      <w:r>
        <w:rPr>
          <w:rFonts w:ascii="Tms Rmn" w:hAnsi="Tms Rmn"/>
          <w:sz w:val="12"/>
          <w:lang w:val="en-US"/>
        </w:rPr>
        <w:t> </w:t>
      </w:r>
      <w:r>
        <w:rPr>
          <w:lang w:val="en-US"/>
        </w:rPr>
        <w:t>400 MHz.</w:t>
      </w:r>
    </w:p>
    <w:p w:rsidR="00B9359B" w:rsidRDefault="009A5268">
      <w:pPr>
        <w:pStyle w:val="Heading2"/>
        <w:rPr>
          <w:lang w:val="en-US"/>
        </w:rPr>
      </w:pPr>
      <w:bookmarkStart w:id="80" w:name="_Toc51045479"/>
      <w:r>
        <w:rPr>
          <w:lang w:val="en-US"/>
        </w:rPr>
        <w:t>2.2</w:t>
      </w:r>
      <w:r>
        <w:rPr>
          <w:lang w:val="en-US"/>
        </w:rPr>
        <w:tab/>
        <w:t>Application</w:t>
      </w:r>
      <w:bookmarkEnd w:id="80"/>
    </w:p>
    <w:p w:rsidR="00B9359B" w:rsidRDefault="009A5268">
      <w:pPr>
        <w:rPr>
          <w:lang w:val="en-US"/>
        </w:rPr>
      </w:pPr>
      <w:r>
        <w:rPr>
          <w:lang w:val="en-US"/>
        </w:rPr>
        <w:t xml:space="preserve">The set of radar characteristics that are taken into account in this compatibility analysis are derived from Recommendation ITU-R M.1463 </w:t>
      </w:r>
      <w:r>
        <w:sym w:font="Symbol" w:char="F02D"/>
      </w:r>
      <w:r>
        <w:rPr>
          <w:lang w:val="en-US"/>
        </w:rPr>
        <w:t xml:space="preserve"> Characteristics of and protection criteria for radars operating in the radiodetermination service in the frequency band 1</w:t>
      </w:r>
      <w:r>
        <w:rPr>
          <w:rFonts w:ascii="Tms Rmn" w:hAnsi="Tms Rmn"/>
          <w:sz w:val="12"/>
          <w:lang w:val="en-US"/>
        </w:rPr>
        <w:t> </w:t>
      </w:r>
      <w:r>
        <w:rPr>
          <w:lang w:val="en-US"/>
        </w:rPr>
        <w:t>215-1</w:t>
      </w:r>
      <w:r>
        <w:rPr>
          <w:rFonts w:ascii="Tms Rmn" w:hAnsi="Tms Rmn"/>
          <w:sz w:val="12"/>
          <w:lang w:val="en-US"/>
        </w:rPr>
        <w:t> </w:t>
      </w:r>
      <w:r>
        <w:rPr>
          <w:lang w:val="en-US"/>
        </w:rPr>
        <w:t>400 MHz.</w:t>
      </w:r>
    </w:p>
    <w:p w:rsidR="00B9359B" w:rsidRDefault="009A5268">
      <w:pPr>
        <w:pStyle w:val="Heading2"/>
        <w:rPr>
          <w:lang w:val="en-US"/>
        </w:rPr>
      </w:pPr>
      <w:bookmarkStart w:id="81" w:name="_Toc51045480"/>
      <w:r>
        <w:rPr>
          <w:lang w:val="en-US"/>
        </w:rPr>
        <w:t>2.3</w:t>
      </w:r>
      <w:r>
        <w:rPr>
          <w:lang w:val="en-US"/>
        </w:rPr>
        <w:tab/>
        <w:t>Levels based on ITU-R provisions and Recommendations</w:t>
      </w:r>
      <w:bookmarkEnd w:id="81"/>
    </w:p>
    <w:p w:rsidR="00B9359B" w:rsidRDefault="009A5268">
      <w:pPr>
        <w:pStyle w:val="Heading3"/>
        <w:rPr>
          <w:lang w:val="en-US"/>
        </w:rPr>
      </w:pPr>
      <w:bookmarkStart w:id="82" w:name="_Toc51045481"/>
      <w:r>
        <w:rPr>
          <w:lang w:val="en-US"/>
        </w:rPr>
        <w:t>2.3.1</w:t>
      </w:r>
      <w:r>
        <w:rPr>
          <w:lang w:val="en-US"/>
        </w:rPr>
        <w:tab/>
        <w:t>RR No. 1.153</w:t>
      </w:r>
      <w:bookmarkEnd w:id="82"/>
    </w:p>
    <w:p w:rsidR="00B9359B" w:rsidRDefault="009A5268">
      <w:pPr>
        <w:rPr>
          <w:lang w:val="en-US"/>
        </w:rPr>
      </w:pPr>
      <w:r>
        <w:rPr>
          <w:lang w:val="en-US"/>
        </w:rPr>
        <w:t xml:space="preserve">The RR define </w:t>
      </w:r>
      <w:r>
        <w:rPr>
          <w:i/>
          <w:lang w:val="en-US"/>
        </w:rPr>
        <w:t>occupied</w:t>
      </w:r>
      <w:r>
        <w:rPr>
          <w:lang w:val="en-US"/>
        </w:rPr>
        <w:t xml:space="preserve"> </w:t>
      </w:r>
      <w:r>
        <w:rPr>
          <w:i/>
          <w:lang w:val="en-US"/>
        </w:rPr>
        <w:t>bandwidth</w:t>
      </w:r>
      <w:r>
        <w:rPr>
          <w:lang w:val="en-US"/>
        </w:rPr>
        <w:t xml:space="preserve"> as follows:</w:t>
      </w:r>
    </w:p>
    <w:p w:rsidR="00B9359B" w:rsidRDefault="009A5268">
      <w:pPr>
        <w:rPr>
          <w:lang w:val="en-US"/>
        </w:rPr>
      </w:pPr>
      <w:r>
        <w:rPr>
          <w:lang w:val="en-US"/>
        </w:rPr>
        <w:t>“</w:t>
      </w:r>
      <w:r>
        <w:rPr>
          <w:b/>
          <w:bCs/>
          <w:lang w:val="en-US"/>
        </w:rPr>
        <w:t>1.153</w:t>
      </w:r>
      <w:r>
        <w:rPr>
          <w:lang w:val="en-US"/>
        </w:rPr>
        <w:t>   </w:t>
      </w:r>
      <w:r>
        <w:rPr>
          <w:i/>
          <w:lang w:val="en-US"/>
        </w:rPr>
        <w:t>occupied bandwidth</w:t>
      </w:r>
      <w:r>
        <w:rPr>
          <w:i/>
          <w:iCs/>
          <w:lang w:val="en-US"/>
        </w:rPr>
        <w:t>:</w:t>
      </w:r>
      <w:r>
        <w:rPr>
          <w:lang w:val="en-US"/>
        </w:rPr>
        <w:t xml:space="preserve">   The width of a frequency band such that, below the lower and above the upper frequency limits, the </w:t>
      </w:r>
      <w:r>
        <w:rPr>
          <w:i/>
          <w:lang w:val="en-US"/>
        </w:rPr>
        <w:t>mean powers</w:t>
      </w:r>
      <w:r>
        <w:rPr>
          <w:lang w:val="en-US"/>
        </w:rPr>
        <w:t xml:space="preserve"> emitted are each equal to a specified percentage </w:t>
      </w:r>
      <w:r>
        <w:rPr>
          <w:rFonts w:ascii="Symbol" w:hAnsi="Symbol"/>
        </w:rPr>
        <w:t></w:t>
      </w:r>
      <w:r>
        <w:rPr>
          <w:lang w:val="en-US"/>
        </w:rPr>
        <w:t xml:space="preserve">/2 of the total </w:t>
      </w:r>
      <w:r>
        <w:rPr>
          <w:i/>
          <w:lang w:val="en-US"/>
        </w:rPr>
        <w:t>mean power</w:t>
      </w:r>
      <w:r>
        <w:rPr>
          <w:lang w:val="en-US"/>
        </w:rPr>
        <w:t xml:space="preserve"> of a given </w:t>
      </w:r>
      <w:r>
        <w:rPr>
          <w:i/>
          <w:lang w:val="en-US"/>
        </w:rPr>
        <w:t>emission</w:t>
      </w:r>
      <w:r>
        <w:rPr>
          <w:lang w:val="en-US"/>
        </w:rPr>
        <w:t>.</w:t>
      </w:r>
    </w:p>
    <w:p w:rsidR="00B9359B" w:rsidRDefault="009A5268">
      <w:pPr>
        <w:rPr>
          <w:lang w:val="en-US"/>
        </w:rPr>
      </w:pPr>
      <w:r>
        <w:rPr>
          <w:lang w:val="en-US"/>
        </w:rPr>
        <w:tab/>
        <w:t xml:space="preserve">Unless otherwise specified in an ITU-R Recommendation for the appropriate </w:t>
      </w:r>
      <w:r>
        <w:rPr>
          <w:i/>
          <w:lang w:val="en-US"/>
        </w:rPr>
        <w:t>class of emission</w:t>
      </w:r>
      <w:r>
        <w:rPr>
          <w:lang w:val="en-US"/>
        </w:rPr>
        <w:t xml:space="preserve">, the value of </w:t>
      </w:r>
      <w:r>
        <w:rPr>
          <w:rFonts w:ascii="Symbol" w:hAnsi="Symbol"/>
        </w:rPr>
        <w:t></w:t>
      </w:r>
      <w:r>
        <w:rPr>
          <w:lang w:val="en-US"/>
        </w:rPr>
        <w:t>/2 should be taken as 0.5%.”</w:t>
      </w:r>
    </w:p>
    <w:p w:rsidR="00B9359B" w:rsidRDefault="009A5268">
      <w:pPr>
        <w:rPr>
          <w:lang w:val="en-US"/>
        </w:rPr>
      </w:pPr>
      <w:r>
        <w:rPr>
          <w:lang w:val="en-US"/>
        </w:rPr>
        <w:br w:type="page"/>
        <w:t xml:space="preserve">If the upper edge of the occupied bandwidth were at or below the upper limit of the radiolocation allocation, the total power of unwanted emissions at frequencies above the allocated bandwidth would be no greater than 0.5% of </w:t>
      </w:r>
      <w:r>
        <w:rPr>
          <w:i/>
          <w:lang w:val="en-US"/>
        </w:rPr>
        <w:t>P</w:t>
      </w:r>
      <w:r>
        <w:rPr>
          <w:lang w:val="en-US"/>
        </w:rPr>
        <w:t xml:space="preserve">, where </w:t>
      </w:r>
      <w:r>
        <w:rPr>
          <w:i/>
          <w:lang w:val="en-US"/>
        </w:rPr>
        <w:t>P</w:t>
      </w:r>
      <w:r>
        <w:rPr>
          <w:lang w:val="en-US"/>
        </w:rPr>
        <w:t xml:space="preserve"> is the in-band power. Therefore, the total power of unwanted emission at frequencies in the EESS band and above is no greater than </w:t>
      </w:r>
      <w:r>
        <w:rPr>
          <w:i/>
          <w:lang w:val="en-US"/>
        </w:rPr>
        <w:t>P</w:t>
      </w:r>
      <w:r>
        <w:rPr>
          <w:lang w:val="en-US"/>
        </w:rPr>
        <w:t> </w:t>
      </w:r>
      <w:r>
        <w:sym w:font="Symbol" w:char="F02D"/>
      </w:r>
      <w:r>
        <w:rPr>
          <w:lang w:val="en-US"/>
        </w:rPr>
        <w:t> 23 dB.</w:t>
      </w:r>
    </w:p>
    <w:p w:rsidR="00B9359B" w:rsidRDefault="009A5268">
      <w:pPr>
        <w:pStyle w:val="Heading3"/>
        <w:rPr>
          <w:lang w:val="en-US"/>
        </w:rPr>
      </w:pPr>
      <w:bookmarkStart w:id="83" w:name="_Toc51045482"/>
      <w:r>
        <w:rPr>
          <w:lang w:val="en-US"/>
        </w:rPr>
        <w:t>2.3.2</w:t>
      </w:r>
      <w:r>
        <w:rPr>
          <w:lang w:val="en-US"/>
        </w:rPr>
        <w:tab/>
        <w:t>Recommendation ITU-R SM.1541</w:t>
      </w:r>
      <w:bookmarkEnd w:id="83"/>
    </w:p>
    <w:p w:rsidR="00B9359B" w:rsidRDefault="009A5268">
      <w:pPr>
        <w:rPr>
          <w:lang w:val="en-US"/>
        </w:rPr>
      </w:pPr>
      <w:r>
        <w:rPr>
          <w:lang w:val="en-US"/>
        </w:rPr>
        <w:t xml:space="preserve">Annex 8 of Recommendation ITU-R SM.1541 specifies a generic mask for OoB emissions for primary radars. This is repeated below as a segmented relationship. The dependent variable </w:t>
      </w:r>
      <w:r>
        <w:rPr>
          <w:i/>
          <w:iCs/>
          <w:lang w:val="en-US"/>
        </w:rPr>
        <w:t>F</w:t>
      </w:r>
      <w:r>
        <w:rPr>
          <w:lang w:val="en-US"/>
        </w:rPr>
        <w:t xml:space="preserve"> is the frequency offset from band centre as a percent of the </w:t>
      </w:r>
      <w:r>
        <w:sym w:font="Symbol" w:char="F02D"/>
      </w:r>
      <w:r>
        <w:rPr>
          <w:lang w:val="en-US"/>
        </w:rPr>
        <w:t>40 dB bandwidth of the radar, as illustrated in Fig. 8.</w:t>
      </w:r>
    </w:p>
    <w:p w:rsidR="00B9359B" w:rsidRDefault="009A5268">
      <w:pPr>
        <w:pStyle w:val="Equationlegend"/>
      </w:pPr>
      <w:r>
        <w:rPr>
          <w:b/>
        </w:rPr>
        <w:tab/>
      </w:r>
      <w:r>
        <w:rPr>
          <w:bCs/>
          <w:i/>
          <w:iCs/>
        </w:rPr>
        <w:t>F</w:t>
      </w:r>
      <w:r>
        <w:rPr>
          <w:rFonts w:ascii="Tms Rmn" w:hAnsi="Tms Rmn"/>
          <w:bCs/>
          <w:sz w:val="12"/>
        </w:rPr>
        <w:t> </w:t>
      </w:r>
      <w:r>
        <w:t>:</w:t>
      </w:r>
      <w:r>
        <w:tab/>
        <w:t>frequency offset from band centre as a per cent of the –</w:t>
      </w:r>
      <w:r>
        <w:rPr>
          <w:sz w:val="4"/>
        </w:rPr>
        <w:t> </w:t>
      </w:r>
      <w:r>
        <w:t>40 dB bandwidth of the radar.</w:t>
      </w:r>
    </w:p>
    <w:p w:rsidR="00B9359B" w:rsidRDefault="009A5268">
      <w:pPr>
        <w:pStyle w:val="Equationlegend"/>
      </w:pPr>
      <w:r>
        <w:rPr>
          <w:b/>
        </w:rPr>
        <w:tab/>
      </w:r>
      <w:r>
        <w:rPr>
          <w:bCs/>
        </w:rPr>
        <w:t>dBpp</w:t>
      </w:r>
      <w:r>
        <w:rPr>
          <w:rFonts w:ascii="Tms Rmn" w:hAnsi="Tms Rmn"/>
          <w:bCs/>
          <w:sz w:val="12"/>
        </w:rPr>
        <w:t> </w:t>
      </w:r>
      <w:r>
        <w:t>:</w:t>
      </w:r>
      <w:r>
        <w:tab/>
        <w:t>decibels relative to the maximum value of the peak power, measured with the reference bandwidth within the occupied bandwidth.</w:t>
      </w:r>
    </w:p>
    <w:p w:rsidR="00B9359B" w:rsidRDefault="009A5268">
      <w:pPr>
        <w:rPr>
          <w:lang w:val="en-US"/>
        </w:rPr>
      </w:pPr>
      <w:r>
        <w:rPr>
          <w:lang w:val="en-US"/>
        </w:rPr>
        <w:t>It provides the minimum attenuation for OoB emission power, within a reference bandwidth, relative to the in-band peak power.</w:t>
      </w:r>
    </w:p>
    <w:p w:rsidR="00B9359B" w:rsidRDefault="00AB52AF">
      <w:pPr>
        <w:pStyle w:val="FigureNo"/>
      </w:pPr>
      <w:r>
        <w:pict>
          <v:shape id="_x0000_i1041" type="#_x0000_t75" style="width:325.6pt;height:265.95pt">
            <v:imagedata r:id="rId34" o:title=""/>
          </v:shape>
        </w:pict>
      </w:r>
    </w:p>
    <w:p w:rsidR="00B9359B" w:rsidRDefault="009A5268">
      <w:pPr>
        <w:pStyle w:val="Heading2"/>
        <w:rPr>
          <w:lang w:val="en-US"/>
        </w:rPr>
      </w:pPr>
      <w:bookmarkStart w:id="84" w:name="_Toc51045483"/>
      <w:r>
        <w:rPr>
          <w:lang w:val="en-US"/>
        </w:rPr>
        <w:t>2.4</w:t>
      </w:r>
      <w:r>
        <w:rPr>
          <w:lang w:val="en-US"/>
        </w:rPr>
        <w:tab/>
        <w:t>Transmitter characteristics</w:t>
      </w:r>
      <w:bookmarkEnd w:id="84"/>
    </w:p>
    <w:p w:rsidR="00B9359B" w:rsidRDefault="009A5268">
      <w:pPr>
        <w:rPr>
          <w:lang w:val="en-US"/>
        </w:rPr>
      </w:pPr>
      <w:r>
        <w:rPr>
          <w:lang w:val="en-US"/>
        </w:rPr>
        <w:t>The transmitter characteristics are described in Table 8. This Table has been extracted from Recom</w:t>
      </w:r>
      <w:r>
        <w:rPr>
          <w:lang w:val="en-US"/>
        </w:rPr>
        <w:softHyphen/>
        <w:t>mendation ITU</w:t>
      </w:r>
      <w:r>
        <w:rPr>
          <w:lang w:val="en-US"/>
        </w:rPr>
        <w:noBreakHyphen/>
        <w:t>R M.1463.</w:t>
      </w:r>
    </w:p>
    <w:p w:rsidR="00B9359B" w:rsidRDefault="009A5268">
      <w:pPr>
        <w:pStyle w:val="Heading2"/>
        <w:rPr>
          <w:lang w:val="en-US"/>
        </w:rPr>
      </w:pPr>
      <w:bookmarkStart w:id="85" w:name="_Toc51045484"/>
      <w:r>
        <w:rPr>
          <w:lang w:val="en-US"/>
        </w:rPr>
        <w:t>2.5</w:t>
      </w:r>
      <w:r>
        <w:rPr>
          <w:lang w:val="en-US"/>
        </w:rPr>
        <w:tab/>
        <w:t>Operational characteristics</w:t>
      </w:r>
      <w:bookmarkEnd w:id="85"/>
    </w:p>
    <w:p w:rsidR="00B9359B" w:rsidRDefault="009A5268">
      <w:pPr>
        <w:rPr>
          <w:lang w:val="en-US"/>
        </w:rPr>
      </w:pPr>
      <w:r>
        <w:rPr>
          <w:lang w:val="en-US"/>
        </w:rPr>
        <w:t>See Table 8.</w:t>
      </w:r>
    </w:p>
    <w:p w:rsidR="00B9359B" w:rsidRDefault="009A5268">
      <w:pPr>
        <w:pStyle w:val="Heading2"/>
        <w:rPr>
          <w:lang w:val="en-US"/>
        </w:rPr>
      </w:pPr>
      <w:bookmarkStart w:id="86" w:name="_Toc51045485"/>
      <w:r>
        <w:rPr>
          <w:lang w:val="en-US"/>
        </w:rPr>
        <w:br w:type="page"/>
        <w:t>2.6</w:t>
      </w:r>
      <w:r>
        <w:rPr>
          <w:lang w:val="en-US"/>
        </w:rPr>
        <w:tab/>
        <w:t>In-band transmit level</w:t>
      </w:r>
      <w:bookmarkEnd w:id="86"/>
    </w:p>
    <w:p w:rsidR="00B9359B" w:rsidRDefault="009A5268">
      <w:pPr>
        <w:rPr>
          <w:lang w:val="en-US"/>
        </w:rPr>
      </w:pPr>
      <w:r>
        <w:rPr>
          <w:lang w:val="en-US"/>
        </w:rPr>
        <w:t>See Table 8.</w:t>
      </w:r>
    </w:p>
    <w:p w:rsidR="00B9359B" w:rsidRDefault="009A5268">
      <w:pPr>
        <w:pStyle w:val="TableNo"/>
        <w:rPr>
          <w:lang w:val="en-US"/>
        </w:rPr>
      </w:pPr>
      <w:r>
        <w:rPr>
          <w:lang w:val="en-US"/>
        </w:rPr>
        <w:t>TABLE  8</w:t>
      </w:r>
    </w:p>
    <w:p w:rsidR="00B9359B" w:rsidRDefault="009A5268">
      <w:pPr>
        <w:pStyle w:val="Tabletitle"/>
        <w:rPr>
          <w:lang w:val="en-US"/>
        </w:rPr>
      </w:pPr>
      <w:r>
        <w:rPr>
          <w:lang w:val="en-US"/>
        </w:rPr>
        <w:t>1</w:t>
      </w:r>
      <w:r>
        <w:rPr>
          <w:rFonts w:ascii="Tms Rmn" w:hAnsi="Tms Rmn"/>
          <w:sz w:val="12"/>
          <w:lang w:val="en-US"/>
        </w:rPr>
        <w:t> </w:t>
      </w:r>
      <w:r>
        <w:rPr>
          <w:lang w:val="en-US"/>
        </w:rPr>
        <w:t>215-1</w:t>
      </w:r>
      <w:r>
        <w:rPr>
          <w:rFonts w:ascii="Tms Rmn" w:hAnsi="Tms Rmn"/>
          <w:sz w:val="12"/>
          <w:lang w:val="en-US"/>
        </w:rPr>
        <w:t> </w:t>
      </w:r>
      <w:r>
        <w:rPr>
          <w:lang w:val="en-US"/>
        </w:rPr>
        <w:t>400 MHz radiodetermination system characteristics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1757"/>
        <w:gridCol w:w="1843"/>
        <w:gridCol w:w="1871"/>
        <w:gridCol w:w="1871"/>
      </w:tblGrid>
      <w:tr w:rsidR="00B9359B">
        <w:trPr>
          <w:cantSplit/>
        </w:trPr>
        <w:tc>
          <w:tcPr>
            <w:tcW w:w="2381" w:type="dxa"/>
          </w:tcPr>
          <w:p w:rsidR="00B9359B" w:rsidRDefault="009A5268">
            <w:pPr>
              <w:pStyle w:val="Tablehead"/>
              <w:framePr w:hSpace="181" w:wrap="notBeside" w:vAnchor="text" w:hAnchor="text" w:xAlign="center" w:y="1"/>
              <w:spacing w:before="160" w:after="160"/>
              <w:rPr>
                <w:sz w:val="20"/>
                <w:lang w:val="en-US"/>
              </w:rPr>
            </w:pPr>
            <w:r>
              <w:rPr>
                <w:sz w:val="20"/>
                <w:lang w:val="en-US"/>
              </w:rPr>
              <w:t>Parameter</w:t>
            </w:r>
          </w:p>
        </w:tc>
        <w:tc>
          <w:tcPr>
            <w:tcW w:w="1757" w:type="dxa"/>
          </w:tcPr>
          <w:p w:rsidR="00B9359B" w:rsidRDefault="009A5268">
            <w:pPr>
              <w:pStyle w:val="Tablehead"/>
              <w:framePr w:hSpace="181" w:wrap="notBeside" w:vAnchor="text" w:hAnchor="text" w:xAlign="center" w:y="1"/>
              <w:spacing w:before="160" w:after="160"/>
              <w:rPr>
                <w:sz w:val="20"/>
                <w:lang w:val="en-US"/>
              </w:rPr>
            </w:pPr>
            <w:r>
              <w:rPr>
                <w:sz w:val="20"/>
                <w:lang w:val="en-US"/>
              </w:rPr>
              <w:t>System 1</w:t>
            </w:r>
          </w:p>
        </w:tc>
        <w:tc>
          <w:tcPr>
            <w:tcW w:w="1843" w:type="dxa"/>
          </w:tcPr>
          <w:p w:rsidR="00B9359B" w:rsidRDefault="009A5268">
            <w:pPr>
              <w:pStyle w:val="Tablehead"/>
              <w:framePr w:hSpace="181" w:wrap="notBeside" w:vAnchor="text" w:hAnchor="text" w:xAlign="center" w:y="1"/>
              <w:spacing w:before="160" w:after="160"/>
              <w:rPr>
                <w:sz w:val="20"/>
                <w:lang w:val="en-US"/>
              </w:rPr>
            </w:pPr>
            <w:r>
              <w:rPr>
                <w:sz w:val="20"/>
                <w:lang w:val="en-US"/>
              </w:rPr>
              <w:t>System 2</w:t>
            </w:r>
          </w:p>
        </w:tc>
        <w:tc>
          <w:tcPr>
            <w:tcW w:w="1871" w:type="dxa"/>
          </w:tcPr>
          <w:p w:rsidR="00B9359B" w:rsidRDefault="009A5268">
            <w:pPr>
              <w:pStyle w:val="Tablehead"/>
              <w:framePr w:hSpace="181" w:wrap="notBeside" w:vAnchor="text" w:hAnchor="text" w:xAlign="center" w:y="1"/>
              <w:spacing w:before="160" w:after="160"/>
              <w:rPr>
                <w:sz w:val="20"/>
                <w:lang w:val="en-US"/>
              </w:rPr>
            </w:pPr>
            <w:r>
              <w:rPr>
                <w:sz w:val="20"/>
                <w:lang w:val="en-US"/>
              </w:rPr>
              <w:t>System 3</w:t>
            </w:r>
          </w:p>
        </w:tc>
        <w:tc>
          <w:tcPr>
            <w:tcW w:w="1871" w:type="dxa"/>
          </w:tcPr>
          <w:p w:rsidR="00B9359B" w:rsidRDefault="009A5268">
            <w:pPr>
              <w:pStyle w:val="Tablehead"/>
              <w:framePr w:hSpace="181" w:wrap="notBeside" w:vAnchor="text" w:hAnchor="text" w:xAlign="center" w:y="1"/>
              <w:spacing w:before="160" w:after="160"/>
              <w:rPr>
                <w:sz w:val="20"/>
                <w:lang w:val="en-US"/>
              </w:rPr>
            </w:pPr>
            <w:r>
              <w:rPr>
                <w:sz w:val="20"/>
                <w:lang w:val="en-US"/>
              </w:rPr>
              <w:t>System 4</w:t>
            </w:r>
          </w:p>
        </w:tc>
      </w:tr>
      <w:tr w:rsidR="00B9359B">
        <w:trPr>
          <w:cantSplit/>
        </w:trPr>
        <w:tc>
          <w:tcPr>
            <w:tcW w:w="2381" w:type="dxa"/>
          </w:tcPr>
          <w:p w:rsidR="00B9359B" w:rsidRDefault="009A5268">
            <w:pPr>
              <w:pStyle w:val="Tabletext"/>
              <w:framePr w:hSpace="181" w:wrap="notBeside" w:vAnchor="text" w:hAnchor="text" w:xAlign="center" w:y="1"/>
              <w:spacing w:before="60" w:after="60"/>
              <w:jc w:val="left"/>
              <w:rPr>
                <w:sz w:val="20"/>
                <w:lang w:val="en-US"/>
              </w:rPr>
            </w:pPr>
            <w:r>
              <w:rPr>
                <w:sz w:val="20"/>
                <w:lang w:val="en-US"/>
              </w:rPr>
              <w:t>Peak power into</w:t>
            </w:r>
            <w:r>
              <w:rPr>
                <w:sz w:val="20"/>
                <w:lang w:val="en-US"/>
              </w:rPr>
              <w:br/>
              <w:t>antenna (dBm)</w:t>
            </w:r>
          </w:p>
        </w:tc>
        <w:tc>
          <w:tcPr>
            <w:tcW w:w="1757" w:type="dxa"/>
          </w:tcPr>
          <w:p w:rsidR="00B9359B" w:rsidRDefault="009A5268">
            <w:pPr>
              <w:pStyle w:val="Tabletext"/>
              <w:framePr w:hSpace="181" w:wrap="notBeside" w:vAnchor="text" w:hAnchor="text" w:xAlign="center" w:y="1"/>
              <w:spacing w:before="60" w:after="60"/>
              <w:jc w:val="center"/>
              <w:rPr>
                <w:sz w:val="20"/>
                <w:lang w:val="fr-CH"/>
              </w:rPr>
            </w:pPr>
            <w:r>
              <w:rPr>
                <w:sz w:val="20"/>
                <w:lang w:val="fr-CH"/>
              </w:rPr>
              <w:t>97</w:t>
            </w:r>
          </w:p>
        </w:tc>
        <w:tc>
          <w:tcPr>
            <w:tcW w:w="1843" w:type="dxa"/>
          </w:tcPr>
          <w:p w:rsidR="00B9359B" w:rsidRDefault="009A5268">
            <w:pPr>
              <w:pStyle w:val="Tabletext"/>
              <w:framePr w:hSpace="181" w:wrap="notBeside" w:vAnchor="text" w:hAnchor="text" w:xAlign="center" w:y="1"/>
              <w:spacing w:before="60" w:after="60"/>
              <w:jc w:val="center"/>
              <w:rPr>
                <w:sz w:val="20"/>
                <w:lang w:val="fr-CH"/>
              </w:rPr>
            </w:pPr>
            <w:r>
              <w:rPr>
                <w:sz w:val="20"/>
                <w:lang w:val="fr-CH"/>
              </w:rPr>
              <w:t>80</w:t>
            </w:r>
          </w:p>
        </w:tc>
        <w:tc>
          <w:tcPr>
            <w:tcW w:w="1871" w:type="dxa"/>
          </w:tcPr>
          <w:p w:rsidR="00B9359B" w:rsidRDefault="009A5268">
            <w:pPr>
              <w:pStyle w:val="Tabletext"/>
              <w:framePr w:hSpace="181" w:wrap="notBeside" w:vAnchor="text" w:hAnchor="text" w:xAlign="center" w:y="1"/>
              <w:spacing w:before="60" w:after="60"/>
              <w:jc w:val="center"/>
              <w:rPr>
                <w:sz w:val="20"/>
                <w:lang w:val="fr-CH"/>
              </w:rPr>
            </w:pPr>
            <w:r>
              <w:rPr>
                <w:sz w:val="20"/>
                <w:lang w:val="fr-CH"/>
              </w:rPr>
              <w:t>76.5</w:t>
            </w:r>
          </w:p>
        </w:tc>
        <w:tc>
          <w:tcPr>
            <w:tcW w:w="1871" w:type="dxa"/>
          </w:tcPr>
          <w:p w:rsidR="00B9359B" w:rsidRDefault="009A5268">
            <w:pPr>
              <w:pStyle w:val="Tabletext"/>
              <w:framePr w:hSpace="181" w:wrap="notBeside" w:vAnchor="text" w:hAnchor="text" w:xAlign="center" w:y="1"/>
              <w:spacing w:before="60" w:after="60"/>
              <w:jc w:val="center"/>
              <w:rPr>
                <w:sz w:val="20"/>
                <w:lang w:val="fr-CH"/>
              </w:rPr>
            </w:pPr>
            <w:r>
              <w:rPr>
                <w:sz w:val="20"/>
                <w:lang w:val="fr-CH"/>
              </w:rPr>
              <w:t>80</w:t>
            </w:r>
          </w:p>
        </w:tc>
      </w:tr>
      <w:tr w:rsidR="00B9359B" w:rsidRPr="00D35B94">
        <w:trPr>
          <w:cantSplit/>
        </w:trPr>
        <w:tc>
          <w:tcPr>
            <w:tcW w:w="2381" w:type="dxa"/>
          </w:tcPr>
          <w:p w:rsidR="00B9359B" w:rsidRDefault="009A5268">
            <w:pPr>
              <w:pStyle w:val="Tabletext"/>
              <w:framePr w:hSpace="181" w:wrap="notBeside" w:vAnchor="text" w:hAnchor="text" w:xAlign="center" w:y="1"/>
              <w:spacing w:before="60" w:after="60"/>
              <w:jc w:val="left"/>
              <w:rPr>
                <w:sz w:val="20"/>
                <w:lang w:val="fr-CH"/>
              </w:rPr>
            </w:pPr>
            <w:r>
              <w:rPr>
                <w:sz w:val="20"/>
                <w:lang w:val="fr-CH"/>
              </w:rPr>
              <w:t>Pulse duration (</w:t>
            </w:r>
            <w:r>
              <w:rPr>
                <w:rFonts w:ascii="Symbol" w:hAnsi="Symbol"/>
                <w:sz w:val="20"/>
              </w:rPr>
              <w:t></w:t>
            </w:r>
            <w:r>
              <w:rPr>
                <w:sz w:val="20"/>
                <w:lang w:val="fr-CH"/>
              </w:rPr>
              <w:t>s)</w:t>
            </w:r>
          </w:p>
        </w:tc>
        <w:tc>
          <w:tcPr>
            <w:tcW w:w="1757"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2</w:t>
            </w:r>
          </w:p>
        </w:tc>
        <w:tc>
          <w:tcPr>
            <w:tcW w:w="1843"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88.8; 58.8</w:t>
            </w:r>
            <w:r>
              <w:rPr>
                <w:sz w:val="20"/>
                <w:vertAlign w:val="superscript"/>
                <w:lang w:val="en-US"/>
              </w:rPr>
              <w:t xml:space="preserve"> (1)</w:t>
            </w:r>
          </w:p>
        </w:tc>
        <w:tc>
          <w:tcPr>
            <w:tcW w:w="1871"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0.4; 102.4; 409.6</w:t>
            </w:r>
            <w:r>
              <w:rPr>
                <w:sz w:val="20"/>
                <w:vertAlign w:val="superscript"/>
                <w:lang w:val="en-US"/>
              </w:rPr>
              <w:t xml:space="preserve"> (2)</w:t>
            </w:r>
          </w:p>
        </w:tc>
        <w:tc>
          <w:tcPr>
            <w:tcW w:w="1871"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39 single frequency</w:t>
            </w:r>
            <w:r>
              <w:rPr>
                <w:sz w:val="20"/>
                <w:lang w:val="en-US"/>
              </w:rPr>
              <w:br/>
              <w:t>26 and 13 dual frequency</w:t>
            </w:r>
            <w:r>
              <w:rPr>
                <w:sz w:val="20"/>
                <w:vertAlign w:val="superscript"/>
                <w:lang w:val="en-US"/>
              </w:rPr>
              <w:t xml:space="preserve"> (3)</w:t>
            </w:r>
          </w:p>
        </w:tc>
      </w:tr>
      <w:tr w:rsidR="00B9359B">
        <w:trPr>
          <w:cantSplit/>
        </w:trPr>
        <w:tc>
          <w:tcPr>
            <w:tcW w:w="2381" w:type="dxa"/>
          </w:tcPr>
          <w:p w:rsidR="00B9359B" w:rsidRDefault="009A5268">
            <w:pPr>
              <w:pStyle w:val="Tabletext"/>
              <w:framePr w:hSpace="181" w:wrap="notBeside" w:vAnchor="text" w:hAnchor="text" w:xAlign="center" w:y="1"/>
              <w:spacing w:before="60" w:after="60"/>
              <w:jc w:val="left"/>
              <w:rPr>
                <w:sz w:val="20"/>
                <w:lang w:val="en-US"/>
              </w:rPr>
            </w:pPr>
            <w:r>
              <w:rPr>
                <w:sz w:val="20"/>
                <w:lang w:val="en-US"/>
              </w:rPr>
              <w:t>Pulse repetition rate (pps)</w:t>
            </w:r>
          </w:p>
        </w:tc>
        <w:tc>
          <w:tcPr>
            <w:tcW w:w="1757"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310-380</w:t>
            </w:r>
            <w:r>
              <w:rPr>
                <w:sz w:val="20"/>
                <w:lang w:val="en-US"/>
              </w:rPr>
              <w:br/>
              <w:t>staggered</w:t>
            </w:r>
          </w:p>
        </w:tc>
        <w:tc>
          <w:tcPr>
            <w:tcW w:w="1843"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291.5 or 312.5</w:t>
            </w:r>
            <w:r>
              <w:rPr>
                <w:sz w:val="20"/>
                <w:lang w:val="en-US"/>
              </w:rPr>
              <w:br/>
              <w:t>average</w:t>
            </w:r>
          </w:p>
        </w:tc>
        <w:tc>
          <w:tcPr>
            <w:tcW w:w="1871"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200-272 long range</w:t>
            </w:r>
          </w:p>
          <w:p w:rsidR="00B9359B" w:rsidRDefault="009A5268">
            <w:pPr>
              <w:pStyle w:val="Tabletext"/>
              <w:framePr w:hSpace="181" w:wrap="notBeside" w:vAnchor="text" w:hAnchor="text" w:xAlign="center" w:y="1"/>
              <w:spacing w:before="60" w:after="60"/>
              <w:jc w:val="center"/>
              <w:rPr>
                <w:sz w:val="20"/>
                <w:lang w:val="en-US"/>
              </w:rPr>
            </w:pPr>
            <w:r>
              <w:rPr>
                <w:sz w:val="20"/>
                <w:lang w:val="en-US"/>
              </w:rPr>
              <w:t>400-554 short range</w:t>
            </w:r>
          </w:p>
        </w:tc>
        <w:tc>
          <w:tcPr>
            <w:tcW w:w="1871"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774 average</w:t>
            </w:r>
          </w:p>
        </w:tc>
      </w:tr>
      <w:tr w:rsidR="00B9359B">
        <w:trPr>
          <w:cantSplit/>
        </w:trPr>
        <w:tc>
          <w:tcPr>
            <w:tcW w:w="2381" w:type="dxa"/>
          </w:tcPr>
          <w:p w:rsidR="00B9359B" w:rsidRDefault="009A5268">
            <w:pPr>
              <w:pStyle w:val="Tabletext"/>
              <w:framePr w:hSpace="181" w:wrap="notBeside" w:vAnchor="text" w:hAnchor="text" w:xAlign="center" w:y="1"/>
              <w:spacing w:before="60" w:after="60"/>
              <w:jc w:val="left"/>
              <w:rPr>
                <w:sz w:val="20"/>
                <w:lang w:val="en-US"/>
              </w:rPr>
            </w:pPr>
            <w:r>
              <w:rPr>
                <w:sz w:val="20"/>
                <w:lang w:val="en-US"/>
              </w:rPr>
              <w:t>Chirp Bandwidth for frequency modulated (chirped) pulses</w:t>
            </w:r>
          </w:p>
        </w:tc>
        <w:tc>
          <w:tcPr>
            <w:tcW w:w="1757"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Not applicable</w:t>
            </w:r>
          </w:p>
        </w:tc>
        <w:tc>
          <w:tcPr>
            <w:tcW w:w="1843"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770 kHz for both pulse widths</w:t>
            </w:r>
          </w:p>
        </w:tc>
        <w:tc>
          <w:tcPr>
            <w:tcW w:w="1871"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2.5 MHz for</w:t>
            </w:r>
            <w:r>
              <w:rPr>
                <w:sz w:val="20"/>
                <w:lang w:val="en-US"/>
              </w:rPr>
              <w:br/>
              <w:t xml:space="preserve">102.4 </w:t>
            </w:r>
            <w:r>
              <w:rPr>
                <w:rFonts w:ascii="Symbol" w:hAnsi="Symbol"/>
                <w:sz w:val="20"/>
              </w:rPr>
              <w:t></w:t>
            </w:r>
            <w:r>
              <w:rPr>
                <w:sz w:val="20"/>
                <w:lang w:val="en-US"/>
              </w:rPr>
              <w:t>s</w:t>
            </w:r>
          </w:p>
          <w:p w:rsidR="00B9359B" w:rsidRDefault="009A5268">
            <w:pPr>
              <w:pStyle w:val="Tabletext"/>
              <w:framePr w:hSpace="181" w:wrap="notBeside" w:vAnchor="text" w:hAnchor="text" w:xAlign="center" w:y="1"/>
              <w:spacing w:before="60" w:after="60"/>
              <w:jc w:val="center"/>
              <w:rPr>
                <w:sz w:val="20"/>
                <w:lang w:val="en-US"/>
              </w:rPr>
            </w:pPr>
            <w:r>
              <w:rPr>
                <w:sz w:val="20"/>
                <w:lang w:val="en-US"/>
              </w:rPr>
              <w:t xml:space="preserve">625 kHz for </w:t>
            </w:r>
            <w:r>
              <w:rPr>
                <w:sz w:val="20"/>
                <w:lang w:val="en-US"/>
              </w:rPr>
              <w:br/>
              <w:t xml:space="preserve">409.6 </w:t>
            </w:r>
            <w:r>
              <w:rPr>
                <w:rFonts w:ascii="Symbol" w:hAnsi="Symbol"/>
                <w:sz w:val="20"/>
              </w:rPr>
              <w:t></w:t>
            </w:r>
            <w:r>
              <w:rPr>
                <w:sz w:val="20"/>
                <w:lang w:val="en-US"/>
              </w:rPr>
              <w:t>s</w:t>
            </w:r>
          </w:p>
        </w:tc>
        <w:tc>
          <w:tcPr>
            <w:tcW w:w="1871"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Not applicable</w:t>
            </w:r>
          </w:p>
        </w:tc>
      </w:tr>
      <w:tr w:rsidR="00B9359B">
        <w:trPr>
          <w:cantSplit/>
        </w:trPr>
        <w:tc>
          <w:tcPr>
            <w:tcW w:w="2381" w:type="dxa"/>
          </w:tcPr>
          <w:p w:rsidR="00B9359B" w:rsidRDefault="009A5268">
            <w:pPr>
              <w:pStyle w:val="Tabletext"/>
              <w:framePr w:hSpace="181" w:wrap="notBeside" w:vAnchor="text" w:hAnchor="text" w:xAlign="center" w:y="1"/>
              <w:spacing w:before="60" w:after="60"/>
              <w:jc w:val="left"/>
              <w:rPr>
                <w:sz w:val="20"/>
                <w:lang w:val="en-US"/>
              </w:rPr>
            </w:pPr>
            <w:r>
              <w:rPr>
                <w:sz w:val="20"/>
                <w:lang w:val="en-US"/>
              </w:rPr>
              <w:t>Phase-coded sub-pulse</w:t>
            </w:r>
            <w:r>
              <w:rPr>
                <w:sz w:val="20"/>
                <w:lang w:val="en-US"/>
              </w:rPr>
              <w:br/>
              <w:t>width (</w:t>
            </w:r>
            <w:r>
              <w:rPr>
                <w:rFonts w:ascii="Symbol" w:hAnsi="Symbol"/>
                <w:sz w:val="20"/>
              </w:rPr>
              <w:t></w:t>
            </w:r>
            <w:r>
              <w:rPr>
                <w:sz w:val="20"/>
                <w:lang w:val="en-US"/>
              </w:rPr>
              <w:t>s)</w:t>
            </w:r>
          </w:p>
        </w:tc>
        <w:tc>
          <w:tcPr>
            <w:tcW w:w="5471" w:type="dxa"/>
            <w:gridSpan w:val="3"/>
          </w:tcPr>
          <w:p w:rsidR="00B9359B" w:rsidRDefault="009A5268">
            <w:pPr>
              <w:pStyle w:val="Tabletext"/>
              <w:framePr w:hSpace="181" w:wrap="notBeside" w:vAnchor="text" w:hAnchor="text" w:xAlign="center" w:y="1"/>
              <w:spacing w:before="60" w:after="60"/>
              <w:jc w:val="center"/>
              <w:rPr>
                <w:sz w:val="20"/>
                <w:lang w:val="en-US"/>
              </w:rPr>
            </w:pPr>
            <w:r>
              <w:rPr>
                <w:sz w:val="20"/>
                <w:lang w:val="en-US"/>
              </w:rPr>
              <w:t>Not applicable</w:t>
            </w:r>
          </w:p>
        </w:tc>
        <w:tc>
          <w:tcPr>
            <w:tcW w:w="1871"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1</w:t>
            </w:r>
          </w:p>
        </w:tc>
      </w:tr>
      <w:tr w:rsidR="00B9359B">
        <w:trPr>
          <w:cantSplit/>
        </w:trPr>
        <w:tc>
          <w:tcPr>
            <w:tcW w:w="2381" w:type="dxa"/>
          </w:tcPr>
          <w:p w:rsidR="00B9359B" w:rsidRDefault="009A5268">
            <w:pPr>
              <w:pStyle w:val="Tabletext"/>
              <w:framePr w:hSpace="181" w:wrap="notBeside" w:vAnchor="text" w:hAnchor="text" w:xAlign="center" w:y="1"/>
              <w:spacing w:before="60" w:after="60"/>
              <w:jc w:val="left"/>
              <w:rPr>
                <w:sz w:val="20"/>
                <w:lang w:val="en-US"/>
              </w:rPr>
            </w:pPr>
            <w:r>
              <w:rPr>
                <w:sz w:val="20"/>
                <w:lang w:val="en-US"/>
              </w:rPr>
              <w:t>Compression ratio</w:t>
            </w:r>
          </w:p>
        </w:tc>
        <w:tc>
          <w:tcPr>
            <w:tcW w:w="1757"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Not applicable</w:t>
            </w:r>
          </w:p>
        </w:tc>
        <w:tc>
          <w:tcPr>
            <w:tcW w:w="1843"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68.3:1 and 45.2:1</w:t>
            </w:r>
          </w:p>
        </w:tc>
        <w:tc>
          <w:tcPr>
            <w:tcW w:w="1871"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256:1 for both pulses</w:t>
            </w:r>
          </w:p>
        </w:tc>
        <w:tc>
          <w:tcPr>
            <w:tcW w:w="1871" w:type="dxa"/>
          </w:tcPr>
          <w:p w:rsidR="00B9359B" w:rsidRDefault="00B9359B">
            <w:pPr>
              <w:pStyle w:val="Tabletext"/>
              <w:framePr w:hSpace="181" w:wrap="notBeside" w:vAnchor="text" w:hAnchor="text" w:xAlign="center" w:y="1"/>
              <w:spacing w:before="60" w:after="60"/>
              <w:jc w:val="center"/>
              <w:rPr>
                <w:sz w:val="20"/>
                <w:lang w:val="en-US"/>
              </w:rPr>
            </w:pPr>
          </w:p>
        </w:tc>
      </w:tr>
      <w:tr w:rsidR="00B9359B">
        <w:trPr>
          <w:cantSplit/>
        </w:trPr>
        <w:tc>
          <w:tcPr>
            <w:tcW w:w="2381" w:type="dxa"/>
          </w:tcPr>
          <w:p w:rsidR="00B9359B" w:rsidRDefault="009A5268">
            <w:pPr>
              <w:pStyle w:val="Tabletext"/>
              <w:framePr w:hSpace="181" w:wrap="notBeside" w:vAnchor="text" w:hAnchor="text" w:xAlign="center" w:y="1"/>
              <w:spacing w:before="60" w:after="60"/>
              <w:jc w:val="left"/>
              <w:rPr>
                <w:sz w:val="20"/>
                <w:lang w:val="en-US"/>
              </w:rPr>
            </w:pPr>
            <w:r>
              <w:rPr>
                <w:sz w:val="20"/>
                <w:lang w:val="en-US"/>
              </w:rPr>
              <w:t>RF emission bandwidth (3 dB) (MHz)</w:t>
            </w:r>
          </w:p>
        </w:tc>
        <w:tc>
          <w:tcPr>
            <w:tcW w:w="1757"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0.5</w:t>
            </w:r>
          </w:p>
        </w:tc>
        <w:tc>
          <w:tcPr>
            <w:tcW w:w="1843"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1.09</w:t>
            </w:r>
          </w:p>
        </w:tc>
        <w:tc>
          <w:tcPr>
            <w:tcW w:w="1871"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2.2;</w:t>
            </w:r>
            <w:r>
              <w:rPr>
                <w:sz w:val="20"/>
                <w:lang w:val="en-US"/>
              </w:rPr>
              <w:br/>
              <w:t>2.3;</w:t>
            </w:r>
            <w:r>
              <w:rPr>
                <w:sz w:val="20"/>
                <w:lang w:val="en-US"/>
              </w:rPr>
              <w:br/>
              <w:t>0.58</w:t>
            </w:r>
          </w:p>
        </w:tc>
        <w:tc>
          <w:tcPr>
            <w:tcW w:w="1871"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1</w:t>
            </w:r>
          </w:p>
        </w:tc>
      </w:tr>
      <w:tr w:rsidR="00B9359B">
        <w:trPr>
          <w:cantSplit/>
        </w:trPr>
        <w:tc>
          <w:tcPr>
            <w:tcW w:w="2381" w:type="dxa"/>
          </w:tcPr>
          <w:p w:rsidR="00B9359B" w:rsidRDefault="009A5268">
            <w:pPr>
              <w:pStyle w:val="Tabletext"/>
              <w:framePr w:hSpace="181" w:wrap="notBeside" w:vAnchor="text" w:hAnchor="text" w:xAlign="center" w:y="1"/>
              <w:spacing w:before="60" w:after="60"/>
              <w:jc w:val="left"/>
              <w:rPr>
                <w:sz w:val="20"/>
                <w:lang w:val="en-US"/>
              </w:rPr>
            </w:pPr>
            <w:r>
              <w:rPr>
                <w:sz w:val="20"/>
                <w:lang w:val="en-US"/>
              </w:rPr>
              <w:t>Output device</w:t>
            </w:r>
          </w:p>
        </w:tc>
        <w:tc>
          <w:tcPr>
            <w:tcW w:w="1757"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Klystron</w:t>
            </w:r>
          </w:p>
        </w:tc>
        <w:tc>
          <w:tcPr>
            <w:tcW w:w="3714" w:type="dxa"/>
            <w:gridSpan w:val="2"/>
          </w:tcPr>
          <w:p w:rsidR="00B9359B" w:rsidRDefault="009A5268">
            <w:pPr>
              <w:pStyle w:val="Tabletext"/>
              <w:framePr w:hSpace="181" w:wrap="notBeside" w:vAnchor="text" w:hAnchor="text" w:xAlign="center" w:y="1"/>
              <w:spacing w:before="60" w:after="60"/>
              <w:jc w:val="center"/>
              <w:rPr>
                <w:sz w:val="20"/>
                <w:lang w:val="en-US"/>
              </w:rPr>
            </w:pPr>
            <w:r>
              <w:rPr>
                <w:sz w:val="20"/>
                <w:lang w:val="en-US"/>
              </w:rPr>
              <w:t>Transistor</w:t>
            </w:r>
          </w:p>
        </w:tc>
        <w:tc>
          <w:tcPr>
            <w:tcW w:w="1871"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Cross field amplifier</w:t>
            </w:r>
          </w:p>
        </w:tc>
      </w:tr>
      <w:tr w:rsidR="00B9359B">
        <w:trPr>
          <w:cantSplit/>
        </w:trPr>
        <w:tc>
          <w:tcPr>
            <w:tcW w:w="2381" w:type="dxa"/>
          </w:tcPr>
          <w:p w:rsidR="00B9359B" w:rsidRDefault="009A5268">
            <w:pPr>
              <w:pStyle w:val="Tabletext"/>
              <w:framePr w:hSpace="181" w:wrap="notBeside" w:vAnchor="text" w:hAnchor="text" w:xAlign="center" w:y="1"/>
              <w:spacing w:before="60" w:after="60"/>
              <w:jc w:val="left"/>
              <w:rPr>
                <w:sz w:val="20"/>
                <w:lang w:val="en-US"/>
              </w:rPr>
            </w:pPr>
            <w:r>
              <w:rPr>
                <w:sz w:val="20"/>
                <w:lang w:val="en-US"/>
              </w:rPr>
              <w:t>Antenna type</w:t>
            </w:r>
          </w:p>
        </w:tc>
        <w:tc>
          <w:tcPr>
            <w:tcW w:w="1757"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Horn-fed reflector</w:t>
            </w:r>
          </w:p>
        </w:tc>
        <w:tc>
          <w:tcPr>
            <w:tcW w:w="1843"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Stack beam reflector</w:t>
            </w:r>
          </w:p>
        </w:tc>
        <w:tc>
          <w:tcPr>
            <w:tcW w:w="1871"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Rotating phased array</w:t>
            </w:r>
          </w:p>
        </w:tc>
        <w:tc>
          <w:tcPr>
            <w:tcW w:w="1871"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Parabolic cylinder</w:t>
            </w:r>
          </w:p>
        </w:tc>
      </w:tr>
      <w:tr w:rsidR="00B9359B">
        <w:trPr>
          <w:cantSplit/>
        </w:trPr>
        <w:tc>
          <w:tcPr>
            <w:tcW w:w="2381" w:type="dxa"/>
          </w:tcPr>
          <w:p w:rsidR="00B9359B" w:rsidRDefault="009A5268">
            <w:pPr>
              <w:pStyle w:val="Tabletext"/>
              <w:framePr w:hSpace="181" w:wrap="notBeside" w:vAnchor="text" w:hAnchor="text" w:xAlign="center" w:y="1"/>
              <w:spacing w:before="60" w:after="60"/>
              <w:jc w:val="left"/>
              <w:rPr>
                <w:sz w:val="20"/>
                <w:lang w:val="en-US"/>
              </w:rPr>
            </w:pPr>
            <w:r>
              <w:rPr>
                <w:sz w:val="20"/>
                <w:lang w:val="en-US"/>
              </w:rPr>
              <w:t>Antenna polarization</w:t>
            </w:r>
          </w:p>
        </w:tc>
        <w:tc>
          <w:tcPr>
            <w:tcW w:w="1757" w:type="dxa"/>
          </w:tcPr>
          <w:p w:rsidR="00B9359B" w:rsidRDefault="009A5268">
            <w:pPr>
              <w:pStyle w:val="Tabletext"/>
              <w:framePr w:hSpace="181" w:wrap="notBeside" w:vAnchor="text" w:hAnchor="text" w:xAlign="center" w:y="1"/>
              <w:spacing w:before="60" w:after="60"/>
              <w:jc w:val="center"/>
              <w:rPr>
                <w:sz w:val="20"/>
                <w:lang w:val="es-ES"/>
              </w:rPr>
            </w:pPr>
            <w:r>
              <w:rPr>
                <w:sz w:val="20"/>
                <w:lang w:val="es-ES"/>
              </w:rPr>
              <w:t>Horizontal, vertical,</w:t>
            </w:r>
            <w:r>
              <w:rPr>
                <w:sz w:val="20"/>
                <w:lang w:val="es-ES"/>
              </w:rPr>
              <w:br/>
              <w:t>LHCP, RHCP</w:t>
            </w:r>
          </w:p>
        </w:tc>
        <w:tc>
          <w:tcPr>
            <w:tcW w:w="1843" w:type="dxa"/>
          </w:tcPr>
          <w:p w:rsidR="00B9359B" w:rsidRDefault="009A5268">
            <w:pPr>
              <w:pStyle w:val="Tabletext"/>
              <w:framePr w:hSpace="181" w:wrap="notBeside" w:vAnchor="text" w:hAnchor="text" w:xAlign="center" w:y="1"/>
              <w:spacing w:before="60" w:after="60"/>
              <w:jc w:val="center"/>
              <w:rPr>
                <w:sz w:val="20"/>
                <w:lang w:val="es-ES"/>
              </w:rPr>
            </w:pPr>
            <w:r>
              <w:rPr>
                <w:sz w:val="20"/>
                <w:lang w:val="es-ES"/>
              </w:rPr>
              <w:t>Vertical, circular</w:t>
            </w:r>
          </w:p>
        </w:tc>
        <w:tc>
          <w:tcPr>
            <w:tcW w:w="1871"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Horizontal</w:t>
            </w:r>
          </w:p>
        </w:tc>
        <w:tc>
          <w:tcPr>
            <w:tcW w:w="1871"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Vertical</w:t>
            </w:r>
          </w:p>
        </w:tc>
      </w:tr>
      <w:tr w:rsidR="00B9359B">
        <w:trPr>
          <w:cantSplit/>
        </w:trPr>
        <w:tc>
          <w:tcPr>
            <w:tcW w:w="2381" w:type="dxa"/>
          </w:tcPr>
          <w:p w:rsidR="00B9359B" w:rsidRDefault="009A5268">
            <w:pPr>
              <w:pStyle w:val="Tabletext"/>
              <w:framePr w:hSpace="181" w:wrap="notBeside" w:vAnchor="text" w:hAnchor="text" w:xAlign="center" w:y="1"/>
              <w:spacing w:before="60" w:after="60"/>
              <w:jc w:val="left"/>
              <w:rPr>
                <w:sz w:val="20"/>
                <w:lang w:val="en-US"/>
              </w:rPr>
            </w:pPr>
            <w:r>
              <w:rPr>
                <w:sz w:val="20"/>
                <w:lang w:val="en-US"/>
              </w:rPr>
              <w:t>Antenna maximum</w:t>
            </w:r>
            <w:r>
              <w:rPr>
                <w:sz w:val="20"/>
                <w:lang w:val="en-US"/>
              </w:rPr>
              <w:br/>
              <w:t>gain (dBi)</w:t>
            </w:r>
          </w:p>
        </w:tc>
        <w:tc>
          <w:tcPr>
            <w:tcW w:w="1757"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34.5, transmit</w:t>
            </w:r>
          </w:p>
          <w:p w:rsidR="00B9359B" w:rsidRDefault="009A5268">
            <w:pPr>
              <w:pStyle w:val="Tabletext"/>
              <w:framePr w:hSpace="181" w:wrap="notBeside" w:vAnchor="text" w:hAnchor="text" w:xAlign="center" w:y="1"/>
              <w:spacing w:before="60" w:after="60"/>
              <w:jc w:val="center"/>
              <w:rPr>
                <w:sz w:val="20"/>
                <w:lang w:val="en-US"/>
              </w:rPr>
            </w:pPr>
            <w:r>
              <w:rPr>
                <w:sz w:val="20"/>
                <w:lang w:val="en-US"/>
              </w:rPr>
              <w:t>33.5, receive</w:t>
            </w:r>
          </w:p>
        </w:tc>
        <w:tc>
          <w:tcPr>
            <w:tcW w:w="1843"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32.4-34.2, transmit</w:t>
            </w:r>
          </w:p>
          <w:p w:rsidR="00B9359B" w:rsidRDefault="009A5268">
            <w:pPr>
              <w:pStyle w:val="Tabletext"/>
              <w:framePr w:hSpace="181" w:wrap="notBeside" w:vAnchor="text" w:hAnchor="text" w:xAlign="center" w:y="1"/>
              <w:spacing w:before="60" w:after="60"/>
              <w:jc w:val="center"/>
              <w:rPr>
                <w:sz w:val="20"/>
                <w:lang w:val="en-US"/>
              </w:rPr>
            </w:pPr>
            <w:r>
              <w:rPr>
                <w:sz w:val="20"/>
                <w:lang w:val="en-US"/>
              </w:rPr>
              <w:t>31.7-38.9, receive</w:t>
            </w:r>
          </w:p>
        </w:tc>
        <w:tc>
          <w:tcPr>
            <w:tcW w:w="1871"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38.9, transmit</w:t>
            </w:r>
          </w:p>
          <w:p w:rsidR="00B9359B" w:rsidRDefault="009A5268">
            <w:pPr>
              <w:pStyle w:val="Tabletext"/>
              <w:framePr w:hSpace="181" w:wrap="notBeside" w:vAnchor="text" w:hAnchor="text" w:xAlign="center" w:y="1"/>
              <w:spacing w:before="60" w:after="60"/>
              <w:jc w:val="center"/>
              <w:rPr>
                <w:sz w:val="20"/>
                <w:lang w:val="en-US"/>
              </w:rPr>
            </w:pPr>
            <w:r>
              <w:rPr>
                <w:sz w:val="20"/>
                <w:lang w:val="en-US"/>
              </w:rPr>
              <w:t>38.2, receive</w:t>
            </w:r>
          </w:p>
        </w:tc>
        <w:tc>
          <w:tcPr>
            <w:tcW w:w="1871"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32.5</w:t>
            </w:r>
          </w:p>
        </w:tc>
      </w:tr>
      <w:tr w:rsidR="00B9359B">
        <w:trPr>
          <w:cantSplit/>
        </w:trPr>
        <w:tc>
          <w:tcPr>
            <w:tcW w:w="2381" w:type="dxa"/>
          </w:tcPr>
          <w:p w:rsidR="00B9359B" w:rsidRDefault="009A5268">
            <w:pPr>
              <w:pStyle w:val="Tabletext"/>
              <w:framePr w:hSpace="181" w:wrap="notBeside" w:vAnchor="text" w:hAnchor="text" w:xAlign="center" w:y="1"/>
              <w:spacing w:before="60" w:after="60"/>
              <w:jc w:val="left"/>
              <w:rPr>
                <w:sz w:val="20"/>
                <w:lang w:val="en-US"/>
              </w:rPr>
            </w:pPr>
            <w:r>
              <w:rPr>
                <w:sz w:val="20"/>
                <w:lang w:val="en-US"/>
              </w:rPr>
              <w:t>Antenna elevation beamwidth (degrees)</w:t>
            </w:r>
          </w:p>
        </w:tc>
        <w:tc>
          <w:tcPr>
            <w:tcW w:w="1757"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3.6 shaped to 44</w:t>
            </w:r>
          </w:p>
        </w:tc>
        <w:tc>
          <w:tcPr>
            <w:tcW w:w="1843"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3.63-5.61, transmit</w:t>
            </w:r>
          </w:p>
          <w:p w:rsidR="00B9359B" w:rsidRDefault="009A5268">
            <w:pPr>
              <w:pStyle w:val="Tabletext"/>
              <w:framePr w:hSpace="181" w:wrap="notBeside" w:vAnchor="text" w:hAnchor="text" w:xAlign="center" w:y="1"/>
              <w:spacing w:before="60" w:after="60"/>
              <w:jc w:val="center"/>
              <w:rPr>
                <w:sz w:val="20"/>
                <w:lang w:val="en-US"/>
              </w:rPr>
            </w:pPr>
            <w:r>
              <w:rPr>
                <w:sz w:val="20"/>
                <w:lang w:val="en-US"/>
              </w:rPr>
              <w:t>2.02-8.79, receive</w:t>
            </w:r>
          </w:p>
        </w:tc>
        <w:tc>
          <w:tcPr>
            <w:tcW w:w="1871"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1.3</w:t>
            </w:r>
          </w:p>
        </w:tc>
        <w:tc>
          <w:tcPr>
            <w:tcW w:w="1871"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4.5</w:t>
            </w:r>
            <w:r>
              <w:rPr>
                <w:sz w:val="20"/>
                <w:vertAlign w:val="superscript"/>
                <w:lang w:val="en-US"/>
              </w:rPr>
              <w:t xml:space="preserve"> </w:t>
            </w:r>
            <w:r>
              <w:rPr>
                <w:sz w:val="20"/>
                <w:lang w:val="en-US"/>
              </w:rPr>
              <w:t>shaped to 40</w:t>
            </w:r>
          </w:p>
        </w:tc>
      </w:tr>
      <w:tr w:rsidR="00B9359B">
        <w:trPr>
          <w:cantSplit/>
        </w:trPr>
        <w:tc>
          <w:tcPr>
            <w:tcW w:w="2381" w:type="dxa"/>
          </w:tcPr>
          <w:p w:rsidR="00B9359B" w:rsidRDefault="009A5268">
            <w:pPr>
              <w:pStyle w:val="Tabletext"/>
              <w:framePr w:hSpace="181" w:wrap="notBeside" w:vAnchor="text" w:hAnchor="text" w:xAlign="center" w:y="1"/>
              <w:spacing w:before="60" w:after="60"/>
              <w:jc w:val="left"/>
              <w:rPr>
                <w:sz w:val="20"/>
                <w:lang w:val="en-US"/>
              </w:rPr>
            </w:pPr>
            <w:r>
              <w:rPr>
                <w:sz w:val="20"/>
                <w:lang w:val="en-US"/>
              </w:rPr>
              <w:t>Antenna azimuthal beamwidth (degrees)</w:t>
            </w:r>
          </w:p>
        </w:tc>
        <w:tc>
          <w:tcPr>
            <w:tcW w:w="1757"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1.2</w:t>
            </w:r>
          </w:p>
        </w:tc>
        <w:tc>
          <w:tcPr>
            <w:tcW w:w="1843"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1.4</w:t>
            </w:r>
          </w:p>
        </w:tc>
        <w:tc>
          <w:tcPr>
            <w:tcW w:w="1871"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3.2</w:t>
            </w:r>
          </w:p>
        </w:tc>
        <w:tc>
          <w:tcPr>
            <w:tcW w:w="1871"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3.0</w:t>
            </w:r>
          </w:p>
        </w:tc>
      </w:tr>
    </w:tbl>
    <w:p w:rsidR="00B9359B" w:rsidRDefault="00B9359B">
      <w:pPr>
        <w:pStyle w:val="Tablefin"/>
      </w:pPr>
    </w:p>
    <w:p w:rsidR="00B9359B" w:rsidRDefault="00B9359B">
      <w:pPr>
        <w:rPr>
          <w:lang w:val="en-GB"/>
        </w:rPr>
      </w:pPr>
    </w:p>
    <w:p w:rsidR="00B9359B" w:rsidRDefault="009A5268">
      <w:pPr>
        <w:pStyle w:val="TableNo"/>
        <w:rPr>
          <w:lang w:val="en-US"/>
        </w:rPr>
      </w:pPr>
      <w:r>
        <w:rPr>
          <w:lang w:val="en-US"/>
        </w:rPr>
        <w:br w:type="page"/>
        <w:t>TABLE  8  (</w:t>
      </w:r>
      <w:r>
        <w:rPr>
          <w:i/>
          <w:iCs/>
          <w:lang w:val="en-US"/>
        </w:rPr>
        <w:t>end</w:t>
      </w:r>
      <w:r>
        <w:rPr>
          <w:rFonts w:ascii="Tms Rmn" w:hAnsi="Tms Rmn"/>
          <w:sz w:val="12"/>
          <w:lang w:val="en-US"/>
        </w:rPr>
        <w:t> </w:t>
      </w:r>
      <w:r>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1757"/>
        <w:gridCol w:w="1843"/>
        <w:gridCol w:w="1871"/>
        <w:gridCol w:w="1871"/>
      </w:tblGrid>
      <w:tr w:rsidR="00B9359B">
        <w:trPr>
          <w:cantSplit/>
        </w:trPr>
        <w:tc>
          <w:tcPr>
            <w:tcW w:w="2381" w:type="dxa"/>
          </w:tcPr>
          <w:p w:rsidR="00B9359B" w:rsidRDefault="009A5268">
            <w:pPr>
              <w:pStyle w:val="Tablehead"/>
              <w:framePr w:hSpace="181" w:wrap="notBeside" w:vAnchor="text" w:hAnchor="text" w:xAlign="center" w:y="1"/>
              <w:spacing w:before="160" w:after="160"/>
              <w:rPr>
                <w:sz w:val="20"/>
                <w:lang w:val="en-US"/>
              </w:rPr>
            </w:pPr>
            <w:r>
              <w:rPr>
                <w:sz w:val="20"/>
                <w:lang w:val="en-US"/>
              </w:rPr>
              <w:t>Parameter</w:t>
            </w:r>
          </w:p>
        </w:tc>
        <w:tc>
          <w:tcPr>
            <w:tcW w:w="1757" w:type="dxa"/>
          </w:tcPr>
          <w:p w:rsidR="00B9359B" w:rsidRDefault="009A5268">
            <w:pPr>
              <w:pStyle w:val="Tablehead"/>
              <w:framePr w:hSpace="181" w:wrap="notBeside" w:vAnchor="text" w:hAnchor="text" w:xAlign="center" w:y="1"/>
              <w:spacing w:before="160" w:after="160"/>
              <w:rPr>
                <w:sz w:val="20"/>
                <w:lang w:val="en-US"/>
              </w:rPr>
            </w:pPr>
            <w:r>
              <w:rPr>
                <w:sz w:val="20"/>
                <w:lang w:val="en-US"/>
              </w:rPr>
              <w:t>System 1</w:t>
            </w:r>
          </w:p>
        </w:tc>
        <w:tc>
          <w:tcPr>
            <w:tcW w:w="1843" w:type="dxa"/>
          </w:tcPr>
          <w:p w:rsidR="00B9359B" w:rsidRDefault="009A5268">
            <w:pPr>
              <w:pStyle w:val="Tablehead"/>
              <w:framePr w:hSpace="181" w:wrap="notBeside" w:vAnchor="text" w:hAnchor="text" w:xAlign="center" w:y="1"/>
              <w:spacing w:before="160" w:after="160"/>
              <w:rPr>
                <w:sz w:val="20"/>
                <w:lang w:val="en-US"/>
              </w:rPr>
            </w:pPr>
            <w:r>
              <w:rPr>
                <w:sz w:val="20"/>
                <w:lang w:val="en-US"/>
              </w:rPr>
              <w:t>System 2</w:t>
            </w:r>
          </w:p>
        </w:tc>
        <w:tc>
          <w:tcPr>
            <w:tcW w:w="1871" w:type="dxa"/>
          </w:tcPr>
          <w:p w:rsidR="00B9359B" w:rsidRDefault="009A5268">
            <w:pPr>
              <w:pStyle w:val="Tablehead"/>
              <w:framePr w:hSpace="181" w:wrap="notBeside" w:vAnchor="text" w:hAnchor="text" w:xAlign="center" w:y="1"/>
              <w:spacing w:before="160" w:after="160"/>
              <w:rPr>
                <w:sz w:val="20"/>
                <w:lang w:val="en-US"/>
              </w:rPr>
            </w:pPr>
            <w:r>
              <w:rPr>
                <w:sz w:val="20"/>
                <w:lang w:val="en-US"/>
              </w:rPr>
              <w:t>System 3</w:t>
            </w:r>
          </w:p>
        </w:tc>
        <w:tc>
          <w:tcPr>
            <w:tcW w:w="1871" w:type="dxa"/>
          </w:tcPr>
          <w:p w:rsidR="00B9359B" w:rsidRDefault="009A5268">
            <w:pPr>
              <w:pStyle w:val="Tablehead"/>
              <w:framePr w:hSpace="181" w:wrap="notBeside" w:vAnchor="text" w:hAnchor="text" w:xAlign="center" w:y="1"/>
              <w:spacing w:before="160" w:after="160"/>
              <w:rPr>
                <w:sz w:val="20"/>
                <w:lang w:val="en-US"/>
              </w:rPr>
            </w:pPr>
            <w:r>
              <w:rPr>
                <w:sz w:val="20"/>
                <w:lang w:val="en-US"/>
              </w:rPr>
              <w:t>System 4</w:t>
            </w:r>
          </w:p>
        </w:tc>
      </w:tr>
      <w:tr w:rsidR="00B9359B" w:rsidRPr="00D35B94">
        <w:trPr>
          <w:cantSplit/>
        </w:trPr>
        <w:tc>
          <w:tcPr>
            <w:tcW w:w="2381" w:type="dxa"/>
          </w:tcPr>
          <w:p w:rsidR="00B9359B" w:rsidRDefault="009A5268">
            <w:pPr>
              <w:pStyle w:val="Tabletext"/>
              <w:framePr w:hSpace="181" w:wrap="notBeside" w:vAnchor="text" w:hAnchor="text" w:xAlign="center" w:y="1"/>
              <w:spacing w:before="60" w:after="60"/>
              <w:jc w:val="left"/>
              <w:rPr>
                <w:sz w:val="20"/>
                <w:lang w:val="en-US"/>
              </w:rPr>
            </w:pPr>
            <w:r>
              <w:rPr>
                <w:sz w:val="20"/>
                <w:lang w:val="en-US"/>
              </w:rPr>
              <w:t>Antenna horizontal scan characteristics</w:t>
            </w:r>
          </w:p>
        </w:tc>
        <w:tc>
          <w:tcPr>
            <w:tcW w:w="3600" w:type="dxa"/>
            <w:gridSpan w:val="2"/>
          </w:tcPr>
          <w:p w:rsidR="00B9359B" w:rsidRDefault="009A5268">
            <w:pPr>
              <w:pStyle w:val="Tabletext"/>
              <w:framePr w:hSpace="181" w:wrap="notBeside" w:vAnchor="text" w:hAnchor="text" w:xAlign="center" w:y="1"/>
              <w:spacing w:before="60" w:after="60"/>
              <w:jc w:val="center"/>
              <w:rPr>
                <w:sz w:val="20"/>
                <w:lang w:val="en-US"/>
              </w:rPr>
            </w:pPr>
            <w:r>
              <w:rPr>
                <w:sz w:val="20"/>
                <w:lang w:val="en-US"/>
              </w:rPr>
              <w:t>360</w:t>
            </w:r>
            <w:r>
              <w:rPr>
                <w:rFonts w:ascii="Symbol" w:hAnsi="Symbol"/>
                <w:sz w:val="20"/>
              </w:rPr>
              <w:t></w:t>
            </w:r>
            <w:r>
              <w:rPr>
                <w:sz w:val="20"/>
                <w:lang w:val="en-US"/>
              </w:rPr>
              <w:t xml:space="preserve"> mechanical at 5 r.p.m.</w:t>
            </w:r>
          </w:p>
        </w:tc>
        <w:tc>
          <w:tcPr>
            <w:tcW w:w="1871"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360</w:t>
            </w:r>
            <w:r>
              <w:rPr>
                <w:rFonts w:ascii="Symbol" w:hAnsi="Symbol"/>
                <w:sz w:val="20"/>
              </w:rPr>
              <w:t></w:t>
            </w:r>
            <w:r>
              <w:rPr>
                <w:sz w:val="20"/>
                <w:lang w:val="en-US"/>
              </w:rPr>
              <w:t xml:space="preserve"> mechanical at</w:t>
            </w:r>
            <w:r>
              <w:rPr>
                <w:sz w:val="20"/>
                <w:lang w:val="en-US"/>
              </w:rPr>
              <w:br/>
              <w:t>6 r.p.m. for long range and 12 r.p.m. for short range</w:t>
            </w:r>
          </w:p>
        </w:tc>
        <w:tc>
          <w:tcPr>
            <w:tcW w:w="1871"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360</w:t>
            </w:r>
            <w:r>
              <w:rPr>
                <w:rFonts w:ascii="Symbol" w:hAnsi="Symbol"/>
                <w:sz w:val="20"/>
              </w:rPr>
              <w:t></w:t>
            </w:r>
            <w:r>
              <w:rPr>
                <w:sz w:val="20"/>
                <w:lang w:val="en-US"/>
              </w:rPr>
              <w:t xml:space="preserve"> mechanical at</w:t>
            </w:r>
            <w:r>
              <w:rPr>
                <w:sz w:val="20"/>
                <w:lang w:val="en-US"/>
              </w:rPr>
              <w:br/>
              <w:t>6, 12 or 15 r.p.m.</w:t>
            </w:r>
          </w:p>
        </w:tc>
      </w:tr>
      <w:tr w:rsidR="00B9359B">
        <w:trPr>
          <w:cantSplit/>
        </w:trPr>
        <w:tc>
          <w:tcPr>
            <w:tcW w:w="2381" w:type="dxa"/>
          </w:tcPr>
          <w:p w:rsidR="00B9359B" w:rsidRDefault="009A5268">
            <w:pPr>
              <w:pStyle w:val="Tabletext"/>
              <w:framePr w:hSpace="181" w:wrap="notBeside" w:vAnchor="text" w:hAnchor="text" w:xAlign="center" w:y="1"/>
              <w:spacing w:before="60" w:after="60"/>
              <w:jc w:val="left"/>
              <w:rPr>
                <w:sz w:val="20"/>
                <w:lang w:val="en-US"/>
              </w:rPr>
            </w:pPr>
            <w:r>
              <w:rPr>
                <w:sz w:val="20"/>
                <w:lang w:val="en-US"/>
              </w:rPr>
              <w:t>Antenna vertical scan characteristics</w:t>
            </w:r>
          </w:p>
        </w:tc>
        <w:tc>
          <w:tcPr>
            <w:tcW w:w="1757"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Not applicable</w:t>
            </w:r>
          </w:p>
        </w:tc>
        <w:tc>
          <w:tcPr>
            <w:tcW w:w="1843"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–7</w:t>
            </w:r>
            <w:r>
              <w:rPr>
                <w:rFonts w:ascii="Symbol" w:hAnsi="Symbol"/>
                <w:sz w:val="20"/>
              </w:rPr>
              <w:t></w:t>
            </w:r>
            <w:r>
              <w:rPr>
                <w:sz w:val="20"/>
                <w:vertAlign w:val="superscript"/>
                <w:lang w:val="en-US"/>
              </w:rPr>
              <w:t xml:space="preserve"> </w:t>
            </w:r>
            <w:r>
              <w:rPr>
                <w:sz w:val="20"/>
                <w:lang w:val="en-US"/>
              </w:rPr>
              <w:t xml:space="preserve">to </w:t>
            </w:r>
            <w:r>
              <w:rPr>
                <w:rFonts w:ascii="Symbol" w:hAnsi="Symbol"/>
                <w:sz w:val="20"/>
              </w:rPr>
              <w:t></w:t>
            </w:r>
            <w:r>
              <w:rPr>
                <w:sz w:val="20"/>
                <w:lang w:val="en-US"/>
              </w:rPr>
              <w:t>30</w:t>
            </w:r>
            <w:r>
              <w:rPr>
                <w:rFonts w:ascii="Symbol" w:hAnsi="Symbol"/>
                <w:sz w:val="20"/>
              </w:rPr>
              <w:t></w:t>
            </w:r>
            <w:r>
              <w:rPr>
                <w:rFonts w:ascii="Symbol" w:hAnsi="Symbol"/>
                <w:sz w:val="20"/>
                <w:lang w:val="en-US"/>
              </w:rPr>
              <w:br/>
            </w:r>
            <w:r>
              <w:rPr>
                <w:sz w:val="20"/>
                <w:lang w:val="en-US"/>
              </w:rPr>
              <w:t>in 12.8 or 13.7 ms</w:t>
            </w:r>
          </w:p>
        </w:tc>
        <w:tc>
          <w:tcPr>
            <w:tcW w:w="1871"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–1</w:t>
            </w:r>
            <w:r>
              <w:rPr>
                <w:rFonts w:ascii="Symbol" w:hAnsi="Symbol"/>
                <w:sz w:val="20"/>
              </w:rPr>
              <w:t></w:t>
            </w:r>
            <w:r>
              <w:rPr>
                <w:sz w:val="20"/>
                <w:vertAlign w:val="superscript"/>
                <w:lang w:val="en-US"/>
              </w:rPr>
              <w:t xml:space="preserve"> </w:t>
            </w:r>
            <w:r>
              <w:rPr>
                <w:sz w:val="20"/>
                <w:lang w:val="en-US"/>
              </w:rPr>
              <w:t xml:space="preserve">to </w:t>
            </w:r>
            <w:r>
              <w:rPr>
                <w:rFonts w:ascii="Symbol" w:hAnsi="Symbol"/>
                <w:sz w:val="20"/>
              </w:rPr>
              <w:t></w:t>
            </w:r>
            <w:r>
              <w:rPr>
                <w:sz w:val="20"/>
                <w:lang w:val="en-US"/>
              </w:rPr>
              <w:t>19</w:t>
            </w:r>
            <w:r>
              <w:rPr>
                <w:rFonts w:ascii="Symbol" w:hAnsi="Symbol"/>
                <w:sz w:val="20"/>
              </w:rPr>
              <w:t></w:t>
            </w:r>
            <w:r>
              <w:rPr>
                <w:sz w:val="20"/>
                <w:vertAlign w:val="superscript"/>
                <w:lang w:val="en-US"/>
              </w:rPr>
              <w:br/>
            </w:r>
            <w:r>
              <w:rPr>
                <w:sz w:val="20"/>
                <w:lang w:val="en-US"/>
              </w:rPr>
              <w:t>in 73.5 ms</w:t>
            </w:r>
          </w:p>
        </w:tc>
        <w:tc>
          <w:tcPr>
            <w:tcW w:w="1871"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Not applicable</w:t>
            </w:r>
          </w:p>
        </w:tc>
      </w:tr>
      <w:tr w:rsidR="00B9359B">
        <w:trPr>
          <w:cantSplit/>
        </w:trPr>
        <w:tc>
          <w:tcPr>
            <w:tcW w:w="2381" w:type="dxa"/>
          </w:tcPr>
          <w:p w:rsidR="00B9359B" w:rsidRDefault="009A5268">
            <w:pPr>
              <w:pStyle w:val="Tabletext"/>
              <w:framePr w:hSpace="181" w:wrap="notBeside" w:vAnchor="text" w:hAnchor="text" w:xAlign="center" w:y="1"/>
              <w:spacing w:before="60" w:after="60"/>
              <w:jc w:val="left"/>
              <w:rPr>
                <w:sz w:val="20"/>
                <w:lang w:val="en-US"/>
              </w:rPr>
            </w:pPr>
            <w:r>
              <w:rPr>
                <w:sz w:val="20"/>
                <w:lang w:val="en-US"/>
              </w:rPr>
              <w:t>Receiver IF bandwidth</w:t>
            </w:r>
          </w:p>
        </w:tc>
        <w:tc>
          <w:tcPr>
            <w:tcW w:w="1757"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780 kHz</w:t>
            </w:r>
          </w:p>
        </w:tc>
        <w:tc>
          <w:tcPr>
            <w:tcW w:w="1843"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0.69 MHz</w:t>
            </w:r>
          </w:p>
        </w:tc>
        <w:tc>
          <w:tcPr>
            <w:tcW w:w="1871"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4.4 to 6.4 MHz</w:t>
            </w:r>
          </w:p>
        </w:tc>
        <w:tc>
          <w:tcPr>
            <w:tcW w:w="1871"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1.2 MHz</w:t>
            </w:r>
          </w:p>
        </w:tc>
      </w:tr>
      <w:tr w:rsidR="00B9359B">
        <w:trPr>
          <w:cantSplit/>
        </w:trPr>
        <w:tc>
          <w:tcPr>
            <w:tcW w:w="2381" w:type="dxa"/>
          </w:tcPr>
          <w:p w:rsidR="00B9359B" w:rsidRDefault="009A5268">
            <w:pPr>
              <w:pStyle w:val="Tabletext"/>
              <w:framePr w:hSpace="181" w:wrap="notBeside" w:vAnchor="text" w:hAnchor="text" w:xAlign="center" w:y="1"/>
              <w:spacing w:before="60" w:after="60"/>
              <w:jc w:val="left"/>
              <w:rPr>
                <w:sz w:val="20"/>
                <w:lang w:val="en-US"/>
              </w:rPr>
            </w:pPr>
            <w:r>
              <w:rPr>
                <w:sz w:val="20"/>
                <w:lang w:val="en-US"/>
              </w:rPr>
              <w:t>Receiver noise figure (dB)</w:t>
            </w:r>
          </w:p>
        </w:tc>
        <w:tc>
          <w:tcPr>
            <w:tcW w:w="3600" w:type="dxa"/>
            <w:gridSpan w:val="2"/>
          </w:tcPr>
          <w:p w:rsidR="00B9359B" w:rsidRDefault="009A5268">
            <w:pPr>
              <w:pStyle w:val="Tabletext"/>
              <w:framePr w:hSpace="181" w:wrap="notBeside" w:vAnchor="text" w:hAnchor="text" w:xAlign="center" w:y="1"/>
              <w:spacing w:before="60" w:after="60"/>
              <w:jc w:val="center"/>
              <w:rPr>
                <w:sz w:val="20"/>
                <w:lang w:val="en-US"/>
              </w:rPr>
            </w:pPr>
            <w:r>
              <w:rPr>
                <w:sz w:val="20"/>
                <w:lang w:val="en-US"/>
              </w:rPr>
              <w:t>2</w:t>
            </w:r>
          </w:p>
        </w:tc>
        <w:tc>
          <w:tcPr>
            <w:tcW w:w="1871"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4.7</w:t>
            </w:r>
          </w:p>
        </w:tc>
        <w:tc>
          <w:tcPr>
            <w:tcW w:w="1871" w:type="dxa"/>
          </w:tcPr>
          <w:p w:rsidR="00B9359B" w:rsidRDefault="009A5268">
            <w:pPr>
              <w:pStyle w:val="Tabletext"/>
              <w:framePr w:hSpace="181" w:wrap="notBeside" w:vAnchor="text" w:hAnchor="text" w:xAlign="center" w:y="1"/>
              <w:spacing w:before="60" w:after="60"/>
              <w:jc w:val="center"/>
              <w:rPr>
                <w:sz w:val="20"/>
                <w:lang w:val="en-US"/>
              </w:rPr>
            </w:pPr>
            <w:r>
              <w:rPr>
                <w:sz w:val="20"/>
                <w:lang w:val="en-US"/>
              </w:rPr>
              <w:t>3.5</w:t>
            </w:r>
          </w:p>
        </w:tc>
      </w:tr>
      <w:tr w:rsidR="00B9359B">
        <w:trPr>
          <w:cantSplit/>
        </w:trPr>
        <w:tc>
          <w:tcPr>
            <w:tcW w:w="2381" w:type="dxa"/>
          </w:tcPr>
          <w:p w:rsidR="00B9359B" w:rsidRDefault="009A5268">
            <w:pPr>
              <w:pStyle w:val="Tabletext"/>
              <w:framePr w:hSpace="181" w:wrap="notBeside" w:vAnchor="text" w:hAnchor="text" w:xAlign="center" w:y="1"/>
              <w:spacing w:before="60" w:after="60"/>
              <w:jc w:val="left"/>
              <w:rPr>
                <w:sz w:val="20"/>
                <w:lang w:val="en-US"/>
              </w:rPr>
            </w:pPr>
            <w:r>
              <w:rPr>
                <w:sz w:val="20"/>
                <w:lang w:val="en-US"/>
              </w:rPr>
              <w:t>Platform type</w:t>
            </w:r>
          </w:p>
        </w:tc>
        <w:tc>
          <w:tcPr>
            <w:tcW w:w="3600" w:type="dxa"/>
            <w:gridSpan w:val="2"/>
          </w:tcPr>
          <w:p w:rsidR="00B9359B" w:rsidRDefault="009A5268">
            <w:pPr>
              <w:pStyle w:val="Tabletext"/>
              <w:framePr w:hSpace="181" w:wrap="notBeside" w:vAnchor="text" w:hAnchor="text" w:xAlign="center" w:y="1"/>
              <w:spacing w:before="60" w:after="60"/>
              <w:jc w:val="center"/>
              <w:rPr>
                <w:sz w:val="20"/>
                <w:lang w:val="en-US"/>
              </w:rPr>
            </w:pPr>
            <w:r>
              <w:rPr>
                <w:sz w:val="20"/>
                <w:lang w:val="en-US"/>
              </w:rPr>
              <w:t>Fixed</w:t>
            </w:r>
          </w:p>
        </w:tc>
        <w:tc>
          <w:tcPr>
            <w:tcW w:w="3742" w:type="dxa"/>
            <w:gridSpan w:val="2"/>
          </w:tcPr>
          <w:p w:rsidR="00B9359B" w:rsidRDefault="009A5268">
            <w:pPr>
              <w:pStyle w:val="Tabletext"/>
              <w:framePr w:hSpace="181" w:wrap="notBeside" w:vAnchor="text" w:hAnchor="text" w:xAlign="center" w:y="1"/>
              <w:spacing w:before="60" w:after="60"/>
              <w:jc w:val="center"/>
              <w:rPr>
                <w:sz w:val="20"/>
                <w:lang w:val="en-US"/>
              </w:rPr>
            </w:pPr>
            <w:r>
              <w:rPr>
                <w:sz w:val="20"/>
                <w:lang w:val="en-US"/>
              </w:rPr>
              <w:t>Transportable</w:t>
            </w:r>
          </w:p>
        </w:tc>
      </w:tr>
      <w:tr w:rsidR="00B9359B">
        <w:trPr>
          <w:cantSplit/>
        </w:trPr>
        <w:tc>
          <w:tcPr>
            <w:tcW w:w="2381" w:type="dxa"/>
          </w:tcPr>
          <w:p w:rsidR="00B9359B" w:rsidRDefault="009A5268">
            <w:pPr>
              <w:pStyle w:val="Tabletext"/>
              <w:framePr w:hSpace="181" w:wrap="notBeside" w:vAnchor="text" w:hAnchor="text" w:xAlign="center" w:y="1"/>
              <w:spacing w:before="60" w:after="60"/>
              <w:jc w:val="left"/>
              <w:rPr>
                <w:sz w:val="20"/>
                <w:lang w:val="en-US"/>
              </w:rPr>
            </w:pPr>
            <w:r>
              <w:rPr>
                <w:sz w:val="20"/>
                <w:lang w:val="en-US"/>
              </w:rPr>
              <w:t>Percentage of time</w:t>
            </w:r>
            <w:r>
              <w:rPr>
                <w:sz w:val="20"/>
                <w:lang w:val="en-US"/>
              </w:rPr>
              <w:br/>
              <w:t>system operates (%)</w:t>
            </w:r>
          </w:p>
        </w:tc>
        <w:tc>
          <w:tcPr>
            <w:tcW w:w="7342" w:type="dxa"/>
            <w:gridSpan w:val="4"/>
          </w:tcPr>
          <w:p w:rsidR="00B9359B" w:rsidRDefault="009A5268">
            <w:pPr>
              <w:pStyle w:val="Tabletext"/>
              <w:framePr w:hSpace="181" w:wrap="notBeside" w:vAnchor="text" w:hAnchor="text" w:xAlign="center" w:y="1"/>
              <w:spacing w:before="60" w:after="60"/>
              <w:jc w:val="center"/>
              <w:rPr>
                <w:sz w:val="20"/>
                <w:lang w:val="en-US"/>
              </w:rPr>
            </w:pPr>
            <w:r>
              <w:rPr>
                <w:sz w:val="20"/>
                <w:lang w:val="en-US"/>
              </w:rPr>
              <w:t>100</w:t>
            </w:r>
          </w:p>
        </w:tc>
      </w:tr>
      <w:tr w:rsidR="00B9359B" w:rsidRPr="00D35B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723" w:type="dxa"/>
            <w:gridSpan w:val="5"/>
          </w:tcPr>
          <w:p w:rsidR="00B9359B" w:rsidRDefault="009A5268">
            <w:pPr>
              <w:pStyle w:val="Tablelegend"/>
              <w:framePr w:hSpace="181" w:wrap="notBeside" w:vAnchor="text" w:hAnchor="text" w:xAlign="center" w:y="1"/>
              <w:spacing w:before="160"/>
              <w:rPr>
                <w:sz w:val="20"/>
                <w:lang w:val="en-US"/>
              </w:rPr>
            </w:pPr>
            <w:r>
              <w:rPr>
                <w:sz w:val="20"/>
                <w:lang w:val="en-US"/>
              </w:rPr>
              <w:t>LHCP:</w:t>
            </w:r>
            <w:r>
              <w:rPr>
                <w:sz w:val="20"/>
                <w:lang w:val="en-US"/>
              </w:rPr>
              <w:tab/>
              <w:t>left hand circular polarization.</w:t>
            </w:r>
          </w:p>
          <w:p w:rsidR="00B9359B" w:rsidRDefault="009A5268">
            <w:pPr>
              <w:pStyle w:val="Tablelegend"/>
              <w:framePr w:hSpace="181" w:wrap="notBeside" w:vAnchor="text" w:hAnchor="text" w:xAlign="center" w:y="1"/>
              <w:spacing w:before="80"/>
              <w:rPr>
                <w:sz w:val="20"/>
                <w:lang w:val="en-US"/>
              </w:rPr>
            </w:pPr>
            <w:r>
              <w:rPr>
                <w:sz w:val="20"/>
                <w:lang w:val="en-US"/>
              </w:rPr>
              <w:t>RHCP:</w:t>
            </w:r>
            <w:r>
              <w:rPr>
                <w:sz w:val="20"/>
                <w:lang w:val="en-US"/>
              </w:rPr>
              <w:tab/>
              <w:t>right hand circular polarization.</w:t>
            </w:r>
          </w:p>
          <w:p w:rsidR="00B9359B" w:rsidRDefault="009A5268">
            <w:pPr>
              <w:pStyle w:val="Tablelegend"/>
              <w:framePr w:hSpace="181" w:wrap="notBeside" w:vAnchor="text" w:hAnchor="text" w:xAlign="center" w:y="1"/>
              <w:spacing w:after="60"/>
              <w:rPr>
                <w:sz w:val="20"/>
                <w:lang w:val="en-US"/>
              </w:rPr>
            </w:pPr>
            <w:r>
              <w:rPr>
                <w:sz w:val="20"/>
                <w:vertAlign w:val="superscript"/>
                <w:lang w:val="en-US"/>
              </w:rPr>
              <w:t>(1)</w:t>
            </w:r>
            <w:r>
              <w:rPr>
                <w:sz w:val="20"/>
                <w:lang w:val="en-US"/>
              </w:rPr>
              <w:tab/>
              <w:t xml:space="preserve">The radar has 44 RF channel pairs with one of 44 RF channel pairs selected in normal mode. The transmitted waveform consists of an 88.8 </w:t>
            </w:r>
            <w:r>
              <w:rPr>
                <w:rFonts w:ascii="Symbol" w:hAnsi="Symbol"/>
                <w:spacing w:val="-1"/>
                <w:sz w:val="20"/>
              </w:rPr>
              <w:t></w:t>
            </w:r>
            <w:r>
              <w:rPr>
                <w:sz w:val="20"/>
                <w:lang w:val="en-US"/>
              </w:rPr>
              <w:t xml:space="preserve">s pulse at frequency </w:t>
            </w:r>
            <w:r>
              <w:rPr>
                <w:i/>
                <w:sz w:val="20"/>
                <w:lang w:val="en-US"/>
              </w:rPr>
              <w:t>f</w:t>
            </w:r>
            <w:r>
              <w:rPr>
                <w:sz w:val="20"/>
                <w:vertAlign w:val="subscript"/>
                <w:lang w:val="en-US"/>
              </w:rPr>
              <w:t>1</w:t>
            </w:r>
            <w:r>
              <w:rPr>
                <w:sz w:val="20"/>
                <w:lang w:val="en-US"/>
              </w:rPr>
              <w:t xml:space="preserve"> followed by a 58.8 </w:t>
            </w:r>
            <w:r>
              <w:rPr>
                <w:rFonts w:ascii="Symbol" w:hAnsi="Symbol"/>
                <w:spacing w:val="-1"/>
                <w:sz w:val="20"/>
              </w:rPr>
              <w:t></w:t>
            </w:r>
            <w:r>
              <w:rPr>
                <w:sz w:val="20"/>
                <w:lang w:val="en-US"/>
              </w:rPr>
              <w:t xml:space="preserve">s pulse at frequency </w:t>
            </w:r>
            <w:r>
              <w:rPr>
                <w:i/>
                <w:sz w:val="20"/>
                <w:lang w:val="en-US"/>
              </w:rPr>
              <w:t>f</w:t>
            </w:r>
            <w:r>
              <w:rPr>
                <w:sz w:val="20"/>
                <w:vertAlign w:val="subscript"/>
                <w:lang w:val="en-US"/>
              </w:rPr>
              <w:t>2</w:t>
            </w:r>
            <w:r>
              <w:rPr>
                <w:sz w:val="20"/>
                <w:lang w:val="en-US"/>
              </w:rPr>
              <w:t xml:space="preserve">. Separation of </w:t>
            </w:r>
            <w:r>
              <w:rPr>
                <w:i/>
                <w:sz w:val="20"/>
                <w:lang w:val="en-US"/>
              </w:rPr>
              <w:t>f</w:t>
            </w:r>
            <w:r>
              <w:rPr>
                <w:sz w:val="20"/>
                <w:vertAlign w:val="subscript"/>
                <w:lang w:val="en-US"/>
              </w:rPr>
              <w:t>1</w:t>
            </w:r>
            <w:r>
              <w:rPr>
                <w:sz w:val="20"/>
                <w:lang w:val="en-US"/>
              </w:rPr>
              <w:t xml:space="preserve"> and </w:t>
            </w:r>
            <w:r>
              <w:rPr>
                <w:i/>
                <w:sz w:val="20"/>
                <w:lang w:val="en-US"/>
              </w:rPr>
              <w:t>f</w:t>
            </w:r>
            <w:r>
              <w:rPr>
                <w:sz w:val="20"/>
                <w:vertAlign w:val="subscript"/>
                <w:lang w:val="en-US"/>
              </w:rPr>
              <w:t>2</w:t>
            </w:r>
            <w:r>
              <w:rPr>
                <w:sz w:val="20"/>
                <w:lang w:val="en-US"/>
              </w:rPr>
              <w:t xml:space="preserve"> is 82.854 MHz.</w:t>
            </w:r>
          </w:p>
          <w:p w:rsidR="00B9359B" w:rsidRDefault="009A5268">
            <w:pPr>
              <w:pStyle w:val="Tablelegend"/>
              <w:framePr w:hSpace="181" w:wrap="notBeside" w:vAnchor="text" w:hAnchor="text" w:xAlign="center" w:y="1"/>
              <w:spacing w:after="60"/>
              <w:rPr>
                <w:spacing w:val="-2"/>
                <w:sz w:val="20"/>
                <w:lang w:val="en-US"/>
              </w:rPr>
            </w:pPr>
            <w:r>
              <w:rPr>
                <w:spacing w:val="-2"/>
                <w:sz w:val="20"/>
                <w:vertAlign w:val="superscript"/>
                <w:lang w:val="en-US"/>
              </w:rPr>
              <w:t>(2)</w:t>
            </w:r>
            <w:r>
              <w:rPr>
                <w:spacing w:val="-2"/>
                <w:sz w:val="20"/>
                <w:lang w:val="en-US"/>
              </w:rPr>
              <w:tab/>
              <w:t>The radar has 20 RF channels in 8.96 MHz increments. The transmitted waveform group consists of one 0.4 </w:t>
            </w:r>
            <w:r>
              <w:rPr>
                <w:rFonts w:ascii="Symbol" w:hAnsi="Symbol"/>
                <w:spacing w:val="-1"/>
                <w:sz w:val="20"/>
              </w:rPr>
              <w:t></w:t>
            </w:r>
            <w:r>
              <w:rPr>
                <w:spacing w:val="-2"/>
                <w:sz w:val="20"/>
                <w:lang w:val="en-US"/>
              </w:rPr>
              <w:t xml:space="preserve">s P0 pulse (optional) which is followed by one 102.4 </w:t>
            </w:r>
            <w:r>
              <w:rPr>
                <w:spacing w:val="-1"/>
                <w:sz w:val="20"/>
              </w:rPr>
              <w:sym w:font="Symbol" w:char="F06D"/>
            </w:r>
            <w:r>
              <w:rPr>
                <w:spacing w:val="-2"/>
                <w:sz w:val="20"/>
                <w:lang w:val="en-US"/>
              </w:rPr>
              <w:t>s linear frequency modulated pulse (if 0.4 </w:t>
            </w:r>
            <w:r>
              <w:rPr>
                <w:rFonts w:ascii="Symbol" w:hAnsi="Symbol"/>
                <w:spacing w:val="-1"/>
                <w:sz w:val="20"/>
              </w:rPr>
              <w:t></w:t>
            </w:r>
            <w:r>
              <w:rPr>
                <w:spacing w:val="-2"/>
                <w:sz w:val="20"/>
                <w:lang w:val="en-US"/>
              </w:rPr>
              <w:t xml:space="preserve">s P0 is not transmitted) of 2.5 MHz chirp which may be followed by one to four long range 409.6 </w:t>
            </w:r>
            <w:r>
              <w:rPr>
                <w:rFonts w:ascii="Symbol" w:hAnsi="Symbol"/>
                <w:spacing w:val="-1"/>
                <w:sz w:val="20"/>
              </w:rPr>
              <w:t></w:t>
            </w:r>
            <w:r>
              <w:rPr>
                <w:spacing w:val="-2"/>
                <w:sz w:val="20"/>
                <w:lang w:val="en-US"/>
              </w:rPr>
              <w:t>s linear frequency modulated pulses each chirped 625 kHz and transmitted on different carriers separated by 3.75 MHz. Normal mode of operation employs frequency agility whereby the individual frequencies of each waveform group are selected in a pseudo-random manner from one of the possible 20 RF channels within the 1</w:t>
            </w:r>
            <w:r>
              <w:rPr>
                <w:rFonts w:ascii="Tms Rmn" w:hAnsi="Tms Rmn"/>
                <w:spacing w:val="-2"/>
                <w:sz w:val="12"/>
                <w:lang w:val="en-US"/>
              </w:rPr>
              <w:t> </w:t>
            </w:r>
            <w:r>
              <w:rPr>
                <w:spacing w:val="-2"/>
                <w:sz w:val="20"/>
                <w:lang w:val="en-US"/>
              </w:rPr>
              <w:t>215-1</w:t>
            </w:r>
            <w:r>
              <w:rPr>
                <w:rFonts w:ascii="Tms Rmn" w:hAnsi="Tms Rmn"/>
                <w:spacing w:val="-2"/>
                <w:sz w:val="12"/>
                <w:lang w:val="en-US"/>
              </w:rPr>
              <w:t> </w:t>
            </w:r>
            <w:r>
              <w:rPr>
                <w:spacing w:val="-2"/>
                <w:sz w:val="20"/>
                <w:lang w:val="en-US"/>
              </w:rPr>
              <w:t>400 MHz band.</w:t>
            </w:r>
          </w:p>
          <w:p w:rsidR="00B9359B" w:rsidRDefault="009A5268">
            <w:pPr>
              <w:pStyle w:val="Tablelegend"/>
              <w:framePr w:hSpace="181" w:wrap="notBeside" w:vAnchor="text" w:hAnchor="text" w:xAlign="center" w:y="1"/>
              <w:spacing w:after="60"/>
              <w:rPr>
                <w:sz w:val="20"/>
                <w:lang w:val="en-US"/>
              </w:rPr>
            </w:pPr>
            <w:r>
              <w:rPr>
                <w:sz w:val="20"/>
                <w:vertAlign w:val="superscript"/>
                <w:lang w:val="en-US"/>
              </w:rPr>
              <w:t>(3)</w:t>
            </w:r>
            <w:r>
              <w:rPr>
                <w:sz w:val="20"/>
                <w:lang w:val="en-US"/>
              </w:rPr>
              <w:tab/>
              <w:t xml:space="preserve">The radar has the capability of operating single frequency or dual frequency. Dual RF channels are separated by 60 MHz. The single channel mode uses the 39 </w:t>
            </w:r>
            <w:r>
              <w:rPr>
                <w:rFonts w:ascii="Symbol" w:hAnsi="Symbol"/>
                <w:spacing w:val="-1"/>
                <w:sz w:val="20"/>
              </w:rPr>
              <w:t></w:t>
            </w:r>
            <w:r>
              <w:rPr>
                <w:sz w:val="20"/>
                <w:lang w:val="en-US"/>
              </w:rPr>
              <w:t xml:space="preserve">s pulse width. In the dual channel mode, the 26 </w:t>
            </w:r>
            <w:r>
              <w:rPr>
                <w:rFonts w:ascii="Symbol" w:hAnsi="Symbol"/>
                <w:sz w:val="20"/>
              </w:rPr>
              <w:t></w:t>
            </w:r>
            <w:r>
              <w:rPr>
                <w:sz w:val="20"/>
                <w:lang w:val="en-US"/>
              </w:rPr>
              <w:t xml:space="preserve">s pulse is transmitted at frequency </w:t>
            </w:r>
            <w:r>
              <w:rPr>
                <w:i/>
                <w:sz w:val="20"/>
                <w:lang w:val="en-US"/>
              </w:rPr>
              <w:t>f</w:t>
            </w:r>
            <w:r>
              <w:rPr>
                <w:sz w:val="20"/>
                <w:lang w:val="en-US"/>
              </w:rPr>
              <w:t>, followed by the 13 </w:t>
            </w:r>
            <w:r>
              <w:rPr>
                <w:rFonts w:ascii="Symbol" w:hAnsi="Symbol"/>
                <w:sz w:val="20"/>
              </w:rPr>
              <w:t></w:t>
            </w:r>
            <w:r>
              <w:rPr>
                <w:sz w:val="20"/>
                <w:lang w:val="en-US"/>
              </w:rPr>
              <w:t>s pulse transmitted at</w:t>
            </w:r>
            <w:r>
              <w:rPr>
                <w:rFonts w:ascii="Tms Rmn" w:hAnsi="Tms Rmn"/>
                <w:sz w:val="12"/>
                <w:lang w:val="en-US"/>
              </w:rPr>
              <w:t> </w:t>
            </w:r>
            <w:r>
              <w:rPr>
                <w:sz w:val="20"/>
                <w:lang w:val="en-US"/>
              </w:rPr>
              <w:t xml:space="preserve"> </w:t>
            </w:r>
            <w:r>
              <w:rPr>
                <w:i/>
                <w:sz w:val="20"/>
                <w:lang w:val="en-US"/>
              </w:rPr>
              <w:t>f</w:t>
            </w:r>
            <w:r>
              <w:rPr>
                <w:sz w:val="20"/>
                <w:lang w:val="en-US"/>
              </w:rPr>
              <w:t> </w:t>
            </w:r>
            <w:r>
              <w:rPr>
                <w:rFonts w:ascii="Tms Rmn" w:hAnsi="Tms Rmn"/>
                <w:sz w:val="12"/>
                <w:lang w:val="en-US"/>
              </w:rPr>
              <w:t> </w:t>
            </w:r>
            <w:r>
              <w:rPr>
                <w:rFonts w:ascii="Symbol" w:hAnsi="Symbol"/>
                <w:sz w:val="20"/>
              </w:rPr>
              <w:t></w:t>
            </w:r>
            <w:r>
              <w:rPr>
                <w:sz w:val="20"/>
                <w:lang w:val="en-US"/>
              </w:rPr>
              <w:t> 60 MHz.</w:t>
            </w:r>
          </w:p>
        </w:tc>
      </w:tr>
    </w:tbl>
    <w:p w:rsidR="00B9359B" w:rsidRDefault="00B9359B">
      <w:pPr>
        <w:pStyle w:val="Tablefin"/>
        <w:rPr>
          <w:lang w:val="en-US"/>
        </w:rPr>
      </w:pPr>
    </w:p>
    <w:p w:rsidR="00B9359B" w:rsidRDefault="00B9359B">
      <w:pPr>
        <w:rPr>
          <w:lang w:val="en-US"/>
        </w:rPr>
      </w:pPr>
    </w:p>
    <w:p w:rsidR="00B9359B" w:rsidRDefault="009A5268">
      <w:pPr>
        <w:pStyle w:val="Heading1"/>
        <w:rPr>
          <w:lang w:val="en-US"/>
        </w:rPr>
      </w:pPr>
      <w:bookmarkStart w:id="87" w:name="_Toc51045486"/>
      <w:r>
        <w:rPr>
          <w:lang w:val="en-US"/>
        </w:rPr>
        <w:t>3</w:t>
      </w:r>
      <w:r>
        <w:rPr>
          <w:lang w:val="en-US"/>
        </w:rPr>
        <w:tab/>
        <w:t>Compatibility threshold</w:t>
      </w:r>
      <w:bookmarkEnd w:id="87"/>
    </w:p>
    <w:p w:rsidR="00B9359B" w:rsidRDefault="009A5268">
      <w:pPr>
        <w:rPr>
          <w:lang w:val="en-US"/>
        </w:rPr>
      </w:pPr>
      <w:r>
        <w:rPr>
          <w:lang w:val="en-US"/>
        </w:rPr>
        <w:t xml:space="preserve">The passive service interference threshold from Recommendation ITU-R SA.1029 is </w:t>
      </w:r>
      <w:r>
        <w:rPr>
          <w:rFonts w:ascii="Symbol" w:hAnsi="Symbol"/>
          <w:lang w:val="en-US"/>
        </w:rPr>
        <w:noBreakHyphen/>
      </w:r>
      <w:r>
        <w:rPr>
          <w:lang w:val="en-US"/>
        </w:rPr>
        <w:t>171 dBW in 27 MHz for sensors operating near 1</w:t>
      </w:r>
      <w:r>
        <w:rPr>
          <w:rFonts w:ascii="Tms Rmn" w:hAnsi="Tms Rmn"/>
          <w:sz w:val="12"/>
          <w:lang w:val="en-US"/>
        </w:rPr>
        <w:t> </w:t>
      </w:r>
      <w:r>
        <w:rPr>
          <w:lang w:val="en-US"/>
        </w:rPr>
        <w:t>400 MHz.</w:t>
      </w:r>
    </w:p>
    <w:p w:rsidR="00B9359B" w:rsidRDefault="009A5268">
      <w:pPr>
        <w:rPr>
          <w:lang w:val="en-US"/>
        </w:rPr>
      </w:pPr>
      <w:r>
        <w:rPr>
          <w:lang w:val="en-US"/>
        </w:rPr>
        <w:t>Interference is potentially received from several sources from multiple services simultaneously. The value listed in Recommendation ITU-R SA.1029 (for a specific band) is the maximum allowable interference level for the passive sensor.</w:t>
      </w:r>
    </w:p>
    <w:p w:rsidR="00B9359B" w:rsidRDefault="009A5268">
      <w:pPr>
        <w:rPr>
          <w:lang w:val="en-US"/>
        </w:rPr>
      </w:pPr>
      <w:r>
        <w:rPr>
          <w:lang w:val="en-US"/>
        </w:rPr>
        <w:t>This Annex provides an analysis of the interference generated by a single active service.</w:t>
      </w:r>
    </w:p>
    <w:p w:rsidR="00B9359B" w:rsidRDefault="009A5268">
      <w:pPr>
        <w:rPr>
          <w:lang w:val="en-US"/>
        </w:rPr>
      </w:pPr>
      <w:r>
        <w:rPr>
          <w:lang w:val="en-US"/>
        </w:rPr>
        <w:t>Further work is needed to address the impact of these multiple active services operating above and below the passive band.</w:t>
      </w:r>
    </w:p>
    <w:p w:rsidR="00B9359B" w:rsidRDefault="009A5268">
      <w:pPr>
        <w:pStyle w:val="Heading1"/>
        <w:rPr>
          <w:lang w:val="en-US"/>
        </w:rPr>
      </w:pPr>
      <w:bookmarkStart w:id="88" w:name="_Toc51045487"/>
      <w:r>
        <w:rPr>
          <w:lang w:val="en-US"/>
        </w:rPr>
        <w:br w:type="page"/>
        <w:t>4</w:t>
      </w:r>
      <w:r>
        <w:rPr>
          <w:lang w:val="en-US"/>
        </w:rPr>
        <w:tab/>
        <w:t>Interference assessment</w:t>
      </w:r>
      <w:bookmarkEnd w:id="88"/>
    </w:p>
    <w:p w:rsidR="00B9359B" w:rsidRDefault="009A5268">
      <w:pPr>
        <w:pStyle w:val="Heading2"/>
        <w:rPr>
          <w:lang w:val="en-US"/>
        </w:rPr>
      </w:pPr>
      <w:bookmarkStart w:id="89" w:name="_Toc51045488"/>
      <w:r>
        <w:rPr>
          <w:lang w:val="en-US"/>
        </w:rPr>
        <w:t>4.1</w:t>
      </w:r>
      <w:r>
        <w:rPr>
          <w:lang w:val="en-US"/>
        </w:rPr>
        <w:tab/>
        <w:t>Methodology used to assess interference level</w:t>
      </w:r>
      <w:bookmarkEnd w:id="89"/>
    </w:p>
    <w:p w:rsidR="00B9359B" w:rsidRDefault="009A5268">
      <w:pPr>
        <w:rPr>
          <w:lang w:val="en-US"/>
        </w:rPr>
      </w:pPr>
      <w:r>
        <w:rPr>
          <w:lang w:val="en-US"/>
        </w:rPr>
        <w:t>The first step is to analyse the co-channel interference case. From this, the required attenuation is found to satisfy the EESS (passive) protection criteria. The second step is to calculate the attenuation when the EESS (passive) band is falling just outside the –</w:t>
      </w:r>
      <w:r>
        <w:rPr>
          <w:sz w:val="4"/>
          <w:lang w:val="en-US"/>
        </w:rPr>
        <w:t> </w:t>
      </w:r>
      <w:r>
        <w:rPr>
          <w:lang w:val="en-US"/>
        </w:rPr>
        <w:t>40 dB bandwidth of the radar.</w:t>
      </w:r>
    </w:p>
    <w:p w:rsidR="00B9359B" w:rsidRDefault="009A5268">
      <w:pPr>
        <w:pStyle w:val="Heading2"/>
        <w:rPr>
          <w:lang w:val="en-US"/>
        </w:rPr>
      </w:pPr>
      <w:bookmarkStart w:id="90" w:name="_Toc51045489"/>
      <w:r>
        <w:rPr>
          <w:lang w:val="en-US"/>
        </w:rPr>
        <w:t>4.2</w:t>
      </w:r>
      <w:r>
        <w:rPr>
          <w:lang w:val="en-US"/>
        </w:rPr>
        <w:tab/>
        <w:t>Calculation of interference level</w:t>
      </w:r>
      <w:bookmarkEnd w:id="90"/>
    </w:p>
    <w:p w:rsidR="00B9359B" w:rsidRDefault="009A5268">
      <w:pPr>
        <w:pStyle w:val="Heading3"/>
        <w:rPr>
          <w:lang w:val="en-US"/>
        </w:rPr>
      </w:pPr>
      <w:bookmarkStart w:id="91" w:name="_Toc51045490"/>
      <w:r>
        <w:rPr>
          <w:lang w:val="en-US"/>
        </w:rPr>
        <w:t>4.2.1</w:t>
      </w:r>
      <w:r>
        <w:rPr>
          <w:lang w:val="en-US"/>
        </w:rPr>
        <w:tab/>
        <w:t>Required attenuation in passive band</w:t>
      </w:r>
      <w:bookmarkEnd w:id="91"/>
    </w:p>
    <w:p w:rsidR="00B9359B" w:rsidRDefault="009A5268">
      <w:pPr>
        <w:rPr>
          <w:lang w:val="en-US"/>
        </w:rPr>
      </w:pPr>
      <w:r>
        <w:rPr>
          <w:lang w:val="en-US"/>
        </w:rPr>
        <w:t>The required attenuation for the four radiolocation systems is given in Table 9.</w:t>
      </w:r>
    </w:p>
    <w:p w:rsidR="00B9359B" w:rsidRDefault="009A5268">
      <w:pPr>
        <w:pStyle w:val="TableNo"/>
        <w:rPr>
          <w:lang w:val="en-US"/>
        </w:rPr>
      </w:pPr>
      <w:r>
        <w:rPr>
          <w:lang w:val="en-US"/>
        </w:rPr>
        <w:t>TABLE  9</w:t>
      </w:r>
    </w:p>
    <w:p w:rsidR="00B9359B" w:rsidRDefault="009A5268">
      <w:pPr>
        <w:pStyle w:val="Tabletitle"/>
        <w:rPr>
          <w:lang w:val="en-US"/>
        </w:rPr>
      </w:pPr>
      <w:r>
        <w:rPr>
          <w:lang w:val="en-US"/>
        </w:rPr>
        <w:t>Compatibility analysis with radar</w:t>
      </w:r>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09"/>
        <w:gridCol w:w="753"/>
        <w:gridCol w:w="728"/>
        <w:gridCol w:w="752"/>
        <w:gridCol w:w="738"/>
        <w:gridCol w:w="753"/>
        <w:gridCol w:w="753"/>
        <w:gridCol w:w="738"/>
        <w:gridCol w:w="815"/>
      </w:tblGrid>
      <w:tr w:rsidR="00B9359B">
        <w:trPr>
          <w:trHeight w:val="276"/>
        </w:trPr>
        <w:tc>
          <w:tcPr>
            <w:tcW w:w="3558" w:type="dxa"/>
            <w:vAlign w:val="bottom"/>
          </w:tcPr>
          <w:p w:rsidR="00B9359B" w:rsidRDefault="00B9359B">
            <w:pPr>
              <w:pStyle w:val="Tablehead"/>
              <w:framePr w:hSpace="181" w:wrap="notBeside" w:vAnchor="text" w:hAnchor="text" w:xAlign="center" w:y="1"/>
              <w:jc w:val="left"/>
              <w:rPr>
                <w:rFonts w:eastAsia="Arial Unicode MS"/>
                <w:lang w:val="en-US"/>
              </w:rPr>
            </w:pPr>
          </w:p>
        </w:tc>
        <w:tc>
          <w:tcPr>
            <w:tcW w:w="1460" w:type="dxa"/>
            <w:gridSpan w:val="2"/>
            <w:vAlign w:val="bottom"/>
          </w:tcPr>
          <w:p w:rsidR="00B9359B" w:rsidRDefault="009A5268">
            <w:pPr>
              <w:pStyle w:val="Tablehead"/>
              <w:framePr w:hSpace="181" w:wrap="notBeside" w:vAnchor="text" w:hAnchor="text" w:xAlign="center" w:y="1"/>
              <w:rPr>
                <w:rFonts w:eastAsia="Arial Unicode MS"/>
                <w:lang w:val="en-US"/>
              </w:rPr>
            </w:pPr>
            <w:r>
              <w:rPr>
                <w:lang w:val="en-US"/>
              </w:rPr>
              <w:t>System 1</w:t>
            </w:r>
          </w:p>
        </w:tc>
        <w:tc>
          <w:tcPr>
            <w:tcW w:w="1469" w:type="dxa"/>
            <w:gridSpan w:val="2"/>
            <w:vAlign w:val="bottom"/>
          </w:tcPr>
          <w:p w:rsidR="00B9359B" w:rsidRDefault="009A5268">
            <w:pPr>
              <w:pStyle w:val="Tablehead"/>
              <w:framePr w:hSpace="181" w:wrap="notBeside" w:vAnchor="text" w:hAnchor="text" w:xAlign="center" w:y="1"/>
              <w:rPr>
                <w:rFonts w:eastAsia="Arial Unicode MS"/>
                <w:lang w:val="en-US"/>
              </w:rPr>
            </w:pPr>
            <w:r>
              <w:rPr>
                <w:lang w:val="en-US"/>
              </w:rPr>
              <w:t>System 2</w:t>
            </w:r>
          </w:p>
        </w:tc>
        <w:tc>
          <w:tcPr>
            <w:tcW w:w="1484" w:type="dxa"/>
            <w:gridSpan w:val="2"/>
            <w:vAlign w:val="bottom"/>
          </w:tcPr>
          <w:p w:rsidR="00B9359B" w:rsidRDefault="009A5268">
            <w:pPr>
              <w:pStyle w:val="Tablehead"/>
              <w:framePr w:hSpace="181" w:wrap="notBeside" w:vAnchor="text" w:hAnchor="text" w:xAlign="center" w:y="1"/>
              <w:rPr>
                <w:rFonts w:eastAsia="Arial Unicode MS"/>
                <w:lang w:val="en-US"/>
              </w:rPr>
            </w:pPr>
            <w:r>
              <w:rPr>
                <w:lang w:val="en-US"/>
              </w:rPr>
              <w:t>System 3</w:t>
            </w:r>
          </w:p>
        </w:tc>
        <w:tc>
          <w:tcPr>
            <w:tcW w:w="1531" w:type="dxa"/>
            <w:gridSpan w:val="2"/>
            <w:vAlign w:val="bottom"/>
          </w:tcPr>
          <w:p w:rsidR="00B9359B" w:rsidRDefault="009A5268">
            <w:pPr>
              <w:pStyle w:val="Tablehead"/>
              <w:framePr w:hSpace="181" w:wrap="notBeside" w:vAnchor="text" w:hAnchor="text" w:xAlign="center" w:y="1"/>
              <w:rPr>
                <w:rFonts w:eastAsia="Arial Unicode MS"/>
                <w:lang w:val="en-US"/>
              </w:rPr>
            </w:pPr>
            <w:r>
              <w:rPr>
                <w:lang w:val="en-US"/>
              </w:rPr>
              <w:t>System 4</w:t>
            </w:r>
          </w:p>
        </w:tc>
      </w:tr>
      <w:tr w:rsidR="00B9359B">
        <w:trPr>
          <w:trHeight w:val="264"/>
        </w:trPr>
        <w:tc>
          <w:tcPr>
            <w:tcW w:w="3558" w:type="dxa"/>
            <w:vAlign w:val="bottom"/>
          </w:tcPr>
          <w:p w:rsidR="00B9359B" w:rsidRDefault="009A5268">
            <w:pPr>
              <w:pStyle w:val="Tabletext"/>
              <w:framePr w:hSpace="181" w:wrap="notBeside" w:vAnchor="text" w:hAnchor="text" w:xAlign="center" w:y="1"/>
              <w:spacing w:before="60" w:after="60"/>
              <w:jc w:val="left"/>
              <w:rPr>
                <w:rFonts w:eastAsia="Arial Unicode MS"/>
                <w:lang w:val="en-US"/>
              </w:rPr>
            </w:pPr>
            <w:r>
              <w:rPr>
                <w:lang w:val="en-US"/>
              </w:rPr>
              <w:t>Peak power (dBW)</w:t>
            </w:r>
          </w:p>
        </w:tc>
        <w:tc>
          <w:tcPr>
            <w:tcW w:w="1460" w:type="dxa"/>
            <w:gridSpan w:val="2"/>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67</w:t>
            </w:r>
          </w:p>
        </w:tc>
        <w:tc>
          <w:tcPr>
            <w:tcW w:w="1469" w:type="dxa"/>
            <w:gridSpan w:val="2"/>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50</w:t>
            </w:r>
          </w:p>
        </w:tc>
        <w:tc>
          <w:tcPr>
            <w:tcW w:w="1484" w:type="dxa"/>
            <w:gridSpan w:val="2"/>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46.5</w:t>
            </w:r>
          </w:p>
        </w:tc>
        <w:tc>
          <w:tcPr>
            <w:tcW w:w="1531" w:type="dxa"/>
            <w:gridSpan w:val="2"/>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50</w:t>
            </w:r>
          </w:p>
        </w:tc>
      </w:tr>
      <w:tr w:rsidR="00B9359B">
        <w:trPr>
          <w:trHeight w:val="264"/>
        </w:trPr>
        <w:tc>
          <w:tcPr>
            <w:tcW w:w="3558" w:type="dxa"/>
            <w:vAlign w:val="bottom"/>
          </w:tcPr>
          <w:p w:rsidR="00B9359B" w:rsidRDefault="009A5268">
            <w:pPr>
              <w:pStyle w:val="Tabletext"/>
              <w:framePr w:hSpace="181" w:wrap="notBeside" w:vAnchor="text" w:hAnchor="text" w:xAlign="center" w:y="1"/>
              <w:spacing w:before="60" w:after="60"/>
              <w:jc w:val="left"/>
              <w:rPr>
                <w:rFonts w:eastAsia="Arial Unicode MS"/>
                <w:lang w:val="en-US"/>
              </w:rPr>
            </w:pPr>
            <w:r>
              <w:rPr>
                <w:lang w:val="en-US"/>
              </w:rPr>
              <w:t>Radar antenna gain (dBi)</w:t>
            </w:r>
          </w:p>
        </w:tc>
        <w:tc>
          <w:tcPr>
            <w:tcW w:w="1460" w:type="dxa"/>
            <w:gridSpan w:val="2"/>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34.5</w:t>
            </w:r>
          </w:p>
        </w:tc>
        <w:tc>
          <w:tcPr>
            <w:tcW w:w="1469" w:type="dxa"/>
            <w:gridSpan w:val="2"/>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34.2</w:t>
            </w:r>
          </w:p>
        </w:tc>
        <w:tc>
          <w:tcPr>
            <w:tcW w:w="1484" w:type="dxa"/>
            <w:gridSpan w:val="2"/>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38.9</w:t>
            </w:r>
          </w:p>
        </w:tc>
        <w:tc>
          <w:tcPr>
            <w:tcW w:w="1531" w:type="dxa"/>
            <w:gridSpan w:val="2"/>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32.5</w:t>
            </w:r>
          </w:p>
        </w:tc>
      </w:tr>
      <w:tr w:rsidR="00B9359B">
        <w:trPr>
          <w:trHeight w:val="264"/>
        </w:trPr>
        <w:tc>
          <w:tcPr>
            <w:tcW w:w="3558" w:type="dxa"/>
            <w:vAlign w:val="bottom"/>
          </w:tcPr>
          <w:p w:rsidR="00B9359B" w:rsidRDefault="009A5268">
            <w:pPr>
              <w:pStyle w:val="Tabletext"/>
              <w:framePr w:hSpace="181" w:wrap="notBeside" w:vAnchor="text" w:hAnchor="text" w:xAlign="center" w:y="1"/>
              <w:spacing w:before="60" w:after="60"/>
              <w:jc w:val="left"/>
              <w:rPr>
                <w:rFonts w:eastAsia="Arial Unicode MS"/>
                <w:lang w:val="en-US"/>
              </w:rPr>
            </w:pPr>
            <w:r>
              <w:rPr>
                <w:lang w:val="en-US"/>
              </w:rPr>
              <w:t>Duty cycle allowance (dB)</w:t>
            </w:r>
          </w:p>
        </w:tc>
        <w:tc>
          <w:tcPr>
            <w:tcW w:w="1460" w:type="dxa"/>
            <w:gridSpan w:val="2"/>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–31.2</w:t>
            </w:r>
          </w:p>
        </w:tc>
        <w:tc>
          <w:tcPr>
            <w:tcW w:w="1469" w:type="dxa"/>
            <w:gridSpan w:val="2"/>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–15.7</w:t>
            </w:r>
          </w:p>
        </w:tc>
        <w:tc>
          <w:tcPr>
            <w:tcW w:w="1484" w:type="dxa"/>
            <w:gridSpan w:val="2"/>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–10.9</w:t>
            </w:r>
          </w:p>
        </w:tc>
        <w:tc>
          <w:tcPr>
            <w:tcW w:w="1531" w:type="dxa"/>
            <w:gridSpan w:val="2"/>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–15.2</w:t>
            </w:r>
          </w:p>
        </w:tc>
      </w:tr>
      <w:tr w:rsidR="00B9359B">
        <w:trPr>
          <w:trHeight w:val="264"/>
        </w:trPr>
        <w:tc>
          <w:tcPr>
            <w:tcW w:w="3558" w:type="dxa"/>
            <w:vAlign w:val="bottom"/>
          </w:tcPr>
          <w:p w:rsidR="00B9359B" w:rsidRDefault="009A5268">
            <w:pPr>
              <w:pStyle w:val="Tabletext"/>
              <w:framePr w:hSpace="181" w:wrap="notBeside" w:vAnchor="text" w:hAnchor="text" w:xAlign="center" w:y="1"/>
              <w:spacing w:before="60" w:after="60"/>
              <w:jc w:val="left"/>
              <w:rPr>
                <w:rFonts w:eastAsia="Arial Unicode MS"/>
                <w:lang w:val="en-US"/>
              </w:rPr>
            </w:pPr>
            <w:r>
              <w:rPr>
                <w:lang w:val="en-US"/>
              </w:rPr>
              <w:t xml:space="preserve">Free space loss </w:t>
            </w:r>
            <w:r>
              <w:rPr>
                <w:sz w:val="20"/>
                <w:lang w:val="en-US"/>
              </w:rPr>
              <w:t>SMOS/HYDROS</w:t>
            </w:r>
            <w:r>
              <w:rPr>
                <w:lang w:val="en-US"/>
              </w:rPr>
              <w:t xml:space="preserve"> (dB)</w:t>
            </w:r>
          </w:p>
        </w:tc>
        <w:tc>
          <w:tcPr>
            <w:tcW w:w="742"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152.9</w:t>
            </w:r>
          </w:p>
        </w:tc>
        <w:tc>
          <w:tcPr>
            <w:tcW w:w="718"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rFonts w:eastAsia="Arial Unicode MS"/>
                <w:lang w:val="en-US"/>
              </w:rPr>
              <w:t>154.4</w:t>
            </w:r>
          </w:p>
        </w:tc>
        <w:tc>
          <w:tcPr>
            <w:tcW w:w="74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152.9</w:t>
            </w:r>
          </w:p>
        </w:tc>
        <w:tc>
          <w:tcPr>
            <w:tcW w:w="728"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rFonts w:eastAsia="Arial Unicode MS"/>
                <w:lang w:val="en-US"/>
              </w:rPr>
              <w:t>154.4</w:t>
            </w:r>
          </w:p>
        </w:tc>
        <w:tc>
          <w:tcPr>
            <w:tcW w:w="742"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152.9</w:t>
            </w:r>
          </w:p>
        </w:tc>
        <w:tc>
          <w:tcPr>
            <w:tcW w:w="742"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rFonts w:eastAsia="Arial Unicode MS"/>
                <w:lang w:val="en-US"/>
              </w:rPr>
              <w:t>154.4</w:t>
            </w:r>
          </w:p>
        </w:tc>
        <w:tc>
          <w:tcPr>
            <w:tcW w:w="728"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152.9</w:t>
            </w:r>
          </w:p>
        </w:tc>
        <w:tc>
          <w:tcPr>
            <w:tcW w:w="803"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rFonts w:eastAsia="Arial Unicode MS"/>
                <w:lang w:val="en-US"/>
              </w:rPr>
              <w:t>154.4</w:t>
            </w:r>
          </w:p>
        </w:tc>
      </w:tr>
      <w:tr w:rsidR="00B9359B">
        <w:trPr>
          <w:trHeight w:val="264"/>
        </w:trPr>
        <w:tc>
          <w:tcPr>
            <w:tcW w:w="3558" w:type="dxa"/>
            <w:vAlign w:val="bottom"/>
          </w:tcPr>
          <w:p w:rsidR="00B9359B" w:rsidRDefault="009A5268">
            <w:pPr>
              <w:pStyle w:val="Tabletext"/>
              <w:framePr w:hSpace="181" w:wrap="notBeside" w:vAnchor="text" w:hAnchor="text" w:xAlign="center" w:y="1"/>
              <w:spacing w:before="60" w:after="60"/>
              <w:jc w:val="left"/>
              <w:rPr>
                <w:rFonts w:eastAsia="Arial Unicode MS"/>
                <w:lang w:val="en-US"/>
              </w:rPr>
            </w:pPr>
            <w:r>
              <w:rPr>
                <w:lang w:val="en-US"/>
              </w:rPr>
              <w:t>Sensor ant gain</w:t>
            </w:r>
            <w:r>
              <w:rPr>
                <w:sz w:val="20"/>
                <w:lang w:val="en-US"/>
              </w:rPr>
              <w:t xml:space="preserve"> SMOS/HYDROS</w:t>
            </w:r>
            <w:r>
              <w:rPr>
                <w:lang w:val="en-US"/>
              </w:rPr>
              <w:t xml:space="preserve"> (dBi)</w:t>
            </w:r>
          </w:p>
        </w:tc>
        <w:tc>
          <w:tcPr>
            <w:tcW w:w="742"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9</w:t>
            </w:r>
          </w:p>
        </w:tc>
        <w:tc>
          <w:tcPr>
            <w:tcW w:w="718"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rFonts w:eastAsia="Arial Unicode MS"/>
                <w:lang w:val="en-US"/>
              </w:rPr>
              <w:t>35</w:t>
            </w:r>
          </w:p>
        </w:tc>
        <w:tc>
          <w:tcPr>
            <w:tcW w:w="74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9</w:t>
            </w:r>
          </w:p>
        </w:tc>
        <w:tc>
          <w:tcPr>
            <w:tcW w:w="728"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rFonts w:eastAsia="Arial Unicode MS"/>
                <w:lang w:val="en-US"/>
              </w:rPr>
              <w:t>35</w:t>
            </w:r>
          </w:p>
        </w:tc>
        <w:tc>
          <w:tcPr>
            <w:tcW w:w="742"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9</w:t>
            </w:r>
          </w:p>
        </w:tc>
        <w:tc>
          <w:tcPr>
            <w:tcW w:w="742"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rFonts w:eastAsia="Arial Unicode MS"/>
                <w:lang w:val="en-US"/>
              </w:rPr>
              <w:t>35</w:t>
            </w:r>
          </w:p>
        </w:tc>
        <w:tc>
          <w:tcPr>
            <w:tcW w:w="728"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9</w:t>
            </w:r>
          </w:p>
        </w:tc>
        <w:tc>
          <w:tcPr>
            <w:tcW w:w="803"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rFonts w:eastAsia="Arial Unicode MS"/>
                <w:lang w:val="en-US"/>
              </w:rPr>
              <w:t>35</w:t>
            </w:r>
          </w:p>
        </w:tc>
      </w:tr>
      <w:tr w:rsidR="00B9359B">
        <w:trPr>
          <w:trHeight w:val="264"/>
        </w:trPr>
        <w:tc>
          <w:tcPr>
            <w:tcW w:w="3558" w:type="dxa"/>
            <w:vAlign w:val="bottom"/>
          </w:tcPr>
          <w:p w:rsidR="00B9359B" w:rsidRDefault="009A5268">
            <w:pPr>
              <w:pStyle w:val="Tabletext"/>
              <w:framePr w:hSpace="181" w:wrap="notBeside" w:vAnchor="text" w:hAnchor="text" w:xAlign="center" w:y="1"/>
              <w:spacing w:before="60" w:after="60"/>
              <w:jc w:val="left"/>
              <w:rPr>
                <w:rFonts w:eastAsia="Arial Unicode MS"/>
                <w:lang w:val="en-US"/>
              </w:rPr>
            </w:pPr>
            <w:r>
              <w:rPr>
                <w:lang w:val="en-US"/>
              </w:rPr>
              <w:t>Co-channel received power (dBW)</w:t>
            </w:r>
          </w:p>
        </w:tc>
        <w:tc>
          <w:tcPr>
            <w:tcW w:w="1460" w:type="dxa"/>
            <w:gridSpan w:val="2"/>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–73.6</w:t>
            </w:r>
          </w:p>
        </w:tc>
        <w:tc>
          <w:tcPr>
            <w:tcW w:w="1469" w:type="dxa"/>
            <w:gridSpan w:val="2"/>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–75.4</w:t>
            </w:r>
          </w:p>
        </w:tc>
        <w:tc>
          <w:tcPr>
            <w:tcW w:w="1484" w:type="dxa"/>
            <w:gridSpan w:val="2"/>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–69.4</w:t>
            </w:r>
          </w:p>
        </w:tc>
        <w:tc>
          <w:tcPr>
            <w:tcW w:w="1531" w:type="dxa"/>
            <w:gridSpan w:val="2"/>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–76.6</w:t>
            </w:r>
          </w:p>
        </w:tc>
      </w:tr>
      <w:tr w:rsidR="00B9359B">
        <w:trPr>
          <w:trHeight w:val="264"/>
        </w:trPr>
        <w:tc>
          <w:tcPr>
            <w:tcW w:w="3558" w:type="dxa"/>
            <w:vAlign w:val="bottom"/>
          </w:tcPr>
          <w:p w:rsidR="00B9359B" w:rsidRDefault="009A5268">
            <w:pPr>
              <w:pStyle w:val="Tabletext"/>
              <w:framePr w:hSpace="181" w:wrap="notBeside" w:vAnchor="text" w:hAnchor="text" w:xAlign="center" w:y="1"/>
              <w:spacing w:before="60" w:after="60"/>
              <w:jc w:val="left"/>
              <w:rPr>
                <w:rFonts w:eastAsia="Arial Unicode MS"/>
                <w:lang w:val="en-US"/>
              </w:rPr>
            </w:pPr>
            <w:r>
              <w:rPr>
                <w:lang w:val="en-US"/>
              </w:rPr>
              <w:t>Interference threshold (dBW)</w:t>
            </w:r>
          </w:p>
        </w:tc>
        <w:tc>
          <w:tcPr>
            <w:tcW w:w="1460" w:type="dxa"/>
            <w:gridSpan w:val="2"/>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–171</w:t>
            </w:r>
          </w:p>
        </w:tc>
        <w:tc>
          <w:tcPr>
            <w:tcW w:w="1469" w:type="dxa"/>
            <w:gridSpan w:val="2"/>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–171</w:t>
            </w:r>
          </w:p>
        </w:tc>
        <w:tc>
          <w:tcPr>
            <w:tcW w:w="1484" w:type="dxa"/>
            <w:gridSpan w:val="2"/>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–171</w:t>
            </w:r>
          </w:p>
        </w:tc>
        <w:tc>
          <w:tcPr>
            <w:tcW w:w="1531" w:type="dxa"/>
            <w:gridSpan w:val="2"/>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–171</w:t>
            </w:r>
          </w:p>
        </w:tc>
      </w:tr>
      <w:tr w:rsidR="00B9359B">
        <w:trPr>
          <w:trHeight w:val="276"/>
        </w:trPr>
        <w:tc>
          <w:tcPr>
            <w:tcW w:w="3558" w:type="dxa"/>
            <w:vAlign w:val="bottom"/>
          </w:tcPr>
          <w:p w:rsidR="00B9359B" w:rsidRDefault="009A5268">
            <w:pPr>
              <w:pStyle w:val="Tabletext"/>
              <w:framePr w:hSpace="181" w:wrap="notBeside" w:vAnchor="text" w:hAnchor="text" w:xAlign="center" w:y="1"/>
              <w:spacing w:before="60" w:after="60"/>
              <w:jc w:val="left"/>
              <w:rPr>
                <w:rFonts w:eastAsia="Arial Unicode MS"/>
                <w:lang w:val="en-US"/>
              </w:rPr>
            </w:pPr>
            <w:r>
              <w:rPr>
                <w:lang w:val="en-US"/>
              </w:rPr>
              <w:t>Required attenuation (dB)</w:t>
            </w:r>
          </w:p>
        </w:tc>
        <w:tc>
          <w:tcPr>
            <w:tcW w:w="742"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97.4</w:t>
            </w:r>
          </w:p>
        </w:tc>
        <w:tc>
          <w:tcPr>
            <w:tcW w:w="718"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rFonts w:eastAsia="Arial Unicode MS"/>
                <w:lang w:val="en-US"/>
              </w:rPr>
              <w:t>121.9</w:t>
            </w:r>
          </w:p>
        </w:tc>
        <w:tc>
          <w:tcPr>
            <w:tcW w:w="74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95.6</w:t>
            </w:r>
          </w:p>
        </w:tc>
        <w:tc>
          <w:tcPr>
            <w:tcW w:w="728"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rFonts w:eastAsia="Arial Unicode MS"/>
                <w:lang w:val="en-US"/>
              </w:rPr>
              <w:t>120.1</w:t>
            </w:r>
          </w:p>
        </w:tc>
        <w:tc>
          <w:tcPr>
            <w:tcW w:w="742"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101.6</w:t>
            </w:r>
          </w:p>
        </w:tc>
        <w:tc>
          <w:tcPr>
            <w:tcW w:w="742"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rFonts w:eastAsia="Arial Unicode MS"/>
                <w:lang w:val="en-US"/>
              </w:rPr>
              <w:t>126.1</w:t>
            </w:r>
          </w:p>
        </w:tc>
        <w:tc>
          <w:tcPr>
            <w:tcW w:w="728"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94.4</w:t>
            </w:r>
          </w:p>
        </w:tc>
        <w:tc>
          <w:tcPr>
            <w:tcW w:w="803"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rFonts w:eastAsia="Arial Unicode MS"/>
                <w:lang w:val="en-US"/>
              </w:rPr>
              <w:t>118.9</w:t>
            </w:r>
          </w:p>
        </w:tc>
      </w:tr>
    </w:tbl>
    <w:p w:rsidR="00B9359B" w:rsidRDefault="00B9359B">
      <w:pPr>
        <w:pStyle w:val="Tablefin"/>
      </w:pPr>
    </w:p>
    <w:p w:rsidR="00B9359B" w:rsidRDefault="009A5268">
      <w:pPr>
        <w:rPr>
          <w:lang w:val="en-US"/>
        </w:rPr>
      </w:pPr>
      <w:r>
        <w:rPr>
          <w:lang w:val="en-US"/>
        </w:rPr>
        <w:t>Of course, these values result from a worst-case situation. But even when the radar antenna gain would be 0 dBi, the required attenuation would be 62.9, 61.4, 62.7 and 61.9 dB for Systems 1 to 4, respectively for SMOS and would be 87.4, 85.9, 87.2 and 86.4 for Systems 1 to 4, respectively for HYDROS.</w:t>
      </w:r>
    </w:p>
    <w:p w:rsidR="00B9359B" w:rsidRDefault="009A5268">
      <w:pPr>
        <w:pStyle w:val="Heading3"/>
        <w:rPr>
          <w:lang w:val="en-US"/>
        </w:rPr>
      </w:pPr>
      <w:bookmarkStart w:id="92" w:name="_Toc51045491"/>
      <w:r>
        <w:rPr>
          <w:lang w:val="en-US"/>
        </w:rPr>
        <w:t>4.2.2</w:t>
      </w:r>
      <w:r>
        <w:rPr>
          <w:lang w:val="en-US"/>
        </w:rPr>
        <w:tab/>
        <w:t>Calculation of unwanted emissions from radar Systems 1 and 2</w:t>
      </w:r>
      <w:bookmarkEnd w:id="92"/>
    </w:p>
    <w:p w:rsidR="00B9359B" w:rsidRDefault="009A5268">
      <w:pPr>
        <w:rPr>
          <w:lang w:val="en-US"/>
        </w:rPr>
      </w:pPr>
      <w:r>
        <w:rPr>
          <w:lang w:val="en-US"/>
        </w:rPr>
        <w:t>An assumption used in this analysis is that the –</w:t>
      </w:r>
      <w:r>
        <w:rPr>
          <w:sz w:val="4"/>
          <w:lang w:val="en-US"/>
        </w:rPr>
        <w:t> </w:t>
      </w:r>
      <w:r>
        <w:rPr>
          <w:lang w:val="en-US"/>
        </w:rPr>
        <w:t>40 dB bandwidth of the radar is located within the 1</w:t>
      </w:r>
      <w:r>
        <w:rPr>
          <w:rFonts w:ascii="Tms Rmn" w:hAnsi="Tms Rmn"/>
          <w:sz w:val="12"/>
          <w:lang w:val="en-US"/>
        </w:rPr>
        <w:t> </w:t>
      </w:r>
      <w:r>
        <w:rPr>
          <w:lang w:val="en-US"/>
        </w:rPr>
        <w:t>350-1</w:t>
      </w:r>
      <w:r>
        <w:rPr>
          <w:rFonts w:ascii="Tms Rmn" w:hAnsi="Tms Rmn"/>
          <w:sz w:val="12"/>
          <w:lang w:val="en-US"/>
        </w:rPr>
        <w:t> </w:t>
      </w:r>
      <w:r>
        <w:rPr>
          <w:lang w:val="en-US"/>
        </w:rPr>
        <w:t>400 MHz and that the EESS-band is located from the 50% value of the –</w:t>
      </w:r>
      <w:r>
        <w:rPr>
          <w:sz w:val="4"/>
          <w:lang w:val="en-US"/>
        </w:rPr>
        <w:t> </w:t>
      </w:r>
      <w:r>
        <w:rPr>
          <w:lang w:val="en-US"/>
        </w:rPr>
        <w:t>40 dB bandwidth as depicted in Fig. 8.</w:t>
      </w:r>
    </w:p>
    <w:p w:rsidR="00B9359B" w:rsidRDefault="009A5268">
      <w:pPr>
        <w:rPr>
          <w:lang w:val="en-US"/>
        </w:rPr>
      </w:pPr>
      <w:r>
        <w:rPr>
          <w:lang w:val="en-US"/>
        </w:rPr>
        <w:t>For Systems 1 and 2 the attenuation levels have been calculated. This has been done using the mask and equations in Annex 8 of Recommendation ITU-R SM.1541. For the calculations of both the necessary bandwidth and the –</w:t>
      </w:r>
      <w:r>
        <w:rPr>
          <w:sz w:val="4"/>
          <w:lang w:val="en-US"/>
        </w:rPr>
        <w:t> </w:t>
      </w:r>
      <w:r>
        <w:rPr>
          <w:lang w:val="en-US"/>
        </w:rPr>
        <w:t>40 dB bandwidth the pulse rise-time is needed.</w:t>
      </w:r>
    </w:p>
    <w:p w:rsidR="00B9359B" w:rsidRDefault="009A5268">
      <w:pPr>
        <w:rPr>
          <w:lang w:val="en-US"/>
        </w:rPr>
      </w:pPr>
      <w:r>
        <w:rPr>
          <w:lang w:val="en-US"/>
        </w:rPr>
        <w:t>Regarding pulse rise time, the value of this parameter will vary as a function of radar type, and so it is not possible to assign a single value to this parameter for radars in the 1</w:t>
      </w:r>
      <w:r>
        <w:rPr>
          <w:rFonts w:ascii="Tms Rmn" w:hAnsi="Tms Rmn"/>
          <w:sz w:val="12"/>
          <w:lang w:val="en-US"/>
        </w:rPr>
        <w:t> </w:t>
      </w:r>
      <w:r>
        <w:rPr>
          <w:lang w:val="en-US"/>
        </w:rPr>
        <w:t>350-1</w:t>
      </w:r>
      <w:r>
        <w:rPr>
          <w:rFonts w:ascii="Tms Rmn" w:hAnsi="Tms Rmn"/>
          <w:sz w:val="12"/>
          <w:lang w:val="en-US"/>
        </w:rPr>
        <w:t> </w:t>
      </w:r>
      <w:r>
        <w:rPr>
          <w:lang w:val="en-US"/>
        </w:rPr>
        <w:t>400 MHz band. A value of 50 ns may however be of use as a reasonable approximation for systems in this band.</w:t>
      </w:r>
    </w:p>
    <w:p w:rsidR="00B9359B" w:rsidRDefault="009A5268">
      <w:pPr>
        <w:rPr>
          <w:lang w:val="en-US"/>
        </w:rPr>
      </w:pPr>
      <w:r>
        <w:rPr>
          <w:lang w:val="en-US"/>
        </w:rPr>
        <w:br w:type="page"/>
        <w:t xml:space="preserve">Accordingly, this parameter has been estimated at 50 ns for both Systems 1 and 2. For System 1, this resulted in a </w:t>
      </w:r>
      <w:r>
        <w:rPr>
          <w:i/>
          <w:iCs/>
          <w:lang w:val="en-US"/>
        </w:rPr>
        <w:t>B</w:t>
      </w:r>
      <w:r>
        <w:rPr>
          <w:i/>
          <w:iCs/>
          <w:vertAlign w:val="subscript"/>
          <w:lang w:val="en-US"/>
        </w:rPr>
        <w:t>N</w:t>
      </w:r>
      <w:r>
        <w:rPr>
          <w:lang w:val="en-US"/>
        </w:rPr>
        <w:t xml:space="preserve"> of 3.18 MHz and a </w:t>
      </w:r>
      <w:r>
        <w:rPr>
          <w:i/>
          <w:iCs/>
          <w:lang w:val="en-US"/>
        </w:rPr>
        <w:t>B</w:t>
      </w:r>
      <w:r>
        <w:rPr>
          <w:vertAlign w:val="subscript"/>
          <w:lang w:val="en-US"/>
        </w:rPr>
        <w:t>–</w:t>
      </w:r>
      <w:r>
        <w:rPr>
          <w:sz w:val="4"/>
          <w:vertAlign w:val="subscript"/>
          <w:lang w:val="en-US"/>
        </w:rPr>
        <w:t> </w:t>
      </w:r>
      <w:r>
        <w:rPr>
          <w:vertAlign w:val="subscript"/>
          <w:lang w:val="en-US"/>
        </w:rPr>
        <w:t>40</w:t>
      </w:r>
      <w:r>
        <w:rPr>
          <w:lang w:val="en-US"/>
        </w:rPr>
        <w:t xml:space="preserve"> of 19.6 MHz. For System 2, </w:t>
      </w:r>
      <w:r>
        <w:rPr>
          <w:i/>
          <w:iCs/>
          <w:lang w:val="en-US"/>
        </w:rPr>
        <w:t>B</w:t>
      </w:r>
      <w:r>
        <w:rPr>
          <w:i/>
          <w:iCs/>
          <w:vertAlign w:val="subscript"/>
          <w:lang w:val="en-US"/>
        </w:rPr>
        <w:t>N</w:t>
      </w:r>
      <w:r>
        <w:rPr>
          <w:lang w:val="en-US"/>
        </w:rPr>
        <w:t xml:space="preserve"> is 2.39 MHz and </w:t>
      </w:r>
      <w:r>
        <w:rPr>
          <w:i/>
          <w:iCs/>
          <w:lang w:val="en-US"/>
        </w:rPr>
        <w:t>B</w:t>
      </w:r>
      <w:r>
        <w:rPr>
          <w:vertAlign w:val="subscript"/>
          <w:lang w:val="en-US"/>
        </w:rPr>
        <w:t>–</w:t>
      </w:r>
      <w:r>
        <w:rPr>
          <w:sz w:val="4"/>
          <w:vertAlign w:val="subscript"/>
          <w:lang w:val="en-US"/>
        </w:rPr>
        <w:t> </w:t>
      </w:r>
      <w:r>
        <w:rPr>
          <w:vertAlign w:val="subscript"/>
          <w:lang w:val="en-US"/>
        </w:rPr>
        <w:t>40</w:t>
      </w:r>
      <w:r>
        <w:rPr>
          <w:lang w:val="en-US"/>
        </w:rPr>
        <w:t xml:space="preserve"> is 8.68 MHz.</w:t>
      </w:r>
    </w:p>
    <w:p w:rsidR="00B9359B" w:rsidRDefault="009A5268">
      <w:pPr>
        <w:rPr>
          <w:lang w:val="en-US"/>
        </w:rPr>
      </w:pPr>
      <w:r>
        <w:rPr>
          <w:lang w:val="en-US"/>
        </w:rPr>
        <w:t>The EESS (passive) band 1</w:t>
      </w:r>
      <w:r>
        <w:rPr>
          <w:rFonts w:ascii="Tms Rmn" w:hAnsi="Tms Rmn"/>
          <w:sz w:val="12"/>
          <w:lang w:val="en-US"/>
        </w:rPr>
        <w:t> </w:t>
      </w:r>
      <w:r>
        <w:rPr>
          <w:lang w:val="en-US"/>
        </w:rPr>
        <w:t>400</w:t>
      </w:r>
      <w:r>
        <w:rPr>
          <w:lang w:val="en-US"/>
        </w:rPr>
        <w:noBreakHyphen/>
        <w:t>1</w:t>
      </w:r>
      <w:r>
        <w:rPr>
          <w:rFonts w:ascii="Tms Rmn" w:hAnsi="Tms Rmn"/>
          <w:sz w:val="12"/>
          <w:lang w:val="en-US"/>
        </w:rPr>
        <w:t> </w:t>
      </w:r>
      <w:r>
        <w:rPr>
          <w:lang w:val="en-US"/>
        </w:rPr>
        <w:t xml:space="preserve">427 MHz runs from 50% to 187.75% in Fig. 7 for System 1 and from 50% to 361% for System 2. The unwanted emission power falling into the reference bandwidth of 27 MHz is </w:t>
      </w:r>
      <w:r>
        <w:sym w:font="Symbol" w:char="F02D"/>
      </w:r>
      <w:r>
        <w:rPr>
          <w:sz w:val="4"/>
          <w:lang w:val="en-US"/>
        </w:rPr>
        <w:t> </w:t>
      </w:r>
      <w:r>
        <w:rPr>
          <w:lang w:val="en-US"/>
        </w:rPr>
        <w:t xml:space="preserve">45.8 dBpp for System 1 and </w:t>
      </w:r>
      <w:r>
        <w:sym w:font="Symbol" w:char="F02D"/>
      </w:r>
      <w:r>
        <w:rPr>
          <w:sz w:val="4"/>
          <w:lang w:val="en-US"/>
        </w:rPr>
        <w:t> </w:t>
      </w:r>
      <w:r>
        <w:rPr>
          <w:lang w:val="en-US"/>
        </w:rPr>
        <w:t>48.7 dBpp for System 2.</w:t>
      </w:r>
    </w:p>
    <w:p w:rsidR="00B9359B" w:rsidRDefault="009A5268">
      <w:pPr>
        <w:pStyle w:val="Heading2"/>
        <w:rPr>
          <w:lang w:val="en-US"/>
        </w:rPr>
      </w:pPr>
      <w:bookmarkStart w:id="93" w:name="_Toc51045492"/>
      <w:r>
        <w:rPr>
          <w:lang w:val="en-US"/>
        </w:rPr>
        <w:t>4.3</w:t>
      </w:r>
      <w:r>
        <w:rPr>
          <w:lang w:val="en-US"/>
        </w:rPr>
        <w:tab/>
        <w:t>Values achieved</w:t>
      </w:r>
      <w:bookmarkEnd w:id="93"/>
    </w:p>
    <w:p w:rsidR="00B9359B" w:rsidRDefault="009A5268">
      <w:pPr>
        <w:rPr>
          <w:lang w:val="en-US"/>
        </w:rPr>
      </w:pPr>
      <w:r>
        <w:rPr>
          <w:lang w:val="en-US"/>
        </w:rPr>
        <w:t>For SMOS, the resulting margins for a radar side-lobe level of 0 dBi are 17.1 and 12.7 dB for Systems 1 and 2, respectively (for maximum radar antenna gains the analysis results in 51.6 and 46.9 dB).</w:t>
      </w:r>
    </w:p>
    <w:p w:rsidR="00B9359B" w:rsidRDefault="009A5268">
      <w:pPr>
        <w:rPr>
          <w:lang w:val="en-US"/>
        </w:rPr>
      </w:pPr>
      <w:r>
        <w:rPr>
          <w:lang w:val="en-US"/>
        </w:rPr>
        <w:t>For HYDROS, the resulting margins for a radar side-lobe level of 0 dBi are 41.6 and 37.2 dB for Systems 1 and 2, respectively (for maximum radar antenna gains the analysis results in 76.1 and 71.4 dB).</w:t>
      </w:r>
    </w:p>
    <w:p w:rsidR="00B9359B" w:rsidRDefault="009A5268">
      <w:pPr>
        <w:rPr>
          <w:lang w:val="en-US"/>
        </w:rPr>
      </w:pPr>
      <w:r>
        <w:rPr>
          <w:lang w:val="en-US"/>
        </w:rPr>
        <w:t>Obviously, the difference between the values achieved for the two EESS (passive) instruments can be explained by the different maximum antenna gains. However, the instantaneous antenna foot</w:t>
      </w:r>
      <w:r>
        <w:rPr>
          <w:lang w:val="en-US"/>
        </w:rPr>
        <w:softHyphen/>
        <w:t>prints of the two sensors counteract for this in the way that for SMOS, since it has a larger antenna swath (but lower antenna gain), the likelihood of being interfered at a given instance is higher.</w:t>
      </w:r>
    </w:p>
    <w:p w:rsidR="00B9359B" w:rsidRDefault="009A5268">
      <w:pPr>
        <w:rPr>
          <w:lang w:val="en-US"/>
        </w:rPr>
      </w:pPr>
      <w:r>
        <w:rPr>
          <w:lang w:val="en-US"/>
        </w:rPr>
        <w:t>This study has used the assumption that the –</w:t>
      </w:r>
      <w:r>
        <w:rPr>
          <w:sz w:val="4"/>
          <w:lang w:val="en-US"/>
        </w:rPr>
        <w:t> </w:t>
      </w:r>
      <w:r>
        <w:rPr>
          <w:lang w:val="en-US"/>
        </w:rPr>
        <w:t>40 dB bandwidth is completely comprised within the radiolocation band, which does not need to be valid for all systems. Also, one administration has performed detailed measurements on emissions from a number of radar types in the band 1</w:t>
      </w:r>
      <w:r>
        <w:rPr>
          <w:rFonts w:ascii="Tms Rmn" w:hAnsi="Tms Rmn"/>
          <w:sz w:val="12"/>
          <w:lang w:val="en-US"/>
        </w:rPr>
        <w:t> </w:t>
      </w:r>
      <w:r>
        <w:rPr>
          <w:lang w:val="en-US"/>
        </w:rPr>
        <w:t>350-1</w:t>
      </w:r>
      <w:r>
        <w:rPr>
          <w:rFonts w:ascii="Tms Rmn" w:hAnsi="Tms Rmn"/>
          <w:sz w:val="12"/>
          <w:lang w:val="en-US"/>
        </w:rPr>
        <w:t> </w:t>
      </w:r>
      <w:r>
        <w:rPr>
          <w:lang w:val="en-US"/>
        </w:rPr>
        <w:t>400 MHz, and has measured emission levels from those radars across adjacent bands. These measurements have shown that, in compliance with the RR, the radars occupy the necessary bandwidth at the band edge of 1</w:t>
      </w:r>
      <w:r>
        <w:rPr>
          <w:rFonts w:ascii="Tms Rmn" w:hAnsi="Tms Rmn"/>
          <w:sz w:val="12"/>
          <w:lang w:val="en-US"/>
        </w:rPr>
        <w:t> </w:t>
      </w:r>
      <w:r>
        <w:rPr>
          <w:lang w:val="en-US"/>
        </w:rPr>
        <w:t>400 MHz. The measured peak emission levels have been found to be approximately –20 dB at 1</w:t>
      </w:r>
      <w:r>
        <w:rPr>
          <w:rFonts w:ascii="Tms Rmn" w:hAnsi="Tms Rmn"/>
          <w:sz w:val="12"/>
          <w:lang w:val="en-US"/>
        </w:rPr>
        <w:t> </w:t>
      </w:r>
      <w:r>
        <w:rPr>
          <w:lang w:val="en-US"/>
        </w:rPr>
        <w:t xml:space="preserve">400 MHz as measured in a bandwidth of 1 MHz, relative to the maximum of the fundamental radar emission within the band. The same measurements show that a </w:t>
      </w:r>
      <w:r>
        <w:rPr>
          <w:rFonts w:ascii="Symbol" w:hAnsi="Symbol"/>
          <w:lang w:val="en-US"/>
        </w:rPr>
        <w:noBreakHyphen/>
      </w:r>
      <w:r>
        <w:rPr>
          <w:sz w:val="4"/>
          <w:lang w:val="en-US"/>
        </w:rPr>
        <w:t> </w:t>
      </w:r>
      <w:r>
        <w:rPr>
          <w:lang w:val="en-US"/>
        </w:rPr>
        <w:t>40 dB emission level is achieved at frequencies near 1</w:t>
      </w:r>
      <w:r>
        <w:rPr>
          <w:rFonts w:ascii="Tms Rmn" w:hAnsi="Tms Rmn"/>
          <w:sz w:val="12"/>
          <w:lang w:val="en-US"/>
        </w:rPr>
        <w:t> </w:t>
      </w:r>
      <w:r>
        <w:rPr>
          <w:lang w:val="en-US"/>
        </w:rPr>
        <w:t>420 MHz, as measured in a 1 MHz bandwidth.</w:t>
      </w:r>
    </w:p>
    <w:p w:rsidR="00B9359B" w:rsidRPr="0027724D" w:rsidRDefault="009A5268">
      <w:pPr>
        <w:pStyle w:val="Heading1"/>
        <w:rPr>
          <w:lang w:val="en-US"/>
        </w:rPr>
      </w:pPr>
      <w:bookmarkStart w:id="94" w:name="_Toc51045493"/>
      <w:r w:rsidRPr="0027724D">
        <w:rPr>
          <w:lang w:val="en-US"/>
        </w:rPr>
        <w:t>5</w:t>
      </w:r>
      <w:r w:rsidRPr="0027724D">
        <w:rPr>
          <w:lang w:val="en-US"/>
        </w:rPr>
        <w:tab/>
        <w:t>Mitigation techniques</w:t>
      </w:r>
      <w:bookmarkEnd w:id="94"/>
    </w:p>
    <w:p w:rsidR="00B9359B" w:rsidRPr="0027724D" w:rsidRDefault="009A5268">
      <w:pPr>
        <w:pStyle w:val="Heading2"/>
        <w:rPr>
          <w:lang w:val="en-US"/>
        </w:rPr>
      </w:pPr>
      <w:bookmarkStart w:id="95" w:name="_Toc51045494"/>
      <w:r w:rsidRPr="0027724D">
        <w:rPr>
          <w:lang w:val="en-US"/>
        </w:rPr>
        <w:t>5.1</w:t>
      </w:r>
      <w:r w:rsidRPr="0027724D">
        <w:rPr>
          <w:lang w:val="en-US"/>
        </w:rPr>
        <w:tab/>
        <w:t>EESS (passive)</w:t>
      </w:r>
      <w:bookmarkEnd w:id="95"/>
    </w:p>
    <w:p w:rsidR="00B9359B" w:rsidRDefault="009A5268">
      <w:pPr>
        <w:rPr>
          <w:lang w:val="en-US"/>
        </w:rPr>
      </w:pPr>
      <w:r>
        <w:rPr>
          <w:lang w:val="en-US"/>
        </w:rPr>
        <w:t>Due to the smallness of the allocated band of 27 MHz, no mitigation technique such as an effective guardband can be utilized for the EESS (passive) band.</w:t>
      </w:r>
    </w:p>
    <w:p w:rsidR="00B9359B" w:rsidRDefault="009A5268">
      <w:pPr>
        <w:pStyle w:val="Heading2"/>
        <w:ind w:left="0" w:firstLine="0"/>
        <w:rPr>
          <w:lang w:val="en-US"/>
        </w:rPr>
      </w:pPr>
      <w:bookmarkStart w:id="96" w:name="_Toc51045495"/>
      <w:r>
        <w:rPr>
          <w:lang w:val="en-US"/>
        </w:rPr>
        <w:t>5.2</w:t>
      </w:r>
      <w:r>
        <w:rPr>
          <w:lang w:val="en-US"/>
        </w:rPr>
        <w:tab/>
        <w:t>Radiolocation service</w:t>
      </w:r>
      <w:bookmarkEnd w:id="96"/>
    </w:p>
    <w:p w:rsidR="00B9359B" w:rsidRDefault="009A5268">
      <w:pPr>
        <w:rPr>
          <w:lang w:val="en-US"/>
        </w:rPr>
      </w:pPr>
      <w:r>
        <w:rPr>
          <w:lang w:val="en-US"/>
        </w:rPr>
        <w:t>Mitigation techniques for systems that are currently in use may be used from a practical point of view. Most of the radars used in the range 1</w:t>
      </w:r>
      <w:r>
        <w:rPr>
          <w:rFonts w:ascii="Tms Rmn" w:hAnsi="Tms Rmn"/>
          <w:sz w:val="12"/>
          <w:lang w:val="en-US"/>
        </w:rPr>
        <w:t> </w:t>
      </w:r>
      <w:r>
        <w:rPr>
          <w:lang w:val="en-US"/>
        </w:rPr>
        <w:t>215-1</w:t>
      </w:r>
      <w:r>
        <w:rPr>
          <w:rFonts w:ascii="Tms Rmn" w:hAnsi="Tms Rmn"/>
          <w:sz w:val="12"/>
          <w:lang w:val="en-US"/>
        </w:rPr>
        <w:t> </w:t>
      </w:r>
      <w:r>
        <w:rPr>
          <w:lang w:val="en-US"/>
        </w:rPr>
        <w:t xml:space="preserve">400 MHz are frequency agile and have relatively small RF emission bandwidths compared to allocated band. A possibility to avoid emissions in the upper part of the spectrum need to be investigated and could resolve the discrepancy. For example, it is likely that the compatibility analysis would result in a positive scenario when the closest radar channel with respect to the existing edge of the passive band has a frequency separation of approximately 2 to 2.5 times the </w:t>
      </w:r>
      <w:r>
        <w:rPr>
          <w:rFonts w:ascii="Symbol" w:hAnsi="Symbol"/>
          <w:lang w:val="en-US"/>
        </w:rPr>
        <w:noBreakHyphen/>
      </w:r>
      <w:r>
        <w:rPr>
          <w:sz w:val="4"/>
          <w:lang w:val="en-US"/>
        </w:rPr>
        <w:t> </w:t>
      </w:r>
      <w:r>
        <w:rPr>
          <w:lang w:val="en-US"/>
        </w:rPr>
        <w:t>40 dB bandwidth of the radiolocation systems.</w:t>
      </w:r>
    </w:p>
    <w:p w:rsidR="00B9359B" w:rsidRDefault="009A5268">
      <w:pPr>
        <w:pStyle w:val="Heading2"/>
        <w:ind w:left="0" w:firstLine="0"/>
        <w:rPr>
          <w:lang w:val="en-US"/>
        </w:rPr>
      </w:pPr>
      <w:bookmarkStart w:id="97" w:name="_Toc51045496"/>
      <w:r>
        <w:rPr>
          <w:lang w:val="en-US"/>
        </w:rPr>
        <w:br w:type="page"/>
        <w:t>5.3</w:t>
      </w:r>
      <w:r>
        <w:rPr>
          <w:lang w:val="en-US"/>
        </w:rPr>
        <w:tab/>
        <w:t>Potential impact</w:t>
      </w:r>
      <w:bookmarkEnd w:id="97"/>
    </w:p>
    <w:p w:rsidR="00B9359B" w:rsidRDefault="009A5268">
      <w:pPr>
        <w:pStyle w:val="Heading3"/>
        <w:rPr>
          <w:lang w:val="en-US"/>
        </w:rPr>
      </w:pPr>
      <w:bookmarkStart w:id="98" w:name="_Toc51045497"/>
      <w:r>
        <w:rPr>
          <w:lang w:val="en-US"/>
        </w:rPr>
        <w:t>5.3.1</w:t>
      </w:r>
      <w:r>
        <w:rPr>
          <w:lang w:val="en-US"/>
        </w:rPr>
        <w:tab/>
        <w:t>EESS (passive)</w:t>
      </w:r>
      <w:bookmarkEnd w:id="98"/>
    </w:p>
    <w:p w:rsidR="00B9359B" w:rsidRDefault="009A5268">
      <w:pPr>
        <w:rPr>
          <w:lang w:val="en-US"/>
        </w:rPr>
      </w:pPr>
      <w:r>
        <w:rPr>
          <w:lang w:val="en-US"/>
        </w:rPr>
        <w:t>Since no mitigation techniques have been identified for the EESS (passive) in this specific band, the potential impact of these mitigation techniques will be null.</w:t>
      </w:r>
    </w:p>
    <w:p w:rsidR="00B9359B" w:rsidRDefault="009A5268">
      <w:pPr>
        <w:pStyle w:val="Heading3"/>
        <w:rPr>
          <w:lang w:val="en-US"/>
        </w:rPr>
      </w:pPr>
      <w:bookmarkStart w:id="99" w:name="_Toc51045498"/>
      <w:r>
        <w:rPr>
          <w:lang w:val="en-US"/>
        </w:rPr>
        <w:t>5.3.2</w:t>
      </w:r>
      <w:r>
        <w:rPr>
          <w:lang w:val="en-US"/>
        </w:rPr>
        <w:tab/>
        <w:t>Radiolocation service</w:t>
      </w:r>
      <w:bookmarkEnd w:id="99"/>
    </w:p>
    <w:p w:rsidR="00B9359B" w:rsidRDefault="009A5268">
      <w:pPr>
        <w:rPr>
          <w:lang w:val="en-US"/>
        </w:rPr>
      </w:pPr>
      <w:r>
        <w:rPr>
          <w:lang w:val="en-US"/>
        </w:rPr>
        <w:t>The feasibility to keep the complete –</w:t>
      </w:r>
      <w:r>
        <w:rPr>
          <w:sz w:val="4"/>
          <w:lang w:val="en-US"/>
        </w:rPr>
        <w:t> </w:t>
      </w:r>
      <w:r>
        <w:rPr>
          <w:lang w:val="en-US"/>
        </w:rPr>
        <w:t>40 dB radar bandwidth within the radiolocation band combined with either an additional frequency separation or a lower peak power limit (i.e. future radars for the band 1</w:t>
      </w:r>
      <w:r>
        <w:rPr>
          <w:rFonts w:ascii="Tms Rmn" w:hAnsi="Tms Rmn"/>
          <w:sz w:val="12"/>
          <w:lang w:val="en-US"/>
        </w:rPr>
        <w:t> </w:t>
      </w:r>
      <w:r>
        <w:rPr>
          <w:lang w:val="en-US"/>
        </w:rPr>
        <w:t>350</w:t>
      </w:r>
      <w:r>
        <w:rPr>
          <w:lang w:val="en-US"/>
        </w:rPr>
        <w:noBreakHyphen/>
        <w:t>1</w:t>
      </w:r>
      <w:r>
        <w:rPr>
          <w:rFonts w:ascii="Tms Rmn" w:hAnsi="Tms Rmn"/>
          <w:sz w:val="12"/>
          <w:lang w:val="en-US"/>
        </w:rPr>
        <w:t> </w:t>
      </w:r>
      <w:r>
        <w:rPr>
          <w:lang w:val="en-US"/>
        </w:rPr>
        <w:t>400 MHz may have different parameters) would need further investigation.</w:t>
      </w:r>
    </w:p>
    <w:p w:rsidR="00B9359B" w:rsidRDefault="009A5268">
      <w:pPr>
        <w:pStyle w:val="Heading1"/>
        <w:rPr>
          <w:lang w:val="en-US"/>
        </w:rPr>
      </w:pPr>
      <w:bookmarkStart w:id="100" w:name="_Toc51045499"/>
      <w:r>
        <w:rPr>
          <w:lang w:val="en-US"/>
        </w:rPr>
        <w:t>6</w:t>
      </w:r>
      <w:r>
        <w:rPr>
          <w:lang w:val="en-US"/>
        </w:rPr>
        <w:tab/>
        <w:t>Results of studies</w:t>
      </w:r>
      <w:bookmarkEnd w:id="100"/>
    </w:p>
    <w:p w:rsidR="00B9359B" w:rsidRDefault="009A5268">
      <w:pPr>
        <w:pStyle w:val="Heading2"/>
        <w:rPr>
          <w:lang w:val="en-US"/>
        </w:rPr>
      </w:pPr>
      <w:bookmarkStart w:id="101" w:name="_Toc51045500"/>
      <w:r>
        <w:rPr>
          <w:lang w:val="en-US"/>
        </w:rPr>
        <w:t>6.1</w:t>
      </w:r>
      <w:r>
        <w:rPr>
          <w:lang w:val="en-US"/>
        </w:rPr>
        <w:tab/>
        <w:t>Summary</w:t>
      </w:r>
      <w:bookmarkEnd w:id="101"/>
    </w:p>
    <w:p w:rsidR="00B9359B" w:rsidRDefault="009A5268">
      <w:pPr>
        <w:rPr>
          <w:lang w:val="en-US"/>
        </w:rPr>
      </w:pPr>
      <w:r>
        <w:rPr>
          <w:lang w:val="en-US"/>
        </w:rPr>
        <w:t>This compatibility analysis has calculated the potential interference from radiolocation systems in the lower adjacent band in the band 1</w:t>
      </w:r>
      <w:r>
        <w:rPr>
          <w:rFonts w:ascii="Tms Rmn" w:hAnsi="Tms Rmn"/>
          <w:sz w:val="12"/>
          <w:lang w:val="en-US"/>
        </w:rPr>
        <w:t> </w:t>
      </w:r>
      <w:r>
        <w:rPr>
          <w:lang w:val="en-US"/>
        </w:rPr>
        <w:t>400</w:t>
      </w:r>
      <w:r>
        <w:rPr>
          <w:lang w:val="en-US"/>
        </w:rPr>
        <w:noBreakHyphen/>
        <w:t>1</w:t>
      </w:r>
      <w:r>
        <w:rPr>
          <w:rFonts w:ascii="Tms Rmn" w:hAnsi="Tms Rmn"/>
          <w:sz w:val="12"/>
          <w:lang w:val="en-US"/>
        </w:rPr>
        <w:t> </w:t>
      </w:r>
      <w:r>
        <w:rPr>
          <w:lang w:val="en-US"/>
        </w:rPr>
        <w:t>427 MHz allocated to the EESS (passive).</w:t>
      </w:r>
    </w:p>
    <w:p w:rsidR="00B9359B" w:rsidRDefault="009A5268">
      <w:pPr>
        <w:pStyle w:val="Heading2"/>
        <w:rPr>
          <w:lang w:val="en-US"/>
        </w:rPr>
      </w:pPr>
      <w:bookmarkStart w:id="102" w:name="_Toc51045501"/>
      <w:r>
        <w:rPr>
          <w:lang w:val="en-US"/>
        </w:rPr>
        <w:t>6.2</w:t>
      </w:r>
      <w:r>
        <w:rPr>
          <w:lang w:val="en-US"/>
        </w:rPr>
        <w:tab/>
        <w:t>Conclusions</w:t>
      </w:r>
      <w:bookmarkEnd w:id="102"/>
    </w:p>
    <w:p w:rsidR="00B9359B" w:rsidRDefault="009A5268">
      <w:pPr>
        <w:rPr>
          <w:lang w:val="en-US"/>
        </w:rPr>
      </w:pPr>
      <w:r>
        <w:rPr>
          <w:lang w:val="en-US"/>
        </w:rPr>
        <w:t>For the SMOS passive sensor, this compatibility analysis resulted in a discrepancy of 17.1 dB and 12.7 dB for a single system of radiolocation Systems 1 and 2, respectively, assuming an antenna side-lobe gain of 0 dBi. For the HYDROS passive sensor, this resulted in a discrepancy of 41.6 dB and 37.2 dB for a single system of radiolocation Systems 1 and 2, respectively, assuming an antenna side-lobe gain of 0 dBi.</w:t>
      </w:r>
    </w:p>
    <w:p w:rsidR="00B9359B" w:rsidRDefault="009A5268">
      <w:pPr>
        <w:rPr>
          <w:lang w:val="en-US"/>
        </w:rPr>
      </w:pPr>
      <w:r>
        <w:rPr>
          <w:lang w:val="en-US"/>
        </w:rPr>
        <w:t>This compatibility assessment has used assumptions, which are relaxed and not valid for all radio</w:t>
      </w:r>
      <w:r>
        <w:rPr>
          <w:lang w:val="en-US"/>
        </w:rPr>
        <w:softHyphen/>
        <w:t>location systems.</w:t>
      </w:r>
    </w:p>
    <w:p w:rsidR="00B9359B" w:rsidRDefault="009A5268">
      <w:pPr>
        <w:rPr>
          <w:lang w:val="en-US"/>
        </w:rPr>
      </w:pPr>
      <w:r>
        <w:rPr>
          <w:lang w:val="en-US"/>
        </w:rPr>
        <w:t>It is likely that the compatibility analysis would result in a positive scenario when the closest radar channel with respect to the existing edge of the passive band has a frequency separation of approximately 2 to 2.5 times the –</w:t>
      </w:r>
      <w:r>
        <w:rPr>
          <w:sz w:val="4"/>
          <w:lang w:val="en-US"/>
        </w:rPr>
        <w:t xml:space="preserve"> </w:t>
      </w:r>
      <w:r>
        <w:rPr>
          <w:lang w:val="en-US"/>
        </w:rPr>
        <w:t>40 dB bandwidth of the radiolocation systems.</w:t>
      </w:r>
    </w:p>
    <w:p w:rsidR="00B9359B" w:rsidRDefault="00B9359B">
      <w:pPr>
        <w:rPr>
          <w:lang w:val="en-US"/>
        </w:rPr>
      </w:pPr>
    </w:p>
    <w:p w:rsidR="00B9359B" w:rsidRDefault="00B9359B">
      <w:pPr>
        <w:rPr>
          <w:lang w:val="en-US"/>
        </w:rPr>
      </w:pPr>
    </w:p>
    <w:p w:rsidR="00B9359B" w:rsidRDefault="009A5268">
      <w:pPr>
        <w:pStyle w:val="AnnexNoTitle"/>
        <w:rPr>
          <w:lang w:val="en-US"/>
        </w:rPr>
      </w:pPr>
      <w:r>
        <w:rPr>
          <w:lang w:val="en-US"/>
        </w:rPr>
        <w:t>Annex 4</w:t>
      </w:r>
      <w:r>
        <w:rPr>
          <w:lang w:val="en-US"/>
        </w:rPr>
        <w:br/>
      </w:r>
      <w:r>
        <w:rPr>
          <w:lang w:val="en-US"/>
        </w:rPr>
        <w:br/>
        <w:t>Compatibility analysis between the RAS in the 1</w:t>
      </w:r>
      <w:r>
        <w:rPr>
          <w:rFonts w:ascii="Tms Rmn" w:hAnsi="Tms Rmn"/>
          <w:sz w:val="12"/>
          <w:lang w:val="en-US"/>
        </w:rPr>
        <w:t> </w:t>
      </w:r>
      <w:r>
        <w:rPr>
          <w:lang w:val="en-US"/>
        </w:rPr>
        <w:t>400-1</w:t>
      </w:r>
      <w:r>
        <w:rPr>
          <w:rFonts w:ascii="Tms Rmn" w:hAnsi="Tms Rmn"/>
          <w:sz w:val="12"/>
          <w:lang w:val="en-US"/>
        </w:rPr>
        <w:t> </w:t>
      </w:r>
      <w:r>
        <w:rPr>
          <w:lang w:val="en-US"/>
        </w:rPr>
        <w:t>427 MHz band</w:t>
      </w:r>
      <w:r>
        <w:rPr>
          <w:lang w:val="en-US"/>
        </w:rPr>
        <w:br/>
        <w:t>and GSO mobile-satellite systems (space-to-Earth)</w:t>
      </w:r>
      <w:r>
        <w:rPr>
          <w:lang w:val="en-US"/>
        </w:rPr>
        <w:br/>
        <w:t>operating in the 1</w:t>
      </w:r>
      <w:r>
        <w:rPr>
          <w:rFonts w:ascii="Tms Rmn" w:hAnsi="Tms Rmn"/>
          <w:sz w:val="12"/>
          <w:lang w:val="en-US"/>
        </w:rPr>
        <w:t> </w:t>
      </w:r>
      <w:r>
        <w:rPr>
          <w:lang w:val="en-US"/>
        </w:rPr>
        <w:t>525-1</w:t>
      </w:r>
      <w:r>
        <w:rPr>
          <w:rFonts w:ascii="Tms Rmn" w:hAnsi="Tms Rmn"/>
          <w:sz w:val="12"/>
          <w:lang w:val="en-US"/>
        </w:rPr>
        <w:t> </w:t>
      </w:r>
      <w:r>
        <w:rPr>
          <w:lang w:val="en-US"/>
        </w:rPr>
        <w:t>559 MHz band</w:t>
      </w:r>
    </w:p>
    <w:p w:rsidR="00B9359B" w:rsidRDefault="009A5268">
      <w:pPr>
        <w:pStyle w:val="Heading1"/>
        <w:rPr>
          <w:lang w:val="en-US"/>
        </w:rPr>
      </w:pPr>
      <w:bookmarkStart w:id="103" w:name="_Toc51045502"/>
      <w:r>
        <w:rPr>
          <w:lang w:val="en-US"/>
        </w:rPr>
        <w:t>1</w:t>
      </w:r>
      <w:r>
        <w:rPr>
          <w:lang w:val="en-US"/>
        </w:rPr>
        <w:tab/>
        <w:t>RAS</w:t>
      </w:r>
      <w:bookmarkEnd w:id="103"/>
    </w:p>
    <w:p w:rsidR="00B9359B" w:rsidRDefault="009A5268">
      <w:pPr>
        <w:pStyle w:val="Heading2"/>
        <w:rPr>
          <w:lang w:val="en-US"/>
        </w:rPr>
      </w:pPr>
      <w:bookmarkStart w:id="104" w:name="_Toc51045503"/>
      <w:r>
        <w:rPr>
          <w:lang w:val="en-US"/>
        </w:rPr>
        <w:t>1.1</w:t>
      </w:r>
      <w:r>
        <w:rPr>
          <w:lang w:val="en-US"/>
        </w:rPr>
        <w:tab/>
        <w:t>Allocated band</w:t>
      </w:r>
      <w:bookmarkEnd w:id="104"/>
    </w:p>
    <w:p w:rsidR="00B9359B" w:rsidRDefault="009A5268">
      <w:pPr>
        <w:rPr>
          <w:lang w:val="en-US"/>
        </w:rPr>
      </w:pPr>
      <w:r>
        <w:rPr>
          <w:lang w:val="en-US"/>
        </w:rPr>
        <w:t>The 1</w:t>
      </w:r>
      <w:r>
        <w:rPr>
          <w:rFonts w:ascii="Tms Rmn" w:hAnsi="Tms Rmn"/>
          <w:sz w:val="12"/>
          <w:lang w:val="en-US"/>
        </w:rPr>
        <w:t> </w:t>
      </w:r>
      <w:r>
        <w:rPr>
          <w:lang w:val="en-US"/>
        </w:rPr>
        <w:t>400-1</w:t>
      </w:r>
      <w:r>
        <w:rPr>
          <w:rFonts w:ascii="Tms Rmn" w:hAnsi="Tms Rmn"/>
          <w:sz w:val="12"/>
          <w:lang w:val="en-US"/>
        </w:rPr>
        <w:t> </w:t>
      </w:r>
      <w:r>
        <w:rPr>
          <w:lang w:val="en-US"/>
        </w:rPr>
        <w:t>427 MHz band is allocated to passive services only, on a primary basis: the RAS, the EESS (passive) and the SRS (passive). This Annex discusses the radio astronomy case only.</w:t>
      </w:r>
    </w:p>
    <w:p w:rsidR="00B9359B" w:rsidRDefault="009A5268">
      <w:pPr>
        <w:rPr>
          <w:lang w:val="en-US"/>
        </w:rPr>
      </w:pPr>
      <w:r>
        <w:rPr>
          <w:bCs/>
          <w:lang w:val="en-US"/>
        </w:rPr>
        <w:t xml:space="preserve">RR No. 5.340 </w:t>
      </w:r>
      <w:r>
        <w:rPr>
          <w:lang w:val="en-US"/>
        </w:rPr>
        <w:t>prohibits all emissions in this band.</w:t>
      </w:r>
    </w:p>
    <w:p w:rsidR="00B9359B" w:rsidRDefault="009A5268">
      <w:pPr>
        <w:pStyle w:val="Heading2"/>
        <w:rPr>
          <w:lang w:val="en-US"/>
        </w:rPr>
      </w:pPr>
      <w:bookmarkStart w:id="105" w:name="_Toc51045504"/>
      <w:r>
        <w:rPr>
          <w:lang w:val="en-US"/>
        </w:rPr>
        <w:br w:type="page"/>
        <w:t>1.2</w:t>
      </w:r>
      <w:r>
        <w:rPr>
          <w:lang w:val="en-US"/>
        </w:rPr>
        <w:tab/>
        <w:t>Type of observations</w:t>
      </w:r>
      <w:bookmarkEnd w:id="105"/>
    </w:p>
    <w:p w:rsidR="00B9359B" w:rsidRDefault="009A5268">
      <w:pPr>
        <w:rPr>
          <w:lang w:val="en-US"/>
        </w:rPr>
      </w:pPr>
      <w:r>
        <w:rPr>
          <w:lang w:val="en-US"/>
        </w:rPr>
        <w:t>The 1</w:t>
      </w:r>
      <w:r>
        <w:rPr>
          <w:rFonts w:ascii="Tms Rmn" w:hAnsi="Tms Rmn"/>
          <w:sz w:val="12"/>
          <w:lang w:val="en-US"/>
        </w:rPr>
        <w:t> </w:t>
      </w:r>
      <w:r>
        <w:rPr>
          <w:lang w:val="en-US"/>
        </w:rPr>
        <w:t>400-1</w:t>
      </w:r>
      <w:r>
        <w:rPr>
          <w:rFonts w:ascii="Tms Rmn" w:hAnsi="Tms Rmn"/>
          <w:sz w:val="12"/>
          <w:lang w:val="en-US"/>
        </w:rPr>
        <w:t> </w:t>
      </w:r>
      <w:r>
        <w:rPr>
          <w:lang w:val="en-US"/>
        </w:rPr>
        <w:t>427 MHz band is used more intensely than any other, in all ITU-R Regions. The main radio-astronomical use of band is to make spectral line observations of cosmic neutral atomic hydrogen (also referred to as HI), which has a rest frequency of 1</w:t>
      </w:r>
      <w:r>
        <w:rPr>
          <w:rFonts w:ascii="Tms Rmn" w:hAnsi="Tms Rmn"/>
          <w:sz w:val="12"/>
          <w:lang w:val="en-US"/>
        </w:rPr>
        <w:t> </w:t>
      </w:r>
      <w:r>
        <w:rPr>
          <w:lang w:val="en-US"/>
        </w:rPr>
        <w:t>420.406 MHz. This material is by far the main constituent of our Galaxy and other galaxies, and occurs in huge, complex-structured clouds. This line is observed in both emission and absorption, and is broadened and shifted in frequency by Doppler shifts due to local and bulk motions in the cloud structures. Accordingly, HI  observations can be used to map the distribution of material and its motions in our and other galaxies. In this way we can map the structure of our Galaxy, and how material is moving.</w:t>
      </w:r>
    </w:p>
    <w:p w:rsidR="00B9359B" w:rsidRDefault="009A5268">
      <w:pPr>
        <w:rPr>
          <w:lang w:val="en-US"/>
        </w:rPr>
      </w:pPr>
      <w:r>
        <w:rPr>
          <w:lang w:val="en-US"/>
        </w:rPr>
        <w:t>The 1</w:t>
      </w:r>
      <w:r>
        <w:rPr>
          <w:rFonts w:ascii="Tms Rmn" w:hAnsi="Tms Rmn"/>
          <w:sz w:val="12"/>
          <w:lang w:val="en-US"/>
        </w:rPr>
        <w:t> </w:t>
      </w:r>
      <w:r>
        <w:rPr>
          <w:lang w:val="en-US"/>
        </w:rPr>
        <w:t>400-1</w:t>
      </w:r>
      <w:r>
        <w:rPr>
          <w:rFonts w:ascii="Tms Rmn" w:hAnsi="Tms Rmn"/>
          <w:sz w:val="12"/>
          <w:lang w:val="en-US"/>
        </w:rPr>
        <w:t> </w:t>
      </w:r>
      <w:r>
        <w:rPr>
          <w:lang w:val="en-US"/>
        </w:rPr>
        <w:t>427 MHz allocation is sufficiently broad to encompass the Doppler-shifted emission from clouds in our galaxy and in nearby galaxies. Measurements of the polarization of the HI emission or absorption yield important information on galactic magnetic fields and thence an increased understanding of galactic structure.</w:t>
      </w:r>
    </w:p>
    <w:p w:rsidR="00B9359B" w:rsidRDefault="009A5268">
      <w:pPr>
        <w:rPr>
          <w:lang w:val="en-US"/>
        </w:rPr>
      </w:pPr>
      <w:r>
        <w:rPr>
          <w:lang w:val="en-US"/>
        </w:rPr>
        <w:t>The 1</w:t>
      </w:r>
      <w:r>
        <w:rPr>
          <w:rFonts w:ascii="Tms Rmn" w:hAnsi="Tms Rmn"/>
          <w:sz w:val="12"/>
          <w:lang w:val="en-US"/>
        </w:rPr>
        <w:t> </w:t>
      </w:r>
      <w:r>
        <w:rPr>
          <w:lang w:val="en-US"/>
        </w:rPr>
        <w:t>400-1</w:t>
      </w:r>
      <w:r>
        <w:rPr>
          <w:rFonts w:ascii="Tms Rmn" w:hAnsi="Tms Rmn"/>
          <w:sz w:val="12"/>
          <w:lang w:val="en-US"/>
        </w:rPr>
        <w:t> </w:t>
      </w:r>
      <w:r>
        <w:rPr>
          <w:lang w:val="en-US"/>
        </w:rPr>
        <w:t>427 MHz band is also used for continuum observations of broadband emissions produced by hot plasma formed when stars heat the surrounding clouds, and by the interaction of high-energy electrons in the galactic magnetic field (synchrotron emission).</w:t>
      </w:r>
    </w:p>
    <w:p w:rsidR="00B9359B" w:rsidRDefault="009A5268">
      <w:pPr>
        <w:pStyle w:val="Heading2"/>
        <w:rPr>
          <w:lang w:val="en-US"/>
        </w:rPr>
      </w:pPr>
      <w:bookmarkStart w:id="106" w:name="_Toc51045505"/>
      <w:r>
        <w:rPr>
          <w:lang w:val="en-US"/>
        </w:rPr>
        <w:t>1.3</w:t>
      </w:r>
      <w:r>
        <w:rPr>
          <w:lang w:val="en-US"/>
        </w:rPr>
        <w:tab/>
        <w:t>Required protection criteria</w:t>
      </w:r>
      <w:bookmarkEnd w:id="106"/>
    </w:p>
    <w:p w:rsidR="00B9359B" w:rsidRDefault="009A5268">
      <w:pPr>
        <w:rPr>
          <w:lang w:val="en-US"/>
        </w:rPr>
      </w:pPr>
      <w:r>
        <w:rPr>
          <w:lang w:val="en-US"/>
        </w:rPr>
        <w:t>The threshold interference levels for detrimental interference to radio astronomical observations are given in Recommendation ITU-R RA.769, which lists the levels of unwanted emissions that will increase the measurement error by 10%. The band is used for both spectral line and continuum observations. In the 1</w:t>
      </w:r>
      <w:r>
        <w:rPr>
          <w:rFonts w:ascii="Tms Rmn" w:hAnsi="Tms Rmn"/>
          <w:sz w:val="12"/>
          <w:lang w:val="en-US"/>
        </w:rPr>
        <w:t> </w:t>
      </w:r>
      <w:r>
        <w:rPr>
          <w:lang w:val="en-US"/>
        </w:rPr>
        <w:t>400-1</w:t>
      </w:r>
      <w:r>
        <w:rPr>
          <w:rFonts w:ascii="Tms Rmn" w:hAnsi="Tms Rmn"/>
          <w:sz w:val="12"/>
          <w:lang w:val="en-US"/>
        </w:rPr>
        <w:t> </w:t>
      </w:r>
      <w:r>
        <w:rPr>
          <w:lang w:val="en-US"/>
        </w:rPr>
        <w:t xml:space="preserve">427 MHz band, for single-dish spectral line observations made using a channel bandwidth (one of the spectrometer channels) of 20 kHz, the threshold pfd for detrimental interference is –196 </w:t>
      </w:r>
      <w:r>
        <w:rPr>
          <w:snapToGrid w:val="0"/>
          <w:lang w:val="en-US"/>
        </w:rPr>
        <w:t>dB(W/m</w:t>
      </w:r>
      <w:r>
        <w:rPr>
          <w:rFonts w:ascii="Times" w:hAnsi="Times"/>
          <w:spacing w:val="-2"/>
          <w:vertAlign w:val="superscript"/>
          <w:lang w:val="en-US"/>
        </w:rPr>
        <w:t>2</w:t>
      </w:r>
      <w:r>
        <w:rPr>
          <w:rFonts w:ascii="Times" w:hAnsi="Times"/>
          <w:spacing w:val="-2"/>
          <w:lang w:val="en-US"/>
        </w:rPr>
        <w:t>)</w:t>
      </w:r>
      <w:r>
        <w:rPr>
          <w:lang w:val="en-US"/>
        </w:rPr>
        <w:t xml:space="preserve">. For making single-dish continuum observations, the entire 27 MHz width of the band is used, for which case the threshold pfd for detrimental interference is </w:t>
      </w:r>
      <w:r>
        <w:rPr>
          <w:rFonts w:ascii="Symbol" w:hAnsi="Symbol"/>
          <w:lang w:val="en-US"/>
        </w:rPr>
        <w:noBreakHyphen/>
      </w:r>
      <w:r>
        <w:rPr>
          <w:lang w:val="en-US"/>
        </w:rPr>
        <w:t>180 </w:t>
      </w:r>
      <w:r>
        <w:rPr>
          <w:snapToGrid w:val="0"/>
          <w:lang w:val="en-US"/>
        </w:rPr>
        <w:t>dB(W/m</w:t>
      </w:r>
      <w:r>
        <w:rPr>
          <w:vertAlign w:val="superscript"/>
          <w:lang w:val="en-US"/>
        </w:rPr>
        <w:t>2</w:t>
      </w:r>
      <w:r>
        <w:rPr>
          <w:rFonts w:ascii="Times" w:hAnsi="Times"/>
          <w:spacing w:val="-2"/>
          <w:lang w:val="en-US"/>
        </w:rPr>
        <w:t>)</w:t>
      </w:r>
      <w:r>
        <w:rPr>
          <w:lang w:val="en-US"/>
        </w:rPr>
        <w:t>.</w:t>
      </w:r>
    </w:p>
    <w:p w:rsidR="00B9359B" w:rsidRDefault="009A5268">
      <w:pPr>
        <w:rPr>
          <w:lang w:val="en-US"/>
        </w:rPr>
      </w:pPr>
      <w:r>
        <w:rPr>
          <w:lang w:val="en-US"/>
        </w:rPr>
        <w:t xml:space="preserve">VLBI observations, where signals from widely separated antennas are recorded and correlated after the observations, are much less susceptible to interference. This is reflected in the threshold pfd level for VLBI observations in this band, </w:t>
      </w:r>
      <w:r>
        <w:rPr>
          <w:rFonts w:ascii="Symbol" w:hAnsi="Symbol"/>
          <w:lang w:val="en-US"/>
        </w:rPr>
        <w:noBreakHyphen/>
      </w:r>
      <w:r>
        <w:rPr>
          <w:lang w:val="en-US"/>
        </w:rPr>
        <w:t>166 </w:t>
      </w:r>
      <w:r>
        <w:rPr>
          <w:snapToGrid w:val="0"/>
          <w:lang w:val="en-US"/>
        </w:rPr>
        <w:t>dB(W/m</w:t>
      </w:r>
      <w:r>
        <w:rPr>
          <w:vertAlign w:val="superscript"/>
          <w:lang w:val="en-US"/>
        </w:rPr>
        <w:t>2</w:t>
      </w:r>
      <w:r>
        <w:rPr>
          <w:rFonts w:ascii="Times" w:hAnsi="Times"/>
          <w:spacing w:val="-2"/>
          <w:lang w:val="en-US"/>
        </w:rPr>
        <w:t>), for a bandwidth of 20 kHz.</w:t>
      </w:r>
    </w:p>
    <w:p w:rsidR="00B9359B" w:rsidRDefault="009A5268">
      <w:pPr>
        <w:rPr>
          <w:lang w:val="en-US"/>
        </w:rPr>
      </w:pPr>
      <w:r>
        <w:rPr>
          <w:lang w:val="en-US"/>
        </w:rPr>
        <w:t>The thresholds of detrimental interference levels to the RAS as defined and calculated in the Recommendation ITU-R RA.769 are protection criteria above which radio astronomical data are degraded and may be eventually obliterated. In principle, under rather idealized circumstances, if these levels are very slightly exceeded then it may be possible to compensate at the radio astronomy observatory by increased observing time. In doing so, the channel capacity of the telescope is reduced, with a corresponding reduction in scientific throughput. If the level of interference, under the assumptions of Recommendation ITU</w:t>
      </w:r>
      <w:r>
        <w:rPr>
          <w:lang w:val="en-US"/>
        </w:rPr>
        <w:noBreakHyphen/>
        <w:t>R RA.769 (e.g. antenna performance, etc.), becomes 10 dB or more above the Recommendation ITU</w:t>
      </w:r>
      <w:r>
        <w:rPr>
          <w:lang w:val="en-US"/>
        </w:rPr>
        <w:noBreakHyphen/>
        <w:t>R RA.769 definition, then increased observing time will no longer be effective in ensuring that valid scientific data are provided to the scientist. The radio astronomy station will be unable to operate in the affected frequency band, and its ability to provide service will have been lost if no appropriate mitigation techniques can be applied.</w:t>
      </w:r>
    </w:p>
    <w:p w:rsidR="00B9359B" w:rsidRDefault="009A5268">
      <w:pPr>
        <w:pStyle w:val="Heading2"/>
        <w:rPr>
          <w:lang w:val="en-US"/>
        </w:rPr>
      </w:pPr>
      <w:bookmarkStart w:id="107" w:name="_Toc51045506"/>
      <w:r>
        <w:rPr>
          <w:lang w:val="en-US"/>
        </w:rPr>
        <w:br w:type="page"/>
        <w:t>1.4</w:t>
      </w:r>
      <w:r>
        <w:rPr>
          <w:lang w:val="en-US"/>
        </w:rPr>
        <w:tab/>
        <w:t>Operational characteristics, type of observations</w:t>
      </w:r>
      <w:bookmarkEnd w:id="107"/>
    </w:p>
    <w:p w:rsidR="00B9359B" w:rsidRDefault="009A5268">
      <w:pPr>
        <w:rPr>
          <w:lang w:val="en-US"/>
        </w:rPr>
      </w:pPr>
      <w:r>
        <w:rPr>
          <w:lang w:val="en-US"/>
        </w:rPr>
        <w:t>The 1</w:t>
      </w:r>
      <w:r>
        <w:rPr>
          <w:rFonts w:ascii="Tms Rmn" w:hAnsi="Tms Rmn"/>
          <w:sz w:val="12"/>
          <w:lang w:val="en-US"/>
        </w:rPr>
        <w:t> </w:t>
      </w:r>
      <w:r>
        <w:rPr>
          <w:lang w:val="en-US"/>
        </w:rPr>
        <w:t>400-1</w:t>
      </w:r>
      <w:r>
        <w:rPr>
          <w:rFonts w:ascii="Tms Rmn" w:hAnsi="Tms Rmn"/>
          <w:sz w:val="12"/>
          <w:lang w:val="en-US"/>
        </w:rPr>
        <w:t> </w:t>
      </w:r>
      <w:r>
        <w:rPr>
          <w:lang w:val="en-US"/>
        </w:rPr>
        <w:t>427 MHz band is the most intensely used radio astronomy band of all. It is used worldwide, in all ITU Regions, and some radio telescopes, such as the Synthesis Radio Telescope at the DRAO, Penticton, Canada, observe full-time in this band. Single-antenna radio telescopes are used to measure the integrated spfd of sources of small angular diameter and to map structures of large angular size that cannot be mapped using synthesis telescopes.</w:t>
      </w:r>
    </w:p>
    <w:p w:rsidR="00B9359B" w:rsidRDefault="009A5268">
      <w:pPr>
        <w:rPr>
          <w:lang w:val="en-US"/>
        </w:rPr>
      </w:pPr>
      <w:r>
        <w:rPr>
          <w:lang w:val="en-US"/>
        </w:rPr>
        <w:t>The higher angular resolution offered by synthesis telescopes makes it possible to map the finer structure in the hydrogen clouds and sources of continuum emissions such as supernova remnants. These maps are then combined with the lower-resolution maps obtained using single-antenna radio telescopes to make high-quality 3-D images of our Galaxy and others. Synthesis radio telescopes, using multi-antenna arrays may require between one and a dozen 12 h “exposures” to make a complete map of an area of sky.</w:t>
      </w:r>
    </w:p>
    <w:p w:rsidR="00B9359B" w:rsidRDefault="009A5268">
      <w:pPr>
        <w:rPr>
          <w:lang w:val="en-US"/>
        </w:rPr>
      </w:pPr>
      <w:r>
        <w:rPr>
          <w:lang w:val="en-US"/>
        </w:rPr>
        <w:t>In order to facilitate mapping comparatively large source structures, some synthesis radio telescopes, such as the DRAO instrument, use arrays of comparatively small antennas. Instruments of this kind do not have the option of optimum side-lobe suppression and are therefore more vulnerable to interference.</w:t>
      </w:r>
    </w:p>
    <w:p w:rsidR="00B9359B" w:rsidRDefault="009A5268">
      <w:pPr>
        <w:rPr>
          <w:lang w:val="en-US"/>
        </w:rPr>
      </w:pPr>
      <w:r>
        <w:rPr>
          <w:lang w:val="en-US"/>
        </w:rPr>
        <w:t>Spectral line observations are made using multichannel spectrometers that can integrate simultaneously the power in many (typically 256 to 4</w:t>
      </w:r>
      <w:r>
        <w:rPr>
          <w:rFonts w:ascii="Tms Rmn" w:hAnsi="Tms Rmn"/>
          <w:sz w:val="12"/>
          <w:lang w:val="en-US"/>
        </w:rPr>
        <w:t> </w:t>
      </w:r>
      <w:r>
        <w:rPr>
          <w:lang w:val="en-US"/>
        </w:rPr>
        <w:t>096) frequency channels distributed across the band. The number of channels and their individual bandwidths are chosen to adequately sample the spectrum of the net emission from the hydrogen cloud(s) in the antenna beam.</w:t>
      </w:r>
    </w:p>
    <w:p w:rsidR="00B9359B" w:rsidRDefault="009A5268">
      <w:pPr>
        <w:rPr>
          <w:lang w:val="en-US"/>
        </w:rPr>
      </w:pPr>
      <w:r>
        <w:rPr>
          <w:lang w:val="en-US"/>
        </w:rPr>
        <w:t>In general, observations are made differentially. In the case of continuum emissions, the area of sky surrounding the sky may be mapped, and the background emission subtracted, or measurements made of the power coming from the direction from the source (on-source) and at one or more nearby positions in the sky (off-source). By subtracting the off-source values from the on-source values, the emission originating in the source is separated from other contributions to the receiver output.</w:t>
      </w:r>
    </w:p>
    <w:p w:rsidR="00B9359B" w:rsidRDefault="009A5268">
      <w:pPr>
        <w:rPr>
          <w:lang w:val="en-US"/>
        </w:rPr>
      </w:pPr>
      <w:r>
        <w:rPr>
          <w:lang w:val="en-US"/>
        </w:rPr>
        <w:t>In the case of spectral line observations, spectra are recorded at frequency ranges including the line emissions of interest (the line spectra), and then at a frequency that is offset from the line emissions, or at the same frequency but at a nearby position in the sky (the reference spectra). By subtracting the reference spectra from the line spectra, unwanted noise contributions and other contaminants can be removed from the data.</w:t>
      </w:r>
    </w:p>
    <w:p w:rsidR="00B9359B" w:rsidRDefault="009A5268">
      <w:pPr>
        <w:rPr>
          <w:lang w:val="en-US"/>
        </w:rPr>
      </w:pPr>
      <w:r>
        <w:rPr>
          <w:lang w:val="en-US"/>
        </w:rPr>
        <w:t>Since the Galaxy is filled with clouds of neutral hydrogen, radio telescopes detect not only the emission or absorption in the clouds in the antenna main beam, but also a very significant contribution through the antenna side lobes. This “stray radiation” distorts spectra and reduces map detail. Removing this from the data involves large-scale measurement of the whole antenna beam (as far as possible), and estimation of the stray radiation correction. Interference and large “blocked” areas of sky will therefore affect the ability to make maps at parts of the sky large angles from interference sources.</w:t>
      </w:r>
    </w:p>
    <w:p w:rsidR="00B9359B" w:rsidRDefault="009A5268">
      <w:pPr>
        <w:rPr>
          <w:b/>
          <w:lang w:val="en-US"/>
        </w:rPr>
      </w:pPr>
      <w:r>
        <w:rPr>
          <w:lang w:val="en-US"/>
        </w:rPr>
        <w:t xml:space="preserve">An extended area of radio emission can be mapped by recording the emission from a grid of points covering the region of interest. Both continuum and spectral line observations may be made. In the case of single antenna radio telescopes, each grid point observation is an indication of the total power (in the continuum case) or the emission spectrum (in the spectral line case) coming from that </w:t>
      </w:r>
      <w:r>
        <w:rPr>
          <w:lang w:val="en-US"/>
        </w:rPr>
        <w:br w:type="page"/>
        <w:t>position in the sky; the spacing between the grid points should not be more than half the antenna beamwidth. When observations are made using a synthesis radio telescope, where the area to be mapped exceeds the instantaneous mapping field, the grid points should not be further apart than half the beamwidth of one of the radio telescope antennas.</w:t>
      </w:r>
    </w:p>
    <w:p w:rsidR="00B9359B" w:rsidRDefault="009A5268">
      <w:pPr>
        <w:rPr>
          <w:snapToGrid w:val="0"/>
          <w:lang w:val="en-US"/>
        </w:rPr>
      </w:pPr>
      <w:r>
        <w:rPr>
          <w:snapToGrid w:val="0"/>
          <w:lang w:val="en-US"/>
        </w:rPr>
        <w:t>VLBI observations are made by down-converting the signals to a baseband, digitizing them without rectification, and recording them on tape or other storage media, along with precise timing signals. The data are then taken to a VLBI data processing centre, where the signals are synchronized and correlated. Consequently, the full impact of interference might not be known until the observing period is over and the data has been processed.</w:t>
      </w:r>
    </w:p>
    <w:p w:rsidR="00B9359B" w:rsidRDefault="009A5268">
      <w:pPr>
        <w:pStyle w:val="Heading1"/>
        <w:rPr>
          <w:lang w:val="en-US"/>
        </w:rPr>
      </w:pPr>
      <w:bookmarkStart w:id="108" w:name="_Toc51045507"/>
      <w:r>
        <w:rPr>
          <w:lang w:val="en-US"/>
        </w:rPr>
        <w:t>2</w:t>
      </w:r>
      <w:r>
        <w:rPr>
          <w:lang w:val="en-US"/>
        </w:rPr>
        <w:tab/>
        <w:t>Mobile-satellite systems</w:t>
      </w:r>
      <w:bookmarkEnd w:id="108"/>
    </w:p>
    <w:p w:rsidR="00B9359B" w:rsidRDefault="009A5268">
      <w:pPr>
        <w:pStyle w:val="Heading2"/>
        <w:rPr>
          <w:lang w:val="en-US"/>
        </w:rPr>
      </w:pPr>
      <w:bookmarkStart w:id="109" w:name="_Toc51045508"/>
      <w:r>
        <w:rPr>
          <w:lang w:val="en-US"/>
        </w:rPr>
        <w:t>2.1</w:t>
      </w:r>
      <w:r>
        <w:rPr>
          <w:lang w:val="en-US"/>
        </w:rPr>
        <w:tab/>
        <w:t>Allocated transmit band</w:t>
      </w:r>
      <w:bookmarkEnd w:id="109"/>
    </w:p>
    <w:p w:rsidR="00B9359B" w:rsidRDefault="009A5268">
      <w:pPr>
        <w:rPr>
          <w:lang w:val="en-US"/>
        </w:rPr>
      </w:pPr>
      <w:r>
        <w:rPr>
          <w:lang w:val="en-US"/>
        </w:rPr>
        <w:t>The allocated transmit band is 1</w:t>
      </w:r>
      <w:r>
        <w:rPr>
          <w:rFonts w:ascii="Tms Rmn" w:hAnsi="Tms Rmn"/>
          <w:sz w:val="12"/>
          <w:lang w:val="en-US"/>
        </w:rPr>
        <w:t> </w:t>
      </w:r>
      <w:r>
        <w:rPr>
          <w:lang w:val="en-US"/>
        </w:rPr>
        <w:t>525-1</w:t>
      </w:r>
      <w:r>
        <w:rPr>
          <w:rFonts w:ascii="Tms Rmn" w:hAnsi="Tms Rmn"/>
          <w:sz w:val="12"/>
          <w:lang w:val="en-US"/>
        </w:rPr>
        <w:t> </w:t>
      </w:r>
      <w:r>
        <w:rPr>
          <w:lang w:val="en-US"/>
        </w:rPr>
        <w:t>559 MHz (space-to-Earth).</w:t>
      </w:r>
    </w:p>
    <w:p w:rsidR="00B9359B" w:rsidRPr="0027724D" w:rsidRDefault="009A5268">
      <w:pPr>
        <w:pStyle w:val="Heading2"/>
        <w:rPr>
          <w:lang w:val="en-US"/>
        </w:rPr>
      </w:pPr>
      <w:bookmarkStart w:id="110" w:name="_Toc51045509"/>
      <w:r w:rsidRPr="0027724D">
        <w:rPr>
          <w:lang w:val="en-US"/>
        </w:rPr>
        <w:t>2.2</w:t>
      </w:r>
      <w:r w:rsidRPr="0027724D">
        <w:rPr>
          <w:lang w:val="en-US"/>
        </w:rPr>
        <w:tab/>
        <w:t>Application</w:t>
      </w:r>
      <w:bookmarkEnd w:id="110"/>
    </w:p>
    <w:p w:rsidR="00B9359B" w:rsidRPr="0027724D" w:rsidRDefault="009A5268">
      <w:pPr>
        <w:rPr>
          <w:lang w:val="en-US"/>
        </w:rPr>
      </w:pPr>
      <w:r w:rsidRPr="0027724D">
        <w:rPr>
          <w:lang w:val="en-US"/>
        </w:rPr>
        <w:t>Mobile-satellite service.</w:t>
      </w:r>
    </w:p>
    <w:p w:rsidR="00B9359B" w:rsidRDefault="009A5268">
      <w:pPr>
        <w:pStyle w:val="Heading2"/>
        <w:rPr>
          <w:lang w:val="en-US"/>
        </w:rPr>
      </w:pPr>
      <w:bookmarkStart w:id="111" w:name="_Toc51045510"/>
      <w:r>
        <w:rPr>
          <w:lang w:val="en-US"/>
        </w:rPr>
        <w:t>2.3</w:t>
      </w:r>
      <w:r>
        <w:rPr>
          <w:lang w:val="en-US"/>
        </w:rPr>
        <w:tab/>
        <w:t>Levels based on regulatory provisions</w:t>
      </w:r>
      <w:bookmarkEnd w:id="111"/>
      <w:r>
        <w:rPr>
          <w:lang w:val="en-US"/>
        </w:rPr>
        <w:t xml:space="preserve"> </w:t>
      </w:r>
    </w:p>
    <w:p w:rsidR="00B9359B" w:rsidRDefault="009A5268">
      <w:pPr>
        <w:rPr>
          <w:lang w:val="en-US"/>
        </w:rPr>
      </w:pPr>
      <w:r>
        <w:rPr>
          <w:lang w:val="en-US"/>
        </w:rPr>
        <w:t xml:space="preserve">The required attenuation is 43 </w:t>
      </w:r>
      <w:r>
        <w:rPr>
          <w:rFonts w:ascii="Symbol" w:hAnsi="Symbol"/>
          <w:lang w:val="en-US"/>
        </w:rPr>
        <w:t></w:t>
      </w:r>
      <w:r>
        <w:rPr>
          <w:lang w:val="en-US"/>
        </w:rPr>
        <w:t xml:space="preserve"> 10 log </w:t>
      </w:r>
      <w:r>
        <w:rPr>
          <w:i/>
          <w:iCs/>
          <w:lang w:val="en-US"/>
        </w:rPr>
        <w:t>P</w:t>
      </w:r>
      <w:r>
        <w:rPr>
          <w:lang w:val="en-US"/>
        </w:rPr>
        <w:t xml:space="preserve"> dBc or 60 dBc whichever is less stringent where </w:t>
      </w:r>
      <w:r>
        <w:rPr>
          <w:i/>
          <w:iCs/>
          <w:lang w:val="en-US"/>
        </w:rPr>
        <w:t>P</w:t>
      </w:r>
      <w:r>
        <w:rPr>
          <w:lang w:val="en-US"/>
        </w:rPr>
        <w:t xml:space="preserve"> is the peak power at the input to the antenna (W) in any 4 kHz.</w:t>
      </w:r>
    </w:p>
    <w:p w:rsidR="00B9359B" w:rsidRDefault="009A5268">
      <w:pPr>
        <w:pStyle w:val="Heading2"/>
        <w:rPr>
          <w:lang w:val="en-US"/>
        </w:rPr>
      </w:pPr>
      <w:bookmarkStart w:id="112" w:name="_Toc51045511"/>
      <w:r>
        <w:rPr>
          <w:lang w:val="en-US"/>
        </w:rPr>
        <w:t>2.4</w:t>
      </w:r>
      <w:r>
        <w:rPr>
          <w:lang w:val="en-US"/>
        </w:rPr>
        <w:tab/>
        <w:t>Transmitter characteristics</w:t>
      </w:r>
      <w:bookmarkEnd w:id="112"/>
    </w:p>
    <w:p w:rsidR="00B9359B" w:rsidRDefault="009A5268">
      <w:pPr>
        <w:rPr>
          <w:lang w:val="en-US"/>
        </w:rPr>
      </w:pPr>
      <w:r>
        <w:rPr>
          <w:lang w:val="en-US"/>
        </w:rPr>
        <w:t>The antenna gain is 41 dBi.</w:t>
      </w:r>
    </w:p>
    <w:p w:rsidR="00B9359B" w:rsidRDefault="009A5268">
      <w:pPr>
        <w:rPr>
          <w:lang w:val="en-US"/>
        </w:rPr>
      </w:pPr>
      <w:r>
        <w:rPr>
          <w:lang w:val="en-US"/>
        </w:rPr>
        <w:t>The transmitter (Tx) output filter characteristic is shown in Fig. 9.</w:t>
      </w:r>
    </w:p>
    <w:p w:rsidR="00B9359B" w:rsidRDefault="00AB52AF">
      <w:pPr>
        <w:pStyle w:val="FigureNo"/>
      </w:pPr>
      <w:r>
        <w:pict>
          <v:shape id="_x0000_i1042" type="#_x0000_t75" style="width:400.85pt;height:267.05pt">
            <v:imagedata r:id="rId35" o:title=""/>
          </v:shape>
        </w:pict>
      </w:r>
    </w:p>
    <w:p w:rsidR="00B9359B" w:rsidRDefault="009A5268">
      <w:pPr>
        <w:pStyle w:val="Heading2"/>
        <w:rPr>
          <w:lang w:val="en-US"/>
        </w:rPr>
      </w:pPr>
      <w:bookmarkStart w:id="113" w:name="_Toc51045515"/>
      <w:r>
        <w:rPr>
          <w:lang w:val="en-US"/>
        </w:rPr>
        <w:br w:type="page"/>
      </w:r>
      <w:bookmarkStart w:id="114" w:name="_Toc51045512"/>
      <w:r>
        <w:rPr>
          <w:lang w:val="en-US"/>
        </w:rPr>
        <w:t>2.5</w:t>
      </w:r>
      <w:r>
        <w:rPr>
          <w:lang w:val="en-US"/>
        </w:rPr>
        <w:tab/>
        <w:t>Operational characteristics</w:t>
      </w:r>
      <w:bookmarkEnd w:id="114"/>
    </w:p>
    <w:p w:rsidR="00B9359B" w:rsidRDefault="009A5268">
      <w:pPr>
        <w:rPr>
          <w:lang w:val="en-US"/>
        </w:rPr>
      </w:pPr>
      <w:r>
        <w:rPr>
          <w:lang w:val="en-US"/>
        </w:rPr>
        <w:t>The typical peak power into GSO MSS satellite spot beam at input to the antenna is 16 dBW over a bandwidth of 5 MHz.</w:t>
      </w:r>
    </w:p>
    <w:p w:rsidR="00B9359B" w:rsidRDefault="009A5268">
      <w:pPr>
        <w:pStyle w:val="Heading2"/>
        <w:rPr>
          <w:lang w:val="en-US"/>
        </w:rPr>
      </w:pPr>
      <w:bookmarkStart w:id="115" w:name="_Toc51045513"/>
      <w:r>
        <w:rPr>
          <w:lang w:val="en-US"/>
        </w:rPr>
        <w:t>2.6</w:t>
      </w:r>
      <w:r>
        <w:rPr>
          <w:lang w:val="en-US"/>
        </w:rPr>
        <w:tab/>
        <w:t>In-band transmit level</w:t>
      </w:r>
      <w:bookmarkEnd w:id="115"/>
    </w:p>
    <w:p w:rsidR="00B9359B" w:rsidRDefault="009A5268">
      <w:pPr>
        <w:rPr>
          <w:lang w:val="en-US"/>
        </w:rPr>
      </w:pPr>
      <w:r>
        <w:rPr>
          <w:lang w:val="en-US"/>
        </w:rPr>
        <w:t>The in-band transmit level is –15 dBW in a 4 kHz bandwidth.</w:t>
      </w:r>
    </w:p>
    <w:p w:rsidR="00B9359B" w:rsidRDefault="009A5268">
      <w:pPr>
        <w:pStyle w:val="Heading1"/>
        <w:rPr>
          <w:lang w:val="en-US"/>
        </w:rPr>
      </w:pPr>
      <w:bookmarkStart w:id="116" w:name="_Toc51045514"/>
      <w:r>
        <w:rPr>
          <w:lang w:val="en-US"/>
        </w:rPr>
        <w:t>3</w:t>
      </w:r>
      <w:r>
        <w:rPr>
          <w:lang w:val="en-US"/>
        </w:rPr>
        <w:tab/>
        <w:t>Compatibility threshold</w:t>
      </w:r>
      <w:bookmarkEnd w:id="116"/>
    </w:p>
    <w:p w:rsidR="00B9359B" w:rsidRDefault="009A5268">
      <w:pPr>
        <w:rPr>
          <w:lang w:val="en-US"/>
        </w:rPr>
      </w:pPr>
      <w:r>
        <w:rPr>
          <w:lang w:val="en-US"/>
        </w:rPr>
        <w:t>See § 1.3.</w:t>
      </w:r>
    </w:p>
    <w:p w:rsidR="00B9359B" w:rsidRDefault="009A5268">
      <w:pPr>
        <w:pStyle w:val="Heading1"/>
        <w:rPr>
          <w:lang w:val="en-US"/>
        </w:rPr>
      </w:pPr>
      <w:r>
        <w:rPr>
          <w:lang w:val="en-US"/>
        </w:rPr>
        <w:t>4</w:t>
      </w:r>
      <w:r>
        <w:rPr>
          <w:lang w:val="en-US"/>
        </w:rPr>
        <w:tab/>
        <w:t>Interference assessment</w:t>
      </w:r>
      <w:bookmarkEnd w:id="113"/>
    </w:p>
    <w:p w:rsidR="00B9359B" w:rsidRDefault="009A5268">
      <w:pPr>
        <w:pStyle w:val="Heading2"/>
        <w:rPr>
          <w:lang w:val="en-US"/>
        </w:rPr>
      </w:pPr>
      <w:bookmarkStart w:id="117" w:name="_Toc51045516"/>
      <w:r>
        <w:rPr>
          <w:lang w:val="en-US"/>
        </w:rPr>
        <w:t>4.1</w:t>
      </w:r>
      <w:r>
        <w:rPr>
          <w:lang w:val="en-US"/>
        </w:rPr>
        <w:tab/>
        <w:t>Methodology used to assess the interference level</w:t>
      </w:r>
      <w:bookmarkEnd w:id="117"/>
    </w:p>
    <w:p w:rsidR="00B9359B" w:rsidRDefault="009A5268">
      <w:pPr>
        <w:rPr>
          <w:lang w:val="en-US"/>
        </w:rPr>
      </w:pPr>
      <w:r>
        <w:rPr>
          <w:lang w:val="en-US"/>
        </w:rPr>
        <w:t>The parameters peak in band power spectral density, the peak antenna gain and the measured attenuation of the Tx output filter at different frequencies are used to determine the pfd at the surface of the Earth.</w:t>
      </w:r>
    </w:p>
    <w:p w:rsidR="00B9359B" w:rsidRDefault="009A5268">
      <w:pPr>
        <w:pStyle w:val="Heading2"/>
        <w:rPr>
          <w:lang w:val="en-US"/>
        </w:rPr>
      </w:pPr>
      <w:bookmarkStart w:id="118" w:name="_Toc51045517"/>
      <w:r>
        <w:rPr>
          <w:lang w:val="en-US"/>
        </w:rPr>
        <w:t>4.2</w:t>
      </w:r>
      <w:r>
        <w:rPr>
          <w:lang w:val="en-US"/>
        </w:rPr>
        <w:tab/>
        <w:t>Calculation of interference level</w:t>
      </w:r>
      <w:bookmarkEnd w:id="118"/>
    </w:p>
    <w:p w:rsidR="00B9359B" w:rsidRDefault="009A5268">
      <w:pPr>
        <w:rPr>
          <w:lang w:val="en-US"/>
        </w:rPr>
      </w:pPr>
      <w:r>
        <w:rPr>
          <w:lang w:val="en-US"/>
        </w:rPr>
        <w:t>Based on the expected performance of the Tx filter used for the 1</w:t>
      </w:r>
      <w:r>
        <w:rPr>
          <w:rFonts w:ascii="Tms Rmn" w:hAnsi="Tms Rmn"/>
          <w:sz w:val="12"/>
          <w:lang w:val="en-US"/>
        </w:rPr>
        <w:t> </w:t>
      </w:r>
      <w:r>
        <w:rPr>
          <w:lang w:val="en-US"/>
        </w:rPr>
        <w:t>525-1</w:t>
      </w:r>
      <w:r>
        <w:rPr>
          <w:rFonts w:ascii="Tms Rmn" w:hAnsi="Tms Rmn"/>
          <w:sz w:val="12"/>
          <w:lang w:val="en-US"/>
        </w:rPr>
        <w:t> </w:t>
      </w:r>
      <w:r>
        <w:rPr>
          <w:lang w:val="en-US"/>
        </w:rPr>
        <w:t>559 MHz band, the typical power levels at the output of this filter, e.i.r.p. density levels at the antenna output and the pfd at the surface of the Earth at different frequencies are as shown in Table 10.</w:t>
      </w:r>
    </w:p>
    <w:p w:rsidR="00B9359B" w:rsidRDefault="009A5268">
      <w:pPr>
        <w:pStyle w:val="TableNo"/>
        <w:rPr>
          <w:lang w:val="en-US"/>
        </w:rPr>
      </w:pPr>
      <w:r>
        <w:rPr>
          <w:lang w:val="en-US"/>
        </w:rPr>
        <w:t>TABLE  10</w:t>
      </w:r>
    </w:p>
    <w:p w:rsidR="00B9359B" w:rsidRDefault="009A5268">
      <w:pPr>
        <w:pStyle w:val="Tabletitle"/>
        <w:rPr>
          <w:lang w:val="en-US"/>
        </w:rPr>
      </w:pPr>
      <w:r>
        <w:rPr>
          <w:lang w:val="en-US"/>
        </w:rPr>
        <w:t>Expected values of the power spectral density (PSD), e.i.r.p. density and pfd</w:t>
      </w:r>
      <w:r>
        <w:rPr>
          <w:lang w:val="en-US"/>
        </w:rPr>
        <w:br/>
        <w:t>at the surface of the Earth of Inmarsat-4 satellite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2778"/>
        <w:gridCol w:w="2778"/>
        <w:gridCol w:w="2778"/>
      </w:tblGrid>
      <w:tr w:rsidR="00B9359B" w:rsidRPr="00D35B94">
        <w:tc>
          <w:tcPr>
            <w:tcW w:w="1305" w:type="dxa"/>
            <w:vAlign w:val="center"/>
          </w:tcPr>
          <w:p w:rsidR="00B9359B" w:rsidRDefault="009A5268">
            <w:pPr>
              <w:pStyle w:val="Tablehead"/>
              <w:framePr w:hSpace="181" w:wrap="notBeside" w:vAnchor="text" w:hAnchor="text" w:xAlign="center" w:y="1"/>
              <w:spacing w:before="60" w:after="60"/>
              <w:rPr>
                <w:lang w:val="en-US"/>
              </w:rPr>
            </w:pPr>
            <w:r>
              <w:rPr>
                <w:lang w:val="en-US"/>
              </w:rPr>
              <w:t>Frequency</w:t>
            </w:r>
            <w:r>
              <w:rPr>
                <w:lang w:val="en-US"/>
              </w:rPr>
              <w:br/>
              <w:t>(MHz)</w:t>
            </w:r>
          </w:p>
        </w:tc>
        <w:tc>
          <w:tcPr>
            <w:tcW w:w="2778" w:type="dxa"/>
            <w:vAlign w:val="center"/>
          </w:tcPr>
          <w:p w:rsidR="00B9359B" w:rsidRDefault="009A5268">
            <w:pPr>
              <w:pStyle w:val="Tablehead"/>
              <w:framePr w:hSpace="181" w:wrap="notBeside" w:vAnchor="text" w:hAnchor="text" w:xAlign="center" w:y="1"/>
              <w:spacing w:before="60" w:after="60"/>
              <w:ind w:left="-57" w:right="-57"/>
              <w:rPr>
                <w:lang w:val="en-US"/>
              </w:rPr>
            </w:pPr>
            <w:r>
              <w:rPr>
                <w:lang w:val="en-US"/>
              </w:rPr>
              <w:t>PSD at the output</w:t>
            </w:r>
            <w:r>
              <w:rPr>
                <w:lang w:val="en-US"/>
              </w:rPr>
              <w:br/>
              <w:t>of filter</w:t>
            </w:r>
            <w:r>
              <w:rPr>
                <w:lang w:val="en-US"/>
              </w:rPr>
              <w:br/>
              <w:t>(dB(W/4 kHz))</w:t>
            </w:r>
          </w:p>
        </w:tc>
        <w:tc>
          <w:tcPr>
            <w:tcW w:w="2778" w:type="dxa"/>
            <w:vAlign w:val="center"/>
          </w:tcPr>
          <w:p w:rsidR="00B9359B" w:rsidRDefault="009A5268">
            <w:pPr>
              <w:pStyle w:val="Tablehead"/>
              <w:framePr w:hSpace="181" w:wrap="notBeside" w:vAnchor="text" w:hAnchor="text" w:xAlign="center" w:y="1"/>
              <w:spacing w:before="60" w:after="60"/>
              <w:ind w:left="-57" w:right="-57"/>
              <w:rPr>
                <w:lang w:val="en-US"/>
              </w:rPr>
            </w:pPr>
            <w:r>
              <w:rPr>
                <w:lang w:val="en-US"/>
              </w:rPr>
              <w:t>e.i.r.p. density at the</w:t>
            </w:r>
            <w:r>
              <w:rPr>
                <w:lang w:val="en-US"/>
              </w:rPr>
              <w:br/>
              <w:t>output of the antenna</w:t>
            </w:r>
            <w:r>
              <w:rPr>
                <w:lang w:val="en-US"/>
              </w:rPr>
              <w:br/>
              <w:t>(dB(W/4 kHz))</w:t>
            </w:r>
          </w:p>
        </w:tc>
        <w:tc>
          <w:tcPr>
            <w:tcW w:w="2778" w:type="dxa"/>
            <w:vAlign w:val="center"/>
          </w:tcPr>
          <w:p w:rsidR="00B9359B" w:rsidRDefault="009A5268">
            <w:pPr>
              <w:pStyle w:val="Tablehead"/>
              <w:framePr w:hSpace="181" w:wrap="notBeside" w:vAnchor="text" w:hAnchor="text" w:xAlign="center" w:y="1"/>
              <w:spacing w:before="60" w:after="60"/>
              <w:ind w:left="-57" w:right="-57"/>
              <w:rPr>
                <w:lang w:val="en-US"/>
              </w:rPr>
            </w:pPr>
            <w:r>
              <w:rPr>
                <w:lang w:val="en-US"/>
              </w:rPr>
              <w:t>pfd at the surface</w:t>
            </w:r>
            <w:r>
              <w:rPr>
                <w:lang w:val="en-US"/>
              </w:rPr>
              <w:br/>
              <w:t>of the Earth</w:t>
            </w:r>
            <w:r>
              <w:rPr>
                <w:lang w:val="en-US"/>
              </w:rPr>
              <w:br/>
              <w:t>(dB(W/(m</w:t>
            </w:r>
            <w:r>
              <w:rPr>
                <w:vertAlign w:val="superscript"/>
                <w:lang w:val="en-US"/>
              </w:rPr>
              <w:t>2</w:t>
            </w:r>
            <w:r>
              <w:rPr>
                <w:lang w:val="en-US"/>
              </w:rPr>
              <w:t> · 4 kHz)))</w:t>
            </w:r>
          </w:p>
        </w:tc>
      </w:tr>
      <w:tr w:rsidR="00B9359B">
        <w:tc>
          <w:tcPr>
            <w:tcW w:w="1305" w:type="dxa"/>
          </w:tcPr>
          <w:p w:rsidR="00B9359B" w:rsidRDefault="009A5268">
            <w:pPr>
              <w:pStyle w:val="Tabletext"/>
              <w:framePr w:hSpace="181" w:wrap="notBeside" w:vAnchor="text" w:hAnchor="text" w:xAlign="center" w:y="1"/>
              <w:spacing w:before="30" w:after="30"/>
              <w:jc w:val="center"/>
              <w:rPr>
                <w:lang w:val="en-US"/>
              </w:rPr>
            </w:pPr>
            <w:r>
              <w:rPr>
                <w:lang w:val="en-US"/>
              </w:rPr>
              <w:t>1</w:t>
            </w:r>
            <w:r>
              <w:rPr>
                <w:rFonts w:ascii="Tms Rmn" w:hAnsi="Tms Rmn"/>
                <w:sz w:val="12"/>
                <w:lang w:val="en-US"/>
              </w:rPr>
              <w:t> </w:t>
            </w:r>
            <w:r>
              <w:rPr>
                <w:lang w:val="en-US"/>
              </w:rPr>
              <w:t>300</w:t>
            </w:r>
          </w:p>
        </w:tc>
        <w:tc>
          <w:tcPr>
            <w:tcW w:w="277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30" w:after="30"/>
              <w:jc w:val="left"/>
              <w:rPr>
                <w:lang w:val="en-US"/>
              </w:rPr>
            </w:pPr>
            <w:r>
              <w:rPr>
                <w:lang w:val="en-US"/>
              </w:rPr>
              <w:t>–80</w:t>
            </w:r>
          </w:p>
        </w:tc>
        <w:tc>
          <w:tcPr>
            <w:tcW w:w="277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30" w:after="30"/>
              <w:jc w:val="left"/>
              <w:rPr>
                <w:lang w:val="en-US"/>
              </w:rPr>
            </w:pPr>
            <w:r>
              <w:rPr>
                <w:lang w:val="en-US"/>
              </w:rPr>
              <w:t>–39</w:t>
            </w:r>
          </w:p>
        </w:tc>
        <w:tc>
          <w:tcPr>
            <w:tcW w:w="277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30" w:after="30"/>
              <w:jc w:val="left"/>
              <w:rPr>
                <w:lang w:val="en-US"/>
              </w:rPr>
            </w:pPr>
            <w:r>
              <w:rPr>
                <w:lang w:val="en-US"/>
              </w:rPr>
              <w:t>–202</w:t>
            </w:r>
          </w:p>
        </w:tc>
      </w:tr>
      <w:tr w:rsidR="00B9359B">
        <w:tc>
          <w:tcPr>
            <w:tcW w:w="1305" w:type="dxa"/>
          </w:tcPr>
          <w:p w:rsidR="00B9359B" w:rsidRDefault="009A5268">
            <w:pPr>
              <w:pStyle w:val="Tabletext"/>
              <w:framePr w:hSpace="181" w:wrap="notBeside" w:vAnchor="text" w:hAnchor="text" w:xAlign="center" w:y="1"/>
              <w:spacing w:before="30" w:after="30"/>
              <w:jc w:val="center"/>
              <w:rPr>
                <w:lang w:val="en-US"/>
              </w:rPr>
            </w:pPr>
            <w:r>
              <w:rPr>
                <w:lang w:val="en-US"/>
              </w:rPr>
              <w:t>1</w:t>
            </w:r>
            <w:r>
              <w:rPr>
                <w:rFonts w:ascii="Tms Rmn" w:hAnsi="Tms Rmn"/>
                <w:sz w:val="12"/>
                <w:lang w:val="en-US"/>
              </w:rPr>
              <w:t> </w:t>
            </w:r>
            <w:r>
              <w:rPr>
                <w:lang w:val="en-US"/>
              </w:rPr>
              <w:t>406</w:t>
            </w:r>
          </w:p>
        </w:tc>
        <w:tc>
          <w:tcPr>
            <w:tcW w:w="277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30" w:after="30"/>
              <w:jc w:val="left"/>
              <w:rPr>
                <w:lang w:val="en-US"/>
              </w:rPr>
            </w:pPr>
            <w:r>
              <w:rPr>
                <w:lang w:val="en-US"/>
              </w:rPr>
              <w:t>–80</w:t>
            </w:r>
          </w:p>
        </w:tc>
        <w:tc>
          <w:tcPr>
            <w:tcW w:w="277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30" w:after="30"/>
              <w:jc w:val="left"/>
              <w:rPr>
                <w:lang w:val="en-US"/>
              </w:rPr>
            </w:pPr>
            <w:r>
              <w:rPr>
                <w:lang w:val="en-US"/>
              </w:rPr>
              <w:t>–39</w:t>
            </w:r>
          </w:p>
        </w:tc>
        <w:tc>
          <w:tcPr>
            <w:tcW w:w="277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30" w:after="30"/>
              <w:jc w:val="left"/>
              <w:rPr>
                <w:lang w:val="en-US"/>
              </w:rPr>
            </w:pPr>
            <w:r>
              <w:rPr>
                <w:lang w:val="en-US"/>
              </w:rPr>
              <w:t>–202</w:t>
            </w:r>
          </w:p>
        </w:tc>
      </w:tr>
      <w:tr w:rsidR="00B9359B">
        <w:tc>
          <w:tcPr>
            <w:tcW w:w="1305" w:type="dxa"/>
          </w:tcPr>
          <w:p w:rsidR="00B9359B" w:rsidRDefault="009A5268">
            <w:pPr>
              <w:pStyle w:val="Tabletext"/>
              <w:framePr w:hSpace="181" w:wrap="notBeside" w:vAnchor="text" w:hAnchor="text" w:xAlign="center" w:y="1"/>
              <w:spacing w:before="30" w:after="30"/>
              <w:jc w:val="center"/>
              <w:rPr>
                <w:lang w:val="en-US"/>
              </w:rPr>
            </w:pPr>
            <w:r>
              <w:rPr>
                <w:lang w:val="en-US"/>
              </w:rPr>
              <w:t>1</w:t>
            </w:r>
            <w:r>
              <w:rPr>
                <w:rFonts w:ascii="Tms Rmn" w:hAnsi="Tms Rmn"/>
                <w:sz w:val="12"/>
                <w:lang w:val="en-US"/>
              </w:rPr>
              <w:t> </w:t>
            </w:r>
            <w:r>
              <w:rPr>
                <w:lang w:val="en-US"/>
              </w:rPr>
              <w:t>457</w:t>
            </w:r>
          </w:p>
        </w:tc>
        <w:tc>
          <w:tcPr>
            <w:tcW w:w="277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30" w:after="30"/>
              <w:jc w:val="left"/>
              <w:rPr>
                <w:lang w:val="en-US"/>
              </w:rPr>
            </w:pPr>
            <w:r>
              <w:rPr>
                <w:lang w:val="en-US"/>
              </w:rPr>
              <w:t>–75</w:t>
            </w:r>
          </w:p>
        </w:tc>
        <w:tc>
          <w:tcPr>
            <w:tcW w:w="277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30" w:after="30"/>
              <w:jc w:val="left"/>
              <w:rPr>
                <w:lang w:val="en-US"/>
              </w:rPr>
            </w:pPr>
            <w:r>
              <w:rPr>
                <w:lang w:val="en-US"/>
              </w:rPr>
              <w:t>–24</w:t>
            </w:r>
          </w:p>
        </w:tc>
        <w:tc>
          <w:tcPr>
            <w:tcW w:w="277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30" w:after="30"/>
              <w:jc w:val="left"/>
              <w:rPr>
                <w:lang w:val="en-US"/>
              </w:rPr>
            </w:pPr>
            <w:r>
              <w:rPr>
                <w:lang w:val="en-US"/>
              </w:rPr>
              <w:t>–197</w:t>
            </w:r>
          </w:p>
        </w:tc>
      </w:tr>
      <w:tr w:rsidR="00B9359B">
        <w:tc>
          <w:tcPr>
            <w:tcW w:w="1305" w:type="dxa"/>
          </w:tcPr>
          <w:p w:rsidR="00B9359B" w:rsidRDefault="009A5268">
            <w:pPr>
              <w:pStyle w:val="Tabletext"/>
              <w:framePr w:hSpace="181" w:wrap="notBeside" w:vAnchor="text" w:hAnchor="text" w:xAlign="center" w:y="1"/>
              <w:spacing w:before="30" w:after="30"/>
              <w:jc w:val="center"/>
              <w:rPr>
                <w:lang w:val="en-US"/>
              </w:rPr>
            </w:pPr>
            <w:r>
              <w:rPr>
                <w:lang w:val="en-US"/>
              </w:rPr>
              <w:t>1</w:t>
            </w:r>
            <w:r>
              <w:rPr>
                <w:rFonts w:ascii="Tms Rmn" w:hAnsi="Tms Rmn"/>
                <w:sz w:val="12"/>
                <w:lang w:val="en-US"/>
              </w:rPr>
              <w:t> </w:t>
            </w:r>
            <w:r>
              <w:rPr>
                <w:lang w:val="en-US"/>
              </w:rPr>
              <w:t>474</w:t>
            </w:r>
          </w:p>
        </w:tc>
        <w:tc>
          <w:tcPr>
            <w:tcW w:w="277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30" w:after="30"/>
              <w:jc w:val="left"/>
              <w:rPr>
                <w:lang w:val="en-US"/>
              </w:rPr>
            </w:pPr>
            <w:r>
              <w:rPr>
                <w:lang w:val="en-US"/>
              </w:rPr>
              <w:t>–65</w:t>
            </w:r>
          </w:p>
        </w:tc>
        <w:tc>
          <w:tcPr>
            <w:tcW w:w="277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30" w:after="30"/>
              <w:jc w:val="left"/>
              <w:rPr>
                <w:lang w:val="en-US"/>
              </w:rPr>
            </w:pPr>
            <w:r>
              <w:rPr>
                <w:lang w:val="en-US"/>
              </w:rPr>
              <w:t>–14</w:t>
            </w:r>
          </w:p>
        </w:tc>
        <w:tc>
          <w:tcPr>
            <w:tcW w:w="277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30" w:after="30"/>
              <w:jc w:val="left"/>
              <w:rPr>
                <w:lang w:val="en-US"/>
              </w:rPr>
            </w:pPr>
            <w:r>
              <w:rPr>
                <w:lang w:val="en-US"/>
              </w:rPr>
              <w:t>–187</w:t>
            </w:r>
          </w:p>
        </w:tc>
      </w:tr>
      <w:tr w:rsidR="00B9359B">
        <w:tc>
          <w:tcPr>
            <w:tcW w:w="1305" w:type="dxa"/>
          </w:tcPr>
          <w:p w:rsidR="00B9359B" w:rsidRDefault="009A5268">
            <w:pPr>
              <w:pStyle w:val="Tabletext"/>
              <w:framePr w:hSpace="181" w:wrap="notBeside" w:vAnchor="text" w:hAnchor="text" w:xAlign="center" w:y="1"/>
              <w:spacing w:before="30" w:after="30"/>
              <w:jc w:val="center"/>
              <w:rPr>
                <w:lang w:val="en-US"/>
              </w:rPr>
            </w:pPr>
            <w:r>
              <w:rPr>
                <w:lang w:val="en-US"/>
              </w:rPr>
              <w:t>1</w:t>
            </w:r>
            <w:r>
              <w:rPr>
                <w:rFonts w:ascii="Tms Rmn" w:hAnsi="Tms Rmn"/>
                <w:sz w:val="12"/>
                <w:lang w:val="en-US"/>
              </w:rPr>
              <w:t> </w:t>
            </w:r>
            <w:r>
              <w:rPr>
                <w:lang w:val="en-US"/>
              </w:rPr>
              <w:t>491</w:t>
            </w:r>
          </w:p>
        </w:tc>
        <w:tc>
          <w:tcPr>
            <w:tcW w:w="277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30" w:after="30"/>
              <w:jc w:val="left"/>
              <w:rPr>
                <w:lang w:val="en-US"/>
              </w:rPr>
            </w:pPr>
            <w:r>
              <w:rPr>
                <w:lang w:val="en-US"/>
              </w:rPr>
              <w:t>–</w:t>
            </w:r>
            <w:r>
              <w:rPr>
                <w:sz w:val="4"/>
                <w:lang w:val="en-US"/>
              </w:rPr>
              <w:t> </w:t>
            </w:r>
            <w:r>
              <w:rPr>
                <w:lang w:val="en-US"/>
              </w:rPr>
              <w:t>45</w:t>
            </w:r>
          </w:p>
        </w:tc>
        <w:tc>
          <w:tcPr>
            <w:tcW w:w="277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30" w:after="30"/>
              <w:jc w:val="left"/>
              <w:rPr>
                <w:lang w:val="en-US"/>
              </w:rPr>
            </w:pPr>
            <w:r>
              <w:rPr>
                <w:lang w:val="en-US"/>
              </w:rPr>
              <w:t>–</w:t>
            </w:r>
            <w:r>
              <w:rPr>
                <w:sz w:val="4"/>
                <w:lang w:val="en-US"/>
              </w:rPr>
              <w:t> </w:t>
            </w:r>
            <w:r>
              <w:rPr>
                <w:lang w:val="en-US"/>
              </w:rPr>
              <w:t>4</w:t>
            </w:r>
          </w:p>
        </w:tc>
        <w:tc>
          <w:tcPr>
            <w:tcW w:w="277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30" w:after="30"/>
              <w:jc w:val="left"/>
              <w:rPr>
                <w:lang w:val="en-US"/>
              </w:rPr>
            </w:pPr>
            <w:r>
              <w:rPr>
                <w:lang w:val="en-US"/>
              </w:rPr>
              <w:t>–167</w:t>
            </w:r>
          </w:p>
        </w:tc>
      </w:tr>
      <w:tr w:rsidR="00B9359B">
        <w:tc>
          <w:tcPr>
            <w:tcW w:w="1305" w:type="dxa"/>
          </w:tcPr>
          <w:p w:rsidR="00B9359B" w:rsidRDefault="009A5268">
            <w:pPr>
              <w:pStyle w:val="Tabletext"/>
              <w:framePr w:hSpace="181" w:wrap="notBeside" w:vAnchor="text" w:hAnchor="text" w:xAlign="center" w:y="1"/>
              <w:spacing w:before="30" w:after="30"/>
              <w:jc w:val="center"/>
              <w:rPr>
                <w:lang w:val="en-US"/>
              </w:rPr>
            </w:pPr>
            <w:r>
              <w:rPr>
                <w:lang w:val="en-US"/>
              </w:rPr>
              <w:t>1</w:t>
            </w:r>
            <w:r>
              <w:rPr>
                <w:rFonts w:ascii="Tms Rmn" w:hAnsi="Tms Rmn"/>
                <w:sz w:val="12"/>
                <w:lang w:val="en-US"/>
              </w:rPr>
              <w:t> </w:t>
            </w:r>
            <w:r>
              <w:rPr>
                <w:lang w:val="en-US"/>
              </w:rPr>
              <w:t>508</w:t>
            </w:r>
          </w:p>
        </w:tc>
        <w:tc>
          <w:tcPr>
            <w:tcW w:w="277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30" w:after="30"/>
              <w:jc w:val="left"/>
              <w:rPr>
                <w:lang w:val="en-US"/>
              </w:rPr>
            </w:pPr>
            <w:r>
              <w:rPr>
                <w:lang w:val="en-US"/>
              </w:rPr>
              <w:t>–35</w:t>
            </w:r>
          </w:p>
        </w:tc>
        <w:tc>
          <w:tcPr>
            <w:tcW w:w="277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30" w:after="30"/>
              <w:jc w:val="left"/>
              <w:rPr>
                <w:lang w:val="en-US"/>
              </w:rPr>
            </w:pPr>
            <w:r>
              <w:rPr>
                <w:lang w:val="en-US"/>
              </w:rPr>
              <w:t>6</w:t>
            </w:r>
          </w:p>
        </w:tc>
        <w:tc>
          <w:tcPr>
            <w:tcW w:w="277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30" w:after="30"/>
              <w:jc w:val="left"/>
              <w:rPr>
                <w:lang w:val="en-US"/>
              </w:rPr>
            </w:pPr>
            <w:r>
              <w:rPr>
                <w:lang w:val="en-US"/>
              </w:rPr>
              <w:t>–157</w:t>
            </w:r>
          </w:p>
        </w:tc>
      </w:tr>
      <w:tr w:rsidR="00B9359B">
        <w:tc>
          <w:tcPr>
            <w:tcW w:w="1305" w:type="dxa"/>
          </w:tcPr>
          <w:p w:rsidR="00B9359B" w:rsidRDefault="009A5268">
            <w:pPr>
              <w:pStyle w:val="Tabletext"/>
              <w:framePr w:hSpace="181" w:wrap="notBeside" w:vAnchor="text" w:hAnchor="text" w:xAlign="center" w:y="1"/>
              <w:spacing w:before="30" w:after="30"/>
              <w:jc w:val="center"/>
              <w:rPr>
                <w:lang w:val="en-US"/>
              </w:rPr>
            </w:pPr>
            <w:r>
              <w:rPr>
                <w:lang w:val="en-US"/>
              </w:rPr>
              <w:t>1</w:t>
            </w:r>
            <w:r>
              <w:rPr>
                <w:rFonts w:ascii="Tms Rmn" w:hAnsi="Tms Rmn"/>
                <w:sz w:val="12"/>
                <w:lang w:val="en-US"/>
              </w:rPr>
              <w:t> </w:t>
            </w:r>
            <w:r>
              <w:rPr>
                <w:lang w:val="en-US"/>
              </w:rPr>
              <w:t>525</w:t>
            </w:r>
          </w:p>
        </w:tc>
        <w:tc>
          <w:tcPr>
            <w:tcW w:w="277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30" w:after="30"/>
              <w:jc w:val="left"/>
              <w:rPr>
                <w:lang w:val="en-US"/>
              </w:rPr>
            </w:pPr>
            <w:r>
              <w:rPr>
                <w:lang w:val="en-US"/>
              </w:rPr>
              <w:t>–15</w:t>
            </w:r>
          </w:p>
        </w:tc>
        <w:tc>
          <w:tcPr>
            <w:tcW w:w="277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30" w:after="30"/>
              <w:jc w:val="left"/>
              <w:rPr>
                <w:lang w:val="en-US"/>
              </w:rPr>
            </w:pPr>
            <w:r>
              <w:rPr>
                <w:lang w:val="en-US"/>
              </w:rPr>
              <w:t>26</w:t>
            </w:r>
          </w:p>
        </w:tc>
        <w:tc>
          <w:tcPr>
            <w:tcW w:w="277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30" w:after="30"/>
              <w:jc w:val="left"/>
              <w:rPr>
                <w:lang w:val="en-US"/>
              </w:rPr>
            </w:pPr>
            <w:r>
              <w:rPr>
                <w:lang w:val="en-US"/>
              </w:rPr>
              <w:t>–137</w:t>
            </w:r>
          </w:p>
        </w:tc>
      </w:tr>
      <w:tr w:rsidR="00B9359B">
        <w:tc>
          <w:tcPr>
            <w:tcW w:w="1305" w:type="dxa"/>
          </w:tcPr>
          <w:p w:rsidR="00B9359B" w:rsidRDefault="009A5268">
            <w:pPr>
              <w:pStyle w:val="Tabletext"/>
              <w:framePr w:hSpace="181" w:wrap="notBeside" w:vAnchor="text" w:hAnchor="text" w:xAlign="center" w:y="1"/>
              <w:spacing w:before="30" w:after="30"/>
              <w:jc w:val="center"/>
              <w:rPr>
                <w:lang w:val="en-US"/>
              </w:rPr>
            </w:pPr>
            <w:r>
              <w:rPr>
                <w:lang w:val="en-US"/>
              </w:rPr>
              <w:t>1</w:t>
            </w:r>
            <w:r>
              <w:rPr>
                <w:rFonts w:ascii="Tms Rmn" w:hAnsi="Tms Rmn"/>
                <w:sz w:val="12"/>
                <w:lang w:val="en-US"/>
              </w:rPr>
              <w:t> </w:t>
            </w:r>
            <w:r>
              <w:rPr>
                <w:lang w:val="en-US"/>
              </w:rPr>
              <w:t>559</w:t>
            </w:r>
          </w:p>
        </w:tc>
        <w:tc>
          <w:tcPr>
            <w:tcW w:w="277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30" w:after="30"/>
              <w:jc w:val="left"/>
              <w:rPr>
                <w:lang w:val="en-US"/>
              </w:rPr>
            </w:pPr>
            <w:r>
              <w:rPr>
                <w:lang w:val="en-US"/>
              </w:rPr>
              <w:t>–15</w:t>
            </w:r>
          </w:p>
        </w:tc>
        <w:tc>
          <w:tcPr>
            <w:tcW w:w="277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30" w:after="30"/>
              <w:jc w:val="left"/>
              <w:rPr>
                <w:lang w:val="en-US"/>
              </w:rPr>
            </w:pPr>
            <w:r>
              <w:rPr>
                <w:lang w:val="en-US"/>
              </w:rPr>
              <w:t>26</w:t>
            </w:r>
          </w:p>
        </w:tc>
        <w:tc>
          <w:tcPr>
            <w:tcW w:w="277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30" w:after="30"/>
              <w:jc w:val="left"/>
              <w:rPr>
                <w:lang w:val="en-US"/>
              </w:rPr>
            </w:pPr>
            <w:r>
              <w:rPr>
                <w:lang w:val="en-US"/>
              </w:rPr>
              <w:t>–137</w:t>
            </w:r>
          </w:p>
        </w:tc>
      </w:tr>
      <w:tr w:rsidR="00B9359B">
        <w:tc>
          <w:tcPr>
            <w:tcW w:w="1305" w:type="dxa"/>
          </w:tcPr>
          <w:p w:rsidR="00B9359B" w:rsidRDefault="009A5268">
            <w:pPr>
              <w:pStyle w:val="Tabletext"/>
              <w:framePr w:hSpace="181" w:wrap="notBeside" w:vAnchor="text" w:hAnchor="text" w:xAlign="center" w:y="1"/>
              <w:spacing w:before="30" w:after="30"/>
              <w:jc w:val="center"/>
              <w:rPr>
                <w:lang w:val="en-US"/>
              </w:rPr>
            </w:pPr>
            <w:r>
              <w:rPr>
                <w:sz w:val="24"/>
                <w:lang w:val="en-US"/>
              </w:rPr>
              <w:br w:type="page"/>
            </w:r>
            <w:r>
              <w:rPr>
                <w:lang w:val="en-US"/>
              </w:rPr>
              <w:t>1</w:t>
            </w:r>
            <w:r>
              <w:rPr>
                <w:rFonts w:ascii="Tms Rmn" w:hAnsi="Tms Rmn"/>
                <w:sz w:val="12"/>
                <w:lang w:val="en-US"/>
              </w:rPr>
              <w:t> </w:t>
            </w:r>
            <w:r>
              <w:rPr>
                <w:lang w:val="en-US"/>
              </w:rPr>
              <w:t>576</w:t>
            </w:r>
          </w:p>
        </w:tc>
        <w:tc>
          <w:tcPr>
            <w:tcW w:w="277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30" w:after="30"/>
              <w:jc w:val="left"/>
              <w:rPr>
                <w:lang w:val="en-US"/>
              </w:rPr>
            </w:pPr>
            <w:r>
              <w:rPr>
                <w:lang w:val="en-US"/>
              </w:rPr>
              <w:t>–35</w:t>
            </w:r>
          </w:p>
        </w:tc>
        <w:tc>
          <w:tcPr>
            <w:tcW w:w="277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30" w:after="30"/>
              <w:jc w:val="left"/>
              <w:rPr>
                <w:lang w:val="en-US"/>
              </w:rPr>
            </w:pPr>
            <w:r>
              <w:rPr>
                <w:lang w:val="en-US"/>
              </w:rPr>
              <w:t>6</w:t>
            </w:r>
          </w:p>
        </w:tc>
        <w:tc>
          <w:tcPr>
            <w:tcW w:w="277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30" w:after="30"/>
              <w:jc w:val="left"/>
              <w:rPr>
                <w:lang w:val="en-US"/>
              </w:rPr>
            </w:pPr>
            <w:r>
              <w:rPr>
                <w:lang w:val="en-US"/>
              </w:rPr>
              <w:t>–157</w:t>
            </w:r>
          </w:p>
        </w:tc>
      </w:tr>
      <w:tr w:rsidR="00B9359B">
        <w:tc>
          <w:tcPr>
            <w:tcW w:w="1305" w:type="dxa"/>
          </w:tcPr>
          <w:p w:rsidR="00B9359B" w:rsidRDefault="009A5268">
            <w:pPr>
              <w:pStyle w:val="Tabletext"/>
              <w:framePr w:hSpace="181" w:wrap="notBeside" w:vAnchor="text" w:hAnchor="text" w:xAlign="center" w:y="1"/>
              <w:spacing w:before="30" w:after="30"/>
              <w:jc w:val="center"/>
              <w:rPr>
                <w:lang w:val="en-US"/>
              </w:rPr>
            </w:pPr>
            <w:r>
              <w:rPr>
                <w:lang w:val="en-US"/>
              </w:rPr>
              <w:t>1</w:t>
            </w:r>
            <w:r>
              <w:rPr>
                <w:rFonts w:ascii="Tms Rmn" w:hAnsi="Tms Rmn"/>
                <w:sz w:val="12"/>
                <w:lang w:val="en-US"/>
              </w:rPr>
              <w:t> </w:t>
            </w:r>
            <w:r>
              <w:rPr>
                <w:lang w:val="en-US"/>
              </w:rPr>
              <w:t>593</w:t>
            </w:r>
          </w:p>
        </w:tc>
        <w:tc>
          <w:tcPr>
            <w:tcW w:w="277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30" w:after="30"/>
              <w:jc w:val="left"/>
              <w:rPr>
                <w:lang w:val="en-US"/>
              </w:rPr>
            </w:pPr>
            <w:r>
              <w:rPr>
                <w:lang w:val="en-US"/>
              </w:rPr>
              <w:t>–</w:t>
            </w:r>
            <w:r>
              <w:rPr>
                <w:sz w:val="4"/>
                <w:lang w:val="en-US"/>
              </w:rPr>
              <w:t> </w:t>
            </w:r>
            <w:r>
              <w:rPr>
                <w:lang w:val="en-US"/>
              </w:rPr>
              <w:t>45</w:t>
            </w:r>
          </w:p>
        </w:tc>
        <w:tc>
          <w:tcPr>
            <w:tcW w:w="277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30" w:after="30"/>
              <w:jc w:val="left"/>
              <w:rPr>
                <w:lang w:val="en-US"/>
              </w:rPr>
            </w:pPr>
            <w:r>
              <w:rPr>
                <w:lang w:val="en-US"/>
              </w:rPr>
              <w:t>–</w:t>
            </w:r>
            <w:r>
              <w:rPr>
                <w:sz w:val="4"/>
                <w:lang w:val="en-US"/>
              </w:rPr>
              <w:t> </w:t>
            </w:r>
            <w:r>
              <w:rPr>
                <w:lang w:val="en-US"/>
              </w:rPr>
              <w:t>4</w:t>
            </w:r>
          </w:p>
        </w:tc>
        <w:tc>
          <w:tcPr>
            <w:tcW w:w="277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30" w:after="30"/>
              <w:jc w:val="left"/>
              <w:rPr>
                <w:lang w:val="en-US"/>
              </w:rPr>
            </w:pPr>
            <w:r>
              <w:rPr>
                <w:lang w:val="en-US"/>
              </w:rPr>
              <w:t>–167</w:t>
            </w:r>
          </w:p>
        </w:tc>
      </w:tr>
      <w:tr w:rsidR="00B9359B">
        <w:tc>
          <w:tcPr>
            <w:tcW w:w="1305" w:type="dxa"/>
          </w:tcPr>
          <w:p w:rsidR="00B9359B" w:rsidRDefault="009A5268">
            <w:pPr>
              <w:pStyle w:val="Tabletext"/>
              <w:framePr w:hSpace="181" w:wrap="notBeside" w:vAnchor="text" w:hAnchor="text" w:xAlign="center" w:y="1"/>
              <w:spacing w:before="30" w:after="30"/>
              <w:jc w:val="center"/>
              <w:rPr>
                <w:lang w:val="en-US"/>
              </w:rPr>
            </w:pPr>
            <w:r>
              <w:rPr>
                <w:lang w:val="en-US"/>
              </w:rPr>
              <w:t>1</w:t>
            </w:r>
            <w:r>
              <w:rPr>
                <w:rFonts w:ascii="Tms Rmn" w:hAnsi="Tms Rmn"/>
                <w:sz w:val="12"/>
                <w:lang w:val="en-US"/>
              </w:rPr>
              <w:t> </w:t>
            </w:r>
            <w:r>
              <w:rPr>
                <w:lang w:val="en-US"/>
              </w:rPr>
              <w:t>610</w:t>
            </w:r>
          </w:p>
        </w:tc>
        <w:tc>
          <w:tcPr>
            <w:tcW w:w="277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30" w:after="30"/>
              <w:jc w:val="left"/>
              <w:rPr>
                <w:lang w:val="en-US"/>
              </w:rPr>
            </w:pPr>
            <w:r>
              <w:rPr>
                <w:lang w:val="en-US"/>
              </w:rPr>
              <w:t>–65</w:t>
            </w:r>
          </w:p>
        </w:tc>
        <w:tc>
          <w:tcPr>
            <w:tcW w:w="277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30" w:after="30"/>
              <w:jc w:val="left"/>
              <w:rPr>
                <w:lang w:val="en-US"/>
              </w:rPr>
            </w:pPr>
            <w:r>
              <w:rPr>
                <w:lang w:val="en-US"/>
              </w:rPr>
              <w:t>–14</w:t>
            </w:r>
          </w:p>
        </w:tc>
        <w:tc>
          <w:tcPr>
            <w:tcW w:w="277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30" w:after="30"/>
              <w:jc w:val="left"/>
              <w:rPr>
                <w:lang w:val="en-US"/>
              </w:rPr>
            </w:pPr>
            <w:r>
              <w:rPr>
                <w:lang w:val="en-US"/>
              </w:rPr>
              <w:t>–187</w:t>
            </w:r>
          </w:p>
        </w:tc>
      </w:tr>
      <w:tr w:rsidR="00B9359B">
        <w:tc>
          <w:tcPr>
            <w:tcW w:w="1305" w:type="dxa"/>
          </w:tcPr>
          <w:p w:rsidR="00B9359B" w:rsidRDefault="009A5268">
            <w:pPr>
              <w:pStyle w:val="Tabletext"/>
              <w:framePr w:hSpace="181" w:wrap="notBeside" w:vAnchor="text" w:hAnchor="text" w:xAlign="center" w:y="1"/>
              <w:spacing w:before="30" w:after="30"/>
              <w:jc w:val="center"/>
              <w:rPr>
                <w:lang w:val="en-US"/>
              </w:rPr>
            </w:pPr>
            <w:r>
              <w:rPr>
                <w:lang w:val="en-US"/>
              </w:rPr>
              <w:t>1</w:t>
            </w:r>
            <w:r>
              <w:rPr>
                <w:rFonts w:ascii="Tms Rmn" w:hAnsi="Tms Rmn"/>
                <w:sz w:val="12"/>
                <w:lang w:val="en-US"/>
              </w:rPr>
              <w:t> </w:t>
            </w:r>
            <w:r>
              <w:rPr>
                <w:lang w:val="en-US"/>
              </w:rPr>
              <w:t>627</w:t>
            </w:r>
          </w:p>
        </w:tc>
        <w:tc>
          <w:tcPr>
            <w:tcW w:w="277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30" w:after="30"/>
              <w:jc w:val="left"/>
              <w:rPr>
                <w:lang w:val="en-US"/>
              </w:rPr>
            </w:pPr>
            <w:r>
              <w:rPr>
                <w:lang w:val="en-US"/>
              </w:rPr>
              <w:t>–75</w:t>
            </w:r>
          </w:p>
        </w:tc>
        <w:tc>
          <w:tcPr>
            <w:tcW w:w="277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30" w:after="30"/>
              <w:jc w:val="left"/>
              <w:rPr>
                <w:lang w:val="en-US"/>
              </w:rPr>
            </w:pPr>
            <w:r>
              <w:rPr>
                <w:lang w:val="en-US"/>
              </w:rPr>
              <w:t>–24</w:t>
            </w:r>
          </w:p>
        </w:tc>
        <w:tc>
          <w:tcPr>
            <w:tcW w:w="277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30" w:after="30"/>
              <w:jc w:val="left"/>
              <w:rPr>
                <w:lang w:val="en-US"/>
              </w:rPr>
            </w:pPr>
            <w:r>
              <w:rPr>
                <w:lang w:val="en-US"/>
              </w:rPr>
              <w:t>–197</w:t>
            </w:r>
          </w:p>
        </w:tc>
      </w:tr>
      <w:tr w:rsidR="00B9359B">
        <w:tc>
          <w:tcPr>
            <w:tcW w:w="1305" w:type="dxa"/>
          </w:tcPr>
          <w:p w:rsidR="00B9359B" w:rsidRDefault="009A5268">
            <w:pPr>
              <w:pStyle w:val="Tabletext"/>
              <w:framePr w:hSpace="181" w:wrap="notBeside" w:vAnchor="text" w:hAnchor="text" w:xAlign="center" w:y="1"/>
              <w:spacing w:before="30" w:after="30"/>
              <w:jc w:val="center"/>
              <w:rPr>
                <w:lang w:val="en-US"/>
              </w:rPr>
            </w:pPr>
            <w:r>
              <w:rPr>
                <w:lang w:val="en-US"/>
              </w:rPr>
              <w:t>1</w:t>
            </w:r>
            <w:r>
              <w:rPr>
                <w:rFonts w:ascii="Tms Rmn" w:hAnsi="Tms Rmn"/>
                <w:sz w:val="12"/>
                <w:lang w:val="en-US"/>
              </w:rPr>
              <w:t> </w:t>
            </w:r>
            <w:r>
              <w:rPr>
                <w:lang w:val="en-US"/>
              </w:rPr>
              <w:t>678</w:t>
            </w:r>
          </w:p>
        </w:tc>
        <w:tc>
          <w:tcPr>
            <w:tcW w:w="277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30" w:after="30"/>
              <w:jc w:val="left"/>
              <w:rPr>
                <w:lang w:val="en-US"/>
              </w:rPr>
            </w:pPr>
            <w:r>
              <w:rPr>
                <w:lang w:val="en-US"/>
              </w:rPr>
              <w:t>–80</w:t>
            </w:r>
          </w:p>
        </w:tc>
        <w:tc>
          <w:tcPr>
            <w:tcW w:w="277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30" w:after="30"/>
              <w:jc w:val="left"/>
              <w:rPr>
                <w:lang w:val="en-US"/>
              </w:rPr>
            </w:pPr>
            <w:r>
              <w:rPr>
                <w:lang w:val="en-US"/>
              </w:rPr>
              <w:t>–39</w:t>
            </w:r>
          </w:p>
        </w:tc>
        <w:tc>
          <w:tcPr>
            <w:tcW w:w="277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30" w:after="30"/>
              <w:jc w:val="left"/>
              <w:rPr>
                <w:lang w:val="en-US"/>
              </w:rPr>
            </w:pPr>
            <w:r>
              <w:rPr>
                <w:lang w:val="en-US"/>
              </w:rPr>
              <w:t>–202</w:t>
            </w:r>
          </w:p>
        </w:tc>
      </w:tr>
      <w:tr w:rsidR="00B9359B">
        <w:tc>
          <w:tcPr>
            <w:tcW w:w="1305" w:type="dxa"/>
          </w:tcPr>
          <w:p w:rsidR="00B9359B" w:rsidRDefault="009A5268">
            <w:pPr>
              <w:pStyle w:val="Tabletext"/>
              <w:framePr w:hSpace="181" w:wrap="notBeside" w:vAnchor="text" w:hAnchor="text" w:xAlign="center" w:y="1"/>
              <w:spacing w:before="30" w:after="30"/>
              <w:jc w:val="center"/>
              <w:rPr>
                <w:lang w:val="en-US"/>
              </w:rPr>
            </w:pPr>
            <w:r>
              <w:rPr>
                <w:lang w:val="en-US"/>
              </w:rPr>
              <w:t>1</w:t>
            </w:r>
            <w:r>
              <w:rPr>
                <w:rFonts w:ascii="Tms Rmn" w:hAnsi="Tms Rmn"/>
                <w:sz w:val="12"/>
                <w:lang w:val="en-US"/>
              </w:rPr>
              <w:t> </w:t>
            </w:r>
            <w:r>
              <w:rPr>
                <w:lang w:val="en-US"/>
              </w:rPr>
              <w:t>700</w:t>
            </w:r>
          </w:p>
        </w:tc>
        <w:tc>
          <w:tcPr>
            <w:tcW w:w="277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30" w:after="30"/>
              <w:jc w:val="left"/>
              <w:rPr>
                <w:lang w:val="en-US"/>
              </w:rPr>
            </w:pPr>
            <w:r>
              <w:rPr>
                <w:lang w:val="en-US"/>
              </w:rPr>
              <w:t>–80</w:t>
            </w:r>
          </w:p>
        </w:tc>
        <w:tc>
          <w:tcPr>
            <w:tcW w:w="277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30" w:after="30"/>
              <w:jc w:val="left"/>
              <w:rPr>
                <w:lang w:val="en-US"/>
              </w:rPr>
            </w:pPr>
            <w:r>
              <w:rPr>
                <w:lang w:val="en-US"/>
              </w:rPr>
              <w:t>–39</w:t>
            </w:r>
          </w:p>
        </w:tc>
        <w:tc>
          <w:tcPr>
            <w:tcW w:w="277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30" w:after="30"/>
              <w:jc w:val="left"/>
              <w:rPr>
                <w:lang w:val="en-US"/>
              </w:rPr>
            </w:pPr>
            <w:r>
              <w:rPr>
                <w:lang w:val="en-US"/>
              </w:rPr>
              <w:t>–202</w:t>
            </w:r>
          </w:p>
        </w:tc>
      </w:tr>
      <w:tr w:rsidR="00B9359B">
        <w:tc>
          <w:tcPr>
            <w:tcW w:w="1305" w:type="dxa"/>
          </w:tcPr>
          <w:p w:rsidR="00B9359B" w:rsidRDefault="009A5268">
            <w:pPr>
              <w:pStyle w:val="Tabletext"/>
              <w:framePr w:hSpace="181" w:wrap="notBeside" w:vAnchor="text" w:hAnchor="text" w:xAlign="center" w:y="1"/>
              <w:spacing w:before="30" w:after="30"/>
              <w:jc w:val="center"/>
              <w:rPr>
                <w:lang w:val="en-US"/>
              </w:rPr>
            </w:pPr>
            <w:r>
              <w:rPr>
                <w:lang w:val="en-US"/>
              </w:rPr>
              <w:t>1</w:t>
            </w:r>
            <w:r>
              <w:rPr>
                <w:rFonts w:ascii="Tms Rmn" w:hAnsi="Tms Rmn"/>
                <w:sz w:val="12"/>
                <w:lang w:val="en-US"/>
              </w:rPr>
              <w:t> </w:t>
            </w:r>
            <w:r>
              <w:rPr>
                <w:lang w:val="en-US"/>
              </w:rPr>
              <w:t>800</w:t>
            </w:r>
          </w:p>
        </w:tc>
        <w:tc>
          <w:tcPr>
            <w:tcW w:w="277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30" w:after="30"/>
              <w:jc w:val="left"/>
              <w:rPr>
                <w:lang w:val="en-US"/>
              </w:rPr>
            </w:pPr>
            <w:r>
              <w:rPr>
                <w:lang w:val="en-US"/>
              </w:rPr>
              <w:t>–80</w:t>
            </w:r>
          </w:p>
        </w:tc>
        <w:tc>
          <w:tcPr>
            <w:tcW w:w="277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30" w:after="30"/>
              <w:jc w:val="left"/>
              <w:rPr>
                <w:lang w:val="en-US"/>
              </w:rPr>
            </w:pPr>
            <w:r>
              <w:rPr>
                <w:lang w:val="en-US"/>
              </w:rPr>
              <w:t>–39</w:t>
            </w:r>
          </w:p>
        </w:tc>
        <w:tc>
          <w:tcPr>
            <w:tcW w:w="277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30" w:after="30"/>
              <w:jc w:val="left"/>
              <w:rPr>
                <w:lang w:val="en-US"/>
              </w:rPr>
            </w:pPr>
            <w:r>
              <w:rPr>
                <w:lang w:val="en-US"/>
              </w:rPr>
              <w:t>–202</w:t>
            </w:r>
          </w:p>
        </w:tc>
      </w:tr>
    </w:tbl>
    <w:p w:rsidR="00B9359B" w:rsidRDefault="00B9359B">
      <w:pPr>
        <w:pStyle w:val="Tablefin"/>
        <w:spacing w:before="0"/>
        <w:rPr>
          <w:sz w:val="6"/>
        </w:rPr>
      </w:pPr>
    </w:p>
    <w:p w:rsidR="00B9359B" w:rsidRDefault="009A5268">
      <w:pPr>
        <w:pStyle w:val="Heading2"/>
        <w:rPr>
          <w:lang w:val="en-US"/>
        </w:rPr>
      </w:pPr>
      <w:bookmarkStart w:id="119" w:name="_Toc51045518"/>
      <w:r>
        <w:rPr>
          <w:lang w:val="en-US"/>
        </w:rPr>
        <w:br w:type="page"/>
        <w:t>4.3</w:t>
      </w:r>
      <w:r>
        <w:rPr>
          <w:lang w:val="en-US"/>
        </w:rPr>
        <w:tab/>
        <w:t>Values achieved</w:t>
      </w:r>
      <w:bookmarkEnd w:id="119"/>
    </w:p>
    <w:p w:rsidR="00B9359B" w:rsidRDefault="009A5268">
      <w:pPr>
        <w:rPr>
          <w:lang w:val="en-US"/>
        </w:rPr>
      </w:pPr>
      <w:r>
        <w:rPr>
          <w:lang w:val="en-US"/>
        </w:rPr>
        <w:t>The value is –202 dB(W/m</w:t>
      </w:r>
      <w:r>
        <w:rPr>
          <w:vertAlign w:val="superscript"/>
          <w:lang w:val="en-US"/>
        </w:rPr>
        <w:t>2</w:t>
      </w:r>
      <w:r>
        <w:rPr>
          <w:lang w:val="en-US"/>
        </w:rPr>
        <w:t>) in a 4 kHz bandwidth.</w:t>
      </w:r>
    </w:p>
    <w:p w:rsidR="00B9359B" w:rsidRDefault="009A5268">
      <w:pPr>
        <w:rPr>
          <w:lang w:val="en-US"/>
        </w:rPr>
      </w:pPr>
      <w:r>
        <w:rPr>
          <w:lang w:val="en-US"/>
        </w:rPr>
        <w:t>Translating these values for the continuum and spectral line observations, we obtain the following values:</w:t>
      </w:r>
    </w:p>
    <w:p w:rsidR="00B9359B" w:rsidRDefault="009A5268">
      <w:pPr>
        <w:pStyle w:val="enumlev1"/>
        <w:rPr>
          <w:lang w:val="en-US"/>
        </w:rPr>
      </w:pPr>
      <w:r>
        <w:sym w:font="Symbol" w:char="F02D"/>
      </w:r>
      <w:r>
        <w:rPr>
          <w:lang w:val="en-US"/>
        </w:rPr>
        <w:tab/>
        <w:t>for single-dish continuum observations: –163 dB(W/m</w:t>
      </w:r>
      <w:r>
        <w:rPr>
          <w:vertAlign w:val="superscript"/>
          <w:lang w:val="en-US"/>
        </w:rPr>
        <w:t>2</w:t>
      </w:r>
      <w:r>
        <w:rPr>
          <w:lang w:val="en-US"/>
        </w:rPr>
        <w:t>) in a 27 MHz bandwidth;</w:t>
      </w:r>
    </w:p>
    <w:p w:rsidR="00B9359B" w:rsidRDefault="009A5268">
      <w:pPr>
        <w:pStyle w:val="enumlev1"/>
        <w:rPr>
          <w:lang w:val="en-US"/>
        </w:rPr>
      </w:pPr>
      <w:r>
        <w:sym w:font="Symbol" w:char="F02D"/>
      </w:r>
      <w:r>
        <w:rPr>
          <w:lang w:val="en-US"/>
        </w:rPr>
        <w:tab/>
        <w:t>for single-dish spectral line observations: –195 dB(W/m</w:t>
      </w:r>
      <w:r>
        <w:rPr>
          <w:vertAlign w:val="superscript"/>
          <w:lang w:val="en-US"/>
        </w:rPr>
        <w:t>2</w:t>
      </w:r>
      <w:r>
        <w:rPr>
          <w:lang w:val="en-US"/>
        </w:rPr>
        <w:t>) in a 20 kHz bandwidth.</w:t>
      </w:r>
    </w:p>
    <w:p w:rsidR="00B9359B" w:rsidRDefault="009A5268">
      <w:pPr>
        <w:rPr>
          <w:lang w:val="en-US"/>
        </w:rPr>
      </w:pPr>
      <w:r>
        <w:rPr>
          <w:lang w:val="en-US"/>
        </w:rPr>
        <w:t>Based on the above parameters of one GSO mobile-satellite system of one operator the following margins/deficits are derived:</w:t>
      </w:r>
    </w:p>
    <w:p w:rsidR="00B9359B" w:rsidRDefault="009A5268">
      <w:pPr>
        <w:pStyle w:val="enumlev1"/>
        <w:rPr>
          <w:lang w:val="en-US"/>
        </w:rPr>
      </w:pPr>
      <w:r>
        <w:sym w:font="Symbol" w:char="F02D"/>
      </w:r>
      <w:r>
        <w:rPr>
          <w:lang w:val="en-US"/>
        </w:rPr>
        <w:tab/>
        <w:t>for single-dish line observations there is a deficit of 1 dB in meeting the protection criterion given in Recommendation ITU</w:t>
      </w:r>
      <w:r>
        <w:rPr>
          <w:lang w:val="en-US"/>
        </w:rPr>
        <w:noBreakHyphen/>
        <w:t>R RA.769;</w:t>
      </w:r>
    </w:p>
    <w:p w:rsidR="00B9359B" w:rsidRDefault="009A5268">
      <w:pPr>
        <w:pStyle w:val="enumlev1"/>
        <w:rPr>
          <w:lang w:val="en-US"/>
        </w:rPr>
      </w:pPr>
      <w:r>
        <w:sym w:font="Symbol" w:char="F02D"/>
      </w:r>
      <w:r>
        <w:rPr>
          <w:lang w:val="en-US"/>
        </w:rPr>
        <w:tab/>
        <w:t>for single-dish continuum observations there is a deficit of 17 dB in meeting the protection criterion given in Recommendation ITU</w:t>
      </w:r>
      <w:r>
        <w:rPr>
          <w:lang w:val="en-US"/>
        </w:rPr>
        <w:noBreakHyphen/>
        <w:t>R RA.769.</w:t>
      </w:r>
    </w:p>
    <w:p w:rsidR="00B9359B" w:rsidRDefault="009A5268">
      <w:pPr>
        <w:pStyle w:val="Heading1"/>
        <w:rPr>
          <w:lang w:val="en-US"/>
        </w:rPr>
      </w:pPr>
      <w:bookmarkStart w:id="120" w:name="_Toc51045519"/>
      <w:r>
        <w:rPr>
          <w:lang w:val="en-US"/>
        </w:rPr>
        <w:t>5</w:t>
      </w:r>
      <w:r>
        <w:rPr>
          <w:lang w:val="en-US"/>
        </w:rPr>
        <w:tab/>
        <w:t>Mitigation techniques</w:t>
      </w:r>
      <w:bookmarkEnd w:id="120"/>
    </w:p>
    <w:p w:rsidR="00B9359B" w:rsidRDefault="009A5268">
      <w:pPr>
        <w:pStyle w:val="Heading2"/>
        <w:rPr>
          <w:lang w:val="en-US"/>
        </w:rPr>
      </w:pPr>
      <w:bookmarkStart w:id="121" w:name="_Toc51045520"/>
      <w:r>
        <w:rPr>
          <w:lang w:val="en-US"/>
        </w:rPr>
        <w:t>5.1</w:t>
      </w:r>
      <w:r>
        <w:rPr>
          <w:lang w:val="en-US"/>
        </w:rPr>
        <w:tab/>
      </w:r>
      <w:r>
        <w:rPr>
          <w:caps/>
          <w:lang w:val="en-US"/>
        </w:rPr>
        <w:t>RAS</w:t>
      </w:r>
      <w:bookmarkEnd w:id="121"/>
    </w:p>
    <w:p w:rsidR="00B9359B" w:rsidRDefault="009A5268">
      <w:pPr>
        <w:rPr>
          <w:snapToGrid w:val="0"/>
          <w:lang w:val="en-US"/>
        </w:rPr>
      </w:pPr>
      <w:r>
        <w:rPr>
          <w:snapToGrid w:val="0"/>
          <w:lang w:val="en-US"/>
        </w:rPr>
        <w:t>There are various methods, including those described below, which might be considered to reduce unwanted emissions from the satellite transmitters at a radio telescope.</w:t>
      </w:r>
    </w:p>
    <w:p w:rsidR="00B9359B" w:rsidRDefault="009A5268">
      <w:pPr>
        <w:rPr>
          <w:lang w:val="en-US"/>
        </w:rPr>
      </w:pPr>
      <w:r>
        <w:rPr>
          <w:i/>
          <w:lang w:val="en-US"/>
        </w:rPr>
        <w:t>Antenna sidelobe performance</w:t>
      </w:r>
      <w:r>
        <w:rPr>
          <w:lang w:val="en-US"/>
        </w:rPr>
        <w:t xml:space="preserve">:  The aperture illumination of radio telescopes is usually optimized for </w:t>
      </w:r>
      <w:r>
        <w:rPr>
          <w:i/>
          <w:iCs/>
          <w:lang w:val="en-US"/>
        </w:rPr>
        <w:t>G</w:t>
      </w:r>
      <w:r>
        <w:rPr>
          <w:lang w:val="en-US"/>
        </w:rPr>
        <w:t>/</w:t>
      </w:r>
      <w:r>
        <w:rPr>
          <w:i/>
          <w:iCs/>
          <w:lang w:val="en-US"/>
        </w:rPr>
        <w:t>T</w:t>
      </w:r>
      <w:r>
        <w:rPr>
          <w:lang w:val="en-US"/>
        </w:rPr>
        <w:t xml:space="preserve">, i.e. telescope gain divided by system temperature. This is to maximize the </w:t>
      </w:r>
      <w:r>
        <w:rPr>
          <w:i/>
          <w:iCs/>
          <w:lang w:val="en-US"/>
        </w:rPr>
        <w:t>S</w:t>
      </w:r>
      <w:r>
        <w:rPr>
          <w:lang w:val="en-US"/>
        </w:rPr>
        <w:t>/</w:t>
      </w:r>
      <w:r>
        <w:rPr>
          <w:i/>
          <w:iCs/>
          <w:lang w:val="en-US"/>
        </w:rPr>
        <w:t>N</w:t>
      </w:r>
      <w:r>
        <w:rPr>
          <w:lang w:val="en-US"/>
        </w:rPr>
        <w:t xml:space="preserve"> for point sources. A key element of this approach is to reduce ground radiation entering through far sidelobes. Inevitably this leads to some corresponding increase in the levels of near sidelobes. Experience has shown that the majority of radio telescopes meets the envelope sidelobe mask given in Recommendation ITU</w:t>
      </w:r>
      <w:r>
        <w:rPr>
          <w:lang w:val="en-US"/>
        </w:rPr>
        <w:noBreakHyphen/>
        <w:t>R SA.509 over most directions.</w:t>
      </w:r>
    </w:p>
    <w:p w:rsidR="00B9359B" w:rsidRDefault="009A5268">
      <w:pPr>
        <w:rPr>
          <w:lang w:val="en-US"/>
        </w:rPr>
      </w:pPr>
      <w:r>
        <w:rPr>
          <w:i/>
          <w:lang w:val="en-US"/>
        </w:rPr>
        <w:t>Blanking in time and/or frequency</w:t>
      </w:r>
      <w:r>
        <w:rPr>
          <w:lang w:val="en-US"/>
        </w:rPr>
        <w:t>:  This technique may be applied in some cases where inter</w:t>
      </w:r>
      <w:r>
        <w:rPr>
          <w:lang w:val="en-US"/>
        </w:rPr>
        <w:softHyphen/>
        <w:t>ference into the radio astronomy frequency band can be fully and unambiguously identified in time and/or frequency.</w:t>
      </w:r>
    </w:p>
    <w:p w:rsidR="00B9359B" w:rsidRDefault="009A5268">
      <w:pPr>
        <w:pStyle w:val="Heading2"/>
        <w:rPr>
          <w:lang w:val="en-US"/>
        </w:rPr>
      </w:pPr>
      <w:bookmarkStart w:id="122" w:name="_Toc51045521"/>
      <w:r>
        <w:rPr>
          <w:lang w:val="en-US"/>
        </w:rPr>
        <w:t>5.2</w:t>
      </w:r>
      <w:r>
        <w:rPr>
          <w:lang w:val="en-US"/>
        </w:rPr>
        <w:tab/>
        <w:t>MSS</w:t>
      </w:r>
      <w:bookmarkEnd w:id="122"/>
    </w:p>
    <w:p w:rsidR="00B9359B" w:rsidRDefault="009A5268">
      <w:pPr>
        <w:rPr>
          <w:lang w:val="en-US"/>
        </w:rPr>
      </w:pPr>
      <w:r>
        <w:rPr>
          <w:lang w:val="en-US"/>
        </w:rPr>
        <w:t>In order to improve the levels given in Table 10, the following mitigation techniques should be taken into account in the design of new space station:</w:t>
      </w:r>
    </w:p>
    <w:p w:rsidR="00B9359B" w:rsidRDefault="009A5268">
      <w:pPr>
        <w:pStyle w:val="enumlev1"/>
        <w:rPr>
          <w:lang w:val="en-US"/>
        </w:rPr>
      </w:pPr>
      <w:r>
        <w:sym w:font="Symbol" w:char="F02D"/>
      </w:r>
      <w:r>
        <w:rPr>
          <w:lang w:val="en-US"/>
        </w:rPr>
        <w:tab/>
        <w:t>the wideband frequency response of the antenna;</w:t>
      </w:r>
    </w:p>
    <w:p w:rsidR="00B9359B" w:rsidRDefault="009A5268">
      <w:pPr>
        <w:pStyle w:val="enumlev1"/>
        <w:rPr>
          <w:lang w:val="en-US"/>
        </w:rPr>
      </w:pPr>
      <w:r>
        <w:sym w:font="Symbol" w:char="F02D"/>
      </w:r>
      <w:r>
        <w:rPr>
          <w:lang w:val="en-US"/>
        </w:rPr>
        <w:tab/>
        <w:t>the attenuation characteristics of intermediate filters;</w:t>
      </w:r>
    </w:p>
    <w:p w:rsidR="00B9359B" w:rsidRDefault="009A5268">
      <w:pPr>
        <w:pStyle w:val="enumlev1"/>
        <w:rPr>
          <w:lang w:val="en-US"/>
        </w:rPr>
      </w:pPr>
      <w:r>
        <w:sym w:font="Symbol" w:char="F02D"/>
      </w:r>
      <w:r>
        <w:rPr>
          <w:lang w:val="en-US"/>
        </w:rPr>
        <w:tab/>
        <w:t>the gain frequency response of solid state power amplifiers;</w:t>
      </w:r>
    </w:p>
    <w:p w:rsidR="00B9359B" w:rsidRDefault="009A5268">
      <w:pPr>
        <w:pStyle w:val="enumlev1"/>
        <w:rPr>
          <w:lang w:val="en-US"/>
        </w:rPr>
      </w:pPr>
      <w:r>
        <w:sym w:font="Symbol" w:char="F02D"/>
      </w:r>
      <w:r>
        <w:rPr>
          <w:lang w:val="en-US"/>
        </w:rPr>
        <w:tab/>
        <w:t>the modulation characteristics of individual carriers;</w:t>
      </w:r>
    </w:p>
    <w:p w:rsidR="00B9359B" w:rsidRDefault="009A5268">
      <w:pPr>
        <w:pStyle w:val="enumlev1"/>
        <w:rPr>
          <w:lang w:val="en-US"/>
        </w:rPr>
      </w:pPr>
      <w:r>
        <w:sym w:font="Symbol" w:char="F02D"/>
      </w:r>
      <w:r>
        <w:rPr>
          <w:lang w:val="en-US"/>
        </w:rPr>
        <w:tab/>
        <w:t>the attenuation of inter-modulation products with respect to the power of the carriers.</w:t>
      </w:r>
    </w:p>
    <w:p w:rsidR="00B9359B" w:rsidRDefault="009A5268">
      <w:pPr>
        <w:pStyle w:val="Heading2"/>
        <w:rPr>
          <w:lang w:val="en-US"/>
        </w:rPr>
      </w:pPr>
      <w:bookmarkStart w:id="123" w:name="_Toc51045522"/>
      <w:r>
        <w:rPr>
          <w:lang w:val="en-US"/>
        </w:rPr>
        <w:br w:type="page"/>
        <w:t>5.3</w:t>
      </w:r>
      <w:r>
        <w:rPr>
          <w:lang w:val="en-US"/>
        </w:rPr>
        <w:tab/>
        <w:t>Potential impact</w:t>
      </w:r>
      <w:bookmarkEnd w:id="123"/>
    </w:p>
    <w:p w:rsidR="00B9359B" w:rsidRDefault="009A5268">
      <w:pPr>
        <w:rPr>
          <w:lang w:val="en-US"/>
        </w:rPr>
      </w:pPr>
      <w:r>
        <w:rPr>
          <w:lang w:val="en-US"/>
        </w:rPr>
        <w:t>The mitigation techniques in § 5.2 are deemed technically feasible for GSO systems.</w:t>
      </w:r>
    </w:p>
    <w:p w:rsidR="00B9359B" w:rsidRDefault="009A5268">
      <w:pPr>
        <w:pStyle w:val="Heading3"/>
        <w:rPr>
          <w:lang w:val="en-US"/>
        </w:rPr>
      </w:pPr>
      <w:bookmarkStart w:id="124" w:name="_Toc51045523"/>
      <w:r>
        <w:rPr>
          <w:lang w:val="en-US"/>
        </w:rPr>
        <w:t>5.3.1</w:t>
      </w:r>
      <w:r>
        <w:rPr>
          <w:lang w:val="en-US"/>
        </w:rPr>
        <w:tab/>
      </w:r>
      <w:bookmarkEnd w:id="124"/>
      <w:r>
        <w:rPr>
          <w:lang w:val="en-US"/>
        </w:rPr>
        <w:t>MSS</w:t>
      </w:r>
    </w:p>
    <w:p w:rsidR="00B9359B" w:rsidRDefault="009A5268">
      <w:pPr>
        <w:rPr>
          <w:lang w:val="en-US"/>
        </w:rPr>
      </w:pPr>
      <w:r>
        <w:rPr>
          <w:lang w:val="en-US"/>
        </w:rPr>
        <w:t>The mitigation techniques in § 5.2 are deemed technically feasible for GSO systems.</w:t>
      </w:r>
    </w:p>
    <w:p w:rsidR="00B9359B" w:rsidRDefault="009A5268">
      <w:pPr>
        <w:pStyle w:val="Heading1"/>
        <w:rPr>
          <w:lang w:val="en-US"/>
        </w:rPr>
      </w:pPr>
      <w:bookmarkStart w:id="125" w:name="_Toc51045524"/>
      <w:r>
        <w:rPr>
          <w:lang w:val="en-US"/>
        </w:rPr>
        <w:t>6</w:t>
      </w:r>
      <w:r>
        <w:rPr>
          <w:lang w:val="en-US"/>
        </w:rPr>
        <w:tab/>
        <w:t>Results of studies</w:t>
      </w:r>
      <w:bookmarkEnd w:id="125"/>
    </w:p>
    <w:p w:rsidR="00B9359B" w:rsidRDefault="009A5268">
      <w:pPr>
        <w:pStyle w:val="Heading2"/>
        <w:rPr>
          <w:lang w:val="en-US"/>
        </w:rPr>
      </w:pPr>
      <w:bookmarkStart w:id="126" w:name="_Toc51045525"/>
      <w:r>
        <w:rPr>
          <w:lang w:val="en-US"/>
        </w:rPr>
        <w:t>6.1</w:t>
      </w:r>
      <w:r>
        <w:rPr>
          <w:lang w:val="en-US"/>
        </w:rPr>
        <w:tab/>
        <w:t>Summary</w:t>
      </w:r>
      <w:bookmarkEnd w:id="126"/>
    </w:p>
    <w:p w:rsidR="00B9359B" w:rsidRDefault="009A5268">
      <w:pPr>
        <w:rPr>
          <w:lang w:val="en-US"/>
        </w:rPr>
      </w:pPr>
      <w:r>
        <w:rPr>
          <w:lang w:val="en-US"/>
        </w:rPr>
        <w:t>Based on the parameters of one GSO mobile-satellite system of one operator and taking into account the mitigation factors listed in § 5.2, it is very likely that the unwanted emission levels from this satellite system meet the threshold levels for detrimental interference to single-dish radio astronomical observations as discussed in § 1.3.</w:t>
      </w:r>
    </w:p>
    <w:p w:rsidR="00B9359B" w:rsidRDefault="009A5268">
      <w:pPr>
        <w:pStyle w:val="Heading2"/>
        <w:rPr>
          <w:lang w:val="en-US"/>
        </w:rPr>
      </w:pPr>
      <w:bookmarkStart w:id="127" w:name="_Toc51045526"/>
      <w:r>
        <w:rPr>
          <w:lang w:val="en-US"/>
        </w:rPr>
        <w:t>6.2</w:t>
      </w:r>
      <w:r>
        <w:rPr>
          <w:lang w:val="en-US"/>
        </w:rPr>
        <w:tab/>
        <w:t>Conclusions</w:t>
      </w:r>
      <w:bookmarkEnd w:id="127"/>
    </w:p>
    <w:p w:rsidR="00B9359B" w:rsidRDefault="009A5268">
      <w:pPr>
        <w:rPr>
          <w:lang w:val="en-US"/>
        </w:rPr>
      </w:pPr>
      <w:r>
        <w:rPr>
          <w:lang w:val="en-US"/>
        </w:rPr>
        <w:t>The protection criteria are likely to be met for continuum, VLBI and spectral lines observations, with the use of appropriate mitigation measures.</w:t>
      </w:r>
    </w:p>
    <w:p w:rsidR="00B9359B" w:rsidRDefault="00B9359B">
      <w:pPr>
        <w:rPr>
          <w:lang w:val="en-US"/>
        </w:rPr>
      </w:pPr>
    </w:p>
    <w:p w:rsidR="00B9359B" w:rsidRDefault="00B9359B">
      <w:pPr>
        <w:rPr>
          <w:lang w:val="en-US"/>
        </w:rPr>
      </w:pPr>
    </w:p>
    <w:p w:rsidR="00B9359B" w:rsidRDefault="009A5268">
      <w:pPr>
        <w:pStyle w:val="AnnexNoTitle"/>
        <w:rPr>
          <w:lang w:val="en-US"/>
        </w:rPr>
      </w:pPr>
      <w:r>
        <w:rPr>
          <w:lang w:val="en-US"/>
        </w:rPr>
        <w:t>Annex 5</w:t>
      </w:r>
      <w:r>
        <w:rPr>
          <w:b w:val="0"/>
          <w:lang w:val="en-US"/>
        </w:rPr>
        <w:br/>
      </w:r>
      <w:r>
        <w:rPr>
          <w:b w:val="0"/>
          <w:lang w:val="en-US"/>
        </w:rPr>
        <w:br/>
      </w:r>
      <w:r>
        <w:rPr>
          <w:lang w:val="en-US"/>
        </w:rPr>
        <w:t>Compatibility analysis between RAS systems operating in the</w:t>
      </w:r>
      <w:r>
        <w:rPr>
          <w:lang w:val="en-US"/>
        </w:rPr>
        <w:br/>
        <w:t>1</w:t>
      </w:r>
      <w:r>
        <w:rPr>
          <w:rFonts w:ascii="Tms Rmn" w:hAnsi="Tms Rmn"/>
          <w:sz w:val="12"/>
          <w:lang w:val="en-US"/>
        </w:rPr>
        <w:t> </w:t>
      </w:r>
      <w:r>
        <w:rPr>
          <w:lang w:val="en-US"/>
        </w:rPr>
        <w:t>610.6-1</w:t>
      </w:r>
      <w:r>
        <w:rPr>
          <w:rFonts w:ascii="Tms Rmn" w:hAnsi="Tms Rmn"/>
          <w:sz w:val="12"/>
          <w:lang w:val="en-US"/>
        </w:rPr>
        <w:t> </w:t>
      </w:r>
      <w:r>
        <w:rPr>
          <w:lang w:val="en-US"/>
        </w:rPr>
        <w:t>613.8 MHz band and RNSS systems operating</w:t>
      </w:r>
      <w:r>
        <w:rPr>
          <w:lang w:val="en-US"/>
        </w:rPr>
        <w:br/>
        <w:t>in the 1</w:t>
      </w:r>
      <w:r>
        <w:rPr>
          <w:rFonts w:ascii="Tms Rmn" w:hAnsi="Tms Rmn"/>
          <w:sz w:val="12"/>
          <w:lang w:val="en-US"/>
        </w:rPr>
        <w:t> </w:t>
      </w:r>
      <w:r>
        <w:rPr>
          <w:lang w:val="en-US"/>
        </w:rPr>
        <w:t>559-1</w:t>
      </w:r>
      <w:r>
        <w:rPr>
          <w:rFonts w:ascii="Tms Rmn" w:hAnsi="Tms Rmn"/>
          <w:sz w:val="12"/>
          <w:lang w:val="en-US"/>
        </w:rPr>
        <w:t> </w:t>
      </w:r>
      <w:r>
        <w:rPr>
          <w:lang w:val="en-US"/>
        </w:rPr>
        <w:t>610 MHz band</w:t>
      </w:r>
    </w:p>
    <w:p w:rsidR="00B9359B" w:rsidRDefault="009A5268">
      <w:pPr>
        <w:pStyle w:val="Heading1"/>
        <w:rPr>
          <w:b w:val="0"/>
          <w:lang w:val="en-US"/>
        </w:rPr>
      </w:pPr>
      <w:bookmarkStart w:id="128" w:name="_Toc51045527"/>
      <w:r>
        <w:rPr>
          <w:lang w:val="en-US"/>
        </w:rPr>
        <w:t>1</w:t>
      </w:r>
      <w:r>
        <w:rPr>
          <w:lang w:val="en-US"/>
        </w:rPr>
        <w:tab/>
        <w:t>RAS</w:t>
      </w:r>
      <w:bookmarkEnd w:id="128"/>
    </w:p>
    <w:p w:rsidR="00B9359B" w:rsidRDefault="009A5268">
      <w:pPr>
        <w:pStyle w:val="Heading2"/>
        <w:rPr>
          <w:lang w:val="en-US"/>
        </w:rPr>
      </w:pPr>
      <w:bookmarkStart w:id="129" w:name="_Toc51045528"/>
      <w:r>
        <w:rPr>
          <w:lang w:val="en-US"/>
        </w:rPr>
        <w:t>1.1</w:t>
      </w:r>
      <w:r>
        <w:rPr>
          <w:lang w:val="en-US"/>
        </w:rPr>
        <w:tab/>
        <w:t>Allocated band</w:t>
      </w:r>
      <w:bookmarkEnd w:id="129"/>
    </w:p>
    <w:p w:rsidR="00B9359B" w:rsidRDefault="009A5268">
      <w:pPr>
        <w:rPr>
          <w:lang w:val="en-US"/>
        </w:rPr>
      </w:pPr>
      <w:r>
        <w:rPr>
          <w:lang w:val="en-US"/>
        </w:rPr>
        <w:t>The 1</w:t>
      </w:r>
      <w:r>
        <w:rPr>
          <w:rFonts w:ascii="Tms Rmn" w:hAnsi="Tms Rmn"/>
          <w:sz w:val="12"/>
          <w:lang w:val="en-US"/>
        </w:rPr>
        <w:t> </w:t>
      </w:r>
      <w:r>
        <w:rPr>
          <w:lang w:val="en-US"/>
        </w:rPr>
        <w:t>610.6-1</w:t>
      </w:r>
      <w:r>
        <w:rPr>
          <w:rFonts w:ascii="Tms Rmn" w:hAnsi="Tms Rmn"/>
          <w:sz w:val="12"/>
          <w:lang w:val="en-US"/>
        </w:rPr>
        <w:t> </w:t>
      </w:r>
      <w:r>
        <w:rPr>
          <w:lang w:val="en-US"/>
        </w:rPr>
        <w:t>613.8 MHz band is allocated to the RAS on a primary basis.</w:t>
      </w:r>
    </w:p>
    <w:p w:rsidR="00B9359B" w:rsidRDefault="009A5268">
      <w:pPr>
        <w:rPr>
          <w:lang w:val="en-US"/>
        </w:rPr>
      </w:pPr>
      <w:r>
        <w:rPr>
          <w:bCs/>
          <w:lang w:val="en-US"/>
        </w:rPr>
        <w:t xml:space="preserve">RR No. 5.149 </w:t>
      </w:r>
      <w:r>
        <w:rPr>
          <w:lang w:val="en-US"/>
        </w:rPr>
        <w:t>urges administrations to take all practicable steps to protect the RAS.</w:t>
      </w:r>
    </w:p>
    <w:p w:rsidR="00B9359B" w:rsidRDefault="009A5268">
      <w:pPr>
        <w:pStyle w:val="Heading2"/>
        <w:rPr>
          <w:lang w:val="en-US"/>
        </w:rPr>
      </w:pPr>
      <w:bookmarkStart w:id="130" w:name="_Toc51045529"/>
      <w:r>
        <w:rPr>
          <w:lang w:val="en-US"/>
        </w:rPr>
        <w:t>1.2</w:t>
      </w:r>
      <w:r>
        <w:rPr>
          <w:lang w:val="en-US"/>
        </w:rPr>
        <w:tab/>
        <w:t>Type of observations</w:t>
      </w:r>
      <w:bookmarkEnd w:id="130"/>
    </w:p>
    <w:p w:rsidR="00B9359B" w:rsidRDefault="009A5268">
      <w:pPr>
        <w:rPr>
          <w:lang w:val="en-US"/>
        </w:rPr>
      </w:pPr>
      <w:r>
        <w:rPr>
          <w:lang w:val="en-US"/>
        </w:rPr>
        <w:t>The 1</w:t>
      </w:r>
      <w:r>
        <w:rPr>
          <w:rFonts w:ascii="Tms Rmn" w:hAnsi="Tms Rmn"/>
          <w:sz w:val="12"/>
          <w:lang w:val="en-US"/>
        </w:rPr>
        <w:t> </w:t>
      </w:r>
      <w:r>
        <w:rPr>
          <w:lang w:val="en-US"/>
        </w:rPr>
        <w:t>610.6-1</w:t>
      </w:r>
      <w:r>
        <w:rPr>
          <w:rFonts w:ascii="Tms Rmn" w:hAnsi="Tms Rmn"/>
          <w:sz w:val="12"/>
          <w:lang w:val="en-US"/>
        </w:rPr>
        <w:t> </w:t>
      </w:r>
      <w:r>
        <w:rPr>
          <w:lang w:val="en-US"/>
        </w:rPr>
        <w:t>613.8 MHz band is used for spectral line observations of the hydroxyl radical (OH). The OH line, which has a rest frequency of 1</w:t>
      </w:r>
      <w:r>
        <w:rPr>
          <w:rFonts w:ascii="Tms Rmn" w:hAnsi="Tms Rmn"/>
          <w:sz w:val="12"/>
          <w:lang w:val="en-US"/>
        </w:rPr>
        <w:t> </w:t>
      </w:r>
      <w:r>
        <w:rPr>
          <w:lang w:val="en-US"/>
        </w:rPr>
        <w:t>612 MHz, is one of the most important spectral lines for radio astronomy, and is listed as such in Recommendation</w:t>
      </w:r>
      <w:r>
        <w:rPr>
          <w:b/>
          <w:lang w:val="en-US"/>
        </w:rPr>
        <w:t xml:space="preserve"> </w:t>
      </w:r>
      <w:r>
        <w:rPr>
          <w:lang w:val="en-US"/>
        </w:rPr>
        <w:t xml:space="preserve">ITU-R RA.314. OH was the first cosmic radical to be detected at radio frequencies (1963), and continues to be a powerful research </w:t>
      </w:r>
      <w:r>
        <w:rPr>
          <w:lang w:val="en-US"/>
        </w:rPr>
        <w:br w:type="page"/>
        <w:t>tool. OH produces four spectral lines, at frequencies of approximately 1</w:t>
      </w:r>
      <w:r>
        <w:rPr>
          <w:rFonts w:ascii="Tms Rmn" w:hAnsi="Tms Rmn"/>
          <w:sz w:val="12"/>
          <w:lang w:val="en-US"/>
        </w:rPr>
        <w:t> </w:t>
      </w:r>
      <w:r>
        <w:rPr>
          <w:lang w:val="en-US"/>
        </w:rPr>
        <w:t>612, 1</w:t>
      </w:r>
      <w:r>
        <w:rPr>
          <w:rFonts w:ascii="Tms Rmn" w:hAnsi="Tms Rmn"/>
          <w:sz w:val="12"/>
          <w:lang w:val="en-US"/>
        </w:rPr>
        <w:t> </w:t>
      </w:r>
      <w:r>
        <w:rPr>
          <w:lang w:val="en-US"/>
        </w:rPr>
        <w:t>665, 1</w:t>
      </w:r>
      <w:r>
        <w:rPr>
          <w:rFonts w:ascii="Tms Rmn" w:hAnsi="Tms Rmn"/>
          <w:sz w:val="12"/>
          <w:lang w:val="en-US"/>
        </w:rPr>
        <w:t> </w:t>
      </w:r>
      <w:r>
        <w:rPr>
          <w:lang w:val="en-US"/>
        </w:rPr>
        <w:t>667 and 1</w:t>
      </w:r>
      <w:r>
        <w:rPr>
          <w:rFonts w:ascii="Tms Rmn" w:hAnsi="Tms Rmn"/>
          <w:sz w:val="12"/>
          <w:lang w:val="en-US"/>
        </w:rPr>
        <w:t> </w:t>
      </w:r>
      <w:r>
        <w:rPr>
          <w:lang w:val="en-US"/>
        </w:rPr>
        <w:t>720 MHz, all of which have been observed in our own galaxy, as well as in external galaxies. The study of OH lines provides information on a wide range of astronomical phenomena, e.g. the formation of protostars and the evolution of stars. To interpret most observations made in the OH lines, it is necessary to measure the relative strength of several of these lines. Loss of the ability to observe any one of these lines may prevent the study of some classes of physical phenomena.</w:t>
      </w:r>
    </w:p>
    <w:p w:rsidR="00B9359B" w:rsidRDefault="009A5268">
      <w:pPr>
        <w:rPr>
          <w:lang w:val="en-US"/>
        </w:rPr>
      </w:pPr>
      <w:r>
        <w:rPr>
          <w:lang w:val="en-US"/>
        </w:rPr>
        <w:t>These OH lines are produced by a coherent process, in which a concentration of OH radicals radiate “in step”, creating narrow-band emission. They are slightly broadened due to physical conditions in this concentration. Movement of these concentrations with respect to the Earth impose a Doppler shift on the line emission. The presence of several concentrations in the source, which are moving at different velocities, give rise to a more complicated spectrum, consisting of a number of superimposed Gaussian line profiles of different widths and amplitudes, and slightly-different frequencies (due to the different Doppler shifts). The width of the band allocation is required to  accommodate the spreading and shifting of the spectrum by differential and total motions of the source.</w:t>
      </w:r>
    </w:p>
    <w:p w:rsidR="00B9359B" w:rsidRDefault="009A5268">
      <w:pPr>
        <w:rPr>
          <w:lang w:val="en-US"/>
        </w:rPr>
      </w:pPr>
      <w:r>
        <w:rPr>
          <w:lang w:val="en-US"/>
        </w:rPr>
        <w:t>In some stages of their evolution, certain classes of stars radiate only the 1</w:t>
      </w:r>
      <w:r>
        <w:rPr>
          <w:rFonts w:ascii="Tms Rmn" w:hAnsi="Tms Rmn"/>
          <w:sz w:val="12"/>
          <w:lang w:val="en-US"/>
        </w:rPr>
        <w:t> </w:t>
      </w:r>
      <w:r>
        <w:rPr>
          <w:lang w:val="en-US"/>
        </w:rPr>
        <w:t>612 MHz line. The study of this line allows astronomers to gauge such physical properties of these stars as the rate at which gas is blown off by the stars and recycled into the interstellar medium. Some properties of these stars cannot</w:t>
      </w:r>
      <w:r>
        <w:rPr>
          <w:i/>
          <w:lang w:val="en-US"/>
        </w:rPr>
        <w:t xml:space="preserve"> </w:t>
      </w:r>
      <w:r>
        <w:rPr>
          <w:lang w:val="en-US"/>
        </w:rPr>
        <w:t>be</w:t>
      </w:r>
      <w:r>
        <w:rPr>
          <w:i/>
          <w:lang w:val="en-US"/>
        </w:rPr>
        <w:t xml:space="preserve"> </w:t>
      </w:r>
      <w:r>
        <w:rPr>
          <w:lang w:val="en-US"/>
        </w:rPr>
        <w:t>inferred from any other astronomical observation. Measurements of OH emitting stars have also been used to estimate the distance to the Galactic Centre, to measure the mass of the central bulge of our galaxy, and to study the spatial distribution of the molecular component in our galaxy and in external galaxies. Finally, extremely strong maser emission has been detected near the nuclei of a number of external galaxies. This OH megamaser emission from galactic nuclei allows</w:t>
      </w:r>
      <w:r>
        <w:rPr>
          <w:sz w:val="23"/>
          <w:lang w:val="en-US"/>
        </w:rPr>
        <w:t xml:space="preserve"> </w:t>
      </w:r>
      <w:r>
        <w:rPr>
          <w:lang w:val="en-US"/>
        </w:rPr>
        <w:t>astronomers to study the temperature and density of the molecular gas in their centre.</w:t>
      </w:r>
    </w:p>
    <w:p w:rsidR="00B9359B" w:rsidRDefault="009A5268">
      <w:pPr>
        <w:rPr>
          <w:lang w:val="en-US"/>
        </w:rPr>
      </w:pPr>
      <w:r>
        <w:rPr>
          <w:lang w:val="en-US"/>
        </w:rPr>
        <w:t>The OH spectral line is also observed in comets; there is little flexibility in scheduling observations of these “targets of opportunity”.</w:t>
      </w:r>
    </w:p>
    <w:p w:rsidR="00B9359B" w:rsidRDefault="009A5268">
      <w:pPr>
        <w:rPr>
          <w:lang w:val="en-US"/>
        </w:rPr>
      </w:pPr>
      <w:r>
        <w:rPr>
          <w:lang w:val="en-US"/>
        </w:rPr>
        <w:t>Spectral line observations are made using spectrometers that can simultaneously integrate the power in a large number of frequency channels (typically 256-4</w:t>
      </w:r>
      <w:r>
        <w:rPr>
          <w:rFonts w:ascii="Tms Rmn" w:hAnsi="Tms Rmn"/>
          <w:sz w:val="12"/>
          <w:lang w:val="en-US"/>
        </w:rPr>
        <w:t> </w:t>
      </w:r>
      <w:r>
        <w:rPr>
          <w:lang w:val="en-US"/>
        </w:rPr>
        <w:t>096) distributed across the frequency band used. The width and number of channels has to be large enough to accurately reproduce the spectrum of the emission received by the radio telescope. I</w:t>
      </w:r>
      <w:r>
        <w:rPr>
          <w:snapToGrid w:val="0"/>
          <w:lang w:val="en-US"/>
        </w:rPr>
        <w:t>nstantaneous bandwidths of typically ~0.2</w:t>
      </w:r>
      <w:r>
        <w:rPr>
          <w:snapToGrid w:val="0"/>
          <w:lang w:val="en-US"/>
        </w:rPr>
        <w:noBreakHyphen/>
        <w:t>20 kHz per frequency channel are used, depending on the scientific program.</w:t>
      </w:r>
    </w:p>
    <w:p w:rsidR="00B9359B" w:rsidRDefault="009A5268">
      <w:pPr>
        <w:rPr>
          <w:lang w:val="en-US"/>
        </w:rPr>
      </w:pPr>
      <w:r>
        <w:rPr>
          <w:lang w:val="en-US"/>
        </w:rPr>
        <w:t>The sources are small, and measurements of their size and structure often require observations using the VLBI technique.</w:t>
      </w:r>
    </w:p>
    <w:p w:rsidR="00B9359B" w:rsidRDefault="009A5268">
      <w:pPr>
        <w:pStyle w:val="Heading2"/>
        <w:rPr>
          <w:lang w:val="en-US"/>
        </w:rPr>
      </w:pPr>
      <w:bookmarkStart w:id="131" w:name="_Toc51045530"/>
      <w:r>
        <w:rPr>
          <w:lang w:val="en-US"/>
        </w:rPr>
        <w:t>1.3</w:t>
      </w:r>
      <w:r>
        <w:rPr>
          <w:lang w:val="en-US"/>
        </w:rPr>
        <w:tab/>
        <w:t>Required protection criteria</w:t>
      </w:r>
      <w:bookmarkEnd w:id="131"/>
    </w:p>
    <w:p w:rsidR="00B9359B" w:rsidRDefault="009A5268">
      <w:pPr>
        <w:rPr>
          <w:lang w:val="en-US"/>
        </w:rPr>
      </w:pPr>
      <w:r>
        <w:rPr>
          <w:lang w:val="en-US"/>
        </w:rPr>
        <w:t>Recommendation ITU-R</w:t>
      </w:r>
      <w:r>
        <w:rPr>
          <w:b/>
          <w:lang w:val="en-US"/>
        </w:rPr>
        <w:t xml:space="preserve"> </w:t>
      </w:r>
      <w:r>
        <w:rPr>
          <w:lang w:val="en-US"/>
        </w:rPr>
        <w:t>RA.769 specifies the protection criteria for radio astronomical obser</w:t>
      </w:r>
      <w:r>
        <w:rPr>
          <w:lang w:val="en-US"/>
        </w:rPr>
        <w:softHyphen/>
        <w:t>vations and gives threshold levels of detrimental interference for primary radio astronomy bands. In the 1</w:t>
      </w:r>
      <w:r>
        <w:rPr>
          <w:rFonts w:ascii="Tms Rmn" w:hAnsi="Tms Rmn"/>
          <w:sz w:val="12"/>
          <w:lang w:val="en-US"/>
        </w:rPr>
        <w:t> </w:t>
      </w:r>
      <w:r>
        <w:rPr>
          <w:lang w:val="en-US"/>
        </w:rPr>
        <w:t>610.6-1</w:t>
      </w:r>
      <w:r>
        <w:rPr>
          <w:rFonts w:ascii="Tms Rmn" w:hAnsi="Tms Rmn"/>
          <w:sz w:val="12"/>
          <w:lang w:val="en-US"/>
        </w:rPr>
        <w:t> </w:t>
      </w:r>
      <w:r>
        <w:rPr>
          <w:lang w:val="en-US"/>
        </w:rPr>
        <w:t xml:space="preserve">613.8 MHz band, for single-dish spectral line observations made using a channel bandwidth (one of the spectrometer channels) of 20 kHz, the threshold pfd limit is </w:t>
      </w:r>
      <w:r>
        <w:rPr>
          <w:rFonts w:ascii="Symbol" w:hAnsi="Symbol"/>
          <w:lang w:val="en-US"/>
        </w:rPr>
        <w:noBreakHyphen/>
      </w:r>
      <w:r>
        <w:rPr>
          <w:lang w:val="en-US"/>
        </w:rPr>
        <w:t>194 </w:t>
      </w:r>
      <w:r>
        <w:rPr>
          <w:snapToGrid w:val="0"/>
          <w:lang w:val="en-US"/>
        </w:rPr>
        <w:t>dB(W/m</w:t>
      </w:r>
      <w:r>
        <w:rPr>
          <w:vertAlign w:val="superscript"/>
          <w:lang w:val="en-US"/>
        </w:rPr>
        <w:t>2</w:t>
      </w:r>
      <w:r>
        <w:rPr>
          <w:rFonts w:ascii="Times" w:hAnsi="Times"/>
          <w:spacing w:val="-2"/>
          <w:lang w:val="en-US"/>
        </w:rPr>
        <w:t>)</w:t>
      </w:r>
      <w:r>
        <w:rPr>
          <w:snapToGrid w:val="0"/>
          <w:lang w:val="en-US"/>
        </w:rPr>
        <w:t xml:space="preserve">. </w:t>
      </w:r>
      <w:r>
        <w:rPr>
          <w:lang w:val="en-US"/>
        </w:rPr>
        <w:t>This band is used only for radio line observations, not for continuum observations.</w:t>
      </w:r>
    </w:p>
    <w:p w:rsidR="00B9359B" w:rsidRDefault="009A5268">
      <w:pPr>
        <w:rPr>
          <w:lang w:val="en-US"/>
        </w:rPr>
      </w:pPr>
      <w:r>
        <w:rPr>
          <w:lang w:val="en-US"/>
        </w:rPr>
        <w:br w:type="page"/>
        <w:t>For detrimental interference from non-GSO systems, the protection criteria and the relevant methodologies are described in Recommendations ITU-R RA.769 and ITU-R RA.1513, as well as in Recommendation ITU-R S.1586 for FSS systems and in Recommendation ITU</w:t>
      </w:r>
      <w:r>
        <w:rPr>
          <w:lang w:val="en-US"/>
        </w:rPr>
        <w:noBreakHyphen/>
        <w:t>R M.1583 for MSS and RNSS systems.</w:t>
      </w:r>
    </w:p>
    <w:p w:rsidR="00B9359B" w:rsidRDefault="009A5268">
      <w:pPr>
        <w:rPr>
          <w:lang w:val="en-US"/>
        </w:rPr>
      </w:pPr>
      <w:r>
        <w:rPr>
          <w:lang w:val="en-US"/>
        </w:rPr>
        <w:t>The thresholds of detrimental interference levels to the RAS as defined and calculated in the Recommendation ITU-R RA.769 are protection criteria above which radio astronomical data are degraded and may be eventually obliterated. In principle, under rather idealized circumstances, if these levels are very slightly exceeded then it may be possible to compensate at the radio astronomy observatory by increased observing time. In doing so, the channel capacity of the telescope is reduced, with a corresponding reduction in scientific throughput. If the level of interference, under the assumptions of Recommendation ITU-R RA.769 (e.g. antenna performance, etc.), becomes 10 dB or more above the Recommendation ITU-R RA.769 definition, then increased observing time will no longer be effective in ensuring that valid scientific data are provided to the scientist. The radio astronomy station will be unable to operate in the affected frequency band, and its ability to provide service will have been lost if no appropriate mitigation techniques can be applied.</w:t>
      </w:r>
    </w:p>
    <w:p w:rsidR="00B9359B" w:rsidRDefault="009A5268">
      <w:pPr>
        <w:pStyle w:val="Heading2"/>
        <w:rPr>
          <w:lang w:val="en-US"/>
        </w:rPr>
      </w:pPr>
      <w:bookmarkStart w:id="132" w:name="_Toc51045531"/>
      <w:r>
        <w:rPr>
          <w:lang w:val="en-US"/>
        </w:rPr>
        <w:t>1.4</w:t>
      </w:r>
      <w:r>
        <w:rPr>
          <w:lang w:val="en-US"/>
        </w:rPr>
        <w:tab/>
        <w:t>Operational characteristics</w:t>
      </w:r>
      <w:bookmarkEnd w:id="132"/>
    </w:p>
    <w:p w:rsidR="00B9359B" w:rsidRDefault="009A5268">
      <w:pPr>
        <w:rPr>
          <w:snapToGrid w:val="0"/>
          <w:lang w:val="en-US"/>
        </w:rPr>
      </w:pPr>
      <w:r>
        <w:rPr>
          <w:snapToGrid w:val="0"/>
          <w:lang w:val="en-US"/>
        </w:rPr>
        <w:t>Observations in the 1</w:t>
      </w:r>
      <w:r>
        <w:rPr>
          <w:rFonts w:ascii="Tms Rmn" w:hAnsi="Tms Rmn"/>
          <w:snapToGrid w:val="0"/>
          <w:sz w:val="12"/>
          <w:lang w:val="en-US"/>
        </w:rPr>
        <w:t> </w:t>
      </w:r>
      <w:r>
        <w:rPr>
          <w:snapToGrid w:val="0"/>
          <w:lang w:val="en-US"/>
        </w:rPr>
        <w:t>612 MHz band are carried out at a number of radio astronomy sites in numerous countries, worldwide. Observations in the 1</w:t>
      </w:r>
      <w:r>
        <w:rPr>
          <w:rFonts w:ascii="Tms Rmn" w:hAnsi="Tms Rmn"/>
          <w:snapToGrid w:val="0"/>
          <w:sz w:val="12"/>
          <w:lang w:val="en-US"/>
        </w:rPr>
        <w:t> </w:t>
      </w:r>
      <w:r>
        <w:rPr>
          <w:snapToGrid w:val="0"/>
          <w:lang w:val="en-US"/>
        </w:rPr>
        <w:t>612 MHz band are sometimes conducted on targets of opportunity, e.g. on objects such as comets, which have been observed to produce transient emissions in this line. VLBI observations are also frequently conducted in this band, sometimes between the North American and European VLBI networks.</w:t>
      </w:r>
    </w:p>
    <w:p w:rsidR="00B9359B" w:rsidRDefault="009A5268">
      <w:pPr>
        <w:rPr>
          <w:lang w:val="en-US"/>
        </w:rPr>
      </w:pPr>
      <w:r>
        <w:rPr>
          <w:lang w:val="en-US"/>
        </w:rPr>
        <w:t xml:space="preserve">VLBI observations, where signals from widely separated antennas are recorded and correlated after the observations, are much less susceptible to interference. This is reflected in the threshold pfd level for VLBI observations in this band, </w:t>
      </w:r>
      <w:r>
        <w:sym w:font="Symbol" w:char="F02D"/>
      </w:r>
      <w:r>
        <w:rPr>
          <w:lang w:val="en-US"/>
        </w:rPr>
        <w:t xml:space="preserve">166 </w:t>
      </w:r>
      <w:r>
        <w:rPr>
          <w:snapToGrid w:val="0"/>
          <w:lang w:val="en-US"/>
        </w:rPr>
        <w:t>dB(W/m</w:t>
      </w:r>
      <w:r>
        <w:rPr>
          <w:vertAlign w:val="superscript"/>
          <w:lang w:val="en-US"/>
        </w:rPr>
        <w:t>2</w:t>
      </w:r>
      <w:r>
        <w:rPr>
          <w:rFonts w:ascii="Times" w:hAnsi="Times"/>
          <w:spacing w:val="-2"/>
          <w:lang w:val="en-US"/>
        </w:rPr>
        <w:t>), for a bandwidth of 20 kHz, which has been developed for VLBI observations, but not included in ITU</w:t>
      </w:r>
      <w:r>
        <w:rPr>
          <w:rFonts w:ascii="Times" w:hAnsi="Times"/>
          <w:spacing w:val="-2"/>
          <w:lang w:val="en-US"/>
        </w:rPr>
        <w:noBreakHyphen/>
        <w:t>R RA.769.</w:t>
      </w:r>
    </w:p>
    <w:p w:rsidR="00B9359B" w:rsidRDefault="009A5268">
      <w:pPr>
        <w:rPr>
          <w:lang w:val="en-US"/>
        </w:rPr>
      </w:pPr>
      <w:r>
        <w:rPr>
          <w:lang w:val="en-US"/>
        </w:rPr>
        <w:t>Spectral line observations are made using multichannel spectrometers that can integrate simultaneously the power in many (typically 256 to 4</w:t>
      </w:r>
      <w:r>
        <w:rPr>
          <w:rFonts w:ascii="Tms Rmn" w:hAnsi="Tms Rmn"/>
          <w:sz w:val="12"/>
          <w:lang w:val="en-US"/>
        </w:rPr>
        <w:t> </w:t>
      </w:r>
      <w:r>
        <w:rPr>
          <w:lang w:val="en-US"/>
        </w:rPr>
        <w:t>096) frequency channels distributed across the band. The number of channels and their individual bandwidths are chosen to adequately sample the spectrum of the net emission from the source(s) in the antenna beam.</w:t>
      </w:r>
    </w:p>
    <w:p w:rsidR="00B9359B" w:rsidRDefault="009A5268">
      <w:pPr>
        <w:rPr>
          <w:lang w:val="en-US"/>
        </w:rPr>
      </w:pPr>
      <w:r>
        <w:rPr>
          <w:lang w:val="en-US"/>
        </w:rPr>
        <w:t>In general, observations are made differentially; spectra are recorded at frequency ranges including the line emissions of interest (the line spectra), and then at a frequency that is offset from the line emissions, or at the same frequency but at a nearby position in the sky (the reference spectra). By subtracting the reference spectra from the line spectra, unwanted noise contributions and other contaminants can be removed from the data.</w:t>
      </w:r>
    </w:p>
    <w:p w:rsidR="00B9359B" w:rsidRDefault="009A5268">
      <w:pPr>
        <w:rPr>
          <w:snapToGrid w:val="0"/>
          <w:lang w:val="en-US"/>
        </w:rPr>
      </w:pPr>
      <w:r>
        <w:rPr>
          <w:snapToGrid w:val="0"/>
          <w:lang w:val="en-US"/>
        </w:rPr>
        <w:t>VLBI observations are made by down-converting the signals to a baseband, digitizing them without rectification, and recording them on tape or other storage media, along with precise timing signals. The data are then taken to a VLBI data processing centre, where the signals are synchronized and correlated. Consequently, the full impact of interference might not be known until the observing period is over and the data have been processed.</w:t>
      </w:r>
    </w:p>
    <w:p w:rsidR="00B9359B" w:rsidRDefault="009A5268">
      <w:pPr>
        <w:pStyle w:val="Heading1"/>
        <w:rPr>
          <w:lang w:val="en-US"/>
        </w:rPr>
      </w:pPr>
      <w:bookmarkStart w:id="133" w:name="_Toc51045532"/>
      <w:r>
        <w:rPr>
          <w:lang w:val="en-US"/>
        </w:rPr>
        <w:br w:type="page"/>
        <w:t>2</w:t>
      </w:r>
      <w:r>
        <w:rPr>
          <w:lang w:val="en-US"/>
        </w:rPr>
        <w:tab/>
        <w:t>RNSS</w:t>
      </w:r>
      <w:bookmarkEnd w:id="133"/>
    </w:p>
    <w:p w:rsidR="00B9359B" w:rsidRDefault="009A5268">
      <w:pPr>
        <w:pStyle w:val="Heading2"/>
        <w:rPr>
          <w:lang w:val="en-US"/>
        </w:rPr>
      </w:pPr>
      <w:bookmarkStart w:id="134" w:name="_Toc51045533"/>
      <w:r>
        <w:rPr>
          <w:lang w:val="en-US"/>
        </w:rPr>
        <w:t>2.1</w:t>
      </w:r>
      <w:r>
        <w:rPr>
          <w:lang w:val="en-US"/>
        </w:rPr>
        <w:tab/>
        <w:t>Allocated transmit band</w:t>
      </w:r>
      <w:bookmarkEnd w:id="134"/>
    </w:p>
    <w:p w:rsidR="00B9359B" w:rsidRDefault="009A5268">
      <w:pPr>
        <w:rPr>
          <w:lang w:val="en-US"/>
        </w:rPr>
      </w:pPr>
      <w:r>
        <w:rPr>
          <w:lang w:val="en-US"/>
        </w:rPr>
        <w:t>The band 1</w:t>
      </w:r>
      <w:r>
        <w:rPr>
          <w:rFonts w:ascii="Tms Rmn" w:hAnsi="Tms Rmn"/>
          <w:sz w:val="12"/>
          <w:lang w:val="en-US"/>
        </w:rPr>
        <w:t> </w:t>
      </w:r>
      <w:r>
        <w:rPr>
          <w:lang w:val="en-US"/>
        </w:rPr>
        <w:t>559-1</w:t>
      </w:r>
      <w:r>
        <w:rPr>
          <w:rFonts w:ascii="Tms Rmn" w:hAnsi="Tms Rmn"/>
          <w:sz w:val="12"/>
          <w:lang w:val="en-US"/>
        </w:rPr>
        <w:t> </w:t>
      </w:r>
      <w:r>
        <w:rPr>
          <w:lang w:val="en-US"/>
        </w:rPr>
        <w:t>610 MHz is allocated to the RNSS for transmissions from space to Earth.</w:t>
      </w:r>
    </w:p>
    <w:p w:rsidR="00B9359B" w:rsidRDefault="009A5268">
      <w:pPr>
        <w:pStyle w:val="Heading2"/>
        <w:ind w:left="0" w:firstLine="0"/>
        <w:rPr>
          <w:lang w:val="en-US"/>
        </w:rPr>
      </w:pPr>
      <w:bookmarkStart w:id="135" w:name="_Toc51045534"/>
      <w:r>
        <w:rPr>
          <w:lang w:val="en-US"/>
        </w:rPr>
        <w:t>2.2</w:t>
      </w:r>
      <w:r>
        <w:rPr>
          <w:lang w:val="en-US"/>
        </w:rPr>
        <w:tab/>
        <w:t>Application</w:t>
      </w:r>
      <w:bookmarkEnd w:id="135"/>
    </w:p>
    <w:p w:rsidR="00B9359B" w:rsidRDefault="009A5268">
      <w:pPr>
        <w:rPr>
          <w:lang w:val="en-US"/>
        </w:rPr>
      </w:pPr>
      <w:r>
        <w:rPr>
          <w:lang w:val="en-US"/>
        </w:rPr>
        <w:t>Radio navigation satellite systems, which are low power signals compared to most satellite system, are used for position estimation and timing by users, including radio astronomers and space-based passive systems. Therefore both services are intertwined. There are two main types of RNSS systems: non-GSO and GSO. GSO systems are primarily used for aviation navigation. Non</w:t>
      </w:r>
      <w:r>
        <w:rPr>
          <w:lang w:val="en-US"/>
        </w:rPr>
        <w:noBreakHyphen/>
        <w:t>GSO systems are used throughout the world and by multiple administrations for navigation, position estimation, precise timing, and search and rescue.</w:t>
      </w:r>
    </w:p>
    <w:p w:rsidR="00B9359B" w:rsidRDefault="009A5268">
      <w:pPr>
        <w:pStyle w:val="Heading2"/>
        <w:rPr>
          <w:b w:val="0"/>
          <w:lang w:val="en-US"/>
        </w:rPr>
      </w:pPr>
      <w:bookmarkStart w:id="136" w:name="_Toc51045535"/>
      <w:r>
        <w:rPr>
          <w:lang w:val="en-US"/>
        </w:rPr>
        <w:t>2.3</w:t>
      </w:r>
      <w:r>
        <w:rPr>
          <w:lang w:val="en-US"/>
        </w:rPr>
        <w:tab/>
        <w:t>Levels based upon regulatory provisions</w:t>
      </w:r>
      <w:bookmarkEnd w:id="136"/>
    </w:p>
    <w:p w:rsidR="00B9359B" w:rsidRDefault="009A5268">
      <w:pPr>
        <w:rPr>
          <w:lang w:val="en-US"/>
        </w:rPr>
      </w:pPr>
      <w:r>
        <w:rPr>
          <w:lang w:val="en-US"/>
        </w:rPr>
        <w:t>The levels were not assessed as part of this study.</w:t>
      </w:r>
    </w:p>
    <w:p w:rsidR="00B9359B" w:rsidRDefault="009A5268">
      <w:pPr>
        <w:pStyle w:val="Heading1"/>
        <w:rPr>
          <w:lang w:val="en-US"/>
        </w:rPr>
      </w:pPr>
      <w:bookmarkStart w:id="137" w:name="_Toc51045536"/>
      <w:r>
        <w:rPr>
          <w:lang w:val="en-US"/>
        </w:rPr>
        <w:t>3</w:t>
      </w:r>
      <w:r>
        <w:rPr>
          <w:lang w:val="en-US"/>
        </w:rPr>
        <w:tab/>
        <w:t>Compatibility threshold</w:t>
      </w:r>
      <w:bookmarkEnd w:id="137"/>
    </w:p>
    <w:p w:rsidR="00B9359B" w:rsidRDefault="009A5268">
      <w:pPr>
        <w:rPr>
          <w:lang w:val="en-US"/>
        </w:rPr>
      </w:pPr>
      <w:r>
        <w:rPr>
          <w:lang w:val="en-US"/>
        </w:rPr>
        <w:t>See § 1.3.</w:t>
      </w:r>
    </w:p>
    <w:p w:rsidR="00B9359B" w:rsidRDefault="009A5268">
      <w:pPr>
        <w:pStyle w:val="Heading1"/>
        <w:rPr>
          <w:lang w:val="en-US"/>
        </w:rPr>
      </w:pPr>
      <w:bookmarkStart w:id="138" w:name="_Toc51045537"/>
      <w:r>
        <w:rPr>
          <w:lang w:val="en-US"/>
        </w:rPr>
        <w:t>4</w:t>
      </w:r>
      <w:r>
        <w:rPr>
          <w:lang w:val="en-US"/>
        </w:rPr>
        <w:tab/>
        <w:t>Interference assessment</w:t>
      </w:r>
      <w:bookmarkEnd w:id="138"/>
    </w:p>
    <w:p w:rsidR="00B9359B" w:rsidRDefault="009A5268">
      <w:pPr>
        <w:pStyle w:val="Heading2"/>
        <w:rPr>
          <w:lang w:val="en-US"/>
        </w:rPr>
      </w:pPr>
      <w:bookmarkStart w:id="139" w:name="_Toc51045538"/>
      <w:r>
        <w:rPr>
          <w:snapToGrid w:val="0"/>
          <w:lang w:val="en-US"/>
        </w:rPr>
        <w:t>4.1</w:t>
      </w:r>
      <w:r>
        <w:rPr>
          <w:snapToGrid w:val="0"/>
          <w:lang w:val="en-US"/>
        </w:rPr>
        <w:tab/>
        <w:t>Methodology used to assess the interference level</w:t>
      </w:r>
      <w:bookmarkEnd w:id="139"/>
    </w:p>
    <w:p w:rsidR="00B9359B" w:rsidRDefault="009A5268">
      <w:pPr>
        <w:rPr>
          <w:lang w:val="en-US"/>
        </w:rPr>
      </w:pPr>
      <w:r>
        <w:rPr>
          <w:lang w:val="en-US"/>
        </w:rPr>
        <w:t>See § 1.3 for references to the relevant ITU-R Recommendations regarding the epfd methodology for non</w:t>
      </w:r>
      <w:r>
        <w:rPr>
          <w:lang w:val="en-US"/>
        </w:rPr>
        <w:noBreakHyphen/>
        <w:t>GSO systems.</w:t>
      </w:r>
    </w:p>
    <w:p w:rsidR="00B9359B" w:rsidRDefault="009A5268">
      <w:pPr>
        <w:pStyle w:val="Heading2"/>
        <w:rPr>
          <w:lang w:val="en-US"/>
        </w:rPr>
      </w:pPr>
      <w:bookmarkStart w:id="140" w:name="_Toc51045539"/>
      <w:r>
        <w:rPr>
          <w:lang w:val="en-US"/>
        </w:rPr>
        <w:t>4.2</w:t>
      </w:r>
      <w:r>
        <w:rPr>
          <w:lang w:val="en-US"/>
        </w:rPr>
        <w:tab/>
        <w:t>Calculation of the interference level</w:t>
      </w:r>
      <w:bookmarkEnd w:id="140"/>
    </w:p>
    <w:p w:rsidR="00B9359B" w:rsidRDefault="009A5268">
      <w:pPr>
        <w:rPr>
          <w:lang w:val="en-US"/>
        </w:rPr>
      </w:pPr>
      <w:r>
        <w:rPr>
          <w:lang w:val="en-US"/>
        </w:rPr>
        <w:t>See § 2.3.</w:t>
      </w:r>
    </w:p>
    <w:p w:rsidR="00B9359B" w:rsidRDefault="009A5268">
      <w:pPr>
        <w:pStyle w:val="Heading2"/>
        <w:rPr>
          <w:lang w:val="en-US"/>
        </w:rPr>
      </w:pPr>
      <w:bookmarkStart w:id="141" w:name="_Toc51045540"/>
      <w:r>
        <w:rPr>
          <w:lang w:val="en-US"/>
        </w:rPr>
        <w:t>4.3</w:t>
      </w:r>
      <w:r>
        <w:rPr>
          <w:lang w:val="en-US"/>
        </w:rPr>
        <w:tab/>
        <w:t>Values achieved</w:t>
      </w:r>
      <w:bookmarkEnd w:id="141"/>
    </w:p>
    <w:p w:rsidR="00B9359B" w:rsidRDefault="009A5268">
      <w:pPr>
        <w:pStyle w:val="Heading1"/>
        <w:rPr>
          <w:snapToGrid w:val="0"/>
          <w:lang w:val="en-US"/>
        </w:rPr>
      </w:pPr>
      <w:bookmarkStart w:id="142" w:name="_Toc51045541"/>
      <w:r>
        <w:rPr>
          <w:snapToGrid w:val="0"/>
          <w:lang w:val="en-US"/>
        </w:rPr>
        <w:t>5</w:t>
      </w:r>
      <w:r>
        <w:rPr>
          <w:snapToGrid w:val="0"/>
          <w:lang w:val="en-US"/>
        </w:rPr>
        <w:tab/>
        <w:t>Miti</w:t>
      </w:r>
      <w:r>
        <w:rPr>
          <w:lang w:val="en-US"/>
        </w:rPr>
        <w:t>g</w:t>
      </w:r>
      <w:r>
        <w:rPr>
          <w:snapToGrid w:val="0"/>
          <w:lang w:val="en-US"/>
        </w:rPr>
        <w:t>ation methods</w:t>
      </w:r>
      <w:bookmarkEnd w:id="142"/>
    </w:p>
    <w:p w:rsidR="00B9359B" w:rsidRDefault="009A5268">
      <w:pPr>
        <w:pStyle w:val="Heading2"/>
        <w:rPr>
          <w:snapToGrid w:val="0"/>
          <w:lang w:val="en-US"/>
        </w:rPr>
      </w:pPr>
      <w:bookmarkStart w:id="143" w:name="_Toc51045542"/>
      <w:r>
        <w:rPr>
          <w:snapToGrid w:val="0"/>
          <w:lang w:val="en-US"/>
        </w:rPr>
        <w:t>5.1</w:t>
      </w:r>
      <w:r>
        <w:rPr>
          <w:snapToGrid w:val="0"/>
          <w:lang w:val="en-US"/>
        </w:rPr>
        <w:tab/>
      </w:r>
      <w:bookmarkEnd w:id="143"/>
      <w:r>
        <w:rPr>
          <w:snapToGrid w:val="0"/>
          <w:lang w:val="en-US"/>
        </w:rPr>
        <w:t>RAS</w:t>
      </w:r>
    </w:p>
    <w:p w:rsidR="00B9359B" w:rsidRDefault="009A5268">
      <w:pPr>
        <w:rPr>
          <w:snapToGrid w:val="0"/>
          <w:lang w:val="en-US"/>
        </w:rPr>
      </w:pPr>
      <w:r>
        <w:rPr>
          <w:snapToGrid w:val="0"/>
          <w:lang w:val="en-US"/>
        </w:rPr>
        <w:t>There are various methods, including those described below, which might be considered to reduce unwanted emissions from the satellite transmitters at a radio telescope.</w:t>
      </w:r>
    </w:p>
    <w:p w:rsidR="00B9359B" w:rsidRDefault="009A5268">
      <w:pPr>
        <w:rPr>
          <w:lang w:val="en-US"/>
        </w:rPr>
      </w:pPr>
      <w:r>
        <w:rPr>
          <w:i/>
          <w:lang w:val="en-US"/>
        </w:rPr>
        <w:t>Antenna sidelobe performance</w:t>
      </w:r>
      <w:r>
        <w:rPr>
          <w:lang w:val="en-US"/>
        </w:rPr>
        <w:t xml:space="preserve">:  The aperture illumination of radio telescopes is usually optimized for </w:t>
      </w:r>
      <w:r>
        <w:rPr>
          <w:i/>
          <w:iCs/>
          <w:lang w:val="en-US"/>
        </w:rPr>
        <w:t>G</w:t>
      </w:r>
      <w:r>
        <w:rPr>
          <w:lang w:val="en-US"/>
        </w:rPr>
        <w:t>/</w:t>
      </w:r>
      <w:r>
        <w:rPr>
          <w:i/>
          <w:iCs/>
          <w:lang w:val="en-US"/>
        </w:rPr>
        <w:t>T</w:t>
      </w:r>
      <w:r>
        <w:rPr>
          <w:lang w:val="en-US"/>
        </w:rPr>
        <w:t xml:space="preserve">, i.e. telescope gain divided by system temperature. This is to maximize the </w:t>
      </w:r>
      <w:r>
        <w:rPr>
          <w:i/>
          <w:iCs/>
          <w:lang w:val="en-US"/>
        </w:rPr>
        <w:t>S</w:t>
      </w:r>
      <w:r>
        <w:rPr>
          <w:lang w:val="en-US"/>
        </w:rPr>
        <w:t>/</w:t>
      </w:r>
      <w:r>
        <w:rPr>
          <w:i/>
          <w:iCs/>
          <w:lang w:val="en-US"/>
        </w:rPr>
        <w:t>N</w:t>
      </w:r>
      <w:r>
        <w:rPr>
          <w:lang w:val="en-US"/>
        </w:rPr>
        <w:t xml:space="preserve"> for point sources. A key element of this approach is to reduce ground radiation entering through far sidelobes. Inevitably this leads to some corresponding increase in the levels of near sidelobes. Experience has shown that the majority of radio telescopes meets the envelope sidelobe mask given in Recommendation ITU-R SA.509 over most directions.</w:t>
      </w:r>
    </w:p>
    <w:p w:rsidR="00B9359B" w:rsidRDefault="009A5268">
      <w:pPr>
        <w:rPr>
          <w:lang w:val="en-US"/>
        </w:rPr>
      </w:pPr>
      <w:r>
        <w:rPr>
          <w:i/>
          <w:lang w:val="en-US"/>
        </w:rPr>
        <w:br w:type="page"/>
        <w:t>Blanking in time and/or frequency</w:t>
      </w:r>
      <w:r>
        <w:rPr>
          <w:lang w:val="en-US"/>
        </w:rPr>
        <w:t>:  This technique may be applied in some cases where inter</w:t>
      </w:r>
      <w:r>
        <w:rPr>
          <w:lang w:val="en-US"/>
        </w:rPr>
        <w:softHyphen/>
        <w:t>ference into the radio astronomy frequency band can be fully and unambiguously identified in time and/or frequency.</w:t>
      </w:r>
    </w:p>
    <w:p w:rsidR="00B9359B" w:rsidRDefault="009A5268">
      <w:pPr>
        <w:pStyle w:val="Heading2"/>
        <w:rPr>
          <w:lang w:val="en-US"/>
        </w:rPr>
      </w:pPr>
      <w:bookmarkStart w:id="144" w:name="_Toc51045543"/>
      <w:r>
        <w:rPr>
          <w:lang w:val="en-US"/>
        </w:rPr>
        <w:t>5.2</w:t>
      </w:r>
      <w:r>
        <w:rPr>
          <w:lang w:val="en-US"/>
        </w:rPr>
        <w:tab/>
        <w:t>RNSS</w:t>
      </w:r>
      <w:bookmarkEnd w:id="144"/>
    </w:p>
    <w:p w:rsidR="00B9359B" w:rsidRDefault="009A5268">
      <w:pPr>
        <w:rPr>
          <w:snapToGrid w:val="0"/>
          <w:lang w:val="en-US"/>
        </w:rPr>
      </w:pPr>
      <w:r>
        <w:rPr>
          <w:snapToGrid w:val="0"/>
          <w:lang w:val="en-US"/>
        </w:rPr>
        <w:t xml:space="preserve">Two RNSS systems are operating in the </w:t>
      </w:r>
      <w:r>
        <w:rPr>
          <w:lang w:val="en-US"/>
        </w:rPr>
        <w:t>1</w:t>
      </w:r>
      <w:r>
        <w:rPr>
          <w:rFonts w:ascii="Tms Rmn" w:hAnsi="Tms Rmn"/>
          <w:sz w:val="12"/>
          <w:lang w:val="en-US"/>
        </w:rPr>
        <w:t> </w:t>
      </w:r>
      <w:r>
        <w:rPr>
          <w:lang w:val="en-US"/>
        </w:rPr>
        <w:t>559-1</w:t>
      </w:r>
      <w:r>
        <w:rPr>
          <w:rFonts w:ascii="Tms Rmn" w:hAnsi="Tms Rmn"/>
          <w:sz w:val="12"/>
          <w:lang w:val="en-US"/>
        </w:rPr>
        <w:t> </w:t>
      </w:r>
      <w:r>
        <w:rPr>
          <w:lang w:val="en-US"/>
        </w:rPr>
        <w:t xml:space="preserve">610 MHz </w:t>
      </w:r>
      <w:r>
        <w:rPr>
          <w:snapToGrid w:val="0"/>
          <w:lang w:val="en-US"/>
        </w:rPr>
        <w:t xml:space="preserve">band, both of which use spread spectrum modulation. Both systems started their operation without filtering their transmissions, and interference into the </w:t>
      </w:r>
      <w:r>
        <w:rPr>
          <w:lang w:val="en-US"/>
        </w:rPr>
        <w:t>1</w:t>
      </w:r>
      <w:r>
        <w:rPr>
          <w:rFonts w:ascii="Tms Rmn" w:hAnsi="Tms Rmn"/>
          <w:sz w:val="12"/>
          <w:lang w:val="en-US"/>
        </w:rPr>
        <w:t> </w:t>
      </w:r>
      <w:r>
        <w:rPr>
          <w:lang w:val="en-US"/>
        </w:rPr>
        <w:t>610.6-1</w:t>
      </w:r>
      <w:r>
        <w:rPr>
          <w:rFonts w:ascii="Tms Rmn" w:hAnsi="Tms Rmn"/>
          <w:sz w:val="12"/>
          <w:lang w:val="en-US"/>
        </w:rPr>
        <w:t> </w:t>
      </w:r>
      <w:r>
        <w:rPr>
          <w:lang w:val="en-US"/>
        </w:rPr>
        <w:t xml:space="preserve">613.8 MHz band </w:t>
      </w:r>
      <w:r>
        <w:rPr>
          <w:snapToGrid w:val="0"/>
          <w:lang w:val="en-US"/>
        </w:rPr>
        <w:t>from both systems was reported at radio astronomy stations.</w:t>
      </w:r>
    </w:p>
    <w:p w:rsidR="00B9359B" w:rsidRDefault="009A5268">
      <w:pPr>
        <w:rPr>
          <w:snapToGrid w:val="0"/>
          <w:lang w:val="en-US"/>
        </w:rPr>
      </w:pPr>
      <w:r>
        <w:rPr>
          <w:snapToGrid w:val="0"/>
          <w:lang w:val="en-US"/>
        </w:rPr>
        <w:t>The unwanted emissions into the 1</w:t>
      </w:r>
      <w:r>
        <w:rPr>
          <w:rFonts w:ascii="Tms Rmn" w:hAnsi="Tms Rmn"/>
          <w:snapToGrid w:val="0"/>
          <w:sz w:val="12"/>
          <w:lang w:val="en-US"/>
        </w:rPr>
        <w:t> </w:t>
      </w:r>
      <w:r>
        <w:rPr>
          <w:snapToGrid w:val="0"/>
          <w:lang w:val="en-US"/>
        </w:rPr>
        <w:t>610.6-1</w:t>
      </w:r>
      <w:r>
        <w:rPr>
          <w:rFonts w:ascii="Tms Rmn" w:hAnsi="Tms Rmn"/>
          <w:snapToGrid w:val="0"/>
          <w:sz w:val="12"/>
          <w:lang w:val="en-US"/>
        </w:rPr>
        <w:t> </w:t>
      </w:r>
      <w:r>
        <w:rPr>
          <w:snapToGrid w:val="0"/>
          <w:lang w:val="en-US"/>
        </w:rPr>
        <w:t>613.8 MHz band by one system, which operates at lower frequencies in the RNSS band, was improved to the satisfaction of the radio astronomy community by introducing filters in those satellites that were launched after the interference was reported.</w:t>
      </w:r>
    </w:p>
    <w:p w:rsidR="00B9359B" w:rsidRDefault="009A5268">
      <w:pPr>
        <w:rPr>
          <w:snapToGrid w:val="0"/>
          <w:lang w:val="en-US"/>
        </w:rPr>
      </w:pPr>
      <w:r>
        <w:rPr>
          <w:snapToGrid w:val="0"/>
          <w:lang w:val="en-US"/>
        </w:rPr>
        <w:t xml:space="preserve">The other system started operating in the </w:t>
      </w:r>
      <w:r>
        <w:rPr>
          <w:lang w:val="en-US"/>
        </w:rPr>
        <w:t>1</w:t>
      </w:r>
      <w:r>
        <w:rPr>
          <w:rFonts w:ascii="Tms Rmn" w:hAnsi="Tms Rmn"/>
          <w:sz w:val="12"/>
          <w:lang w:val="en-US"/>
        </w:rPr>
        <w:t> </w:t>
      </w:r>
      <w:r>
        <w:rPr>
          <w:lang w:val="en-US"/>
        </w:rPr>
        <w:t>610.6-1</w:t>
      </w:r>
      <w:r>
        <w:rPr>
          <w:rFonts w:ascii="Tms Rmn" w:hAnsi="Tms Rmn"/>
          <w:sz w:val="12"/>
          <w:lang w:val="en-US"/>
        </w:rPr>
        <w:t> </w:t>
      </w:r>
      <w:r>
        <w:rPr>
          <w:lang w:val="en-US"/>
        </w:rPr>
        <w:t>613.8 MHz band</w:t>
      </w:r>
      <w:r>
        <w:rPr>
          <w:snapToGrid w:val="0"/>
          <w:lang w:val="en-US"/>
        </w:rPr>
        <w:t>, while this RAS allocation was still secondary. In order to improve the interference situation in the band, an Agreement was concluded between the satellite operator and the Inter-Union Commission on Frequency Allocations</w:t>
      </w:r>
      <w:r>
        <w:rPr>
          <w:caps/>
          <w:snapToGrid w:val="0"/>
          <w:lang w:val="en-US"/>
        </w:rPr>
        <w:t xml:space="preserve"> </w:t>
      </w:r>
      <w:r>
        <w:rPr>
          <w:snapToGrid w:val="0"/>
          <w:lang w:val="en-US"/>
        </w:rPr>
        <w:t>for</w:t>
      </w:r>
      <w:r>
        <w:rPr>
          <w:caps/>
          <w:snapToGrid w:val="0"/>
          <w:lang w:val="en-US"/>
        </w:rPr>
        <w:t xml:space="preserve"> r</w:t>
      </w:r>
      <w:r>
        <w:rPr>
          <w:lang w:val="en-US"/>
        </w:rPr>
        <w:t>adio Astronomy and Space Science (</w:t>
      </w:r>
      <w:r>
        <w:rPr>
          <w:snapToGrid w:val="0"/>
          <w:lang w:val="en-US"/>
        </w:rPr>
        <w:t>IUCAF), representing the radio astronomy community worldwide. This Agreement contains a phased approach to meet the protection criteria of the RAS after some years. The channel plan has been revised and satellite transmissions switched over to frequencies further below the 1</w:t>
      </w:r>
      <w:r>
        <w:rPr>
          <w:rFonts w:ascii="Tms Rmn" w:hAnsi="Tms Rmn"/>
          <w:snapToGrid w:val="0"/>
          <w:sz w:val="12"/>
          <w:lang w:val="en-US"/>
        </w:rPr>
        <w:t> </w:t>
      </w:r>
      <w:r>
        <w:rPr>
          <w:snapToGrid w:val="0"/>
          <w:lang w:val="en-US"/>
        </w:rPr>
        <w:t>610.6-1</w:t>
      </w:r>
      <w:r>
        <w:rPr>
          <w:rFonts w:ascii="Tms Rmn" w:hAnsi="Tms Rmn"/>
          <w:snapToGrid w:val="0"/>
          <w:sz w:val="12"/>
          <w:lang w:val="en-US"/>
        </w:rPr>
        <w:t> </w:t>
      </w:r>
      <w:r>
        <w:rPr>
          <w:snapToGrid w:val="0"/>
          <w:lang w:val="en-US"/>
        </w:rPr>
        <w:t>613.8 MHz band. According to the above-mentioned agreement, filtering in subsequent generations of satellites is expected to suppress the systems’ unwanted emissions into the 1</w:t>
      </w:r>
      <w:r>
        <w:rPr>
          <w:rFonts w:ascii="Tms Rmn" w:hAnsi="Tms Rmn"/>
          <w:snapToGrid w:val="0"/>
          <w:sz w:val="12"/>
          <w:lang w:val="en-US"/>
        </w:rPr>
        <w:t> </w:t>
      </w:r>
      <w:r>
        <w:rPr>
          <w:snapToGrid w:val="0"/>
          <w:lang w:val="en-US"/>
        </w:rPr>
        <w:t>610.6-1</w:t>
      </w:r>
      <w:r>
        <w:rPr>
          <w:rFonts w:ascii="Tms Rmn" w:hAnsi="Tms Rmn"/>
          <w:snapToGrid w:val="0"/>
          <w:sz w:val="12"/>
          <w:lang w:val="en-US"/>
        </w:rPr>
        <w:t> </w:t>
      </w:r>
      <w:r>
        <w:rPr>
          <w:snapToGrid w:val="0"/>
          <w:lang w:val="en-US"/>
        </w:rPr>
        <w:t>613.8 MHz band to below the single-dish interference threshold levels given in Recommendation ITU</w:t>
      </w:r>
      <w:r>
        <w:rPr>
          <w:snapToGrid w:val="0"/>
          <w:lang w:val="en-US"/>
        </w:rPr>
        <w:noBreakHyphen/>
        <w:t>R RA.769.</w:t>
      </w:r>
    </w:p>
    <w:p w:rsidR="00B9359B" w:rsidRDefault="009A5268">
      <w:pPr>
        <w:pStyle w:val="Heading2"/>
        <w:rPr>
          <w:lang w:val="en-US"/>
        </w:rPr>
      </w:pPr>
      <w:bookmarkStart w:id="145" w:name="_Toc51045544"/>
      <w:r>
        <w:rPr>
          <w:lang w:val="en-US"/>
        </w:rPr>
        <w:t>5.3</w:t>
      </w:r>
      <w:r>
        <w:rPr>
          <w:lang w:val="en-US"/>
        </w:rPr>
        <w:tab/>
        <w:t>Potential impact</w:t>
      </w:r>
      <w:bookmarkEnd w:id="145"/>
    </w:p>
    <w:p w:rsidR="00B9359B" w:rsidRDefault="009A5268">
      <w:pPr>
        <w:pStyle w:val="Heading3"/>
        <w:rPr>
          <w:snapToGrid w:val="0"/>
          <w:lang w:val="en-US"/>
        </w:rPr>
      </w:pPr>
      <w:bookmarkStart w:id="146" w:name="_Toc51045545"/>
      <w:r>
        <w:rPr>
          <w:lang w:val="en-US"/>
        </w:rPr>
        <w:t>5.3.1</w:t>
      </w:r>
      <w:r>
        <w:rPr>
          <w:lang w:val="en-US"/>
        </w:rPr>
        <w:tab/>
      </w:r>
      <w:r>
        <w:rPr>
          <w:snapToGrid w:val="0"/>
          <w:lang w:val="en-US"/>
        </w:rPr>
        <w:t>RAS</w:t>
      </w:r>
      <w:bookmarkEnd w:id="146"/>
    </w:p>
    <w:p w:rsidR="00B9359B" w:rsidRDefault="009A5268">
      <w:pPr>
        <w:rPr>
          <w:lang w:val="en-US"/>
        </w:rPr>
      </w:pPr>
      <w:r>
        <w:rPr>
          <w:i/>
          <w:lang w:val="en-US"/>
        </w:rPr>
        <w:t>Antenna sidelobe performance</w:t>
      </w:r>
      <w:r>
        <w:rPr>
          <w:lang w:val="en-US"/>
        </w:rPr>
        <w:t>:  Attempts to decrease the sensitivity of the radio astronomy antenna to unwanted emissions coming from space stations are likely to increase the sensitivity of the radio astronomy telescope to ground radiation, and possibly reduce its main beam gain. Both of these effects will reduce the telescope’s channel capacity of and thus lead to an increase of the total required integration time.</w:t>
      </w:r>
    </w:p>
    <w:p w:rsidR="00B9359B" w:rsidRDefault="009A5268">
      <w:pPr>
        <w:rPr>
          <w:lang w:val="en-US"/>
        </w:rPr>
      </w:pPr>
      <w:r>
        <w:rPr>
          <w:i/>
          <w:lang w:val="en-US"/>
        </w:rPr>
        <w:t>Blanking in time and/or frequency</w:t>
      </w:r>
      <w:r>
        <w:rPr>
          <w:lang w:val="en-US"/>
        </w:rPr>
        <w:t>:  Blanking involves a risk of compromising the integrity of the data and may lead to errors in their scientific interpretation. Blanking also causes a concomitant increase in the total integration time required to make the observation, this is equivalent to a loss in the channel capacity of the telescope.</w:t>
      </w:r>
    </w:p>
    <w:p w:rsidR="00B9359B" w:rsidRDefault="009A5268">
      <w:pPr>
        <w:pStyle w:val="Heading3"/>
        <w:rPr>
          <w:lang w:val="en-US"/>
        </w:rPr>
      </w:pPr>
      <w:bookmarkStart w:id="147" w:name="_Toc51045546"/>
      <w:r>
        <w:rPr>
          <w:lang w:val="en-US"/>
        </w:rPr>
        <w:t>5.3.2</w:t>
      </w:r>
      <w:r>
        <w:rPr>
          <w:lang w:val="en-US"/>
        </w:rPr>
        <w:tab/>
        <w:t>RNSS</w:t>
      </w:r>
      <w:bookmarkEnd w:id="147"/>
    </w:p>
    <w:p w:rsidR="00B9359B" w:rsidRDefault="009A5268">
      <w:pPr>
        <w:rPr>
          <w:snapToGrid w:val="0"/>
          <w:lang w:val="en-US"/>
        </w:rPr>
      </w:pPr>
      <w:r>
        <w:rPr>
          <w:snapToGrid w:val="0"/>
          <w:lang w:val="en-US"/>
        </w:rPr>
        <w:t>Hardware solutions such as filters may be difficult to implement. In active, multi-element antennas, filters may be needed for every antenna element. This will increase the weight of the satellite. The filter losses will require more powerful transmitters, which will in turn require more bus power, and so larger solar arrays. This will further increase the weight. In addition, a bigger, heavier satellite might need a larger launcher. The cost impact may be large. Technical improvements in filter design may ameliorate this problem. Implementation of filters in the system may be a more manageable task if considered at the design stage of the system.</w:t>
      </w:r>
    </w:p>
    <w:p w:rsidR="00B9359B" w:rsidRDefault="009A5268">
      <w:pPr>
        <w:pStyle w:val="Heading1"/>
        <w:rPr>
          <w:lang w:val="en-US"/>
        </w:rPr>
      </w:pPr>
      <w:bookmarkStart w:id="148" w:name="_Toc51045547"/>
      <w:r>
        <w:rPr>
          <w:lang w:val="en-US"/>
        </w:rPr>
        <w:br w:type="page"/>
        <w:t>6</w:t>
      </w:r>
      <w:r>
        <w:rPr>
          <w:lang w:val="en-US"/>
        </w:rPr>
        <w:tab/>
        <w:t>Results of studies</w:t>
      </w:r>
      <w:bookmarkEnd w:id="148"/>
    </w:p>
    <w:p w:rsidR="00B9359B" w:rsidRDefault="009A5268">
      <w:pPr>
        <w:pStyle w:val="Heading2"/>
        <w:rPr>
          <w:lang w:val="en-US"/>
        </w:rPr>
      </w:pPr>
      <w:bookmarkStart w:id="149" w:name="_Toc51045548"/>
      <w:r>
        <w:rPr>
          <w:lang w:val="en-US"/>
        </w:rPr>
        <w:t>6.1</w:t>
      </w:r>
      <w:r>
        <w:rPr>
          <w:lang w:val="en-US"/>
        </w:rPr>
        <w:tab/>
        <w:t>Summary</w:t>
      </w:r>
      <w:bookmarkEnd w:id="149"/>
    </w:p>
    <w:p w:rsidR="00B9359B" w:rsidRDefault="009A5268">
      <w:pPr>
        <w:rPr>
          <w:lang w:val="en-US"/>
        </w:rPr>
      </w:pPr>
      <w:r>
        <w:rPr>
          <w:lang w:val="en-US"/>
        </w:rPr>
        <w:t>In this band, the threshold levels for detrimental interference to radio astronomical observations as discussed in § 1.3 may be met by the active service for the VLBI and single-dish spectral line case, when mitigation methods are taken into account. No single-dish continuum observations are made in this band.</w:t>
      </w:r>
    </w:p>
    <w:p w:rsidR="00B9359B" w:rsidRDefault="009A5268">
      <w:pPr>
        <w:pStyle w:val="Heading2"/>
        <w:rPr>
          <w:lang w:val="en-US"/>
        </w:rPr>
      </w:pPr>
      <w:bookmarkStart w:id="150" w:name="_Toc51045549"/>
      <w:r>
        <w:rPr>
          <w:lang w:val="en-US"/>
        </w:rPr>
        <w:t>6.2</w:t>
      </w:r>
      <w:r>
        <w:rPr>
          <w:lang w:val="en-US"/>
        </w:rPr>
        <w:tab/>
        <w:t>Conclusions</w:t>
      </w:r>
      <w:bookmarkEnd w:id="150"/>
    </w:p>
    <w:p w:rsidR="00B9359B" w:rsidRDefault="009A5268">
      <w:pPr>
        <w:rPr>
          <w:lang w:val="en-US"/>
        </w:rPr>
      </w:pPr>
      <w:r>
        <w:rPr>
          <w:lang w:val="en-US"/>
        </w:rPr>
        <w:t>It is possible that appropriate mitigation techniques planned for future systems may permit VLBI and spectral-line observations in this band.</w:t>
      </w:r>
    </w:p>
    <w:p w:rsidR="00B9359B" w:rsidRDefault="00B9359B">
      <w:pPr>
        <w:rPr>
          <w:lang w:val="en-US"/>
        </w:rPr>
      </w:pPr>
    </w:p>
    <w:p w:rsidR="00B9359B" w:rsidRDefault="00B9359B">
      <w:pPr>
        <w:rPr>
          <w:lang w:val="en-US"/>
        </w:rPr>
      </w:pPr>
    </w:p>
    <w:p w:rsidR="00B9359B" w:rsidRDefault="009A5268">
      <w:pPr>
        <w:pStyle w:val="AnnexNoTitle"/>
        <w:rPr>
          <w:lang w:val="en-US"/>
        </w:rPr>
      </w:pPr>
      <w:r>
        <w:rPr>
          <w:lang w:val="en-US"/>
        </w:rPr>
        <w:t>Annex 6</w:t>
      </w:r>
      <w:r>
        <w:rPr>
          <w:lang w:val="en-US"/>
        </w:rPr>
        <w:br/>
      </w:r>
      <w:r>
        <w:rPr>
          <w:lang w:val="en-US"/>
        </w:rPr>
        <w:br/>
        <w:t>Compatibility analysis between RAS systems operating in the</w:t>
      </w:r>
      <w:r>
        <w:rPr>
          <w:lang w:val="en-US"/>
        </w:rPr>
        <w:br/>
        <w:t>1</w:t>
      </w:r>
      <w:r>
        <w:rPr>
          <w:rFonts w:ascii="Tms Rmn" w:hAnsi="Tms Rmn"/>
          <w:sz w:val="12"/>
          <w:lang w:val="en-US"/>
        </w:rPr>
        <w:t> </w:t>
      </w:r>
      <w:r>
        <w:rPr>
          <w:lang w:val="en-US"/>
        </w:rPr>
        <w:t>610.6-1</w:t>
      </w:r>
      <w:r>
        <w:rPr>
          <w:rFonts w:ascii="Tms Rmn" w:hAnsi="Tms Rmn"/>
          <w:sz w:val="12"/>
          <w:lang w:val="en-US"/>
        </w:rPr>
        <w:t> </w:t>
      </w:r>
      <w:r>
        <w:rPr>
          <w:lang w:val="en-US"/>
        </w:rPr>
        <w:t>613.8 MHz band and MSS (space-to-Earth)</w:t>
      </w:r>
      <w:r>
        <w:rPr>
          <w:lang w:val="en-US"/>
        </w:rPr>
        <w:br/>
        <w:t>systems operating in the 1</w:t>
      </w:r>
      <w:r>
        <w:rPr>
          <w:rFonts w:ascii="Tms Rmn" w:hAnsi="Tms Rmn"/>
          <w:sz w:val="12"/>
          <w:lang w:val="en-US"/>
        </w:rPr>
        <w:t> </w:t>
      </w:r>
      <w:r>
        <w:rPr>
          <w:lang w:val="en-US"/>
        </w:rPr>
        <w:t>613.8-1</w:t>
      </w:r>
      <w:r>
        <w:rPr>
          <w:rFonts w:ascii="Tms Rmn" w:hAnsi="Tms Rmn"/>
          <w:sz w:val="12"/>
          <w:lang w:val="en-US"/>
        </w:rPr>
        <w:t> </w:t>
      </w:r>
      <w:r>
        <w:rPr>
          <w:lang w:val="en-US"/>
        </w:rPr>
        <w:t>626.5 MHz band</w:t>
      </w:r>
    </w:p>
    <w:p w:rsidR="00B9359B" w:rsidRDefault="009A5268">
      <w:pPr>
        <w:pStyle w:val="Heading1"/>
        <w:rPr>
          <w:b w:val="0"/>
          <w:lang w:val="en-US"/>
        </w:rPr>
      </w:pPr>
      <w:bookmarkStart w:id="151" w:name="_Toc51045550"/>
      <w:r>
        <w:rPr>
          <w:lang w:val="en-US"/>
        </w:rPr>
        <w:t>1</w:t>
      </w:r>
      <w:r>
        <w:rPr>
          <w:lang w:val="en-US"/>
        </w:rPr>
        <w:tab/>
        <w:t>RAS</w:t>
      </w:r>
      <w:bookmarkEnd w:id="151"/>
    </w:p>
    <w:p w:rsidR="00B9359B" w:rsidRDefault="009A5268">
      <w:pPr>
        <w:pStyle w:val="Heading2"/>
        <w:rPr>
          <w:lang w:val="en-US"/>
        </w:rPr>
      </w:pPr>
      <w:bookmarkStart w:id="152" w:name="_Toc51045551"/>
      <w:r>
        <w:rPr>
          <w:lang w:val="en-US"/>
        </w:rPr>
        <w:t>1.1</w:t>
      </w:r>
      <w:r>
        <w:rPr>
          <w:lang w:val="en-US"/>
        </w:rPr>
        <w:tab/>
        <w:t>Allocated band</w:t>
      </w:r>
      <w:bookmarkEnd w:id="152"/>
    </w:p>
    <w:p w:rsidR="00B9359B" w:rsidRDefault="009A5268">
      <w:pPr>
        <w:rPr>
          <w:lang w:val="en-US"/>
        </w:rPr>
      </w:pPr>
      <w:r>
        <w:rPr>
          <w:lang w:val="en-US"/>
        </w:rPr>
        <w:t>The 1</w:t>
      </w:r>
      <w:r>
        <w:rPr>
          <w:rFonts w:ascii="Tms Rmn" w:hAnsi="Tms Rmn"/>
          <w:sz w:val="12"/>
          <w:lang w:val="en-US"/>
        </w:rPr>
        <w:t> </w:t>
      </w:r>
      <w:r>
        <w:rPr>
          <w:lang w:val="en-US"/>
        </w:rPr>
        <w:t>610.6-1</w:t>
      </w:r>
      <w:r>
        <w:rPr>
          <w:rFonts w:ascii="Tms Rmn" w:hAnsi="Tms Rmn"/>
          <w:sz w:val="12"/>
          <w:lang w:val="en-US"/>
        </w:rPr>
        <w:t> </w:t>
      </w:r>
      <w:r>
        <w:rPr>
          <w:lang w:val="en-US"/>
        </w:rPr>
        <w:t>613.8 MHz band is allocated to the RAS on a primary basis.</w:t>
      </w:r>
    </w:p>
    <w:p w:rsidR="00B9359B" w:rsidRDefault="009A5268">
      <w:pPr>
        <w:rPr>
          <w:lang w:val="en-US"/>
        </w:rPr>
      </w:pPr>
      <w:r>
        <w:rPr>
          <w:bCs/>
          <w:lang w:val="en-US"/>
        </w:rPr>
        <w:t>RR No. 5.149</w:t>
      </w:r>
      <w:r>
        <w:rPr>
          <w:lang w:val="en-US"/>
        </w:rPr>
        <w:t xml:space="preserve"> urges administrations to take all practicable steps to protect the RAS in this band.</w:t>
      </w:r>
    </w:p>
    <w:p w:rsidR="00B9359B" w:rsidRDefault="009A5268">
      <w:pPr>
        <w:pStyle w:val="Heading2"/>
        <w:rPr>
          <w:lang w:val="en-US"/>
        </w:rPr>
      </w:pPr>
      <w:bookmarkStart w:id="153" w:name="_Toc51045552"/>
      <w:r>
        <w:rPr>
          <w:lang w:val="en-US"/>
        </w:rPr>
        <w:t>1.2</w:t>
      </w:r>
      <w:r>
        <w:rPr>
          <w:lang w:val="en-US"/>
        </w:rPr>
        <w:tab/>
        <w:t>Type of observations</w:t>
      </w:r>
      <w:bookmarkEnd w:id="153"/>
    </w:p>
    <w:p w:rsidR="00B9359B" w:rsidRDefault="009A5268">
      <w:pPr>
        <w:rPr>
          <w:lang w:val="en-US"/>
        </w:rPr>
      </w:pPr>
      <w:r>
        <w:rPr>
          <w:lang w:val="en-US"/>
        </w:rPr>
        <w:t>The 1</w:t>
      </w:r>
      <w:r>
        <w:rPr>
          <w:rFonts w:ascii="Tms Rmn" w:hAnsi="Tms Rmn"/>
          <w:sz w:val="12"/>
          <w:lang w:val="en-US"/>
        </w:rPr>
        <w:t> </w:t>
      </w:r>
      <w:r>
        <w:rPr>
          <w:lang w:val="en-US"/>
        </w:rPr>
        <w:t>610.6-1</w:t>
      </w:r>
      <w:r>
        <w:rPr>
          <w:rFonts w:ascii="Tms Rmn" w:hAnsi="Tms Rmn"/>
          <w:sz w:val="12"/>
          <w:lang w:val="en-US"/>
        </w:rPr>
        <w:t> </w:t>
      </w:r>
      <w:r>
        <w:rPr>
          <w:lang w:val="en-US"/>
        </w:rPr>
        <w:t>613.8 MHz band is used for spectral line observations of the OH. The OH line, which has a rest frequency of 1 612 MHz, is one of the most important spectral lines for radio astronomy, and is listed as such in Recommendation ITU-R RA.314. OH radical was the first cosmic radical to be detected at radio frequencies (1963), and continues to be a powerful research tool. OH produces four spectral lines, at frequencies of approximately 1</w:t>
      </w:r>
      <w:r>
        <w:rPr>
          <w:rFonts w:ascii="Tms Rmn" w:hAnsi="Tms Rmn"/>
          <w:sz w:val="12"/>
          <w:lang w:val="en-US"/>
        </w:rPr>
        <w:t> </w:t>
      </w:r>
      <w:r>
        <w:rPr>
          <w:lang w:val="en-US"/>
        </w:rPr>
        <w:t>612, 1</w:t>
      </w:r>
      <w:r>
        <w:rPr>
          <w:rFonts w:ascii="Tms Rmn" w:hAnsi="Tms Rmn"/>
          <w:sz w:val="12"/>
          <w:lang w:val="en-US"/>
        </w:rPr>
        <w:t> </w:t>
      </w:r>
      <w:r>
        <w:rPr>
          <w:lang w:val="en-US"/>
        </w:rPr>
        <w:t>665, 1</w:t>
      </w:r>
      <w:r>
        <w:rPr>
          <w:rFonts w:ascii="Tms Rmn" w:hAnsi="Tms Rmn"/>
          <w:sz w:val="12"/>
          <w:lang w:val="en-US"/>
        </w:rPr>
        <w:t> </w:t>
      </w:r>
      <w:r>
        <w:rPr>
          <w:lang w:val="en-US"/>
        </w:rPr>
        <w:t>667 and 1</w:t>
      </w:r>
      <w:r>
        <w:rPr>
          <w:rFonts w:ascii="Tms Rmn" w:hAnsi="Tms Rmn"/>
          <w:sz w:val="12"/>
          <w:lang w:val="en-US"/>
        </w:rPr>
        <w:t> </w:t>
      </w:r>
      <w:r>
        <w:rPr>
          <w:lang w:val="en-US"/>
        </w:rPr>
        <w:t xml:space="preserve">720 MHz, all of which have been observed in our own galaxy, as well as in external galaxies. </w:t>
      </w:r>
      <w:r>
        <w:rPr>
          <w:sz w:val="23"/>
          <w:lang w:val="en-US"/>
        </w:rPr>
        <w:t xml:space="preserve">The study of OH lines provides information on a wide range of astronomical phenomena, e.g. the formation of protostars and the evolution of stars. </w:t>
      </w:r>
      <w:r>
        <w:rPr>
          <w:lang w:val="en-US"/>
        </w:rPr>
        <w:t>To interpret most observations made in the OH lines, it is necessary to measure the relative strength of several of these lines. Loss of the ability to observe any one of these lines may prevent the study of some classes of physical phenomena.</w:t>
      </w:r>
    </w:p>
    <w:p w:rsidR="00B9359B" w:rsidRDefault="009A5268">
      <w:pPr>
        <w:rPr>
          <w:lang w:val="en-US"/>
        </w:rPr>
      </w:pPr>
      <w:r>
        <w:rPr>
          <w:lang w:val="en-US"/>
        </w:rPr>
        <w:t xml:space="preserve">These OH lines are produced by a coherent process, in which a concentration of OH radicals radiate “in step”, creating narrow-band emission. They are slightly broadened due to physical conditions in this concentration. Movement of these concentrations with respect to the Earth impose a Doppler </w:t>
      </w:r>
      <w:r>
        <w:rPr>
          <w:lang w:val="en-US"/>
        </w:rPr>
        <w:br w:type="page"/>
        <w:t>shift on the line emission. The presence of several concentrations in the source, which are moving at different velocities, give rise to a more complicated spectrum, consisting of a number of superimposed Gaussian line profiles of different widths and amplitudes, and slightly-different frequencies (due to the different Doppler shifts). The width of the band allocation is required to accommodate the spreading and shifting of the spectrum by differential and total motions of the source.</w:t>
      </w:r>
    </w:p>
    <w:p w:rsidR="00B9359B" w:rsidRDefault="009A5268">
      <w:pPr>
        <w:rPr>
          <w:lang w:val="en-US"/>
        </w:rPr>
      </w:pPr>
      <w:r>
        <w:rPr>
          <w:lang w:val="en-US"/>
        </w:rPr>
        <w:t>In some stages of their evolution, certain classes of stars radiate only the 1</w:t>
      </w:r>
      <w:r>
        <w:rPr>
          <w:rFonts w:ascii="Tms Rmn" w:hAnsi="Tms Rmn"/>
          <w:sz w:val="12"/>
          <w:lang w:val="en-US"/>
        </w:rPr>
        <w:t> </w:t>
      </w:r>
      <w:r>
        <w:rPr>
          <w:lang w:val="en-US"/>
        </w:rPr>
        <w:t>612 MHz line. The study of this line allows astronomers to gauge such physical properties of these stars as the rate at which gas is blown off by the stars and recycled into the interstellar medium. Some properties of these stars cannot be</w:t>
      </w:r>
      <w:r>
        <w:rPr>
          <w:i/>
          <w:lang w:val="en-US"/>
        </w:rPr>
        <w:t xml:space="preserve"> </w:t>
      </w:r>
      <w:r>
        <w:rPr>
          <w:lang w:val="en-US"/>
        </w:rPr>
        <w:t>inferred from any other astronomical observation. Measurements of OH emitting stars have also been used to estimate the distance to the Galactic Centre, to measure the mass of the central bulge of our galaxy, and to study the spatial distribution of the molecular component in our galaxy and in external galaxies. Finally, extremely strong maser emission has been detected near the nuclei of a number of external galaxies. This OH megamaser emission from galactic nuclei allows</w:t>
      </w:r>
      <w:r>
        <w:rPr>
          <w:sz w:val="23"/>
          <w:lang w:val="en-US"/>
        </w:rPr>
        <w:t xml:space="preserve"> </w:t>
      </w:r>
      <w:r>
        <w:rPr>
          <w:lang w:val="en-US"/>
        </w:rPr>
        <w:t xml:space="preserve">astronomers to study the temperature and density of the molecular gas in their centre. </w:t>
      </w:r>
    </w:p>
    <w:p w:rsidR="00B9359B" w:rsidRDefault="009A5268">
      <w:pPr>
        <w:rPr>
          <w:lang w:val="en-US"/>
        </w:rPr>
      </w:pPr>
      <w:r>
        <w:rPr>
          <w:lang w:val="en-US"/>
        </w:rPr>
        <w:t>The OH spectral line is also observed in comets; there is very little flexibility in scheduling observations of these “targets of opportunity”.</w:t>
      </w:r>
    </w:p>
    <w:p w:rsidR="00B9359B" w:rsidRDefault="009A5268">
      <w:pPr>
        <w:rPr>
          <w:lang w:val="en-US"/>
        </w:rPr>
      </w:pPr>
      <w:r>
        <w:rPr>
          <w:lang w:val="en-US"/>
        </w:rPr>
        <w:t>Spectral line observations are made using spectrometers that can simultaneously integrate the power in a large number of frequency channels (typically 256-4</w:t>
      </w:r>
      <w:r>
        <w:rPr>
          <w:rFonts w:ascii="Tms Rmn" w:hAnsi="Tms Rmn"/>
          <w:sz w:val="12"/>
          <w:lang w:val="en-US"/>
        </w:rPr>
        <w:t> </w:t>
      </w:r>
      <w:r>
        <w:rPr>
          <w:lang w:val="en-US"/>
        </w:rPr>
        <w:t>096) distributed across the frequency band used. The width and number of channels has to be large enough to accurately reproduce the spectrum of the emission received by the radio telescope. I</w:t>
      </w:r>
      <w:r>
        <w:rPr>
          <w:snapToGrid w:val="0"/>
          <w:lang w:val="en-US"/>
        </w:rPr>
        <w:t>nstantaneous bandwidths of typically ~0.2</w:t>
      </w:r>
      <w:r>
        <w:rPr>
          <w:snapToGrid w:val="0"/>
          <w:lang w:val="en-US"/>
        </w:rPr>
        <w:noBreakHyphen/>
        <w:t>20 kHz per frequency channel are used, depending on the scientific program.</w:t>
      </w:r>
    </w:p>
    <w:p w:rsidR="00B9359B" w:rsidRDefault="009A5268">
      <w:pPr>
        <w:spacing w:after="120"/>
        <w:rPr>
          <w:lang w:val="en-US"/>
        </w:rPr>
      </w:pPr>
      <w:r>
        <w:rPr>
          <w:lang w:val="en-US"/>
        </w:rPr>
        <w:t>The sources are small, and measurements of their size and structure often require observations using the VLBI technique.</w:t>
      </w:r>
    </w:p>
    <w:p w:rsidR="00B9359B" w:rsidRDefault="009A5268">
      <w:pPr>
        <w:pStyle w:val="Heading2"/>
        <w:rPr>
          <w:lang w:val="en-US"/>
        </w:rPr>
      </w:pPr>
      <w:bookmarkStart w:id="154" w:name="_Toc51045553"/>
      <w:r>
        <w:rPr>
          <w:lang w:val="en-US"/>
        </w:rPr>
        <w:t>1.3</w:t>
      </w:r>
      <w:r>
        <w:rPr>
          <w:lang w:val="en-US"/>
        </w:rPr>
        <w:tab/>
        <w:t>Required protection criteria</w:t>
      </w:r>
      <w:bookmarkEnd w:id="154"/>
    </w:p>
    <w:p w:rsidR="00B9359B" w:rsidRDefault="009A5268">
      <w:pPr>
        <w:rPr>
          <w:lang w:val="en-US"/>
        </w:rPr>
      </w:pPr>
      <w:r>
        <w:rPr>
          <w:lang w:val="en-US"/>
        </w:rPr>
        <w:t>Recommendation ITU-R RA.769 specifies the protection criteria for radio astronomical obser</w:t>
      </w:r>
      <w:r>
        <w:rPr>
          <w:lang w:val="en-US"/>
        </w:rPr>
        <w:softHyphen/>
        <w:t>vations and gives threshold levels of detrimental interference for primary radio astronomy bands. In the 1</w:t>
      </w:r>
      <w:r>
        <w:rPr>
          <w:rFonts w:ascii="Tms Rmn" w:hAnsi="Tms Rmn"/>
          <w:sz w:val="12"/>
          <w:lang w:val="en-US"/>
        </w:rPr>
        <w:t> </w:t>
      </w:r>
      <w:r>
        <w:rPr>
          <w:lang w:val="en-US"/>
        </w:rPr>
        <w:t>610.6-1</w:t>
      </w:r>
      <w:r>
        <w:rPr>
          <w:rFonts w:ascii="Tms Rmn" w:hAnsi="Tms Rmn"/>
          <w:sz w:val="12"/>
          <w:lang w:val="en-US"/>
        </w:rPr>
        <w:t> </w:t>
      </w:r>
      <w:r>
        <w:rPr>
          <w:lang w:val="en-US"/>
        </w:rPr>
        <w:t xml:space="preserve">613.8 MHz band, for single dish spectral line observations made using a channel bandwidth (one of the spectrometer channels) of 20 kHz, the threshold pfd limit is </w:t>
      </w:r>
      <w:r>
        <w:rPr>
          <w:rFonts w:ascii="Symbol" w:hAnsi="Symbol"/>
          <w:lang w:val="en-US"/>
        </w:rPr>
        <w:noBreakHyphen/>
      </w:r>
      <w:r>
        <w:rPr>
          <w:lang w:val="en-US"/>
        </w:rPr>
        <w:t>194 </w:t>
      </w:r>
      <w:r>
        <w:rPr>
          <w:snapToGrid w:val="0"/>
          <w:lang w:val="en-US"/>
        </w:rPr>
        <w:t>dB(W/m</w:t>
      </w:r>
      <w:r>
        <w:rPr>
          <w:vertAlign w:val="superscript"/>
          <w:lang w:val="en-US"/>
        </w:rPr>
        <w:t>2</w:t>
      </w:r>
      <w:r>
        <w:rPr>
          <w:rFonts w:ascii="Times" w:hAnsi="Times"/>
          <w:spacing w:val="-2"/>
          <w:lang w:val="en-US"/>
        </w:rPr>
        <w:t>)</w:t>
      </w:r>
      <w:r>
        <w:rPr>
          <w:snapToGrid w:val="0"/>
          <w:lang w:val="en-US"/>
        </w:rPr>
        <w:t>.</w:t>
      </w:r>
      <w:r>
        <w:rPr>
          <w:lang w:val="en-US"/>
        </w:rPr>
        <w:t xml:space="preserve"> This band is used only for radio line observations, not for continuum observations.</w:t>
      </w:r>
    </w:p>
    <w:p w:rsidR="00B9359B" w:rsidRDefault="009A5268">
      <w:pPr>
        <w:rPr>
          <w:lang w:val="en-US"/>
        </w:rPr>
      </w:pPr>
      <w:r>
        <w:rPr>
          <w:lang w:val="en-US"/>
        </w:rPr>
        <w:t>For detrimental interference from non-GSO systems, the protection criteria and the relevant methodologies are described in Recommendations ITU-R RA.769 and ITU-R RA.1513, as well as in Recommendation ITU-R S.1586 for FSS systems and in Recommendation ITU-R M.1583 for MSS and RNSS systems.</w:t>
      </w:r>
    </w:p>
    <w:p w:rsidR="00B9359B" w:rsidRDefault="009A5268">
      <w:pPr>
        <w:rPr>
          <w:lang w:val="en-US"/>
        </w:rPr>
      </w:pPr>
      <w:r>
        <w:rPr>
          <w:lang w:val="en-US"/>
        </w:rPr>
        <w:t xml:space="preserve">The thresholds of detrimental interference levels to the RAS as defined and calculated in the Recommendation ITU-R RA.769 are protection criteria above which radio astronomical data are degraded and may be eventually obliterated. In principle, under rather idealized circumstances, if these levels are very slightly exceeded then it may be possible to compensate at the radio astronomy observatory by increased observing time. In doing so, the channel capacity of the telescope is reduced, with a corresponding reduction in scientific throughput. If the level of interference, under the assumptions of Recommendation ITU-R RA.769 (e.g. antenna performance, etc.), becomes </w:t>
      </w:r>
      <w:r>
        <w:rPr>
          <w:lang w:val="en-US"/>
        </w:rPr>
        <w:br w:type="page"/>
        <w:t>10 dB or more above the Recommendation ITU-R RA.769 definition, then increased observing time will no longer be effective in ensuring that valid scientific data are provided to the scientist. The radio astronomy station will be unable to operate in the affected frequency band, and its ability to provide service will have been lost if no appropriate mitigation techniques can be applied.</w:t>
      </w:r>
    </w:p>
    <w:p w:rsidR="00B9359B" w:rsidRDefault="009A5268">
      <w:pPr>
        <w:pStyle w:val="Heading2"/>
        <w:rPr>
          <w:lang w:val="en-US"/>
        </w:rPr>
      </w:pPr>
      <w:bookmarkStart w:id="155" w:name="_Toc51045554"/>
      <w:r>
        <w:rPr>
          <w:lang w:val="en-US"/>
        </w:rPr>
        <w:t>1.4</w:t>
      </w:r>
      <w:r>
        <w:rPr>
          <w:lang w:val="en-US"/>
        </w:rPr>
        <w:tab/>
        <w:t>Operational characteristics</w:t>
      </w:r>
      <w:bookmarkEnd w:id="155"/>
    </w:p>
    <w:p w:rsidR="00B9359B" w:rsidRDefault="009A5268">
      <w:pPr>
        <w:rPr>
          <w:snapToGrid w:val="0"/>
          <w:lang w:val="en-US"/>
        </w:rPr>
      </w:pPr>
      <w:r>
        <w:rPr>
          <w:snapToGrid w:val="0"/>
          <w:lang w:val="en-US"/>
        </w:rPr>
        <w:t>Observations in the 1</w:t>
      </w:r>
      <w:r>
        <w:rPr>
          <w:rFonts w:ascii="Tms Rmn" w:hAnsi="Tms Rmn"/>
          <w:snapToGrid w:val="0"/>
          <w:sz w:val="12"/>
          <w:lang w:val="en-US"/>
        </w:rPr>
        <w:t> </w:t>
      </w:r>
      <w:r>
        <w:rPr>
          <w:snapToGrid w:val="0"/>
          <w:lang w:val="en-US"/>
        </w:rPr>
        <w:t>612 MHz band are carried out at a number of radio astronomy sites in numerous countries, worldwide. Observations in the 1</w:t>
      </w:r>
      <w:r>
        <w:rPr>
          <w:rFonts w:ascii="Tms Rmn" w:hAnsi="Tms Rmn"/>
          <w:snapToGrid w:val="0"/>
          <w:sz w:val="12"/>
          <w:lang w:val="en-US"/>
        </w:rPr>
        <w:t> </w:t>
      </w:r>
      <w:r>
        <w:rPr>
          <w:snapToGrid w:val="0"/>
          <w:lang w:val="en-US"/>
        </w:rPr>
        <w:t>612 MHz band are sometimes conducted on targets of opportunity, e.g. on objects such as comets, which have been observed to produce transient emissions in this line. VLBI observations are also frequently conducted in this band, sometimes between the North American and European VLBI networks.</w:t>
      </w:r>
    </w:p>
    <w:p w:rsidR="00B9359B" w:rsidRDefault="009A5268">
      <w:pPr>
        <w:rPr>
          <w:lang w:val="en-US"/>
        </w:rPr>
      </w:pPr>
      <w:r>
        <w:rPr>
          <w:lang w:val="en-US"/>
        </w:rPr>
        <w:t xml:space="preserve">VLBI observations, where signals from widely separated antennas are recorded and correlated after the observations, are much less susceptible to interference. This is reflected in the threshold pfd level for VLBI observations in this band, </w:t>
      </w:r>
      <w:r>
        <w:sym w:font="Symbol" w:char="F02D"/>
      </w:r>
      <w:r>
        <w:rPr>
          <w:lang w:val="en-US"/>
        </w:rPr>
        <w:t xml:space="preserve">166 </w:t>
      </w:r>
      <w:r>
        <w:rPr>
          <w:snapToGrid w:val="0"/>
          <w:lang w:val="en-US"/>
        </w:rPr>
        <w:t>dB(W/m</w:t>
      </w:r>
      <w:r>
        <w:rPr>
          <w:vertAlign w:val="superscript"/>
          <w:lang w:val="en-US"/>
        </w:rPr>
        <w:t>2</w:t>
      </w:r>
      <w:r>
        <w:rPr>
          <w:rFonts w:ascii="Times" w:hAnsi="Times"/>
          <w:spacing w:val="-2"/>
          <w:lang w:val="en-US"/>
        </w:rPr>
        <w:t>), for a bandwidth of 20 kHz, which has been developed for VLBI observations, but not included in ITU</w:t>
      </w:r>
      <w:r>
        <w:rPr>
          <w:rFonts w:ascii="Times" w:hAnsi="Times"/>
          <w:spacing w:val="-2"/>
          <w:lang w:val="en-US"/>
        </w:rPr>
        <w:noBreakHyphen/>
        <w:t>R RA.769.</w:t>
      </w:r>
    </w:p>
    <w:p w:rsidR="00B9359B" w:rsidRDefault="009A5268">
      <w:pPr>
        <w:rPr>
          <w:lang w:val="en-US"/>
        </w:rPr>
      </w:pPr>
      <w:r>
        <w:rPr>
          <w:lang w:val="en-US"/>
        </w:rPr>
        <w:t>Spectral line observations are made using multichannel spectrometers that can integrate simulta</w:t>
      </w:r>
      <w:r>
        <w:rPr>
          <w:lang w:val="en-US"/>
        </w:rPr>
        <w:softHyphen/>
        <w:t>neously the power in many (typically 256 to 4</w:t>
      </w:r>
      <w:r>
        <w:rPr>
          <w:rFonts w:ascii="Tms Rmn" w:hAnsi="Tms Rmn"/>
          <w:sz w:val="12"/>
          <w:lang w:val="en-US"/>
        </w:rPr>
        <w:t> </w:t>
      </w:r>
      <w:r>
        <w:rPr>
          <w:lang w:val="en-US"/>
        </w:rPr>
        <w:t>096) frequency channels distributed across the band. The number of channels and their individual bandwidths are chosen to adequately sample the spectrum of the net emission from the source(s) in the antenna beam.</w:t>
      </w:r>
    </w:p>
    <w:p w:rsidR="00B9359B" w:rsidRDefault="009A5268">
      <w:pPr>
        <w:rPr>
          <w:lang w:val="en-US"/>
        </w:rPr>
      </w:pPr>
      <w:r>
        <w:rPr>
          <w:lang w:val="en-US"/>
        </w:rPr>
        <w:t>In general, observations are made differentially; spectra are recorded at frequency ranges including the line emissions of interest (the line spectra), and then at a frequency that is offset from the line emissions, or at the same frequency but at a nearby position in the sky (the reference spectra). By subtracting the reference spectra from the line spectra, unwanted noise contributions and other contaminants can be removed from the data.</w:t>
      </w:r>
    </w:p>
    <w:p w:rsidR="00B9359B" w:rsidRDefault="009A5268">
      <w:pPr>
        <w:rPr>
          <w:snapToGrid w:val="0"/>
          <w:lang w:val="en-US"/>
        </w:rPr>
      </w:pPr>
      <w:r>
        <w:rPr>
          <w:snapToGrid w:val="0"/>
          <w:lang w:val="en-US"/>
        </w:rPr>
        <w:t>VLBI observations are made by down-converting the signals to a baseband, digitizing them without rectification, and recording them on tape or other storage media, along with precise timing signals. The data are then taken to a VLBI data processing centre, where the signals are synchronized and correlated. Consequently, the full impact of interference might not be known until the observing period is over and the data have been processed.</w:t>
      </w:r>
    </w:p>
    <w:p w:rsidR="00B9359B" w:rsidRDefault="009A5268">
      <w:pPr>
        <w:pStyle w:val="Heading1"/>
        <w:rPr>
          <w:lang w:val="en-US"/>
        </w:rPr>
      </w:pPr>
      <w:bookmarkStart w:id="156" w:name="_Toc51045555"/>
      <w:r>
        <w:rPr>
          <w:lang w:val="en-US"/>
        </w:rPr>
        <w:t>2</w:t>
      </w:r>
      <w:r>
        <w:rPr>
          <w:lang w:val="en-US"/>
        </w:rPr>
        <w:tab/>
        <w:t>MSS</w:t>
      </w:r>
      <w:bookmarkEnd w:id="156"/>
    </w:p>
    <w:p w:rsidR="00B9359B" w:rsidRDefault="009A5268">
      <w:pPr>
        <w:pStyle w:val="Heading2"/>
        <w:rPr>
          <w:lang w:val="en-US"/>
        </w:rPr>
      </w:pPr>
      <w:bookmarkStart w:id="157" w:name="_Toc51045556"/>
      <w:r>
        <w:rPr>
          <w:lang w:val="en-US"/>
        </w:rPr>
        <w:t>2.1</w:t>
      </w:r>
      <w:r>
        <w:rPr>
          <w:lang w:val="en-US"/>
        </w:rPr>
        <w:tab/>
        <w:t>Allocated transmit band</w:t>
      </w:r>
      <w:bookmarkEnd w:id="157"/>
    </w:p>
    <w:p w:rsidR="00B9359B" w:rsidRDefault="009A5268">
      <w:pPr>
        <w:rPr>
          <w:snapToGrid w:val="0"/>
          <w:color w:val="000000"/>
          <w:lang w:val="en-US"/>
        </w:rPr>
      </w:pPr>
      <w:r>
        <w:rPr>
          <w:lang w:val="en-US"/>
        </w:rPr>
        <w:t>The band 1</w:t>
      </w:r>
      <w:r>
        <w:rPr>
          <w:rFonts w:ascii="Tms Rmn" w:hAnsi="Tms Rmn"/>
          <w:sz w:val="12"/>
          <w:lang w:val="en-US"/>
        </w:rPr>
        <w:t> </w:t>
      </w:r>
      <w:r>
        <w:rPr>
          <w:lang w:val="en-US"/>
        </w:rPr>
        <w:t>613.8-1</w:t>
      </w:r>
      <w:r>
        <w:rPr>
          <w:rFonts w:ascii="Tms Rmn" w:hAnsi="Tms Rmn"/>
          <w:sz w:val="12"/>
          <w:lang w:val="en-US"/>
        </w:rPr>
        <w:t> </w:t>
      </w:r>
      <w:r>
        <w:rPr>
          <w:lang w:val="en-US"/>
        </w:rPr>
        <w:t xml:space="preserve">626.5 MHz was allocated to the MSS (space-to-Earth) on a secondary basis, worldwide at </w:t>
      </w:r>
      <w:r>
        <w:rPr>
          <w:snapToGrid w:val="0"/>
          <w:color w:val="000000"/>
          <w:lang w:val="en-US"/>
        </w:rPr>
        <w:t>WARC-92. WARC-92 also took the following actions in regard to the RAS in the 1</w:t>
      </w:r>
      <w:r>
        <w:rPr>
          <w:rFonts w:ascii="Tms Rmn" w:hAnsi="Tms Rmn"/>
          <w:snapToGrid w:val="0"/>
          <w:color w:val="000000"/>
          <w:sz w:val="12"/>
          <w:lang w:val="en-US"/>
        </w:rPr>
        <w:t> </w:t>
      </w:r>
      <w:r>
        <w:rPr>
          <w:snapToGrid w:val="0"/>
          <w:color w:val="000000"/>
          <w:lang w:val="en-US"/>
        </w:rPr>
        <w:t>610.6-1</w:t>
      </w:r>
      <w:r>
        <w:rPr>
          <w:rFonts w:ascii="Tms Rmn" w:hAnsi="Tms Rmn"/>
          <w:snapToGrid w:val="0"/>
          <w:color w:val="000000"/>
          <w:sz w:val="12"/>
          <w:lang w:val="en-US"/>
        </w:rPr>
        <w:t> </w:t>
      </w:r>
      <w:r>
        <w:rPr>
          <w:snapToGrid w:val="0"/>
          <w:color w:val="000000"/>
          <w:lang w:val="en-US"/>
        </w:rPr>
        <w:t>613.8 MHz band:</w:t>
      </w:r>
    </w:p>
    <w:p w:rsidR="00B9359B" w:rsidRDefault="009A5268">
      <w:pPr>
        <w:pStyle w:val="enumlev1"/>
        <w:rPr>
          <w:snapToGrid w:val="0"/>
          <w:lang w:val="en-US"/>
        </w:rPr>
      </w:pPr>
      <w:r>
        <w:rPr>
          <w:snapToGrid w:val="0"/>
          <w:lang w:val="en-US"/>
        </w:rPr>
        <w:t>a)</w:t>
      </w:r>
      <w:r>
        <w:rPr>
          <w:snapToGrid w:val="0"/>
          <w:lang w:val="en-US"/>
        </w:rPr>
        <w:tab/>
        <w:t>an upgrading of the existing radio astronomy allocation from secondary to primary status in the 1</w:t>
      </w:r>
      <w:r>
        <w:rPr>
          <w:rFonts w:ascii="Tms Rmn" w:hAnsi="Tms Rmn"/>
          <w:snapToGrid w:val="0"/>
          <w:sz w:val="12"/>
          <w:lang w:val="en-US"/>
        </w:rPr>
        <w:t> </w:t>
      </w:r>
      <w:r>
        <w:rPr>
          <w:snapToGrid w:val="0"/>
          <w:lang w:val="en-US"/>
        </w:rPr>
        <w:t>610.6-1</w:t>
      </w:r>
      <w:r>
        <w:rPr>
          <w:rFonts w:ascii="Tms Rmn" w:hAnsi="Tms Rmn"/>
          <w:snapToGrid w:val="0"/>
          <w:sz w:val="12"/>
          <w:lang w:val="en-US"/>
        </w:rPr>
        <w:t> </w:t>
      </w:r>
      <w:r>
        <w:rPr>
          <w:snapToGrid w:val="0"/>
          <w:lang w:val="en-US"/>
        </w:rPr>
        <w:t>613.8 MHz band; and</w:t>
      </w:r>
    </w:p>
    <w:p w:rsidR="00B9359B" w:rsidRDefault="009A5268">
      <w:pPr>
        <w:pStyle w:val="enumlev1"/>
        <w:rPr>
          <w:snapToGrid w:val="0"/>
          <w:lang w:val="en-US"/>
        </w:rPr>
      </w:pPr>
      <w:r>
        <w:rPr>
          <w:snapToGrid w:val="0"/>
          <w:lang w:val="en-US"/>
        </w:rPr>
        <w:t>b)</w:t>
      </w:r>
      <w:r>
        <w:rPr>
          <w:snapToGrid w:val="0"/>
          <w:lang w:val="en-US"/>
        </w:rPr>
        <w:tab/>
        <w:t xml:space="preserve">the adoption of RR No. </w:t>
      </w:r>
      <w:r>
        <w:rPr>
          <w:bCs/>
          <w:snapToGrid w:val="0"/>
          <w:lang w:val="en-US"/>
        </w:rPr>
        <w:t>5.372, that states: “Harmful interference shall not be caused to stations of the radio astronomy service using the band 1</w:t>
      </w:r>
      <w:r>
        <w:rPr>
          <w:rFonts w:ascii="Tms Rmn" w:hAnsi="Tms Rmn"/>
          <w:bCs/>
          <w:snapToGrid w:val="0"/>
          <w:sz w:val="12"/>
          <w:lang w:val="en-US"/>
        </w:rPr>
        <w:t> </w:t>
      </w:r>
      <w:r>
        <w:rPr>
          <w:bCs/>
          <w:snapToGrid w:val="0"/>
          <w:lang w:val="en-US"/>
        </w:rPr>
        <w:t>610.6-1</w:t>
      </w:r>
      <w:r>
        <w:rPr>
          <w:rFonts w:ascii="Tms Rmn" w:hAnsi="Tms Rmn"/>
          <w:bCs/>
          <w:snapToGrid w:val="0"/>
          <w:sz w:val="12"/>
          <w:lang w:val="en-US"/>
        </w:rPr>
        <w:t> </w:t>
      </w:r>
      <w:r>
        <w:rPr>
          <w:bCs/>
          <w:snapToGrid w:val="0"/>
          <w:lang w:val="en-US"/>
        </w:rPr>
        <w:t>613.8 MHz by stations of the radiodetermination-satellite and mobile</w:t>
      </w:r>
      <w:r>
        <w:rPr>
          <w:bCs/>
          <w:snapToGrid w:val="0"/>
          <w:lang w:val="en-US"/>
        </w:rPr>
        <w:noBreakHyphen/>
        <w:t xml:space="preserve">satellite services (RR No. </w:t>
      </w:r>
      <w:r>
        <w:rPr>
          <w:b/>
          <w:snapToGrid w:val="0"/>
          <w:lang w:val="en-US"/>
        </w:rPr>
        <w:t>29.13</w:t>
      </w:r>
      <w:r>
        <w:rPr>
          <w:bCs/>
          <w:snapToGrid w:val="0"/>
          <w:lang w:val="en-US"/>
        </w:rPr>
        <w:t xml:space="preserve"> </w:t>
      </w:r>
      <w:r>
        <w:rPr>
          <w:snapToGrid w:val="0"/>
          <w:lang w:val="en-US"/>
        </w:rPr>
        <w:t>applies).” This footnote applies to the 1</w:t>
      </w:r>
      <w:r>
        <w:rPr>
          <w:rFonts w:ascii="Tms Rmn" w:hAnsi="Tms Rmn"/>
          <w:snapToGrid w:val="0"/>
          <w:sz w:val="12"/>
          <w:lang w:val="en-US"/>
        </w:rPr>
        <w:t> </w:t>
      </w:r>
      <w:r>
        <w:rPr>
          <w:snapToGrid w:val="0"/>
          <w:lang w:val="en-US"/>
        </w:rPr>
        <w:t>610-1</w:t>
      </w:r>
      <w:r>
        <w:rPr>
          <w:rFonts w:ascii="Tms Rmn" w:hAnsi="Tms Rmn"/>
          <w:snapToGrid w:val="0"/>
          <w:sz w:val="12"/>
          <w:lang w:val="en-US"/>
        </w:rPr>
        <w:t> </w:t>
      </w:r>
      <w:r>
        <w:rPr>
          <w:snapToGrid w:val="0"/>
          <w:lang w:val="en-US"/>
        </w:rPr>
        <w:t>626.5 MHz band.</w:t>
      </w:r>
    </w:p>
    <w:p w:rsidR="00B9359B" w:rsidRDefault="009A5268">
      <w:pPr>
        <w:pStyle w:val="Heading2"/>
        <w:rPr>
          <w:snapToGrid w:val="0"/>
          <w:lang w:val="en-US"/>
        </w:rPr>
      </w:pPr>
      <w:bookmarkStart w:id="158" w:name="_Toc51045557"/>
      <w:r>
        <w:rPr>
          <w:snapToGrid w:val="0"/>
          <w:lang w:val="en-US"/>
        </w:rPr>
        <w:br w:type="page"/>
        <w:t>2.2</w:t>
      </w:r>
      <w:r>
        <w:rPr>
          <w:snapToGrid w:val="0"/>
          <w:lang w:val="en-US"/>
        </w:rPr>
        <w:tab/>
        <w:t>Application</w:t>
      </w:r>
      <w:bookmarkEnd w:id="158"/>
    </w:p>
    <w:p w:rsidR="00B9359B" w:rsidRDefault="009A5268">
      <w:pPr>
        <w:rPr>
          <w:lang w:val="en-US"/>
        </w:rPr>
      </w:pPr>
      <w:r>
        <w:rPr>
          <w:lang w:val="en-US"/>
        </w:rPr>
        <w:t>The band 1</w:t>
      </w:r>
      <w:r>
        <w:rPr>
          <w:rFonts w:ascii="Tms Rmn" w:hAnsi="Tms Rmn"/>
          <w:sz w:val="12"/>
          <w:lang w:val="en-US"/>
        </w:rPr>
        <w:t> </w:t>
      </w:r>
      <w:r>
        <w:rPr>
          <w:lang w:val="en-US"/>
        </w:rPr>
        <w:t>610-1</w:t>
      </w:r>
      <w:r>
        <w:rPr>
          <w:rFonts w:ascii="Tms Rmn" w:hAnsi="Tms Rmn"/>
          <w:sz w:val="12"/>
          <w:lang w:val="en-US"/>
        </w:rPr>
        <w:t> </w:t>
      </w:r>
      <w:r>
        <w:rPr>
          <w:lang w:val="en-US"/>
        </w:rPr>
        <w:t>626.5 MHz is allocated to MSS uplinks, worldwide on a primary basis, subject to some constraints.</w:t>
      </w:r>
    </w:p>
    <w:p w:rsidR="00B9359B" w:rsidRDefault="009A5268">
      <w:pPr>
        <w:rPr>
          <w:lang w:val="en-US"/>
        </w:rPr>
      </w:pPr>
      <w:r>
        <w:rPr>
          <w:lang w:val="en-US"/>
        </w:rPr>
        <w:t>The band 1</w:t>
      </w:r>
      <w:r>
        <w:rPr>
          <w:rFonts w:ascii="Tms Rmn" w:hAnsi="Tms Rmn"/>
          <w:sz w:val="12"/>
          <w:lang w:val="en-US"/>
        </w:rPr>
        <w:t> </w:t>
      </w:r>
      <w:r>
        <w:rPr>
          <w:lang w:val="en-US"/>
        </w:rPr>
        <w:t>613.8-1</w:t>
      </w:r>
      <w:r>
        <w:rPr>
          <w:rFonts w:ascii="Tms Rmn" w:hAnsi="Tms Rmn"/>
          <w:sz w:val="12"/>
          <w:lang w:val="en-US"/>
        </w:rPr>
        <w:t> </w:t>
      </w:r>
      <w:r>
        <w:rPr>
          <w:lang w:val="en-US"/>
        </w:rPr>
        <w:t>626.5 MHz is allocated to the MSS (space-to-Earth) service on a secondary basis, worldwide. The HIBLEO-2 system is currently the only system using this allocation in both Earth-to-space and space-to-Earth directions, while HIBLEO-4 uses the band in the Earth-to-space direction. HIBLEO-2 is a satellite system capable of operating in the 1</w:t>
      </w:r>
      <w:r>
        <w:rPr>
          <w:rFonts w:ascii="Tms Rmn" w:hAnsi="Tms Rmn"/>
          <w:sz w:val="12"/>
          <w:lang w:val="en-US"/>
        </w:rPr>
        <w:t> </w:t>
      </w:r>
      <w:r>
        <w:rPr>
          <w:lang w:val="en-US"/>
        </w:rPr>
        <w:t>616-1</w:t>
      </w:r>
      <w:r>
        <w:rPr>
          <w:rFonts w:ascii="Tms Rmn" w:hAnsi="Tms Rmn"/>
          <w:sz w:val="12"/>
          <w:lang w:val="en-US"/>
        </w:rPr>
        <w:t> </w:t>
      </w:r>
      <w:r>
        <w:rPr>
          <w:lang w:val="en-US"/>
        </w:rPr>
        <w:t>626.5 MHz band, but authorized to operate in the 1</w:t>
      </w:r>
      <w:r>
        <w:rPr>
          <w:rFonts w:ascii="Tms Rmn" w:hAnsi="Tms Rmn"/>
          <w:sz w:val="12"/>
          <w:lang w:val="en-US"/>
        </w:rPr>
        <w:t> </w:t>
      </w:r>
      <w:r>
        <w:rPr>
          <w:lang w:val="en-US"/>
        </w:rPr>
        <w:t>621.35-1</w:t>
      </w:r>
      <w:r>
        <w:rPr>
          <w:rFonts w:ascii="Tms Rmn" w:hAnsi="Tms Rmn"/>
          <w:sz w:val="12"/>
          <w:lang w:val="en-US"/>
        </w:rPr>
        <w:t> </w:t>
      </w:r>
      <w:r>
        <w:rPr>
          <w:lang w:val="en-US"/>
        </w:rPr>
        <w:t>626.5 MHz band only.</w:t>
      </w:r>
    </w:p>
    <w:p w:rsidR="00B9359B" w:rsidRDefault="009A5268">
      <w:pPr>
        <w:pStyle w:val="Heading2"/>
        <w:rPr>
          <w:b w:val="0"/>
          <w:lang w:val="en-US"/>
        </w:rPr>
      </w:pPr>
      <w:bookmarkStart w:id="159" w:name="_Toc51045558"/>
      <w:r>
        <w:rPr>
          <w:lang w:val="en-US"/>
        </w:rPr>
        <w:t>2.3</w:t>
      </w:r>
      <w:r>
        <w:rPr>
          <w:lang w:val="en-US"/>
        </w:rPr>
        <w:tab/>
        <w:t>Levels based upon regulatory provisions</w:t>
      </w:r>
      <w:bookmarkEnd w:id="159"/>
      <w:r>
        <w:rPr>
          <w:lang w:val="en-US"/>
        </w:rPr>
        <w:t xml:space="preserve"> </w:t>
      </w:r>
    </w:p>
    <w:p w:rsidR="00B9359B" w:rsidRDefault="009A5268">
      <w:pPr>
        <w:rPr>
          <w:bCs/>
          <w:lang w:val="en-US"/>
        </w:rPr>
      </w:pPr>
      <w:r>
        <w:rPr>
          <w:lang w:val="en-US"/>
        </w:rPr>
        <w:t xml:space="preserve">There are no regulatory limits on OoB emissions in the RR. However, the ITU RR states in RR </w:t>
      </w:r>
      <w:r>
        <w:rPr>
          <w:bCs/>
          <w:lang w:val="en-US"/>
        </w:rPr>
        <w:t>Nos. 5.28-5.31 that,</w:t>
      </w:r>
      <w:r>
        <w:rPr>
          <w:bCs/>
          <w:i/>
          <w:lang w:val="en-US"/>
        </w:rPr>
        <w:t xml:space="preserve"> inter alia</w:t>
      </w:r>
      <w:r>
        <w:rPr>
          <w:bCs/>
          <w:lang w:val="en-US"/>
        </w:rPr>
        <w:t>, stations of a secondary service by definition shall not cause harmful interference to stations of primary services to which frequencies are already assigned or to which frequencies may be assigned at a later date nor claim protection from harmful interference from stations of a primary service. This provision applies to protection from both in-band and OoB emissions and would apply to secondary MSS downlinks, regardless of specified pfd levels. Thus there is no obvious reason to codify specific pfd limits.</w:t>
      </w:r>
    </w:p>
    <w:p w:rsidR="00B9359B" w:rsidRDefault="009A5268">
      <w:pPr>
        <w:rPr>
          <w:lang w:val="en-US"/>
        </w:rPr>
      </w:pPr>
      <w:r>
        <w:rPr>
          <w:bCs/>
          <w:lang w:val="en-US"/>
        </w:rPr>
        <w:t>In RR No. 29.13 it is stated “Administrations</w:t>
      </w:r>
      <w:r>
        <w:rPr>
          <w:lang w:val="en-US"/>
        </w:rPr>
        <w:t xml:space="preserve"> shall take note of the relevant ITU</w:t>
      </w:r>
      <w:r>
        <w:rPr>
          <w:lang w:val="en-US"/>
        </w:rPr>
        <w:noBreakHyphen/>
        <w:t>R Recommen</w:t>
      </w:r>
      <w:r>
        <w:rPr>
          <w:lang w:val="en-US"/>
        </w:rPr>
        <w:softHyphen/>
        <w:t>dations with the aim of limiting interference of the radio astronomy service from other services”.</w:t>
      </w:r>
    </w:p>
    <w:p w:rsidR="00B9359B" w:rsidRDefault="009A5268">
      <w:pPr>
        <w:pStyle w:val="Heading1"/>
        <w:rPr>
          <w:lang w:val="en-US"/>
        </w:rPr>
      </w:pPr>
      <w:bookmarkStart w:id="160" w:name="_Toc51045559"/>
      <w:r>
        <w:rPr>
          <w:lang w:val="en-US"/>
        </w:rPr>
        <w:t>3</w:t>
      </w:r>
      <w:r>
        <w:rPr>
          <w:lang w:val="en-US"/>
        </w:rPr>
        <w:tab/>
        <w:t>Compatibility threshold</w:t>
      </w:r>
      <w:bookmarkEnd w:id="160"/>
    </w:p>
    <w:p w:rsidR="00B9359B" w:rsidRDefault="009A5268">
      <w:pPr>
        <w:rPr>
          <w:lang w:val="en-US"/>
        </w:rPr>
      </w:pPr>
      <w:r>
        <w:rPr>
          <w:lang w:val="en-US"/>
        </w:rPr>
        <w:t>See § 1.3.</w:t>
      </w:r>
    </w:p>
    <w:p w:rsidR="00B9359B" w:rsidRDefault="009A5268">
      <w:pPr>
        <w:pStyle w:val="Heading1"/>
        <w:rPr>
          <w:lang w:val="en-US"/>
        </w:rPr>
      </w:pPr>
      <w:bookmarkStart w:id="161" w:name="_Toc51045560"/>
      <w:r>
        <w:rPr>
          <w:lang w:val="en-US"/>
        </w:rPr>
        <w:t>4</w:t>
      </w:r>
      <w:r>
        <w:rPr>
          <w:lang w:val="en-US"/>
        </w:rPr>
        <w:tab/>
        <w:t>Interference assessment</w:t>
      </w:r>
      <w:bookmarkEnd w:id="161"/>
    </w:p>
    <w:p w:rsidR="00B9359B" w:rsidRDefault="009A5268">
      <w:pPr>
        <w:pStyle w:val="Heading2"/>
        <w:rPr>
          <w:lang w:val="en-US"/>
        </w:rPr>
      </w:pPr>
      <w:bookmarkStart w:id="162" w:name="_Toc51045561"/>
      <w:r>
        <w:rPr>
          <w:lang w:val="en-US"/>
        </w:rPr>
        <w:t>4.1</w:t>
      </w:r>
      <w:r>
        <w:rPr>
          <w:lang w:val="en-US"/>
        </w:rPr>
        <w:tab/>
        <w:t>Methodology used to assess the interference level</w:t>
      </w:r>
      <w:bookmarkEnd w:id="162"/>
    </w:p>
    <w:p w:rsidR="00B9359B" w:rsidRDefault="009A5268">
      <w:pPr>
        <w:rPr>
          <w:lang w:val="en-US"/>
        </w:rPr>
      </w:pPr>
      <w:r>
        <w:rPr>
          <w:lang w:val="en-US"/>
        </w:rPr>
        <w:t>See § 2.3 for references to the relevant ITU-R Recommendations dealing with non-GSO systems.</w:t>
      </w:r>
    </w:p>
    <w:p w:rsidR="00B9359B" w:rsidRDefault="009A5268">
      <w:pPr>
        <w:pStyle w:val="Heading2"/>
        <w:rPr>
          <w:i/>
          <w:lang w:val="en-US"/>
        </w:rPr>
      </w:pPr>
      <w:bookmarkStart w:id="163" w:name="_Toc51045562"/>
      <w:r>
        <w:rPr>
          <w:lang w:val="en-US"/>
        </w:rPr>
        <w:t>4.2</w:t>
      </w:r>
      <w:r>
        <w:rPr>
          <w:lang w:val="en-US"/>
        </w:rPr>
        <w:tab/>
        <w:t>Calculation of the interference level</w:t>
      </w:r>
      <w:bookmarkEnd w:id="163"/>
    </w:p>
    <w:p w:rsidR="00B9359B" w:rsidRDefault="009A5268">
      <w:pPr>
        <w:rPr>
          <w:snapToGrid w:val="0"/>
          <w:lang w:val="en-US"/>
        </w:rPr>
      </w:pPr>
      <w:r>
        <w:rPr>
          <w:snapToGrid w:val="0"/>
          <w:lang w:val="en-US"/>
        </w:rPr>
        <w:t>Unwanted emissions in terms of aggregate spfd of HIBLEO-2 satellite transmissions in the 1</w:t>
      </w:r>
      <w:r>
        <w:rPr>
          <w:rFonts w:ascii="Tms Rmn" w:hAnsi="Tms Rmn"/>
          <w:snapToGrid w:val="0"/>
          <w:sz w:val="12"/>
          <w:lang w:val="en-US"/>
        </w:rPr>
        <w:t> </w:t>
      </w:r>
      <w:r>
        <w:rPr>
          <w:snapToGrid w:val="0"/>
          <w:lang w:val="en-US"/>
        </w:rPr>
        <w:t>610.6-1</w:t>
      </w:r>
      <w:r>
        <w:rPr>
          <w:rFonts w:ascii="Tms Rmn" w:hAnsi="Tms Rmn"/>
          <w:snapToGrid w:val="0"/>
          <w:sz w:val="12"/>
          <w:lang w:val="en-US"/>
        </w:rPr>
        <w:t> </w:t>
      </w:r>
      <w:r>
        <w:rPr>
          <w:snapToGrid w:val="0"/>
          <w:lang w:val="en-US"/>
        </w:rPr>
        <w:t>613.8 </w:t>
      </w:r>
      <w:r>
        <w:rPr>
          <w:rFonts w:ascii="Tms Rmn" w:hAnsi="Tms Rmn"/>
          <w:snapToGrid w:val="0"/>
          <w:sz w:val="12"/>
          <w:lang w:val="en-US"/>
        </w:rPr>
        <w:t> </w:t>
      </w:r>
      <w:r>
        <w:rPr>
          <w:snapToGrid w:val="0"/>
          <w:lang w:val="en-US"/>
        </w:rPr>
        <w:t xml:space="preserve">MHz band have been theoretically estimated to range between </w:t>
      </w:r>
      <w:r>
        <w:rPr>
          <w:snapToGrid w:val="0"/>
        </w:rPr>
        <w:sym w:font="Symbol" w:char="F02D"/>
      </w:r>
      <w:r>
        <w:rPr>
          <w:snapToGrid w:val="0"/>
          <w:lang w:val="en-US"/>
        </w:rPr>
        <w:t>214 dB(W/(m</w:t>
      </w:r>
      <w:r>
        <w:rPr>
          <w:vertAlign w:val="superscript"/>
          <w:lang w:val="en-US"/>
        </w:rPr>
        <w:t>2</w:t>
      </w:r>
      <w:r>
        <w:rPr>
          <w:lang w:val="en-US"/>
        </w:rPr>
        <w:t>/Hz))</w:t>
      </w:r>
      <w:r>
        <w:rPr>
          <w:snapToGrid w:val="0"/>
          <w:lang w:val="en-US"/>
        </w:rPr>
        <w:t xml:space="preserve"> and </w:t>
      </w:r>
      <w:r>
        <w:rPr>
          <w:rFonts w:ascii="Symbol" w:hAnsi="Symbol"/>
          <w:snapToGrid w:val="0"/>
          <w:lang w:val="en-US"/>
        </w:rPr>
        <w:noBreakHyphen/>
      </w:r>
      <w:r>
        <w:rPr>
          <w:snapToGrid w:val="0"/>
          <w:lang w:val="en-US"/>
        </w:rPr>
        <w:t>223 dB(W/(m</w:t>
      </w:r>
      <w:r>
        <w:rPr>
          <w:vertAlign w:val="superscript"/>
          <w:lang w:val="en-US"/>
        </w:rPr>
        <w:t>2</w:t>
      </w:r>
      <w:r>
        <w:rPr>
          <w:lang w:val="en-US"/>
        </w:rPr>
        <w:t>/Hz))</w:t>
      </w:r>
      <w:r>
        <w:rPr>
          <w:snapToGrid w:val="0"/>
          <w:lang w:val="en-US"/>
        </w:rPr>
        <w:t xml:space="preserve"> at some radio astronomy sites, under fully loaded conditions. </w:t>
      </w:r>
    </w:p>
    <w:p w:rsidR="00B9359B" w:rsidRDefault="009A5268">
      <w:pPr>
        <w:pStyle w:val="Heading2"/>
        <w:rPr>
          <w:snapToGrid w:val="0"/>
          <w:lang w:val="en-US"/>
        </w:rPr>
      </w:pPr>
      <w:bookmarkStart w:id="164" w:name="_Toc51045563"/>
      <w:r>
        <w:rPr>
          <w:snapToGrid w:val="0"/>
          <w:lang w:val="en-US"/>
        </w:rPr>
        <w:t>4.3</w:t>
      </w:r>
      <w:r>
        <w:rPr>
          <w:snapToGrid w:val="0"/>
          <w:lang w:val="en-US"/>
        </w:rPr>
        <w:tab/>
        <w:t>Values achieved</w:t>
      </w:r>
      <w:bookmarkEnd w:id="164"/>
    </w:p>
    <w:p w:rsidR="00B9359B" w:rsidRDefault="009A5268">
      <w:pPr>
        <w:rPr>
          <w:snapToGrid w:val="0"/>
          <w:lang w:val="en-US"/>
        </w:rPr>
      </w:pPr>
      <w:r>
        <w:rPr>
          <w:snapToGrid w:val="0"/>
          <w:lang w:val="en-US"/>
        </w:rPr>
        <w:t xml:space="preserve">A collaborative test program, conducted by HIBLEO-2 and the United States National Radio   Astronomy Observatory (NRAO), in 1998 measured spfd values ranging from </w:t>
      </w:r>
      <w:r>
        <w:rPr>
          <w:rFonts w:ascii="Symbol" w:hAnsi="Symbol"/>
          <w:snapToGrid w:val="0"/>
          <w:lang w:val="en-US"/>
        </w:rPr>
        <w:noBreakHyphen/>
      </w:r>
      <w:r>
        <w:rPr>
          <w:snapToGrid w:val="0"/>
          <w:lang w:val="en-US"/>
        </w:rPr>
        <w:t xml:space="preserve">220 to </w:t>
      </w:r>
      <w:r>
        <w:rPr>
          <w:rFonts w:ascii="Symbol" w:hAnsi="Symbol"/>
          <w:snapToGrid w:val="0"/>
          <w:lang w:val="en-US"/>
        </w:rPr>
        <w:noBreakHyphen/>
      </w:r>
      <w:r>
        <w:rPr>
          <w:snapToGrid w:val="0"/>
          <w:lang w:val="en-US"/>
        </w:rPr>
        <w:t>240 dB(W/(m</w:t>
      </w:r>
      <w:r>
        <w:rPr>
          <w:vertAlign w:val="superscript"/>
          <w:lang w:val="en-US"/>
        </w:rPr>
        <w:t>2</w:t>
      </w:r>
      <w:r>
        <w:rPr>
          <w:lang w:val="en-US"/>
        </w:rPr>
        <w:t>/Hz))</w:t>
      </w:r>
      <w:r>
        <w:rPr>
          <w:snapToGrid w:val="0"/>
          <w:lang w:val="en-US"/>
        </w:rPr>
        <w:t xml:space="preserve"> at these sites. These values refer to the so-called voice channels that are </w:t>
      </w:r>
      <w:r>
        <w:rPr>
          <w:snapToGrid w:val="0"/>
          <w:lang w:val="en-US"/>
        </w:rPr>
        <w:br w:type="page"/>
        <w:t xml:space="preserve">turned on when communication takes place. In addition the HIBLEO-2 system was found to radiate broadcast signals at all times. The spectra of the broadcasting channels showed 9-10 narrow (less than 40 kHz wide) peaks within the radio astronomy band. spfd peak values appeared to average </w:t>
      </w:r>
      <w:r>
        <w:rPr>
          <w:rFonts w:ascii="Symbol" w:hAnsi="Symbol"/>
          <w:snapToGrid w:val="0"/>
          <w:lang w:val="en-US"/>
        </w:rPr>
        <w:noBreakHyphen/>
      </w:r>
      <w:r>
        <w:rPr>
          <w:snapToGrid w:val="0"/>
          <w:lang w:val="en-US"/>
        </w:rPr>
        <w:t>227 dB(W/(m</w:t>
      </w:r>
      <w:r>
        <w:rPr>
          <w:vertAlign w:val="superscript"/>
          <w:lang w:val="en-US"/>
        </w:rPr>
        <w:t>2</w:t>
      </w:r>
      <w:r>
        <w:rPr>
          <w:lang w:val="en-US"/>
        </w:rPr>
        <w:t>/Hz))</w:t>
      </w:r>
      <w:r>
        <w:rPr>
          <w:snapToGrid w:val="0"/>
          <w:lang w:val="en-US"/>
        </w:rPr>
        <w:t xml:space="preserve"> over 90 ms. Due to the mismatch between the satellite system transmission and other parameters and the radio astronomy receiver and antenna characteristics (e.g. radio telescopes are not adapted to track satellites; available receiver bandwidths are different from 20 kHz, etc.), it was difficult to estimate the spfd that would result under the conditions in Recom</w:t>
      </w:r>
      <w:r>
        <w:rPr>
          <w:snapToGrid w:val="0"/>
          <w:lang w:val="en-US"/>
        </w:rPr>
        <w:softHyphen/>
        <w:t>mendation ITU</w:t>
      </w:r>
      <w:r>
        <w:rPr>
          <w:snapToGrid w:val="0"/>
          <w:lang w:val="en-US"/>
        </w:rPr>
        <w:noBreakHyphen/>
        <w:t xml:space="preserve">R RA.769, which specifies a detrimental interference level of </w:t>
      </w:r>
      <w:r>
        <w:rPr>
          <w:rFonts w:ascii="Symbol" w:hAnsi="Symbol"/>
          <w:lang w:val="en-US"/>
        </w:rPr>
        <w:noBreakHyphen/>
      </w:r>
      <w:r>
        <w:rPr>
          <w:lang w:val="en-US"/>
        </w:rPr>
        <w:t>238 dB(W/(m</w:t>
      </w:r>
      <w:r>
        <w:rPr>
          <w:vertAlign w:val="superscript"/>
          <w:lang w:val="en-US"/>
        </w:rPr>
        <w:t>2</w:t>
      </w:r>
      <w:r>
        <w:rPr>
          <w:lang w:val="en-US"/>
        </w:rPr>
        <w:t>/Hz))</w:t>
      </w:r>
      <w:r>
        <w:rPr>
          <w:snapToGrid w:val="0"/>
          <w:lang w:val="en-US"/>
        </w:rPr>
        <w:t>.</w:t>
      </w:r>
    </w:p>
    <w:p w:rsidR="00B9359B" w:rsidRDefault="009A5268">
      <w:pPr>
        <w:pStyle w:val="Heading1"/>
        <w:rPr>
          <w:snapToGrid w:val="0"/>
          <w:lang w:val="en-US"/>
        </w:rPr>
      </w:pPr>
      <w:bookmarkStart w:id="165" w:name="_Toc51045564"/>
      <w:r>
        <w:rPr>
          <w:snapToGrid w:val="0"/>
          <w:lang w:val="en-US"/>
        </w:rPr>
        <w:t>5</w:t>
      </w:r>
      <w:r>
        <w:rPr>
          <w:snapToGrid w:val="0"/>
          <w:lang w:val="en-US"/>
        </w:rPr>
        <w:tab/>
        <w:t>Mitigation techniques</w:t>
      </w:r>
      <w:bookmarkEnd w:id="165"/>
    </w:p>
    <w:p w:rsidR="00B9359B" w:rsidRDefault="009A5268">
      <w:pPr>
        <w:pStyle w:val="Heading2"/>
        <w:rPr>
          <w:snapToGrid w:val="0"/>
          <w:lang w:val="en-US"/>
        </w:rPr>
      </w:pPr>
      <w:bookmarkStart w:id="166" w:name="_Toc51045565"/>
      <w:r>
        <w:rPr>
          <w:snapToGrid w:val="0"/>
          <w:lang w:val="en-US"/>
        </w:rPr>
        <w:t>5.1</w:t>
      </w:r>
      <w:r>
        <w:rPr>
          <w:snapToGrid w:val="0"/>
          <w:lang w:val="en-US"/>
        </w:rPr>
        <w:tab/>
        <w:t>RAS</w:t>
      </w:r>
      <w:bookmarkEnd w:id="166"/>
    </w:p>
    <w:p w:rsidR="00B9359B" w:rsidRDefault="009A5268">
      <w:pPr>
        <w:rPr>
          <w:snapToGrid w:val="0"/>
          <w:lang w:val="en-US"/>
        </w:rPr>
      </w:pPr>
      <w:r>
        <w:rPr>
          <w:snapToGrid w:val="0"/>
          <w:lang w:val="en-US"/>
        </w:rPr>
        <w:t>There are various methods that might be used to reduce unwanted emissions from the satellite transmitters at a radio telescope. When such methods are insufficient other solutions, such as an agreement between the operator of a satellite system and radio astronomy observatories may be considered.</w:t>
      </w:r>
    </w:p>
    <w:p w:rsidR="00B9359B" w:rsidRDefault="009A5268">
      <w:pPr>
        <w:rPr>
          <w:lang w:val="en-US"/>
        </w:rPr>
      </w:pPr>
      <w:r>
        <w:rPr>
          <w:lang w:val="en-US"/>
        </w:rPr>
        <w:t>No specific provisions for such coordination agreements between the RAS and active services are made in the RR. However, general provisions for coordination and consultation can be found in RR Article </w:t>
      </w:r>
      <w:r>
        <w:rPr>
          <w:bCs/>
          <w:lang w:val="en-US"/>
        </w:rPr>
        <w:t>9</w:t>
      </w:r>
      <w:r>
        <w:rPr>
          <w:lang w:val="en-US"/>
        </w:rPr>
        <w:t>.</w:t>
      </w:r>
    </w:p>
    <w:p w:rsidR="00B9359B" w:rsidRDefault="009A5268">
      <w:pPr>
        <w:rPr>
          <w:lang w:val="en-US"/>
        </w:rPr>
      </w:pPr>
      <w:r>
        <w:rPr>
          <w:lang w:val="en-US"/>
        </w:rPr>
        <w:t>Coordination agreements can only be concluded with the explicit mutual assent of both parties involved, i.e. in principle the satellite operator and an afflicted astronomical observatory. For satellite downlinks, coordination at a national level between a satellite system operator and radio astronomy sites is only practicable when the footprint of the satellite transmission is smaller than the geographical dimensions of the nation in which coordination is sought, and when the visibility of the transmitting space station from a radio astronomy station does not extend beyond that nation’s border. International solutions need to be found when the local geographic density of radio astronomy stations operating at 1.6 GHz is such that at any given moment in time radio astronomy stations in more than one nation lie within the same satellite footprint or visibility of the same satellite.</w:t>
      </w:r>
    </w:p>
    <w:p w:rsidR="00B9359B" w:rsidRDefault="009A5268">
      <w:pPr>
        <w:rPr>
          <w:lang w:val="en-US"/>
        </w:rPr>
      </w:pPr>
      <w:r>
        <w:rPr>
          <w:lang w:val="en-US"/>
        </w:rPr>
        <w:t xml:space="preserve">In general, the conditions of such arrangements are not immutable over time, and need to be reviewed as required, for which milestones must to be defined. In case of disagreement, arbitration arranged by mutual agreement must be defined </w:t>
      </w:r>
      <w:r>
        <w:rPr>
          <w:i/>
          <w:lang w:val="en-US"/>
        </w:rPr>
        <w:t>a priori</w:t>
      </w:r>
      <w:r>
        <w:rPr>
          <w:lang w:val="en-US"/>
        </w:rPr>
        <w:t xml:space="preserve"> in the text of the Agreement.</w:t>
      </w:r>
    </w:p>
    <w:p w:rsidR="00B9359B" w:rsidRDefault="009A5268">
      <w:pPr>
        <w:rPr>
          <w:snapToGrid w:val="0"/>
          <w:lang w:val="en-US"/>
        </w:rPr>
      </w:pPr>
      <w:r>
        <w:rPr>
          <w:snapToGrid w:val="0"/>
          <w:lang w:val="en-US"/>
        </w:rPr>
        <w:t>Several agreements were reached between the operators of the HIBLEO-2 system and various parts of the radio astronomy community. The common element in these agreements is that the aggregate emissions of the HIBLEO-2 system will meet the threshold levels given in Recommendation ITU</w:t>
      </w:r>
      <w:r>
        <w:rPr>
          <w:snapToGrid w:val="0"/>
          <w:lang w:val="en-US"/>
        </w:rPr>
        <w:noBreakHyphen/>
        <w:t>R RA.769 for single-dish observations in the 1</w:t>
      </w:r>
      <w:r>
        <w:rPr>
          <w:rFonts w:ascii="Tms Rmn" w:hAnsi="Tms Rmn"/>
          <w:snapToGrid w:val="0"/>
          <w:sz w:val="12"/>
          <w:lang w:val="en-US"/>
        </w:rPr>
        <w:t> </w:t>
      </w:r>
      <w:r>
        <w:rPr>
          <w:snapToGrid w:val="0"/>
          <w:lang w:val="en-US"/>
        </w:rPr>
        <w:t>610.6-1</w:t>
      </w:r>
      <w:r>
        <w:rPr>
          <w:rFonts w:ascii="Tms Rmn" w:hAnsi="Tms Rmn"/>
          <w:snapToGrid w:val="0"/>
          <w:sz w:val="12"/>
          <w:lang w:val="en-US"/>
        </w:rPr>
        <w:t> </w:t>
      </w:r>
      <w:r>
        <w:rPr>
          <w:snapToGrid w:val="0"/>
          <w:lang w:val="en-US"/>
        </w:rPr>
        <w:t>613.8 MHz band at the observatories concerned for a daily period of time, varying in duration from about 4 to 8 h. Some radio astronomy sites agreed to notify in advance their intentions to observe in this band.</w:t>
      </w:r>
    </w:p>
    <w:p w:rsidR="00B9359B" w:rsidRDefault="009A5268">
      <w:pPr>
        <w:pStyle w:val="Heading2"/>
        <w:rPr>
          <w:lang w:val="en-US"/>
        </w:rPr>
      </w:pPr>
      <w:bookmarkStart w:id="167" w:name="_Toc51045566"/>
      <w:r>
        <w:rPr>
          <w:lang w:val="en-US"/>
        </w:rPr>
        <w:t>5.2</w:t>
      </w:r>
      <w:r>
        <w:rPr>
          <w:lang w:val="en-US"/>
        </w:rPr>
        <w:tab/>
        <w:t>MSS</w:t>
      </w:r>
      <w:bookmarkEnd w:id="167"/>
    </w:p>
    <w:p w:rsidR="00B9359B" w:rsidRDefault="009A5268">
      <w:pPr>
        <w:rPr>
          <w:snapToGrid w:val="0"/>
          <w:lang w:val="en-US"/>
        </w:rPr>
      </w:pPr>
      <w:r>
        <w:rPr>
          <w:snapToGrid w:val="0"/>
          <w:lang w:val="en-US"/>
        </w:rPr>
        <w:t>There are various methods, such as filtering, that may be employed to reduce unwanted emissions. These should be considered in the design of new space station.</w:t>
      </w:r>
    </w:p>
    <w:p w:rsidR="00B9359B" w:rsidRDefault="009A5268">
      <w:pPr>
        <w:rPr>
          <w:snapToGrid w:val="0"/>
          <w:lang w:val="en-US"/>
        </w:rPr>
      </w:pPr>
      <w:r>
        <w:rPr>
          <w:snapToGrid w:val="0"/>
          <w:lang w:val="en-US"/>
        </w:rPr>
        <w:br w:type="page"/>
        <w:t>When such methods are insufficient, other solutions, such as an agreement between the operator of a satellite system and radio astronomy observatories may be considered (see § 5.1).</w:t>
      </w:r>
    </w:p>
    <w:p w:rsidR="00B9359B" w:rsidRDefault="009A5268">
      <w:pPr>
        <w:pStyle w:val="Heading2"/>
        <w:rPr>
          <w:snapToGrid w:val="0"/>
          <w:lang w:val="en-US"/>
        </w:rPr>
      </w:pPr>
      <w:bookmarkStart w:id="168" w:name="_Toc51045567"/>
      <w:r>
        <w:rPr>
          <w:snapToGrid w:val="0"/>
          <w:lang w:val="en-US"/>
        </w:rPr>
        <w:t>5.3</w:t>
      </w:r>
      <w:r>
        <w:rPr>
          <w:snapToGrid w:val="0"/>
          <w:lang w:val="en-US"/>
        </w:rPr>
        <w:tab/>
        <w:t>Potential impact</w:t>
      </w:r>
      <w:bookmarkEnd w:id="168"/>
    </w:p>
    <w:p w:rsidR="00B9359B" w:rsidRDefault="009A5268">
      <w:pPr>
        <w:pStyle w:val="Heading3"/>
        <w:rPr>
          <w:snapToGrid w:val="0"/>
          <w:lang w:val="en-US"/>
        </w:rPr>
      </w:pPr>
      <w:bookmarkStart w:id="169" w:name="_Toc51045568"/>
      <w:r>
        <w:rPr>
          <w:snapToGrid w:val="0"/>
          <w:lang w:val="en-US"/>
        </w:rPr>
        <w:t>5.3.1</w:t>
      </w:r>
      <w:r>
        <w:rPr>
          <w:snapToGrid w:val="0"/>
          <w:lang w:val="en-US"/>
        </w:rPr>
        <w:tab/>
        <w:t>RAS</w:t>
      </w:r>
      <w:bookmarkEnd w:id="169"/>
    </w:p>
    <w:p w:rsidR="00B9359B" w:rsidRDefault="009A5268">
      <w:pPr>
        <w:rPr>
          <w:snapToGrid w:val="0"/>
          <w:lang w:val="en-US"/>
        </w:rPr>
      </w:pPr>
      <w:r>
        <w:rPr>
          <w:snapToGrid w:val="0"/>
          <w:lang w:val="en-US"/>
        </w:rPr>
        <w:t>Coordination agreements between the operator of a satellite system and radio astronomy observatories, if feasible at all, may have a negative impact on the scheduling of observations, the flexibility of the observatory to accommodate the needs of the user community, and increase the administrative overhead. The net impact of a coordination arrangement upon the operability of an observatory should not render it ineffective of meeting required productivity standards.</w:t>
      </w:r>
    </w:p>
    <w:p w:rsidR="00B9359B" w:rsidRDefault="009A5268">
      <w:pPr>
        <w:pStyle w:val="Heading3"/>
        <w:rPr>
          <w:snapToGrid w:val="0"/>
          <w:lang w:val="en-US"/>
        </w:rPr>
      </w:pPr>
      <w:bookmarkStart w:id="170" w:name="_Toc51045569"/>
      <w:r>
        <w:rPr>
          <w:snapToGrid w:val="0"/>
          <w:lang w:val="en-US"/>
        </w:rPr>
        <w:t>5.3.2</w:t>
      </w:r>
      <w:r>
        <w:rPr>
          <w:snapToGrid w:val="0"/>
          <w:lang w:val="en-US"/>
        </w:rPr>
        <w:tab/>
      </w:r>
      <w:r>
        <w:rPr>
          <w:lang w:val="en-US"/>
        </w:rPr>
        <w:t>MSS</w:t>
      </w:r>
      <w:bookmarkEnd w:id="170"/>
    </w:p>
    <w:p w:rsidR="00B9359B" w:rsidRDefault="009A5268">
      <w:pPr>
        <w:rPr>
          <w:snapToGrid w:val="0"/>
          <w:lang w:val="en-US"/>
        </w:rPr>
      </w:pPr>
      <w:r>
        <w:rPr>
          <w:snapToGrid w:val="0"/>
          <w:lang w:val="en-US"/>
        </w:rPr>
        <w:t>Hardware solutions such as filters may be difficult to implement. In active, multi-element antennas, filters may be needed for every antenna element. This will increase the weight of the satellite. The filter losses will require more powerful transmitters, which will in turn require more bus power, and so larger solar arrays. This will further increase the weight. In addition, a bigger, heavier satellite might need a larger launcher. The cost impact may be large. Technical improvements in filter design may ameliorate this problem. Implementation of filters in the system is a more manageable task if considered at the design stage of the system.</w:t>
      </w:r>
    </w:p>
    <w:p w:rsidR="00B9359B" w:rsidRDefault="009A5268">
      <w:pPr>
        <w:rPr>
          <w:lang w:val="en-US"/>
        </w:rPr>
      </w:pPr>
      <w:r>
        <w:rPr>
          <w:snapToGrid w:val="0"/>
          <w:lang w:val="en-US"/>
        </w:rPr>
        <w:t>It should be noted, however, that according to the coordination agreement signed between the operator of the HIBLEO-2 satellite system and the European radio astronomy community, the aggregate pfd level of the HIBLEO-2 system will not exceed the levels specified in Recom</w:t>
      </w:r>
      <w:r>
        <w:rPr>
          <w:snapToGrid w:val="0"/>
          <w:lang w:val="en-US"/>
        </w:rPr>
        <w:softHyphen/>
        <w:t>mendation ITU</w:t>
      </w:r>
      <w:r>
        <w:rPr>
          <w:snapToGrid w:val="0"/>
          <w:lang w:val="en-US"/>
        </w:rPr>
        <w:noBreakHyphen/>
        <w:t xml:space="preserve">R RA.769 for radio astronomy stations within Europe </w:t>
      </w:r>
      <w:r>
        <w:rPr>
          <w:lang w:val="en-US"/>
        </w:rPr>
        <w:t>from 1 January 2006. This indicates that adequate mitigation techniques are expected to be implemented by that date.</w:t>
      </w:r>
    </w:p>
    <w:p w:rsidR="00B9359B" w:rsidRDefault="009A5268">
      <w:pPr>
        <w:rPr>
          <w:lang w:val="en-US"/>
        </w:rPr>
      </w:pPr>
      <w:r>
        <w:rPr>
          <w:lang w:val="en-US"/>
        </w:rPr>
        <w:t>However, if satellite replenishment is extended beyond 1 January 2006 it will be difficult to use improved filtering on the inadequately filtered satellites still in orbit and the implementation of other mitigation techniques could have an adverse economic impact.</w:t>
      </w:r>
    </w:p>
    <w:p w:rsidR="00B9359B" w:rsidRDefault="009A5268">
      <w:pPr>
        <w:pStyle w:val="Heading1"/>
        <w:rPr>
          <w:lang w:val="en-US"/>
        </w:rPr>
      </w:pPr>
      <w:bookmarkStart w:id="171" w:name="_Toc51045570"/>
      <w:r>
        <w:rPr>
          <w:lang w:val="en-US"/>
        </w:rPr>
        <w:t>6</w:t>
      </w:r>
      <w:r>
        <w:rPr>
          <w:lang w:val="en-US"/>
        </w:rPr>
        <w:tab/>
        <w:t>Results of studies</w:t>
      </w:r>
      <w:bookmarkEnd w:id="171"/>
    </w:p>
    <w:p w:rsidR="00B9359B" w:rsidRDefault="009A5268">
      <w:pPr>
        <w:pStyle w:val="Heading2"/>
        <w:rPr>
          <w:snapToGrid w:val="0"/>
          <w:lang w:val="en-US"/>
        </w:rPr>
      </w:pPr>
      <w:bookmarkStart w:id="172" w:name="_Toc51045571"/>
      <w:r>
        <w:rPr>
          <w:snapToGrid w:val="0"/>
          <w:lang w:val="en-US"/>
        </w:rPr>
        <w:t>6.1</w:t>
      </w:r>
      <w:r>
        <w:rPr>
          <w:snapToGrid w:val="0"/>
          <w:lang w:val="en-US"/>
        </w:rPr>
        <w:tab/>
        <w:t>Summary</w:t>
      </w:r>
      <w:bookmarkEnd w:id="172"/>
    </w:p>
    <w:p w:rsidR="00B9359B" w:rsidRDefault="009A5268">
      <w:pPr>
        <w:rPr>
          <w:lang w:val="en-US"/>
        </w:rPr>
      </w:pPr>
      <w:r>
        <w:rPr>
          <w:lang w:val="en-US"/>
        </w:rPr>
        <w:t>The mitigation of interference issues has been addressed by the setting up of agreements between the operators of the HIBLEO</w:t>
      </w:r>
      <w:r>
        <w:rPr>
          <w:lang w:val="en-US"/>
        </w:rPr>
        <w:noBreakHyphen/>
        <w:t>2 system and various radio astronomy facility operators. Using such mitigation techniques, it should be possible for the protection criteria to be met for spectral line operations, as described in § 1.3, and for VLBI observations. No single-dish continuum obser</w:t>
      </w:r>
      <w:r>
        <w:rPr>
          <w:lang w:val="en-US"/>
        </w:rPr>
        <w:softHyphen/>
        <w:t>vations are made in this band.</w:t>
      </w:r>
    </w:p>
    <w:p w:rsidR="00B9359B" w:rsidRDefault="009A5268">
      <w:pPr>
        <w:pStyle w:val="Heading2"/>
        <w:rPr>
          <w:lang w:val="en-US"/>
        </w:rPr>
      </w:pPr>
      <w:bookmarkStart w:id="173" w:name="_Toc51045572"/>
      <w:r>
        <w:rPr>
          <w:lang w:val="en-US"/>
        </w:rPr>
        <w:t>6.2</w:t>
      </w:r>
      <w:r>
        <w:rPr>
          <w:lang w:val="en-US"/>
        </w:rPr>
        <w:tab/>
        <w:t>Conclusions</w:t>
      </w:r>
      <w:bookmarkEnd w:id="173"/>
    </w:p>
    <w:p w:rsidR="00B9359B" w:rsidRDefault="009A5268">
      <w:pPr>
        <w:rPr>
          <w:lang w:val="en-US"/>
        </w:rPr>
      </w:pPr>
      <w:r>
        <w:rPr>
          <w:lang w:val="en-US"/>
        </w:rPr>
        <w:t>Appropriate mitigation techniques should make it possible to make effective spectral line and VLBI observations in this band.</w:t>
      </w:r>
    </w:p>
    <w:p w:rsidR="00B9359B" w:rsidRDefault="009A5268">
      <w:pPr>
        <w:pStyle w:val="AnnexNoTitle"/>
        <w:rPr>
          <w:lang w:val="en-US"/>
        </w:rPr>
      </w:pPr>
      <w:r>
        <w:rPr>
          <w:lang w:val="en-US"/>
        </w:rPr>
        <w:br w:type="page"/>
        <w:t>Annex 7</w:t>
      </w:r>
      <w:r>
        <w:rPr>
          <w:b w:val="0"/>
          <w:lang w:val="en-US"/>
        </w:rPr>
        <w:br/>
      </w:r>
      <w:r>
        <w:rPr>
          <w:b w:val="0"/>
          <w:lang w:val="en-US"/>
        </w:rPr>
        <w:br/>
      </w:r>
      <w:r>
        <w:rPr>
          <w:lang w:val="en-US"/>
        </w:rPr>
        <w:t>Compatibility analysis between RAS systems operating in the</w:t>
      </w:r>
      <w:r>
        <w:rPr>
          <w:lang w:val="en-US"/>
        </w:rPr>
        <w:br/>
        <w:t>1</w:t>
      </w:r>
      <w:r>
        <w:rPr>
          <w:rFonts w:ascii="Tms Rmn" w:hAnsi="Tms Rmn"/>
          <w:sz w:val="12"/>
          <w:lang w:val="en-US"/>
        </w:rPr>
        <w:t> </w:t>
      </w:r>
      <w:r>
        <w:rPr>
          <w:lang w:val="en-US"/>
        </w:rPr>
        <w:t>610.6-1</w:t>
      </w:r>
      <w:r>
        <w:rPr>
          <w:rFonts w:ascii="Tms Rmn" w:hAnsi="Tms Rmn"/>
          <w:sz w:val="12"/>
          <w:lang w:val="en-US"/>
        </w:rPr>
        <w:t> </w:t>
      </w:r>
      <w:r>
        <w:rPr>
          <w:lang w:val="en-US"/>
        </w:rPr>
        <w:t>613.8 MHz band and GSO MSS (space-to-Earth)</w:t>
      </w:r>
      <w:r>
        <w:rPr>
          <w:lang w:val="en-US"/>
        </w:rPr>
        <w:br/>
        <w:t>systems operating in the 1</w:t>
      </w:r>
      <w:r>
        <w:rPr>
          <w:rFonts w:ascii="Tms Rmn" w:hAnsi="Tms Rmn"/>
          <w:sz w:val="12"/>
          <w:lang w:val="en-US"/>
        </w:rPr>
        <w:t> </w:t>
      </w:r>
      <w:r>
        <w:rPr>
          <w:lang w:val="en-US"/>
        </w:rPr>
        <w:t>525-1</w:t>
      </w:r>
      <w:r>
        <w:rPr>
          <w:rFonts w:ascii="Tms Rmn" w:hAnsi="Tms Rmn"/>
          <w:sz w:val="12"/>
          <w:lang w:val="en-US"/>
        </w:rPr>
        <w:t> </w:t>
      </w:r>
      <w:r>
        <w:rPr>
          <w:lang w:val="en-US"/>
        </w:rPr>
        <w:t>559 MHz band</w:t>
      </w:r>
    </w:p>
    <w:p w:rsidR="00B9359B" w:rsidRDefault="009A5268">
      <w:pPr>
        <w:pStyle w:val="Heading1"/>
        <w:rPr>
          <w:lang w:val="en-US"/>
        </w:rPr>
      </w:pPr>
      <w:bookmarkStart w:id="174" w:name="_Toc51045573"/>
      <w:r>
        <w:rPr>
          <w:lang w:val="en-US"/>
        </w:rPr>
        <w:t>1</w:t>
      </w:r>
      <w:r>
        <w:rPr>
          <w:lang w:val="en-US"/>
        </w:rPr>
        <w:tab/>
        <w:t>RAS</w:t>
      </w:r>
      <w:bookmarkEnd w:id="174"/>
    </w:p>
    <w:p w:rsidR="00B9359B" w:rsidRDefault="009A5268">
      <w:pPr>
        <w:pStyle w:val="Heading2"/>
        <w:rPr>
          <w:lang w:val="en-US"/>
        </w:rPr>
      </w:pPr>
      <w:bookmarkStart w:id="175" w:name="_Toc51045574"/>
      <w:r>
        <w:rPr>
          <w:lang w:val="en-US"/>
        </w:rPr>
        <w:t>1.1</w:t>
      </w:r>
      <w:r>
        <w:rPr>
          <w:lang w:val="en-US"/>
        </w:rPr>
        <w:tab/>
        <w:t>Allocated band</w:t>
      </w:r>
      <w:bookmarkEnd w:id="175"/>
    </w:p>
    <w:p w:rsidR="00B9359B" w:rsidRDefault="009A5268">
      <w:pPr>
        <w:rPr>
          <w:lang w:val="en-US"/>
        </w:rPr>
      </w:pPr>
      <w:r>
        <w:rPr>
          <w:lang w:val="en-US"/>
        </w:rPr>
        <w:t>The 1</w:t>
      </w:r>
      <w:r>
        <w:rPr>
          <w:rFonts w:ascii="Tms Rmn" w:hAnsi="Tms Rmn"/>
          <w:sz w:val="12"/>
          <w:lang w:val="en-US"/>
        </w:rPr>
        <w:t> </w:t>
      </w:r>
      <w:r>
        <w:rPr>
          <w:lang w:val="en-US"/>
        </w:rPr>
        <w:t>610.6-1</w:t>
      </w:r>
      <w:r>
        <w:rPr>
          <w:rFonts w:ascii="Tms Rmn" w:hAnsi="Tms Rmn"/>
          <w:sz w:val="12"/>
          <w:lang w:val="en-US"/>
        </w:rPr>
        <w:t> </w:t>
      </w:r>
      <w:r>
        <w:rPr>
          <w:lang w:val="en-US"/>
        </w:rPr>
        <w:t>613.8 MHz band is allocated to the RAS on a primary basis.</w:t>
      </w:r>
    </w:p>
    <w:p w:rsidR="00B9359B" w:rsidRDefault="009A5268">
      <w:pPr>
        <w:rPr>
          <w:lang w:val="en-US"/>
        </w:rPr>
      </w:pPr>
      <w:r>
        <w:rPr>
          <w:bCs/>
          <w:lang w:val="en-US"/>
        </w:rPr>
        <w:t>RR No.</w:t>
      </w:r>
      <w:r>
        <w:rPr>
          <w:lang w:val="en-US"/>
        </w:rPr>
        <w:t xml:space="preserve"> </w:t>
      </w:r>
      <w:r>
        <w:rPr>
          <w:bCs/>
          <w:lang w:val="en-US"/>
        </w:rPr>
        <w:t>5.149</w:t>
      </w:r>
      <w:r>
        <w:rPr>
          <w:lang w:val="en-US"/>
        </w:rPr>
        <w:t xml:space="preserve"> urges administrations to take all practicable steps to protect the radio astronomy service in this band.</w:t>
      </w:r>
    </w:p>
    <w:p w:rsidR="00B9359B" w:rsidRDefault="009A5268">
      <w:pPr>
        <w:pStyle w:val="Heading2"/>
        <w:rPr>
          <w:lang w:val="en-US"/>
        </w:rPr>
      </w:pPr>
      <w:bookmarkStart w:id="176" w:name="_Toc51045575"/>
      <w:r>
        <w:rPr>
          <w:lang w:val="en-US"/>
        </w:rPr>
        <w:t>1.2</w:t>
      </w:r>
      <w:r>
        <w:rPr>
          <w:lang w:val="en-US"/>
        </w:rPr>
        <w:tab/>
        <w:t>Type of observations</w:t>
      </w:r>
      <w:bookmarkEnd w:id="176"/>
    </w:p>
    <w:p w:rsidR="00B9359B" w:rsidRDefault="009A5268">
      <w:pPr>
        <w:rPr>
          <w:lang w:val="en-US"/>
        </w:rPr>
      </w:pPr>
      <w:r>
        <w:rPr>
          <w:lang w:val="en-US"/>
        </w:rPr>
        <w:t>The 1</w:t>
      </w:r>
      <w:r>
        <w:rPr>
          <w:rFonts w:ascii="Tms Rmn" w:hAnsi="Tms Rmn"/>
          <w:sz w:val="12"/>
          <w:lang w:val="en-US"/>
        </w:rPr>
        <w:t> </w:t>
      </w:r>
      <w:r>
        <w:rPr>
          <w:lang w:val="en-US"/>
        </w:rPr>
        <w:t>610.6-1</w:t>
      </w:r>
      <w:r>
        <w:rPr>
          <w:rFonts w:ascii="Tms Rmn" w:hAnsi="Tms Rmn"/>
          <w:sz w:val="12"/>
          <w:lang w:val="en-US"/>
        </w:rPr>
        <w:t> </w:t>
      </w:r>
      <w:r>
        <w:rPr>
          <w:lang w:val="en-US"/>
        </w:rPr>
        <w:t>613.8 MHz band is used for spectral line observations of the OH. The OH line, which has a rest frequency of 1</w:t>
      </w:r>
      <w:r>
        <w:rPr>
          <w:rFonts w:ascii="Tms Rmn" w:hAnsi="Tms Rmn"/>
          <w:sz w:val="12"/>
          <w:lang w:val="en-US"/>
        </w:rPr>
        <w:t> </w:t>
      </w:r>
      <w:r>
        <w:rPr>
          <w:lang w:val="en-US"/>
        </w:rPr>
        <w:t>612 MHz, is one of the most important spectral lines for radio astronomy, and is listed as such in Recommendation ITU-R RA.314. OH was the first cosmic radical to be detected at radio frequencies (1963), and continues to be a powerful research tool. OH produces four spectral lines, at frequencies of approximately 1</w:t>
      </w:r>
      <w:r>
        <w:rPr>
          <w:rFonts w:ascii="Tms Rmn" w:hAnsi="Tms Rmn"/>
          <w:sz w:val="12"/>
          <w:lang w:val="en-US"/>
        </w:rPr>
        <w:t> </w:t>
      </w:r>
      <w:r>
        <w:rPr>
          <w:lang w:val="en-US"/>
        </w:rPr>
        <w:t>612, 1</w:t>
      </w:r>
      <w:r>
        <w:rPr>
          <w:rFonts w:ascii="Tms Rmn" w:hAnsi="Tms Rmn"/>
          <w:sz w:val="12"/>
          <w:lang w:val="en-US"/>
        </w:rPr>
        <w:t> </w:t>
      </w:r>
      <w:r>
        <w:rPr>
          <w:lang w:val="en-US"/>
        </w:rPr>
        <w:t>665, 1</w:t>
      </w:r>
      <w:r>
        <w:rPr>
          <w:rFonts w:ascii="Tms Rmn" w:hAnsi="Tms Rmn"/>
          <w:sz w:val="12"/>
          <w:lang w:val="en-US"/>
        </w:rPr>
        <w:t> </w:t>
      </w:r>
      <w:r>
        <w:rPr>
          <w:lang w:val="en-US"/>
        </w:rPr>
        <w:t>667 and 1</w:t>
      </w:r>
      <w:r>
        <w:rPr>
          <w:rFonts w:ascii="Tms Rmn" w:hAnsi="Tms Rmn"/>
          <w:sz w:val="12"/>
          <w:lang w:val="en-US"/>
        </w:rPr>
        <w:t> </w:t>
      </w:r>
      <w:r>
        <w:rPr>
          <w:lang w:val="en-US"/>
        </w:rPr>
        <w:t xml:space="preserve">720 MHz, all of which have been observed in our own galaxy, as well as in external galaxies. </w:t>
      </w:r>
      <w:r>
        <w:rPr>
          <w:sz w:val="23"/>
          <w:lang w:val="en-US"/>
        </w:rPr>
        <w:t xml:space="preserve">The study of OH lines provides information on a wide range of astronomical phenomena, e.g. the formation of protostars and the evolution of stars. </w:t>
      </w:r>
      <w:r>
        <w:rPr>
          <w:lang w:val="en-US"/>
        </w:rPr>
        <w:t>To interpret most observations made in the OH lines, it is necessary to measure the relative strength of several of these lines. Loss of the ability to observe any one of these lines may prevent the study of some classes of physical phenomena.</w:t>
      </w:r>
    </w:p>
    <w:p w:rsidR="00B9359B" w:rsidRDefault="009A5268">
      <w:pPr>
        <w:rPr>
          <w:lang w:val="en-US"/>
        </w:rPr>
      </w:pPr>
      <w:r>
        <w:rPr>
          <w:lang w:val="en-US"/>
        </w:rPr>
        <w:t>These OH lines are produced by a coherent process, in which a concentration of OH radicals radiate “in step”, creating narrow-band emission. They are slightly broadened due to physical conditions in this concentration. Movement of these concentrations with respect to the Earth impose a Doppler shift on the line emission. The presence of several concentrations in the source, which are moving at different velocities, give rise to a more complicated spectrum, consisting of a number of super</w:t>
      </w:r>
      <w:r>
        <w:rPr>
          <w:lang w:val="en-US"/>
        </w:rPr>
        <w:softHyphen/>
        <w:t>imposed Gaussian line profiles of different widths and amplitudes, and slightly-different frequencies (due to the different Doppler shifts). The width of the band allocation is required to accommodate the spreading and shifting of the spectrum by differential and total motions of the source.</w:t>
      </w:r>
    </w:p>
    <w:p w:rsidR="00B9359B" w:rsidRDefault="009A5268">
      <w:pPr>
        <w:rPr>
          <w:lang w:val="en-US"/>
        </w:rPr>
      </w:pPr>
      <w:r>
        <w:rPr>
          <w:lang w:val="en-US"/>
        </w:rPr>
        <w:t>In some stages of their evolution, certain classes of stars radiate only the 1</w:t>
      </w:r>
      <w:r>
        <w:rPr>
          <w:rFonts w:ascii="Tms Rmn" w:hAnsi="Tms Rmn"/>
          <w:sz w:val="12"/>
          <w:lang w:val="en-US"/>
        </w:rPr>
        <w:t> </w:t>
      </w:r>
      <w:r>
        <w:rPr>
          <w:lang w:val="en-US"/>
        </w:rPr>
        <w:t>612 MHz line. The study of this line allows astronomers to gauge such physical properties of these stars as the rate at which gas is blown off by the stars and recycled into the interstellar medium. Some properties of these stars cannot be</w:t>
      </w:r>
      <w:r>
        <w:rPr>
          <w:i/>
          <w:lang w:val="en-US"/>
        </w:rPr>
        <w:t xml:space="preserve"> </w:t>
      </w:r>
      <w:r>
        <w:rPr>
          <w:lang w:val="en-US"/>
        </w:rPr>
        <w:t>inferred from any other astronomical observation. Measurements of OH emitting stars have also been used to estimate the distance to the Galactic Centre, to measure the mass of the central bulge of our galaxy, and to study the spatial distribution of the molecular component in our galaxy and in external galaxies. Finally, extremely strong maser emissions have been detected near the nuclei of a number of external galaxies. This OH megamaser emission from galactic nuclei allows</w:t>
      </w:r>
      <w:r>
        <w:rPr>
          <w:sz w:val="23"/>
          <w:lang w:val="en-US"/>
        </w:rPr>
        <w:t xml:space="preserve"> </w:t>
      </w:r>
      <w:r>
        <w:rPr>
          <w:lang w:val="en-US"/>
        </w:rPr>
        <w:t>astronomers to study the temperature and density of the molecular gas in their centre.</w:t>
      </w:r>
    </w:p>
    <w:p w:rsidR="00B9359B" w:rsidRDefault="009A5268">
      <w:pPr>
        <w:rPr>
          <w:lang w:val="en-US"/>
        </w:rPr>
      </w:pPr>
      <w:r>
        <w:rPr>
          <w:lang w:val="en-US"/>
        </w:rPr>
        <w:br w:type="page"/>
        <w:t>The OH spectral line is also observed in comets; there is little flexibility in scheduling observations of these “targets of opportunity”.</w:t>
      </w:r>
    </w:p>
    <w:p w:rsidR="00B9359B" w:rsidRDefault="009A5268">
      <w:pPr>
        <w:rPr>
          <w:lang w:val="en-US"/>
        </w:rPr>
      </w:pPr>
      <w:r>
        <w:rPr>
          <w:lang w:val="en-US"/>
        </w:rPr>
        <w:t>Spectral line observations are made using spectrometers that can simultaneously integrate the power in a large number of frequency channels (typically 256-4</w:t>
      </w:r>
      <w:r>
        <w:rPr>
          <w:rFonts w:ascii="Tms Rmn" w:hAnsi="Tms Rmn"/>
          <w:sz w:val="12"/>
          <w:lang w:val="en-US"/>
        </w:rPr>
        <w:t> </w:t>
      </w:r>
      <w:r>
        <w:rPr>
          <w:lang w:val="en-US"/>
        </w:rPr>
        <w:t>096) distributed across the frequency band used. The width and number of channels has to be large enough to accurately reproduce the spectrum of the emission received by the radio telescope. I</w:t>
      </w:r>
      <w:r>
        <w:rPr>
          <w:snapToGrid w:val="0"/>
          <w:lang w:val="en-US"/>
        </w:rPr>
        <w:t>nstantaneous bandwidths of typically ~0.2</w:t>
      </w:r>
      <w:r>
        <w:rPr>
          <w:snapToGrid w:val="0"/>
          <w:lang w:val="en-US"/>
        </w:rPr>
        <w:noBreakHyphen/>
        <w:t>20 kHz per frequency channel are used, depending on the scientific program.</w:t>
      </w:r>
    </w:p>
    <w:p w:rsidR="00B9359B" w:rsidRDefault="009A5268">
      <w:pPr>
        <w:rPr>
          <w:lang w:val="en-US"/>
        </w:rPr>
      </w:pPr>
      <w:r>
        <w:rPr>
          <w:lang w:val="en-US"/>
        </w:rPr>
        <w:t>The sources are small, and measurements of their size and structure often require observations using the VLBI technique.</w:t>
      </w:r>
    </w:p>
    <w:p w:rsidR="00B9359B" w:rsidRDefault="009A5268">
      <w:pPr>
        <w:pStyle w:val="Heading2"/>
        <w:rPr>
          <w:lang w:val="en-US"/>
        </w:rPr>
      </w:pPr>
      <w:bookmarkStart w:id="177" w:name="_Toc51045576"/>
      <w:r>
        <w:rPr>
          <w:lang w:val="en-US"/>
        </w:rPr>
        <w:t>1.3</w:t>
      </w:r>
      <w:r>
        <w:rPr>
          <w:lang w:val="en-US"/>
        </w:rPr>
        <w:tab/>
        <w:t>Required protection criteria</w:t>
      </w:r>
      <w:bookmarkEnd w:id="177"/>
      <w:r>
        <w:rPr>
          <w:lang w:val="en-US"/>
        </w:rPr>
        <w:t xml:space="preserve"> </w:t>
      </w:r>
    </w:p>
    <w:p w:rsidR="00B9359B" w:rsidRDefault="009A5268">
      <w:pPr>
        <w:rPr>
          <w:bCs/>
          <w:snapToGrid w:val="0"/>
          <w:lang w:val="en-US"/>
        </w:rPr>
      </w:pPr>
      <w:r>
        <w:rPr>
          <w:lang w:val="en-US"/>
        </w:rPr>
        <w:t>Recommendation ITU-R</w:t>
      </w:r>
      <w:r>
        <w:rPr>
          <w:bCs/>
          <w:lang w:val="en-US"/>
        </w:rPr>
        <w:t xml:space="preserve"> RA.769 specifies the protection criteria for radio astronomical obser</w:t>
      </w:r>
      <w:r>
        <w:rPr>
          <w:bCs/>
          <w:lang w:val="en-US"/>
        </w:rPr>
        <w:softHyphen/>
        <w:t xml:space="preserve">vations and gives threshold levels of detrimental interference for primary radio astronomy bands. For single dish spectral line observations made using a channel bandwidth (one of the spectrometer channels) of 20 kHz, the threshold pfd for detrimental interference is </w:t>
      </w:r>
      <w:r>
        <w:rPr>
          <w:rFonts w:ascii="Symbol" w:hAnsi="Symbol"/>
          <w:bCs/>
          <w:lang w:val="en-US"/>
        </w:rPr>
        <w:noBreakHyphen/>
      </w:r>
      <w:r>
        <w:rPr>
          <w:bCs/>
          <w:lang w:val="en-US"/>
        </w:rPr>
        <w:t>194 </w:t>
      </w:r>
      <w:r>
        <w:rPr>
          <w:bCs/>
          <w:snapToGrid w:val="0"/>
          <w:lang w:val="en-US"/>
        </w:rPr>
        <w:t>dB(W/m</w:t>
      </w:r>
      <w:r>
        <w:rPr>
          <w:vertAlign w:val="superscript"/>
          <w:lang w:val="en-US"/>
        </w:rPr>
        <w:t>2</w:t>
      </w:r>
      <w:r>
        <w:rPr>
          <w:rFonts w:ascii="Times" w:hAnsi="Times"/>
          <w:bCs/>
          <w:spacing w:val="-2"/>
          <w:lang w:val="en-US"/>
        </w:rPr>
        <w:t>)</w:t>
      </w:r>
      <w:r>
        <w:rPr>
          <w:bCs/>
          <w:snapToGrid w:val="0"/>
          <w:lang w:val="en-US"/>
        </w:rPr>
        <w:t>.</w:t>
      </w:r>
    </w:p>
    <w:p w:rsidR="00B9359B" w:rsidRDefault="009A5268">
      <w:pPr>
        <w:rPr>
          <w:bCs/>
          <w:lang w:val="en-US"/>
        </w:rPr>
      </w:pPr>
      <w:r>
        <w:rPr>
          <w:bCs/>
          <w:lang w:val="en-US"/>
        </w:rPr>
        <w:t>This band is used only for radio line observations, not for continuum observations.</w:t>
      </w:r>
    </w:p>
    <w:p w:rsidR="00B9359B" w:rsidRDefault="009A5268">
      <w:pPr>
        <w:rPr>
          <w:lang w:val="en-US"/>
        </w:rPr>
      </w:pPr>
      <w:r>
        <w:rPr>
          <w:bCs/>
          <w:lang w:val="en-US"/>
        </w:rPr>
        <w:t>The thresholds of detrimental interference levels to the RAS as defined and calculated in Recom</w:t>
      </w:r>
      <w:r>
        <w:rPr>
          <w:bCs/>
          <w:lang w:val="en-US"/>
        </w:rPr>
        <w:softHyphen/>
        <w:t>mendation ITU-R RA.769 are p</w:t>
      </w:r>
      <w:r>
        <w:rPr>
          <w:lang w:val="en-US"/>
        </w:rPr>
        <w:t>rotection criteria above which radio astronomical data are degraded and may be eventually obliterated. In principle, under rather idealized circumstances, if these levels are very slightly exceeded then it may be possible to compensate at the radio astronomy observatory by increased observing time. In doing so, the channel capacity of the telescope is reduced, with a corresponding reduction in scientific throughput. If the level of interference, under the assumptions of Recommendation ITU-R RA.769 (e.g. antenna performance, etc.), becomes 10 dB or more above the Recommendation ITU-R RA.769 definition, then increased observing time will no longer be effective in ensuring that valid scientific data are provided to the scientist. The radio astronomy station will be unable to operate in the affected frequency band, and its ability to provide service will have been lost if no appropriate mitigation techniques can be applied.</w:t>
      </w:r>
    </w:p>
    <w:p w:rsidR="00B9359B" w:rsidRDefault="009A5268">
      <w:pPr>
        <w:pStyle w:val="Heading2"/>
        <w:rPr>
          <w:lang w:val="en-US"/>
        </w:rPr>
      </w:pPr>
      <w:bookmarkStart w:id="178" w:name="_Toc51045577"/>
      <w:r>
        <w:rPr>
          <w:lang w:val="en-US"/>
        </w:rPr>
        <w:t>1.4</w:t>
      </w:r>
      <w:r>
        <w:rPr>
          <w:lang w:val="en-US"/>
        </w:rPr>
        <w:tab/>
        <w:t>Operational characteristics</w:t>
      </w:r>
      <w:bookmarkEnd w:id="178"/>
    </w:p>
    <w:p w:rsidR="00B9359B" w:rsidRDefault="009A5268">
      <w:pPr>
        <w:rPr>
          <w:snapToGrid w:val="0"/>
          <w:lang w:val="en-US"/>
        </w:rPr>
      </w:pPr>
      <w:r>
        <w:rPr>
          <w:snapToGrid w:val="0"/>
          <w:lang w:val="en-US"/>
        </w:rPr>
        <w:t>Observations in the 1</w:t>
      </w:r>
      <w:r>
        <w:rPr>
          <w:rFonts w:ascii="Tms Rmn" w:hAnsi="Tms Rmn"/>
          <w:snapToGrid w:val="0"/>
          <w:sz w:val="12"/>
          <w:lang w:val="en-US"/>
        </w:rPr>
        <w:t> </w:t>
      </w:r>
      <w:r>
        <w:rPr>
          <w:snapToGrid w:val="0"/>
          <w:lang w:val="en-US"/>
        </w:rPr>
        <w:t>612 MHz band are carried out at a number of radio astronomy sites in numerous countries, worldwide. Observations in the 1</w:t>
      </w:r>
      <w:r>
        <w:rPr>
          <w:rFonts w:ascii="Tms Rmn" w:hAnsi="Tms Rmn"/>
          <w:snapToGrid w:val="0"/>
          <w:sz w:val="12"/>
          <w:lang w:val="en-US"/>
        </w:rPr>
        <w:t> </w:t>
      </w:r>
      <w:r>
        <w:rPr>
          <w:snapToGrid w:val="0"/>
          <w:lang w:val="en-US"/>
        </w:rPr>
        <w:t>612 MHz band are sometimes conducted on targets of opportunity, e.g. on objects such as comets, which have been observed to produce transient emissions in this line. VLBI observations are also frequently conducted in this band, sometimes between the North American and European VLBI networks.</w:t>
      </w:r>
    </w:p>
    <w:p w:rsidR="00B9359B" w:rsidRDefault="009A5268">
      <w:pPr>
        <w:rPr>
          <w:lang w:val="en-US"/>
        </w:rPr>
      </w:pPr>
      <w:r>
        <w:rPr>
          <w:lang w:val="en-US"/>
        </w:rPr>
        <w:t xml:space="preserve">VLBI observations, where signals from widely separated antennas are recorded and correlated after the observations, are much less susceptible to interference. This is reflected in the threshold pfd level for VLBI observations in this band, </w:t>
      </w:r>
      <w:r>
        <w:sym w:font="Symbol" w:char="F02D"/>
      </w:r>
      <w:r>
        <w:rPr>
          <w:lang w:val="en-US"/>
        </w:rPr>
        <w:t xml:space="preserve">166 </w:t>
      </w:r>
      <w:r>
        <w:rPr>
          <w:snapToGrid w:val="0"/>
          <w:lang w:val="en-US"/>
        </w:rPr>
        <w:t>dB(W/m</w:t>
      </w:r>
      <w:r>
        <w:rPr>
          <w:vertAlign w:val="superscript"/>
          <w:lang w:val="en-US"/>
        </w:rPr>
        <w:t>2</w:t>
      </w:r>
      <w:r>
        <w:rPr>
          <w:rFonts w:ascii="Times" w:hAnsi="Times"/>
          <w:spacing w:val="-2"/>
          <w:lang w:val="en-US"/>
        </w:rPr>
        <w:t>), for a bandwidth of 20 kHz, which has been developed for VLBI observations, but not included in ITU</w:t>
      </w:r>
      <w:r>
        <w:rPr>
          <w:rFonts w:ascii="Times" w:hAnsi="Times"/>
          <w:spacing w:val="-2"/>
          <w:lang w:val="en-US"/>
        </w:rPr>
        <w:noBreakHyphen/>
        <w:t>R RA.769.</w:t>
      </w:r>
    </w:p>
    <w:p w:rsidR="00B9359B" w:rsidRDefault="009A5268">
      <w:pPr>
        <w:rPr>
          <w:lang w:val="en-US"/>
        </w:rPr>
      </w:pPr>
      <w:r>
        <w:rPr>
          <w:lang w:val="en-US"/>
        </w:rPr>
        <w:br w:type="page"/>
        <w:t>Spectral line observations are made using multichannel spectrometers that can integrate simultaneously the power in many (typically 256 to 4</w:t>
      </w:r>
      <w:r>
        <w:rPr>
          <w:rFonts w:ascii="Tms Rmn" w:hAnsi="Tms Rmn"/>
          <w:sz w:val="12"/>
          <w:lang w:val="en-US"/>
        </w:rPr>
        <w:t> </w:t>
      </w:r>
      <w:r>
        <w:rPr>
          <w:lang w:val="en-US"/>
        </w:rPr>
        <w:t>096) frequency channels distributed across the band. The number of channels and their individual bandwidths are chosen to adequately sample the spectrum of the net emission from the source(s) in the antenna beam.</w:t>
      </w:r>
    </w:p>
    <w:p w:rsidR="00B9359B" w:rsidRDefault="009A5268">
      <w:pPr>
        <w:rPr>
          <w:lang w:val="en-US"/>
        </w:rPr>
      </w:pPr>
      <w:r>
        <w:rPr>
          <w:lang w:val="en-US"/>
        </w:rPr>
        <w:t>In general, observations are made differentially; spectra are recorded at frequency ranges including the line emissions of interest (the line spectra), and then at a frequency that is offset from the line emissions, or at the same frequency but at a nearby position in the sky (the reference spectra). By subtracting the reference spectra from the line spectra, unwanted noise contributions and other contaminants can be removed from the data.</w:t>
      </w:r>
    </w:p>
    <w:p w:rsidR="00B9359B" w:rsidRDefault="009A5268">
      <w:pPr>
        <w:rPr>
          <w:snapToGrid w:val="0"/>
          <w:lang w:val="en-US"/>
        </w:rPr>
      </w:pPr>
      <w:r>
        <w:rPr>
          <w:snapToGrid w:val="0"/>
          <w:lang w:val="en-US"/>
        </w:rPr>
        <w:t>VLBI observations are made by down-converting the signals to a baseband, digitizing them without rectification, and recording them on tape or other storage media, along with precise timing signals. The data are then taken to a VLBI data processing centre, where the signals are synchronized and correlated. Consequently, the full impact of interference might not be known until the observing period is over and the data has been processed.</w:t>
      </w:r>
    </w:p>
    <w:p w:rsidR="00B9359B" w:rsidRDefault="009A5268">
      <w:pPr>
        <w:pStyle w:val="Heading1"/>
        <w:rPr>
          <w:lang w:val="en-US"/>
        </w:rPr>
      </w:pPr>
      <w:bookmarkStart w:id="179" w:name="_Toc51045578"/>
      <w:r>
        <w:rPr>
          <w:lang w:val="en-US"/>
        </w:rPr>
        <w:t>2</w:t>
      </w:r>
      <w:r>
        <w:rPr>
          <w:lang w:val="en-US"/>
        </w:rPr>
        <w:tab/>
        <w:t>MSS</w:t>
      </w:r>
      <w:bookmarkEnd w:id="179"/>
    </w:p>
    <w:p w:rsidR="00B9359B" w:rsidRDefault="009A5268">
      <w:pPr>
        <w:pStyle w:val="Heading2"/>
        <w:rPr>
          <w:lang w:val="en-US"/>
        </w:rPr>
      </w:pPr>
      <w:bookmarkStart w:id="180" w:name="_Toc51045579"/>
      <w:r>
        <w:rPr>
          <w:lang w:val="en-US"/>
        </w:rPr>
        <w:t>2.1</w:t>
      </w:r>
      <w:r>
        <w:rPr>
          <w:lang w:val="en-US"/>
        </w:rPr>
        <w:tab/>
        <w:t>Allocated transmit band</w:t>
      </w:r>
      <w:bookmarkEnd w:id="180"/>
    </w:p>
    <w:p w:rsidR="00B9359B" w:rsidRDefault="009A5268">
      <w:pPr>
        <w:rPr>
          <w:lang w:val="en-US"/>
        </w:rPr>
      </w:pPr>
      <w:r>
        <w:rPr>
          <w:lang w:val="en-US"/>
        </w:rPr>
        <w:t>1</w:t>
      </w:r>
      <w:r>
        <w:rPr>
          <w:rFonts w:ascii="Tms Rmn" w:hAnsi="Tms Rmn"/>
          <w:sz w:val="12"/>
          <w:lang w:val="en-US"/>
        </w:rPr>
        <w:t> </w:t>
      </w:r>
      <w:r>
        <w:rPr>
          <w:lang w:val="en-US"/>
        </w:rPr>
        <w:t>525-1</w:t>
      </w:r>
      <w:r>
        <w:rPr>
          <w:rFonts w:ascii="Tms Rmn" w:hAnsi="Tms Rmn"/>
          <w:sz w:val="12"/>
          <w:lang w:val="en-US"/>
        </w:rPr>
        <w:t> </w:t>
      </w:r>
      <w:r>
        <w:rPr>
          <w:lang w:val="en-US"/>
        </w:rPr>
        <w:t>559 MHz (space-to-Earth).</w:t>
      </w:r>
    </w:p>
    <w:p w:rsidR="00B9359B" w:rsidRDefault="009A5268">
      <w:pPr>
        <w:pStyle w:val="Heading2"/>
        <w:rPr>
          <w:lang w:val="en-US"/>
        </w:rPr>
      </w:pPr>
      <w:bookmarkStart w:id="181" w:name="_Toc51045580"/>
      <w:r>
        <w:rPr>
          <w:lang w:val="en-US"/>
        </w:rPr>
        <w:t>2.2</w:t>
      </w:r>
      <w:r>
        <w:rPr>
          <w:lang w:val="en-US"/>
        </w:rPr>
        <w:tab/>
        <w:t>Application</w:t>
      </w:r>
      <w:bookmarkEnd w:id="181"/>
    </w:p>
    <w:p w:rsidR="00B9359B" w:rsidRDefault="009A5268">
      <w:pPr>
        <w:rPr>
          <w:lang w:val="en-US"/>
        </w:rPr>
      </w:pPr>
      <w:r>
        <w:rPr>
          <w:lang w:val="en-US"/>
        </w:rPr>
        <w:t>MSS.</w:t>
      </w:r>
    </w:p>
    <w:p w:rsidR="00B9359B" w:rsidRDefault="009A5268">
      <w:pPr>
        <w:pStyle w:val="Heading2"/>
        <w:rPr>
          <w:lang w:val="en-US"/>
        </w:rPr>
      </w:pPr>
      <w:bookmarkStart w:id="182" w:name="_Toc51045581"/>
      <w:r>
        <w:rPr>
          <w:lang w:val="en-US"/>
        </w:rPr>
        <w:t>2.3</w:t>
      </w:r>
      <w:r>
        <w:rPr>
          <w:lang w:val="en-US"/>
        </w:rPr>
        <w:tab/>
        <w:t>Levels based upon regulatory provisions</w:t>
      </w:r>
      <w:bookmarkEnd w:id="182"/>
    </w:p>
    <w:p w:rsidR="00B9359B" w:rsidRDefault="009A5268">
      <w:pPr>
        <w:rPr>
          <w:lang w:val="en-US"/>
        </w:rPr>
      </w:pPr>
      <w:r>
        <w:rPr>
          <w:lang w:val="en-US"/>
        </w:rPr>
        <w:t>RR Appendix 3.</w:t>
      </w:r>
    </w:p>
    <w:p w:rsidR="00B9359B" w:rsidRDefault="009A5268">
      <w:pPr>
        <w:rPr>
          <w:lang w:val="en-US"/>
        </w:rPr>
      </w:pPr>
      <w:r>
        <w:rPr>
          <w:lang w:val="en-US"/>
        </w:rPr>
        <w:t xml:space="preserve">The required attenuation is 43 </w:t>
      </w:r>
      <w:r>
        <w:rPr>
          <w:rFonts w:ascii="Symbol" w:hAnsi="Symbol"/>
          <w:lang w:val="en-US"/>
        </w:rPr>
        <w:t></w:t>
      </w:r>
      <w:r>
        <w:rPr>
          <w:lang w:val="en-US"/>
        </w:rPr>
        <w:t xml:space="preserve"> 10 log </w:t>
      </w:r>
      <w:r>
        <w:rPr>
          <w:i/>
          <w:iCs/>
          <w:lang w:val="en-US"/>
        </w:rPr>
        <w:t>P</w:t>
      </w:r>
      <w:r>
        <w:rPr>
          <w:lang w:val="en-US"/>
        </w:rPr>
        <w:t xml:space="preserve"> dBc or 60 dBc, whichever is less stringent, where </w:t>
      </w:r>
      <w:r>
        <w:rPr>
          <w:i/>
          <w:iCs/>
          <w:lang w:val="en-US"/>
        </w:rPr>
        <w:t>P</w:t>
      </w:r>
      <w:r>
        <w:rPr>
          <w:lang w:val="en-US"/>
        </w:rPr>
        <w:t xml:space="preserve"> is the peak power at the input to the antenna (W) in any 4 kHz bandwidth.</w:t>
      </w:r>
    </w:p>
    <w:p w:rsidR="00B9359B" w:rsidRDefault="009A5268">
      <w:pPr>
        <w:pStyle w:val="Heading2"/>
        <w:rPr>
          <w:lang w:val="en-US"/>
        </w:rPr>
      </w:pPr>
      <w:bookmarkStart w:id="183" w:name="_Toc51045582"/>
      <w:r>
        <w:rPr>
          <w:lang w:val="en-US"/>
        </w:rPr>
        <w:t>2.4</w:t>
      </w:r>
      <w:r>
        <w:rPr>
          <w:lang w:val="en-US"/>
        </w:rPr>
        <w:tab/>
        <w:t>Transmitter characteristics</w:t>
      </w:r>
      <w:bookmarkEnd w:id="183"/>
      <w:r>
        <w:rPr>
          <w:lang w:val="en-US"/>
        </w:rPr>
        <w:t xml:space="preserve"> </w:t>
      </w:r>
    </w:p>
    <w:p w:rsidR="00B9359B" w:rsidRDefault="009A5268">
      <w:pPr>
        <w:rPr>
          <w:lang w:val="en-US"/>
        </w:rPr>
      </w:pPr>
      <w:r>
        <w:rPr>
          <w:lang w:val="en-US"/>
        </w:rPr>
        <w:t>The antenna gain is 41 dBi. The Tx output filter characteristic is shown in Fig. 10.</w:t>
      </w:r>
    </w:p>
    <w:p w:rsidR="00B9359B" w:rsidRDefault="009A5268">
      <w:pPr>
        <w:pStyle w:val="Heading2"/>
        <w:rPr>
          <w:lang w:val="en-US"/>
        </w:rPr>
      </w:pPr>
      <w:bookmarkStart w:id="184" w:name="_Toc51045583"/>
      <w:r>
        <w:rPr>
          <w:lang w:val="en-US"/>
        </w:rPr>
        <w:t>2.5</w:t>
      </w:r>
      <w:r>
        <w:rPr>
          <w:lang w:val="en-US"/>
        </w:rPr>
        <w:tab/>
        <w:t>Operational characteristics</w:t>
      </w:r>
      <w:bookmarkEnd w:id="184"/>
    </w:p>
    <w:p w:rsidR="00B9359B" w:rsidRDefault="009A5268">
      <w:pPr>
        <w:rPr>
          <w:lang w:val="en-US"/>
        </w:rPr>
      </w:pPr>
      <w:r>
        <w:rPr>
          <w:lang w:val="en-US"/>
        </w:rPr>
        <w:t>The typical peak power into an MSS GSO satellite spot beam at input to the antenna is 16 dBW over a bandwidth of 5 MHz.</w:t>
      </w:r>
    </w:p>
    <w:p w:rsidR="00B9359B" w:rsidRDefault="009A5268">
      <w:pPr>
        <w:pStyle w:val="Heading2"/>
        <w:rPr>
          <w:lang w:val="en-US"/>
        </w:rPr>
      </w:pPr>
      <w:bookmarkStart w:id="185" w:name="_Toc51045584"/>
      <w:r>
        <w:rPr>
          <w:lang w:val="en-US"/>
        </w:rPr>
        <w:t>2.6</w:t>
      </w:r>
      <w:r>
        <w:rPr>
          <w:lang w:val="en-US"/>
        </w:rPr>
        <w:tab/>
        <w:t>In-band transmit level</w:t>
      </w:r>
      <w:bookmarkEnd w:id="185"/>
    </w:p>
    <w:p w:rsidR="00B9359B" w:rsidRDefault="009A5268">
      <w:pPr>
        <w:rPr>
          <w:lang w:val="en-US"/>
        </w:rPr>
      </w:pPr>
      <w:r>
        <w:rPr>
          <w:lang w:val="en-US"/>
        </w:rPr>
        <w:t>The in-band transmit level is –15 dBW in a 4 kHz bandwidth.</w:t>
      </w:r>
    </w:p>
    <w:p w:rsidR="00B9359B" w:rsidRDefault="009A5268">
      <w:pPr>
        <w:pStyle w:val="FigureNo"/>
        <w:rPr>
          <w:lang w:val="en-US"/>
        </w:rPr>
      </w:pPr>
      <w:bookmarkStart w:id="186" w:name="_Toc51045585"/>
      <w:r>
        <w:rPr>
          <w:lang w:val="en-US"/>
        </w:rPr>
        <w:br w:type="page"/>
      </w:r>
      <w:r w:rsidR="00AB52AF">
        <w:rPr>
          <w:lang w:val="en-US"/>
        </w:rPr>
        <w:pict>
          <v:shape id="_x0000_i1043" type="#_x0000_t75" style="width:400.3pt;height:265.45pt">
            <v:imagedata r:id="rId36" o:title=""/>
          </v:shape>
        </w:pict>
      </w:r>
    </w:p>
    <w:p w:rsidR="00B9359B" w:rsidRDefault="00B9359B">
      <w:pPr>
        <w:rPr>
          <w:lang w:val="en-US"/>
        </w:rPr>
      </w:pPr>
    </w:p>
    <w:p w:rsidR="00B9359B" w:rsidRDefault="009A5268">
      <w:pPr>
        <w:pStyle w:val="Heading1"/>
        <w:rPr>
          <w:lang w:val="en-US"/>
        </w:rPr>
      </w:pPr>
      <w:r>
        <w:rPr>
          <w:lang w:val="en-US"/>
        </w:rPr>
        <w:t>3</w:t>
      </w:r>
      <w:r>
        <w:rPr>
          <w:lang w:val="en-US"/>
        </w:rPr>
        <w:tab/>
        <w:t>Compatibility threshold</w:t>
      </w:r>
      <w:bookmarkEnd w:id="186"/>
    </w:p>
    <w:p w:rsidR="00B9359B" w:rsidRDefault="009A5268">
      <w:pPr>
        <w:rPr>
          <w:lang w:val="en-US"/>
        </w:rPr>
      </w:pPr>
      <w:r>
        <w:rPr>
          <w:lang w:val="en-US"/>
        </w:rPr>
        <w:t>See § 1.3.</w:t>
      </w:r>
    </w:p>
    <w:p w:rsidR="00B9359B" w:rsidRDefault="009A5268">
      <w:pPr>
        <w:pStyle w:val="Heading1"/>
        <w:rPr>
          <w:lang w:val="en-US"/>
        </w:rPr>
      </w:pPr>
      <w:bookmarkStart w:id="187" w:name="_Toc51045586"/>
      <w:r>
        <w:rPr>
          <w:lang w:val="en-US"/>
        </w:rPr>
        <w:t>4</w:t>
      </w:r>
      <w:r>
        <w:rPr>
          <w:lang w:val="en-US"/>
        </w:rPr>
        <w:tab/>
        <w:t>Interference assessment</w:t>
      </w:r>
      <w:bookmarkEnd w:id="187"/>
    </w:p>
    <w:p w:rsidR="00B9359B" w:rsidRDefault="009A5268">
      <w:pPr>
        <w:pStyle w:val="Heading2"/>
        <w:rPr>
          <w:lang w:val="en-US"/>
        </w:rPr>
      </w:pPr>
      <w:bookmarkStart w:id="188" w:name="_Toc51045587"/>
      <w:r>
        <w:rPr>
          <w:lang w:val="en-US"/>
        </w:rPr>
        <w:t>4.1</w:t>
      </w:r>
      <w:r>
        <w:rPr>
          <w:lang w:val="en-US"/>
        </w:rPr>
        <w:tab/>
        <w:t>Methodology used to assess the interference level</w:t>
      </w:r>
      <w:bookmarkEnd w:id="188"/>
    </w:p>
    <w:p w:rsidR="00B9359B" w:rsidRDefault="009A5268">
      <w:pPr>
        <w:rPr>
          <w:lang w:val="en-US"/>
        </w:rPr>
      </w:pPr>
      <w:r>
        <w:rPr>
          <w:lang w:val="en-US"/>
        </w:rPr>
        <w:t>The parameters peak in band PSD, the peak antenna gain and the measured attenuation of the 1</w:t>
      </w:r>
      <w:r>
        <w:rPr>
          <w:rFonts w:ascii="Tms Rmn" w:hAnsi="Tms Rmn"/>
          <w:sz w:val="12"/>
          <w:lang w:val="en-US"/>
        </w:rPr>
        <w:t> </w:t>
      </w:r>
      <w:r>
        <w:rPr>
          <w:lang w:val="en-US"/>
        </w:rPr>
        <w:t>525-1</w:t>
      </w:r>
      <w:r>
        <w:rPr>
          <w:rFonts w:ascii="Tms Rmn" w:hAnsi="Tms Rmn"/>
          <w:sz w:val="12"/>
          <w:lang w:val="en-US"/>
        </w:rPr>
        <w:t> </w:t>
      </w:r>
      <w:r>
        <w:rPr>
          <w:lang w:val="en-US"/>
        </w:rPr>
        <w:t>559 MHz band output filter at different frequencies are used to determine the pfd at the surface of the Earth.</w:t>
      </w:r>
    </w:p>
    <w:p w:rsidR="00B9359B" w:rsidRDefault="009A5268">
      <w:pPr>
        <w:pStyle w:val="Heading2"/>
        <w:rPr>
          <w:lang w:val="en-US"/>
        </w:rPr>
      </w:pPr>
      <w:bookmarkStart w:id="189" w:name="_Toc51045588"/>
      <w:r>
        <w:rPr>
          <w:lang w:val="en-US"/>
        </w:rPr>
        <w:t>4.2</w:t>
      </w:r>
      <w:r>
        <w:rPr>
          <w:lang w:val="en-US"/>
        </w:rPr>
        <w:tab/>
        <w:t>Calculation of the interference level</w:t>
      </w:r>
      <w:bookmarkEnd w:id="189"/>
    </w:p>
    <w:p w:rsidR="00B9359B" w:rsidRDefault="009A5268">
      <w:pPr>
        <w:rPr>
          <w:lang w:val="en-US"/>
        </w:rPr>
      </w:pPr>
      <w:r>
        <w:rPr>
          <w:lang w:val="en-US"/>
        </w:rPr>
        <w:t>Based on the expected performance of the 1</w:t>
      </w:r>
      <w:r>
        <w:rPr>
          <w:rFonts w:ascii="Tms Rmn" w:hAnsi="Tms Rmn"/>
          <w:sz w:val="12"/>
          <w:lang w:val="en-US"/>
        </w:rPr>
        <w:t> </w:t>
      </w:r>
      <w:r>
        <w:rPr>
          <w:lang w:val="en-US"/>
        </w:rPr>
        <w:t>525-1</w:t>
      </w:r>
      <w:r>
        <w:rPr>
          <w:rFonts w:ascii="Tms Rmn" w:hAnsi="Tms Rmn"/>
          <w:sz w:val="12"/>
          <w:lang w:val="en-US"/>
        </w:rPr>
        <w:t> </w:t>
      </w:r>
      <w:r>
        <w:rPr>
          <w:lang w:val="en-US"/>
        </w:rPr>
        <w:t>559 MHz band, the typical power levels at the output of the Tx L band filter, e.i.r.p. density levels at the antenna output and the pfd at the surface of the Earth at different frequencies are as shown in Table 11.</w:t>
      </w:r>
    </w:p>
    <w:p w:rsidR="00B9359B" w:rsidRDefault="009A5268">
      <w:pPr>
        <w:pStyle w:val="Heading2"/>
        <w:rPr>
          <w:lang w:val="en-US"/>
        </w:rPr>
      </w:pPr>
      <w:r>
        <w:rPr>
          <w:lang w:val="en-US"/>
        </w:rPr>
        <w:t>4.3</w:t>
      </w:r>
      <w:r>
        <w:rPr>
          <w:lang w:val="en-US"/>
        </w:rPr>
        <w:tab/>
        <w:t>Values achieved</w:t>
      </w:r>
    </w:p>
    <w:p w:rsidR="00B9359B" w:rsidRDefault="009A5268">
      <w:pPr>
        <w:rPr>
          <w:lang w:val="en-US"/>
        </w:rPr>
      </w:pPr>
      <w:r>
        <w:rPr>
          <w:lang w:val="en-US"/>
        </w:rPr>
        <w:t>The value achieved is –192 dB(W/m</w:t>
      </w:r>
      <w:r>
        <w:rPr>
          <w:vertAlign w:val="superscript"/>
          <w:lang w:val="en-US"/>
        </w:rPr>
        <w:t>2</w:t>
      </w:r>
      <w:r>
        <w:rPr>
          <w:rFonts w:ascii="Times" w:hAnsi="Times"/>
          <w:spacing w:val="-2"/>
          <w:lang w:val="en-US"/>
        </w:rPr>
        <w:t>)</w:t>
      </w:r>
      <w:r>
        <w:rPr>
          <w:lang w:val="en-US"/>
        </w:rPr>
        <w:t xml:space="preserve"> in 4 kHz bandwidth.</w:t>
      </w:r>
    </w:p>
    <w:p w:rsidR="00B9359B" w:rsidRDefault="009A5268">
      <w:pPr>
        <w:rPr>
          <w:lang w:val="en-US"/>
        </w:rPr>
      </w:pPr>
      <w:r>
        <w:rPr>
          <w:lang w:val="en-US"/>
        </w:rPr>
        <w:t xml:space="preserve">Translating these values for single-dish spectral line observations, we obtain a pfd value of </w:t>
      </w:r>
      <w:r>
        <w:rPr>
          <w:rFonts w:ascii="Symbol" w:hAnsi="Symbol"/>
          <w:lang w:val="en-US"/>
        </w:rPr>
        <w:noBreakHyphen/>
      </w:r>
      <w:r>
        <w:rPr>
          <w:lang w:val="en-US"/>
        </w:rPr>
        <w:t>185 dB(W/m</w:t>
      </w:r>
      <w:r>
        <w:rPr>
          <w:vertAlign w:val="superscript"/>
          <w:lang w:val="en-US"/>
        </w:rPr>
        <w:t>2</w:t>
      </w:r>
      <w:r>
        <w:rPr>
          <w:rFonts w:ascii="Times" w:hAnsi="Times"/>
          <w:spacing w:val="-2"/>
          <w:lang w:val="en-US"/>
        </w:rPr>
        <w:t>)</w:t>
      </w:r>
      <w:r>
        <w:rPr>
          <w:lang w:val="en-US"/>
        </w:rPr>
        <w:t xml:space="preserve"> in a 20 kHz bandwidth for spectral line observations: Based on the above parameters of one GSO mobile-satellite system of one operator, it follows that there is a deficit of 9 dB in meeting the protection criteria for single-dish spectral line observations.</w:t>
      </w:r>
    </w:p>
    <w:p w:rsidR="00B9359B" w:rsidRDefault="009A5268">
      <w:pPr>
        <w:pStyle w:val="TableNo"/>
        <w:rPr>
          <w:lang w:val="en-US"/>
        </w:rPr>
      </w:pPr>
      <w:r>
        <w:rPr>
          <w:lang w:val="en-US"/>
        </w:rPr>
        <w:br w:type="page"/>
        <w:t>TABLE  11</w:t>
      </w:r>
    </w:p>
    <w:p w:rsidR="00B9359B" w:rsidRDefault="009A5268">
      <w:pPr>
        <w:pStyle w:val="Tabletitle"/>
        <w:rPr>
          <w:lang w:val="en-US"/>
        </w:rPr>
      </w:pPr>
      <w:r>
        <w:rPr>
          <w:lang w:val="en-US"/>
        </w:rPr>
        <w:t>Expected values of the PSD, e.i.r.p. density, and the pfd at the surface of the Earth</w:t>
      </w:r>
      <w:r>
        <w:rPr>
          <w:lang w:val="en-US"/>
        </w:rPr>
        <w:br/>
        <w:t>of an Inmarsat-4 satellite in the frequency band 1</w:t>
      </w:r>
      <w:r>
        <w:rPr>
          <w:rFonts w:ascii="Tms Rmn" w:hAnsi="Tms Rmn"/>
          <w:sz w:val="12"/>
          <w:lang w:val="en-US"/>
        </w:rPr>
        <w:t> </w:t>
      </w:r>
      <w:r>
        <w:rPr>
          <w:lang w:val="en-US"/>
        </w:rPr>
        <w:t>525-1</w:t>
      </w:r>
      <w:r>
        <w:rPr>
          <w:rFonts w:ascii="Tms Rmn" w:hAnsi="Tms Rmn"/>
          <w:sz w:val="12"/>
          <w:lang w:val="en-US"/>
        </w:rPr>
        <w:t> </w:t>
      </w:r>
      <w:r>
        <w:rPr>
          <w:lang w:val="en-US"/>
        </w:rPr>
        <w:t>559 MHz</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4"/>
        <w:gridCol w:w="3155"/>
        <w:gridCol w:w="2400"/>
        <w:gridCol w:w="2640"/>
      </w:tblGrid>
      <w:tr w:rsidR="00B9359B" w:rsidRPr="00D35B94">
        <w:tc>
          <w:tcPr>
            <w:tcW w:w="0" w:type="auto"/>
            <w:vAlign w:val="center"/>
          </w:tcPr>
          <w:p w:rsidR="00B9359B" w:rsidRDefault="009A5268">
            <w:pPr>
              <w:pStyle w:val="Tablehead"/>
              <w:framePr w:hSpace="181" w:wrap="notBeside" w:vAnchor="text" w:hAnchor="text" w:xAlign="center" w:y="1"/>
              <w:spacing w:before="120" w:after="120"/>
              <w:rPr>
                <w:lang w:val="en-US"/>
              </w:rPr>
            </w:pPr>
            <w:r>
              <w:rPr>
                <w:lang w:val="en-US"/>
              </w:rPr>
              <w:t>Frequency</w:t>
            </w:r>
            <w:r>
              <w:rPr>
                <w:lang w:val="en-US"/>
              </w:rPr>
              <w:br/>
              <w:t>(MHz)</w:t>
            </w:r>
          </w:p>
        </w:tc>
        <w:tc>
          <w:tcPr>
            <w:tcW w:w="3155" w:type="dxa"/>
            <w:vAlign w:val="center"/>
          </w:tcPr>
          <w:p w:rsidR="00B9359B" w:rsidRDefault="009A5268">
            <w:pPr>
              <w:pStyle w:val="Tablehead"/>
              <w:framePr w:hSpace="181" w:wrap="notBeside" w:vAnchor="text" w:hAnchor="text" w:xAlign="center" w:y="1"/>
              <w:spacing w:before="120" w:after="120"/>
              <w:rPr>
                <w:lang w:val="en-US"/>
              </w:rPr>
            </w:pPr>
            <w:r>
              <w:rPr>
                <w:lang w:val="en-US"/>
              </w:rPr>
              <w:t>PSD at the output</w:t>
            </w:r>
            <w:r>
              <w:rPr>
                <w:lang w:val="en-US"/>
              </w:rPr>
              <w:br/>
              <w:t>of filter</w:t>
            </w:r>
            <w:r>
              <w:rPr>
                <w:lang w:val="en-US"/>
              </w:rPr>
              <w:br/>
              <w:t>(dB(W/4 kHz))</w:t>
            </w:r>
          </w:p>
        </w:tc>
        <w:tc>
          <w:tcPr>
            <w:tcW w:w="2400" w:type="dxa"/>
            <w:vAlign w:val="center"/>
          </w:tcPr>
          <w:p w:rsidR="00B9359B" w:rsidRDefault="009A5268">
            <w:pPr>
              <w:pStyle w:val="Tablehead"/>
              <w:framePr w:hSpace="181" w:wrap="notBeside" w:vAnchor="text" w:hAnchor="text" w:xAlign="center" w:y="1"/>
              <w:spacing w:before="120" w:after="120"/>
              <w:rPr>
                <w:lang w:val="en-US"/>
              </w:rPr>
            </w:pPr>
            <w:r>
              <w:rPr>
                <w:lang w:val="en-US"/>
              </w:rPr>
              <w:t>e.i.r.p. density at the output of the antenna</w:t>
            </w:r>
            <w:r>
              <w:rPr>
                <w:lang w:val="en-US"/>
              </w:rPr>
              <w:br/>
              <w:t>(dB(W/4 kHz))</w:t>
            </w:r>
          </w:p>
        </w:tc>
        <w:tc>
          <w:tcPr>
            <w:tcW w:w="2640" w:type="dxa"/>
            <w:vAlign w:val="center"/>
          </w:tcPr>
          <w:p w:rsidR="00B9359B" w:rsidRDefault="009A5268">
            <w:pPr>
              <w:pStyle w:val="Tablehead"/>
              <w:framePr w:hSpace="181" w:wrap="notBeside" w:vAnchor="text" w:hAnchor="text" w:xAlign="center" w:y="1"/>
              <w:spacing w:before="120" w:after="120"/>
              <w:rPr>
                <w:lang w:val="en-US"/>
              </w:rPr>
            </w:pPr>
            <w:r>
              <w:rPr>
                <w:lang w:val="en-US"/>
              </w:rPr>
              <w:t>pfd at the surface</w:t>
            </w:r>
            <w:r>
              <w:rPr>
                <w:lang w:val="en-US"/>
              </w:rPr>
              <w:br/>
              <w:t>of the Earth</w:t>
            </w:r>
            <w:r>
              <w:rPr>
                <w:lang w:val="en-US"/>
              </w:rPr>
              <w:br/>
              <w:t>(dB(W/(m</w:t>
            </w:r>
            <w:r>
              <w:rPr>
                <w:vertAlign w:val="superscript"/>
                <w:lang w:val="en-US"/>
              </w:rPr>
              <w:t>2</w:t>
            </w:r>
            <w:r>
              <w:rPr>
                <w:lang w:val="en-US"/>
              </w:rPr>
              <w:t> · 4 kHz)))</w:t>
            </w:r>
          </w:p>
        </w:tc>
      </w:tr>
      <w:tr w:rsidR="00B9359B">
        <w:tc>
          <w:tcPr>
            <w:tcW w:w="0" w:type="auto"/>
          </w:tcPr>
          <w:p w:rsidR="00B9359B" w:rsidRDefault="009A5268">
            <w:pPr>
              <w:pStyle w:val="Tabletext"/>
              <w:framePr w:hSpace="181" w:wrap="notBeside" w:vAnchor="text" w:hAnchor="text" w:xAlign="center" w:y="1"/>
              <w:spacing w:before="80" w:after="80"/>
              <w:jc w:val="center"/>
              <w:rPr>
                <w:lang w:val="en-US"/>
              </w:rPr>
            </w:pPr>
            <w:r>
              <w:rPr>
                <w:lang w:val="en-US"/>
              </w:rPr>
              <w:t>1</w:t>
            </w:r>
            <w:r>
              <w:rPr>
                <w:rFonts w:ascii="Tms Rmn" w:hAnsi="Tms Rmn"/>
                <w:sz w:val="12"/>
                <w:lang w:val="en-US"/>
              </w:rPr>
              <w:t> </w:t>
            </w:r>
            <w:r>
              <w:rPr>
                <w:lang w:val="en-US"/>
              </w:rPr>
              <w:t>300</w:t>
            </w:r>
          </w:p>
        </w:tc>
        <w:tc>
          <w:tcPr>
            <w:tcW w:w="3155" w:type="dxa"/>
          </w:tcPr>
          <w:p w:rsidR="00B9359B" w:rsidRDefault="009A5268">
            <w:pPr>
              <w:pStyle w:val="Tabletext"/>
              <w:framePr w:hSpace="181" w:wrap="notBeside" w:vAnchor="text" w:hAnchor="text" w:xAlign="center" w:y="1"/>
              <w:spacing w:before="80" w:after="80"/>
              <w:jc w:val="center"/>
              <w:rPr>
                <w:lang w:val="en-US"/>
              </w:rPr>
            </w:pPr>
            <w:r>
              <w:rPr>
                <w:lang w:val="en-US"/>
              </w:rPr>
              <w:t>–80</w:t>
            </w:r>
          </w:p>
        </w:tc>
        <w:tc>
          <w:tcPr>
            <w:tcW w:w="2400"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35"/>
              </w:tabs>
              <w:spacing w:before="80" w:after="80"/>
              <w:jc w:val="left"/>
              <w:rPr>
                <w:lang w:val="en-US"/>
              </w:rPr>
            </w:pPr>
            <w:r>
              <w:rPr>
                <w:lang w:val="en-US"/>
              </w:rPr>
              <w:t>–39</w:t>
            </w:r>
          </w:p>
        </w:tc>
        <w:tc>
          <w:tcPr>
            <w:tcW w:w="2640" w:type="dxa"/>
          </w:tcPr>
          <w:p w:rsidR="00B9359B" w:rsidRDefault="009A5268">
            <w:pPr>
              <w:pStyle w:val="Tabletext"/>
              <w:framePr w:hSpace="181" w:wrap="notBeside" w:vAnchor="text" w:hAnchor="text" w:xAlign="center" w:y="1"/>
              <w:spacing w:before="80" w:after="80"/>
              <w:jc w:val="center"/>
              <w:rPr>
                <w:lang w:val="en-US"/>
              </w:rPr>
            </w:pPr>
            <w:r>
              <w:rPr>
                <w:lang w:val="en-US"/>
              </w:rPr>
              <w:t>–202</w:t>
            </w:r>
          </w:p>
        </w:tc>
      </w:tr>
      <w:tr w:rsidR="00B9359B">
        <w:tc>
          <w:tcPr>
            <w:tcW w:w="0" w:type="auto"/>
          </w:tcPr>
          <w:p w:rsidR="00B9359B" w:rsidRDefault="009A5268">
            <w:pPr>
              <w:pStyle w:val="Tabletext"/>
              <w:framePr w:hSpace="181" w:wrap="notBeside" w:vAnchor="text" w:hAnchor="text" w:xAlign="center" w:y="1"/>
              <w:spacing w:before="80" w:after="80"/>
              <w:jc w:val="center"/>
              <w:rPr>
                <w:lang w:val="en-US"/>
              </w:rPr>
            </w:pPr>
            <w:r>
              <w:rPr>
                <w:lang w:val="en-US"/>
              </w:rPr>
              <w:t>1</w:t>
            </w:r>
            <w:r>
              <w:rPr>
                <w:rFonts w:ascii="Tms Rmn" w:hAnsi="Tms Rmn"/>
                <w:sz w:val="12"/>
                <w:lang w:val="en-US"/>
              </w:rPr>
              <w:t> </w:t>
            </w:r>
            <w:r>
              <w:rPr>
                <w:lang w:val="en-US"/>
              </w:rPr>
              <w:t>406</w:t>
            </w:r>
          </w:p>
        </w:tc>
        <w:tc>
          <w:tcPr>
            <w:tcW w:w="3155" w:type="dxa"/>
          </w:tcPr>
          <w:p w:rsidR="00B9359B" w:rsidRDefault="009A5268">
            <w:pPr>
              <w:pStyle w:val="Tabletext"/>
              <w:framePr w:hSpace="181" w:wrap="notBeside" w:vAnchor="text" w:hAnchor="text" w:xAlign="center" w:y="1"/>
              <w:spacing w:before="80" w:after="80"/>
              <w:jc w:val="center"/>
              <w:rPr>
                <w:lang w:val="en-US"/>
              </w:rPr>
            </w:pPr>
            <w:r>
              <w:rPr>
                <w:lang w:val="en-US"/>
              </w:rPr>
              <w:t>–80</w:t>
            </w:r>
          </w:p>
        </w:tc>
        <w:tc>
          <w:tcPr>
            <w:tcW w:w="2400"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35"/>
              </w:tabs>
              <w:spacing w:before="80" w:after="80"/>
              <w:jc w:val="left"/>
              <w:rPr>
                <w:lang w:val="en-US"/>
              </w:rPr>
            </w:pPr>
            <w:r>
              <w:rPr>
                <w:lang w:val="en-US"/>
              </w:rPr>
              <w:t>–39</w:t>
            </w:r>
          </w:p>
        </w:tc>
        <w:tc>
          <w:tcPr>
            <w:tcW w:w="2640" w:type="dxa"/>
          </w:tcPr>
          <w:p w:rsidR="00B9359B" w:rsidRDefault="009A5268">
            <w:pPr>
              <w:pStyle w:val="Tabletext"/>
              <w:framePr w:hSpace="181" w:wrap="notBeside" w:vAnchor="text" w:hAnchor="text" w:xAlign="center" w:y="1"/>
              <w:spacing w:before="80" w:after="80"/>
              <w:jc w:val="center"/>
              <w:rPr>
                <w:lang w:val="en-US"/>
              </w:rPr>
            </w:pPr>
            <w:r>
              <w:rPr>
                <w:lang w:val="en-US"/>
              </w:rPr>
              <w:t>–202</w:t>
            </w:r>
          </w:p>
        </w:tc>
      </w:tr>
      <w:tr w:rsidR="00B9359B">
        <w:tc>
          <w:tcPr>
            <w:tcW w:w="0" w:type="auto"/>
          </w:tcPr>
          <w:p w:rsidR="00B9359B" w:rsidRDefault="009A5268">
            <w:pPr>
              <w:pStyle w:val="Tabletext"/>
              <w:framePr w:hSpace="181" w:wrap="notBeside" w:vAnchor="text" w:hAnchor="text" w:xAlign="center" w:y="1"/>
              <w:spacing w:before="80" w:after="80"/>
              <w:jc w:val="center"/>
              <w:rPr>
                <w:lang w:val="en-US"/>
              </w:rPr>
            </w:pPr>
            <w:r>
              <w:rPr>
                <w:lang w:val="en-US"/>
              </w:rPr>
              <w:t>1</w:t>
            </w:r>
            <w:r>
              <w:rPr>
                <w:rFonts w:ascii="Tms Rmn" w:hAnsi="Tms Rmn"/>
                <w:sz w:val="12"/>
                <w:lang w:val="en-US"/>
              </w:rPr>
              <w:t> </w:t>
            </w:r>
            <w:r>
              <w:rPr>
                <w:lang w:val="en-US"/>
              </w:rPr>
              <w:t>457</w:t>
            </w:r>
          </w:p>
        </w:tc>
        <w:tc>
          <w:tcPr>
            <w:tcW w:w="3155" w:type="dxa"/>
          </w:tcPr>
          <w:p w:rsidR="00B9359B" w:rsidRDefault="009A5268">
            <w:pPr>
              <w:pStyle w:val="Tabletext"/>
              <w:framePr w:hSpace="181" w:wrap="notBeside" w:vAnchor="text" w:hAnchor="text" w:xAlign="center" w:y="1"/>
              <w:spacing w:before="80" w:after="80"/>
              <w:jc w:val="center"/>
              <w:rPr>
                <w:lang w:val="en-US"/>
              </w:rPr>
            </w:pPr>
            <w:r>
              <w:rPr>
                <w:lang w:val="en-US"/>
              </w:rPr>
              <w:t>–75</w:t>
            </w:r>
          </w:p>
        </w:tc>
        <w:tc>
          <w:tcPr>
            <w:tcW w:w="2400"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35"/>
              </w:tabs>
              <w:spacing w:before="80" w:after="80"/>
              <w:jc w:val="left"/>
              <w:rPr>
                <w:lang w:val="en-US"/>
              </w:rPr>
            </w:pPr>
            <w:r>
              <w:rPr>
                <w:lang w:val="en-US"/>
              </w:rPr>
              <w:t>–24</w:t>
            </w:r>
          </w:p>
        </w:tc>
        <w:tc>
          <w:tcPr>
            <w:tcW w:w="2640" w:type="dxa"/>
          </w:tcPr>
          <w:p w:rsidR="00B9359B" w:rsidRDefault="009A5268">
            <w:pPr>
              <w:pStyle w:val="Tabletext"/>
              <w:framePr w:hSpace="181" w:wrap="notBeside" w:vAnchor="text" w:hAnchor="text" w:xAlign="center" w:y="1"/>
              <w:spacing w:before="80" w:after="80"/>
              <w:jc w:val="center"/>
              <w:rPr>
                <w:lang w:val="en-US"/>
              </w:rPr>
            </w:pPr>
            <w:r>
              <w:rPr>
                <w:lang w:val="en-US"/>
              </w:rPr>
              <w:t>–197</w:t>
            </w:r>
          </w:p>
        </w:tc>
      </w:tr>
      <w:tr w:rsidR="00B9359B">
        <w:tc>
          <w:tcPr>
            <w:tcW w:w="0" w:type="auto"/>
          </w:tcPr>
          <w:p w:rsidR="00B9359B" w:rsidRDefault="009A5268">
            <w:pPr>
              <w:pStyle w:val="Tabletext"/>
              <w:framePr w:hSpace="181" w:wrap="notBeside" w:vAnchor="text" w:hAnchor="text" w:xAlign="center" w:y="1"/>
              <w:spacing w:before="80" w:after="80"/>
              <w:jc w:val="center"/>
              <w:rPr>
                <w:lang w:val="en-US"/>
              </w:rPr>
            </w:pPr>
            <w:r>
              <w:rPr>
                <w:lang w:val="en-US"/>
              </w:rPr>
              <w:t>1</w:t>
            </w:r>
            <w:r>
              <w:rPr>
                <w:rFonts w:ascii="Tms Rmn" w:hAnsi="Tms Rmn"/>
                <w:sz w:val="12"/>
                <w:lang w:val="en-US"/>
              </w:rPr>
              <w:t> </w:t>
            </w:r>
            <w:r>
              <w:rPr>
                <w:lang w:val="en-US"/>
              </w:rPr>
              <w:t>474</w:t>
            </w:r>
          </w:p>
        </w:tc>
        <w:tc>
          <w:tcPr>
            <w:tcW w:w="3155" w:type="dxa"/>
          </w:tcPr>
          <w:p w:rsidR="00B9359B" w:rsidRDefault="009A5268">
            <w:pPr>
              <w:pStyle w:val="Tabletext"/>
              <w:framePr w:hSpace="181" w:wrap="notBeside" w:vAnchor="text" w:hAnchor="text" w:xAlign="center" w:y="1"/>
              <w:spacing w:before="80" w:after="80"/>
              <w:jc w:val="center"/>
              <w:rPr>
                <w:lang w:val="en-US"/>
              </w:rPr>
            </w:pPr>
            <w:r>
              <w:rPr>
                <w:lang w:val="en-US"/>
              </w:rPr>
              <w:t>–65</w:t>
            </w:r>
          </w:p>
        </w:tc>
        <w:tc>
          <w:tcPr>
            <w:tcW w:w="2400"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35"/>
              </w:tabs>
              <w:spacing w:before="80" w:after="80"/>
              <w:jc w:val="left"/>
              <w:rPr>
                <w:lang w:val="en-US"/>
              </w:rPr>
            </w:pPr>
            <w:r>
              <w:rPr>
                <w:lang w:val="en-US"/>
              </w:rPr>
              <w:t>–14</w:t>
            </w:r>
          </w:p>
        </w:tc>
        <w:tc>
          <w:tcPr>
            <w:tcW w:w="2640" w:type="dxa"/>
          </w:tcPr>
          <w:p w:rsidR="00B9359B" w:rsidRDefault="009A5268">
            <w:pPr>
              <w:pStyle w:val="Tabletext"/>
              <w:framePr w:hSpace="181" w:wrap="notBeside" w:vAnchor="text" w:hAnchor="text" w:xAlign="center" w:y="1"/>
              <w:spacing w:before="80" w:after="80"/>
              <w:jc w:val="center"/>
              <w:rPr>
                <w:lang w:val="en-US"/>
              </w:rPr>
            </w:pPr>
            <w:r>
              <w:rPr>
                <w:lang w:val="en-US"/>
              </w:rPr>
              <w:t>–187</w:t>
            </w:r>
          </w:p>
        </w:tc>
      </w:tr>
      <w:tr w:rsidR="00B9359B">
        <w:tc>
          <w:tcPr>
            <w:tcW w:w="0" w:type="auto"/>
          </w:tcPr>
          <w:p w:rsidR="00B9359B" w:rsidRDefault="009A5268">
            <w:pPr>
              <w:pStyle w:val="Tabletext"/>
              <w:framePr w:hSpace="181" w:wrap="notBeside" w:vAnchor="text" w:hAnchor="text" w:xAlign="center" w:y="1"/>
              <w:spacing w:before="80" w:after="80"/>
              <w:jc w:val="center"/>
              <w:rPr>
                <w:lang w:val="en-US"/>
              </w:rPr>
            </w:pPr>
            <w:r>
              <w:rPr>
                <w:lang w:val="en-US"/>
              </w:rPr>
              <w:t>1</w:t>
            </w:r>
            <w:r>
              <w:rPr>
                <w:rFonts w:ascii="Tms Rmn" w:hAnsi="Tms Rmn"/>
                <w:sz w:val="12"/>
                <w:lang w:val="en-US"/>
              </w:rPr>
              <w:t> </w:t>
            </w:r>
            <w:r>
              <w:rPr>
                <w:lang w:val="en-US"/>
              </w:rPr>
              <w:t>491</w:t>
            </w:r>
          </w:p>
        </w:tc>
        <w:tc>
          <w:tcPr>
            <w:tcW w:w="3155" w:type="dxa"/>
          </w:tcPr>
          <w:p w:rsidR="00B9359B" w:rsidRDefault="009A5268">
            <w:pPr>
              <w:pStyle w:val="Tabletext"/>
              <w:framePr w:hSpace="181" w:wrap="notBeside" w:vAnchor="text" w:hAnchor="text" w:xAlign="center" w:y="1"/>
              <w:spacing w:before="80" w:after="80"/>
              <w:jc w:val="center"/>
              <w:rPr>
                <w:lang w:val="en-US"/>
              </w:rPr>
            </w:pPr>
            <w:r>
              <w:rPr>
                <w:lang w:val="en-US"/>
              </w:rPr>
              <w:t>–</w:t>
            </w:r>
            <w:r>
              <w:rPr>
                <w:sz w:val="4"/>
                <w:lang w:val="en-US"/>
              </w:rPr>
              <w:t> </w:t>
            </w:r>
            <w:r>
              <w:rPr>
                <w:lang w:val="en-US"/>
              </w:rPr>
              <w:t>45</w:t>
            </w:r>
          </w:p>
        </w:tc>
        <w:tc>
          <w:tcPr>
            <w:tcW w:w="2400"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35"/>
              </w:tabs>
              <w:spacing w:before="80" w:after="80"/>
              <w:jc w:val="left"/>
              <w:rPr>
                <w:lang w:val="en-US"/>
              </w:rPr>
            </w:pPr>
            <w:r>
              <w:rPr>
                <w:lang w:val="en-US"/>
              </w:rPr>
              <w:t>–</w:t>
            </w:r>
            <w:r>
              <w:rPr>
                <w:sz w:val="4"/>
                <w:lang w:val="en-US"/>
              </w:rPr>
              <w:t> </w:t>
            </w:r>
            <w:r>
              <w:rPr>
                <w:lang w:val="en-US"/>
              </w:rPr>
              <w:t>4</w:t>
            </w:r>
          </w:p>
        </w:tc>
        <w:tc>
          <w:tcPr>
            <w:tcW w:w="2640" w:type="dxa"/>
          </w:tcPr>
          <w:p w:rsidR="00B9359B" w:rsidRDefault="009A5268">
            <w:pPr>
              <w:pStyle w:val="Tabletext"/>
              <w:framePr w:hSpace="181" w:wrap="notBeside" w:vAnchor="text" w:hAnchor="text" w:xAlign="center" w:y="1"/>
              <w:spacing w:before="80" w:after="80"/>
              <w:jc w:val="center"/>
              <w:rPr>
                <w:lang w:val="en-US"/>
              </w:rPr>
            </w:pPr>
            <w:r>
              <w:rPr>
                <w:lang w:val="en-US"/>
              </w:rPr>
              <w:t>–167</w:t>
            </w:r>
          </w:p>
        </w:tc>
      </w:tr>
      <w:tr w:rsidR="00B9359B">
        <w:tc>
          <w:tcPr>
            <w:tcW w:w="0" w:type="auto"/>
          </w:tcPr>
          <w:p w:rsidR="00B9359B" w:rsidRDefault="009A5268">
            <w:pPr>
              <w:pStyle w:val="Tabletext"/>
              <w:framePr w:hSpace="181" w:wrap="notBeside" w:vAnchor="text" w:hAnchor="text" w:xAlign="center" w:y="1"/>
              <w:spacing w:before="80" w:after="80"/>
              <w:jc w:val="center"/>
              <w:rPr>
                <w:lang w:val="en-US"/>
              </w:rPr>
            </w:pPr>
            <w:r>
              <w:rPr>
                <w:lang w:val="en-US"/>
              </w:rPr>
              <w:t>1</w:t>
            </w:r>
            <w:r>
              <w:rPr>
                <w:rFonts w:ascii="Tms Rmn" w:hAnsi="Tms Rmn"/>
                <w:sz w:val="12"/>
                <w:lang w:val="en-US"/>
              </w:rPr>
              <w:t> </w:t>
            </w:r>
            <w:r>
              <w:rPr>
                <w:lang w:val="en-US"/>
              </w:rPr>
              <w:t>508</w:t>
            </w:r>
          </w:p>
        </w:tc>
        <w:tc>
          <w:tcPr>
            <w:tcW w:w="3155" w:type="dxa"/>
          </w:tcPr>
          <w:p w:rsidR="00B9359B" w:rsidRDefault="009A5268">
            <w:pPr>
              <w:pStyle w:val="Tabletext"/>
              <w:framePr w:hSpace="181" w:wrap="notBeside" w:vAnchor="text" w:hAnchor="text" w:xAlign="center" w:y="1"/>
              <w:spacing w:before="80" w:after="80"/>
              <w:jc w:val="center"/>
              <w:rPr>
                <w:lang w:val="en-US"/>
              </w:rPr>
            </w:pPr>
            <w:r>
              <w:rPr>
                <w:lang w:val="en-US"/>
              </w:rPr>
              <w:t>–35</w:t>
            </w:r>
          </w:p>
        </w:tc>
        <w:tc>
          <w:tcPr>
            <w:tcW w:w="2400"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35"/>
              </w:tabs>
              <w:spacing w:before="80" w:after="80"/>
              <w:jc w:val="left"/>
              <w:rPr>
                <w:lang w:val="en-US"/>
              </w:rPr>
            </w:pPr>
            <w:r>
              <w:rPr>
                <w:lang w:val="en-US"/>
              </w:rPr>
              <w:t>6</w:t>
            </w:r>
          </w:p>
        </w:tc>
        <w:tc>
          <w:tcPr>
            <w:tcW w:w="2640" w:type="dxa"/>
          </w:tcPr>
          <w:p w:rsidR="00B9359B" w:rsidRDefault="009A5268">
            <w:pPr>
              <w:pStyle w:val="Tabletext"/>
              <w:framePr w:hSpace="181" w:wrap="notBeside" w:vAnchor="text" w:hAnchor="text" w:xAlign="center" w:y="1"/>
              <w:spacing w:before="80" w:after="80"/>
              <w:jc w:val="center"/>
              <w:rPr>
                <w:lang w:val="en-US"/>
              </w:rPr>
            </w:pPr>
            <w:r>
              <w:rPr>
                <w:lang w:val="en-US"/>
              </w:rPr>
              <w:t>–157</w:t>
            </w:r>
          </w:p>
        </w:tc>
      </w:tr>
      <w:tr w:rsidR="00B9359B">
        <w:tc>
          <w:tcPr>
            <w:tcW w:w="0" w:type="auto"/>
          </w:tcPr>
          <w:p w:rsidR="00B9359B" w:rsidRDefault="009A5268">
            <w:pPr>
              <w:pStyle w:val="Tabletext"/>
              <w:framePr w:hSpace="181" w:wrap="notBeside" w:vAnchor="text" w:hAnchor="text" w:xAlign="center" w:y="1"/>
              <w:spacing w:before="80" w:after="80"/>
              <w:jc w:val="center"/>
              <w:rPr>
                <w:lang w:val="en-US"/>
              </w:rPr>
            </w:pPr>
            <w:r>
              <w:rPr>
                <w:lang w:val="en-US"/>
              </w:rPr>
              <w:t>1</w:t>
            </w:r>
            <w:r>
              <w:rPr>
                <w:rFonts w:ascii="Tms Rmn" w:hAnsi="Tms Rmn"/>
                <w:sz w:val="12"/>
                <w:lang w:val="en-US"/>
              </w:rPr>
              <w:t> </w:t>
            </w:r>
            <w:r>
              <w:rPr>
                <w:lang w:val="en-US"/>
              </w:rPr>
              <w:t>525</w:t>
            </w:r>
          </w:p>
        </w:tc>
        <w:tc>
          <w:tcPr>
            <w:tcW w:w="3155" w:type="dxa"/>
          </w:tcPr>
          <w:p w:rsidR="00B9359B" w:rsidRDefault="009A5268">
            <w:pPr>
              <w:pStyle w:val="Tabletext"/>
              <w:framePr w:hSpace="181" w:wrap="notBeside" w:vAnchor="text" w:hAnchor="text" w:xAlign="center" w:y="1"/>
              <w:spacing w:before="80" w:after="80"/>
              <w:jc w:val="center"/>
              <w:rPr>
                <w:lang w:val="en-US"/>
              </w:rPr>
            </w:pPr>
            <w:r>
              <w:rPr>
                <w:lang w:val="en-US"/>
              </w:rPr>
              <w:t>–15</w:t>
            </w:r>
          </w:p>
        </w:tc>
        <w:tc>
          <w:tcPr>
            <w:tcW w:w="2400"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35"/>
              </w:tabs>
              <w:spacing w:before="80" w:after="80"/>
              <w:jc w:val="left"/>
              <w:rPr>
                <w:lang w:val="en-US"/>
              </w:rPr>
            </w:pPr>
            <w:r>
              <w:rPr>
                <w:lang w:val="en-US"/>
              </w:rPr>
              <w:t>26</w:t>
            </w:r>
          </w:p>
        </w:tc>
        <w:tc>
          <w:tcPr>
            <w:tcW w:w="2640" w:type="dxa"/>
          </w:tcPr>
          <w:p w:rsidR="00B9359B" w:rsidRDefault="009A5268">
            <w:pPr>
              <w:pStyle w:val="Tabletext"/>
              <w:framePr w:hSpace="181" w:wrap="notBeside" w:vAnchor="text" w:hAnchor="text" w:xAlign="center" w:y="1"/>
              <w:spacing w:before="80" w:after="80"/>
              <w:jc w:val="center"/>
              <w:rPr>
                <w:lang w:val="en-US"/>
              </w:rPr>
            </w:pPr>
            <w:r>
              <w:rPr>
                <w:lang w:val="en-US"/>
              </w:rPr>
              <w:t>–137</w:t>
            </w:r>
          </w:p>
        </w:tc>
      </w:tr>
      <w:tr w:rsidR="00B9359B">
        <w:tc>
          <w:tcPr>
            <w:tcW w:w="0" w:type="auto"/>
          </w:tcPr>
          <w:p w:rsidR="00B9359B" w:rsidRDefault="009A5268">
            <w:pPr>
              <w:pStyle w:val="Tabletext"/>
              <w:framePr w:hSpace="181" w:wrap="notBeside" w:vAnchor="text" w:hAnchor="text" w:xAlign="center" w:y="1"/>
              <w:spacing w:before="80" w:after="80"/>
              <w:jc w:val="center"/>
              <w:rPr>
                <w:lang w:val="en-US"/>
              </w:rPr>
            </w:pPr>
            <w:r>
              <w:rPr>
                <w:lang w:val="en-US"/>
              </w:rPr>
              <w:t>1</w:t>
            </w:r>
            <w:r>
              <w:rPr>
                <w:rFonts w:ascii="Tms Rmn" w:hAnsi="Tms Rmn"/>
                <w:sz w:val="12"/>
                <w:lang w:val="en-US"/>
              </w:rPr>
              <w:t> </w:t>
            </w:r>
            <w:r>
              <w:rPr>
                <w:lang w:val="en-US"/>
              </w:rPr>
              <w:t>559</w:t>
            </w:r>
          </w:p>
        </w:tc>
        <w:tc>
          <w:tcPr>
            <w:tcW w:w="3155" w:type="dxa"/>
          </w:tcPr>
          <w:p w:rsidR="00B9359B" w:rsidRDefault="009A5268">
            <w:pPr>
              <w:pStyle w:val="Tabletext"/>
              <w:framePr w:hSpace="181" w:wrap="notBeside" w:vAnchor="text" w:hAnchor="text" w:xAlign="center" w:y="1"/>
              <w:spacing w:before="80" w:after="80"/>
              <w:jc w:val="center"/>
              <w:rPr>
                <w:lang w:val="en-US"/>
              </w:rPr>
            </w:pPr>
            <w:r>
              <w:rPr>
                <w:lang w:val="en-US"/>
              </w:rPr>
              <w:t>–15</w:t>
            </w:r>
          </w:p>
        </w:tc>
        <w:tc>
          <w:tcPr>
            <w:tcW w:w="2400"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35"/>
              </w:tabs>
              <w:spacing w:before="80" w:after="80"/>
              <w:jc w:val="left"/>
              <w:rPr>
                <w:lang w:val="en-US"/>
              </w:rPr>
            </w:pPr>
            <w:r>
              <w:rPr>
                <w:lang w:val="en-US"/>
              </w:rPr>
              <w:t>26</w:t>
            </w:r>
          </w:p>
        </w:tc>
        <w:tc>
          <w:tcPr>
            <w:tcW w:w="2640" w:type="dxa"/>
          </w:tcPr>
          <w:p w:rsidR="00B9359B" w:rsidRDefault="009A5268">
            <w:pPr>
              <w:pStyle w:val="Tabletext"/>
              <w:framePr w:hSpace="181" w:wrap="notBeside" w:vAnchor="text" w:hAnchor="text" w:xAlign="center" w:y="1"/>
              <w:spacing w:before="80" w:after="80"/>
              <w:jc w:val="center"/>
              <w:rPr>
                <w:lang w:val="en-US"/>
              </w:rPr>
            </w:pPr>
            <w:r>
              <w:rPr>
                <w:lang w:val="en-US"/>
              </w:rPr>
              <w:t>–137</w:t>
            </w:r>
          </w:p>
        </w:tc>
      </w:tr>
      <w:tr w:rsidR="00B9359B">
        <w:tc>
          <w:tcPr>
            <w:tcW w:w="0" w:type="auto"/>
          </w:tcPr>
          <w:p w:rsidR="00B9359B" w:rsidRDefault="009A5268">
            <w:pPr>
              <w:pStyle w:val="Tabletext"/>
              <w:framePr w:hSpace="181" w:wrap="notBeside" w:vAnchor="text" w:hAnchor="text" w:xAlign="center" w:y="1"/>
              <w:spacing w:before="80" w:after="80"/>
              <w:jc w:val="center"/>
              <w:rPr>
                <w:lang w:val="en-US"/>
              </w:rPr>
            </w:pPr>
            <w:r>
              <w:rPr>
                <w:sz w:val="24"/>
                <w:lang w:val="en-US"/>
              </w:rPr>
              <w:br w:type="page"/>
            </w:r>
            <w:r>
              <w:rPr>
                <w:lang w:val="en-US"/>
              </w:rPr>
              <w:t>1</w:t>
            </w:r>
            <w:r>
              <w:rPr>
                <w:rFonts w:ascii="Tms Rmn" w:hAnsi="Tms Rmn"/>
                <w:sz w:val="12"/>
                <w:lang w:val="en-US"/>
              </w:rPr>
              <w:t> </w:t>
            </w:r>
            <w:r>
              <w:rPr>
                <w:lang w:val="en-US"/>
              </w:rPr>
              <w:t>576</w:t>
            </w:r>
          </w:p>
        </w:tc>
        <w:tc>
          <w:tcPr>
            <w:tcW w:w="3155" w:type="dxa"/>
          </w:tcPr>
          <w:p w:rsidR="00B9359B" w:rsidRDefault="009A5268">
            <w:pPr>
              <w:pStyle w:val="Tabletext"/>
              <w:framePr w:hSpace="181" w:wrap="notBeside" w:vAnchor="text" w:hAnchor="text" w:xAlign="center" w:y="1"/>
              <w:spacing w:before="80" w:after="80"/>
              <w:jc w:val="center"/>
              <w:rPr>
                <w:lang w:val="en-US"/>
              </w:rPr>
            </w:pPr>
            <w:r>
              <w:rPr>
                <w:lang w:val="en-US"/>
              </w:rPr>
              <w:t>–35</w:t>
            </w:r>
          </w:p>
        </w:tc>
        <w:tc>
          <w:tcPr>
            <w:tcW w:w="2400"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35"/>
              </w:tabs>
              <w:spacing w:before="80" w:after="80"/>
              <w:jc w:val="left"/>
              <w:rPr>
                <w:lang w:val="en-US"/>
              </w:rPr>
            </w:pPr>
            <w:r>
              <w:rPr>
                <w:lang w:val="en-US"/>
              </w:rPr>
              <w:t>6</w:t>
            </w:r>
          </w:p>
        </w:tc>
        <w:tc>
          <w:tcPr>
            <w:tcW w:w="2640" w:type="dxa"/>
          </w:tcPr>
          <w:p w:rsidR="00B9359B" w:rsidRDefault="009A5268">
            <w:pPr>
              <w:pStyle w:val="Tabletext"/>
              <w:framePr w:hSpace="181" w:wrap="notBeside" w:vAnchor="text" w:hAnchor="text" w:xAlign="center" w:y="1"/>
              <w:spacing w:before="80" w:after="80"/>
              <w:jc w:val="center"/>
              <w:rPr>
                <w:lang w:val="en-US"/>
              </w:rPr>
            </w:pPr>
            <w:r>
              <w:rPr>
                <w:lang w:val="en-US"/>
              </w:rPr>
              <w:t>–157</w:t>
            </w:r>
          </w:p>
        </w:tc>
      </w:tr>
      <w:tr w:rsidR="00B9359B">
        <w:tc>
          <w:tcPr>
            <w:tcW w:w="0" w:type="auto"/>
          </w:tcPr>
          <w:p w:rsidR="00B9359B" w:rsidRDefault="009A5268">
            <w:pPr>
              <w:pStyle w:val="Tabletext"/>
              <w:framePr w:hSpace="181" w:wrap="notBeside" w:vAnchor="text" w:hAnchor="text" w:xAlign="center" w:y="1"/>
              <w:spacing w:before="80" w:after="80"/>
              <w:jc w:val="center"/>
              <w:rPr>
                <w:lang w:val="en-US"/>
              </w:rPr>
            </w:pPr>
            <w:r>
              <w:rPr>
                <w:lang w:val="en-US"/>
              </w:rPr>
              <w:t>1</w:t>
            </w:r>
            <w:r>
              <w:rPr>
                <w:rFonts w:ascii="Tms Rmn" w:hAnsi="Tms Rmn"/>
                <w:sz w:val="12"/>
                <w:lang w:val="en-US"/>
              </w:rPr>
              <w:t> </w:t>
            </w:r>
            <w:r>
              <w:rPr>
                <w:lang w:val="en-US"/>
              </w:rPr>
              <w:t>593</w:t>
            </w:r>
          </w:p>
        </w:tc>
        <w:tc>
          <w:tcPr>
            <w:tcW w:w="3155" w:type="dxa"/>
          </w:tcPr>
          <w:p w:rsidR="00B9359B" w:rsidRDefault="009A5268">
            <w:pPr>
              <w:pStyle w:val="Tabletext"/>
              <w:framePr w:hSpace="181" w:wrap="notBeside" w:vAnchor="text" w:hAnchor="text" w:xAlign="center" w:y="1"/>
              <w:spacing w:before="80" w:after="80"/>
              <w:jc w:val="center"/>
              <w:rPr>
                <w:lang w:val="en-US"/>
              </w:rPr>
            </w:pPr>
            <w:r>
              <w:rPr>
                <w:lang w:val="en-US"/>
              </w:rPr>
              <w:t>–</w:t>
            </w:r>
            <w:r>
              <w:rPr>
                <w:sz w:val="4"/>
                <w:lang w:val="en-US"/>
              </w:rPr>
              <w:t> </w:t>
            </w:r>
            <w:r>
              <w:rPr>
                <w:lang w:val="en-US"/>
              </w:rPr>
              <w:t>45</w:t>
            </w:r>
          </w:p>
        </w:tc>
        <w:tc>
          <w:tcPr>
            <w:tcW w:w="2400"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35"/>
              </w:tabs>
              <w:spacing w:before="80" w:after="80"/>
              <w:jc w:val="left"/>
              <w:rPr>
                <w:lang w:val="en-US"/>
              </w:rPr>
            </w:pPr>
            <w:r>
              <w:rPr>
                <w:lang w:val="en-US"/>
              </w:rPr>
              <w:t>–</w:t>
            </w:r>
            <w:r>
              <w:rPr>
                <w:sz w:val="4"/>
                <w:lang w:val="en-US"/>
              </w:rPr>
              <w:t> </w:t>
            </w:r>
            <w:r>
              <w:rPr>
                <w:lang w:val="en-US"/>
              </w:rPr>
              <w:t>4</w:t>
            </w:r>
          </w:p>
        </w:tc>
        <w:tc>
          <w:tcPr>
            <w:tcW w:w="2640" w:type="dxa"/>
          </w:tcPr>
          <w:p w:rsidR="00B9359B" w:rsidRDefault="009A5268">
            <w:pPr>
              <w:pStyle w:val="Tabletext"/>
              <w:framePr w:hSpace="181" w:wrap="notBeside" w:vAnchor="text" w:hAnchor="text" w:xAlign="center" w:y="1"/>
              <w:spacing w:before="80" w:after="80"/>
              <w:jc w:val="center"/>
              <w:rPr>
                <w:lang w:val="en-US"/>
              </w:rPr>
            </w:pPr>
            <w:r>
              <w:rPr>
                <w:lang w:val="en-US"/>
              </w:rPr>
              <w:t>–167</w:t>
            </w:r>
          </w:p>
        </w:tc>
      </w:tr>
      <w:tr w:rsidR="00B9359B">
        <w:tc>
          <w:tcPr>
            <w:tcW w:w="0" w:type="auto"/>
          </w:tcPr>
          <w:p w:rsidR="00B9359B" w:rsidRDefault="009A5268">
            <w:pPr>
              <w:pStyle w:val="Tabletext"/>
              <w:framePr w:hSpace="181" w:wrap="notBeside" w:vAnchor="text" w:hAnchor="text" w:xAlign="center" w:y="1"/>
              <w:spacing w:before="80" w:after="80"/>
              <w:jc w:val="center"/>
              <w:rPr>
                <w:lang w:val="en-US"/>
              </w:rPr>
            </w:pPr>
            <w:r>
              <w:rPr>
                <w:lang w:val="en-US"/>
              </w:rPr>
              <w:t>1</w:t>
            </w:r>
            <w:r>
              <w:rPr>
                <w:rFonts w:ascii="Tms Rmn" w:hAnsi="Tms Rmn"/>
                <w:sz w:val="12"/>
                <w:lang w:val="en-US"/>
              </w:rPr>
              <w:t> </w:t>
            </w:r>
            <w:r>
              <w:rPr>
                <w:lang w:val="en-US"/>
              </w:rPr>
              <w:t>610</w:t>
            </w:r>
          </w:p>
        </w:tc>
        <w:tc>
          <w:tcPr>
            <w:tcW w:w="3155" w:type="dxa"/>
          </w:tcPr>
          <w:p w:rsidR="00B9359B" w:rsidRDefault="009A5268">
            <w:pPr>
              <w:pStyle w:val="Tabletext"/>
              <w:framePr w:hSpace="181" w:wrap="notBeside" w:vAnchor="text" w:hAnchor="text" w:xAlign="center" w:y="1"/>
              <w:spacing w:before="80" w:after="80"/>
              <w:jc w:val="center"/>
              <w:rPr>
                <w:lang w:val="en-US"/>
              </w:rPr>
            </w:pPr>
            <w:r>
              <w:rPr>
                <w:lang w:val="en-US"/>
              </w:rPr>
              <w:t>–65</w:t>
            </w:r>
          </w:p>
        </w:tc>
        <w:tc>
          <w:tcPr>
            <w:tcW w:w="2400"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35"/>
              </w:tabs>
              <w:spacing w:before="80" w:after="80"/>
              <w:jc w:val="left"/>
              <w:rPr>
                <w:lang w:val="en-US"/>
              </w:rPr>
            </w:pPr>
            <w:r>
              <w:rPr>
                <w:lang w:val="en-US"/>
              </w:rPr>
              <w:t>–14</w:t>
            </w:r>
          </w:p>
        </w:tc>
        <w:tc>
          <w:tcPr>
            <w:tcW w:w="2640" w:type="dxa"/>
          </w:tcPr>
          <w:p w:rsidR="00B9359B" w:rsidRDefault="009A5268">
            <w:pPr>
              <w:pStyle w:val="Tabletext"/>
              <w:framePr w:hSpace="181" w:wrap="notBeside" w:vAnchor="text" w:hAnchor="text" w:xAlign="center" w:y="1"/>
              <w:spacing w:before="80" w:after="80"/>
              <w:jc w:val="center"/>
              <w:rPr>
                <w:lang w:val="en-US"/>
              </w:rPr>
            </w:pPr>
            <w:r>
              <w:rPr>
                <w:lang w:val="en-US"/>
              </w:rPr>
              <w:t>–187</w:t>
            </w:r>
          </w:p>
        </w:tc>
      </w:tr>
      <w:tr w:rsidR="00B9359B">
        <w:tc>
          <w:tcPr>
            <w:tcW w:w="0" w:type="auto"/>
          </w:tcPr>
          <w:p w:rsidR="00B9359B" w:rsidRDefault="009A5268">
            <w:pPr>
              <w:pStyle w:val="Tabletext"/>
              <w:framePr w:hSpace="181" w:wrap="notBeside" w:vAnchor="text" w:hAnchor="text" w:xAlign="center" w:y="1"/>
              <w:spacing w:before="80" w:after="80"/>
              <w:jc w:val="center"/>
              <w:rPr>
                <w:lang w:val="en-US"/>
              </w:rPr>
            </w:pPr>
            <w:r>
              <w:rPr>
                <w:lang w:val="en-US"/>
              </w:rPr>
              <w:t>1</w:t>
            </w:r>
            <w:r>
              <w:rPr>
                <w:rFonts w:ascii="Tms Rmn" w:hAnsi="Tms Rmn"/>
                <w:sz w:val="12"/>
                <w:lang w:val="en-US"/>
              </w:rPr>
              <w:t> </w:t>
            </w:r>
            <w:r>
              <w:rPr>
                <w:lang w:val="en-US"/>
              </w:rPr>
              <w:t>627</w:t>
            </w:r>
          </w:p>
        </w:tc>
        <w:tc>
          <w:tcPr>
            <w:tcW w:w="3155" w:type="dxa"/>
          </w:tcPr>
          <w:p w:rsidR="00B9359B" w:rsidRDefault="009A5268">
            <w:pPr>
              <w:pStyle w:val="Tabletext"/>
              <w:framePr w:hSpace="181" w:wrap="notBeside" w:vAnchor="text" w:hAnchor="text" w:xAlign="center" w:y="1"/>
              <w:spacing w:before="80" w:after="80"/>
              <w:jc w:val="center"/>
              <w:rPr>
                <w:lang w:val="en-US"/>
              </w:rPr>
            </w:pPr>
            <w:r>
              <w:rPr>
                <w:lang w:val="en-US"/>
              </w:rPr>
              <w:t>–75</w:t>
            </w:r>
          </w:p>
        </w:tc>
        <w:tc>
          <w:tcPr>
            <w:tcW w:w="2400"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35"/>
              </w:tabs>
              <w:spacing w:before="80" w:after="80"/>
              <w:jc w:val="left"/>
              <w:rPr>
                <w:lang w:val="en-US"/>
              </w:rPr>
            </w:pPr>
            <w:r>
              <w:rPr>
                <w:lang w:val="en-US"/>
              </w:rPr>
              <w:t>–24</w:t>
            </w:r>
          </w:p>
        </w:tc>
        <w:tc>
          <w:tcPr>
            <w:tcW w:w="2640" w:type="dxa"/>
          </w:tcPr>
          <w:p w:rsidR="00B9359B" w:rsidRDefault="009A5268">
            <w:pPr>
              <w:pStyle w:val="Tabletext"/>
              <w:framePr w:hSpace="181" w:wrap="notBeside" w:vAnchor="text" w:hAnchor="text" w:xAlign="center" w:y="1"/>
              <w:spacing w:before="80" w:after="80"/>
              <w:jc w:val="center"/>
              <w:rPr>
                <w:lang w:val="en-US"/>
              </w:rPr>
            </w:pPr>
            <w:r>
              <w:rPr>
                <w:lang w:val="en-US"/>
              </w:rPr>
              <w:t>–197</w:t>
            </w:r>
          </w:p>
        </w:tc>
      </w:tr>
      <w:tr w:rsidR="00B9359B">
        <w:tc>
          <w:tcPr>
            <w:tcW w:w="0" w:type="auto"/>
          </w:tcPr>
          <w:p w:rsidR="00B9359B" w:rsidRDefault="009A5268">
            <w:pPr>
              <w:pStyle w:val="Tabletext"/>
              <w:framePr w:hSpace="181" w:wrap="notBeside" w:vAnchor="text" w:hAnchor="text" w:xAlign="center" w:y="1"/>
              <w:spacing w:before="80" w:after="80"/>
              <w:jc w:val="center"/>
              <w:rPr>
                <w:lang w:val="en-US"/>
              </w:rPr>
            </w:pPr>
            <w:r>
              <w:rPr>
                <w:lang w:val="en-US"/>
              </w:rPr>
              <w:t>1</w:t>
            </w:r>
            <w:r>
              <w:rPr>
                <w:rFonts w:ascii="Tms Rmn" w:hAnsi="Tms Rmn"/>
                <w:sz w:val="12"/>
                <w:lang w:val="en-US"/>
              </w:rPr>
              <w:t> </w:t>
            </w:r>
            <w:r>
              <w:rPr>
                <w:lang w:val="en-US"/>
              </w:rPr>
              <w:t>678</w:t>
            </w:r>
          </w:p>
        </w:tc>
        <w:tc>
          <w:tcPr>
            <w:tcW w:w="3155" w:type="dxa"/>
          </w:tcPr>
          <w:p w:rsidR="00B9359B" w:rsidRDefault="009A5268">
            <w:pPr>
              <w:pStyle w:val="Tabletext"/>
              <w:framePr w:hSpace="181" w:wrap="notBeside" w:vAnchor="text" w:hAnchor="text" w:xAlign="center" w:y="1"/>
              <w:spacing w:before="80" w:after="80"/>
              <w:jc w:val="center"/>
              <w:rPr>
                <w:lang w:val="en-US"/>
              </w:rPr>
            </w:pPr>
            <w:r>
              <w:rPr>
                <w:lang w:val="en-US"/>
              </w:rPr>
              <w:t>–80</w:t>
            </w:r>
          </w:p>
        </w:tc>
        <w:tc>
          <w:tcPr>
            <w:tcW w:w="2400"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35"/>
              </w:tabs>
              <w:spacing w:before="80" w:after="80"/>
              <w:jc w:val="left"/>
              <w:rPr>
                <w:lang w:val="en-US"/>
              </w:rPr>
            </w:pPr>
            <w:r>
              <w:rPr>
                <w:lang w:val="en-US"/>
              </w:rPr>
              <w:t>–39</w:t>
            </w:r>
          </w:p>
        </w:tc>
        <w:tc>
          <w:tcPr>
            <w:tcW w:w="2640" w:type="dxa"/>
          </w:tcPr>
          <w:p w:rsidR="00B9359B" w:rsidRDefault="009A5268">
            <w:pPr>
              <w:pStyle w:val="Tabletext"/>
              <w:framePr w:hSpace="181" w:wrap="notBeside" w:vAnchor="text" w:hAnchor="text" w:xAlign="center" w:y="1"/>
              <w:spacing w:before="80" w:after="80"/>
              <w:jc w:val="center"/>
              <w:rPr>
                <w:lang w:val="en-US"/>
              </w:rPr>
            </w:pPr>
            <w:r>
              <w:rPr>
                <w:lang w:val="en-US"/>
              </w:rPr>
              <w:t>–202</w:t>
            </w:r>
          </w:p>
        </w:tc>
      </w:tr>
      <w:tr w:rsidR="00B9359B">
        <w:tc>
          <w:tcPr>
            <w:tcW w:w="0" w:type="auto"/>
          </w:tcPr>
          <w:p w:rsidR="00B9359B" w:rsidRDefault="009A5268">
            <w:pPr>
              <w:pStyle w:val="Tabletext"/>
              <w:framePr w:hSpace="181" w:wrap="notBeside" w:vAnchor="text" w:hAnchor="text" w:xAlign="center" w:y="1"/>
              <w:spacing w:before="80" w:after="80"/>
              <w:jc w:val="center"/>
              <w:rPr>
                <w:lang w:val="en-US"/>
              </w:rPr>
            </w:pPr>
            <w:r>
              <w:rPr>
                <w:lang w:val="en-US"/>
              </w:rPr>
              <w:t>1</w:t>
            </w:r>
            <w:r>
              <w:rPr>
                <w:rFonts w:ascii="Tms Rmn" w:hAnsi="Tms Rmn"/>
                <w:sz w:val="12"/>
                <w:lang w:val="en-US"/>
              </w:rPr>
              <w:t> </w:t>
            </w:r>
            <w:r>
              <w:rPr>
                <w:lang w:val="en-US"/>
              </w:rPr>
              <w:t>700</w:t>
            </w:r>
          </w:p>
        </w:tc>
        <w:tc>
          <w:tcPr>
            <w:tcW w:w="3155" w:type="dxa"/>
          </w:tcPr>
          <w:p w:rsidR="00B9359B" w:rsidRDefault="009A5268">
            <w:pPr>
              <w:pStyle w:val="Tabletext"/>
              <w:framePr w:hSpace="181" w:wrap="notBeside" w:vAnchor="text" w:hAnchor="text" w:xAlign="center" w:y="1"/>
              <w:spacing w:before="80" w:after="80"/>
              <w:jc w:val="center"/>
              <w:rPr>
                <w:lang w:val="en-US"/>
              </w:rPr>
            </w:pPr>
            <w:r>
              <w:rPr>
                <w:lang w:val="en-US"/>
              </w:rPr>
              <w:t>–80</w:t>
            </w:r>
          </w:p>
        </w:tc>
        <w:tc>
          <w:tcPr>
            <w:tcW w:w="2400"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35"/>
              </w:tabs>
              <w:spacing w:before="80" w:after="80"/>
              <w:jc w:val="left"/>
              <w:rPr>
                <w:lang w:val="en-US"/>
              </w:rPr>
            </w:pPr>
            <w:r>
              <w:rPr>
                <w:lang w:val="en-US"/>
              </w:rPr>
              <w:t>–39</w:t>
            </w:r>
          </w:p>
        </w:tc>
        <w:tc>
          <w:tcPr>
            <w:tcW w:w="2640" w:type="dxa"/>
          </w:tcPr>
          <w:p w:rsidR="00B9359B" w:rsidRDefault="009A5268">
            <w:pPr>
              <w:pStyle w:val="Tabletext"/>
              <w:framePr w:hSpace="181" w:wrap="notBeside" w:vAnchor="text" w:hAnchor="text" w:xAlign="center" w:y="1"/>
              <w:spacing w:before="80" w:after="80"/>
              <w:jc w:val="center"/>
              <w:rPr>
                <w:lang w:val="en-US"/>
              </w:rPr>
            </w:pPr>
            <w:r>
              <w:rPr>
                <w:lang w:val="en-US"/>
              </w:rPr>
              <w:t>–202</w:t>
            </w:r>
          </w:p>
        </w:tc>
      </w:tr>
      <w:tr w:rsidR="00B9359B">
        <w:tc>
          <w:tcPr>
            <w:tcW w:w="0" w:type="auto"/>
          </w:tcPr>
          <w:p w:rsidR="00B9359B" w:rsidRDefault="009A5268">
            <w:pPr>
              <w:pStyle w:val="Tabletext"/>
              <w:framePr w:hSpace="181" w:wrap="notBeside" w:vAnchor="text" w:hAnchor="text" w:xAlign="center" w:y="1"/>
              <w:spacing w:before="80" w:after="80"/>
              <w:jc w:val="center"/>
              <w:rPr>
                <w:lang w:val="en-US"/>
              </w:rPr>
            </w:pPr>
            <w:r>
              <w:rPr>
                <w:lang w:val="en-US"/>
              </w:rPr>
              <w:t>1</w:t>
            </w:r>
            <w:r>
              <w:rPr>
                <w:rFonts w:ascii="Tms Rmn" w:hAnsi="Tms Rmn"/>
                <w:sz w:val="12"/>
                <w:lang w:val="en-US"/>
              </w:rPr>
              <w:t> </w:t>
            </w:r>
            <w:r>
              <w:rPr>
                <w:lang w:val="en-US"/>
              </w:rPr>
              <w:t>800</w:t>
            </w:r>
          </w:p>
        </w:tc>
        <w:tc>
          <w:tcPr>
            <w:tcW w:w="3155" w:type="dxa"/>
          </w:tcPr>
          <w:p w:rsidR="00B9359B" w:rsidRDefault="009A5268">
            <w:pPr>
              <w:pStyle w:val="Tabletext"/>
              <w:framePr w:hSpace="181" w:wrap="notBeside" w:vAnchor="text" w:hAnchor="text" w:xAlign="center" w:y="1"/>
              <w:spacing w:before="80" w:after="80"/>
              <w:jc w:val="center"/>
              <w:rPr>
                <w:lang w:val="en-US"/>
              </w:rPr>
            </w:pPr>
            <w:r>
              <w:rPr>
                <w:lang w:val="en-US"/>
              </w:rPr>
              <w:t>–80</w:t>
            </w:r>
          </w:p>
        </w:tc>
        <w:tc>
          <w:tcPr>
            <w:tcW w:w="2400"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35"/>
              </w:tabs>
              <w:spacing w:before="80" w:after="80"/>
              <w:jc w:val="left"/>
              <w:rPr>
                <w:lang w:val="en-US"/>
              </w:rPr>
            </w:pPr>
            <w:r>
              <w:rPr>
                <w:lang w:val="en-US"/>
              </w:rPr>
              <w:t>–39</w:t>
            </w:r>
          </w:p>
        </w:tc>
        <w:tc>
          <w:tcPr>
            <w:tcW w:w="2640" w:type="dxa"/>
          </w:tcPr>
          <w:p w:rsidR="00B9359B" w:rsidRDefault="009A5268">
            <w:pPr>
              <w:pStyle w:val="Tabletext"/>
              <w:framePr w:hSpace="181" w:wrap="notBeside" w:vAnchor="text" w:hAnchor="text" w:xAlign="center" w:y="1"/>
              <w:spacing w:before="80" w:after="80"/>
              <w:jc w:val="center"/>
              <w:rPr>
                <w:lang w:val="en-US"/>
              </w:rPr>
            </w:pPr>
            <w:r>
              <w:rPr>
                <w:lang w:val="en-US"/>
              </w:rPr>
              <w:t>–202</w:t>
            </w:r>
          </w:p>
        </w:tc>
      </w:tr>
    </w:tbl>
    <w:p w:rsidR="00B9359B" w:rsidRDefault="00B9359B">
      <w:pPr>
        <w:pStyle w:val="Tablefin"/>
      </w:pPr>
    </w:p>
    <w:p w:rsidR="00B9359B" w:rsidRDefault="00B9359B">
      <w:pPr>
        <w:rPr>
          <w:lang w:val="en-US"/>
        </w:rPr>
      </w:pPr>
      <w:bookmarkStart w:id="190" w:name="_Toc51045590"/>
    </w:p>
    <w:p w:rsidR="00B9359B" w:rsidRDefault="009A5268">
      <w:pPr>
        <w:pStyle w:val="Heading1"/>
        <w:rPr>
          <w:lang w:val="fr-CH"/>
        </w:rPr>
      </w:pPr>
      <w:r>
        <w:rPr>
          <w:lang w:val="fr-CH"/>
        </w:rPr>
        <w:t>5</w:t>
      </w:r>
      <w:r>
        <w:rPr>
          <w:lang w:val="fr-CH"/>
        </w:rPr>
        <w:tab/>
        <w:t>Mitigation techniques</w:t>
      </w:r>
      <w:bookmarkEnd w:id="190"/>
    </w:p>
    <w:p w:rsidR="00B9359B" w:rsidRDefault="009A5268">
      <w:pPr>
        <w:pStyle w:val="Heading2"/>
        <w:rPr>
          <w:lang w:val="fr-CH"/>
        </w:rPr>
      </w:pPr>
      <w:bookmarkStart w:id="191" w:name="_Toc51045591"/>
      <w:r>
        <w:rPr>
          <w:lang w:val="fr-CH"/>
        </w:rPr>
        <w:t>5.1</w:t>
      </w:r>
      <w:r>
        <w:rPr>
          <w:lang w:val="fr-CH"/>
        </w:rPr>
        <w:tab/>
        <w:t>RAS</w:t>
      </w:r>
      <w:bookmarkEnd w:id="191"/>
    </w:p>
    <w:p w:rsidR="00B9359B" w:rsidRDefault="009A5268">
      <w:pPr>
        <w:rPr>
          <w:snapToGrid w:val="0"/>
          <w:lang w:val="en-US"/>
        </w:rPr>
      </w:pPr>
      <w:r>
        <w:rPr>
          <w:snapToGrid w:val="0"/>
          <w:lang w:val="en-US"/>
        </w:rPr>
        <w:t>There are various methods, including those described below, which might be considered to reduce unwanted emissions from the satellite transmitters at a radio telescope.</w:t>
      </w:r>
    </w:p>
    <w:p w:rsidR="00B9359B" w:rsidRDefault="009A5268">
      <w:pPr>
        <w:rPr>
          <w:lang w:val="en-US"/>
        </w:rPr>
      </w:pPr>
      <w:r>
        <w:rPr>
          <w:i/>
          <w:lang w:val="en-US"/>
        </w:rPr>
        <w:t>Antenna sidelobe performance</w:t>
      </w:r>
      <w:r>
        <w:rPr>
          <w:lang w:val="en-US"/>
        </w:rPr>
        <w:t xml:space="preserve">:  The aperture illumination of radio telescopes is usually optimized for </w:t>
      </w:r>
      <w:r>
        <w:rPr>
          <w:i/>
          <w:iCs/>
          <w:lang w:val="en-US"/>
        </w:rPr>
        <w:t>G</w:t>
      </w:r>
      <w:r>
        <w:rPr>
          <w:lang w:val="en-US"/>
        </w:rPr>
        <w:t>/</w:t>
      </w:r>
      <w:r>
        <w:rPr>
          <w:i/>
          <w:iCs/>
          <w:lang w:val="en-US"/>
        </w:rPr>
        <w:t>T</w:t>
      </w:r>
      <w:r>
        <w:rPr>
          <w:lang w:val="en-US"/>
        </w:rPr>
        <w:t xml:space="preserve">, i.e. telescope gain divided by system temperature. This is to maximize the </w:t>
      </w:r>
      <w:r>
        <w:rPr>
          <w:i/>
          <w:iCs/>
          <w:lang w:val="en-US"/>
        </w:rPr>
        <w:t>S</w:t>
      </w:r>
      <w:r>
        <w:rPr>
          <w:lang w:val="en-US"/>
        </w:rPr>
        <w:t>/</w:t>
      </w:r>
      <w:r>
        <w:rPr>
          <w:i/>
          <w:iCs/>
          <w:lang w:val="en-US"/>
        </w:rPr>
        <w:t>N</w:t>
      </w:r>
      <w:r>
        <w:rPr>
          <w:lang w:val="en-US"/>
        </w:rPr>
        <w:t xml:space="preserve"> for point sources. A key element of this approach is to reduce ground radiation entering through far sidelobes. Inevitably this leads to some corresponding increase in the levels of near sidelobes. Experience has shown that the majority of radio telescopes meets the envelope sidelobe mask given in Recommendation ITU</w:t>
      </w:r>
      <w:r>
        <w:rPr>
          <w:lang w:val="en-US"/>
        </w:rPr>
        <w:noBreakHyphen/>
        <w:t>R SA.509 over most directions.</w:t>
      </w:r>
    </w:p>
    <w:p w:rsidR="00B9359B" w:rsidRDefault="009A5268">
      <w:pPr>
        <w:rPr>
          <w:lang w:val="en-US"/>
        </w:rPr>
      </w:pPr>
      <w:r>
        <w:rPr>
          <w:i/>
          <w:lang w:val="en-US"/>
        </w:rPr>
        <w:br w:type="page"/>
        <w:t>Blanking in time and/or frequency</w:t>
      </w:r>
      <w:r>
        <w:rPr>
          <w:lang w:val="en-US"/>
        </w:rPr>
        <w:t>:  This technique may be applied in some cases where inter</w:t>
      </w:r>
      <w:r>
        <w:rPr>
          <w:lang w:val="en-US"/>
        </w:rPr>
        <w:softHyphen/>
        <w:t>ference into the radio astronomy frequency band can be fully and unambiguously identified in time and/or frequency.</w:t>
      </w:r>
    </w:p>
    <w:p w:rsidR="00B9359B" w:rsidRDefault="009A5268">
      <w:pPr>
        <w:pStyle w:val="Heading2"/>
        <w:rPr>
          <w:lang w:val="en-US"/>
        </w:rPr>
      </w:pPr>
      <w:bookmarkStart w:id="192" w:name="_Toc51045592"/>
      <w:r>
        <w:rPr>
          <w:lang w:val="en-US"/>
        </w:rPr>
        <w:t>5.2</w:t>
      </w:r>
      <w:r>
        <w:rPr>
          <w:lang w:val="en-US"/>
        </w:rPr>
        <w:tab/>
        <w:t>MSS</w:t>
      </w:r>
      <w:bookmarkEnd w:id="192"/>
    </w:p>
    <w:p w:rsidR="00B9359B" w:rsidRDefault="009A5268">
      <w:pPr>
        <w:rPr>
          <w:lang w:val="en-US"/>
        </w:rPr>
      </w:pPr>
      <w:r>
        <w:rPr>
          <w:lang w:val="en-US"/>
        </w:rPr>
        <w:t>In order to improve the levels given in Table 11, the following mitigation techniques should be taken into account in the design of a new space station:</w:t>
      </w:r>
    </w:p>
    <w:p w:rsidR="00B9359B" w:rsidRDefault="009A5268">
      <w:pPr>
        <w:pStyle w:val="enumlev1"/>
        <w:rPr>
          <w:lang w:val="en-US"/>
        </w:rPr>
      </w:pPr>
      <w:r>
        <w:sym w:font="Symbol" w:char="F02D"/>
      </w:r>
      <w:r>
        <w:rPr>
          <w:lang w:val="en-US"/>
        </w:rPr>
        <w:tab/>
        <w:t>the wideband frequency response of the antenna;</w:t>
      </w:r>
    </w:p>
    <w:p w:rsidR="00B9359B" w:rsidRDefault="009A5268">
      <w:pPr>
        <w:pStyle w:val="enumlev1"/>
        <w:rPr>
          <w:lang w:val="en-US"/>
        </w:rPr>
      </w:pPr>
      <w:r>
        <w:sym w:font="Symbol" w:char="F02D"/>
      </w:r>
      <w:r>
        <w:rPr>
          <w:lang w:val="en-US"/>
        </w:rPr>
        <w:tab/>
        <w:t>the attenuation characteristics of intermediate filters;</w:t>
      </w:r>
    </w:p>
    <w:p w:rsidR="00B9359B" w:rsidRDefault="009A5268">
      <w:pPr>
        <w:pStyle w:val="enumlev1"/>
        <w:rPr>
          <w:lang w:val="en-US"/>
        </w:rPr>
      </w:pPr>
      <w:r>
        <w:sym w:font="Symbol" w:char="F02D"/>
      </w:r>
      <w:r>
        <w:rPr>
          <w:lang w:val="en-US"/>
        </w:rPr>
        <w:tab/>
        <w:t>the gain frequency response of solid state power amplifiers;</w:t>
      </w:r>
    </w:p>
    <w:p w:rsidR="00B9359B" w:rsidRDefault="009A5268">
      <w:pPr>
        <w:pStyle w:val="enumlev1"/>
        <w:rPr>
          <w:lang w:val="en-US"/>
        </w:rPr>
      </w:pPr>
      <w:r>
        <w:sym w:font="Symbol" w:char="F02D"/>
      </w:r>
      <w:r>
        <w:rPr>
          <w:lang w:val="en-US"/>
        </w:rPr>
        <w:tab/>
        <w:t>the modulation characteristics of individual carriers;</w:t>
      </w:r>
    </w:p>
    <w:p w:rsidR="00B9359B" w:rsidRDefault="009A5268">
      <w:pPr>
        <w:pStyle w:val="enumlev1"/>
        <w:rPr>
          <w:lang w:val="en-US"/>
        </w:rPr>
      </w:pPr>
      <w:r>
        <w:sym w:font="Symbol" w:char="F02D"/>
      </w:r>
      <w:r>
        <w:rPr>
          <w:lang w:val="en-US"/>
        </w:rPr>
        <w:tab/>
        <w:t>the attenuation of inter-modulation products with respect to the power of the carriers.</w:t>
      </w:r>
    </w:p>
    <w:p w:rsidR="00B9359B" w:rsidRDefault="009A5268">
      <w:pPr>
        <w:pStyle w:val="Heading2"/>
        <w:rPr>
          <w:lang w:val="en-US"/>
        </w:rPr>
      </w:pPr>
      <w:bookmarkStart w:id="193" w:name="_Toc51045593"/>
      <w:r>
        <w:rPr>
          <w:lang w:val="en-US"/>
        </w:rPr>
        <w:t>5.3</w:t>
      </w:r>
      <w:r>
        <w:rPr>
          <w:lang w:val="en-US"/>
        </w:rPr>
        <w:tab/>
        <w:t>Potential impact</w:t>
      </w:r>
      <w:bookmarkEnd w:id="193"/>
    </w:p>
    <w:p w:rsidR="00B9359B" w:rsidRDefault="009A5268">
      <w:pPr>
        <w:pStyle w:val="Heading3"/>
        <w:rPr>
          <w:lang w:val="en-US"/>
        </w:rPr>
      </w:pPr>
      <w:bookmarkStart w:id="194" w:name="_Toc51045594"/>
      <w:r>
        <w:rPr>
          <w:lang w:val="en-US"/>
        </w:rPr>
        <w:t>5.3.1</w:t>
      </w:r>
      <w:r>
        <w:rPr>
          <w:lang w:val="en-US"/>
        </w:rPr>
        <w:tab/>
        <w:t>RAS</w:t>
      </w:r>
      <w:bookmarkEnd w:id="194"/>
    </w:p>
    <w:p w:rsidR="00B9359B" w:rsidRDefault="009A5268">
      <w:pPr>
        <w:rPr>
          <w:lang w:val="en-US"/>
        </w:rPr>
      </w:pPr>
      <w:r>
        <w:rPr>
          <w:lang w:val="en-US"/>
        </w:rPr>
        <w:t>On the basis of the analysis in § 4, and the nature of the mitigation techniques listed in § 5.1, there could be some loss of observing time when satellites travel through the main or inner sidelobes of the antenna. The extent of this loss will depend upon the radio telescope antenna and the number of satellites. The data loss issue is discussed in Recommendation ITU</w:t>
      </w:r>
      <w:r>
        <w:rPr>
          <w:lang w:val="en-US"/>
        </w:rPr>
        <w:noBreakHyphen/>
        <w:t>R RA.1513.</w:t>
      </w:r>
    </w:p>
    <w:p w:rsidR="00B9359B" w:rsidRDefault="009A5268">
      <w:pPr>
        <w:pStyle w:val="Heading3"/>
        <w:rPr>
          <w:lang w:val="en-US"/>
        </w:rPr>
      </w:pPr>
      <w:bookmarkStart w:id="195" w:name="_Toc51045595"/>
      <w:r>
        <w:rPr>
          <w:lang w:val="en-US"/>
        </w:rPr>
        <w:t>5.3.2</w:t>
      </w:r>
      <w:r>
        <w:rPr>
          <w:lang w:val="en-US"/>
        </w:rPr>
        <w:tab/>
        <w:t>SMS</w:t>
      </w:r>
      <w:bookmarkEnd w:id="195"/>
    </w:p>
    <w:p w:rsidR="00B9359B" w:rsidRDefault="009A5268">
      <w:pPr>
        <w:rPr>
          <w:lang w:val="en-US"/>
        </w:rPr>
      </w:pPr>
      <w:r>
        <w:rPr>
          <w:lang w:val="en-US"/>
        </w:rPr>
        <w:t>The mitigation techniques in § 5.2 are deemed technically feasible for GSO systems.</w:t>
      </w:r>
    </w:p>
    <w:p w:rsidR="00B9359B" w:rsidRDefault="009A5268">
      <w:pPr>
        <w:pStyle w:val="Heading1"/>
        <w:rPr>
          <w:lang w:val="en-US"/>
        </w:rPr>
      </w:pPr>
      <w:bookmarkStart w:id="196" w:name="_Toc51045596"/>
      <w:r>
        <w:rPr>
          <w:lang w:val="en-US"/>
        </w:rPr>
        <w:t>6</w:t>
      </w:r>
      <w:r>
        <w:rPr>
          <w:lang w:val="en-US"/>
        </w:rPr>
        <w:tab/>
        <w:t>Results of studies</w:t>
      </w:r>
      <w:bookmarkEnd w:id="196"/>
    </w:p>
    <w:p w:rsidR="00B9359B" w:rsidRDefault="009A5268">
      <w:pPr>
        <w:pStyle w:val="Heading2"/>
        <w:rPr>
          <w:lang w:val="en-US"/>
        </w:rPr>
      </w:pPr>
      <w:bookmarkStart w:id="197" w:name="_Toc51045597"/>
      <w:r>
        <w:rPr>
          <w:lang w:val="en-US"/>
        </w:rPr>
        <w:t>6.1</w:t>
      </w:r>
      <w:r>
        <w:rPr>
          <w:lang w:val="en-US"/>
        </w:rPr>
        <w:tab/>
        <w:t>Summary</w:t>
      </w:r>
      <w:bookmarkEnd w:id="197"/>
    </w:p>
    <w:p w:rsidR="00B9359B" w:rsidRDefault="009A5268">
      <w:pPr>
        <w:rPr>
          <w:lang w:val="en-US"/>
        </w:rPr>
      </w:pPr>
      <w:r>
        <w:rPr>
          <w:lang w:val="en-US"/>
        </w:rPr>
        <w:t>Based on the parameters of one GSO mobile-satellite system of one operator and taking into account the mitigation factors listed in § 5.2, it is likely that the unwanted emission levels from this satellite system meet the criteria discussed in § 1.3. No single-dish continuum observations are made in this band.</w:t>
      </w:r>
    </w:p>
    <w:p w:rsidR="00B9359B" w:rsidRDefault="009A5268">
      <w:pPr>
        <w:pStyle w:val="Heading2"/>
        <w:rPr>
          <w:lang w:val="en-US"/>
        </w:rPr>
      </w:pPr>
      <w:bookmarkStart w:id="198" w:name="_Toc51045598"/>
      <w:r>
        <w:rPr>
          <w:lang w:val="en-US"/>
        </w:rPr>
        <w:t>6.2</w:t>
      </w:r>
      <w:r>
        <w:rPr>
          <w:lang w:val="en-US"/>
        </w:rPr>
        <w:tab/>
        <w:t>Conclusions</w:t>
      </w:r>
      <w:bookmarkEnd w:id="198"/>
    </w:p>
    <w:p w:rsidR="00B9359B" w:rsidRDefault="009A5268">
      <w:pPr>
        <w:rPr>
          <w:lang w:val="en-US"/>
        </w:rPr>
      </w:pPr>
      <w:r>
        <w:rPr>
          <w:lang w:val="en-US"/>
        </w:rPr>
        <w:t>Protection criteria are met for the single-dish spectral-line case and for VLBI.</w:t>
      </w:r>
    </w:p>
    <w:p w:rsidR="00B9359B" w:rsidRDefault="009A5268">
      <w:pPr>
        <w:pStyle w:val="AnnexNoTitle"/>
        <w:rPr>
          <w:lang w:val="en-US"/>
        </w:rPr>
      </w:pPr>
      <w:r>
        <w:rPr>
          <w:lang w:val="en-US"/>
        </w:rPr>
        <w:br w:type="page"/>
        <w:t>Annex 8</w:t>
      </w:r>
      <w:r>
        <w:rPr>
          <w:b w:val="0"/>
          <w:lang w:val="en-US"/>
        </w:rPr>
        <w:br/>
      </w:r>
      <w:r>
        <w:rPr>
          <w:b w:val="0"/>
          <w:lang w:val="en-US"/>
        </w:rPr>
        <w:br/>
      </w:r>
      <w:r>
        <w:rPr>
          <w:lang w:val="en-US"/>
        </w:rPr>
        <w:t>Compatibility analysis between the RAS systems (space-to-Earth) operating</w:t>
      </w:r>
      <w:r>
        <w:rPr>
          <w:lang w:val="en-US"/>
        </w:rPr>
        <w:br/>
        <w:t>in the 2</w:t>
      </w:r>
      <w:r>
        <w:rPr>
          <w:rFonts w:ascii="Tms Rmn" w:hAnsi="Tms Rmn"/>
          <w:sz w:val="12"/>
          <w:lang w:val="en-US"/>
        </w:rPr>
        <w:t> </w:t>
      </w:r>
      <w:r>
        <w:rPr>
          <w:lang w:val="en-US"/>
        </w:rPr>
        <w:t>690-2</w:t>
      </w:r>
      <w:r>
        <w:rPr>
          <w:rFonts w:ascii="Tms Rmn" w:hAnsi="Tms Rmn"/>
          <w:sz w:val="12"/>
          <w:lang w:val="en-US"/>
        </w:rPr>
        <w:t> </w:t>
      </w:r>
      <w:r>
        <w:rPr>
          <w:lang w:val="en-US"/>
        </w:rPr>
        <w:t>700 MHz band and the BSS, and FSS (space-to-Earth)</w:t>
      </w:r>
      <w:r>
        <w:rPr>
          <w:lang w:val="en-US"/>
        </w:rPr>
        <w:br/>
        <w:t>systems operating in the 2</w:t>
      </w:r>
      <w:r>
        <w:rPr>
          <w:rFonts w:ascii="Tms Rmn" w:hAnsi="Tms Rmn"/>
          <w:sz w:val="12"/>
          <w:lang w:val="en-US"/>
        </w:rPr>
        <w:t> </w:t>
      </w:r>
      <w:r>
        <w:rPr>
          <w:lang w:val="en-US"/>
        </w:rPr>
        <w:t>655-2</w:t>
      </w:r>
      <w:r>
        <w:rPr>
          <w:rFonts w:ascii="Tms Rmn" w:hAnsi="Tms Rmn"/>
          <w:sz w:val="12"/>
          <w:lang w:val="en-US"/>
        </w:rPr>
        <w:t> </w:t>
      </w:r>
      <w:r>
        <w:rPr>
          <w:lang w:val="en-US"/>
        </w:rPr>
        <w:t>690 MHz band</w:t>
      </w:r>
    </w:p>
    <w:p w:rsidR="00B9359B" w:rsidRDefault="009A5268">
      <w:pPr>
        <w:pStyle w:val="Heading1"/>
        <w:rPr>
          <w:lang w:val="en-US"/>
        </w:rPr>
      </w:pPr>
      <w:bookmarkStart w:id="199" w:name="_Toc51045599"/>
      <w:r>
        <w:rPr>
          <w:lang w:val="en-US"/>
        </w:rPr>
        <w:t>1</w:t>
      </w:r>
      <w:r>
        <w:rPr>
          <w:lang w:val="en-US"/>
        </w:rPr>
        <w:tab/>
        <w:t>RAS</w:t>
      </w:r>
      <w:bookmarkEnd w:id="199"/>
    </w:p>
    <w:p w:rsidR="00B9359B" w:rsidRDefault="009A5268">
      <w:pPr>
        <w:pStyle w:val="Heading2"/>
        <w:rPr>
          <w:lang w:val="en-US"/>
        </w:rPr>
      </w:pPr>
      <w:bookmarkStart w:id="200" w:name="_Toc51045600"/>
      <w:r>
        <w:rPr>
          <w:lang w:val="en-US"/>
        </w:rPr>
        <w:t>1.1</w:t>
      </w:r>
      <w:r>
        <w:rPr>
          <w:lang w:val="en-US"/>
        </w:rPr>
        <w:tab/>
        <w:t>Allocated band</w:t>
      </w:r>
      <w:bookmarkEnd w:id="200"/>
    </w:p>
    <w:p w:rsidR="00B9359B" w:rsidRDefault="009A5268">
      <w:pPr>
        <w:rPr>
          <w:lang w:val="en-US"/>
        </w:rPr>
      </w:pPr>
      <w:r>
        <w:rPr>
          <w:lang w:val="en-US"/>
        </w:rPr>
        <w:t>The 2</w:t>
      </w:r>
      <w:r>
        <w:rPr>
          <w:rFonts w:ascii="Tms Rmn" w:hAnsi="Tms Rmn"/>
          <w:sz w:val="12"/>
          <w:lang w:val="en-US"/>
        </w:rPr>
        <w:t> </w:t>
      </w:r>
      <w:r>
        <w:rPr>
          <w:lang w:val="en-US"/>
        </w:rPr>
        <w:t>690-2</w:t>
      </w:r>
      <w:r>
        <w:rPr>
          <w:rFonts w:ascii="Tms Rmn" w:hAnsi="Tms Rmn"/>
          <w:sz w:val="12"/>
          <w:lang w:val="en-US"/>
        </w:rPr>
        <w:t> </w:t>
      </w:r>
      <w:r>
        <w:rPr>
          <w:lang w:val="en-US"/>
        </w:rPr>
        <w:t>700 MHz band was allocated on a primary basis to the RAS, EESS (passive) and SRS (passive).</w:t>
      </w:r>
    </w:p>
    <w:p w:rsidR="00B9359B" w:rsidRDefault="009A5268">
      <w:pPr>
        <w:rPr>
          <w:lang w:val="en-US"/>
        </w:rPr>
      </w:pPr>
      <w:r>
        <w:rPr>
          <w:bCs/>
          <w:lang w:val="en-US"/>
        </w:rPr>
        <w:t xml:space="preserve">RR No. 5.340 </w:t>
      </w:r>
      <w:r>
        <w:rPr>
          <w:lang w:val="en-US"/>
        </w:rPr>
        <w:t>states that in this band “all emissions are prohibited”.</w:t>
      </w:r>
    </w:p>
    <w:p w:rsidR="00B9359B" w:rsidRDefault="009A5268">
      <w:pPr>
        <w:pStyle w:val="Heading2"/>
        <w:rPr>
          <w:lang w:val="en-US"/>
        </w:rPr>
      </w:pPr>
      <w:bookmarkStart w:id="201" w:name="_Toc51045601"/>
      <w:r>
        <w:rPr>
          <w:lang w:val="en-US"/>
        </w:rPr>
        <w:t>1.2</w:t>
      </w:r>
      <w:r>
        <w:rPr>
          <w:lang w:val="en-US"/>
        </w:rPr>
        <w:tab/>
        <w:t>Type of observations</w:t>
      </w:r>
      <w:bookmarkEnd w:id="201"/>
    </w:p>
    <w:p w:rsidR="00B9359B" w:rsidRDefault="009A5268">
      <w:pPr>
        <w:rPr>
          <w:lang w:val="en-US"/>
        </w:rPr>
      </w:pPr>
      <w:r>
        <w:rPr>
          <w:lang w:val="en-US"/>
        </w:rPr>
        <w:t>This band is primarily of interest for the study of continuum emission of radio sources.</w:t>
      </w:r>
    </w:p>
    <w:p w:rsidR="00B9359B" w:rsidRDefault="009A5268">
      <w:pPr>
        <w:rPr>
          <w:lang w:val="en-US"/>
        </w:rPr>
      </w:pPr>
      <w:r>
        <w:rPr>
          <w:lang w:val="en-US"/>
        </w:rPr>
        <w:t>A general consideration for the study of the continuum emission of radio sources is the requirement of sampled observations of these sources throughout a very wide frequency range. Observations at many different frequencies help to define the shape of the spectra of the emission from these sources, which in turn can give information on the physical parameters of the radiating sources such as densities, temperatures and magnetic fields, while they also give information on their lifetimes. The knowledge of these physical parameters is essential for our understanding of the physical processes that produce radio radiation. Many extragalactic radio sources show a “break” in their non-thermal spectrum in the region between 1 to 3 GHz and continuum measurements at ~2.7 GHz are essential to define such a spectral characteristic accurately.</w:t>
      </w:r>
    </w:p>
    <w:p w:rsidR="00B9359B" w:rsidRDefault="009A5268">
      <w:pPr>
        <w:rPr>
          <w:lang w:val="en-US"/>
        </w:rPr>
      </w:pPr>
      <w:r>
        <w:rPr>
          <w:lang w:val="en-US"/>
        </w:rPr>
        <w:t>This is a good frequency band for continuum measurements partly because the galactic background radiation is low, and also because radio astronomy receivers are of excellent quality and have very low noise at such frequencies.</w:t>
      </w:r>
    </w:p>
    <w:p w:rsidR="00B9359B" w:rsidRDefault="009A5268">
      <w:pPr>
        <w:rPr>
          <w:lang w:val="en-US"/>
        </w:rPr>
      </w:pPr>
      <w:r>
        <w:rPr>
          <w:lang w:val="en-US"/>
        </w:rPr>
        <w:t>It is also useful for galactic studies of ionized hydrogen clouds and the general diffuse radiation of the Galaxy. Since at such frequencies available radio telescopes have adequate angular resolutions (narrow beams, of the order of 10 arc min for large telescopes), many useful surveys of the galactic plane have been performed, including the regions of the galactic centre, which is invisible at optical wavelengths because of the interstellar absorption by dust particles. The centre of our Galaxy is perhaps its most important region and yet it can only be observed at infrared and radio wavelengths, since these wavelengths are not affected by the dust particles in the interstellar space (optical wavelengths are absorbed and scattered by such dust particles). The study of the nuclei of galaxies, including the nucleus of our own Galaxy, is emerging as an extremely important and fundamental topic in astronomy.</w:t>
      </w:r>
    </w:p>
    <w:p w:rsidR="00B9359B" w:rsidRDefault="009A5268">
      <w:pPr>
        <w:rPr>
          <w:lang w:val="en-US"/>
        </w:rPr>
      </w:pPr>
      <w:r>
        <w:rPr>
          <w:lang w:val="en-US"/>
        </w:rPr>
        <w:t>Problems that can be studied in these objects include the state of matter and the possibilities of the existence of black holes in galactic nuclei; the explosive activities and the production of intense double radio sources from galactic nuclei; the influence of galactic nuclei on the morphological structure of galaxies; the formation of galaxies and quasars; and many other major astrophysical subjects.</w:t>
      </w:r>
    </w:p>
    <w:p w:rsidR="00B9359B" w:rsidRDefault="009A5268">
      <w:pPr>
        <w:rPr>
          <w:lang w:val="en-US"/>
        </w:rPr>
      </w:pPr>
      <w:r>
        <w:rPr>
          <w:lang w:val="en-US"/>
        </w:rPr>
        <w:br w:type="page"/>
        <w:t>An important study at radio wavelengths is the polarization of the radiation that is observed from radio sources. It is often found that radio sources are weakly linearly polarized, with a position angle that depends on frequency. This effect is due to the fact that the propagation medium in which the radio waves travel to reach us is composed of charged particles, electrons and protons, in the presence of magnetic fields. The determination of the degree and angle of polarization gives us information on the magnetic fields and electron densities of the interstellar medium and in certain cases on the nature of the emitting sources themselves. The degree of polarization of radio waves is higher at higher frequencies. The 2</w:t>
      </w:r>
      <w:r>
        <w:rPr>
          <w:rFonts w:ascii="Tms Rmn" w:hAnsi="Tms Rmn"/>
          <w:sz w:val="12"/>
          <w:lang w:val="en-US"/>
        </w:rPr>
        <w:t> </w:t>
      </w:r>
      <w:r>
        <w:rPr>
          <w:lang w:val="en-US"/>
        </w:rPr>
        <w:t>690-2</w:t>
      </w:r>
      <w:r>
        <w:rPr>
          <w:rFonts w:ascii="Tms Rmn" w:hAnsi="Tms Rmn"/>
          <w:sz w:val="12"/>
          <w:lang w:val="en-US"/>
        </w:rPr>
        <w:t> </w:t>
      </w:r>
      <w:r>
        <w:rPr>
          <w:lang w:val="en-US"/>
        </w:rPr>
        <w:t>700 MHz frequency band is important for polarization measurements.</w:t>
      </w:r>
    </w:p>
    <w:p w:rsidR="00B9359B" w:rsidRDefault="009A5268">
      <w:pPr>
        <w:pStyle w:val="Heading2"/>
        <w:rPr>
          <w:lang w:val="en-US"/>
        </w:rPr>
      </w:pPr>
      <w:bookmarkStart w:id="202" w:name="_Toc51045602"/>
      <w:r>
        <w:rPr>
          <w:lang w:val="en-US"/>
        </w:rPr>
        <w:t>1.3</w:t>
      </w:r>
      <w:r>
        <w:rPr>
          <w:lang w:val="en-US"/>
        </w:rPr>
        <w:tab/>
        <w:t>Required service protection criteria</w:t>
      </w:r>
      <w:bookmarkEnd w:id="202"/>
    </w:p>
    <w:p w:rsidR="00B9359B" w:rsidRDefault="009A5268">
      <w:pPr>
        <w:rPr>
          <w:lang w:val="en-US"/>
        </w:rPr>
      </w:pPr>
      <w:r>
        <w:rPr>
          <w:lang w:val="en-US"/>
        </w:rPr>
        <w:t>Recommendation ITU-R</w:t>
      </w:r>
      <w:r>
        <w:rPr>
          <w:b/>
          <w:bCs/>
          <w:lang w:val="en-US"/>
        </w:rPr>
        <w:t xml:space="preserve"> </w:t>
      </w:r>
      <w:r>
        <w:rPr>
          <w:lang w:val="en-US"/>
        </w:rPr>
        <w:t>RA.769 specifies the protection criteria for radio astronomical obser</w:t>
      </w:r>
      <w:r>
        <w:rPr>
          <w:lang w:val="en-US"/>
        </w:rPr>
        <w:softHyphen/>
        <w:t>vations and gives threshold levels of detrimental interference for primary radio astronomy bands. In the 2</w:t>
      </w:r>
      <w:r>
        <w:rPr>
          <w:rFonts w:ascii="Tms Rmn" w:hAnsi="Tms Rmn"/>
          <w:sz w:val="12"/>
          <w:lang w:val="en-US"/>
        </w:rPr>
        <w:t> </w:t>
      </w:r>
      <w:r>
        <w:rPr>
          <w:lang w:val="en-US"/>
        </w:rPr>
        <w:t>690-2</w:t>
      </w:r>
      <w:r>
        <w:rPr>
          <w:rFonts w:ascii="Tms Rmn" w:hAnsi="Tms Rmn"/>
          <w:sz w:val="12"/>
          <w:lang w:val="en-US"/>
        </w:rPr>
        <w:t> </w:t>
      </w:r>
      <w:r>
        <w:rPr>
          <w:lang w:val="en-US"/>
        </w:rPr>
        <w:t xml:space="preserve">700 MHz band, for single-dish continuum observations making use of the entire 10 MHz bandwidth, the threshold pfd limit is </w:t>
      </w:r>
      <w:r>
        <w:rPr>
          <w:rFonts w:ascii="Symbol" w:hAnsi="Symbol"/>
          <w:lang w:val="en-US"/>
        </w:rPr>
        <w:noBreakHyphen/>
      </w:r>
      <w:r>
        <w:rPr>
          <w:lang w:val="en-US"/>
        </w:rPr>
        <w:t>177 </w:t>
      </w:r>
      <w:r>
        <w:rPr>
          <w:snapToGrid w:val="0"/>
          <w:lang w:val="en-US"/>
        </w:rPr>
        <w:t>dB(W/m</w:t>
      </w:r>
      <w:r>
        <w:rPr>
          <w:vertAlign w:val="superscript"/>
          <w:lang w:val="en-US"/>
        </w:rPr>
        <w:t>2</w:t>
      </w:r>
      <w:r>
        <w:rPr>
          <w:rFonts w:ascii="Times" w:hAnsi="Times"/>
          <w:spacing w:val="-2"/>
          <w:lang w:val="en-US"/>
        </w:rPr>
        <w:t>)</w:t>
      </w:r>
      <w:r>
        <w:rPr>
          <w:snapToGrid w:val="0"/>
          <w:lang w:val="en-US"/>
        </w:rPr>
        <w:t>.</w:t>
      </w:r>
    </w:p>
    <w:p w:rsidR="00B9359B" w:rsidRDefault="009A5268">
      <w:pPr>
        <w:rPr>
          <w:lang w:val="en-US"/>
        </w:rPr>
      </w:pPr>
      <w:r>
        <w:rPr>
          <w:lang w:val="en-US"/>
        </w:rPr>
        <w:t>This band is used only for continuum observations, not for spectral line observations.</w:t>
      </w:r>
    </w:p>
    <w:p w:rsidR="00B9359B" w:rsidRDefault="009A5268">
      <w:pPr>
        <w:rPr>
          <w:lang w:val="en-US"/>
        </w:rPr>
      </w:pPr>
      <w:r>
        <w:rPr>
          <w:lang w:val="en-US"/>
        </w:rPr>
        <w:t xml:space="preserve">VLBI observations, where signals from widely separated antennas are recorded and correlated after the observations, are much less susceptible to interference. This is reflected in the threshold pfd level for VLBI observations in this band, </w:t>
      </w:r>
      <w:r>
        <w:rPr>
          <w:rFonts w:ascii="Symbol" w:hAnsi="Symbol"/>
          <w:lang w:val="en-US"/>
        </w:rPr>
        <w:noBreakHyphen/>
      </w:r>
      <w:r>
        <w:rPr>
          <w:lang w:val="en-US"/>
        </w:rPr>
        <w:t>161 </w:t>
      </w:r>
      <w:r>
        <w:rPr>
          <w:snapToGrid w:val="0"/>
          <w:lang w:val="en-US"/>
        </w:rPr>
        <w:t>dB(W/m</w:t>
      </w:r>
      <w:r>
        <w:rPr>
          <w:vertAlign w:val="superscript"/>
          <w:lang w:val="en-US"/>
        </w:rPr>
        <w:t>2</w:t>
      </w:r>
      <w:r>
        <w:rPr>
          <w:rFonts w:ascii="Times" w:hAnsi="Times"/>
          <w:spacing w:val="-2"/>
          <w:lang w:val="en-US"/>
        </w:rPr>
        <w:t>), for a bandwidth of 20 kHz.</w:t>
      </w:r>
    </w:p>
    <w:p w:rsidR="00B9359B" w:rsidRDefault="009A5268">
      <w:pPr>
        <w:rPr>
          <w:lang w:val="en-US"/>
        </w:rPr>
      </w:pPr>
      <w:r>
        <w:rPr>
          <w:lang w:val="en-US"/>
        </w:rPr>
        <w:t>For detrimental interference from non-GSO systems, the protection criteria and the relevant methodologies are described in Recommendations ITU</w:t>
      </w:r>
      <w:r>
        <w:rPr>
          <w:lang w:val="en-US"/>
        </w:rPr>
        <w:noBreakHyphen/>
        <w:t>R RA.769 and ITU</w:t>
      </w:r>
      <w:r>
        <w:rPr>
          <w:lang w:val="en-US"/>
        </w:rPr>
        <w:noBreakHyphen/>
        <w:t>R RA.1513, as well as in Recommendation ITU</w:t>
      </w:r>
      <w:r>
        <w:rPr>
          <w:lang w:val="en-US"/>
        </w:rPr>
        <w:noBreakHyphen/>
        <w:t>R S.1586 for FSS systems.</w:t>
      </w:r>
    </w:p>
    <w:p w:rsidR="00B9359B" w:rsidRDefault="009A5268">
      <w:pPr>
        <w:rPr>
          <w:lang w:val="en-US"/>
        </w:rPr>
      </w:pPr>
      <w:r>
        <w:rPr>
          <w:lang w:val="en-US"/>
        </w:rPr>
        <w:t>The thresholds of detrimental interference levels to the RAS as defined and calculated in the Recommendation ITU-R RA.769 are protection criteria above which radio astronomical data are degraded and may be eventually obliterated. In principle, under rather idealized circumstances, if these levels are very slightly exceeded then it may be possible to compensate at the radio astronomy observatory by increased observing time. In doing so, the channel capacity of the telescope is reduced, with a corresponding reduction in scientific throughput. If the level of interference, under the assumptions of Recommendation ITU-R RA.769 (e.g. antenna performance, etc.), becomes 10 dB or more above the Recommendation ITU-R RA.769 definition, then increased observing time will no longer be effective in ensuring that valid scientific data are provided to the scientist. The radio astronomy station will be unable to operate in the affected frequency band, and its ability to provide service will have been lost if no appropriate mitigation techniques can be applied.</w:t>
      </w:r>
    </w:p>
    <w:p w:rsidR="00B9359B" w:rsidRDefault="009A5268">
      <w:pPr>
        <w:pStyle w:val="Heading2"/>
        <w:rPr>
          <w:lang w:val="en-US"/>
        </w:rPr>
      </w:pPr>
      <w:bookmarkStart w:id="203" w:name="_Toc51045603"/>
      <w:r>
        <w:rPr>
          <w:lang w:val="en-US"/>
        </w:rPr>
        <w:t>1.4</w:t>
      </w:r>
      <w:r>
        <w:rPr>
          <w:lang w:val="en-US"/>
        </w:rPr>
        <w:tab/>
        <w:t>Operational characteristics</w:t>
      </w:r>
      <w:bookmarkEnd w:id="203"/>
    </w:p>
    <w:p w:rsidR="00B9359B" w:rsidRDefault="009A5268">
      <w:pPr>
        <w:rPr>
          <w:snapToGrid w:val="0"/>
          <w:lang w:val="en-US"/>
        </w:rPr>
      </w:pPr>
      <w:r>
        <w:rPr>
          <w:snapToGrid w:val="0"/>
          <w:lang w:val="en-US"/>
        </w:rPr>
        <w:t>Observations in the 2</w:t>
      </w:r>
      <w:r>
        <w:rPr>
          <w:rFonts w:ascii="Tms Rmn" w:hAnsi="Tms Rmn"/>
          <w:snapToGrid w:val="0"/>
          <w:sz w:val="12"/>
          <w:lang w:val="en-US"/>
        </w:rPr>
        <w:t> </w:t>
      </w:r>
      <w:r>
        <w:rPr>
          <w:snapToGrid w:val="0"/>
          <w:lang w:val="en-US"/>
        </w:rPr>
        <w:t>690-2</w:t>
      </w:r>
      <w:r>
        <w:rPr>
          <w:rFonts w:ascii="Tms Rmn" w:hAnsi="Tms Rmn"/>
          <w:snapToGrid w:val="0"/>
          <w:sz w:val="12"/>
          <w:lang w:val="en-US"/>
        </w:rPr>
        <w:t> </w:t>
      </w:r>
      <w:r>
        <w:rPr>
          <w:snapToGrid w:val="0"/>
          <w:lang w:val="en-US"/>
        </w:rPr>
        <w:t>700 MHz band are carried out at a number of radio astronomy sites in numerous countries, worldwide. Observations in this band are sometimes conducted on targets of opportunity, e.g. on objects such as comets. VLBI observations are also frequently conducted in this band, sometimes between the North American and European VLBI networks.</w:t>
      </w:r>
    </w:p>
    <w:p w:rsidR="00B9359B" w:rsidRDefault="009A5268">
      <w:pPr>
        <w:rPr>
          <w:lang w:val="en-US"/>
        </w:rPr>
      </w:pPr>
      <w:r>
        <w:rPr>
          <w:lang w:val="en-US"/>
        </w:rPr>
        <w:br w:type="page"/>
        <w:t>Radio astronomical measurements are usually made differentially, the area of sky containing the source may be mapped, and the background emission subtracted, or measurements made of the power coming from the direction from the source (on-source) and at one or more nearby positions in the sky (off-source). By subtracting the off-source values from the on-source values, the emission originating in the source is separated from other contributions to the receiver output.</w:t>
      </w:r>
    </w:p>
    <w:p w:rsidR="00B9359B" w:rsidRDefault="009A5268">
      <w:pPr>
        <w:rPr>
          <w:b/>
          <w:lang w:val="en-US"/>
        </w:rPr>
      </w:pPr>
      <w:r>
        <w:rPr>
          <w:lang w:val="en-US"/>
        </w:rPr>
        <w:t>Extended areas of emission can be mapped by recording the emission from a grid of points covering the region of interest. In the case of single antenna radio telescopes, each grid point observation is an indication of the total power coming from that position in the sky; the spacing between the grid points should not be more than half the antenna beamwidth. When observations are made using a synthesis radio telescope, where the area to be mapped exceeds the instantaneous mapping field, the grid points should not be further apart than half the beamwidth of one of the radio telescope antennas.</w:t>
      </w:r>
    </w:p>
    <w:p w:rsidR="00B9359B" w:rsidRDefault="009A5268">
      <w:pPr>
        <w:rPr>
          <w:snapToGrid w:val="0"/>
          <w:lang w:val="en-US"/>
        </w:rPr>
      </w:pPr>
      <w:r>
        <w:rPr>
          <w:snapToGrid w:val="0"/>
          <w:lang w:val="en-US"/>
        </w:rPr>
        <w:t>VLBI observations are made by down-converting the signals to a baseband, digitizing them without rectification, and recording them on tape or other storage media, along with precise timing signals. The data are then taken to a VLBI data processing centre, where the signals are synchronized and correlated. Consequently, the full impact of interference might not be known until the observing period is over and the data has been processed.</w:t>
      </w:r>
    </w:p>
    <w:p w:rsidR="00B9359B" w:rsidRDefault="009A5268">
      <w:pPr>
        <w:pStyle w:val="Heading1"/>
        <w:rPr>
          <w:lang w:val="en-US"/>
        </w:rPr>
      </w:pPr>
      <w:bookmarkStart w:id="204" w:name="_Toc51045604"/>
      <w:r>
        <w:rPr>
          <w:lang w:val="en-US"/>
        </w:rPr>
        <w:t>2</w:t>
      </w:r>
      <w:r>
        <w:rPr>
          <w:lang w:val="en-US"/>
        </w:rPr>
        <w:tab/>
        <w:t>Active band</w:t>
      </w:r>
      <w:bookmarkEnd w:id="204"/>
    </w:p>
    <w:p w:rsidR="00B9359B" w:rsidRDefault="009A5268">
      <w:pPr>
        <w:pStyle w:val="Heading2"/>
        <w:rPr>
          <w:lang w:val="en-US"/>
        </w:rPr>
      </w:pPr>
      <w:bookmarkStart w:id="205" w:name="_Toc51045605"/>
      <w:r>
        <w:rPr>
          <w:lang w:val="en-US"/>
        </w:rPr>
        <w:t>2.1</w:t>
      </w:r>
      <w:r>
        <w:rPr>
          <w:lang w:val="en-US"/>
        </w:rPr>
        <w:tab/>
        <w:t>Allocated transmit band</w:t>
      </w:r>
      <w:bookmarkEnd w:id="205"/>
    </w:p>
    <w:p w:rsidR="00B9359B" w:rsidRDefault="009A5268">
      <w:pPr>
        <w:rPr>
          <w:lang w:val="en-US"/>
        </w:rPr>
      </w:pPr>
      <w:r>
        <w:rPr>
          <w:lang w:val="en-US"/>
        </w:rPr>
        <w:t>The sub-band 2</w:t>
      </w:r>
      <w:r>
        <w:rPr>
          <w:rFonts w:ascii="Tms Rmn" w:hAnsi="Tms Rmn"/>
          <w:sz w:val="12"/>
          <w:lang w:val="en-US"/>
        </w:rPr>
        <w:t> </w:t>
      </w:r>
      <w:r>
        <w:rPr>
          <w:lang w:val="en-US"/>
        </w:rPr>
        <w:t>655-2</w:t>
      </w:r>
      <w:r>
        <w:rPr>
          <w:rFonts w:ascii="Tms Rmn" w:hAnsi="Tms Rmn"/>
          <w:sz w:val="12"/>
          <w:lang w:val="en-US"/>
        </w:rPr>
        <w:t> </w:t>
      </w:r>
      <w:r>
        <w:rPr>
          <w:lang w:val="en-US"/>
        </w:rPr>
        <w:t>670 MHz was allocated to the BSS on a primary basis.</w:t>
      </w:r>
    </w:p>
    <w:p w:rsidR="00B9359B" w:rsidRDefault="009A5268">
      <w:pPr>
        <w:rPr>
          <w:lang w:val="en-US"/>
        </w:rPr>
      </w:pPr>
      <w:r>
        <w:rPr>
          <w:lang w:val="en-US"/>
        </w:rPr>
        <w:t>The sub-band 2</w:t>
      </w:r>
      <w:r>
        <w:rPr>
          <w:rFonts w:ascii="Tms Rmn" w:hAnsi="Tms Rmn"/>
          <w:sz w:val="12"/>
          <w:lang w:val="en-US"/>
        </w:rPr>
        <w:t> </w:t>
      </w:r>
      <w:r>
        <w:rPr>
          <w:lang w:val="en-US"/>
        </w:rPr>
        <w:t>670-2</w:t>
      </w:r>
      <w:r>
        <w:rPr>
          <w:rFonts w:ascii="Tms Rmn" w:hAnsi="Tms Rmn"/>
          <w:sz w:val="12"/>
          <w:lang w:val="en-US"/>
        </w:rPr>
        <w:t> </w:t>
      </w:r>
      <w:r>
        <w:rPr>
          <w:lang w:val="en-US"/>
        </w:rPr>
        <w:t>690 MHz was allocated on a primary basis to the MSS (Earth-to-space), to the FSS (Earth-to-space) in Regions 2 and 3, and to the FSS (space-to-Earth) in Region 2.</w:t>
      </w:r>
    </w:p>
    <w:p w:rsidR="00B9359B" w:rsidRDefault="009A5268">
      <w:pPr>
        <w:rPr>
          <w:lang w:val="en-US"/>
        </w:rPr>
      </w:pPr>
      <w:r>
        <w:rPr>
          <w:lang w:val="en-US"/>
        </w:rPr>
        <w:t>The following relevant footnotes apply to the sub-band 2</w:t>
      </w:r>
      <w:r>
        <w:rPr>
          <w:rFonts w:ascii="Tms Rmn" w:hAnsi="Tms Rmn"/>
          <w:sz w:val="12"/>
          <w:lang w:val="en-US"/>
        </w:rPr>
        <w:t> </w:t>
      </w:r>
      <w:r>
        <w:rPr>
          <w:lang w:val="en-US"/>
        </w:rPr>
        <w:t>655-2</w:t>
      </w:r>
      <w:r>
        <w:rPr>
          <w:rFonts w:ascii="Tms Rmn" w:hAnsi="Tms Rmn"/>
          <w:sz w:val="12"/>
          <w:lang w:val="en-US"/>
        </w:rPr>
        <w:t> </w:t>
      </w:r>
      <w:r>
        <w:rPr>
          <w:lang w:val="en-US"/>
        </w:rPr>
        <w:t>670 MHz: RR Nos. 5.149, 5.413, 5.415, 5.416 and 5.420, and the following footnotes apply to the sub-band 2</w:t>
      </w:r>
      <w:r>
        <w:rPr>
          <w:rFonts w:ascii="Tms Rmn" w:hAnsi="Tms Rmn"/>
          <w:sz w:val="12"/>
          <w:lang w:val="en-US"/>
        </w:rPr>
        <w:t> </w:t>
      </w:r>
      <w:r>
        <w:rPr>
          <w:lang w:val="en-US"/>
        </w:rPr>
        <w:t>670-2</w:t>
      </w:r>
      <w:r>
        <w:rPr>
          <w:rFonts w:ascii="Tms Rmn" w:hAnsi="Tms Rmn"/>
          <w:sz w:val="12"/>
          <w:lang w:val="en-US"/>
        </w:rPr>
        <w:t> </w:t>
      </w:r>
      <w:r>
        <w:rPr>
          <w:lang w:val="en-US"/>
        </w:rPr>
        <w:t>690 MHz: RR Nos. 5.149, 5.419 and 5.420. Most relevant to the issue at hand are the following of these footnotes:</w:t>
      </w:r>
    </w:p>
    <w:p w:rsidR="00B9359B" w:rsidRDefault="009A5268">
      <w:pPr>
        <w:rPr>
          <w:lang w:val="en-US"/>
        </w:rPr>
      </w:pPr>
      <w:r>
        <w:rPr>
          <w:lang w:val="en-US"/>
        </w:rPr>
        <w:t>RR No. 5.149 states that in this band “In making assignments to stations of other services ... administrations are urged to take all practicable steps to protect the radio astronomy service from harmful interference.”</w:t>
      </w:r>
    </w:p>
    <w:p w:rsidR="00B9359B" w:rsidRDefault="009A5268">
      <w:pPr>
        <w:rPr>
          <w:lang w:val="en-US"/>
        </w:rPr>
      </w:pPr>
      <w:r>
        <w:rPr>
          <w:lang w:val="en-US"/>
        </w:rPr>
        <w:t>RR No. 5.413 states that “In the design of systems in the broadcasting-satellite service in the bands between 2</w:t>
      </w:r>
      <w:r>
        <w:rPr>
          <w:rFonts w:ascii="Tms Rmn" w:hAnsi="Tms Rmn"/>
          <w:sz w:val="12"/>
          <w:lang w:val="en-US"/>
        </w:rPr>
        <w:t> </w:t>
      </w:r>
      <w:r>
        <w:rPr>
          <w:lang w:val="en-US"/>
        </w:rPr>
        <w:t>500 MHz and 2</w:t>
      </w:r>
      <w:r>
        <w:rPr>
          <w:rFonts w:ascii="Tms Rmn" w:hAnsi="Tms Rmn"/>
          <w:sz w:val="12"/>
          <w:lang w:val="en-US"/>
        </w:rPr>
        <w:t> </w:t>
      </w:r>
      <w:r>
        <w:rPr>
          <w:lang w:val="en-US"/>
        </w:rPr>
        <w:t>690 MHz, administrations are urged to take all necessary steps to protect the radio astronomy service in the band 2</w:t>
      </w:r>
      <w:r>
        <w:rPr>
          <w:rFonts w:ascii="Tms Rmn" w:hAnsi="Tms Rmn"/>
          <w:sz w:val="12"/>
          <w:lang w:val="en-US"/>
        </w:rPr>
        <w:t> </w:t>
      </w:r>
      <w:r>
        <w:rPr>
          <w:lang w:val="en-US"/>
        </w:rPr>
        <w:t>690-2</w:t>
      </w:r>
      <w:r>
        <w:rPr>
          <w:rFonts w:ascii="Tms Rmn" w:hAnsi="Tms Rmn"/>
          <w:sz w:val="12"/>
          <w:lang w:val="en-US"/>
        </w:rPr>
        <w:t> </w:t>
      </w:r>
      <w:r>
        <w:rPr>
          <w:lang w:val="en-US"/>
        </w:rPr>
        <w:t>700 MHz.”</w:t>
      </w:r>
    </w:p>
    <w:p w:rsidR="00B9359B" w:rsidRDefault="009A5268">
      <w:pPr>
        <w:rPr>
          <w:bCs/>
          <w:lang w:val="en-US"/>
        </w:rPr>
      </w:pPr>
      <w:r>
        <w:rPr>
          <w:bCs/>
          <w:lang w:val="en-US"/>
        </w:rPr>
        <w:t>RR No. 5.415 states that in this band, for the FSS operating in Regions 2 and 3. “In the direction space-to-Earth the power flux-density at the Earth’s surface shall not exceed the values given in Article </w:t>
      </w:r>
      <w:r>
        <w:rPr>
          <w:b/>
          <w:lang w:val="en-US"/>
        </w:rPr>
        <w:t>21</w:t>
      </w:r>
      <w:r>
        <w:rPr>
          <w:bCs/>
          <w:lang w:val="en-US"/>
        </w:rPr>
        <w:t>, Table </w:t>
      </w:r>
      <w:r>
        <w:rPr>
          <w:b/>
          <w:lang w:val="en-US"/>
        </w:rPr>
        <w:t>21</w:t>
      </w:r>
      <w:r>
        <w:rPr>
          <w:b/>
          <w:lang w:val="en-US"/>
        </w:rPr>
        <w:noBreakHyphen/>
        <w:t>4</w:t>
      </w:r>
      <w:r>
        <w:rPr>
          <w:bCs/>
          <w:lang w:val="en-US"/>
        </w:rPr>
        <w:t>.”</w:t>
      </w:r>
    </w:p>
    <w:p w:rsidR="00B9359B" w:rsidRDefault="009A5268">
      <w:pPr>
        <w:pStyle w:val="Heading2"/>
        <w:rPr>
          <w:snapToGrid w:val="0"/>
          <w:lang w:val="en-US"/>
        </w:rPr>
      </w:pPr>
      <w:bookmarkStart w:id="206" w:name="_Toc51045606"/>
      <w:r>
        <w:rPr>
          <w:snapToGrid w:val="0"/>
          <w:lang w:val="en-US"/>
        </w:rPr>
        <w:t>2.2</w:t>
      </w:r>
      <w:r>
        <w:rPr>
          <w:snapToGrid w:val="0"/>
          <w:lang w:val="en-US"/>
        </w:rPr>
        <w:tab/>
        <w:t>Application</w:t>
      </w:r>
      <w:bookmarkEnd w:id="206"/>
    </w:p>
    <w:p w:rsidR="00B9359B" w:rsidRDefault="009A5268">
      <w:pPr>
        <w:rPr>
          <w:lang w:val="en-US"/>
        </w:rPr>
      </w:pPr>
      <w:r>
        <w:rPr>
          <w:lang w:val="en-US"/>
        </w:rPr>
        <w:t>There are operational BSSs in this band especially serving India. These services fall under the distribution definition of the BSS.</w:t>
      </w:r>
    </w:p>
    <w:p w:rsidR="00B9359B" w:rsidRDefault="009A5268">
      <w:pPr>
        <w:pStyle w:val="Heading2"/>
        <w:rPr>
          <w:lang w:val="en-US"/>
        </w:rPr>
      </w:pPr>
      <w:bookmarkStart w:id="207" w:name="_Toc51045607"/>
      <w:r>
        <w:rPr>
          <w:lang w:val="en-US"/>
        </w:rPr>
        <w:br w:type="page"/>
        <w:t>2.3</w:t>
      </w:r>
      <w:r>
        <w:rPr>
          <w:lang w:val="en-US"/>
        </w:rPr>
        <w:tab/>
        <w:t>Levels based on regulatory provisions</w:t>
      </w:r>
      <w:bookmarkEnd w:id="207"/>
    </w:p>
    <w:p w:rsidR="00B9359B" w:rsidRDefault="009A5268">
      <w:pPr>
        <w:rPr>
          <w:lang w:val="en-US"/>
        </w:rPr>
      </w:pPr>
      <w:r>
        <w:rPr>
          <w:lang w:val="en-US"/>
        </w:rPr>
        <w:t>pfd limits exist for BSS for community reception and for FSS systems, as set forth in RR Table </w:t>
      </w:r>
      <w:r>
        <w:rPr>
          <w:bCs/>
          <w:lang w:val="en-US"/>
        </w:rPr>
        <w:t>21</w:t>
      </w:r>
      <w:r>
        <w:rPr>
          <w:bCs/>
          <w:lang w:val="en-US"/>
        </w:rPr>
        <w:noBreakHyphen/>
        <w:t>4</w:t>
      </w:r>
      <w:r>
        <w:rPr>
          <w:lang w:val="en-US"/>
        </w:rPr>
        <w:t>.</w:t>
      </w:r>
    </w:p>
    <w:p w:rsidR="00B9359B" w:rsidRDefault="009A5268">
      <w:pPr>
        <w:pStyle w:val="Heading2"/>
        <w:rPr>
          <w:lang w:val="en-US"/>
        </w:rPr>
      </w:pPr>
      <w:bookmarkStart w:id="208" w:name="_Toc51045608"/>
      <w:r>
        <w:rPr>
          <w:lang w:val="en-US"/>
        </w:rPr>
        <w:t>2.4</w:t>
      </w:r>
      <w:r>
        <w:rPr>
          <w:lang w:val="en-US"/>
        </w:rPr>
        <w:tab/>
        <w:t>Transmitter characteristics</w:t>
      </w:r>
      <w:bookmarkEnd w:id="208"/>
    </w:p>
    <w:p w:rsidR="00B9359B" w:rsidRDefault="009A5268">
      <w:pPr>
        <w:pStyle w:val="Heading3"/>
        <w:rPr>
          <w:lang w:val="en-US"/>
        </w:rPr>
      </w:pPr>
      <w:bookmarkStart w:id="209" w:name="_Toc51045609"/>
      <w:r>
        <w:rPr>
          <w:lang w:val="en-US"/>
        </w:rPr>
        <w:t>2.4.1</w:t>
      </w:r>
      <w:r>
        <w:rPr>
          <w:lang w:val="en-US"/>
        </w:rPr>
        <w:tab/>
        <w:t>FSS/MSS systems</w:t>
      </w:r>
      <w:bookmarkEnd w:id="209"/>
    </w:p>
    <w:p w:rsidR="00B9359B" w:rsidRDefault="009A5268">
      <w:pPr>
        <w:rPr>
          <w:lang w:val="en-US"/>
        </w:rPr>
      </w:pPr>
      <w:r>
        <w:rPr>
          <w:lang w:val="en-US"/>
        </w:rPr>
        <w:t xml:space="preserve">Based upon the typical characteristics of systems operating in this band, FSS/MSS systems are supposed to use a necessary bandwidth of 20 MHz and to operate using the pfd limit given in RR Article 21: </w:t>
      </w:r>
      <w:r>
        <w:rPr>
          <w:rFonts w:ascii="Symbol" w:hAnsi="Symbol"/>
          <w:lang w:val="en-US"/>
        </w:rPr>
        <w:noBreakHyphen/>
      </w:r>
      <w:r>
        <w:rPr>
          <w:lang w:val="en-US"/>
        </w:rPr>
        <w:t>137 dB(W/(m</w:t>
      </w:r>
      <w:r>
        <w:rPr>
          <w:vertAlign w:val="superscript"/>
          <w:lang w:val="en-US"/>
        </w:rPr>
        <w:t>2</w:t>
      </w:r>
      <w:r>
        <w:rPr>
          <w:lang w:val="en-US"/>
        </w:rPr>
        <w:t xml:space="preserve"> · 4 kHz)) (i.e. </w:t>
      </w:r>
      <w:r>
        <w:rPr>
          <w:rFonts w:ascii="Symbol" w:hAnsi="Symbol"/>
          <w:lang w:val="en-US"/>
        </w:rPr>
        <w:noBreakHyphen/>
      </w:r>
      <w:r>
        <w:rPr>
          <w:lang w:val="en-US"/>
        </w:rPr>
        <w:t>100 dB(W/(m</w:t>
      </w:r>
      <w:r>
        <w:rPr>
          <w:vertAlign w:val="superscript"/>
          <w:lang w:val="en-US"/>
        </w:rPr>
        <w:t>2</w:t>
      </w:r>
      <w:r>
        <w:rPr>
          <w:lang w:val="en-US"/>
        </w:rPr>
        <w:t> · 20 MHz))).</w:t>
      </w:r>
    </w:p>
    <w:p w:rsidR="00B9359B" w:rsidRDefault="009A5268">
      <w:pPr>
        <w:pStyle w:val="Heading3"/>
        <w:rPr>
          <w:lang w:val="en-US"/>
        </w:rPr>
      </w:pPr>
      <w:bookmarkStart w:id="210" w:name="_Toc51045610"/>
      <w:r>
        <w:rPr>
          <w:lang w:val="en-US"/>
        </w:rPr>
        <w:t>2.4.2</w:t>
      </w:r>
      <w:r>
        <w:rPr>
          <w:lang w:val="en-US"/>
        </w:rPr>
        <w:tab/>
        <w:t>BSS systems</w:t>
      </w:r>
      <w:bookmarkEnd w:id="210"/>
    </w:p>
    <w:p w:rsidR="00B9359B" w:rsidRDefault="009A5268">
      <w:pPr>
        <w:rPr>
          <w:lang w:val="en-US"/>
        </w:rPr>
      </w:pPr>
      <w:r>
        <w:rPr>
          <w:lang w:val="en-US"/>
        </w:rPr>
        <w:t xml:space="preserve">Based upon the typical characteristics of systems operating in this band, FSS/MSS systems are supposed to use a necessary bandwidth of 18 MHz and to operate using the pfd limit given in RR Article 21: </w:t>
      </w:r>
      <w:r>
        <w:rPr>
          <w:rFonts w:ascii="Symbol" w:hAnsi="Symbol"/>
          <w:lang w:val="en-US"/>
        </w:rPr>
        <w:noBreakHyphen/>
      </w:r>
      <w:r>
        <w:rPr>
          <w:lang w:val="en-US"/>
        </w:rPr>
        <w:t>137 dB(W/(m</w:t>
      </w:r>
      <w:r>
        <w:rPr>
          <w:vertAlign w:val="superscript"/>
          <w:lang w:val="en-US"/>
        </w:rPr>
        <w:t>2</w:t>
      </w:r>
      <w:r>
        <w:rPr>
          <w:lang w:val="en-US"/>
        </w:rPr>
        <w:t xml:space="preserve"> · 4 kHz)) (i.e. </w:t>
      </w:r>
      <w:r>
        <w:rPr>
          <w:rFonts w:ascii="Symbol" w:hAnsi="Symbol"/>
          <w:lang w:val="en-US"/>
        </w:rPr>
        <w:noBreakHyphen/>
      </w:r>
      <w:r>
        <w:rPr>
          <w:lang w:val="en-US"/>
        </w:rPr>
        <w:t>100.5 dB(W/(m</w:t>
      </w:r>
      <w:r>
        <w:rPr>
          <w:vertAlign w:val="superscript"/>
          <w:lang w:val="en-US"/>
        </w:rPr>
        <w:t>2</w:t>
      </w:r>
      <w:r>
        <w:rPr>
          <w:lang w:val="en-US"/>
        </w:rPr>
        <w:t> · 20 MHz))).</w:t>
      </w:r>
    </w:p>
    <w:p w:rsidR="00B9359B" w:rsidRDefault="009A5268">
      <w:pPr>
        <w:pStyle w:val="Heading2"/>
        <w:rPr>
          <w:lang w:val="en-US"/>
        </w:rPr>
      </w:pPr>
      <w:bookmarkStart w:id="211" w:name="_Toc51045611"/>
      <w:r>
        <w:rPr>
          <w:lang w:val="en-US"/>
        </w:rPr>
        <w:t>2.5</w:t>
      </w:r>
      <w:r>
        <w:rPr>
          <w:lang w:val="en-US"/>
        </w:rPr>
        <w:tab/>
        <w:t>Operational characteristics</w:t>
      </w:r>
      <w:bookmarkEnd w:id="211"/>
    </w:p>
    <w:p w:rsidR="00B9359B" w:rsidRDefault="009A5268">
      <w:pPr>
        <w:rPr>
          <w:lang w:val="en-US"/>
        </w:rPr>
      </w:pPr>
      <w:r>
        <w:rPr>
          <w:lang w:val="en-US"/>
        </w:rPr>
        <w:t>Only GSO systems are addressed in the following calculations.</w:t>
      </w:r>
    </w:p>
    <w:p w:rsidR="00B9359B" w:rsidRDefault="009A5268">
      <w:pPr>
        <w:pStyle w:val="Heading2"/>
        <w:rPr>
          <w:snapToGrid w:val="0"/>
          <w:lang w:val="en-US"/>
        </w:rPr>
      </w:pPr>
      <w:bookmarkStart w:id="212" w:name="_Toc51045612"/>
      <w:r>
        <w:rPr>
          <w:snapToGrid w:val="0"/>
          <w:lang w:val="en-US"/>
        </w:rPr>
        <w:t>2.6</w:t>
      </w:r>
      <w:r>
        <w:rPr>
          <w:snapToGrid w:val="0"/>
          <w:lang w:val="en-US"/>
        </w:rPr>
        <w:tab/>
        <w:t>In-band transmit level</w:t>
      </w:r>
      <w:bookmarkEnd w:id="212"/>
    </w:p>
    <w:p w:rsidR="00B9359B" w:rsidRDefault="009A5268">
      <w:pPr>
        <w:rPr>
          <w:lang w:val="en-US"/>
        </w:rPr>
      </w:pPr>
      <w:r>
        <w:rPr>
          <w:lang w:val="en-US"/>
        </w:rPr>
        <w:t>The BSS community reception and FSS pfd levels conform to the levels in RR Table </w:t>
      </w:r>
      <w:r>
        <w:rPr>
          <w:bCs/>
          <w:lang w:val="en-US"/>
        </w:rPr>
        <w:t>21</w:t>
      </w:r>
      <w:r>
        <w:rPr>
          <w:bCs/>
          <w:lang w:val="en-US"/>
        </w:rPr>
        <w:noBreakHyphen/>
        <w:t>4.</w:t>
      </w:r>
    </w:p>
    <w:p w:rsidR="00B9359B" w:rsidRDefault="009A5268">
      <w:pPr>
        <w:pStyle w:val="Heading1"/>
        <w:rPr>
          <w:snapToGrid w:val="0"/>
          <w:lang w:val="en-US"/>
        </w:rPr>
      </w:pPr>
      <w:bookmarkStart w:id="213" w:name="_Toc51045613"/>
      <w:r>
        <w:rPr>
          <w:snapToGrid w:val="0"/>
          <w:lang w:val="en-US"/>
        </w:rPr>
        <w:t>3</w:t>
      </w:r>
      <w:r>
        <w:rPr>
          <w:snapToGrid w:val="0"/>
          <w:lang w:val="en-US"/>
        </w:rPr>
        <w:tab/>
        <w:t>Compatibility threshold</w:t>
      </w:r>
      <w:bookmarkEnd w:id="213"/>
    </w:p>
    <w:p w:rsidR="00B9359B" w:rsidRDefault="009A5268">
      <w:pPr>
        <w:rPr>
          <w:lang w:val="en-US"/>
        </w:rPr>
      </w:pPr>
      <w:r>
        <w:rPr>
          <w:lang w:val="en-US"/>
        </w:rPr>
        <w:t>See § 1.3.</w:t>
      </w:r>
    </w:p>
    <w:p w:rsidR="00B9359B" w:rsidRDefault="009A5268">
      <w:pPr>
        <w:pStyle w:val="Heading1"/>
        <w:rPr>
          <w:i/>
          <w:snapToGrid w:val="0"/>
          <w:lang w:val="en-US"/>
        </w:rPr>
      </w:pPr>
      <w:bookmarkStart w:id="214" w:name="_Toc51045614"/>
      <w:r>
        <w:rPr>
          <w:snapToGrid w:val="0"/>
          <w:lang w:val="en-US"/>
        </w:rPr>
        <w:t>4</w:t>
      </w:r>
      <w:r>
        <w:rPr>
          <w:snapToGrid w:val="0"/>
          <w:lang w:val="en-US"/>
        </w:rPr>
        <w:tab/>
        <w:t>Interference assessment</w:t>
      </w:r>
      <w:bookmarkEnd w:id="214"/>
    </w:p>
    <w:p w:rsidR="00B9359B" w:rsidRDefault="009A5268">
      <w:pPr>
        <w:pStyle w:val="Heading2"/>
        <w:rPr>
          <w:snapToGrid w:val="0"/>
          <w:lang w:val="en-US"/>
        </w:rPr>
      </w:pPr>
      <w:bookmarkStart w:id="215" w:name="_Toc51045615"/>
      <w:r>
        <w:rPr>
          <w:snapToGrid w:val="0"/>
          <w:lang w:val="en-US"/>
        </w:rPr>
        <w:t>4.1</w:t>
      </w:r>
      <w:r>
        <w:rPr>
          <w:snapToGrid w:val="0"/>
          <w:lang w:val="en-US"/>
        </w:rPr>
        <w:tab/>
        <w:t>Methodology used to assess the interference level</w:t>
      </w:r>
      <w:bookmarkEnd w:id="215"/>
    </w:p>
    <w:p w:rsidR="00B9359B" w:rsidRDefault="009A5268">
      <w:pPr>
        <w:pStyle w:val="Heading3"/>
        <w:rPr>
          <w:lang w:val="en-US"/>
        </w:rPr>
      </w:pPr>
      <w:bookmarkStart w:id="216" w:name="_Toc51045616"/>
      <w:r>
        <w:rPr>
          <w:lang w:val="en-US"/>
        </w:rPr>
        <w:t>4.1.1</w:t>
      </w:r>
      <w:r>
        <w:rPr>
          <w:lang w:val="en-US"/>
        </w:rPr>
        <w:tab/>
        <w:t>MSS/FSS cases</w:t>
      </w:r>
      <w:bookmarkEnd w:id="216"/>
    </w:p>
    <w:p w:rsidR="00B9359B" w:rsidRDefault="009A5268">
      <w:pPr>
        <w:rPr>
          <w:lang w:val="en-US"/>
        </w:rPr>
      </w:pPr>
      <w:r>
        <w:rPr>
          <w:lang w:val="en-US"/>
        </w:rPr>
        <w:t>Recommendation ITU-R SM.1541 provides a mask for unwanted emissions within the OoB domain covering the case of FSS/MSS systems.</w:t>
      </w:r>
    </w:p>
    <w:p w:rsidR="00B9359B" w:rsidRDefault="009A5268">
      <w:pPr>
        <w:pStyle w:val="Heading3"/>
        <w:rPr>
          <w:i/>
          <w:lang w:val="en-US"/>
        </w:rPr>
      </w:pPr>
      <w:bookmarkStart w:id="217" w:name="_Toc51045617"/>
      <w:r>
        <w:rPr>
          <w:lang w:val="en-US"/>
        </w:rPr>
        <w:t>4.1.2</w:t>
      </w:r>
      <w:r>
        <w:rPr>
          <w:lang w:val="en-US"/>
        </w:rPr>
        <w:tab/>
        <w:t>BSS case</w:t>
      </w:r>
      <w:bookmarkEnd w:id="217"/>
    </w:p>
    <w:p w:rsidR="00B9359B" w:rsidRDefault="009A5268">
      <w:pPr>
        <w:rPr>
          <w:lang w:val="en-US"/>
        </w:rPr>
      </w:pPr>
      <w:r>
        <w:rPr>
          <w:lang w:val="en-US"/>
        </w:rPr>
        <w:t>The BSS is a full-time service, in that the areas served will be provided the signal all the time, with the same spectrum and power. On the other hand, there are no radio astronomy stations that use the band under consideration all the time. If interference problems arise, the GSO satellite systems will be steady emitters at unchanging positions in the sky, while celestial sources will be carried past them by the Earth’s rotation, so the interference may not completely preclude the observation of the sources.</w:t>
      </w:r>
    </w:p>
    <w:p w:rsidR="00B9359B" w:rsidRDefault="009A5268">
      <w:pPr>
        <w:rPr>
          <w:lang w:val="en-US"/>
        </w:rPr>
      </w:pPr>
      <w:r>
        <w:rPr>
          <w:lang w:val="en-US"/>
        </w:rPr>
        <w:br w:type="page"/>
        <w:t>Interference to single-antenna radio telescopes will degrade the observations by an amount that is a function of the angle between the satellite(s) and the antenna boresight, and can be evaluated using methodologies such as the epfd approach (see § 1.3).</w:t>
      </w:r>
    </w:p>
    <w:p w:rsidR="00B9359B" w:rsidRDefault="009A5268">
      <w:pPr>
        <w:rPr>
          <w:lang w:val="en-US"/>
        </w:rPr>
      </w:pPr>
      <w:r>
        <w:rPr>
          <w:lang w:val="en-US"/>
        </w:rPr>
        <w:t>Calculation of levels of unwanted emissions using the OoB mask for BSS systems which are now retained within Recommendation ITU-R</w:t>
      </w:r>
      <w:r>
        <w:rPr>
          <w:bCs/>
          <w:lang w:val="en-US"/>
        </w:rPr>
        <w:t xml:space="preserve"> SM.1541 ha</w:t>
      </w:r>
      <w:r>
        <w:rPr>
          <w:lang w:val="en-US"/>
        </w:rPr>
        <w:t>ve shown that, following this dBc mask, in some cases the level of emissions within the OoB domain may be higher than the emissions levels within the necessary bandwidth. Therefore, a new OoB mask was developed for BSS system.</w:t>
      </w:r>
    </w:p>
    <w:p w:rsidR="00B9359B" w:rsidRDefault="009A5268">
      <w:pPr>
        <w:rPr>
          <w:lang w:val="en-US"/>
        </w:rPr>
      </w:pPr>
      <w:r>
        <w:rPr>
          <w:lang w:val="en-US"/>
        </w:rPr>
        <w:t>The OoB emissions of a station operating in the bands allocated to the BSS should be attenuated below the maximum PSD, in a reference bandwidth of 4 kHz (for systems operating above 15 GHz a reference bandwidth of 1 MHz may be used in place of 4 kHz) within the necessary bandwidth, by the following:</w:t>
      </w:r>
    </w:p>
    <w:p w:rsidR="00B9359B" w:rsidRDefault="009A5268">
      <w:pPr>
        <w:pStyle w:val="Equation"/>
        <w:spacing w:before="240" w:after="120"/>
        <w:jc w:val="center"/>
        <w:rPr>
          <w:lang w:val="en-US"/>
        </w:rPr>
      </w:pPr>
      <w:r>
        <w:rPr>
          <w:position w:val="-28"/>
          <w:sz w:val="20"/>
        </w:rPr>
        <w:object w:dxaOrig="1540" w:dyaOrig="680">
          <v:shape id="_x0000_i1044" type="#_x0000_t75" style="width:76.85pt;height:34.4pt" o:ole="" fillcolor="window">
            <v:imagedata r:id="rId28" o:title=""/>
          </v:shape>
          <o:OLEObject Type="Embed" ProgID="Equation.3" ShapeID="_x0000_i1044" DrawAspect="Content" ObjectID="_1629894562" r:id="rId37"/>
        </w:object>
      </w:r>
      <w:r>
        <w:rPr>
          <w:lang w:val="en-US"/>
        </w:rPr>
        <w:t>      dBsd</w:t>
      </w:r>
    </w:p>
    <w:p w:rsidR="00B9359B" w:rsidRDefault="009A5268">
      <w:pPr>
        <w:rPr>
          <w:lang w:val="en-US" w:eastAsia="ja-JP"/>
        </w:rPr>
      </w:pPr>
      <w:r>
        <w:rPr>
          <w:lang w:val="en-US"/>
        </w:rPr>
        <w:t xml:space="preserve">where </w:t>
      </w:r>
      <w:r>
        <w:rPr>
          <w:i/>
          <w:lang w:val="en-US"/>
        </w:rPr>
        <w:t>F</w:t>
      </w:r>
      <w:r>
        <w:rPr>
          <w:lang w:val="en-US"/>
        </w:rPr>
        <w:t xml:space="preserve"> is the frequency offset from the edge of the total assigned band, expressed as a percentage of necessary bandwidth. It is noted that the OoB emission domain starts at the edges of the total assigned band.</w:t>
      </w:r>
    </w:p>
    <w:p w:rsidR="00B9359B" w:rsidRDefault="009A5268">
      <w:pPr>
        <w:rPr>
          <w:lang w:val="en-US"/>
        </w:rPr>
      </w:pPr>
      <w:r>
        <w:rPr>
          <w:lang w:val="en-US"/>
        </w:rPr>
        <w:t>The OoB emission mask rolls off to the spurious boundary or the point where it is equal to the RR Appendix </w:t>
      </w:r>
      <w:r>
        <w:rPr>
          <w:bCs/>
          <w:lang w:val="en-US"/>
        </w:rPr>
        <w:t>3</w:t>
      </w:r>
      <w:r>
        <w:rPr>
          <w:lang w:val="en-US"/>
        </w:rPr>
        <w:t xml:space="preserve"> spurious emission limit, whichever is less attenuation. The spurious emission attenuation for space services is 43 </w:t>
      </w:r>
      <w:r>
        <w:rPr>
          <w:rFonts w:ascii="Symbol" w:hAnsi="Symbol"/>
          <w:lang w:val="en-US"/>
        </w:rPr>
        <w:t></w:t>
      </w:r>
      <w:r>
        <w:rPr>
          <w:lang w:val="en-US"/>
        </w:rPr>
        <w:t xml:space="preserve"> 10 log </w:t>
      </w:r>
      <w:r>
        <w:rPr>
          <w:i/>
          <w:lang w:val="en-US"/>
        </w:rPr>
        <w:t>P</w:t>
      </w:r>
      <w:r>
        <w:rPr>
          <w:lang w:val="en-US"/>
        </w:rPr>
        <w:t xml:space="preserve"> or 60 dBc in a reference bandwidth of 4 kHz, whichever is less attenuation, or equivalently, 19 </w:t>
      </w:r>
      <w:r>
        <w:rPr>
          <w:rFonts w:ascii="Symbol" w:hAnsi="Symbol"/>
          <w:lang w:val="en-US"/>
        </w:rPr>
        <w:t></w:t>
      </w:r>
      <w:r>
        <w:rPr>
          <w:lang w:val="en-US"/>
        </w:rPr>
        <w:t xml:space="preserve"> 10 log </w:t>
      </w:r>
      <w:r>
        <w:rPr>
          <w:i/>
          <w:lang w:val="en-US"/>
        </w:rPr>
        <w:t>P</w:t>
      </w:r>
      <w:r>
        <w:rPr>
          <w:lang w:val="en-US"/>
        </w:rPr>
        <w:t xml:space="preserve"> or 36 dBc in a reference bandwidth of 1 MHz, whichever is less attenuation.</w:t>
      </w:r>
    </w:p>
    <w:p w:rsidR="00B9359B" w:rsidRDefault="00B9359B">
      <w:pPr>
        <w:rPr>
          <w:lang w:val="en-US"/>
        </w:rPr>
      </w:pPr>
    </w:p>
    <w:p w:rsidR="00B9359B" w:rsidRDefault="009A5268">
      <w:pPr>
        <w:pStyle w:val="FigureNo"/>
        <w:rPr>
          <w:lang w:eastAsia="ja-JP"/>
        </w:rPr>
      </w:pPr>
      <w:r>
        <w:object w:dxaOrig="5257" w:dyaOrig="4887">
          <v:shape id="_x0000_i1045" type="#_x0000_t75" style="width:262.75pt;height:243.95pt" o:ole="">
            <v:imagedata r:id="rId38" o:title=""/>
          </v:shape>
          <o:OLEObject Type="Embed" ProgID="Designer.Drawing.7" ShapeID="_x0000_i1045" DrawAspect="Content" ObjectID="_1629894563" r:id="rId39"/>
        </w:object>
      </w:r>
    </w:p>
    <w:p w:rsidR="00B9359B" w:rsidRDefault="00B9359B">
      <w:pPr>
        <w:rPr>
          <w:lang w:val="en-US"/>
        </w:rPr>
      </w:pPr>
      <w:bookmarkStart w:id="218" w:name="_Toc51045618"/>
    </w:p>
    <w:p w:rsidR="00B9359B" w:rsidRDefault="009A5268">
      <w:pPr>
        <w:pStyle w:val="Heading2"/>
        <w:rPr>
          <w:lang w:val="en-US"/>
        </w:rPr>
      </w:pPr>
      <w:r>
        <w:rPr>
          <w:lang w:val="en-US"/>
        </w:rPr>
        <w:br w:type="page"/>
        <w:t>4.2</w:t>
      </w:r>
      <w:r>
        <w:rPr>
          <w:lang w:val="en-US"/>
        </w:rPr>
        <w:tab/>
        <w:t>Calculation of the interference level</w:t>
      </w:r>
      <w:bookmarkEnd w:id="218"/>
    </w:p>
    <w:p w:rsidR="00B9359B" w:rsidRDefault="009A5268">
      <w:pPr>
        <w:rPr>
          <w:lang w:val="en-US"/>
        </w:rPr>
      </w:pPr>
      <w:r>
        <w:rPr>
          <w:lang w:val="en-US"/>
        </w:rPr>
        <w:t>In cases where application of RR No. 1.153 provides improvements in the consideration of compati</w:t>
      </w:r>
      <w:r>
        <w:rPr>
          <w:lang w:val="en-US"/>
        </w:rPr>
        <w:softHyphen/>
        <w:t>bility, this footnote should be taken into account:</w:t>
      </w:r>
    </w:p>
    <w:p w:rsidR="00B9359B" w:rsidRDefault="009A5268">
      <w:pPr>
        <w:rPr>
          <w:lang w:val="en-US"/>
        </w:rPr>
      </w:pPr>
      <w:r>
        <w:rPr>
          <w:lang w:val="en-US"/>
        </w:rPr>
        <w:t>“</w:t>
      </w:r>
      <w:r>
        <w:rPr>
          <w:b/>
          <w:bCs/>
          <w:lang w:val="en-US"/>
        </w:rPr>
        <w:t>1.153</w:t>
      </w:r>
      <w:r>
        <w:rPr>
          <w:lang w:val="en-US"/>
        </w:rPr>
        <w:t>   </w:t>
      </w:r>
      <w:r>
        <w:rPr>
          <w:i/>
          <w:lang w:val="en-US"/>
        </w:rPr>
        <w:t>occupied bandwidth</w:t>
      </w:r>
      <w:r>
        <w:rPr>
          <w:iCs/>
          <w:lang w:val="en-US"/>
        </w:rPr>
        <w:t>:   </w:t>
      </w:r>
      <w:r>
        <w:rPr>
          <w:lang w:val="en-US"/>
        </w:rPr>
        <w:t xml:space="preserve">The width of a frequency band such that, below the lower and above the upper frequency limits, the </w:t>
      </w:r>
      <w:r>
        <w:rPr>
          <w:i/>
          <w:lang w:val="en-US"/>
        </w:rPr>
        <w:t>mean powers</w:t>
      </w:r>
      <w:r>
        <w:rPr>
          <w:lang w:val="en-US"/>
        </w:rPr>
        <w:t xml:space="preserve"> emitted are each equal to a specified percentage </w:t>
      </w:r>
      <w:r>
        <w:rPr>
          <w:rFonts w:ascii="Symbol" w:hAnsi="Symbol"/>
        </w:rPr>
        <w:sym w:font="Symbol" w:char="F062"/>
      </w:r>
      <w:r>
        <w:rPr>
          <w:lang w:val="en-US"/>
        </w:rPr>
        <w:t xml:space="preserve">/2 of the </w:t>
      </w:r>
      <w:r>
        <w:rPr>
          <w:i/>
          <w:lang w:val="en-US"/>
        </w:rPr>
        <w:t>mean power</w:t>
      </w:r>
      <w:r>
        <w:rPr>
          <w:lang w:val="en-US"/>
        </w:rPr>
        <w:t xml:space="preserve"> of a given </w:t>
      </w:r>
      <w:r>
        <w:rPr>
          <w:i/>
          <w:lang w:val="en-US"/>
        </w:rPr>
        <w:t>emission</w:t>
      </w:r>
      <w:r>
        <w:rPr>
          <w:lang w:val="en-US"/>
        </w:rPr>
        <w:t>.</w:t>
      </w:r>
    </w:p>
    <w:p w:rsidR="00B9359B" w:rsidRDefault="009A5268">
      <w:pPr>
        <w:rPr>
          <w:lang w:val="en-US"/>
        </w:rPr>
      </w:pPr>
      <w:r>
        <w:rPr>
          <w:lang w:val="en-US"/>
        </w:rPr>
        <w:tab/>
        <w:t xml:space="preserve">Unless otherwise specified in an ITU-R Recommendation for the appropriate </w:t>
      </w:r>
      <w:r>
        <w:rPr>
          <w:i/>
          <w:lang w:val="en-US"/>
        </w:rPr>
        <w:t>class of emission</w:t>
      </w:r>
      <w:r>
        <w:rPr>
          <w:lang w:val="en-US"/>
        </w:rPr>
        <w:t xml:space="preserve">, the value of </w:t>
      </w:r>
      <w:r>
        <w:rPr>
          <w:rFonts w:ascii="Symbol" w:hAnsi="Symbol"/>
        </w:rPr>
        <w:sym w:font="Symbol" w:char="F062"/>
      </w:r>
      <w:r>
        <w:rPr>
          <w:lang w:val="en-US"/>
        </w:rPr>
        <w:t>/2 should be taken as 0.5%.”</w:t>
      </w:r>
    </w:p>
    <w:p w:rsidR="00B9359B" w:rsidRDefault="009A5268">
      <w:pPr>
        <w:rPr>
          <w:lang w:val="en-US"/>
        </w:rPr>
      </w:pPr>
      <w:r>
        <w:rPr>
          <w:lang w:val="en-US"/>
        </w:rPr>
        <w:t xml:space="preserve">If the lower edge of the occupied bandwidth was at or above the lower limit of the satellite service allocation, the total power of the unwanted emissions at frequencies below the allocated bandwidth would be no greater than 0.5% of </w:t>
      </w:r>
      <w:r>
        <w:rPr>
          <w:i/>
          <w:lang w:val="en-US"/>
        </w:rPr>
        <w:t>P</w:t>
      </w:r>
      <w:r>
        <w:rPr>
          <w:lang w:val="en-US"/>
        </w:rPr>
        <w:t xml:space="preserve">, where </w:t>
      </w:r>
      <w:r>
        <w:rPr>
          <w:i/>
          <w:lang w:val="en-US"/>
        </w:rPr>
        <w:t>P</w:t>
      </w:r>
      <w:r>
        <w:rPr>
          <w:lang w:val="en-US"/>
        </w:rPr>
        <w:t xml:space="preserve"> is the in-band power. Therefore, the total power of unwanted emission at frequencies in the 50.2-50.4 GHz EESS band would be no greater than </w:t>
      </w:r>
      <w:r>
        <w:rPr>
          <w:i/>
          <w:lang w:val="en-US"/>
        </w:rPr>
        <w:t>P </w:t>
      </w:r>
      <w:r>
        <w:rPr>
          <w:rFonts w:ascii="Symbol" w:hAnsi="Symbol"/>
          <w:lang w:val="en-US"/>
        </w:rPr>
        <w:noBreakHyphen/>
      </w:r>
      <w:r>
        <w:rPr>
          <w:lang w:val="en-US"/>
        </w:rPr>
        <w:t> 23 dB.</w:t>
      </w:r>
    </w:p>
    <w:p w:rsidR="00B9359B" w:rsidRDefault="009A5268">
      <w:pPr>
        <w:pStyle w:val="Heading2"/>
        <w:rPr>
          <w:lang w:val="en-US"/>
        </w:rPr>
      </w:pPr>
      <w:bookmarkStart w:id="219" w:name="_Toc51045619"/>
      <w:r>
        <w:rPr>
          <w:lang w:val="en-US"/>
        </w:rPr>
        <w:t>4.3</w:t>
      </w:r>
      <w:r>
        <w:rPr>
          <w:lang w:val="en-US"/>
        </w:rPr>
        <w:tab/>
        <w:t>Values achieved</w:t>
      </w:r>
      <w:bookmarkEnd w:id="219"/>
    </w:p>
    <w:p w:rsidR="00B9359B" w:rsidRDefault="009A5268">
      <w:pPr>
        <w:pStyle w:val="Heading3"/>
        <w:rPr>
          <w:lang w:val="en-US"/>
        </w:rPr>
      </w:pPr>
      <w:bookmarkStart w:id="220" w:name="_Toc51045620"/>
      <w:r>
        <w:rPr>
          <w:lang w:val="en-US"/>
        </w:rPr>
        <w:t>4.3.1</w:t>
      </w:r>
      <w:r>
        <w:rPr>
          <w:lang w:val="en-US"/>
        </w:rPr>
        <w:tab/>
        <w:t>FSS/MSS case</w:t>
      </w:r>
      <w:bookmarkEnd w:id="220"/>
    </w:p>
    <w:p w:rsidR="00B9359B" w:rsidRDefault="009A5268">
      <w:pPr>
        <w:rPr>
          <w:lang w:val="en-US"/>
        </w:rPr>
      </w:pPr>
      <w:r>
        <w:rPr>
          <w:lang w:val="en-US"/>
        </w:rPr>
        <w:t>The application of Recommendation ITU-R SM.1541 for the FSS/MSS systems using a necessary bandwidth lead to an integrated pfd over the whole RAS band of 108.5 dB(W/(m</w:t>
      </w:r>
      <w:r>
        <w:rPr>
          <w:vertAlign w:val="superscript"/>
          <w:lang w:val="en-US"/>
        </w:rPr>
        <w:t>2</w:t>
      </w:r>
      <w:r>
        <w:rPr>
          <w:lang w:val="en-US"/>
        </w:rPr>
        <w:t> · 10 MHz)). The application of RR No. 1.153 leads to a total pfd of –123 dB(W/(m</w:t>
      </w:r>
      <w:r>
        <w:rPr>
          <w:vertAlign w:val="superscript"/>
          <w:lang w:val="en-US"/>
        </w:rPr>
        <w:t>2</w:t>
      </w:r>
      <w:r>
        <w:rPr>
          <w:lang w:val="en-US"/>
        </w:rPr>
        <w:t> · 10 MHz)). This means the protection criteria for continuum observations will not be met.</w:t>
      </w:r>
    </w:p>
    <w:p w:rsidR="00B9359B" w:rsidRDefault="009A5268">
      <w:pPr>
        <w:rPr>
          <w:lang w:val="en-US"/>
        </w:rPr>
      </w:pPr>
      <w:r>
        <w:rPr>
          <w:lang w:val="en-US"/>
        </w:rPr>
        <w:t>The</w:t>
      </w:r>
      <w:r>
        <w:rPr>
          <w:sz w:val="23"/>
          <w:lang w:val="en-US"/>
        </w:rPr>
        <w:t xml:space="preserve"> </w:t>
      </w:r>
      <w:r>
        <w:rPr>
          <w:lang w:val="en-US"/>
        </w:rPr>
        <w:t>pfd</w:t>
      </w:r>
      <w:r>
        <w:rPr>
          <w:sz w:val="23"/>
          <w:lang w:val="en-US"/>
        </w:rPr>
        <w:t xml:space="preserve"> </w:t>
      </w:r>
      <w:r>
        <w:rPr>
          <w:lang w:val="en-US"/>
        </w:rPr>
        <w:t>integrated</w:t>
      </w:r>
      <w:r>
        <w:rPr>
          <w:sz w:val="23"/>
          <w:lang w:val="en-US"/>
        </w:rPr>
        <w:t xml:space="preserve"> </w:t>
      </w:r>
      <w:r>
        <w:rPr>
          <w:lang w:val="en-US"/>
        </w:rPr>
        <w:t>over</w:t>
      </w:r>
      <w:r>
        <w:rPr>
          <w:sz w:val="23"/>
          <w:lang w:val="en-US"/>
        </w:rPr>
        <w:t xml:space="preserve"> </w:t>
      </w:r>
      <w:r>
        <w:rPr>
          <w:lang w:val="en-US"/>
        </w:rPr>
        <w:t>20</w:t>
      </w:r>
      <w:r>
        <w:rPr>
          <w:sz w:val="23"/>
          <w:lang w:val="en-US"/>
        </w:rPr>
        <w:t xml:space="preserve"> </w:t>
      </w:r>
      <w:r>
        <w:rPr>
          <w:lang w:val="en-US"/>
        </w:rPr>
        <w:t>kHz,</w:t>
      </w:r>
      <w:r>
        <w:rPr>
          <w:sz w:val="23"/>
          <w:lang w:val="en-US"/>
        </w:rPr>
        <w:t xml:space="preserve"> </w:t>
      </w:r>
      <w:r>
        <w:rPr>
          <w:lang w:val="en-US"/>
        </w:rPr>
        <w:t>at</w:t>
      </w:r>
      <w:r>
        <w:rPr>
          <w:sz w:val="23"/>
          <w:lang w:val="en-US"/>
        </w:rPr>
        <w:t xml:space="preserve"> </w:t>
      </w:r>
      <w:r>
        <w:rPr>
          <w:lang w:val="en-US"/>
        </w:rPr>
        <w:t>the</w:t>
      </w:r>
      <w:r>
        <w:rPr>
          <w:sz w:val="23"/>
          <w:lang w:val="en-US"/>
        </w:rPr>
        <w:t xml:space="preserve"> </w:t>
      </w:r>
      <w:r>
        <w:rPr>
          <w:lang w:val="en-US"/>
        </w:rPr>
        <w:t>edge</w:t>
      </w:r>
      <w:r>
        <w:rPr>
          <w:sz w:val="23"/>
          <w:lang w:val="en-US"/>
        </w:rPr>
        <w:t xml:space="preserve"> </w:t>
      </w:r>
      <w:r>
        <w:rPr>
          <w:lang w:val="en-US"/>
        </w:rPr>
        <w:t>of</w:t>
      </w:r>
      <w:r>
        <w:rPr>
          <w:sz w:val="23"/>
          <w:lang w:val="en-US"/>
        </w:rPr>
        <w:t xml:space="preserve"> </w:t>
      </w:r>
      <w:r>
        <w:rPr>
          <w:lang w:val="en-US"/>
        </w:rPr>
        <w:t>the</w:t>
      </w:r>
      <w:r>
        <w:rPr>
          <w:sz w:val="23"/>
          <w:lang w:val="en-US"/>
        </w:rPr>
        <w:t xml:space="preserve"> </w:t>
      </w:r>
      <w:r>
        <w:rPr>
          <w:lang w:val="en-US"/>
        </w:rPr>
        <w:t>RAS</w:t>
      </w:r>
      <w:r>
        <w:rPr>
          <w:sz w:val="23"/>
          <w:lang w:val="en-US"/>
        </w:rPr>
        <w:t xml:space="preserve"> </w:t>
      </w:r>
      <w:r>
        <w:rPr>
          <w:lang w:val="en-US"/>
        </w:rPr>
        <w:t>band,</w:t>
      </w:r>
      <w:r>
        <w:rPr>
          <w:sz w:val="23"/>
          <w:lang w:val="en-US"/>
        </w:rPr>
        <w:t xml:space="preserve"> </w:t>
      </w:r>
      <w:r>
        <w:rPr>
          <w:lang w:val="en-US"/>
        </w:rPr>
        <w:t>is</w:t>
      </w:r>
      <w:r>
        <w:rPr>
          <w:sz w:val="23"/>
          <w:lang w:val="en-US"/>
        </w:rPr>
        <w:t xml:space="preserve"> </w:t>
      </w:r>
      <w:r>
        <w:rPr>
          <w:lang w:val="en-US"/>
        </w:rPr>
        <w:t>equal</w:t>
      </w:r>
      <w:r>
        <w:rPr>
          <w:sz w:val="23"/>
          <w:lang w:val="en-US"/>
        </w:rPr>
        <w:t xml:space="preserve"> </w:t>
      </w:r>
      <w:r>
        <w:rPr>
          <w:lang w:val="en-US"/>
        </w:rPr>
        <w:t xml:space="preserve">to </w:t>
      </w:r>
      <w:r>
        <w:rPr>
          <w:rFonts w:ascii="Symbol" w:hAnsi="Symbol"/>
          <w:lang w:val="en-US"/>
        </w:rPr>
        <w:noBreakHyphen/>
      </w:r>
      <w:r>
        <w:rPr>
          <w:lang w:val="en-US"/>
        </w:rPr>
        <w:t>130 dB(W/(m</w:t>
      </w:r>
      <w:r>
        <w:rPr>
          <w:vertAlign w:val="superscript"/>
          <w:lang w:val="en-US"/>
        </w:rPr>
        <w:t>2</w:t>
      </w:r>
      <w:r>
        <w:rPr>
          <w:lang w:val="en-US"/>
        </w:rPr>
        <w:t> · 20 kHz)), i.e. about 30 dB above the VLBI protection criteria.</w:t>
      </w:r>
    </w:p>
    <w:p w:rsidR="00B9359B" w:rsidRDefault="009A5268">
      <w:pPr>
        <w:pStyle w:val="Heading3"/>
        <w:rPr>
          <w:lang w:val="en-US"/>
        </w:rPr>
      </w:pPr>
      <w:bookmarkStart w:id="221" w:name="_Toc51045621"/>
      <w:r>
        <w:rPr>
          <w:lang w:val="en-US"/>
        </w:rPr>
        <w:t>4.3.2</w:t>
      </w:r>
      <w:r>
        <w:rPr>
          <w:lang w:val="en-US"/>
        </w:rPr>
        <w:tab/>
        <w:t>BSS case</w:t>
      </w:r>
      <w:bookmarkEnd w:id="221"/>
    </w:p>
    <w:p w:rsidR="00B9359B" w:rsidRDefault="009A5268">
      <w:pPr>
        <w:spacing w:line="280" w:lineRule="exact"/>
        <w:rPr>
          <w:lang w:val="en-US"/>
        </w:rPr>
      </w:pPr>
      <w:r>
        <w:rPr>
          <w:lang w:val="en-US"/>
        </w:rPr>
        <w:t>Based on the pfd limit given in RR Article 21 (–137 dB(W/(m</w:t>
      </w:r>
      <w:r>
        <w:rPr>
          <w:vertAlign w:val="superscript"/>
          <w:lang w:val="en-US"/>
        </w:rPr>
        <w:t>2</w:t>
      </w:r>
      <w:r>
        <w:rPr>
          <w:lang w:val="en-US"/>
        </w:rPr>
        <w:t> · 4 kHz))), assuming a necessary bandwidth of 18 MHz and by applying the mask described in § 4.1.2, for a BSS system operating below 2</w:t>
      </w:r>
      <w:r>
        <w:rPr>
          <w:rFonts w:ascii="Tms Rmn" w:hAnsi="Tms Rmn"/>
          <w:sz w:val="12"/>
          <w:lang w:val="en-US"/>
        </w:rPr>
        <w:t> </w:t>
      </w:r>
      <w:r>
        <w:rPr>
          <w:lang w:val="en-US"/>
        </w:rPr>
        <w:t xml:space="preserve">670 MHz, the maximum pfd falling into a 10 MHz reference bandwidth is equal to </w:t>
      </w:r>
      <w:r>
        <w:rPr>
          <w:rFonts w:ascii="Symbol" w:hAnsi="Symbol"/>
          <w:lang w:val="en-US"/>
        </w:rPr>
        <w:noBreakHyphen/>
      </w:r>
      <w:r>
        <w:rPr>
          <w:lang w:val="en-US"/>
        </w:rPr>
        <w:t>121 dB(W/(m</w:t>
      </w:r>
      <w:r>
        <w:rPr>
          <w:vertAlign w:val="superscript"/>
          <w:lang w:val="en-US"/>
        </w:rPr>
        <w:t>2</w:t>
      </w:r>
      <w:r>
        <w:rPr>
          <w:lang w:val="en-US"/>
        </w:rPr>
        <w:t> · 10 MHz)), i.e. about 56 dB above the criteria given for continuum observations. The application of RR No. 1.153 leads to a pfd of –123.5 dB(W/(m</w:t>
      </w:r>
      <w:r>
        <w:rPr>
          <w:vertAlign w:val="superscript"/>
          <w:lang w:val="en-US"/>
        </w:rPr>
        <w:t>2</w:t>
      </w:r>
      <w:r>
        <w:rPr>
          <w:lang w:val="en-US"/>
        </w:rPr>
        <w:t> · 10 MHz)). This means the protection criteria for continuum observations will not be met.</w:t>
      </w:r>
    </w:p>
    <w:p w:rsidR="00B9359B" w:rsidRDefault="009A5268">
      <w:pPr>
        <w:rPr>
          <w:lang w:val="en-US"/>
        </w:rPr>
      </w:pPr>
      <w:r>
        <w:rPr>
          <w:lang w:val="en-US"/>
        </w:rPr>
        <w:t>The pfd due to a BSS system operating below 2</w:t>
      </w:r>
      <w:r>
        <w:rPr>
          <w:rFonts w:ascii="Tms Rmn" w:hAnsi="Tms Rmn"/>
          <w:sz w:val="12"/>
          <w:lang w:val="en-US"/>
        </w:rPr>
        <w:t> </w:t>
      </w:r>
      <w:r>
        <w:rPr>
          <w:lang w:val="en-US"/>
        </w:rPr>
        <w:t>670 MHz and integrated over 20 kHz, at the edge of the RAS band, is equal to –146 dB(W/(m</w:t>
      </w:r>
      <w:r>
        <w:rPr>
          <w:vertAlign w:val="superscript"/>
          <w:lang w:val="en-US"/>
        </w:rPr>
        <w:t>2</w:t>
      </w:r>
      <w:r>
        <w:rPr>
          <w:lang w:val="en-US"/>
        </w:rPr>
        <w:t> · 20 kHz)), which is about 15 dB above the VLBI protection criteria.</w:t>
      </w:r>
    </w:p>
    <w:p w:rsidR="00B9359B" w:rsidRDefault="009A5268">
      <w:pPr>
        <w:pStyle w:val="Heading1"/>
        <w:rPr>
          <w:snapToGrid w:val="0"/>
          <w:lang w:val="en-US"/>
        </w:rPr>
      </w:pPr>
      <w:bookmarkStart w:id="222" w:name="_Toc51045622"/>
      <w:r>
        <w:rPr>
          <w:snapToGrid w:val="0"/>
          <w:lang w:val="en-US"/>
        </w:rPr>
        <w:t>5</w:t>
      </w:r>
      <w:r>
        <w:rPr>
          <w:snapToGrid w:val="0"/>
          <w:lang w:val="en-US"/>
        </w:rPr>
        <w:tab/>
        <w:t>Mitigation techniques</w:t>
      </w:r>
      <w:bookmarkEnd w:id="222"/>
    </w:p>
    <w:p w:rsidR="00B9359B" w:rsidRDefault="009A5268">
      <w:pPr>
        <w:pStyle w:val="Heading2"/>
        <w:rPr>
          <w:lang w:val="en-US"/>
        </w:rPr>
      </w:pPr>
      <w:bookmarkStart w:id="223" w:name="_Toc51045623"/>
      <w:r>
        <w:rPr>
          <w:lang w:val="en-US"/>
        </w:rPr>
        <w:t>5.1</w:t>
      </w:r>
      <w:r>
        <w:rPr>
          <w:lang w:val="en-US"/>
        </w:rPr>
        <w:tab/>
        <w:t>RAS</w:t>
      </w:r>
      <w:bookmarkEnd w:id="223"/>
    </w:p>
    <w:p w:rsidR="00B9359B" w:rsidRDefault="009A5268">
      <w:pPr>
        <w:rPr>
          <w:snapToGrid w:val="0"/>
          <w:lang w:val="en-US"/>
        </w:rPr>
      </w:pPr>
      <w:r>
        <w:rPr>
          <w:snapToGrid w:val="0"/>
          <w:lang w:val="en-US"/>
        </w:rPr>
        <w:t>There are various methods, including those described below, which might be considered to reduce unwanted emissions from the satellite transmitters at a radio telescope.</w:t>
      </w:r>
    </w:p>
    <w:p w:rsidR="00B9359B" w:rsidRDefault="009A5268">
      <w:pPr>
        <w:rPr>
          <w:lang w:val="en-US"/>
        </w:rPr>
      </w:pPr>
      <w:r>
        <w:rPr>
          <w:i/>
          <w:lang w:val="en-US"/>
        </w:rPr>
        <w:br w:type="page"/>
        <w:t>Antenna side lobe performance</w:t>
      </w:r>
      <w:r>
        <w:rPr>
          <w:lang w:val="en-US"/>
        </w:rPr>
        <w:t xml:space="preserve">:  The aperture illumination of radio telescopes is usually optimized for </w:t>
      </w:r>
      <w:r>
        <w:rPr>
          <w:i/>
          <w:iCs/>
          <w:lang w:val="en-US"/>
        </w:rPr>
        <w:t>G</w:t>
      </w:r>
      <w:r>
        <w:rPr>
          <w:lang w:val="en-US"/>
        </w:rPr>
        <w:t>/</w:t>
      </w:r>
      <w:r>
        <w:rPr>
          <w:i/>
          <w:iCs/>
          <w:lang w:val="en-US"/>
        </w:rPr>
        <w:t>T</w:t>
      </w:r>
      <w:r>
        <w:rPr>
          <w:lang w:val="en-US"/>
        </w:rPr>
        <w:t xml:space="preserve">, i.e. telescope gain divided by system temperature. This is to maximize the </w:t>
      </w:r>
      <w:r>
        <w:rPr>
          <w:i/>
          <w:iCs/>
          <w:lang w:val="en-US"/>
        </w:rPr>
        <w:t>S</w:t>
      </w:r>
      <w:r>
        <w:rPr>
          <w:lang w:val="en-US"/>
        </w:rPr>
        <w:t>/</w:t>
      </w:r>
      <w:r>
        <w:rPr>
          <w:i/>
          <w:iCs/>
          <w:lang w:val="en-US"/>
        </w:rPr>
        <w:t>N</w:t>
      </w:r>
      <w:r>
        <w:rPr>
          <w:lang w:val="en-US"/>
        </w:rPr>
        <w:t xml:space="preserve"> for point sources. A key element of this approach is to reduce ground radiation entering through far side lobes. Inevitably this leads to some corresponding increase in the levels of near side lobes. Experience has shown that the majority of radio telescopes meet the envelope sidelobe mask given in Recommendation ITU</w:t>
      </w:r>
      <w:r>
        <w:rPr>
          <w:lang w:val="en-US"/>
        </w:rPr>
        <w:noBreakHyphen/>
        <w:t>R SA.509 over most directions.</w:t>
      </w:r>
    </w:p>
    <w:p w:rsidR="00B9359B" w:rsidRDefault="009A5268">
      <w:pPr>
        <w:rPr>
          <w:lang w:val="en-US"/>
        </w:rPr>
      </w:pPr>
      <w:r>
        <w:rPr>
          <w:i/>
          <w:lang w:val="en-US"/>
        </w:rPr>
        <w:t>Blanking in time and/or frequency</w:t>
      </w:r>
      <w:r>
        <w:rPr>
          <w:lang w:val="en-US"/>
        </w:rPr>
        <w:t>:  This technique may be applied in cases where interference into the radio astronomy frequency band can be fully and unambiguously identified in time and/or frequency.</w:t>
      </w:r>
    </w:p>
    <w:p w:rsidR="00B9359B" w:rsidRDefault="009A5268">
      <w:pPr>
        <w:rPr>
          <w:lang w:val="en-US"/>
        </w:rPr>
      </w:pPr>
      <w:r>
        <w:rPr>
          <w:i/>
          <w:lang w:val="en-US"/>
        </w:rPr>
        <w:t>Guardband</w:t>
      </w:r>
      <w:r>
        <w:rPr>
          <w:iCs/>
          <w:lang w:val="en-US"/>
        </w:rPr>
        <w:t>:  </w:t>
      </w:r>
      <w:r>
        <w:rPr>
          <w:lang w:val="en-US"/>
        </w:rPr>
        <w:t>A guardband is a technique to provide adequate separation in frequency between the active and passive services. In general, it will equitably straddle the boundary between the frequency bands of the active and passive services.</w:t>
      </w:r>
    </w:p>
    <w:p w:rsidR="00B9359B" w:rsidRDefault="009A5268">
      <w:pPr>
        <w:rPr>
          <w:lang w:val="en-US"/>
        </w:rPr>
      </w:pPr>
      <w:r>
        <w:rPr>
          <w:i/>
          <w:lang w:val="en-US"/>
        </w:rPr>
        <w:t>Geographical isolation</w:t>
      </w:r>
      <w:r>
        <w:rPr>
          <w:lang w:val="en-US"/>
        </w:rPr>
        <w:t>:  The geographic isolation of specific radio astronomy sites can be a factor in favour of protecting observations at these sites, given the orbital location of a specific BSS/FSS satellite, as there will be relatively few satellites.</w:t>
      </w:r>
    </w:p>
    <w:p w:rsidR="00B9359B" w:rsidRDefault="009A5268">
      <w:pPr>
        <w:pStyle w:val="Heading2"/>
        <w:rPr>
          <w:lang w:val="en-US"/>
        </w:rPr>
      </w:pPr>
      <w:bookmarkStart w:id="224" w:name="_Toc51045624"/>
      <w:r>
        <w:rPr>
          <w:lang w:val="en-US"/>
        </w:rPr>
        <w:t>5.2</w:t>
      </w:r>
      <w:r>
        <w:rPr>
          <w:lang w:val="en-US"/>
        </w:rPr>
        <w:tab/>
        <w:t>FSS/BSS service</w:t>
      </w:r>
      <w:bookmarkEnd w:id="224"/>
    </w:p>
    <w:p w:rsidR="00B9359B" w:rsidRDefault="009A5268">
      <w:pPr>
        <w:rPr>
          <w:lang w:val="en-US"/>
        </w:rPr>
      </w:pPr>
      <w:r>
        <w:rPr>
          <w:lang w:val="en-US"/>
        </w:rPr>
        <w:t>This service involves continuous transmission of signals continually or for long periods of time, with constant power and spectrum. Possible mitigation procedures are to avoid transmitting unwanted emissions in the direction of the radio astronomy stations that use this band, or to use filters to appropriately suppress unwanted emissions to a level where detrimental interference to radio astronomical observations in the 2</w:t>
      </w:r>
      <w:r>
        <w:rPr>
          <w:rFonts w:ascii="Tms Rmn" w:hAnsi="Tms Rmn"/>
          <w:sz w:val="12"/>
          <w:lang w:val="en-US"/>
        </w:rPr>
        <w:t> </w:t>
      </w:r>
      <w:r>
        <w:rPr>
          <w:lang w:val="en-US"/>
        </w:rPr>
        <w:t>690-2</w:t>
      </w:r>
      <w:r>
        <w:rPr>
          <w:rFonts w:ascii="Tms Rmn" w:hAnsi="Tms Rmn"/>
          <w:sz w:val="12"/>
          <w:lang w:val="en-US"/>
        </w:rPr>
        <w:t> </w:t>
      </w:r>
      <w:r>
        <w:rPr>
          <w:lang w:val="en-US"/>
        </w:rPr>
        <w:t>700 MHz is not caused.</w:t>
      </w:r>
    </w:p>
    <w:p w:rsidR="00B9359B" w:rsidRDefault="009A5268">
      <w:pPr>
        <w:pStyle w:val="Heading2"/>
        <w:rPr>
          <w:lang w:val="en-US"/>
        </w:rPr>
      </w:pPr>
      <w:bookmarkStart w:id="225" w:name="_Toc51045625"/>
      <w:r>
        <w:rPr>
          <w:lang w:val="en-US"/>
        </w:rPr>
        <w:t>5.3</w:t>
      </w:r>
      <w:r>
        <w:rPr>
          <w:lang w:val="en-US"/>
        </w:rPr>
        <w:tab/>
        <w:t>Potential impact</w:t>
      </w:r>
      <w:bookmarkEnd w:id="225"/>
    </w:p>
    <w:p w:rsidR="00B9359B" w:rsidRDefault="009A5268">
      <w:pPr>
        <w:pStyle w:val="Heading3"/>
        <w:rPr>
          <w:lang w:val="en-US"/>
        </w:rPr>
      </w:pPr>
      <w:bookmarkStart w:id="226" w:name="_Toc51045626"/>
      <w:r>
        <w:rPr>
          <w:lang w:val="en-US"/>
        </w:rPr>
        <w:t>5.3.1</w:t>
      </w:r>
      <w:r>
        <w:rPr>
          <w:lang w:val="en-US"/>
        </w:rPr>
        <w:tab/>
        <w:t>RAS</w:t>
      </w:r>
      <w:bookmarkEnd w:id="226"/>
    </w:p>
    <w:p w:rsidR="00B9359B" w:rsidRDefault="009A5268">
      <w:pPr>
        <w:rPr>
          <w:lang w:val="en-US"/>
        </w:rPr>
      </w:pPr>
      <w:r>
        <w:rPr>
          <w:i/>
          <w:lang w:val="en-US"/>
        </w:rPr>
        <w:t>Antenna sidelobe performance</w:t>
      </w:r>
      <w:r>
        <w:rPr>
          <w:lang w:val="en-US"/>
        </w:rPr>
        <w:t>:  Attempts to decrease the sensitivity of the radio astronomy antenna to unwanted emissions coming from space stations are likely to increase the sensitivity of the radio astronomy telescope to ground radiation, and possibly reduce its main beam gain. Both of these effects will reduce the telescope’s channel capacity of and thus lead to an increase of the total required integration time.</w:t>
      </w:r>
    </w:p>
    <w:p w:rsidR="00B9359B" w:rsidRDefault="009A5268">
      <w:pPr>
        <w:rPr>
          <w:lang w:val="en-US"/>
        </w:rPr>
      </w:pPr>
      <w:r>
        <w:rPr>
          <w:i/>
          <w:lang w:val="en-US"/>
        </w:rPr>
        <w:t>Blanking in time and/or frequency</w:t>
      </w:r>
      <w:r>
        <w:rPr>
          <w:lang w:val="en-US"/>
        </w:rPr>
        <w:t>:  Blanking involves a risk of compromising the integrity of the data and may lead to errors in their scientific interpretation. Blanking also causes a concomitant increase in the total integration time required to make the observation, this is equivalent to a loss in the channel capacity of the telescope.</w:t>
      </w:r>
    </w:p>
    <w:p w:rsidR="00B9359B" w:rsidRDefault="009A5268">
      <w:pPr>
        <w:rPr>
          <w:lang w:val="en-US"/>
        </w:rPr>
      </w:pPr>
      <w:r>
        <w:rPr>
          <w:i/>
          <w:lang w:val="en-US"/>
        </w:rPr>
        <w:t>Guardband</w:t>
      </w:r>
      <w:r>
        <w:rPr>
          <w:iCs/>
          <w:lang w:val="en-US"/>
        </w:rPr>
        <w:t>:  </w:t>
      </w:r>
      <w:r>
        <w:rPr>
          <w:lang w:val="en-US"/>
        </w:rPr>
        <w:t>In the case of broadband continuum measurements, the use of a guardband would effectively lead to a loss of channel capacity, since the integration time would need to be increased to compensate for the loss of bandwidth.</w:t>
      </w:r>
    </w:p>
    <w:p w:rsidR="00B9359B" w:rsidRDefault="009A5268">
      <w:pPr>
        <w:rPr>
          <w:lang w:val="en-US"/>
        </w:rPr>
      </w:pPr>
      <w:r>
        <w:rPr>
          <w:i/>
          <w:lang w:val="en-US"/>
        </w:rPr>
        <w:t>Geographical isolation</w:t>
      </w:r>
      <w:r>
        <w:rPr>
          <w:lang w:val="en-US"/>
        </w:rPr>
        <w:t>:  When considered on a case-by-case basis it is likely that there would be little impact on the radio astronomy sites concerned. This does necessarily provide protection of radio astronomy as a service, however.</w:t>
      </w:r>
    </w:p>
    <w:p w:rsidR="00B9359B" w:rsidRDefault="009A5268">
      <w:pPr>
        <w:pStyle w:val="Heading3"/>
        <w:rPr>
          <w:lang w:val="en-US"/>
        </w:rPr>
      </w:pPr>
      <w:bookmarkStart w:id="227" w:name="_Toc51045627"/>
      <w:r>
        <w:rPr>
          <w:lang w:val="en-US"/>
        </w:rPr>
        <w:br w:type="page"/>
        <w:t>5.3.2</w:t>
      </w:r>
      <w:r>
        <w:rPr>
          <w:lang w:val="en-US"/>
        </w:rPr>
        <w:tab/>
        <w:t>FSS/BSS</w:t>
      </w:r>
      <w:bookmarkEnd w:id="227"/>
    </w:p>
    <w:p w:rsidR="00B9359B" w:rsidRDefault="009A5268">
      <w:pPr>
        <w:rPr>
          <w:lang w:val="en-US"/>
        </w:rPr>
      </w:pPr>
      <w:r>
        <w:rPr>
          <w:lang w:val="en-US"/>
        </w:rPr>
        <w:t>Filters are an obvious way to suppress unwanted emissions, but the addition of such filters may affect the satellite design in a substantial manner. If a phased array, active antenna is used, filters may be required for every driven antenna element. This will increase the weight of the satellite. Compensating for filter losses will require more powerful transmitters, which in turn will require more bus power, and so, larger solar power arrays. The increase in weight could be sufficient to require a larger launcher. The cost impact could be large. Consequently filters can be considered only at the design stage of a system. However, continuing technical improvements in the design of filters and active antennas may in time reduce the problem of implementing such solutions to manageable proportions.</w:t>
      </w:r>
    </w:p>
    <w:p w:rsidR="00B9359B" w:rsidRDefault="009A5268">
      <w:pPr>
        <w:rPr>
          <w:lang w:val="en-US"/>
        </w:rPr>
      </w:pPr>
      <w:r>
        <w:rPr>
          <w:lang w:val="en-US"/>
        </w:rPr>
        <w:t>Since some multi-beam satellite systems are planned for operation in the frequency range of interest, the number of beams in the multi-beam system or the number of elements multiplies the cost and weight implications of additional RF filtering in the phased-array antenna system. This is due to the fact that in a multi-beam system the output amplifiers are generally not shared between beams, and so would have to be filtered separately. In a phased array type system the final stage of amplification takes place at the various elements of the array, each of which would have to be filtered separately. In this way the weight impact of an individual filter is multiplied by the number of beams in the system or the number of elements in the phased array. The filter insertion loss could impact system capacity.</w:t>
      </w:r>
    </w:p>
    <w:p w:rsidR="00B9359B" w:rsidRDefault="009A5268">
      <w:pPr>
        <w:rPr>
          <w:lang w:val="en-US"/>
        </w:rPr>
      </w:pPr>
      <w:r>
        <w:rPr>
          <w:lang w:val="en-US"/>
        </w:rPr>
        <w:t>Geographic isolation would involve the use of satellite antenna pattern roll-off to achieve the required isolation to meet an agreed sharing criterion at a particular radio astronomy receiver site. This technique tacitly assumes that an FSS system will not have a global, or even regional, coverage area, which is a limiting assumption in itself. Many systems have regional or sub-regional beams where geographic isolation is not feasible. Other spot beam systems may be able to use geographic isolation; however, this is not an attractive solution from the satellite system perspective as it could result in areas of the Earth being unavailable to the satellite service. Such limitations of the FSS service area could have serious revenue-generating implications. However, this solution does have the benefit of taking into account the actual protection requirements of specific radio astronomy sites, without the need to resort to the worst-case criteria at every radio astronomy site.</w:t>
      </w:r>
    </w:p>
    <w:p w:rsidR="00B9359B" w:rsidRDefault="009A5268">
      <w:pPr>
        <w:pStyle w:val="Heading1"/>
        <w:rPr>
          <w:snapToGrid w:val="0"/>
          <w:lang w:val="en-US"/>
        </w:rPr>
      </w:pPr>
      <w:bookmarkStart w:id="228" w:name="_Toc51045628"/>
      <w:r>
        <w:rPr>
          <w:snapToGrid w:val="0"/>
          <w:lang w:val="en-US"/>
        </w:rPr>
        <w:t>6</w:t>
      </w:r>
      <w:r>
        <w:rPr>
          <w:snapToGrid w:val="0"/>
          <w:lang w:val="en-US"/>
        </w:rPr>
        <w:tab/>
        <w:t>Results of studies</w:t>
      </w:r>
      <w:bookmarkEnd w:id="228"/>
    </w:p>
    <w:p w:rsidR="00B9359B" w:rsidRDefault="009A5268">
      <w:pPr>
        <w:pStyle w:val="Heading2"/>
        <w:rPr>
          <w:lang w:val="en-US"/>
        </w:rPr>
      </w:pPr>
      <w:bookmarkStart w:id="229" w:name="_Toc51045629"/>
      <w:r>
        <w:rPr>
          <w:lang w:val="en-US"/>
        </w:rPr>
        <w:t>6.1</w:t>
      </w:r>
      <w:r>
        <w:rPr>
          <w:lang w:val="en-US"/>
        </w:rPr>
        <w:tab/>
        <w:t>Summary</w:t>
      </w:r>
      <w:bookmarkEnd w:id="229"/>
    </w:p>
    <w:p w:rsidR="00B9359B" w:rsidRDefault="009A5268">
      <w:pPr>
        <w:rPr>
          <w:lang w:val="en-US"/>
        </w:rPr>
      </w:pPr>
      <w:r>
        <w:rPr>
          <w:lang w:val="en-US"/>
        </w:rPr>
        <w:t>The interference calculation performed shows that, on the basis of the protection criteria discussed in § 1.3, if no mitigation techniques are applied, there is a possibility of detrimental interference to radio astronomy observations in the 2</w:t>
      </w:r>
      <w:r>
        <w:rPr>
          <w:rFonts w:ascii="Tms Rmn" w:hAnsi="Tms Rmn"/>
          <w:sz w:val="12"/>
          <w:lang w:val="en-US"/>
        </w:rPr>
        <w:t> </w:t>
      </w:r>
      <w:r>
        <w:rPr>
          <w:lang w:val="en-US"/>
        </w:rPr>
        <w:t>690-2</w:t>
      </w:r>
      <w:r>
        <w:rPr>
          <w:rFonts w:ascii="Tms Rmn" w:hAnsi="Tms Rmn"/>
          <w:sz w:val="12"/>
          <w:lang w:val="en-US"/>
        </w:rPr>
        <w:t> </w:t>
      </w:r>
      <w:r>
        <w:rPr>
          <w:lang w:val="en-US"/>
        </w:rPr>
        <w:t>700 MHz band by services in the adjacent band, at a level that would effectively prevent any useful astronomical measurements being made in that band.</w:t>
      </w:r>
    </w:p>
    <w:p w:rsidR="00B9359B" w:rsidRDefault="009A5268">
      <w:pPr>
        <w:rPr>
          <w:lang w:val="en-US"/>
        </w:rPr>
      </w:pPr>
      <w:r>
        <w:rPr>
          <w:lang w:val="en-US"/>
        </w:rPr>
        <w:t xml:space="preserve">Satellite operators will continue to work closely with the radio astronomy community to minimize the impact of satellite OoB emissions. In many instances normal satellite transponder filtering will be sufficient to ensure there is no harmful impact to the radio astronomy bands. When this is </w:t>
      </w:r>
      <w:r>
        <w:rPr>
          <w:lang w:val="en-US"/>
        </w:rPr>
        <w:br w:type="page"/>
        <w:t>not the case, the impact of additional satellite filtering will be considered along with other mitigating techniques such as geographical pattern isolation and radio astronomy ground station isolation. This can be accomplished on a case-by-case basis depending on the radio astronomy site location and the orbital location.</w:t>
      </w:r>
    </w:p>
    <w:p w:rsidR="00B9359B" w:rsidRDefault="009A5268">
      <w:pPr>
        <w:pStyle w:val="Heading2"/>
        <w:rPr>
          <w:lang w:val="en-US"/>
        </w:rPr>
      </w:pPr>
      <w:bookmarkStart w:id="230" w:name="_Toc51045630"/>
      <w:r>
        <w:rPr>
          <w:lang w:val="en-US"/>
        </w:rPr>
        <w:t>6.2</w:t>
      </w:r>
      <w:r>
        <w:rPr>
          <w:lang w:val="en-US"/>
        </w:rPr>
        <w:tab/>
        <w:t>Conclusion</w:t>
      </w:r>
      <w:bookmarkEnd w:id="230"/>
    </w:p>
    <w:p w:rsidR="00B9359B" w:rsidRDefault="009A5268">
      <w:pPr>
        <w:rPr>
          <w:lang w:val="en-US"/>
        </w:rPr>
      </w:pPr>
      <w:r>
        <w:rPr>
          <w:lang w:val="en-US"/>
        </w:rPr>
        <w:t>Protection criteria are not met for single-dish continuum or spectral-line observations, or for VLBI.</w:t>
      </w:r>
    </w:p>
    <w:p w:rsidR="00B9359B" w:rsidRDefault="00B9359B">
      <w:pPr>
        <w:rPr>
          <w:lang w:val="en-US"/>
        </w:rPr>
      </w:pPr>
    </w:p>
    <w:p w:rsidR="00B9359B" w:rsidRDefault="00B9359B">
      <w:pPr>
        <w:rPr>
          <w:lang w:val="en-US"/>
        </w:rPr>
      </w:pPr>
    </w:p>
    <w:p w:rsidR="00B9359B" w:rsidRDefault="009A5268">
      <w:pPr>
        <w:pStyle w:val="AnnexNoTitle"/>
        <w:rPr>
          <w:lang w:val="en-US"/>
        </w:rPr>
      </w:pPr>
      <w:r>
        <w:rPr>
          <w:lang w:val="en-US"/>
        </w:rPr>
        <w:t>Annex 9</w:t>
      </w:r>
      <w:r>
        <w:rPr>
          <w:lang w:val="en-US"/>
        </w:rPr>
        <w:br/>
      </w:r>
      <w:r>
        <w:rPr>
          <w:lang w:val="en-US"/>
        </w:rPr>
        <w:br/>
        <w:t>Compatibility analysis between the EESS (passive) systems operating</w:t>
      </w:r>
      <w:r>
        <w:rPr>
          <w:lang w:val="en-US"/>
        </w:rPr>
        <w:br/>
        <w:t>in the 10.6-10.7 GHz band and FSS (space-to-Earth) systems</w:t>
      </w:r>
      <w:r>
        <w:rPr>
          <w:lang w:val="en-US"/>
        </w:rPr>
        <w:br/>
        <w:t>operating in the 10.7-10.95 GHz band</w:t>
      </w:r>
    </w:p>
    <w:p w:rsidR="00B9359B" w:rsidRDefault="009A5268">
      <w:pPr>
        <w:pStyle w:val="Heading1"/>
        <w:rPr>
          <w:lang w:val="en-US"/>
        </w:rPr>
      </w:pPr>
      <w:bookmarkStart w:id="231" w:name="_Toc51045631"/>
      <w:r>
        <w:rPr>
          <w:lang w:val="en-US"/>
        </w:rPr>
        <w:t>1</w:t>
      </w:r>
      <w:r>
        <w:rPr>
          <w:lang w:val="en-US"/>
        </w:rPr>
        <w:tab/>
        <w:t>EESS</w:t>
      </w:r>
      <w:bookmarkEnd w:id="231"/>
      <w:r>
        <w:rPr>
          <w:lang w:val="en-US"/>
        </w:rPr>
        <w:t xml:space="preserve"> (passive)</w:t>
      </w:r>
    </w:p>
    <w:p w:rsidR="00B9359B" w:rsidRDefault="009A5268">
      <w:pPr>
        <w:pStyle w:val="Heading2"/>
        <w:rPr>
          <w:lang w:val="en-US"/>
        </w:rPr>
      </w:pPr>
      <w:bookmarkStart w:id="232" w:name="_Toc51045632"/>
      <w:r>
        <w:rPr>
          <w:lang w:val="en-US"/>
        </w:rPr>
        <w:t>1.1</w:t>
      </w:r>
      <w:r>
        <w:rPr>
          <w:lang w:val="en-US"/>
        </w:rPr>
        <w:tab/>
        <w:t>Allocated band</w:t>
      </w:r>
      <w:bookmarkEnd w:id="232"/>
    </w:p>
    <w:p w:rsidR="00B9359B" w:rsidRDefault="009A5268">
      <w:pPr>
        <w:rPr>
          <w:lang w:val="en-US"/>
        </w:rPr>
      </w:pPr>
      <w:r>
        <w:rPr>
          <w:lang w:val="en-US"/>
        </w:rPr>
        <w:t>The band 10.6-10.68 GHz is allocated to the EESS (passive), RAS and SRS (passive) as well as terrestrial services (fixed and mobile).</w:t>
      </w:r>
    </w:p>
    <w:p w:rsidR="00B9359B" w:rsidRDefault="009A5268">
      <w:pPr>
        <w:rPr>
          <w:lang w:val="en-US"/>
        </w:rPr>
      </w:pPr>
      <w:r>
        <w:rPr>
          <w:lang w:val="en-US"/>
        </w:rPr>
        <w:t>The band 10.68-10.7 GHz has a footnote, RR No.</w:t>
      </w:r>
      <w:r>
        <w:rPr>
          <w:bCs/>
          <w:lang w:val="en-US"/>
        </w:rPr>
        <w:t xml:space="preserve"> 5.340,</w:t>
      </w:r>
      <w:r>
        <w:rPr>
          <w:lang w:val="en-US"/>
        </w:rPr>
        <w:t xml:space="preserve"> relevant for passive services.</w:t>
      </w:r>
    </w:p>
    <w:p w:rsidR="00B9359B" w:rsidRDefault="009A5268">
      <w:pPr>
        <w:pStyle w:val="TableNo"/>
        <w:rPr>
          <w:lang w:val="en-US"/>
        </w:rPr>
      </w:pPr>
      <w:r>
        <w:rPr>
          <w:lang w:val="en-US"/>
        </w:rPr>
        <w:t>TABLE  12</w:t>
      </w:r>
    </w:p>
    <w:p w:rsidR="00B9359B" w:rsidRDefault="009A5268">
      <w:pPr>
        <w:pStyle w:val="Tabletitle"/>
        <w:rPr>
          <w:lang w:val="en-US"/>
        </w:rPr>
      </w:pPr>
      <w:r>
        <w:rPr>
          <w:lang w:val="en-US"/>
        </w:rPr>
        <w:t>Adjacent band allocations</w:t>
      </w:r>
    </w:p>
    <w:tbl>
      <w:tblPr>
        <w:tblW w:w="96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85"/>
        <w:gridCol w:w="2693"/>
        <w:gridCol w:w="2693"/>
        <w:gridCol w:w="2268"/>
      </w:tblGrid>
      <w:tr w:rsidR="00B9359B" w:rsidRPr="00D35B94">
        <w:tc>
          <w:tcPr>
            <w:tcW w:w="4678" w:type="dxa"/>
            <w:gridSpan w:val="2"/>
            <w:tcBorders>
              <w:top w:val="single" w:sz="6" w:space="0" w:color="auto"/>
              <w:left w:val="single" w:sz="6" w:space="0" w:color="auto"/>
              <w:bottom w:val="single" w:sz="6" w:space="0" w:color="auto"/>
            </w:tcBorders>
            <w:vAlign w:val="center"/>
          </w:tcPr>
          <w:p w:rsidR="00B9359B" w:rsidRDefault="009A5268">
            <w:pPr>
              <w:pStyle w:val="Tablehead"/>
              <w:framePr w:hSpace="181" w:wrap="notBeside" w:vAnchor="text" w:hAnchor="text" w:xAlign="center" w:y="1"/>
              <w:rPr>
                <w:lang w:val="en-US"/>
              </w:rPr>
            </w:pPr>
            <w:r>
              <w:rPr>
                <w:lang w:val="en-US"/>
              </w:rPr>
              <w:t>Services in lower allocated bands</w:t>
            </w:r>
          </w:p>
        </w:tc>
        <w:tc>
          <w:tcPr>
            <w:tcW w:w="2693" w:type="dxa"/>
            <w:tcBorders>
              <w:top w:val="single" w:sz="6" w:space="0" w:color="auto"/>
              <w:bottom w:val="single" w:sz="6" w:space="0" w:color="auto"/>
            </w:tcBorders>
            <w:vAlign w:val="center"/>
          </w:tcPr>
          <w:p w:rsidR="00B9359B" w:rsidRDefault="009A5268">
            <w:pPr>
              <w:pStyle w:val="Tablehead"/>
              <w:framePr w:hSpace="181" w:wrap="notBeside" w:vAnchor="text" w:hAnchor="text" w:xAlign="center" w:y="1"/>
              <w:rPr>
                <w:lang w:val="en-US"/>
              </w:rPr>
            </w:pPr>
            <w:r>
              <w:rPr>
                <w:lang w:val="en-US"/>
              </w:rPr>
              <w:t>Passive band</w:t>
            </w:r>
          </w:p>
        </w:tc>
        <w:tc>
          <w:tcPr>
            <w:tcW w:w="2268" w:type="dxa"/>
            <w:tcBorders>
              <w:top w:val="single" w:sz="6" w:space="0" w:color="auto"/>
              <w:bottom w:val="single" w:sz="6" w:space="0" w:color="auto"/>
              <w:right w:val="single" w:sz="6" w:space="0" w:color="auto"/>
            </w:tcBorders>
            <w:vAlign w:val="center"/>
          </w:tcPr>
          <w:p w:rsidR="00B9359B" w:rsidRDefault="009A5268">
            <w:pPr>
              <w:pStyle w:val="Tablehead"/>
              <w:framePr w:hSpace="181" w:wrap="notBeside" w:vAnchor="text" w:hAnchor="text" w:xAlign="center" w:y="1"/>
              <w:rPr>
                <w:lang w:val="en-US"/>
              </w:rPr>
            </w:pPr>
            <w:r>
              <w:rPr>
                <w:lang w:val="en-US"/>
              </w:rPr>
              <w:t>Services in upper allocated band</w:t>
            </w:r>
          </w:p>
        </w:tc>
      </w:tr>
      <w:tr w:rsidR="00B9359B">
        <w:tc>
          <w:tcPr>
            <w:tcW w:w="1985" w:type="dxa"/>
            <w:tcBorders>
              <w:top w:val="single" w:sz="6" w:space="0" w:color="auto"/>
              <w:left w:val="single" w:sz="6" w:space="0" w:color="auto"/>
              <w:bottom w:val="single" w:sz="6" w:space="0" w:color="auto"/>
            </w:tcBorders>
          </w:tcPr>
          <w:p w:rsidR="00B9359B" w:rsidRDefault="009A5268">
            <w:pPr>
              <w:pStyle w:val="Tablehead"/>
              <w:framePr w:hSpace="181" w:wrap="notBeside" w:vAnchor="text" w:hAnchor="text" w:xAlign="center" w:y="1"/>
              <w:rPr>
                <w:lang w:val="en-US"/>
              </w:rPr>
            </w:pPr>
            <w:r>
              <w:rPr>
                <w:lang w:val="en-US"/>
              </w:rPr>
              <w:t>10.55</w:t>
            </w:r>
            <w:r>
              <w:rPr>
                <w:lang w:val="en-US"/>
              </w:rPr>
              <w:noBreakHyphen/>
              <w:t>10.6 GHz</w:t>
            </w:r>
          </w:p>
        </w:tc>
        <w:tc>
          <w:tcPr>
            <w:tcW w:w="2693" w:type="dxa"/>
            <w:tcBorders>
              <w:top w:val="single" w:sz="6" w:space="0" w:color="auto"/>
              <w:bottom w:val="single" w:sz="6" w:space="0" w:color="auto"/>
            </w:tcBorders>
          </w:tcPr>
          <w:p w:rsidR="00B9359B" w:rsidRDefault="009A5268">
            <w:pPr>
              <w:pStyle w:val="Tablehead"/>
              <w:framePr w:hSpace="181" w:wrap="notBeside" w:vAnchor="text" w:hAnchor="text" w:xAlign="center" w:y="1"/>
              <w:rPr>
                <w:lang w:val="en-US"/>
              </w:rPr>
            </w:pPr>
            <w:r>
              <w:rPr>
                <w:lang w:val="en-US"/>
              </w:rPr>
              <w:t>10.60</w:t>
            </w:r>
            <w:r>
              <w:rPr>
                <w:lang w:val="en-US"/>
              </w:rPr>
              <w:noBreakHyphen/>
              <w:t>10.68 GHz</w:t>
            </w:r>
          </w:p>
        </w:tc>
        <w:tc>
          <w:tcPr>
            <w:tcW w:w="2693" w:type="dxa"/>
            <w:tcBorders>
              <w:top w:val="single" w:sz="6" w:space="0" w:color="auto"/>
              <w:bottom w:val="single" w:sz="6" w:space="0" w:color="auto"/>
            </w:tcBorders>
          </w:tcPr>
          <w:p w:rsidR="00B9359B" w:rsidRDefault="009A5268">
            <w:pPr>
              <w:pStyle w:val="Tablehead"/>
              <w:framePr w:hSpace="181" w:wrap="notBeside" w:vAnchor="text" w:hAnchor="text" w:xAlign="center" w:y="1"/>
              <w:rPr>
                <w:lang w:val="en-US"/>
              </w:rPr>
            </w:pPr>
            <w:r>
              <w:rPr>
                <w:lang w:val="en-US"/>
              </w:rPr>
              <w:t>10.68</w:t>
            </w:r>
            <w:r>
              <w:rPr>
                <w:lang w:val="en-US"/>
              </w:rPr>
              <w:noBreakHyphen/>
              <w:t>10.7 GHz</w:t>
            </w:r>
          </w:p>
        </w:tc>
        <w:tc>
          <w:tcPr>
            <w:tcW w:w="2268" w:type="dxa"/>
            <w:tcBorders>
              <w:top w:val="single" w:sz="6" w:space="0" w:color="auto"/>
              <w:bottom w:val="single" w:sz="6" w:space="0" w:color="auto"/>
              <w:right w:val="single" w:sz="6" w:space="0" w:color="auto"/>
            </w:tcBorders>
          </w:tcPr>
          <w:p w:rsidR="00B9359B" w:rsidRDefault="009A5268">
            <w:pPr>
              <w:pStyle w:val="Tablehead"/>
              <w:framePr w:hSpace="181" w:wrap="notBeside" w:vAnchor="text" w:hAnchor="text" w:xAlign="center" w:y="1"/>
            </w:pPr>
            <w:r>
              <w:t>10.70</w:t>
            </w:r>
            <w:r>
              <w:noBreakHyphen/>
              <w:t>11.7 GHz</w:t>
            </w:r>
          </w:p>
        </w:tc>
      </w:tr>
      <w:tr w:rsidR="00B9359B">
        <w:trPr>
          <w:trHeight w:val="3000"/>
        </w:trPr>
        <w:tc>
          <w:tcPr>
            <w:tcW w:w="1985" w:type="dxa"/>
            <w:tcBorders>
              <w:top w:val="single" w:sz="6" w:space="0" w:color="auto"/>
              <w:left w:val="single" w:sz="6" w:space="0" w:color="auto"/>
              <w:bottom w:val="single" w:sz="6" w:space="0" w:color="auto"/>
            </w:tcBorders>
          </w:tcPr>
          <w:p w:rsidR="00B9359B" w:rsidRDefault="009A5268">
            <w:pPr>
              <w:pStyle w:val="Tabletext"/>
              <w:keepNext/>
              <w:framePr w:hSpace="181" w:wrap="notBeside" w:vAnchor="text" w:hAnchor="text" w:xAlign="center" w:y="1"/>
              <w:spacing w:before="60" w:after="60"/>
              <w:jc w:val="left"/>
            </w:pPr>
            <w:r>
              <w:t>FIXED</w:t>
            </w:r>
          </w:p>
          <w:p w:rsidR="00B9359B" w:rsidRDefault="009A5268">
            <w:pPr>
              <w:pStyle w:val="Tabletext"/>
              <w:keepNext/>
              <w:framePr w:hSpace="181" w:wrap="notBeside" w:vAnchor="text" w:hAnchor="text" w:xAlign="center" w:y="1"/>
              <w:spacing w:before="60" w:after="60"/>
              <w:jc w:val="left"/>
            </w:pPr>
            <w:r>
              <w:t>MOBILE except aeronautical mobile</w:t>
            </w:r>
          </w:p>
          <w:p w:rsidR="00B9359B" w:rsidRDefault="009A5268">
            <w:pPr>
              <w:pStyle w:val="Tabletext"/>
              <w:keepNext/>
              <w:framePr w:hSpace="181" w:wrap="notBeside" w:vAnchor="text" w:hAnchor="text" w:xAlign="center" w:y="1"/>
              <w:spacing w:before="60" w:after="60"/>
              <w:jc w:val="left"/>
            </w:pPr>
            <w:r>
              <w:t>Radiolocation</w:t>
            </w:r>
          </w:p>
        </w:tc>
        <w:tc>
          <w:tcPr>
            <w:tcW w:w="2693" w:type="dxa"/>
            <w:tcBorders>
              <w:top w:val="single" w:sz="6" w:space="0" w:color="auto"/>
              <w:bottom w:val="single" w:sz="6" w:space="0" w:color="auto"/>
            </w:tcBorders>
          </w:tcPr>
          <w:p w:rsidR="00B9359B" w:rsidRPr="00D35B94" w:rsidRDefault="009A5268">
            <w:pPr>
              <w:pStyle w:val="Tabletext"/>
              <w:keepNext/>
              <w:framePr w:hSpace="181" w:wrap="notBeside" w:vAnchor="text" w:hAnchor="text" w:xAlign="center" w:y="1"/>
              <w:spacing w:before="60" w:after="60"/>
              <w:jc w:val="left"/>
              <w:rPr>
                <w:lang w:val="en-GB"/>
              </w:rPr>
            </w:pPr>
            <w:r w:rsidRPr="00D35B94">
              <w:rPr>
                <w:lang w:val="en-GB"/>
              </w:rPr>
              <w:t>EARTH</w:t>
            </w:r>
            <w:r>
              <w:rPr>
                <w:sz w:val="16"/>
                <w:lang w:val="en-US"/>
              </w:rPr>
              <w:t xml:space="preserve">  </w:t>
            </w:r>
            <w:r w:rsidRPr="00D35B94">
              <w:rPr>
                <w:lang w:val="en-GB"/>
              </w:rPr>
              <w:t>EXPLORATION-SATELLITE (passive)</w:t>
            </w:r>
          </w:p>
          <w:p w:rsidR="00B9359B" w:rsidRPr="00D35B94" w:rsidRDefault="009A5268">
            <w:pPr>
              <w:pStyle w:val="Tabletext"/>
              <w:keepNext/>
              <w:framePr w:hSpace="181" w:wrap="notBeside" w:vAnchor="text" w:hAnchor="text" w:xAlign="center" w:y="1"/>
              <w:spacing w:before="60" w:after="60"/>
              <w:jc w:val="left"/>
              <w:rPr>
                <w:lang w:val="en-GB"/>
              </w:rPr>
            </w:pPr>
            <w:r w:rsidRPr="00D35B94">
              <w:rPr>
                <w:lang w:val="en-GB"/>
              </w:rPr>
              <w:t>FIXED</w:t>
            </w:r>
          </w:p>
          <w:p w:rsidR="00B9359B" w:rsidRPr="00D35B94" w:rsidRDefault="009A5268">
            <w:pPr>
              <w:pStyle w:val="Tabletext"/>
              <w:keepNext/>
              <w:framePr w:hSpace="181" w:wrap="notBeside" w:vAnchor="text" w:hAnchor="text" w:xAlign="center" w:y="1"/>
              <w:spacing w:before="60" w:after="60"/>
              <w:jc w:val="left"/>
              <w:rPr>
                <w:lang w:val="en-GB"/>
              </w:rPr>
            </w:pPr>
            <w:r w:rsidRPr="00D35B94">
              <w:rPr>
                <w:lang w:val="en-GB"/>
              </w:rPr>
              <w:t>MOBILE except aeronautical mobile</w:t>
            </w:r>
          </w:p>
          <w:p w:rsidR="00B9359B" w:rsidRDefault="009A5268">
            <w:pPr>
              <w:pStyle w:val="Tabletext"/>
              <w:keepNext/>
              <w:framePr w:hSpace="181" w:wrap="notBeside" w:vAnchor="text" w:hAnchor="text" w:xAlign="center" w:y="1"/>
              <w:spacing w:before="60" w:after="60"/>
              <w:jc w:val="left"/>
              <w:rPr>
                <w:lang w:val="en-US"/>
              </w:rPr>
            </w:pPr>
            <w:r>
              <w:rPr>
                <w:lang w:val="en-US"/>
              </w:rPr>
              <w:t>RADIO</w:t>
            </w:r>
            <w:r>
              <w:rPr>
                <w:sz w:val="16"/>
                <w:lang w:val="en-US"/>
              </w:rPr>
              <w:t xml:space="preserve">  </w:t>
            </w:r>
            <w:r>
              <w:rPr>
                <w:lang w:val="en-US"/>
              </w:rPr>
              <w:t>ASTRONOMY</w:t>
            </w:r>
          </w:p>
          <w:p w:rsidR="00B9359B" w:rsidRDefault="009A5268">
            <w:pPr>
              <w:pStyle w:val="Tabletext"/>
              <w:keepNext/>
              <w:framePr w:hSpace="181" w:wrap="notBeside" w:vAnchor="text" w:hAnchor="text" w:xAlign="center" w:y="1"/>
              <w:spacing w:before="60" w:after="60"/>
              <w:jc w:val="left"/>
              <w:rPr>
                <w:lang w:val="en-US"/>
              </w:rPr>
            </w:pPr>
            <w:r>
              <w:rPr>
                <w:lang w:val="en-US"/>
              </w:rPr>
              <w:t>SPACE</w:t>
            </w:r>
            <w:r>
              <w:rPr>
                <w:sz w:val="16"/>
                <w:lang w:val="en-US"/>
              </w:rPr>
              <w:t xml:space="preserve">  </w:t>
            </w:r>
            <w:r>
              <w:rPr>
                <w:lang w:val="en-US"/>
              </w:rPr>
              <w:t>RESEARCH (passive)</w:t>
            </w:r>
          </w:p>
          <w:p w:rsidR="00B9359B" w:rsidRDefault="009A5268">
            <w:pPr>
              <w:pStyle w:val="Tabletext"/>
              <w:keepNext/>
              <w:framePr w:hSpace="181" w:wrap="notBeside" w:vAnchor="text" w:hAnchor="text" w:xAlign="center" w:y="1"/>
              <w:spacing w:before="60" w:after="60"/>
              <w:jc w:val="left"/>
            </w:pPr>
            <w:r>
              <w:t>Radiolocation</w:t>
            </w:r>
          </w:p>
          <w:p w:rsidR="00B9359B" w:rsidRDefault="009A5268">
            <w:pPr>
              <w:pStyle w:val="Tabletext"/>
              <w:keepNext/>
              <w:framePr w:hSpace="181" w:wrap="notBeside" w:vAnchor="text" w:hAnchor="text" w:xAlign="center" w:y="1"/>
              <w:spacing w:before="60" w:after="60"/>
              <w:jc w:val="left"/>
              <w:rPr>
                <w:lang w:val="en-GB"/>
              </w:rPr>
            </w:pPr>
            <w:r>
              <w:t>5.149  5.482</w:t>
            </w:r>
          </w:p>
        </w:tc>
        <w:tc>
          <w:tcPr>
            <w:tcW w:w="2693" w:type="dxa"/>
            <w:tcBorders>
              <w:top w:val="single" w:sz="6" w:space="0" w:color="auto"/>
              <w:bottom w:val="single" w:sz="6" w:space="0" w:color="auto"/>
            </w:tcBorders>
          </w:tcPr>
          <w:p w:rsidR="00B9359B" w:rsidRDefault="009A5268">
            <w:pPr>
              <w:pStyle w:val="Tabletext"/>
              <w:keepNext/>
              <w:framePr w:hSpace="181" w:wrap="notBeside" w:vAnchor="text" w:hAnchor="text" w:xAlign="center" w:y="1"/>
              <w:spacing w:before="60" w:after="60"/>
              <w:jc w:val="left"/>
              <w:rPr>
                <w:lang w:val="en-US"/>
              </w:rPr>
            </w:pPr>
            <w:r>
              <w:rPr>
                <w:lang w:val="en-GB"/>
              </w:rPr>
              <w:t>EARTH</w:t>
            </w:r>
            <w:r>
              <w:rPr>
                <w:sz w:val="16"/>
                <w:lang w:val="en-US"/>
              </w:rPr>
              <w:t xml:space="preserve">  </w:t>
            </w:r>
            <w:r>
              <w:rPr>
                <w:lang w:val="en-US"/>
              </w:rPr>
              <w:t>EXPLORATION-SATELLITE (passive)</w:t>
            </w:r>
          </w:p>
          <w:p w:rsidR="00B9359B" w:rsidRDefault="009A5268">
            <w:pPr>
              <w:pStyle w:val="Tabletext"/>
              <w:keepNext/>
              <w:framePr w:hSpace="181" w:wrap="notBeside" w:vAnchor="text" w:hAnchor="text" w:xAlign="center" w:y="1"/>
              <w:spacing w:before="60" w:after="60"/>
              <w:jc w:val="left"/>
              <w:rPr>
                <w:lang w:val="en-US"/>
              </w:rPr>
            </w:pPr>
            <w:r>
              <w:rPr>
                <w:lang w:val="en-US"/>
              </w:rPr>
              <w:t>RADIO</w:t>
            </w:r>
            <w:r>
              <w:rPr>
                <w:sz w:val="16"/>
                <w:lang w:val="en-US"/>
              </w:rPr>
              <w:t xml:space="preserve">  </w:t>
            </w:r>
            <w:r>
              <w:rPr>
                <w:lang w:val="en-US"/>
              </w:rPr>
              <w:t>ASTRONOMY</w:t>
            </w:r>
          </w:p>
          <w:p w:rsidR="00B9359B" w:rsidRDefault="009A5268">
            <w:pPr>
              <w:pStyle w:val="Tabletext"/>
              <w:keepNext/>
              <w:framePr w:hSpace="181" w:wrap="notBeside" w:vAnchor="text" w:hAnchor="text" w:xAlign="center" w:y="1"/>
              <w:spacing w:before="60" w:after="60"/>
              <w:jc w:val="left"/>
              <w:rPr>
                <w:lang w:val="en-US"/>
              </w:rPr>
            </w:pPr>
            <w:r>
              <w:rPr>
                <w:lang w:val="en-US"/>
              </w:rPr>
              <w:t>SPACE</w:t>
            </w:r>
            <w:r>
              <w:rPr>
                <w:sz w:val="16"/>
                <w:lang w:val="en-US"/>
              </w:rPr>
              <w:t xml:space="preserve">  </w:t>
            </w:r>
            <w:r>
              <w:rPr>
                <w:lang w:val="en-US"/>
              </w:rPr>
              <w:t>RESEARCH (passive)</w:t>
            </w:r>
          </w:p>
          <w:p w:rsidR="00B9359B" w:rsidRDefault="00B9359B">
            <w:pPr>
              <w:pStyle w:val="Tabletext"/>
              <w:keepNext/>
              <w:framePr w:hSpace="181" w:wrap="notBeside" w:vAnchor="text" w:hAnchor="text" w:xAlign="center" w:y="1"/>
              <w:spacing w:before="60" w:after="60"/>
              <w:jc w:val="left"/>
              <w:rPr>
                <w:lang w:val="en-US"/>
              </w:rPr>
            </w:pPr>
          </w:p>
          <w:p w:rsidR="00B9359B" w:rsidRDefault="009A5268">
            <w:pPr>
              <w:pStyle w:val="Tabletext"/>
              <w:keepNext/>
              <w:framePr w:hSpace="181" w:wrap="notBeside" w:vAnchor="text" w:hAnchor="text" w:xAlign="center" w:y="1"/>
              <w:spacing w:before="60" w:after="60"/>
              <w:jc w:val="left"/>
              <w:rPr>
                <w:lang w:val="en-US"/>
              </w:rPr>
            </w:pPr>
            <w:r>
              <w:rPr>
                <w:lang w:val="en-US"/>
              </w:rPr>
              <w:br/>
            </w:r>
          </w:p>
          <w:p w:rsidR="00B9359B" w:rsidRDefault="00B9359B">
            <w:pPr>
              <w:pStyle w:val="Tabletext"/>
              <w:keepNext/>
              <w:framePr w:hSpace="181" w:wrap="notBeside" w:vAnchor="text" w:hAnchor="text" w:xAlign="center" w:y="1"/>
              <w:spacing w:before="60" w:after="60"/>
              <w:jc w:val="left"/>
              <w:rPr>
                <w:lang w:val="en-US"/>
              </w:rPr>
            </w:pPr>
          </w:p>
          <w:p w:rsidR="00B9359B" w:rsidRDefault="009A5268">
            <w:pPr>
              <w:pStyle w:val="Tabletext"/>
              <w:keepNext/>
              <w:framePr w:hSpace="181" w:wrap="notBeside" w:vAnchor="text" w:hAnchor="text" w:xAlign="center" w:y="1"/>
              <w:spacing w:before="60" w:after="60"/>
              <w:jc w:val="left"/>
              <w:rPr>
                <w:lang w:val="en-US"/>
              </w:rPr>
            </w:pPr>
            <w:r>
              <w:rPr>
                <w:lang w:val="en-US"/>
              </w:rPr>
              <w:t>5.340  5.483</w:t>
            </w:r>
          </w:p>
        </w:tc>
        <w:tc>
          <w:tcPr>
            <w:tcW w:w="2268" w:type="dxa"/>
            <w:tcBorders>
              <w:top w:val="single" w:sz="6" w:space="0" w:color="auto"/>
              <w:bottom w:val="single" w:sz="6" w:space="0" w:color="auto"/>
              <w:right w:val="single" w:sz="6" w:space="0" w:color="auto"/>
            </w:tcBorders>
          </w:tcPr>
          <w:p w:rsidR="00B9359B" w:rsidRDefault="009A5268">
            <w:pPr>
              <w:pStyle w:val="Tabletext"/>
              <w:framePr w:hSpace="181" w:wrap="notBeside" w:vAnchor="text" w:hAnchor="text" w:xAlign="center" w:y="1"/>
              <w:spacing w:before="60" w:after="60"/>
              <w:jc w:val="left"/>
              <w:rPr>
                <w:lang w:val="en-US"/>
              </w:rPr>
            </w:pPr>
            <w:r>
              <w:rPr>
                <w:lang w:val="en-US"/>
              </w:rPr>
              <w:t>FIXED</w:t>
            </w:r>
          </w:p>
          <w:p w:rsidR="00B9359B" w:rsidRDefault="009A5268">
            <w:pPr>
              <w:pStyle w:val="Tabletext"/>
              <w:framePr w:hSpace="181" w:wrap="notBeside" w:vAnchor="text" w:hAnchor="text" w:xAlign="center" w:y="1"/>
              <w:spacing w:before="60" w:after="60"/>
              <w:jc w:val="left"/>
              <w:rPr>
                <w:lang w:val="en-US"/>
              </w:rPr>
            </w:pPr>
            <w:r>
              <w:rPr>
                <w:lang w:val="en-US"/>
              </w:rPr>
              <w:t>FIXED-SATELLITE (space-to-Earth in all Regions) 5.441  5.484A</w:t>
            </w:r>
            <w:r>
              <w:rPr>
                <w:lang w:val="en-US"/>
              </w:rPr>
              <w:br/>
              <w:t xml:space="preserve">(Earth-to-space in </w:t>
            </w:r>
            <w:r>
              <w:rPr>
                <w:lang w:val="en-US"/>
              </w:rPr>
              <w:br/>
              <w:t>Region 1)  5.484</w:t>
            </w:r>
          </w:p>
          <w:p w:rsidR="00B9359B" w:rsidRDefault="009A5268">
            <w:pPr>
              <w:pStyle w:val="Tabletext"/>
              <w:framePr w:hSpace="181" w:wrap="notBeside" w:vAnchor="text" w:hAnchor="text" w:xAlign="center" w:y="1"/>
              <w:spacing w:before="60" w:after="60"/>
              <w:jc w:val="left"/>
            </w:pPr>
            <w:r>
              <w:t>MOBILE except aeronautical mobile</w:t>
            </w:r>
          </w:p>
        </w:tc>
      </w:tr>
    </w:tbl>
    <w:p w:rsidR="00B9359B" w:rsidRDefault="00B9359B">
      <w:pPr>
        <w:pStyle w:val="Tablefin"/>
        <w:rPr>
          <w:lang w:val="fr-CH"/>
        </w:rPr>
      </w:pPr>
    </w:p>
    <w:p w:rsidR="00B9359B" w:rsidRDefault="009A5268">
      <w:pPr>
        <w:pStyle w:val="Heading2"/>
        <w:rPr>
          <w:lang w:val="en-US"/>
        </w:rPr>
      </w:pPr>
      <w:bookmarkStart w:id="233" w:name="_Toc51045633"/>
      <w:r>
        <w:rPr>
          <w:lang w:val="en-US"/>
        </w:rPr>
        <w:br w:type="page"/>
        <w:t>1.2</w:t>
      </w:r>
      <w:r>
        <w:rPr>
          <w:lang w:val="en-US"/>
        </w:rPr>
        <w:tab/>
        <w:t>Application</w:t>
      </w:r>
      <w:bookmarkEnd w:id="233"/>
    </w:p>
    <w:p w:rsidR="00B9359B" w:rsidRDefault="009A5268">
      <w:pPr>
        <w:rPr>
          <w:lang w:val="en-US"/>
        </w:rPr>
      </w:pPr>
      <w:r>
        <w:rPr>
          <w:lang w:val="en-US"/>
        </w:rPr>
        <w:t>The band 10.6-10.7 GHz is of primary interest to measure rain, snow, sea state and ocean wind.</w:t>
      </w:r>
    </w:p>
    <w:p w:rsidR="00B9359B" w:rsidRDefault="009A5268">
      <w:pPr>
        <w:pStyle w:val="Heading2"/>
        <w:rPr>
          <w:lang w:val="en-US"/>
        </w:rPr>
      </w:pPr>
      <w:bookmarkStart w:id="234" w:name="_Toc51045634"/>
      <w:r>
        <w:rPr>
          <w:lang w:val="en-US"/>
        </w:rPr>
        <w:t>1.3</w:t>
      </w:r>
      <w:r>
        <w:rPr>
          <w:lang w:val="en-US"/>
        </w:rPr>
        <w:tab/>
        <w:t>Required protection criteria</w:t>
      </w:r>
      <w:bookmarkEnd w:id="234"/>
    </w:p>
    <w:p w:rsidR="00B9359B" w:rsidRDefault="009A5268">
      <w:pPr>
        <w:rPr>
          <w:lang w:val="en-US"/>
        </w:rPr>
      </w:pPr>
      <w:r>
        <w:rPr>
          <w:lang w:val="en-US"/>
        </w:rPr>
        <w:t>The following Recommendations establish the interference criteria for passive sensors:</w:t>
      </w:r>
    </w:p>
    <w:p w:rsidR="00B9359B" w:rsidRDefault="009A5268">
      <w:pPr>
        <w:pStyle w:val="enumlev1"/>
        <w:tabs>
          <w:tab w:val="clear" w:pos="794"/>
          <w:tab w:val="clear" w:pos="1191"/>
          <w:tab w:val="clear" w:pos="1588"/>
          <w:tab w:val="clear" w:pos="1985"/>
          <w:tab w:val="left" w:pos="3515"/>
        </w:tabs>
        <w:ind w:left="3515" w:hanging="3515"/>
        <w:rPr>
          <w:lang w:val="en-US"/>
        </w:rPr>
      </w:pPr>
      <w:r>
        <w:rPr>
          <w:lang w:val="en-US"/>
        </w:rPr>
        <w:t>Recommendation ITU-R SA.515 –</w:t>
      </w:r>
      <w:r>
        <w:rPr>
          <w:lang w:val="en-US"/>
        </w:rPr>
        <w:tab/>
        <w:t>Frequency bands and bandwidths used for satellite passive sensing.</w:t>
      </w:r>
    </w:p>
    <w:p w:rsidR="00B9359B" w:rsidRDefault="009A5268">
      <w:pPr>
        <w:pStyle w:val="enumlev1"/>
        <w:tabs>
          <w:tab w:val="clear" w:pos="794"/>
          <w:tab w:val="clear" w:pos="1191"/>
          <w:tab w:val="clear" w:pos="1588"/>
          <w:tab w:val="clear" w:pos="1985"/>
          <w:tab w:val="left" w:pos="3515"/>
        </w:tabs>
        <w:ind w:left="3515" w:hanging="3515"/>
        <w:rPr>
          <w:lang w:val="en-US"/>
        </w:rPr>
      </w:pPr>
      <w:r>
        <w:rPr>
          <w:lang w:val="en-US"/>
        </w:rPr>
        <w:t>Recommendation ITU-R SA.1028 –</w:t>
      </w:r>
      <w:r>
        <w:rPr>
          <w:lang w:val="en-US"/>
        </w:rPr>
        <w:tab/>
        <w:t>Performance criteria for satellite passive remote sensing.</w:t>
      </w:r>
    </w:p>
    <w:p w:rsidR="00B9359B" w:rsidRDefault="009A5268">
      <w:pPr>
        <w:pStyle w:val="enumlev1"/>
        <w:tabs>
          <w:tab w:val="clear" w:pos="794"/>
          <w:tab w:val="clear" w:pos="1191"/>
          <w:tab w:val="clear" w:pos="1588"/>
          <w:tab w:val="clear" w:pos="1985"/>
          <w:tab w:val="left" w:pos="3515"/>
        </w:tabs>
        <w:ind w:left="3515" w:hanging="3515"/>
        <w:rPr>
          <w:lang w:val="en-US"/>
        </w:rPr>
      </w:pPr>
      <w:r>
        <w:rPr>
          <w:lang w:val="en-US"/>
        </w:rPr>
        <w:t>Recommendation ITU-R SA.1029 –</w:t>
      </w:r>
      <w:r>
        <w:rPr>
          <w:lang w:val="en-US"/>
        </w:rPr>
        <w:tab/>
        <w:t>Interference criteria for satellite passive remote sensing.</w:t>
      </w:r>
    </w:p>
    <w:p w:rsidR="00B9359B" w:rsidRDefault="009A5268">
      <w:pPr>
        <w:rPr>
          <w:lang w:val="en-US"/>
        </w:rPr>
      </w:pPr>
      <w:r>
        <w:rPr>
          <w:lang w:val="en-US"/>
        </w:rPr>
        <w:t xml:space="preserve">The first criterion is the acceptable interference power received by the EESS sensor, which is </w:t>
      </w:r>
      <w:r>
        <w:rPr>
          <w:rFonts w:ascii="Symbol" w:hAnsi="Symbol"/>
          <w:lang w:val="en-US"/>
        </w:rPr>
        <w:noBreakHyphen/>
      </w:r>
      <w:r>
        <w:rPr>
          <w:lang w:val="en-US"/>
        </w:rPr>
        <w:t>163 dBW in the reference bandwidth of 20 MHz. This is a maximum interference level from all sources.</w:t>
      </w:r>
    </w:p>
    <w:p w:rsidR="00B9359B" w:rsidRDefault="009A5268">
      <w:pPr>
        <w:rPr>
          <w:lang w:val="en-US"/>
        </w:rPr>
      </w:pPr>
      <w:r>
        <w:rPr>
          <w:lang w:val="en-US"/>
        </w:rPr>
        <w:t>The second criterion is the frequency of occurrence limit on the threshold being exceeded. The number of measurement cells lost due to the threshold being exceeded must not exceed 5% in cases where the interference events are random, and 1% when the interference events are systematic. Since the FSS is not random, the 1% criterion applies.</w:t>
      </w:r>
    </w:p>
    <w:p w:rsidR="00B9359B" w:rsidRDefault="009A5268">
      <w:pPr>
        <w:pStyle w:val="Heading2"/>
        <w:rPr>
          <w:lang w:val="en-US"/>
        </w:rPr>
      </w:pPr>
      <w:bookmarkStart w:id="235" w:name="_Toc51045635"/>
      <w:r>
        <w:rPr>
          <w:lang w:val="en-US"/>
        </w:rPr>
        <w:t>1.4</w:t>
      </w:r>
      <w:r>
        <w:rPr>
          <w:lang w:val="en-US"/>
        </w:rPr>
        <w:tab/>
        <w:t>Operational characteristics</w:t>
      </w:r>
      <w:bookmarkEnd w:id="235"/>
    </w:p>
    <w:p w:rsidR="00B9359B" w:rsidRDefault="009A5268">
      <w:pPr>
        <w:rPr>
          <w:lang w:val="en-US"/>
        </w:rPr>
      </w:pPr>
      <w:r>
        <w:rPr>
          <w:lang w:val="en-US"/>
        </w:rPr>
        <w:t>Table 13 shows specifications for two microwave radiometric systems: MEGHA</w:t>
      </w:r>
      <w:r>
        <w:rPr>
          <w:lang w:val="en-US"/>
        </w:rPr>
        <w:noBreakHyphen/>
        <w:t>TROPIC and EOS AMSR</w:t>
      </w:r>
      <w:r>
        <w:rPr>
          <w:lang w:val="en-US"/>
        </w:rPr>
        <w:noBreakHyphen/>
        <w:t>E.</w:t>
      </w:r>
    </w:p>
    <w:p w:rsidR="00B9359B" w:rsidRDefault="009A5268">
      <w:pPr>
        <w:pStyle w:val="TableNo"/>
        <w:rPr>
          <w:lang w:val="en-US"/>
        </w:rPr>
      </w:pPr>
      <w:r>
        <w:rPr>
          <w:lang w:val="en-US"/>
        </w:rPr>
        <w:t>TABLE  13</w:t>
      </w:r>
    </w:p>
    <w:p w:rsidR="00B9359B" w:rsidRDefault="009A5268">
      <w:pPr>
        <w:pStyle w:val="Tabletitle"/>
        <w:rPr>
          <w:lang w:val="en-US"/>
        </w:rPr>
      </w:pPr>
      <w:r>
        <w:rPr>
          <w:lang w:val="en-US"/>
        </w:rPr>
        <w:t>Preliminary specifications for two microwave radiometric applications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43"/>
        <w:gridCol w:w="2211"/>
        <w:gridCol w:w="1644"/>
      </w:tblGrid>
      <w:tr w:rsidR="00B9359B">
        <w:tc>
          <w:tcPr>
            <w:tcW w:w="5443" w:type="dxa"/>
          </w:tcPr>
          <w:p w:rsidR="00B9359B" w:rsidRDefault="009A5268">
            <w:pPr>
              <w:pStyle w:val="Tablehead"/>
              <w:framePr w:hSpace="181" w:wrap="notBeside" w:vAnchor="text" w:hAnchor="text" w:xAlign="center" w:y="1"/>
              <w:rPr>
                <w:lang w:val="en-GB"/>
              </w:rPr>
            </w:pPr>
            <w:r>
              <w:rPr>
                <w:lang w:val="es-ES"/>
              </w:rPr>
              <w:t>Channel 10.6-10.7 GHz</w:t>
            </w:r>
          </w:p>
        </w:tc>
        <w:tc>
          <w:tcPr>
            <w:tcW w:w="2211" w:type="dxa"/>
          </w:tcPr>
          <w:p w:rsidR="00B9359B" w:rsidRDefault="009A5268">
            <w:pPr>
              <w:pStyle w:val="Tablehead"/>
              <w:framePr w:hSpace="181" w:wrap="notBeside" w:vAnchor="text" w:hAnchor="text" w:xAlign="center" w:y="1"/>
              <w:rPr>
                <w:lang w:val="es-ES"/>
              </w:rPr>
            </w:pPr>
            <w:r>
              <w:rPr>
                <w:lang w:val="es-ES"/>
              </w:rPr>
              <w:t>MEGHA-TROPIC</w:t>
            </w:r>
          </w:p>
        </w:tc>
        <w:tc>
          <w:tcPr>
            <w:tcW w:w="1644" w:type="dxa"/>
          </w:tcPr>
          <w:p w:rsidR="00B9359B" w:rsidRDefault="009A5268">
            <w:pPr>
              <w:pStyle w:val="Tablehead"/>
              <w:framePr w:hSpace="181" w:wrap="notBeside" w:vAnchor="text" w:hAnchor="text" w:xAlign="center" w:y="1"/>
              <w:rPr>
                <w:lang w:val="es-ES"/>
              </w:rPr>
            </w:pPr>
            <w:r>
              <w:rPr>
                <w:lang w:val="es-ES"/>
              </w:rPr>
              <w:t>EOS</w:t>
            </w:r>
            <w:r>
              <w:rPr>
                <w:sz w:val="16"/>
                <w:lang w:val="es-ES"/>
              </w:rPr>
              <w:t xml:space="preserve">  </w:t>
            </w:r>
            <w:r>
              <w:rPr>
                <w:lang w:val="es-ES"/>
              </w:rPr>
              <w:t>AMSR-E</w:t>
            </w:r>
          </w:p>
        </w:tc>
      </w:tr>
      <w:tr w:rsidR="00B9359B">
        <w:tc>
          <w:tcPr>
            <w:tcW w:w="5443" w:type="dxa"/>
          </w:tcPr>
          <w:p w:rsidR="00B9359B" w:rsidRDefault="009A5268">
            <w:pPr>
              <w:pStyle w:val="Tabletext"/>
              <w:framePr w:hSpace="181" w:wrap="notBeside" w:vAnchor="text" w:hAnchor="text" w:xAlign="center" w:y="1"/>
              <w:spacing w:before="50" w:after="50"/>
              <w:rPr>
                <w:lang w:val="en-US"/>
              </w:rPr>
            </w:pPr>
            <w:r>
              <w:rPr>
                <w:lang w:val="en-US"/>
              </w:rPr>
              <w:t>Channel bandwidth (MHz)</w:t>
            </w:r>
          </w:p>
        </w:tc>
        <w:tc>
          <w:tcPr>
            <w:tcW w:w="2211" w:type="dxa"/>
          </w:tcPr>
          <w:p w:rsidR="00B9359B" w:rsidRDefault="009A5268">
            <w:pPr>
              <w:pStyle w:val="Tabletext"/>
              <w:framePr w:hSpace="181" w:wrap="notBeside" w:vAnchor="text" w:hAnchor="text" w:xAlign="center" w:y="1"/>
              <w:spacing w:before="50" w:after="50"/>
              <w:jc w:val="center"/>
              <w:rPr>
                <w:lang w:val="en-US"/>
              </w:rPr>
            </w:pPr>
            <w:r>
              <w:rPr>
                <w:lang w:val="en-US"/>
              </w:rPr>
              <w:t>100</w:t>
            </w:r>
          </w:p>
        </w:tc>
        <w:tc>
          <w:tcPr>
            <w:tcW w:w="1644" w:type="dxa"/>
          </w:tcPr>
          <w:p w:rsidR="00B9359B" w:rsidRDefault="009A5268">
            <w:pPr>
              <w:pStyle w:val="Tabletext"/>
              <w:framePr w:hSpace="181" w:wrap="notBeside" w:vAnchor="text" w:hAnchor="text" w:xAlign="center" w:y="1"/>
              <w:spacing w:before="50" w:after="50"/>
              <w:jc w:val="center"/>
              <w:rPr>
                <w:lang w:val="en-US"/>
              </w:rPr>
            </w:pPr>
            <w:r>
              <w:rPr>
                <w:lang w:val="en-US"/>
              </w:rPr>
              <w:t>100</w:t>
            </w:r>
          </w:p>
        </w:tc>
      </w:tr>
      <w:tr w:rsidR="00B9359B">
        <w:tc>
          <w:tcPr>
            <w:tcW w:w="5443" w:type="dxa"/>
          </w:tcPr>
          <w:p w:rsidR="00B9359B" w:rsidRDefault="009A5268">
            <w:pPr>
              <w:pStyle w:val="Tabletext"/>
              <w:framePr w:hSpace="181" w:wrap="notBeside" w:vAnchor="text" w:hAnchor="text" w:xAlign="center" w:y="1"/>
              <w:spacing w:before="50" w:after="50"/>
              <w:rPr>
                <w:lang w:val="en-US"/>
              </w:rPr>
            </w:pPr>
            <w:r>
              <w:rPr>
                <w:lang w:val="en-US"/>
              </w:rPr>
              <w:t>Pixel size across track (km)</w:t>
            </w:r>
          </w:p>
        </w:tc>
        <w:tc>
          <w:tcPr>
            <w:tcW w:w="2211" w:type="dxa"/>
          </w:tcPr>
          <w:p w:rsidR="00B9359B" w:rsidRDefault="009A5268">
            <w:pPr>
              <w:pStyle w:val="Tabletext"/>
              <w:framePr w:hSpace="181" w:wrap="notBeside" w:vAnchor="text" w:hAnchor="text" w:xAlign="center" w:y="1"/>
              <w:spacing w:before="50" w:after="50"/>
              <w:jc w:val="center"/>
              <w:rPr>
                <w:lang w:val="en-US"/>
              </w:rPr>
            </w:pPr>
            <w:r>
              <w:rPr>
                <w:lang w:val="en-US"/>
              </w:rPr>
              <w:t>56.7</w:t>
            </w:r>
          </w:p>
        </w:tc>
        <w:tc>
          <w:tcPr>
            <w:tcW w:w="1644" w:type="dxa"/>
          </w:tcPr>
          <w:p w:rsidR="00B9359B" w:rsidRDefault="009A5268">
            <w:pPr>
              <w:pStyle w:val="Tabletext"/>
              <w:framePr w:hSpace="181" w:wrap="notBeside" w:vAnchor="text" w:hAnchor="text" w:xAlign="center" w:y="1"/>
              <w:spacing w:before="50" w:after="50"/>
              <w:jc w:val="center"/>
              <w:rPr>
                <w:lang w:val="en-US"/>
              </w:rPr>
            </w:pPr>
            <w:r>
              <w:rPr>
                <w:lang w:val="en-US"/>
              </w:rPr>
              <w:t>28</w:t>
            </w:r>
          </w:p>
        </w:tc>
      </w:tr>
      <w:tr w:rsidR="00B9359B">
        <w:tc>
          <w:tcPr>
            <w:tcW w:w="5443" w:type="dxa"/>
          </w:tcPr>
          <w:p w:rsidR="00B9359B" w:rsidRDefault="009A5268">
            <w:pPr>
              <w:pStyle w:val="Tabletext"/>
              <w:framePr w:hSpace="181" w:wrap="notBeside" w:vAnchor="text" w:hAnchor="text" w:xAlign="center" w:y="1"/>
              <w:spacing w:before="50" w:after="50"/>
              <w:rPr>
                <w:lang w:val="en-US"/>
              </w:rPr>
            </w:pPr>
            <w:r>
              <w:rPr>
                <w:lang w:val="en-US"/>
              </w:rPr>
              <w:t xml:space="preserve">Incidence angle </w:t>
            </w:r>
            <w:r>
              <w:rPr>
                <w:i/>
                <w:iCs/>
                <w:lang w:val="en-US"/>
              </w:rPr>
              <w:t>i</w:t>
            </w:r>
            <w:r>
              <w:rPr>
                <w:lang w:val="en-US"/>
              </w:rPr>
              <w:t xml:space="preserve"> at footprint centre (degrees)</w:t>
            </w:r>
          </w:p>
        </w:tc>
        <w:tc>
          <w:tcPr>
            <w:tcW w:w="2211" w:type="dxa"/>
          </w:tcPr>
          <w:p w:rsidR="00B9359B" w:rsidRDefault="009A5268">
            <w:pPr>
              <w:pStyle w:val="Tabletext"/>
              <w:framePr w:hSpace="181" w:wrap="notBeside" w:vAnchor="text" w:hAnchor="text" w:xAlign="center" w:y="1"/>
              <w:spacing w:before="50" w:after="50"/>
              <w:jc w:val="center"/>
              <w:rPr>
                <w:lang w:val="en-US"/>
              </w:rPr>
            </w:pPr>
            <w:r>
              <w:rPr>
                <w:lang w:val="en-US"/>
              </w:rPr>
              <w:t>52</w:t>
            </w:r>
          </w:p>
        </w:tc>
        <w:tc>
          <w:tcPr>
            <w:tcW w:w="1644" w:type="dxa"/>
          </w:tcPr>
          <w:p w:rsidR="00B9359B" w:rsidRDefault="009A5268">
            <w:pPr>
              <w:pStyle w:val="Tabletext"/>
              <w:framePr w:hSpace="181" w:wrap="notBeside" w:vAnchor="text" w:hAnchor="text" w:xAlign="center" w:y="1"/>
              <w:spacing w:before="50" w:after="50"/>
              <w:jc w:val="center"/>
              <w:rPr>
                <w:lang w:val="en-US"/>
              </w:rPr>
            </w:pPr>
            <w:r>
              <w:rPr>
                <w:lang w:val="en-US"/>
              </w:rPr>
              <w:t>55</w:t>
            </w:r>
          </w:p>
        </w:tc>
      </w:tr>
      <w:tr w:rsidR="00B9359B">
        <w:tc>
          <w:tcPr>
            <w:tcW w:w="5443" w:type="dxa"/>
          </w:tcPr>
          <w:p w:rsidR="00B9359B" w:rsidRDefault="009A5268">
            <w:pPr>
              <w:pStyle w:val="Tabletext"/>
              <w:framePr w:hSpace="181" w:wrap="notBeside" w:vAnchor="text" w:hAnchor="text" w:xAlign="center" w:y="1"/>
              <w:spacing w:before="50" w:after="50"/>
              <w:rPr>
                <w:lang w:val="en-US"/>
              </w:rPr>
            </w:pPr>
            <w:r>
              <w:rPr>
                <w:lang w:val="en-US"/>
              </w:rPr>
              <w:t>Polarization (linear)</w:t>
            </w:r>
          </w:p>
        </w:tc>
        <w:tc>
          <w:tcPr>
            <w:tcW w:w="2211" w:type="dxa"/>
          </w:tcPr>
          <w:p w:rsidR="00B9359B" w:rsidRDefault="009A5268">
            <w:pPr>
              <w:pStyle w:val="Tabletext"/>
              <w:framePr w:hSpace="181" w:wrap="notBeside" w:vAnchor="text" w:hAnchor="text" w:xAlign="center" w:y="1"/>
              <w:spacing w:before="50" w:after="50"/>
              <w:jc w:val="center"/>
              <w:rPr>
                <w:lang w:val="en-US"/>
              </w:rPr>
            </w:pPr>
            <w:r>
              <w:rPr>
                <w:lang w:val="en-US"/>
              </w:rPr>
              <w:t>H, V</w:t>
            </w:r>
          </w:p>
        </w:tc>
        <w:tc>
          <w:tcPr>
            <w:tcW w:w="1644" w:type="dxa"/>
          </w:tcPr>
          <w:p w:rsidR="00B9359B" w:rsidRDefault="009A5268">
            <w:pPr>
              <w:pStyle w:val="Tabletext"/>
              <w:framePr w:hSpace="181" w:wrap="notBeside" w:vAnchor="text" w:hAnchor="text" w:xAlign="center" w:y="1"/>
              <w:spacing w:before="50" w:after="50"/>
              <w:jc w:val="center"/>
              <w:rPr>
                <w:lang w:val="en-US"/>
              </w:rPr>
            </w:pPr>
            <w:r>
              <w:rPr>
                <w:lang w:val="en-US"/>
              </w:rPr>
              <w:t>H, V</w:t>
            </w:r>
          </w:p>
        </w:tc>
      </w:tr>
      <w:tr w:rsidR="00B9359B">
        <w:tc>
          <w:tcPr>
            <w:tcW w:w="5443" w:type="dxa"/>
          </w:tcPr>
          <w:p w:rsidR="00B9359B" w:rsidRDefault="009A5268">
            <w:pPr>
              <w:pStyle w:val="Tabletext"/>
              <w:framePr w:hSpace="181" w:wrap="notBeside" w:vAnchor="text" w:hAnchor="text" w:xAlign="center" w:y="1"/>
              <w:spacing w:before="50" w:after="50"/>
              <w:rPr>
                <w:lang w:val="en-US"/>
              </w:rPr>
            </w:pPr>
            <w:r>
              <w:rPr>
                <w:lang w:val="en-US"/>
              </w:rPr>
              <w:t>Altitude of the satellite (km)</w:t>
            </w:r>
          </w:p>
        </w:tc>
        <w:tc>
          <w:tcPr>
            <w:tcW w:w="2211" w:type="dxa"/>
          </w:tcPr>
          <w:p w:rsidR="00B9359B" w:rsidRDefault="009A5268">
            <w:pPr>
              <w:pStyle w:val="Tabletext"/>
              <w:framePr w:hSpace="181" w:wrap="notBeside" w:vAnchor="text" w:hAnchor="text" w:xAlign="center" w:y="1"/>
              <w:spacing w:before="50" w:after="50"/>
              <w:jc w:val="center"/>
              <w:rPr>
                <w:lang w:val="en-US"/>
              </w:rPr>
            </w:pPr>
            <w:r>
              <w:rPr>
                <w:lang w:val="en-US"/>
              </w:rPr>
              <w:t>817</w:t>
            </w:r>
          </w:p>
        </w:tc>
        <w:tc>
          <w:tcPr>
            <w:tcW w:w="1644" w:type="dxa"/>
          </w:tcPr>
          <w:p w:rsidR="00B9359B" w:rsidRDefault="009A5268">
            <w:pPr>
              <w:pStyle w:val="Tabletext"/>
              <w:framePr w:hSpace="181" w:wrap="notBeside" w:vAnchor="text" w:hAnchor="text" w:xAlign="center" w:y="1"/>
              <w:spacing w:before="50" w:after="50"/>
              <w:jc w:val="center"/>
              <w:rPr>
                <w:lang w:val="en-US"/>
              </w:rPr>
            </w:pPr>
            <w:r>
              <w:rPr>
                <w:lang w:val="en-US"/>
              </w:rPr>
              <w:t>705</w:t>
            </w:r>
          </w:p>
        </w:tc>
      </w:tr>
      <w:tr w:rsidR="00B9359B">
        <w:trPr>
          <w:trHeight w:val="306"/>
        </w:trPr>
        <w:tc>
          <w:tcPr>
            <w:tcW w:w="5443" w:type="dxa"/>
          </w:tcPr>
          <w:p w:rsidR="00B9359B" w:rsidRDefault="009A5268">
            <w:pPr>
              <w:pStyle w:val="Tabletext"/>
              <w:framePr w:hSpace="181" w:wrap="notBeside" w:vAnchor="text" w:hAnchor="text" w:xAlign="center" w:y="1"/>
              <w:spacing w:before="50" w:after="50"/>
              <w:rPr>
                <w:lang w:val="en-US"/>
              </w:rPr>
            </w:pPr>
            <w:r>
              <w:rPr>
                <w:lang w:val="en-US"/>
              </w:rPr>
              <w:t>Maximum antenna gain (dBi)</w:t>
            </w:r>
          </w:p>
        </w:tc>
        <w:tc>
          <w:tcPr>
            <w:tcW w:w="2211" w:type="dxa"/>
          </w:tcPr>
          <w:p w:rsidR="00B9359B" w:rsidRDefault="009A5268">
            <w:pPr>
              <w:pStyle w:val="Tabletext"/>
              <w:framePr w:hSpace="181" w:wrap="notBeside" w:vAnchor="text" w:hAnchor="text" w:xAlign="center" w:y="1"/>
              <w:spacing w:before="50" w:after="50"/>
              <w:jc w:val="center"/>
              <w:rPr>
                <w:lang w:val="en-US"/>
              </w:rPr>
            </w:pPr>
            <w:r>
              <w:rPr>
                <w:lang w:val="en-US"/>
              </w:rPr>
              <w:t>36</w:t>
            </w:r>
          </w:p>
        </w:tc>
        <w:tc>
          <w:tcPr>
            <w:tcW w:w="1644" w:type="dxa"/>
          </w:tcPr>
          <w:p w:rsidR="00B9359B" w:rsidRDefault="009A5268">
            <w:pPr>
              <w:pStyle w:val="Tabletext"/>
              <w:framePr w:hSpace="181" w:wrap="notBeside" w:vAnchor="text" w:hAnchor="text" w:xAlign="center" w:y="1"/>
              <w:spacing w:before="50" w:after="50"/>
              <w:jc w:val="center"/>
              <w:rPr>
                <w:lang w:val="en-US"/>
              </w:rPr>
            </w:pPr>
            <w:r>
              <w:rPr>
                <w:lang w:val="en-US"/>
              </w:rPr>
              <w:t>37</w:t>
            </w:r>
          </w:p>
        </w:tc>
      </w:tr>
      <w:tr w:rsidR="00B9359B">
        <w:tc>
          <w:tcPr>
            <w:tcW w:w="5443" w:type="dxa"/>
          </w:tcPr>
          <w:p w:rsidR="00B9359B" w:rsidRDefault="009A5268">
            <w:pPr>
              <w:pStyle w:val="Tabletext"/>
              <w:framePr w:hSpace="181" w:wrap="notBeside" w:vAnchor="text" w:hAnchor="text" w:xAlign="center" w:y="1"/>
              <w:spacing w:before="50" w:after="50"/>
              <w:rPr>
                <w:lang w:val="en-US"/>
              </w:rPr>
            </w:pPr>
            <w:r>
              <w:rPr>
                <w:lang w:val="en-US"/>
              </w:rPr>
              <w:t xml:space="preserve">Half power antenna beamwidth </w:t>
            </w:r>
            <w:r>
              <w:sym w:font="Symbol" w:char="F071"/>
            </w:r>
            <w:r>
              <w:rPr>
                <w:sz w:val="26"/>
                <w:vertAlign w:val="subscript"/>
                <w:lang w:val="en-US"/>
              </w:rPr>
              <w:t>3 dB</w:t>
            </w:r>
            <w:r>
              <w:rPr>
                <w:lang w:val="en-US"/>
              </w:rPr>
              <w:t xml:space="preserve"> (degrees)</w:t>
            </w:r>
          </w:p>
        </w:tc>
        <w:tc>
          <w:tcPr>
            <w:tcW w:w="2211" w:type="dxa"/>
          </w:tcPr>
          <w:p w:rsidR="00B9359B" w:rsidRDefault="009A5268">
            <w:pPr>
              <w:pStyle w:val="Tabletext"/>
              <w:framePr w:hSpace="181" w:wrap="notBeside" w:vAnchor="text" w:hAnchor="text" w:xAlign="center" w:y="1"/>
              <w:spacing w:before="50" w:after="50"/>
              <w:jc w:val="center"/>
              <w:rPr>
                <w:lang w:val="en-US"/>
              </w:rPr>
            </w:pPr>
            <w:r>
              <w:rPr>
                <w:lang w:val="en-US"/>
              </w:rPr>
              <w:t>2.66</w:t>
            </w:r>
          </w:p>
        </w:tc>
        <w:tc>
          <w:tcPr>
            <w:tcW w:w="1644" w:type="dxa"/>
          </w:tcPr>
          <w:p w:rsidR="00B9359B" w:rsidRDefault="009A5268">
            <w:pPr>
              <w:pStyle w:val="Tabletext"/>
              <w:framePr w:hSpace="181" w:wrap="notBeside" w:vAnchor="text" w:hAnchor="text" w:xAlign="center" w:y="1"/>
              <w:spacing w:before="50" w:after="50"/>
              <w:jc w:val="center"/>
              <w:rPr>
                <w:lang w:val="en-US"/>
              </w:rPr>
            </w:pPr>
            <w:r>
              <w:rPr>
                <w:lang w:val="en-US"/>
              </w:rPr>
              <w:t>1.4</w:t>
            </w:r>
          </w:p>
        </w:tc>
      </w:tr>
    </w:tbl>
    <w:p w:rsidR="00B9359B" w:rsidRDefault="00B9359B">
      <w:pPr>
        <w:pStyle w:val="Tablefin"/>
      </w:pPr>
    </w:p>
    <w:p w:rsidR="00B9359B" w:rsidRDefault="009A5268">
      <w:pPr>
        <w:rPr>
          <w:lang w:val="en-US"/>
        </w:rPr>
      </w:pPr>
      <w:r>
        <w:rPr>
          <w:lang w:val="en-US"/>
        </w:rPr>
        <w:t xml:space="preserve">The pixel size across track is computed from the –3 dB contour of the antenna pattern taking into account the satellite altitude and the incidence angle </w:t>
      </w:r>
      <w:r>
        <w:rPr>
          <w:i/>
          <w:iCs/>
          <w:lang w:val="en-US"/>
        </w:rPr>
        <w:t>i</w:t>
      </w:r>
      <w:r>
        <w:rPr>
          <w:lang w:val="en-US"/>
        </w:rPr>
        <w:t xml:space="preserve"> of the beam boresight.</w:t>
      </w:r>
    </w:p>
    <w:p w:rsidR="00B9359B" w:rsidRDefault="009A5268">
      <w:pPr>
        <w:rPr>
          <w:lang w:val="en-US"/>
        </w:rPr>
      </w:pPr>
      <w:r>
        <w:rPr>
          <w:lang w:val="en-US"/>
        </w:rPr>
        <w:br w:type="page"/>
        <w:t>The above EESS sensors are not nadir satellites, but EESS sensors having a conical scan configu</w:t>
      </w:r>
      <w:r>
        <w:rPr>
          <w:lang w:val="en-US"/>
        </w:rPr>
        <w:softHyphen/>
        <w:t>ration centred around the nadir direction. It is important for the interpretation of surface measure</w:t>
      </w:r>
      <w:r>
        <w:rPr>
          <w:lang w:val="en-US"/>
        </w:rPr>
        <w:softHyphen/>
        <w:t xml:space="preserve">ments to maintain a constant ground incidence angle along the entire scan lines. The geometry of conically scanned instruments is described in Fig. 12. The rotation speed of the instrument (and not the satellite) is </w:t>
      </w:r>
      <w:r>
        <w:rPr>
          <w:i/>
          <w:iCs/>
          <w:lang w:val="en-US"/>
        </w:rPr>
        <w:t>w</w:t>
      </w:r>
      <w:r>
        <w:rPr>
          <w:lang w:val="en-US"/>
        </w:rPr>
        <w:t> </w:t>
      </w:r>
      <w:r>
        <w:rPr>
          <w:rFonts w:ascii="Symbol" w:hAnsi="Symbol"/>
          <w:lang w:val="en-US"/>
        </w:rPr>
        <w:t></w:t>
      </w:r>
      <w:r>
        <w:rPr>
          <w:lang w:val="en-US"/>
        </w:rPr>
        <w:t> 20 r.p.m. for the MEGHA-TROPIC satellite and 40 r.p.m. EOS AMSR</w:t>
      </w:r>
      <w:r>
        <w:rPr>
          <w:lang w:val="en-US"/>
        </w:rPr>
        <w:noBreakHyphen/>
        <w:t>E.</w:t>
      </w:r>
    </w:p>
    <w:p w:rsidR="00B9359B" w:rsidRDefault="00B9359B">
      <w:pPr>
        <w:rPr>
          <w:lang w:val="en-US"/>
        </w:rPr>
      </w:pPr>
    </w:p>
    <w:p w:rsidR="00B9359B" w:rsidRDefault="00B9359B">
      <w:pPr>
        <w:rPr>
          <w:lang w:val="en-US"/>
        </w:rPr>
      </w:pPr>
    </w:p>
    <w:p w:rsidR="00B9359B" w:rsidRDefault="009A5268">
      <w:pPr>
        <w:pStyle w:val="FigureNo"/>
      </w:pPr>
      <w:r>
        <w:object w:dxaOrig="7714" w:dyaOrig="7013">
          <v:shape id="_x0000_i1046" type="#_x0000_t75" style="width:385.8pt;height:350.35pt" o:ole="">
            <v:imagedata r:id="rId40" o:title=""/>
          </v:shape>
          <o:OLEObject Type="Embed" ProgID="Designer.Drawing.7" ShapeID="_x0000_i1046" DrawAspect="Content" ObjectID="_1629894564" r:id="rId41"/>
        </w:object>
      </w:r>
    </w:p>
    <w:p w:rsidR="00B9359B" w:rsidRDefault="00B9359B">
      <w:pPr>
        <w:rPr>
          <w:lang w:val="en-US"/>
        </w:rPr>
      </w:pPr>
    </w:p>
    <w:p w:rsidR="00B9359B" w:rsidRDefault="00B9359B">
      <w:pPr>
        <w:rPr>
          <w:lang w:val="en-US"/>
        </w:rPr>
      </w:pPr>
    </w:p>
    <w:p w:rsidR="00B9359B" w:rsidRDefault="009A5268">
      <w:pPr>
        <w:rPr>
          <w:lang w:val="en-US"/>
        </w:rPr>
      </w:pPr>
      <w:r>
        <w:rPr>
          <w:lang w:val="en-US"/>
        </w:rPr>
        <w:t>The typical geometry characteristics of this kind of instruments are the following (for an altitude of about 850 km).</w:t>
      </w:r>
    </w:p>
    <w:p w:rsidR="00B9359B" w:rsidRDefault="009A5268">
      <w:pPr>
        <w:pStyle w:val="enumlev1"/>
        <w:rPr>
          <w:lang w:val="en-US"/>
        </w:rPr>
      </w:pPr>
      <w:r>
        <w:rPr>
          <w:lang w:val="en-US"/>
        </w:rPr>
        <w:t>–</w:t>
      </w:r>
      <w:r>
        <w:rPr>
          <w:lang w:val="en-US"/>
        </w:rPr>
        <w:tab/>
        <w:t xml:space="preserve">the ground incidence angle </w:t>
      </w:r>
      <w:r>
        <w:rPr>
          <w:i/>
          <w:iCs/>
          <w:lang w:val="en-US"/>
        </w:rPr>
        <w:t>i</w:t>
      </w:r>
      <w:r>
        <w:rPr>
          <w:lang w:val="en-US"/>
        </w:rPr>
        <w:t xml:space="preserve"> at footprint centre is about 50</w:t>
      </w:r>
      <w:r>
        <w:rPr>
          <w:rFonts w:ascii="Symbol" w:hAnsi="Symbol"/>
          <w:lang w:val="en-US"/>
        </w:rPr>
        <w:t></w:t>
      </w:r>
      <w:r>
        <w:rPr>
          <w:lang w:val="en-US"/>
        </w:rPr>
        <w:t>;</w:t>
      </w:r>
    </w:p>
    <w:p w:rsidR="00B9359B" w:rsidRDefault="009A5268">
      <w:pPr>
        <w:pStyle w:val="enumlev1"/>
        <w:rPr>
          <w:lang w:val="en-US"/>
        </w:rPr>
      </w:pPr>
      <w:r>
        <w:rPr>
          <w:lang w:val="en-US"/>
        </w:rPr>
        <w:t>–</w:t>
      </w:r>
      <w:r>
        <w:rPr>
          <w:lang w:val="en-US"/>
        </w:rPr>
        <w:tab/>
        <w:t xml:space="preserve">the EESS offset angle to the nadir or half cone angle </w:t>
      </w:r>
      <w:r>
        <w:sym w:font="Symbol" w:char="F061"/>
      </w:r>
      <w:r>
        <w:rPr>
          <w:lang w:val="en-US"/>
        </w:rPr>
        <w:t xml:space="preserve"> to the nadir direction: about 44</w:t>
      </w:r>
      <w:r>
        <w:rPr>
          <w:rFonts w:ascii="Symbol" w:hAnsi="Symbol"/>
          <w:lang w:val="en-US"/>
        </w:rPr>
        <w:t></w:t>
      </w:r>
      <w:r>
        <w:rPr>
          <w:lang w:val="en-US"/>
        </w:rPr>
        <w:t>;</w:t>
      </w:r>
    </w:p>
    <w:p w:rsidR="00B9359B" w:rsidRDefault="009A5268">
      <w:pPr>
        <w:pStyle w:val="enumlev1"/>
        <w:rPr>
          <w:lang w:val="en-US"/>
        </w:rPr>
      </w:pPr>
      <w:r>
        <w:rPr>
          <w:lang w:val="en-US"/>
        </w:rPr>
        <w:t>–</w:t>
      </w:r>
      <w:r>
        <w:rPr>
          <w:lang w:val="en-US"/>
        </w:rPr>
        <w:tab/>
        <w:t>the useful swath is about 1</w:t>
      </w:r>
      <w:r>
        <w:rPr>
          <w:rFonts w:ascii="Tms Rmn" w:hAnsi="Tms Rmn"/>
          <w:sz w:val="12"/>
          <w:lang w:val="en-US"/>
        </w:rPr>
        <w:t> </w:t>
      </w:r>
      <w:r>
        <w:rPr>
          <w:lang w:val="en-US"/>
        </w:rPr>
        <w:t>600 km; and</w:t>
      </w:r>
    </w:p>
    <w:p w:rsidR="00B9359B" w:rsidRDefault="009A5268">
      <w:pPr>
        <w:pStyle w:val="enumlev1"/>
        <w:rPr>
          <w:lang w:val="en-US"/>
        </w:rPr>
      </w:pPr>
      <w:r>
        <w:rPr>
          <w:lang w:val="en-US"/>
        </w:rPr>
        <w:t>–</w:t>
      </w:r>
      <w:r>
        <w:rPr>
          <w:lang w:val="en-US"/>
        </w:rPr>
        <w:tab/>
        <w:t>the scanning period is chosen in order to ensure full coverage and optimum integration time (radiometric resolution).</w:t>
      </w:r>
    </w:p>
    <w:p w:rsidR="00B9359B" w:rsidRDefault="009A5268">
      <w:pPr>
        <w:rPr>
          <w:lang w:val="en-US"/>
        </w:rPr>
      </w:pPr>
      <w:r>
        <w:rPr>
          <w:lang w:val="en-US"/>
        </w:rPr>
        <w:br w:type="page"/>
        <w:t xml:space="preserve">Figure 13 shows the antenna pattern planned for the MEGHA-TROPIC satellite: the first side lobe has a level around </w:t>
      </w:r>
      <w:r>
        <w:rPr>
          <w:rFonts w:ascii="Symbol" w:hAnsi="Symbol"/>
          <w:lang w:val="en-US"/>
        </w:rPr>
        <w:noBreakHyphen/>
      </w:r>
      <w:r>
        <w:rPr>
          <w:lang w:val="en-US"/>
        </w:rPr>
        <w:t xml:space="preserve">35 dB below the maximum antenna gain, and the level of the back lobe radiation is around </w:t>
      </w:r>
      <w:r>
        <w:rPr>
          <w:rFonts w:ascii="Symbol" w:hAnsi="Symbol"/>
          <w:lang w:val="en-US"/>
        </w:rPr>
        <w:noBreakHyphen/>
      </w:r>
      <w:r>
        <w:rPr>
          <w:lang w:val="en-US"/>
        </w:rPr>
        <w:t>50 dB.</w:t>
      </w:r>
    </w:p>
    <w:p w:rsidR="00B9359B" w:rsidRDefault="00B9359B">
      <w:pPr>
        <w:rPr>
          <w:lang w:val="en-US"/>
        </w:rPr>
      </w:pPr>
    </w:p>
    <w:p w:rsidR="00B9359B" w:rsidRDefault="00AB52AF">
      <w:pPr>
        <w:pStyle w:val="FigureNo"/>
      </w:pPr>
      <w:r>
        <w:pict>
          <v:shape id="_x0000_i1047" type="#_x0000_t75" style="width:267.6pt;height:249.85pt">
            <v:imagedata r:id="rId42" o:title=""/>
          </v:shape>
        </w:pict>
      </w:r>
    </w:p>
    <w:p w:rsidR="00B9359B" w:rsidRDefault="00B9359B">
      <w:pPr>
        <w:rPr>
          <w:lang w:val="en-US"/>
        </w:rPr>
      </w:pPr>
    </w:p>
    <w:p w:rsidR="00B9359B" w:rsidRDefault="009A5268">
      <w:pPr>
        <w:rPr>
          <w:lang w:val="en-US"/>
        </w:rPr>
      </w:pPr>
      <w:r>
        <w:rPr>
          <w:lang w:val="en-US"/>
        </w:rPr>
        <w:t xml:space="preserve">Figure 14 shows the antenna pattern planned for the EOS AMSR-E satellite: the first side lobe has a level around </w:t>
      </w:r>
      <w:r>
        <w:rPr>
          <w:rFonts w:ascii="Symbol" w:hAnsi="Symbol"/>
          <w:lang w:val="en-US"/>
        </w:rPr>
        <w:noBreakHyphen/>
      </w:r>
      <w:r>
        <w:rPr>
          <w:lang w:val="en-US"/>
        </w:rPr>
        <w:t>45 dB below the maximum antenna gain, and the level of the back lobe radiation is around </w:t>
      </w:r>
      <w:r>
        <w:rPr>
          <w:rFonts w:ascii="Symbol" w:hAnsi="Symbol"/>
          <w:lang w:val="en-US"/>
        </w:rPr>
        <w:noBreakHyphen/>
      </w:r>
      <w:r>
        <w:rPr>
          <w:lang w:val="en-US"/>
        </w:rPr>
        <w:t>60 dB.</w:t>
      </w:r>
    </w:p>
    <w:p w:rsidR="00B9359B" w:rsidRDefault="00AB52AF">
      <w:pPr>
        <w:pStyle w:val="FigureNo"/>
      </w:pPr>
      <w:r>
        <w:pict>
          <v:shape id="_x0000_i1048" type="#_x0000_t75" style="width:267.6pt;height:248.8pt">
            <v:imagedata r:id="rId43" o:title=""/>
          </v:shape>
        </w:pict>
      </w:r>
    </w:p>
    <w:p w:rsidR="00B9359B" w:rsidRDefault="009A5268">
      <w:pPr>
        <w:pStyle w:val="Heading1"/>
        <w:rPr>
          <w:lang w:val="en-US"/>
        </w:rPr>
      </w:pPr>
      <w:bookmarkStart w:id="236" w:name="_Toc51045636"/>
      <w:r>
        <w:rPr>
          <w:lang w:val="en-US"/>
        </w:rPr>
        <w:br w:type="page"/>
        <w:t>2</w:t>
      </w:r>
      <w:r>
        <w:rPr>
          <w:lang w:val="en-US"/>
        </w:rPr>
        <w:tab/>
        <w:t>FSS (space-to-Earth)</w:t>
      </w:r>
      <w:bookmarkEnd w:id="236"/>
    </w:p>
    <w:p w:rsidR="00B9359B" w:rsidRDefault="009A5268">
      <w:pPr>
        <w:pStyle w:val="Heading2"/>
        <w:rPr>
          <w:lang w:val="en-US"/>
        </w:rPr>
      </w:pPr>
      <w:bookmarkStart w:id="237" w:name="_Toc51045637"/>
      <w:r>
        <w:rPr>
          <w:lang w:val="en-US"/>
        </w:rPr>
        <w:t>2.1</w:t>
      </w:r>
      <w:r>
        <w:rPr>
          <w:lang w:val="en-US"/>
        </w:rPr>
        <w:tab/>
        <w:t>Allocated transmit band</w:t>
      </w:r>
      <w:bookmarkEnd w:id="237"/>
    </w:p>
    <w:p w:rsidR="00B9359B" w:rsidRDefault="009A5268">
      <w:pPr>
        <w:rPr>
          <w:lang w:val="en-US"/>
        </w:rPr>
      </w:pPr>
      <w:r>
        <w:rPr>
          <w:lang w:val="en-US"/>
        </w:rPr>
        <w:t>The active service band is the FSS (space-to-Earth) 10.7</w:t>
      </w:r>
      <w:r>
        <w:rPr>
          <w:lang w:val="en-US"/>
        </w:rPr>
        <w:noBreakHyphen/>
        <w:t>11.7 GHz band.</w:t>
      </w:r>
    </w:p>
    <w:p w:rsidR="00B9359B" w:rsidRDefault="009A5268">
      <w:pPr>
        <w:pStyle w:val="Heading2"/>
        <w:rPr>
          <w:lang w:val="en-US"/>
        </w:rPr>
      </w:pPr>
      <w:bookmarkStart w:id="238" w:name="_Toc51045638"/>
      <w:r>
        <w:rPr>
          <w:lang w:val="en-US"/>
        </w:rPr>
        <w:t>2.2</w:t>
      </w:r>
      <w:r>
        <w:rPr>
          <w:lang w:val="en-US"/>
        </w:rPr>
        <w:tab/>
        <w:t>Application</w:t>
      </w:r>
      <w:bookmarkEnd w:id="238"/>
    </w:p>
    <w:p w:rsidR="00B9359B" w:rsidRDefault="009A5268">
      <w:pPr>
        <w:rPr>
          <w:lang w:val="en-US"/>
        </w:rPr>
      </w:pPr>
      <w:r>
        <w:rPr>
          <w:lang w:val="en-US"/>
        </w:rPr>
        <w:t>The whole set of transmitter characteristics that are taken into account in this Annex are derived from Recommendation ITU-R S.1328-3 – Satellite system characteristics to be considered in frequency sharing analyses between geostationary-satellite orbit (GSO) and non-GSO satellite systems in the fixed-satellite service (FSS) including feeder links for the mobile-satellite service (MSS). This Recommendation gives some relevant information about typical systems.</w:t>
      </w:r>
    </w:p>
    <w:p w:rsidR="00B9359B" w:rsidRDefault="009A5268">
      <w:pPr>
        <w:rPr>
          <w:lang w:val="en-US"/>
        </w:rPr>
      </w:pPr>
      <w:r>
        <w:rPr>
          <w:lang w:val="en-US"/>
        </w:rPr>
        <w:t>According to RR No. 5.441, the use of the bands 10.7-10.95 GHz and 11.2-11.45 GHz by GSO satellites in the FSS shall be in accordance with RR Appendix 30B.</w:t>
      </w:r>
    </w:p>
    <w:p w:rsidR="00B9359B" w:rsidRDefault="009A5268">
      <w:pPr>
        <w:rPr>
          <w:lang w:val="en-US"/>
        </w:rPr>
      </w:pPr>
      <w:r>
        <w:rPr>
          <w:lang w:val="en-US"/>
        </w:rPr>
        <w:t>In the above Recommendation, any information concerning systems that would use in Region 1 the uplink allocation 10.7</w:t>
      </w:r>
      <w:r>
        <w:rPr>
          <w:lang w:val="en-US"/>
        </w:rPr>
        <w:noBreakHyphen/>
        <w:t>11.7 GHz (Earth-to-space) through footnote RR No. 5.484 (limited to feeder links for the BSS) is not mentioned. Therefore, it was not possible to undertake any interference analysis between such FSS systems and EESS systems in the 10.6-10.7 GHz passive band.</w:t>
      </w:r>
    </w:p>
    <w:p w:rsidR="00B9359B" w:rsidRDefault="009A5268">
      <w:pPr>
        <w:pStyle w:val="Heading2"/>
        <w:rPr>
          <w:lang w:val="en-US"/>
        </w:rPr>
      </w:pPr>
      <w:bookmarkStart w:id="239" w:name="_Toc51045639"/>
      <w:r>
        <w:rPr>
          <w:lang w:val="en-US"/>
        </w:rPr>
        <w:t>2.3</w:t>
      </w:r>
      <w:r>
        <w:rPr>
          <w:lang w:val="en-US"/>
        </w:rPr>
        <w:tab/>
        <w:t>Levels based on provisions and ITU-R Recommendations</w:t>
      </w:r>
      <w:bookmarkEnd w:id="239"/>
    </w:p>
    <w:p w:rsidR="00B9359B" w:rsidRDefault="009A5268">
      <w:pPr>
        <w:pStyle w:val="Heading3"/>
        <w:rPr>
          <w:lang w:val="en-US"/>
        </w:rPr>
      </w:pPr>
      <w:bookmarkStart w:id="240" w:name="_Toc51045640"/>
      <w:r>
        <w:rPr>
          <w:lang w:val="en-US"/>
        </w:rPr>
        <w:t>2.3.1</w:t>
      </w:r>
      <w:r>
        <w:rPr>
          <w:lang w:val="en-US"/>
        </w:rPr>
        <w:tab/>
        <w:t>RR No. 1.153</w:t>
      </w:r>
      <w:bookmarkEnd w:id="240"/>
    </w:p>
    <w:p w:rsidR="00B9359B" w:rsidRDefault="009A5268">
      <w:pPr>
        <w:rPr>
          <w:lang w:val="en-US"/>
        </w:rPr>
      </w:pPr>
      <w:r>
        <w:rPr>
          <w:lang w:val="en-US"/>
        </w:rPr>
        <w:t xml:space="preserve">The RR defines </w:t>
      </w:r>
      <w:r>
        <w:rPr>
          <w:i/>
          <w:lang w:val="en-US"/>
        </w:rPr>
        <w:t>occupied bandwidth</w:t>
      </w:r>
      <w:r>
        <w:rPr>
          <w:lang w:val="en-US"/>
        </w:rPr>
        <w:t xml:space="preserve"> as follows:</w:t>
      </w:r>
    </w:p>
    <w:p w:rsidR="00B9359B" w:rsidRDefault="009A5268">
      <w:pPr>
        <w:rPr>
          <w:lang w:val="en-US"/>
        </w:rPr>
      </w:pPr>
      <w:r>
        <w:rPr>
          <w:lang w:val="en-US"/>
        </w:rPr>
        <w:t>“</w:t>
      </w:r>
      <w:r>
        <w:rPr>
          <w:b/>
          <w:lang w:val="en-US"/>
        </w:rPr>
        <w:t>1.153</w:t>
      </w:r>
      <w:r>
        <w:rPr>
          <w:bCs/>
          <w:lang w:val="en-US"/>
        </w:rPr>
        <w:t>   </w:t>
      </w:r>
      <w:r>
        <w:rPr>
          <w:i/>
          <w:lang w:val="en-US"/>
        </w:rPr>
        <w:t>occupied bandwidth</w:t>
      </w:r>
      <w:r>
        <w:rPr>
          <w:iCs/>
          <w:lang w:val="en-US"/>
        </w:rPr>
        <w:t>:   </w:t>
      </w:r>
      <w:r>
        <w:rPr>
          <w:lang w:val="en-US"/>
        </w:rPr>
        <w:t xml:space="preserve">The width of a frequency band such that, below the lower and above the upper frequency limits, the </w:t>
      </w:r>
      <w:r>
        <w:rPr>
          <w:i/>
          <w:lang w:val="en-US"/>
        </w:rPr>
        <w:t>mean powers</w:t>
      </w:r>
      <w:r>
        <w:rPr>
          <w:lang w:val="en-US"/>
        </w:rPr>
        <w:t xml:space="preserve"> emitted are each equal to a specified percentage </w:t>
      </w:r>
      <w:r>
        <w:rPr>
          <w:rFonts w:ascii="Symbol" w:hAnsi="Symbol"/>
        </w:rPr>
        <w:t></w:t>
      </w:r>
      <w:r>
        <w:rPr>
          <w:lang w:val="en-US"/>
        </w:rPr>
        <w:t xml:space="preserve">/2 of the total </w:t>
      </w:r>
      <w:r>
        <w:rPr>
          <w:i/>
          <w:lang w:val="en-US"/>
        </w:rPr>
        <w:t>mean power</w:t>
      </w:r>
      <w:r>
        <w:rPr>
          <w:lang w:val="en-US"/>
        </w:rPr>
        <w:t xml:space="preserve"> of a given </w:t>
      </w:r>
      <w:r>
        <w:rPr>
          <w:i/>
          <w:lang w:val="en-US"/>
        </w:rPr>
        <w:t>emission</w:t>
      </w:r>
      <w:r>
        <w:rPr>
          <w:lang w:val="en-US"/>
        </w:rPr>
        <w:t>.</w:t>
      </w:r>
    </w:p>
    <w:p w:rsidR="00B9359B" w:rsidRDefault="009A5268">
      <w:pPr>
        <w:rPr>
          <w:lang w:val="en-US"/>
        </w:rPr>
      </w:pPr>
      <w:r>
        <w:rPr>
          <w:lang w:val="en-US"/>
        </w:rPr>
        <w:tab/>
        <w:t xml:space="preserve">Unless otherwise specified in an ITU-R Recommendation for the appropriate </w:t>
      </w:r>
      <w:r>
        <w:rPr>
          <w:i/>
          <w:lang w:val="en-US"/>
        </w:rPr>
        <w:t>class of emission</w:t>
      </w:r>
      <w:r>
        <w:rPr>
          <w:lang w:val="en-US"/>
        </w:rPr>
        <w:t xml:space="preserve">, the value of </w:t>
      </w:r>
      <w:r>
        <w:rPr>
          <w:rFonts w:ascii="Symbol" w:hAnsi="Symbol"/>
        </w:rPr>
        <w:t></w:t>
      </w:r>
      <w:r>
        <w:rPr>
          <w:lang w:val="en-US"/>
        </w:rPr>
        <w:t>/2 should be taken as 0.5%.”</w:t>
      </w:r>
    </w:p>
    <w:p w:rsidR="00B9359B" w:rsidRDefault="009A5268">
      <w:pPr>
        <w:rPr>
          <w:lang w:val="en-US"/>
        </w:rPr>
      </w:pPr>
      <w:r>
        <w:rPr>
          <w:lang w:val="en-US"/>
        </w:rPr>
        <w:t xml:space="preserve">If the lower edge of the occupied bandwidth were assumed to be at or above the lower limit of the FSS allocation, the total power of unwanted emissions at frequencies below the allocated bandwidth would be no greater than 0.5% of </w:t>
      </w:r>
      <w:r>
        <w:rPr>
          <w:i/>
          <w:lang w:val="en-US"/>
        </w:rPr>
        <w:t>P</w:t>
      </w:r>
      <w:r>
        <w:rPr>
          <w:lang w:val="en-US"/>
        </w:rPr>
        <w:t xml:space="preserve">, where </w:t>
      </w:r>
      <w:r>
        <w:rPr>
          <w:i/>
          <w:lang w:val="en-US"/>
        </w:rPr>
        <w:t>P</w:t>
      </w:r>
      <w:r>
        <w:rPr>
          <w:lang w:val="en-US"/>
        </w:rPr>
        <w:t xml:space="preserve"> is the in-band power. Therefore, the total power of unwanted emission at frequencies below 10.7 GHz, including those in the 10.6-10.7 GHz EESS band, would be no greater than </w:t>
      </w:r>
      <w:r>
        <w:rPr>
          <w:i/>
          <w:lang w:val="en-US"/>
        </w:rPr>
        <w:t>P</w:t>
      </w:r>
      <w:r>
        <w:rPr>
          <w:lang w:val="en-US"/>
        </w:rPr>
        <w:t> – 23 dB.</w:t>
      </w:r>
    </w:p>
    <w:p w:rsidR="00B9359B" w:rsidRDefault="009A5268">
      <w:pPr>
        <w:rPr>
          <w:lang w:val="en-US"/>
        </w:rPr>
      </w:pPr>
      <w:r>
        <w:rPr>
          <w:lang w:val="en-US"/>
        </w:rPr>
        <w:t>Although maintaining the occupied bandwidth within the allocated band is often an effective means of achieving the EESS interference criteria, meeting this assumption may be difficult and expensive for some FSS systems, requiring the use of either a guardband or space station filters.</w:t>
      </w:r>
    </w:p>
    <w:p w:rsidR="00B9359B" w:rsidRDefault="009A5268">
      <w:pPr>
        <w:pStyle w:val="Heading3"/>
        <w:rPr>
          <w:lang w:val="en-US"/>
        </w:rPr>
      </w:pPr>
      <w:bookmarkStart w:id="241" w:name="_Toc51045641"/>
      <w:r>
        <w:rPr>
          <w:lang w:val="en-US"/>
        </w:rPr>
        <w:br w:type="page"/>
        <w:t>2.3.2</w:t>
      </w:r>
      <w:r>
        <w:rPr>
          <w:lang w:val="en-US"/>
        </w:rPr>
        <w:tab/>
        <w:t>Recommendation ITU-R SM.1541</w:t>
      </w:r>
      <w:bookmarkEnd w:id="241"/>
    </w:p>
    <w:p w:rsidR="00B9359B" w:rsidRDefault="009A5268">
      <w:pPr>
        <w:rPr>
          <w:lang w:val="en-US"/>
        </w:rPr>
      </w:pPr>
      <w:r>
        <w:rPr>
          <w:lang w:val="en-US"/>
        </w:rPr>
        <w:t>Recommendation ITU-R SM.1541 – Unwanted emissions in the out-of-band domain.</w:t>
      </w:r>
    </w:p>
    <w:p w:rsidR="00B9359B" w:rsidRDefault="009A5268">
      <w:pPr>
        <w:rPr>
          <w:lang w:val="en-US"/>
        </w:rPr>
      </w:pPr>
      <w:r>
        <w:rPr>
          <w:lang w:val="en-US"/>
        </w:rPr>
        <w:t>The OoB domain emissions of a station operating in the bands allocated to the FSS should be attenuated below the maximum PSD (in a reference bandwidth of 4 kHz for systems operating below 15 GHz, in a reference bandwidth, is given in Annex 5 of Recommendation ITU</w:t>
      </w:r>
      <w:r>
        <w:rPr>
          <w:lang w:val="en-US"/>
        </w:rPr>
        <w:noBreakHyphen/>
        <w:t>R SM.1541 (see Fig. 15). This curve is based on the following expression:</w:t>
      </w:r>
    </w:p>
    <w:p w:rsidR="00B9359B" w:rsidRDefault="009A5268">
      <w:pPr>
        <w:pStyle w:val="Equation"/>
        <w:jc w:val="center"/>
        <w:rPr>
          <w:lang w:val="en-US"/>
        </w:rPr>
      </w:pPr>
      <w:r>
        <w:rPr>
          <w:position w:val="-28"/>
          <w:sz w:val="20"/>
          <w:lang w:val="fr-CH"/>
        </w:rPr>
        <w:object w:dxaOrig="1540" w:dyaOrig="680">
          <v:shape id="_x0000_i1049" type="#_x0000_t75" style="width:76.85pt;height:34.4pt" o:ole="" fillcolor="window">
            <v:imagedata r:id="rId44" o:title=""/>
          </v:shape>
          <o:OLEObject Type="Embed" ProgID="Equation.3" ShapeID="_x0000_i1049" DrawAspect="Content" ObjectID="_1629894565" r:id="rId45"/>
        </w:object>
      </w:r>
      <w:r w:rsidRPr="0027724D">
        <w:rPr>
          <w:lang w:val="en-US"/>
        </w:rPr>
        <w:t>                </w:t>
      </w:r>
      <w:r>
        <w:rPr>
          <w:lang w:val="en-US"/>
        </w:rPr>
        <w:t>dBsd</w:t>
      </w:r>
    </w:p>
    <w:p w:rsidR="00B9359B" w:rsidRDefault="009A5268">
      <w:pPr>
        <w:rPr>
          <w:lang w:val="en-US"/>
        </w:rPr>
      </w:pPr>
      <w:r>
        <w:rPr>
          <w:lang w:val="en-US"/>
        </w:rPr>
        <w:t>where:</w:t>
      </w:r>
    </w:p>
    <w:p w:rsidR="00B9359B" w:rsidRDefault="009A5268">
      <w:pPr>
        <w:pStyle w:val="Equationlegend"/>
        <w:spacing w:before="240"/>
      </w:pPr>
      <w:r>
        <w:tab/>
      </w:r>
      <w:r>
        <w:rPr>
          <w:i/>
          <w:iCs/>
        </w:rPr>
        <w:t>F</w:t>
      </w:r>
      <w:r>
        <w:rPr>
          <w:rFonts w:ascii="Tms Rmn" w:hAnsi="Tms Rmn"/>
          <w:sz w:val="12"/>
        </w:rPr>
        <w:t> </w:t>
      </w:r>
      <w:r>
        <w:t>:</w:t>
      </w:r>
      <w:r>
        <w:tab/>
        <w:t>frequency offset from the edge of the total assigned band, expressed as a percentage of necessary bandwidth. The OoB emission domain starts at the edges of the total assigned band</w:t>
      </w:r>
    </w:p>
    <w:p w:rsidR="00B9359B" w:rsidRDefault="009A5268">
      <w:pPr>
        <w:pStyle w:val="Equationlegend"/>
      </w:pPr>
      <w:r>
        <w:tab/>
        <w:t>dBsd</w:t>
      </w:r>
      <w:r>
        <w:rPr>
          <w:rFonts w:ascii="Tms Rmn" w:hAnsi="Tms Rmn"/>
          <w:sz w:val="12"/>
        </w:rPr>
        <w:t> </w:t>
      </w:r>
      <w:r>
        <w:t>:</w:t>
      </w:r>
      <w:r>
        <w:tab/>
        <w:t>dB relative to the maximum value of PSD within the necessary bandwidth.</w:t>
      </w:r>
    </w:p>
    <w:p w:rsidR="00B9359B" w:rsidRPr="0027724D" w:rsidRDefault="00B9359B">
      <w:pPr>
        <w:rPr>
          <w:lang w:val="en-US"/>
        </w:rPr>
      </w:pPr>
    </w:p>
    <w:p w:rsidR="00B9359B" w:rsidRDefault="00AB52AF">
      <w:pPr>
        <w:pStyle w:val="FigureNo"/>
      </w:pPr>
      <w:r>
        <w:pict>
          <v:shape id="_x0000_i1050" type="#_x0000_t75" style="width:294.45pt;height:282.65pt">
            <v:imagedata r:id="rId46" o:title=""/>
          </v:shape>
        </w:pict>
      </w:r>
    </w:p>
    <w:p w:rsidR="00B9359B" w:rsidRDefault="00B9359B">
      <w:pPr>
        <w:rPr>
          <w:lang w:val="en-US"/>
        </w:rPr>
      </w:pPr>
      <w:bookmarkStart w:id="242" w:name="_Toc51045642"/>
    </w:p>
    <w:p w:rsidR="00B9359B" w:rsidRDefault="00B9359B">
      <w:pPr>
        <w:rPr>
          <w:lang w:val="en-US"/>
        </w:rPr>
      </w:pPr>
    </w:p>
    <w:p w:rsidR="00B9359B" w:rsidRDefault="009A5268">
      <w:pPr>
        <w:pStyle w:val="Heading2"/>
        <w:ind w:left="0" w:firstLine="0"/>
        <w:rPr>
          <w:lang w:val="en-US"/>
        </w:rPr>
      </w:pPr>
      <w:r>
        <w:rPr>
          <w:lang w:val="en-US"/>
        </w:rPr>
        <w:br w:type="page"/>
        <w:t>2.4</w:t>
      </w:r>
      <w:r>
        <w:rPr>
          <w:lang w:val="en-US"/>
        </w:rPr>
        <w:tab/>
        <w:t>Transmitter characteristics</w:t>
      </w:r>
      <w:bookmarkEnd w:id="242"/>
    </w:p>
    <w:p w:rsidR="00B9359B" w:rsidRDefault="009A5268">
      <w:pPr>
        <w:pStyle w:val="Heading3"/>
        <w:ind w:left="0" w:firstLine="0"/>
        <w:rPr>
          <w:lang w:val="en-US"/>
        </w:rPr>
      </w:pPr>
      <w:bookmarkStart w:id="243" w:name="_Toc51045643"/>
      <w:r>
        <w:rPr>
          <w:lang w:val="en-US"/>
        </w:rPr>
        <w:t>2.4.1</w:t>
      </w:r>
      <w:r>
        <w:rPr>
          <w:lang w:val="en-US"/>
        </w:rPr>
        <w:tab/>
        <w:t>GSO satellite networks</w:t>
      </w:r>
      <w:bookmarkEnd w:id="243"/>
    </w:p>
    <w:p w:rsidR="00B9359B" w:rsidRDefault="009A5268">
      <w:pPr>
        <w:pStyle w:val="TableNo"/>
        <w:rPr>
          <w:lang w:val="en-US"/>
        </w:rPr>
      </w:pPr>
      <w:r>
        <w:rPr>
          <w:lang w:val="en-US"/>
        </w:rPr>
        <w:t>TABLE  14</w:t>
      </w:r>
    </w:p>
    <w:p w:rsidR="00B9359B" w:rsidRDefault="009A5268">
      <w:pPr>
        <w:pStyle w:val="Tabletitle"/>
        <w:rPr>
          <w:lang w:val="en-US"/>
        </w:rPr>
      </w:pPr>
      <w:r>
        <w:rPr>
          <w:lang w:val="en-US"/>
        </w:rPr>
        <w:t>GSO-VX characteristics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00"/>
        <w:gridCol w:w="4139"/>
      </w:tblGrid>
      <w:tr w:rsidR="00B9359B" w:rsidRPr="00D35B94">
        <w:tc>
          <w:tcPr>
            <w:tcW w:w="5500" w:type="dxa"/>
            <w:vAlign w:val="center"/>
          </w:tcPr>
          <w:p w:rsidR="00B9359B" w:rsidRDefault="009A5268">
            <w:pPr>
              <w:pStyle w:val="Tablehead"/>
              <w:framePr w:hSpace="181" w:wrap="notBeside" w:vAnchor="text" w:hAnchor="text" w:xAlign="center" w:y="1"/>
              <w:rPr>
                <w:lang w:val="en-US"/>
              </w:rPr>
            </w:pPr>
            <w:r>
              <w:rPr>
                <w:lang w:val="en-US"/>
              </w:rPr>
              <w:t>Parameters</w:t>
            </w:r>
          </w:p>
        </w:tc>
        <w:tc>
          <w:tcPr>
            <w:tcW w:w="4139" w:type="dxa"/>
            <w:vAlign w:val="center"/>
          </w:tcPr>
          <w:p w:rsidR="00B9359B" w:rsidRDefault="009A5268">
            <w:pPr>
              <w:pStyle w:val="Tablehead"/>
              <w:framePr w:hSpace="181" w:wrap="notBeside" w:vAnchor="text" w:hAnchor="text" w:xAlign="center" w:y="1"/>
              <w:rPr>
                <w:lang w:val="en-US"/>
              </w:rPr>
            </w:pPr>
            <w:r>
              <w:rPr>
                <w:lang w:val="en-US"/>
              </w:rPr>
              <w:t>GSO-VX: planned GSO</w:t>
            </w:r>
            <w:r>
              <w:rPr>
                <w:sz w:val="16"/>
                <w:lang w:val="en-US"/>
              </w:rPr>
              <w:t xml:space="preserve"> </w:t>
            </w:r>
            <w:r>
              <w:rPr>
                <w:lang w:val="en-US"/>
              </w:rPr>
              <w:t>FSS network</w:t>
            </w:r>
          </w:p>
        </w:tc>
      </w:tr>
      <w:tr w:rsidR="00B9359B">
        <w:tc>
          <w:tcPr>
            <w:tcW w:w="5500" w:type="dxa"/>
          </w:tcPr>
          <w:p w:rsidR="00B9359B" w:rsidRDefault="009A5268">
            <w:pPr>
              <w:pStyle w:val="Tabletext"/>
              <w:framePr w:hSpace="181" w:wrap="notBeside" w:vAnchor="text" w:hAnchor="text" w:xAlign="center" w:y="1"/>
              <w:spacing w:before="60" w:after="60"/>
              <w:rPr>
                <w:lang w:val="en-US"/>
              </w:rPr>
            </w:pPr>
            <w:r>
              <w:rPr>
                <w:lang w:val="en-US"/>
              </w:rPr>
              <w:t>Downlink frequency range (GHz)</w:t>
            </w:r>
          </w:p>
        </w:tc>
        <w:tc>
          <w:tcPr>
            <w:tcW w:w="4139" w:type="dxa"/>
          </w:tcPr>
          <w:p w:rsidR="00B9359B" w:rsidRDefault="009A5268">
            <w:pPr>
              <w:pStyle w:val="Tabletext"/>
              <w:framePr w:hSpace="181" w:wrap="notBeside" w:vAnchor="text" w:hAnchor="text" w:xAlign="center" w:y="1"/>
              <w:spacing w:before="60" w:after="60"/>
              <w:jc w:val="center"/>
              <w:rPr>
                <w:lang w:val="en-US"/>
              </w:rPr>
            </w:pPr>
            <w:r>
              <w:rPr>
                <w:lang w:val="en-US"/>
              </w:rPr>
              <w:t>10.7-10.95</w:t>
            </w:r>
          </w:p>
        </w:tc>
      </w:tr>
      <w:tr w:rsidR="00B9359B" w:rsidRPr="00D35B94">
        <w:tc>
          <w:tcPr>
            <w:tcW w:w="5500" w:type="dxa"/>
          </w:tcPr>
          <w:p w:rsidR="00B9359B" w:rsidRDefault="009A5268">
            <w:pPr>
              <w:pStyle w:val="Tabletext"/>
              <w:framePr w:hSpace="181" w:wrap="notBeside" w:vAnchor="text" w:hAnchor="text" w:xAlign="center" w:y="1"/>
              <w:spacing w:before="60" w:after="60"/>
              <w:rPr>
                <w:lang w:val="en-US"/>
              </w:rPr>
            </w:pPr>
            <w:r>
              <w:rPr>
                <w:lang w:val="en-US"/>
              </w:rPr>
              <w:t>Orbital parameters</w:t>
            </w:r>
          </w:p>
        </w:tc>
        <w:tc>
          <w:tcPr>
            <w:tcW w:w="4139" w:type="dxa"/>
          </w:tcPr>
          <w:p w:rsidR="00B9359B" w:rsidRDefault="009A5268">
            <w:pPr>
              <w:pStyle w:val="Tabletext"/>
              <w:framePr w:hSpace="181" w:wrap="notBeside" w:vAnchor="text" w:hAnchor="text" w:xAlign="center" w:y="1"/>
              <w:spacing w:before="60" w:after="60"/>
              <w:jc w:val="center"/>
              <w:rPr>
                <w:lang w:val="en-US"/>
              </w:rPr>
            </w:pPr>
            <w:r>
              <w:rPr>
                <w:lang w:val="en-US"/>
              </w:rPr>
              <w:t>14 GSO with at least 2</w:t>
            </w:r>
            <w:r>
              <w:rPr>
                <w:rFonts w:ascii="Symbol" w:hAnsi="Symbol"/>
                <w:lang w:val="en-US"/>
              </w:rPr>
              <w:t></w:t>
            </w:r>
            <w:r>
              <w:rPr>
                <w:lang w:val="en-US"/>
              </w:rPr>
              <w:t xml:space="preserve"> separation</w:t>
            </w:r>
          </w:p>
        </w:tc>
      </w:tr>
      <w:tr w:rsidR="00B9359B">
        <w:tc>
          <w:tcPr>
            <w:tcW w:w="5500" w:type="dxa"/>
          </w:tcPr>
          <w:p w:rsidR="00B9359B" w:rsidRDefault="009A5268">
            <w:pPr>
              <w:pStyle w:val="Tabletext"/>
              <w:framePr w:hSpace="181" w:wrap="notBeside" w:vAnchor="text" w:hAnchor="text" w:xAlign="center" w:y="1"/>
              <w:spacing w:before="60" w:after="60"/>
              <w:rPr>
                <w:lang w:val="en-US"/>
              </w:rPr>
            </w:pPr>
            <w:r>
              <w:rPr>
                <w:lang w:val="en-US"/>
              </w:rPr>
              <w:t>Carrier transmission parameters</w:t>
            </w:r>
          </w:p>
        </w:tc>
        <w:tc>
          <w:tcPr>
            <w:tcW w:w="4139" w:type="dxa"/>
          </w:tcPr>
          <w:p w:rsidR="00B9359B" w:rsidRDefault="00B9359B">
            <w:pPr>
              <w:pStyle w:val="Tabletext"/>
              <w:framePr w:hSpace="181" w:wrap="notBeside" w:vAnchor="text" w:hAnchor="text" w:xAlign="center" w:y="1"/>
              <w:spacing w:before="60" w:after="60"/>
              <w:jc w:val="center"/>
              <w:rPr>
                <w:lang w:val="en-US"/>
              </w:rPr>
            </w:pPr>
          </w:p>
        </w:tc>
      </w:tr>
      <w:tr w:rsidR="00B9359B" w:rsidRPr="00D35B94">
        <w:tc>
          <w:tcPr>
            <w:tcW w:w="5500" w:type="dxa"/>
          </w:tcPr>
          <w:p w:rsidR="00B9359B" w:rsidRDefault="009A5268">
            <w:pPr>
              <w:pStyle w:val="Tabletext"/>
              <w:framePr w:hSpace="181" w:wrap="notBeside" w:vAnchor="text" w:hAnchor="text" w:xAlign="center" w:y="1"/>
              <w:spacing w:before="60" w:after="60"/>
              <w:rPr>
                <w:lang w:val="en-US"/>
              </w:rPr>
            </w:pPr>
            <w:r>
              <w:rPr>
                <w:lang w:val="en-US"/>
              </w:rPr>
              <w:t>Bandwidth (MHz)</w:t>
            </w:r>
          </w:p>
        </w:tc>
        <w:tc>
          <w:tcPr>
            <w:tcW w:w="4139" w:type="dxa"/>
          </w:tcPr>
          <w:p w:rsidR="00B9359B" w:rsidRDefault="009A5268">
            <w:pPr>
              <w:pStyle w:val="Tabletext"/>
              <w:framePr w:hSpace="181" w:wrap="notBeside" w:vAnchor="text" w:hAnchor="text" w:xAlign="center" w:y="1"/>
              <w:spacing w:before="60" w:after="60"/>
              <w:jc w:val="center"/>
              <w:rPr>
                <w:lang w:val="en-US"/>
              </w:rPr>
            </w:pPr>
            <w:r>
              <w:rPr>
                <w:lang w:val="en-US"/>
              </w:rPr>
              <w:t>250: 1 bandwidth per channel</w:t>
            </w:r>
            <w:r>
              <w:rPr>
                <w:lang w:val="en-US"/>
              </w:rPr>
              <w:br/>
              <w:t>(1 channel/beam)</w:t>
            </w:r>
          </w:p>
        </w:tc>
      </w:tr>
      <w:tr w:rsidR="00B9359B">
        <w:tc>
          <w:tcPr>
            <w:tcW w:w="5500" w:type="dxa"/>
          </w:tcPr>
          <w:p w:rsidR="00B9359B" w:rsidRDefault="009A5268">
            <w:pPr>
              <w:pStyle w:val="Tabletext"/>
              <w:framePr w:hSpace="181" w:wrap="notBeside" w:vAnchor="text" w:hAnchor="text" w:xAlign="center" w:y="1"/>
              <w:spacing w:before="60" w:after="60"/>
              <w:rPr>
                <w:lang w:val="en-US"/>
              </w:rPr>
            </w:pPr>
            <w:r>
              <w:rPr>
                <w:lang w:val="en-US"/>
              </w:rPr>
              <w:t>Downlink e.i.r.p./carrier (dBW)</w:t>
            </w:r>
          </w:p>
        </w:tc>
        <w:tc>
          <w:tcPr>
            <w:tcW w:w="4139" w:type="dxa"/>
          </w:tcPr>
          <w:p w:rsidR="00B9359B" w:rsidRDefault="009A5268">
            <w:pPr>
              <w:pStyle w:val="Tabletext"/>
              <w:framePr w:hSpace="181" w:wrap="notBeside" w:vAnchor="text" w:hAnchor="text" w:xAlign="center" w:y="1"/>
              <w:spacing w:before="60" w:after="60"/>
              <w:jc w:val="center"/>
              <w:rPr>
                <w:lang w:val="en-US"/>
              </w:rPr>
            </w:pPr>
            <w:r>
              <w:rPr>
                <w:lang w:val="en-US"/>
              </w:rPr>
              <w:t>47</w:t>
            </w:r>
          </w:p>
        </w:tc>
      </w:tr>
      <w:tr w:rsidR="00B9359B">
        <w:tc>
          <w:tcPr>
            <w:tcW w:w="5500" w:type="dxa"/>
          </w:tcPr>
          <w:p w:rsidR="00B9359B" w:rsidRDefault="009A5268">
            <w:pPr>
              <w:pStyle w:val="Tabletext"/>
              <w:framePr w:hSpace="181" w:wrap="notBeside" w:vAnchor="text" w:hAnchor="text" w:xAlign="center" w:y="1"/>
              <w:spacing w:before="60" w:after="60"/>
              <w:rPr>
                <w:lang w:val="en-US"/>
              </w:rPr>
            </w:pPr>
            <w:r>
              <w:rPr>
                <w:lang w:val="en-US"/>
              </w:rPr>
              <w:t>Tx satellite antenna parameters</w:t>
            </w:r>
          </w:p>
        </w:tc>
        <w:tc>
          <w:tcPr>
            <w:tcW w:w="4139" w:type="dxa"/>
          </w:tcPr>
          <w:p w:rsidR="00B9359B" w:rsidRDefault="00B9359B">
            <w:pPr>
              <w:pStyle w:val="Tabletext"/>
              <w:framePr w:hSpace="181" w:wrap="notBeside" w:vAnchor="text" w:hAnchor="text" w:xAlign="center" w:y="1"/>
              <w:spacing w:before="60" w:after="60"/>
              <w:jc w:val="center"/>
              <w:rPr>
                <w:lang w:val="en-US"/>
              </w:rPr>
            </w:pPr>
          </w:p>
        </w:tc>
      </w:tr>
      <w:tr w:rsidR="00B9359B">
        <w:tc>
          <w:tcPr>
            <w:tcW w:w="5500" w:type="dxa"/>
          </w:tcPr>
          <w:p w:rsidR="00B9359B" w:rsidRDefault="009A5268">
            <w:pPr>
              <w:pStyle w:val="Tabletext"/>
              <w:framePr w:hSpace="181" w:wrap="notBeside" w:vAnchor="text" w:hAnchor="text" w:xAlign="center" w:y="1"/>
              <w:spacing w:before="60" w:after="60"/>
              <w:rPr>
                <w:lang w:val="en-US"/>
              </w:rPr>
            </w:pPr>
            <w:r>
              <w:rPr>
                <w:lang w:val="en-US"/>
              </w:rPr>
              <w:t>Peak gain (dBi)</w:t>
            </w:r>
          </w:p>
        </w:tc>
        <w:tc>
          <w:tcPr>
            <w:tcW w:w="4139" w:type="dxa"/>
          </w:tcPr>
          <w:p w:rsidR="00B9359B" w:rsidRDefault="009A5268">
            <w:pPr>
              <w:pStyle w:val="Tabletext"/>
              <w:framePr w:hSpace="181" w:wrap="notBeside" w:vAnchor="text" w:hAnchor="text" w:xAlign="center" w:y="1"/>
              <w:spacing w:before="60" w:after="60"/>
              <w:jc w:val="center"/>
              <w:rPr>
                <w:lang w:val="en-US"/>
              </w:rPr>
            </w:pPr>
            <w:r>
              <w:rPr>
                <w:lang w:val="en-US"/>
              </w:rPr>
              <w:t>33.5</w:t>
            </w:r>
          </w:p>
        </w:tc>
      </w:tr>
      <w:tr w:rsidR="00B9359B" w:rsidRPr="00D35B94">
        <w:tc>
          <w:tcPr>
            <w:tcW w:w="5500" w:type="dxa"/>
          </w:tcPr>
          <w:p w:rsidR="00B9359B" w:rsidRDefault="009A5268">
            <w:pPr>
              <w:pStyle w:val="Tabletext"/>
              <w:framePr w:hSpace="181" w:wrap="notBeside" w:vAnchor="text" w:hAnchor="text" w:xAlign="center" w:y="1"/>
              <w:spacing w:before="60" w:after="60"/>
              <w:rPr>
                <w:lang w:val="en-US"/>
              </w:rPr>
            </w:pPr>
            <w:r>
              <w:rPr>
                <w:lang w:val="en-US"/>
              </w:rPr>
              <w:t>Side lobe gain or pattern</w:t>
            </w:r>
          </w:p>
        </w:tc>
        <w:tc>
          <w:tcPr>
            <w:tcW w:w="4139" w:type="dxa"/>
          </w:tcPr>
          <w:p w:rsidR="00B9359B" w:rsidRDefault="009A5268">
            <w:pPr>
              <w:pStyle w:val="Tabletext"/>
              <w:framePr w:hSpace="181" w:wrap="notBeside" w:vAnchor="text" w:hAnchor="text" w:xAlign="center" w:y="1"/>
              <w:spacing w:before="60" w:after="60"/>
              <w:jc w:val="center"/>
              <w:rPr>
                <w:lang w:val="en-US"/>
              </w:rPr>
            </w:pPr>
            <w:r>
              <w:rPr>
                <w:lang w:val="en-US"/>
              </w:rPr>
              <w:t>18 dB below peak (back lobes at 25 dB below peak)</w:t>
            </w:r>
          </w:p>
        </w:tc>
      </w:tr>
    </w:tbl>
    <w:p w:rsidR="00B9359B" w:rsidRDefault="00B9359B">
      <w:pPr>
        <w:pStyle w:val="Tablefin"/>
      </w:pPr>
    </w:p>
    <w:p w:rsidR="00B9359B" w:rsidRDefault="009A5268">
      <w:pPr>
        <w:pStyle w:val="Heading3"/>
        <w:rPr>
          <w:lang w:val="en-US"/>
        </w:rPr>
      </w:pPr>
      <w:bookmarkStart w:id="244" w:name="_Toc51045644"/>
      <w:r>
        <w:rPr>
          <w:lang w:val="en-US"/>
        </w:rPr>
        <w:t>2.4.2</w:t>
      </w:r>
      <w:r>
        <w:rPr>
          <w:lang w:val="en-US"/>
        </w:rPr>
        <w:tab/>
        <w:t>Non-GSO networks</w:t>
      </w:r>
      <w:bookmarkEnd w:id="244"/>
    </w:p>
    <w:p w:rsidR="00B9359B" w:rsidRDefault="009A5268">
      <w:pPr>
        <w:pStyle w:val="TableNo"/>
        <w:rPr>
          <w:lang w:val="en-US"/>
        </w:rPr>
      </w:pPr>
      <w:r>
        <w:rPr>
          <w:lang w:val="en-US"/>
        </w:rPr>
        <w:t>TABLE  15</w:t>
      </w:r>
    </w:p>
    <w:p w:rsidR="00B9359B" w:rsidRDefault="009A5268">
      <w:pPr>
        <w:pStyle w:val="Tabletitle"/>
        <w:rPr>
          <w:lang w:val="en-US"/>
        </w:rPr>
      </w:pPr>
      <w:r>
        <w:rPr>
          <w:lang w:val="en-US"/>
        </w:rPr>
        <w:t>Technical characteristics of a non-GSO</w:t>
      </w:r>
      <w:r>
        <w:rPr>
          <w:sz w:val="16"/>
          <w:lang w:val="en-US"/>
        </w:rPr>
        <w:t xml:space="preserve">  </w:t>
      </w:r>
      <w:r>
        <w:rPr>
          <w:lang w:val="en-US"/>
        </w:rPr>
        <w:t>FSS network, FSAT-MULTI</w:t>
      </w:r>
      <w:r>
        <w:rPr>
          <w:sz w:val="16"/>
          <w:lang w:val="en-US"/>
        </w:rPr>
        <w:t xml:space="preserve">  </w:t>
      </w:r>
      <w:r>
        <w:rPr>
          <w:lang w:val="en-US"/>
        </w:rPr>
        <w:t>1-B</w:t>
      </w:r>
    </w:p>
    <w:tbl>
      <w:tblPr>
        <w:tblW w:w="9639"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A0" w:firstRow="1" w:lastRow="0" w:firstColumn="1" w:lastColumn="0" w:noHBand="0" w:noVBand="0"/>
      </w:tblPr>
      <w:tblGrid>
        <w:gridCol w:w="3415"/>
        <w:gridCol w:w="3530"/>
        <w:gridCol w:w="2694"/>
      </w:tblGrid>
      <w:tr w:rsidR="00B9359B">
        <w:trPr>
          <w:cantSplit/>
          <w:trHeight w:val="68"/>
        </w:trPr>
        <w:tc>
          <w:tcPr>
            <w:tcW w:w="3189" w:type="dxa"/>
            <w:vMerge w:val="restart"/>
            <w:vAlign w:val="center"/>
          </w:tcPr>
          <w:p w:rsidR="00B9359B" w:rsidRDefault="009A5268">
            <w:pPr>
              <w:pStyle w:val="Tabletext"/>
              <w:framePr w:hSpace="181" w:wrap="notBeside" w:vAnchor="text" w:hAnchor="text" w:xAlign="center" w:y="1"/>
              <w:spacing w:before="50" w:after="50"/>
              <w:jc w:val="left"/>
              <w:rPr>
                <w:caps/>
                <w:lang w:val="en-US"/>
              </w:rPr>
            </w:pPr>
            <w:r>
              <w:rPr>
                <w:caps/>
                <w:lang w:val="en-US"/>
              </w:rPr>
              <w:t>O</w:t>
            </w:r>
            <w:r>
              <w:rPr>
                <w:lang w:val="en-US"/>
              </w:rPr>
              <w:t>rbital</w:t>
            </w:r>
            <w:r>
              <w:rPr>
                <w:caps/>
                <w:lang w:val="en-US"/>
              </w:rPr>
              <w:t xml:space="preserve"> </w:t>
            </w:r>
            <w:r>
              <w:rPr>
                <w:lang w:val="en-US"/>
              </w:rPr>
              <w:t>parameters</w:t>
            </w:r>
          </w:p>
        </w:tc>
        <w:tc>
          <w:tcPr>
            <w:tcW w:w="3296" w:type="dxa"/>
          </w:tcPr>
          <w:p w:rsidR="00B9359B" w:rsidRDefault="009A5268">
            <w:pPr>
              <w:pStyle w:val="Tabletext"/>
              <w:framePr w:hSpace="181" w:wrap="notBeside" w:vAnchor="text" w:hAnchor="text" w:xAlign="center" w:y="1"/>
              <w:spacing w:before="50" w:after="50"/>
              <w:jc w:val="left"/>
              <w:rPr>
                <w:lang w:val="en-US"/>
              </w:rPr>
            </w:pPr>
            <w:r>
              <w:rPr>
                <w:lang w:val="en-US"/>
              </w:rPr>
              <w:t>Shape of the orbit</w:t>
            </w:r>
          </w:p>
        </w:tc>
        <w:tc>
          <w:tcPr>
            <w:tcW w:w="2516" w:type="dxa"/>
          </w:tcPr>
          <w:p w:rsidR="00B9359B" w:rsidRDefault="009A5268">
            <w:pPr>
              <w:pStyle w:val="Tabletext"/>
              <w:framePr w:hSpace="181" w:wrap="notBeside" w:vAnchor="text" w:hAnchor="text" w:xAlign="center" w:y="1"/>
              <w:spacing w:before="50" w:after="50"/>
              <w:jc w:val="center"/>
              <w:rPr>
                <w:caps/>
                <w:lang w:val="en-US"/>
              </w:rPr>
            </w:pPr>
            <w:r>
              <w:rPr>
                <w:caps/>
                <w:lang w:val="en-US"/>
              </w:rPr>
              <w:t>C</w:t>
            </w:r>
            <w:r>
              <w:rPr>
                <w:lang w:val="en-US"/>
              </w:rPr>
              <w:t>ircular</w:t>
            </w:r>
          </w:p>
        </w:tc>
      </w:tr>
      <w:tr w:rsidR="00B9359B">
        <w:trPr>
          <w:cantSplit/>
          <w:trHeight w:val="68"/>
        </w:trPr>
        <w:tc>
          <w:tcPr>
            <w:tcW w:w="3415" w:type="dxa"/>
            <w:vMerge/>
          </w:tcPr>
          <w:p w:rsidR="00B9359B" w:rsidRDefault="00B9359B">
            <w:pPr>
              <w:pStyle w:val="Tabletext"/>
              <w:framePr w:hSpace="181" w:wrap="notBeside" w:vAnchor="text" w:hAnchor="text" w:xAlign="center" w:y="1"/>
              <w:spacing w:before="50" w:after="50"/>
              <w:jc w:val="left"/>
              <w:rPr>
                <w:lang w:val="en-US"/>
              </w:rPr>
            </w:pPr>
          </w:p>
        </w:tc>
        <w:tc>
          <w:tcPr>
            <w:tcW w:w="3296" w:type="dxa"/>
          </w:tcPr>
          <w:p w:rsidR="00B9359B" w:rsidRDefault="009A5268">
            <w:pPr>
              <w:pStyle w:val="Tabletext"/>
              <w:framePr w:hSpace="181" w:wrap="notBeside" w:vAnchor="text" w:hAnchor="text" w:xAlign="center" w:y="1"/>
              <w:spacing w:before="50" w:after="50"/>
              <w:jc w:val="left"/>
              <w:rPr>
                <w:caps/>
                <w:lang w:val="en-US"/>
              </w:rPr>
            </w:pPr>
            <w:r>
              <w:rPr>
                <w:caps/>
                <w:lang w:val="en-US"/>
              </w:rPr>
              <w:t>H</w:t>
            </w:r>
            <w:r>
              <w:rPr>
                <w:lang w:val="en-US"/>
              </w:rPr>
              <w:t>eight (km)</w:t>
            </w:r>
          </w:p>
        </w:tc>
        <w:tc>
          <w:tcPr>
            <w:tcW w:w="2516" w:type="dxa"/>
          </w:tcPr>
          <w:p w:rsidR="00B9359B" w:rsidRDefault="009A5268">
            <w:pPr>
              <w:pStyle w:val="Tabletext"/>
              <w:framePr w:hSpace="181" w:wrap="notBeside" w:vAnchor="text" w:hAnchor="text" w:xAlign="center" w:y="1"/>
              <w:spacing w:before="50" w:after="50"/>
              <w:jc w:val="center"/>
              <w:rPr>
                <w:lang w:val="en-US"/>
              </w:rPr>
            </w:pPr>
            <w:r>
              <w:rPr>
                <w:lang w:val="en-US"/>
              </w:rPr>
              <w:t>1</w:t>
            </w:r>
            <w:r>
              <w:rPr>
                <w:rFonts w:ascii="Tms Rmn" w:hAnsi="Tms Rmn"/>
                <w:sz w:val="12"/>
                <w:lang w:val="en-US"/>
              </w:rPr>
              <w:t> </w:t>
            </w:r>
            <w:r>
              <w:rPr>
                <w:lang w:val="en-US"/>
              </w:rPr>
              <w:t>457</w:t>
            </w:r>
          </w:p>
        </w:tc>
      </w:tr>
      <w:tr w:rsidR="00B9359B">
        <w:trPr>
          <w:cantSplit/>
          <w:trHeight w:val="68"/>
        </w:trPr>
        <w:tc>
          <w:tcPr>
            <w:tcW w:w="3415" w:type="dxa"/>
            <w:vMerge/>
          </w:tcPr>
          <w:p w:rsidR="00B9359B" w:rsidRDefault="00B9359B">
            <w:pPr>
              <w:pStyle w:val="Tabletext"/>
              <w:framePr w:hSpace="181" w:wrap="notBeside" w:vAnchor="text" w:hAnchor="text" w:xAlign="center" w:y="1"/>
              <w:spacing w:before="50" w:after="50"/>
              <w:jc w:val="left"/>
              <w:rPr>
                <w:lang w:val="en-US"/>
              </w:rPr>
            </w:pPr>
          </w:p>
        </w:tc>
        <w:tc>
          <w:tcPr>
            <w:tcW w:w="3296" w:type="dxa"/>
          </w:tcPr>
          <w:p w:rsidR="00B9359B" w:rsidRDefault="009A5268">
            <w:pPr>
              <w:pStyle w:val="Tabletext"/>
              <w:framePr w:hSpace="181" w:wrap="notBeside" w:vAnchor="text" w:hAnchor="text" w:xAlign="center" w:y="1"/>
              <w:spacing w:before="50" w:after="50"/>
              <w:jc w:val="left"/>
              <w:rPr>
                <w:lang w:val="en-US"/>
              </w:rPr>
            </w:pPr>
            <w:r>
              <w:rPr>
                <w:lang w:val="en-US"/>
              </w:rPr>
              <w:t>Inclination angle (degrees)</w:t>
            </w:r>
          </w:p>
        </w:tc>
        <w:tc>
          <w:tcPr>
            <w:tcW w:w="2516" w:type="dxa"/>
          </w:tcPr>
          <w:p w:rsidR="00B9359B" w:rsidRDefault="009A5268">
            <w:pPr>
              <w:pStyle w:val="Tabletext"/>
              <w:framePr w:hSpace="181" w:wrap="notBeside" w:vAnchor="text" w:hAnchor="text" w:xAlign="center" w:y="1"/>
              <w:spacing w:before="50" w:after="50"/>
              <w:jc w:val="center"/>
              <w:rPr>
                <w:lang w:val="en-US"/>
              </w:rPr>
            </w:pPr>
            <w:r>
              <w:rPr>
                <w:lang w:val="en-US"/>
              </w:rPr>
              <w:t>55</w:t>
            </w:r>
          </w:p>
        </w:tc>
      </w:tr>
      <w:tr w:rsidR="00B9359B">
        <w:trPr>
          <w:cantSplit/>
          <w:trHeight w:val="68"/>
        </w:trPr>
        <w:tc>
          <w:tcPr>
            <w:tcW w:w="3415" w:type="dxa"/>
            <w:vMerge/>
          </w:tcPr>
          <w:p w:rsidR="00B9359B" w:rsidRDefault="00B9359B">
            <w:pPr>
              <w:pStyle w:val="Tabletext"/>
              <w:framePr w:hSpace="181" w:wrap="notBeside" w:vAnchor="text" w:hAnchor="text" w:xAlign="center" w:y="1"/>
              <w:spacing w:before="50" w:after="50"/>
              <w:jc w:val="left"/>
              <w:rPr>
                <w:lang w:val="en-US"/>
              </w:rPr>
            </w:pPr>
          </w:p>
        </w:tc>
        <w:tc>
          <w:tcPr>
            <w:tcW w:w="3296" w:type="dxa"/>
          </w:tcPr>
          <w:p w:rsidR="00B9359B" w:rsidRDefault="009A5268">
            <w:pPr>
              <w:pStyle w:val="Tabletext"/>
              <w:framePr w:hSpace="181" w:wrap="notBeside" w:vAnchor="text" w:hAnchor="text" w:xAlign="center" w:y="1"/>
              <w:spacing w:before="50" w:after="50"/>
              <w:jc w:val="left"/>
              <w:rPr>
                <w:lang w:val="en-US"/>
              </w:rPr>
            </w:pPr>
            <w:r>
              <w:rPr>
                <w:lang w:val="en-US"/>
              </w:rPr>
              <w:t>Number of satellites per plane</w:t>
            </w:r>
          </w:p>
        </w:tc>
        <w:tc>
          <w:tcPr>
            <w:tcW w:w="2516" w:type="dxa"/>
          </w:tcPr>
          <w:p w:rsidR="00B9359B" w:rsidRDefault="009A5268">
            <w:pPr>
              <w:pStyle w:val="Tabletext"/>
              <w:framePr w:hSpace="181" w:wrap="notBeside" w:vAnchor="text" w:hAnchor="text" w:xAlign="center" w:y="1"/>
              <w:spacing w:before="50" w:after="50"/>
              <w:jc w:val="center"/>
              <w:rPr>
                <w:lang w:val="en-US"/>
              </w:rPr>
            </w:pPr>
            <w:r>
              <w:rPr>
                <w:lang w:val="en-US"/>
              </w:rPr>
              <w:t>4</w:t>
            </w:r>
          </w:p>
        </w:tc>
      </w:tr>
      <w:tr w:rsidR="00B9359B">
        <w:trPr>
          <w:cantSplit/>
          <w:trHeight w:val="68"/>
        </w:trPr>
        <w:tc>
          <w:tcPr>
            <w:tcW w:w="3415" w:type="dxa"/>
            <w:vMerge/>
          </w:tcPr>
          <w:p w:rsidR="00B9359B" w:rsidRDefault="00B9359B">
            <w:pPr>
              <w:pStyle w:val="Tabletext"/>
              <w:framePr w:hSpace="181" w:wrap="notBeside" w:vAnchor="text" w:hAnchor="text" w:xAlign="center" w:y="1"/>
              <w:spacing w:before="50" w:after="50"/>
              <w:jc w:val="left"/>
              <w:rPr>
                <w:lang w:val="en-US"/>
              </w:rPr>
            </w:pPr>
          </w:p>
        </w:tc>
        <w:tc>
          <w:tcPr>
            <w:tcW w:w="3296" w:type="dxa"/>
          </w:tcPr>
          <w:p w:rsidR="00B9359B" w:rsidRDefault="009A5268">
            <w:pPr>
              <w:pStyle w:val="Tabletext"/>
              <w:framePr w:hSpace="181" w:wrap="notBeside" w:vAnchor="text" w:hAnchor="text" w:xAlign="center" w:y="1"/>
              <w:spacing w:before="50" w:after="50"/>
              <w:jc w:val="left"/>
              <w:rPr>
                <w:lang w:val="en-US"/>
              </w:rPr>
            </w:pPr>
            <w:r>
              <w:rPr>
                <w:lang w:val="en-US"/>
              </w:rPr>
              <w:t>Number of orbital planes</w:t>
            </w:r>
          </w:p>
        </w:tc>
        <w:tc>
          <w:tcPr>
            <w:tcW w:w="2516" w:type="dxa"/>
          </w:tcPr>
          <w:p w:rsidR="00B9359B" w:rsidRDefault="009A5268">
            <w:pPr>
              <w:pStyle w:val="Tabletext"/>
              <w:framePr w:hSpace="181" w:wrap="notBeside" w:vAnchor="text" w:hAnchor="text" w:xAlign="center" w:y="1"/>
              <w:spacing w:before="50" w:after="50"/>
              <w:jc w:val="center"/>
              <w:rPr>
                <w:lang w:val="en-US"/>
              </w:rPr>
            </w:pPr>
            <w:r>
              <w:rPr>
                <w:lang w:val="en-US"/>
              </w:rPr>
              <w:t>16</w:t>
            </w:r>
          </w:p>
        </w:tc>
      </w:tr>
      <w:tr w:rsidR="00B9359B">
        <w:trPr>
          <w:cantSplit/>
          <w:trHeight w:val="68"/>
        </w:trPr>
        <w:tc>
          <w:tcPr>
            <w:tcW w:w="3415" w:type="dxa"/>
            <w:vMerge/>
          </w:tcPr>
          <w:p w:rsidR="00B9359B" w:rsidRDefault="00B9359B">
            <w:pPr>
              <w:pStyle w:val="Tabletext"/>
              <w:framePr w:hSpace="181" w:wrap="notBeside" w:vAnchor="text" w:hAnchor="text" w:xAlign="center" w:y="1"/>
              <w:spacing w:before="50" w:after="50"/>
              <w:jc w:val="left"/>
              <w:rPr>
                <w:lang w:val="en-US"/>
              </w:rPr>
            </w:pPr>
          </w:p>
        </w:tc>
        <w:tc>
          <w:tcPr>
            <w:tcW w:w="3296" w:type="dxa"/>
          </w:tcPr>
          <w:p w:rsidR="00B9359B" w:rsidRDefault="009A5268">
            <w:pPr>
              <w:pStyle w:val="Tabletext"/>
              <w:framePr w:hSpace="181" w:wrap="notBeside" w:vAnchor="text" w:hAnchor="text" w:xAlign="center" w:y="1"/>
              <w:spacing w:before="50" w:after="50"/>
              <w:jc w:val="left"/>
              <w:rPr>
                <w:lang w:val="en-US"/>
              </w:rPr>
            </w:pPr>
            <w:r>
              <w:rPr>
                <w:lang w:val="en-US"/>
              </w:rPr>
              <w:t>Satellite separation within plane (degrees)</w:t>
            </w:r>
          </w:p>
        </w:tc>
        <w:tc>
          <w:tcPr>
            <w:tcW w:w="2516" w:type="dxa"/>
          </w:tcPr>
          <w:p w:rsidR="00B9359B" w:rsidRDefault="009A5268">
            <w:pPr>
              <w:pStyle w:val="Tabletext"/>
              <w:framePr w:hSpace="181" w:wrap="notBeside" w:vAnchor="text" w:hAnchor="text" w:xAlign="center" w:y="1"/>
              <w:spacing w:before="50" w:after="50"/>
              <w:jc w:val="center"/>
              <w:rPr>
                <w:lang w:val="en-US"/>
              </w:rPr>
            </w:pPr>
            <w:r>
              <w:rPr>
                <w:lang w:val="en-US"/>
              </w:rPr>
              <w:t>90</w:t>
            </w:r>
          </w:p>
        </w:tc>
      </w:tr>
      <w:tr w:rsidR="00B9359B">
        <w:trPr>
          <w:cantSplit/>
        </w:trPr>
        <w:tc>
          <w:tcPr>
            <w:tcW w:w="3189" w:type="dxa"/>
          </w:tcPr>
          <w:p w:rsidR="00B9359B" w:rsidRDefault="009A5268">
            <w:pPr>
              <w:pStyle w:val="Tabletext"/>
              <w:framePr w:hSpace="181" w:wrap="notBeside" w:vAnchor="text" w:hAnchor="text" w:xAlign="center" w:y="1"/>
              <w:spacing w:before="50" w:after="50"/>
              <w:jc w:val="left"/>
              <w:rPr>
                <w:lang w:val="en-US"/>
              </w:rPr>
            </w:pPr>
            <w:r>
              <w:rPr>
                <w:lang w:val="en-US"/>
              </w:rPr>
              <w:t>Downlink frequency (GHz)</w:t>
            </w:r>
          </w:p>
        </w:tc>
        <w:tc>
          <w:tcPr>
            <w:tcW w:w="5812" w:type="dxa"/>
            <w:gridSpan w:val="2"/>
          </w:tcPr>
          <w:p w:rsidR="00B9359B" w:rsidRDefault="009A5268">
            <w:pPr>
              <w:pStyle w:val="Tabletext"/>
              <w:framePr w:hSpace="181" w:wrap="notBeside" w:vAnchor="text" w:hAnchor="text" w:xAlign="center" w:y="1"/>
              <w:spacing w:before="50" w:after="50"/>
              <w:jc w:val="center"/>
              <w:rPr>
                <w:lang w:val="en-US"/>
              </w:rPr>
            </w:pPr>
            <w:r>
              <w:rPr>
                <w:lang w:val="en-US"/>
              </w:rPr>
              <w:t>11-12</w:t>
            </w:r>
          </w:p>
        </w:tc>
      </w:tr>
      <w:tr w:rsidR="00B9359B">
        <w:trPr>
          <w:cantSplit/>
        </w:trPr>
        <w:tc>
          <w:tcPr>
            <w:tcW w:w="3189" w:type="dxa"/>
          </w:tcPr>
          <w:p w:rsidR="00B9359B" w:rsidRDefault="009A5268">
            <w:pPr>
              <w:pStyle w:val="Tabletext"/>
              <w:framePr w:hSpace="181" w:wrap="notBeside" w:vAnchor="text" w:hAnchor="text" w:xAlign="center" w:y="1"/>
              <w:spacing w:before="50" w:after="50"/>
              <w:jc w:val="left"/>
              <w:rPr>
                <w:lang w:val="en-US"/>
              </w:rPr>
            </w:pPr>
            <w:r>
              <w:rPr>
                <w:lang w:val="en-US"/>
              </w:rPr>
              <w:t>Spectrum requirement (MHz)</w:t>
            </w:r>
          </w:p>
        </w:tc>
        <w:tc>
          <w:tcPr>
            <w:tcW w:w="5812" w:type="dxa"/>
            <w:gridSpan w:val="2"/>
          </w:tcPr>
          <w:p w:rsidR="00B9359B" w:rsidRDefault="009A5268">
            <w:pPr>
              <w:pStyle w:val="Tabletext"/>
              <w:framePr w:hSpace="181" w:wrap="notBeside" w:vAnchor="text" w:hAnchor="text" w:xAlign="center" w:y="1"/>
              <w:spacing w:before="50" w:after="50"/>
              <w:jc w:val="center"/>
              <w:rPr>
                <w:lang w:val="en-US"/>
              </w:rPr>
            </w:pPr>
            <w:r>
              <w:rPr>
                <w:lang w:val="en-US"/>
              </w:rPr>
              <w:t>1</w:t>
            </w:r>
            <w:r>
              <w:rPr>
                <w:rFonts w:ascii="Tms Rmn" w:hAnsi="Tms Rmn"/>
                <w:sz w:val="12"/>
                <w:lang w:val="en-US"/>
              </w:rPr>
              <w:t> </w:t>
            </w:r>
            <w:r>
              <w:rPr>
                <w:lang w:val="en-US"/>
              </w:rPr>
              <w:t>000</w:t>
            </w:r>
          </w:p>
        </w:tc>
      </w:tr>
      <w:tr w:rsidR="00B9359B" w:rsidRPr="00D35B94">
        <w:trPr>
          <w:cantSplit/>
          <w:trHeight w:val="102"/>
        </w:trPr>
        <w:tc>
          <w:tcPr>
            <w:tcW w:w="3189" w:type="dxa"/>
          </w:tcPr>
          <w:p w:rsidR="00B9359B" w:rsidRDefault="009A5268">
            <w:pPr>
              <w:pStyle w:val="Tabletext"/>
              <w:framePr w:hSpace="181" w:wrap="notBeside" w:vAnchor="text" w:hAnchor="text" w:xAlign="center" w:y="1"/>
              <w:spacing w:before="50" w:after="50"/>
              <w:jc w:val="left"/>
              <w:rPr>
                <w:lang w:val="en-US"/>
              </w:rPr>
            </w:pPr>
            <w:r>
              <w:rPr>
                <w:lang w:val="en-US"/>
              </w:rPr>
              <w:t>Carrier Tx parameters</w:t>
            </w:r>
          </w:p>
        </w:tc>
        <w:tc>
          <w:tcPr>
            <w:tcW w:w="3296" w:type="dxa"/>
          </w:tcPr>
          <w:p w:rsidR="00B9359B" w:rsidRDefault="009A5268">
            <w:pPr>
              <w:pStyle w:val="Tabletext"/>
              <w:framePr w:hSpace="181" w:wrap="notBeside" w:vAnchor="text" w:hAnchor="text" w:xAlign="center" w:y="1"/>
              <w:spacing w:before="50" w:after="50"/>
              <w:jc w:val="left"/>
              <w:rPr>
                <w:lang w:val="en-US"/>
              </w:rPr>
            </w:pPr>
            <w:r>
              <w:rPr>
                <w:lang w:val="en-US"/>
              </w:rPr>
              <w:t>Downlink e.i.r.p./carrier (dBW)</w:t>
            </w:r>
          </w:p>
        </w:tc>
        <w:tc>
          <w:tcPr>
            <w:tcW w:w="2516"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s>
              <w:spacing w:before="50" w:after="50"/>
              <w:ind w:left="288"/>
              <w:jc w:val="left"/>
              <w:rPr>
                <w:lang w:val="en-US"/>
              </w:rPr>
            </w:pPr>
            <w:r>
              <w:rPr>
                <w:caps/>
                <w:lang w:val="en-US"/>
              </w:rPr>
              <w:t>A</w:t>
            </w:r>
            <w:r>
              <w:rPr>
                <w:lang w:val="en-US"/>
              </w:rPr>
              <w:t>t 90</w:t>
            </w:r>
            <w:r>
              <w:rPr>
                <w:rFonts w:ascii="Symbol" w:hAnsi="Symbol"/>
                <w:lang w:val="fr-CH"/>
              </w:rPr>
              <w:t></w:t>
            </w:r>
            <w:r>
              <w:rPr>
                <w:lang w:val="en-US"/>
              </w:rPr>
              <w:t>: 17.5 and 4.8</w:t>
            </w:r>
            <w:r>
              <w:rPr>
                <w:lang w:val="en-US"/>
              </w:rPr>
              <w:br/>
            </w:r>
            <w:r>
              <w:rPr>
                <w:caps/>
                <w:lang w:val="en-US"/>
              </w:rPr>
              <w:t>A</w:t>
            </w:r>
            <w:r>
              <w:rPr>
                <w:lang w:val="en-US"/>
              </w:rPr>
              <w:t>t 75</w:t>
            </w:r>
            <w:r>
              <w:rPr>
                <w:rFonts w:ascii="Symbol" w:hAnsi="Symbol"/>
                <w:lang w:val="fr-CH"/>
              </w:rPr>
              <w:t></w:t>
            </w:r>
            <w:r>
              <w:rPr>
                <w:lang w:val="en-US"/>
              </w:rPr>
              <w:t>: 19.7 and 7.1</w:t>
            </w:r>
            <w:r>
              <w:rPr>
                <w:lang w:val="en-US"/>
              </w:rPr>
              <w:br/>
            </w:r>
            <w:r>
              <w:rPr>
                <w:caps/>
                <w:lang w:val="en-US"/>
              </w:rPr>
              <w:t>A</w:t>
            </w:r>
            <w:r>
              <w:rPr>
                <w:lang w:val="en-US"/>
              </w:rPr>
              <w:t>t 50</w:t>
            </w:r>
            <w:r>
              <w:rPr>
                <w:rFonts w:ascii="Symbol" w:hAnsi="Symbol"/>
                <w:lang w:val="fr-CH"/>
              </w:rPr>
              <w:t></w:t>
            </w:r>
            <w:r>
              <w:rPr>
                <w:lang w:val="en-US"/>
              </w:rPr>
              <w:t>: 21.2 and 8.6</w:t>
            </w:r>
            <w:r>
              <w:rPr>
                <w:lang w:val="en-US"/>
              </w:rPr>
              <w:br/>
            </w:r>
            <w:r>
              <w:rPr>
                <w:caps/>
                <w:lang w:val="en-US"/>
              </w:rPr>
              <w:t>A</w:t>
            </w:r>
            <w:r>
              <w:rPr>
                <w:lang w:val="en-US"/>
              </w:rPr>
              <w:t>t 32</w:t>
            </w:r>
            <w:r>
              <w:rPr>
                <w:rFonts w:ascii="Symbol" w:hAnsi="Symbol"/>
                <w:lang w:val="fr-CH"/>
              </w:rPr>
              <w:t></w:t>
            </w:r>
            <w:r>
              <w:rPr>
                <w:lang w:val="en-US"/>
              </w:rPr>
              <w:t>: 23.1 and 10.2</w:t>
            </w:r>
          </w:p>
        </w:tc>
      </w:tr>
      <w:tr w:rsidR="00B9359B">
        <w:trPr>
          <w:cantSplit/>
        </w:trPr>
        <w:tc>
          <w:tcPr>
            <w:tcW w:w="3189" w:type="dxa"/>
            <w:vAlign w:val="center"/>
          </w:tcPr>
          <w:p w:rsidR="00B9359B" w:rsidRDefault="009A5268">
            <w:pPr>
              <w:pStyle w:val="Tabletext"/>
              <w:framePr w:hSpace="181" w:wrap="notBeside" w:vAnchor="text" w:hAnchor="text" w:xAlign="center" w:y="1"/>
              <w:spacing w:before="50" w:after="50"/>
              <w:jc w:val="left"/>
              <w:rPr>
                <w:lang w:val="en-US"/>
              </w:rPr>
            </w:pPr>
            <w:r>
              <w:rPr>
                <w:lang w:val="en-US"/>
              </w:rPr>
              <w:t>Tx satellite antenna gain (dBi)</w:t>
            </w:r>
          </w:p>
        </w:tc>
        <w:tc>
          <w:tcPr>
            <w:tcW w:w="5812" w:type="dxa"/>
            <w:gridSpan w:val="2"/>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ind w:left="2324"/>
              <w:jc w:val="left"/>
              <w:rPr>
                <w:lang w:val="en-US"/>
              </w:rPr>
            </w:pPr>
            <w:r>
              <w:rPr>
                <w:lang w:val="en-US"/>
              </w:rPr>
              <w:t>At 90</w:t>
            </w:r>
            <w:r>
              <w:rPr>
                <w:rFonts w:ascii="Symbol" w:hAnsi="Symbol"/>
                <w:lang w:val="en-US"/>
              </w:rPr>
              <w:t></w:t>
            </w:r>
            <w:r>
              <w:rPr>
                <w:lang w:val="en-US"/>
              </w:rPr>
              <w:t>: 17.2</w:t>
            </w:r>
            <w:r>
              <w:rPr>
                <w:lang w:val="en-US"/>
              </w:rPr>
              <w:br/>
              <w:t>At 75</w:t>
            </w:r>
            <w:r>
              <w:rPr>
                <w:rFonts w:ascii="Symbol" w:hAnsi="Symbol"/>
                <w:lang w:val="en-US"/>
              </w:rPr>
              <w:t></w:t>
            </w:r>
            <w:r>
              <w:rPr>
                <w:lang w:val="en-US"/>
              </w:rPr>
              <w:t>: 19.8</w:t>
            </w:r>
            <w:r>
              <w:rPr>
                <w:lang w:val="en-US"/>
              </w:rPr>
              <w:br/>
              <w:t>At 50</w:t>
            </w:r>
            <w:r>
              <w:rPr>
                <w:rFonts w:ascii="Symbol" w:hAnsi="Symbol"/>
                <w:lang w:val="en-US"/>
              </w:rPr>
              <w:t></w:t>
            </w:r>
            <w:r>
              <w:rPr>
                <w:lang w:val="en-US"/>
              </w:rPr>
              <w:t>: 21.7</w:t>
            </w:r>
            <w:r>
              <w:rPr>
                <w:lang w:val="en-US"/>
              </w:rPr>
              <w:br/>
              <w:t>At 32</w:t>
            </w:r>
            <w:r>
              <w:rPr>
                <w:rFonts w:ascii="Symbol" w:hAnsi="Symbol"/>
                <w:lang w:val="en-US"/>
              </w:rPr>
              <w:t></w:t>
            </w:r>
            <w:r>
              <w:rPr>
                <w:lang w:val="en-US"/>
              </w:rPr>
              <w:t>: 23</w:t>
            </w:r>
          </w:p>
        </w:tc>
      </w:tr>
    </w:tbl>
    <w:p w:rsidR="00B9359B" w:rsidRDefault="00B9359B">
      <w:pPr>
        <w:pStyle w:val="Tablefin"/>
      </w:pPr>
    </w:p>
    <w:p w:rsidR="00B9359B" w:rsidRDefault="009A5268">
      <w:pPr>
        <w:pStyle w:val="Heading3"/>
        <w:spacing w:before="240"/>
        <w:ind w:left="0" w:firstLine="0"/>
        <w:rPr>
          <w:lang w:val="en-US"/>
        </w:rPr>
      </w:pPr>
      <w:bookmarkStart w:id="245" w:name="_Toc51045645"/>
      <w:r>
        <w:rPr>
          <w:lang w:val="en-US"/>
        </w:rPr>
        <w:br w:type="page"/>
        <w:t>2.4.3</w:t>
      </w:r>
      <w:r>
        <w:rPr>
          <w:lang w:val="en-US"/>
        </w:rPr>
        <w:tab/>
        <w:t>Highly elliptical orbit (HEO) networks</w:t>
      </w:r>
      <w:bookmarkEnd w:id="245"/>
    </w:p>
    <w:p w:rsidR="00B9359B" w:rsidRDefault="009A5268">
      <w:pPr>
        <w:pStyle w:val="TableNo"/>
        <w:rPr>
          <w:lang w:val="en-US"/>
        </w:rPr>
      </w:pPr>
      <w:r>
        <w:rPr>
          <w:lang w:val="en-US"/>
        </w:rPr>
        <w:t>TABLE  16</w:t>
      </w:r>
    </w:p>
    <w:p w:rsidR="00B9359B" w:rsidRDefault="009A5268">
      <w:pPr>
        <w:pStyle w:val="Tabletitle"/>
        <w:rPr>
          <w:lang w:val="en-US"/>
        </w:rPr>
      </w:pPr>
      <w:r>
        <w:rPr>
          <w:lang w:val="en-US"/>
        </w:rPr>
        <w:t>USAKU-H1 characteristics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00"/>
        <w:gridCol w:w="4139"/>
      </w:tblGrid>
      <w:tr w:rsidR="00B9359B">
        <w:tc>
          <w:tcPr>
            <w:tcW w:w="5500" w:type="dxa"/>
            <w:vAlign w:val="center"/>
          </w:tcPr>
          <w:p w:rsidR="00B9359B" w:rsidRDefault="009A5268">
            <w:pPr>
              <w:pStyle w:val="Tablehead"/>
              <w:framePr w:hSpace="181" w:wrap="notBeside" w:vAnchor="text" w:hAnchor="text" w:xAlign="center" w:y="1"/>
              <w:rPr>
                <w:lang w:val="en-US"/>
              </w:rPr>
            </w:pPr>
            <w:r>
              <w:rPr>
                <w:lang w:val="en-US"/>
              </w:rPr>
              <w:t>Parameters</w:t>
            </w:r>
          </w:p>
        </w:tc>
        <w:tc>
          <w:tcPr>
            <w:tcW w:w="4139" w:type="dxa"/>
            <w:vAlign w:val="center"/>
          </w:tcPr>
          <w:p w:rsidR="00B9359B" w:rsidRDefault="009A5268">
            <w:pPr>
              <w:pStyle w:val="Tablehead"/>
              <w:framePr w:hSpace="181" w:wrap="notBeside" w:vAnchor="text" w:hAnchor="text" w:xAlign="center" w:y="1"/>
              <w:rPr>
                <w:lang w:val="en-US"/>
              </w:rPr>
            </w:pPr>
            <w:r>
              <w:rPr>
                <w:lang w:val="en-US"/>
              </w:rPr>
              <w:t>USAKU-H1</w:t>
            </w:r>
          </w:p>
        </w:tc>
      </w:tr>
      <w:tr w:rsidR="00B9359B">
        <w:tc>
          <w:tcPr>
            <w:tcW w:w="5500" w:type="dxa"/>
          </w:tcPr>
          <w:p w:rsidR="00B9359B" w:rsidRDefault="009A5268">
            <w:pPr>
              <w:pStyle w:val="Tabletext"/>
              <w:framePr w:hSpace="181" w:wrap="notBeside" w:vAnchor="text" w:hAnchor="text" w:xAlign="center" w:y="1"/>
              <w:spacing w:before="50" w:after="50"/>
              <w:rPr>
                <w:lang w:val="en-US"/>
              </w:rPr>
            </w:pPr>
            <w:r>
              <w:rPr>
                <w:lang w:val="en-US"/>
              </w:rPr>
              <w:t>Downlink frequency range (GHz)</w:t>
            </w:r>
          </w:p>
        </w:tc>
        <w:tc>
          <w:tcPr>
            <w:tcW w:w="4139" w:type="dxa"/>
          </w:tcPr>
          <w:p w:rsidR="00B9359B" w:rsidRDefault="009A5268">
            <w:pPr>
              <w:pStyle w:val="Tabletext"/>
              <w:framePr w:hSpace="181" w:wrap="notBeside" w:vAnchor="text" w:hAnchor="text" w:xAlign="center" w:y="1"/>
              <w:spacing w:before="50" w:after="50"/>
              <w:jc w:val="center"/>
              <w:rPr>
                <w:lang w:val="en-US"/>
              </w:rPr>
            </w:pPr>
            <w:r>
              <w:rPr>
                <w:lang w:val="en-US"/>
              </w:rPr>
              <w:t>10.7 to 12.7</w:t>
            </w:r>
          </w:p>
        </w:tc>
      </w:tr>
      <w:tr w:rsidR="00B9359B" w:rsidRPr="00D35B94">
        <w:tc>
          <w:tcPr>
            <w:tcW w:w="5500" w:type="dxa"/>
          </w:tcPr>
          <w:p w:rsidR="00B9359B" w:rsidRDefault="009A5268">
            <w:pPr>
              <w:pStyle w:val="Tabletext"/>
              <w:framePr w:hSpace="181" w:wrap="notBeside" w:vAnchor="text" w:hAnchor="text" w:xAlign="center" w:y="1"/>
              <w:spacing w:before="50" w:after="50"/>
              <w:rPr>
                <w:lang w:val="en-US"/>
              </w:rPr>
            </w:pPr>
            <w:r>
              <w:rPr>
                <w:lang w:val="en-US"/>
              </w:rPr>
              <w:t>Orbital parameters</w:t>
            </w:r>
          </w:p>
        </w:tc>
        <w:tc>
          <w:tcPr>
            <w:tcW w:w="4139" w:type="dxa"/>
          </w:tcPr>
          <w:p w:rsidR="00B9359B" w:rsidRDefault="009A5268">
            <w:pPr>
              <w:pStyle w:val="Tabletext"/>
              <w:framePr w:hSpace="181" w:wrap="notBeside" w:vAnchor="text" w:hAnchor="text" w:xAlign="center" w:y="1"/>
              <w:spacing w:before="50" w:after="50"/>
              <w:jc w:val="center"/>
              <w:rPr>
                <w:lang w:val="es-ES"/>
              </w:rPr>
            </w:pPr>
            <w:r>
              <w:rPr>
                <w:lang w:val="es-ES"/>
              </w:rPr>
              <w:t>HEO/Elliptical: 41</w:t>
            </w:r>
            <w:r>
              <w:rPr>
                <w:rFonts w:ascii="Tms Rmn" w:hAnsi="Tms Rmn"/>
                <w:sz w:val="12"/>
                <w:lang w:val="es-ES"/>
              </w:rPr>
              <w:t> </w:t>
            </w:r>
            <w:r>
              <w:rPr>
                <w:lang w:val="es-ES"/>
              </w:rPr>
              <w:t>449 km (apogee)/</w:t>
            </w:r>
            <w:r>
              <w:rPr>
                <w:lang w:val="es-ES"/>
              </w:rPr>
              <w:br/>
              <w:t>4</w:t>
            </w:r>
            <w:r>
              <w:rPr>
                <w:rFonts w:ascii="Tms Rmn" w:hAnsi="Tms Rmn"/>
                <w:sz w:val="12"/>
                <w:lang w:val="es-ES"/>
              </w:rPr>
              <w:t> </w:t>
            </w:r>
            <w:r>
              <w:rPr>
                <w:lang w:val="es-ES"/>
              </w:rPr>
              <w:t>100 km (perigee)</w:t>
            </w:r>
          </w:p>
        </w:tc>
      </w:tr>
      <w:tr w:rsidR="00B9359B">
        <w:tc>
          <w:tcPr>
            <w:tcW w:w="5500" w:type="dxa"/>
          </w:tcPr>
          <w:p w:rsidR="00B9359B" w:rsidRDefault="009A5268">
            <w:pPr>
              <w:pStyle w:val="Tabletext"/>
              <w:framePr w:hSpace="181" w:wrap="notBeside" w:vAnchor="text" w:hAnchor="text" w:xAlign="center" w:y="1"/>
              <w:spacing w:before="50" w:after="50"/>
              <w:rPr>
                <w:lang w:val="en-US"/>
              </w:rPr>
            </w:pPr>
            <w:r>
              <w:rPr>
                <w:lang w:val="en-US"/>
              </w:rPr>
              <w:t>Spectrum requirements (MHz)</w:t>
            </w:r>
          </w:p>
        </w:tc>
        <w:tc>
          <w:tcPr>
            <w:tcW w:w="4139" w:type="dxa"/>
          </w:tcPr>
          <w:p w:rsidR="00B9359B" w:rsidRDefault="00B9359B">
            <w:pPr>
              <w:pStyle w:val="Tabletext"/>
              <w:framePr w:hSpace="181" w:wrap="notBeside" w:vAnchor="text" w:hAnchor="text" w:xAlign="center" w:y="1"/>
              <w:spacing w:before="50" w:after="50"/>
              <w:jc w:val="center"/>
              <w:rPr>
                <w:lang w:val="en-US"/>
              </w:rPr>
            </w:pPr>
          </w:p>
        </w:tc>
      </w:tr>
      <w:tr w:rsidR="00B9359B">
        <w:tc>
          <w:tcPr>
            <w:tcW w:w="5500" w:type="dxa"/>
          </w:tcPr>
          <w:p w:rsidR="00B9359B" w:rsidRDefault="009A5268">
            <w:pPr>
              <w:pStyle w:val="Tabletext"/>
              <w:framePr w:hSpace="181" w:wrap="notBeside" w:vAnchor="text" w:hAnchor="text" w:xAlign="center" w:y="1"/>
              <w:spacing w:before="50" w:after="50"/>
              <w:rPr>
                <w:lang w:val="en-US"/>
              </w:rPr>
            </w:pPr>
            <w:r>
              <w:rPr>
                <w:lang w:val="en-US"/>
              </w:rPr>
              <w:t>Carrier modulation technique</w:t>
            </w:r>
          </w:p>
        </w:tc>
        <w:tc>
          <w:tcPr>
            <w:tcW w:w="4139" w:type="dxa"/>
          </w:tcPr>
          <w:p w:rsidR="00B9359B" w:rsidRDefault="009A5268">
            <w:pPr>
              <w:pStyle w:val="Tabletext"/>
              <w:framePr w:hSpace="181" w:wrap="notBeside" w:vAnchor="text" w:hAnchor="text" w:xAlign="center" w:y="1"/>
              <w:spacing w:before="50" w:after="50"/>
              <w:jc w:val="center"/>
              <w:rPr>
                <w:lang w:val="en-US"/>
              </w:rPr>
            </w:pPr>
            <w:r>
              <w:rPr>
                <w:lang w:val="en-US"/>
              </w:rPr>
              <w:t>QPSK</w:t>
            </w:r>
          </w:p>
        </w:tc>
      </w:tr>
      <w:tr w:rsidR="00B9359B">
        <w:tc>
          <w:tcPr>
            <w:tcW w:w="5500" w:type="dxa"/>
          </w:tcPr>
          <w:p w:rsidR="00B9359B" w:rsidRDefault="009A5268">
            <w:pPr>
              <w:pStyle w:val="Tabletext"/>
              <w:framePr w:hSpace="181" w:wrap="notBeside" w:vAnchor="text" w:hAnchor="text" w:xAlign="center" w:y="1"/>
              <w:spacing w:before="50" w:after="50"/>
              <w:rPr>
                <w:lang w:val="en-US"/>
              </w:rPr>
            </w:pPr>
            <w:r>
              <w:rPr>
                <w:lang w:val="en-US"/>
              </w:rPr>
              <w:t>Bandwidth (MHz)</w:t>
            </w:r>
          </w:p>
        </w:tc>
        <w:tc>
          <w:tcPr>
            <w:tcW w:w="4139" w:type="dxa"/>
          </w:tcPr>
          <w:p w:rsidR="00B9359B" w:rsidRDefault="009A5268">
            <w:pPr>
              <w:pStyle w:val="Tabletext"/>
              <w:framePr w:hSpace="181" w:wrap="notBeside" w:vAnchor="text" w:hAnchor="text" w:xAlign="center" w:y="1"/>
              <w:spacing w:before="50" w:after="50"/>
              <w:jc w:val="center"/>
              <w:rPr>
                <w:lang w:val="en-US"/>
              </w:rPr>
            </w:pPr>
            <w:r>
              <w:rPr>
                <w:lang w:val="en-US"/>
              </w:rPr>
              <w:t>24</w:t>
            </w:r>
          </w:p>
        </w:tc>
      </w:tr>
      <w:tr w:rsidR="00B9359B">
        <w:tc>
          <w:tcPr>
            <w:tcW w:w="5500" w:type="dxa"/>
          </w:tcPr>
          <w:p w:rsidR="00B9359B" w:rsidRDefault="009A5268">
            <w:pPr>
              <w:pStyle w:val="Tabletext"/>
              <w:framePr w:hSpace="181" w:wrap="notBeside" w:vAnchor="text" w:hAnchor="text" w:xAlign="center" w:y="1"/>
              <w:spacing w:before="50" w:after="50"/>
              <w:rPr>
                <w:lang w:val="en-US"/>
              </w:rPr>
            </w:pPr>
            <w:r>
              <w:rPr>
                <w:lang w:val="en-US"/>
              </w:rPr>
              <w:t xml:space="preserve">Overall </w:t>
            </w:r>
            <w:r>
              <w:rPr>
                <w:i/>
                <w:iCs/>
                <w:lang w:val="en-US"/>
              </w:rPr>
              <w:t>C</w:t>
            </w:r>
            <w:r>
              <w:rPr>
                <w:lang w:val="en-US"/>
              </w:rPr>
              <w:t>/</w:t>
            </w:r>
            <w:r>
              <w:rPr>
                <w:i/>
                <w:iCs/>
                <w:lang w:val="en-US"/>
              </w:rPr>
              <w:t>N</w:t>
            </w:r>
            <w:r>
              <w:rPr>
                <w:vertAlign w:val="subscript"/>
                <w:lang w:val="en-US"/>
              </w:rPr>
              <w:t>0</w:t>
            </w:r>
            <w:r>
              <w:rPr>
                <w:lang w:val="en-US"/>
              </w:rPr>
              <w:t xml:space="preserve"> (dB/Hz)</w:t>
            </w:r>
          </w:p>
        </w:tc>
        <w:tc>
          <w:tcPr>
            <w:tcW w:w="4139" w:type="dxa"/>
          </w:tcPr>
          <w:p w:rsidR="00B9359B" w:rsidRDefault="009A5268">
            <w:pPr>
              <w:pStyle w:val="Tabletext"/>
              <w:framePr w:hSpace="181" w:wrap="notBeside" w:vAnchor="text" w:hAnchor="text" w:xAlign="center" w:y="1"/>
              <w:spacing w:before="50" w:after="50"/>
              <w:jc w:val="center"/>
              <w:rPr>
                <w:lang w:val="en-US"/>
              </w:rPr>
            </w:pPr>
            <w:r>
              <w:rPr>
                <w:lang w:val="en-US"/>
              </w:rPr>
              <w:t>86</w:t>
            </w:r>
          </w:p>
        </w:tc>
      </w:tr>
      <w:tr w:rsidR="00B9359B">
        <w:tc>
          <w:tcPr>
            <w:tcW w:w="5500" w:type="dxa"/>
          </w:tcPr>
          <w:p w:rsidR="00B9359B" w:rsidRDefault="009A5268">
            <w:pPr>
              <w:pStyle w:val="Tabletext"/>
              <w:framePr w:hSpace="181" w:wrap="notBeside" w:vAnchor="text" w:hAnchor="text" w:xAlign="center" w:y="1"/>
              <w:spacing w:before="50" w:after="50"/>
              <w:rPr>
                <w:lang w:val="en-US"/>
              </w:rPr>
            </w:pPr>
            <w:r>
              <w:rPr>
                <w:lang w:val="en-US"/>
              </w:rPr>
              <w:t>Downlink e.i.r.p./carrier (dBW)</w:t>
            </w:r>
          </w:p>
        </w:tc>
        <w:tc>
          <w:tcPr>
            <w:tcW w:w="4139" w:type="dxa"/>
          </w:tcPr>
          <w:p w:rsidR="00B9359B" w:rsidRDefault="009A5268">
            <w:pPr>
              <w:pStyle w:val="Tabletext"/>
              <w:framePr w:hSpace="181" w:wrap="notBeside" w:vAnchor="text" w:hAnchor="text" w:xAlign="center" w:y="1"/>
              <w:spacing w:before="50" w:after="50"/>
              <w:jc w:val="center"/>
              <w:rPr>
                <w:lang w:val="en-US"/>
              </w:rPr>
            </w:pPr>
            <w:r>
              <w:rPr>
                <w:lang w:val="en-US"/>
              </w:rPr>
              <w:t>58</w:t>
            </w:r>
          </w:p>
        </w:tc>
      </w:tr>
      <w:tr w:rsidR="00B9359B">
        <w:tc>
          <w:tcPr>
            <w:tcW w:w="5500" w:type="dxa"/>
          </w:tcPr>
          <w:p w:rsidR="00B9359B" w:rsidRDefault="009A5268">
            <w:pPr>
              <w:pStyle w:val="Tabletext"/>
              <w:framePr w:hSpace="181" w:wrap="notBeside" w:vAnchor="text" w:hAnchor="text" w:xAlign="center" w:y="1"/>
              <w:spacing w:before="50" w:after="50"/>
              <w:rPr>
                <w:lang w:val="en-US"/>
              </w:rPr>
            </w:pPr>
            <w:r>
              <w:rPr>
                <w:lang w:val="en-US"/>
              </w:rPr>
              <w:t>Tx satellite antenna parameters</w:t>
            </w:r>
          </w:p>
        </w:tc>
        <w:tc>
          <w:tcPr>
            <w:tcW w:w="4139" w:type="dxa"/>
          </w:tcPr>
          <w:p w:rsidR="00B9359B" w:rsidRDefault="00B9359B">
            <w:pPr>
              <w:pStyle w:val="Tabletext"/>
              <w:framePr w:hSpace="181" w:wrap="notBeside" w:vAnchor="text" w:hAnchor="text" w:xAlign="center" w:y="1"/>
              <w:spacing w:before="50" w:after="50"/>
              <w:jc w:val="center"/>
              <w:rPr>
                <w:lang w:val="en-US"/>
              </w:rPr>
            </w:pPr>
          </w:p>
        </w:tc>
      </w:tr>
      <w:tr w:rsidR="00B9359B">
        <w:tc>
          <w:tcPr>
            <w:tcW w:w="5500" w:type="dxa"/>
          </w:tcPr>
          <w:p w:rsidR="00B9359B" w:rsidRDefault="009A5268">
            <w:pPr>
              <w:pStyle w:val="Tabletext"/>
              <w:framePr w:hSpace="181" w:wrap="notBeside" w:vAnchor="text" w:hAnchor="text" w:xAlign="center" w:y="1"/>
              <w:spacing w:before="50" w:after="50"/>
              <w:rPr>
                <w:lang w:val="en-US"/>
              </w:rPr>
            </w:pPr>
            <w:r>
              <w:rPr>
                <w:lang w:val="en-US"/>
              </w:rPr>
              <w:t>Peak gain (dBi)</w:t>
            </w:r>
          </w:p>
        </w:tc>
        <w:tc>
          <w:tcPr>
            <w:tcW w:w="4139" w:type="dxa"/>
          </w:tcPr>
          <w:p w:rsidR="00B9359B" w:rsidRDefault="009A5268">
            <w:pPr>
              <w:pStyle w:val="Tabletext"/>
              <w:framePr w:hSpace="181" w:wrap="notBeside" w:vAnchor="text" w:hAnchor="text" w:xAlign="center" w:y="1"/>
              <w:spacing w:before="50" w:after="50"/>
              <w:jc w:val="center"/>
              <w:rPr>
                <w:lang w:val="en-US"/>
              </w:rPr>
            </w:pPr>
            <w:r>
              <w:rPr>
                <w:lang w:val="en-US"/>
              </w:rPr>
              <w:t>38</w:t>
            </w:r>
          </w:p>
        </w:tc>
      </w:tr>
    </w:tbl>
    <w:p w:rsidR="00B9359B" w:rsidRDefault="00B9359B">
      <w:pPr>
        <w:pStyle w:val="Tablefin"/>
      </w:pPr>
    </w:p>
    <w:p w:rsidR="00B9359B" w:rsidRDefault="009A5268">
      <w:pPr>
        <w:pStyle w:val="Heading1"/>
        <w:rPr>
          <w:lang w:val="en-US"/>
        </w:rPr>
      </w:pPr>
      <w:bookmarkStart w:id="246" w:name="_Toc51045646"/>
      <w:r>
        <w:rPr>
          <w:lang w:val="en-US"/>
        </w:rPr>
        <w:t>3</w:t>
      </w:r>
      <w:r>
        <w:rPr>
          <w:lang w:val="en-US"/>
        </w:rPr>
        <w:tab/>
        <w:t>Compatibility threshold</w:t>
      </w:r>
      <w:bookmarkEnd w:id="246"/>
    </w:p>
    <w:p w:rsidR="00B9359B" w:rsidRDefault="009A5268">
      <w:pPr>
        <w:rPr>
          <w:lang w:val="en-US"/>
        </w:rPr>
      </w:pPr>
      <w:r>
        <w:rPr>
          <w:lang w:val="en-US"/>
        </w:rPr>
        <w:t>Interference is potentially received from several sources from multiple services simultaneously. The value listed in Recommendation ITU-R SA.1029 (for a specific band) is the maximum allowable interference level for the passive sensor. Therefore, the compatibility threshold is –163 dBW in a bandwidth of 20 MHz for 99% of the time as indicated in § 1.3.</w:t>
      </w:r>
    </w:p>
    <w:p w:rsidR="00B9359B" w:rsidRDefault="009A5268">
      <w:pPr>
        <w:rPr>
          <w:lang w:val="en-US"/>
        </w:rPr>
      </w:pPr>
      <w:r>
        <w:rPr>
          <w:lang w:val="en-US"/>
        </w:rPr>
        <w:t>This Annex provides an analysis of the interference generated by a single active service. Therefore further work is needed to address the impact of these multiple active services above and below the passive band.</w:t>
      </w:r>
    </w:p>
    <w:p w:rsidR="00B9359B" w:rsidRDefault="009A5268">
      <w:pPr>
        <w:pStyle w:val="Heading1"/>
        <w:rPr>
          <w:lang w:val="en-US"/>
        </w:rPr>
      </w:pPr>
      <w:bookmarkStart w:id="247" w:name="_Toc51045647"/>
      <w:r>
        <w:rPr>
          <w:lang w:val="en-US"/>
        </w:rPr>
        <w:t>4</w:t>
      </w:r>
      <w:r>
        <w:rPr>
          <w:lang w:val="en-US"/>
        </w:rPr>
        <w:tab/>
        <w:t>Interference assessment</w:t>
      </w:r>
      <w:bookmarkEnd w:id="247"/>
    </w:p>
    <w:p w:rsidR="00B9359B" w:rsidRDefault="009A5268">
      <w:pPr>
        <w:pStyle w:val="Heading2"/>
        <w:rPr>
          <w:lang w:val="en-US"/>
        </w:rPr>
      </w:pPr>
      <w:bookmarkStart w:id="248" w:name="_Toc51045648"/>
      <w:r>
        <w:rPr>
          <w:lang w:val="en-US"/>
        </w:rPr>
        <w:t>4.1</w:t>
      </w:r>
      <w:r>
        <w:rPr>
          <w:lang w:val="en-US"/>
        </w:rPr>
        <w:tab/>
        <w:t>Methodology used to assess interference level</w:t>
      </w:r>
      <w:bookmarkEnd w:id="248"/>
    </w:p>
    <w:p w:rsidR="00B9359B" w:rsidRDefault="009A5268">
      <w:pPr>
        <w:rPr>
          <w:lang w:val="en-US"/>
        </w:rPr>
      </w:pPr>
      <w:r>
        <w:rPr>
          <w:lang w:val="en-US"/>
        </w:rPr>
        <w:t xml:space="preserve">The hereunder analysis is based on some static geometric cases which are quite significant. </w:t>
      </w:r>
    </w:p>
    <w:p w:rsidR="00B9359B" w:rsidRDefault="009A5268">
      <w:pPr>
        <w:rPr>
          <w:lang w:val="en-US"/>
        </w:rPr>
      </w:pPr>
      <w:r>
        <w:rPr>
          <w:lang w:val="en-US"/>
        </w:rPr>
        <w:t>For each case, the applied methodology is divided into three steps:</w:t>
      </w:r>
    </w:p>
    <w:p w:rsidR="00B9359B" w:rsidRDefault="009A5268">
      <w:pPr>
        <w:rPr>
          <w:lang w:val="en-US"/>
        </w:rPr>
      </w:pPr>
      <w:r>
        <w:rPr>
          <w:i/>
          <w:iCs/>
          <w:lang w:val="en-US"/>
        </w:rPr>
        <w:t>Step 1</w:t>
      </w:r>
      <w:r>
        <w:rPr>
          <w:lang w:val="en-US"/>
        </w:rPr>
        <w:t>:  consists of computing the difference between the power produced by an FSS system and the EESS interference criteria when the particular FSS downlinks are co</w:t>
      </w:r>
      <w:r>
        <w:rPr>
          <w:lang w:val="en-US"/>
        </w:rPr>
        <w:noBreakHyphen/>
        <w:t>frequency with the EESS (passive) band. The interference received from one carrier is then compared with the sensor interference threshold. The calculated difference between these values is the roll-off of OoB emissions that must be achieved to protect the EESS.</w:t>
      </w:r>
    </w:p>
    <w:p w:rsidR="00B9359B" w:rsidRDefault="009A5268">
      <w:pPr>
        <w:rPr>
          <w:lang w:val="en-US"/>
        </w:rPr>
      </w:pPr>
      <w:r>
        <w:rPr>
          <w:i/>
          <w:iCs/>
          <w:lang w:val="en-US"/>
        </w:rPr>
        <w:t>Step 2</w:t>
      </w:r>
      <w:r>
        <w:rPr>
          <w:lang w:val="en-US"/>
        </w:rPr>
        <w:t>:  consists of computing the pfd produced by the particular satellite at the Earth’s surface, and comparing this level to the maximum pfd level permitted by RR Article 21 in the 10.7</w:t>
      </w:r>
      <w:r>
        <w:rPr>
          <w:lang w:val="en-US"/>
        </w:rPr>
        <w:noBreakHyphen/>
        <w:t>10.95 GHz band to determine the maximum allowable increase in e.i.r.p. density that just complies with this limit. The interference received from one carrier operating at this maximum permissible e.i.r.p. density is then compared with the sensor interference criteria. The difference between the two values indicates whether the interference received meets or exceeds the EESS interference criteria.</w:t>
      </w:r>
    </w:p>
    <w:p w:rsidR="00B9359B" w:rsidRDefault="009A5268">
      <w:pPr>
        <w:rPr>
          <w:lang w:val="en-US"/>
        </w:rPr>
      </w:pPr>
      <w:r>
        <w:rPr>
          <w:i/>
          <w:iCs/>
          <w:lang w:val="en-US"/>
        </w:rPr>
        <w:br w:type="page"/>
        <w:t>Step 3</w:t>
      </w:r>
      <w:r>
        <w:rPr>
          <w:lang w:val="en-US"/>
        </w:rPr>
        <w:t>:  consists of assuming levels of unwanted emissions based on Recommendation ITU</w:t>
      </w:r>
      <w:r>
        <w:rPr>
          <w:lang w:val="en-US"/>
        </w:rPr>
        <w:noBreakHyphen/>
        <w:t>R SM.1541 and RR No. 1.153, as described above. The calculated levels of OoB FSS emissions assuming the spectrum roll-off characteristics indicated in these sources are then compared to the EESS interference criteria to determine if compatibility is achieved under these assumptions.</w:t>
      </w:r>
    </w:p>
    <w:p w:rsidR="00B9359B" w:rsidRDefault="009A5268">
      <w:pPr>
        <w:pStyle w:val="Heading2"/>
        <w:rPr>
          <w:lang w:val="en-US"/>
        </w:rPr>
      </w:pPr>
      <w:bookmarkStart w:id="249" w:name="_Toc51045649"/>
      <w:r>
        <w:rPr>
          <w:lang w:val="en-US"/>
        </w:rPr>
        <w:t>4.2</w:t>
      </w:r>
      <w:r>
        <w:rPr>
          <w:lang w:val="en-US"/>
        </w:rPr>
        <w:tab/>
        <w:t>Calculation of interference level</w:t>
      </w:r>
      <w:bookmarkEnd w:id="249"/>
    </w:p>
    <w:p w:rsidR="00B9359B" w:rsidRDefault="009A5268">
      <w:pPr>
        <w:pStyle w:val="Heading3"/>
        <w:rPr>
          <w:lang w:val="en-US"/>
        </w:rPr>
      </w:pPr>
      <w:bookmarkStart w:id="250" w:name="_Toc51045650"/>
      <w:r>
        <w:rPr>
          <w:lang w:val="en-US"/>
        </w:rPr>
        <w:t>4.2.1</w:t>
      </w:r>
      <w:r>
        <w:rPr>
          <w:lang w:val="en-US"/>
        </w:rPr>
        <w:tab/>
        <w:t>Calculations with the GSO networks (back lobe reception)</w:t>
      </w:r>
      <w:bookmarkEnd w:id="250"/>
    </w:p>
    <w:p w:rsidR="00B9359B" w:rsidRDefault="009A5268">
      <w:pPr>
        <w:rPr>
          <w:lang w:val="en-US"/>
        </w:rPr>
      </w:pPr>
      <w:r>
        <w:rPr>
          <w:lang w:val="en-US"/>
        </w:rPr>
        <w:t>A very simple geometric situation is when the EESS sensor is located directly below the transmitting FSS satellite.</w:t>
      </w:r>
    </w:p>
    <w:p w:rsidR="00B9359B" w:rsidRDefault="009A5268">
      <w:pPr>
        <w:rPr>
          <w:lang w:val="en-US"/>
        </w:rPr>
      </w:pPr>
      <w:r>
        <w:rPr>
          <w:lang w:val="en-US"/>
        </w:rPr>
        <w:t>The difference between interference level and EESS criteria is calculated in Table 17 when the FSS downlinks are co-frequency with the EESS (passive) sensor.</w:t>
      </w:r>
    </w:p>
    <w:p w:rsidR="00B9359B" w:rsidRDefault="009A5268">
      <w:pPr>
        <w:pStyle w:val="TableNo"/>
        <w:rPr>
          <w:lang w:val="en-US"/>
        </w:rPr>
      </w:pPr>
      <w:r>
        <w:rPr>
          <w:lang w:val="en-US"/>
        </w:rPr>
        <w:t>TABLE  17</w:t>
      </w:r>
    </w:p>
    <w:p w:rsidR="00B9359B" w:rsidRDefault="009A5268">
      <w:pPr>
        <w:pStyle w:val="Tabletitle"/>
        <w:rPr>
          <w:lang w:val="en-US"/>
        </w:rPr>
      </w:pPr>
      <w:r>
        <w:rPr>
          <w:lang w:val="en-US"/>
        </w:rPr>
        <w:t>Compatibility analysis with GSO-VX network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329"/>
        <w:gridCol w:w="2155"/>
        <w:gridCol w:w="2155"/>
      </w:tblGrid>
      <w:tr w:rsidR="00B9359B">
        <w:trPr>
          <w:jc w:val="center"/>
        </w:trPr>
        <w:tc>
          <w:tcPr>
            <w:tcW w:w="5329" w:type="dxa"/>
            <w:vAlign w:val="center"/>
          </w:tcPr>
          <w:p w:rsidR="00B9359B" w:rsidRDefault="009A5268">
            <w:pPr>
              <w:pStyle w:val="Tablehead"/>
              <w:framePr w:hSpace="181" w:wrap="notBeside" w:vAnchor="text" w:hAnchor="text" w:xAlign="center" w:y="1"/>
              <w:spacing w:before="120" w:after="120"/>
              <w:rPr>
                <w:lang w:val="es-ES"/>
              </w:rPr>
            </w:pPr>
            <w:r>
              <w:rPr>
                <w:lang w:val="es-ES"/>
              </w:rPr>
              <w:t>Parameter</w:t>
            </w:r>
          </w:p>
        </w:tc>
        <w:tc>
          <w:tcPr>
            <w:tcW w:w="2155" w:type="dxa"/>
            <w:vAlign w:val="center"/>
          </w:tcPr>
          <w:p w:rsidR="00B9359B" w:rsidRDefault="009A5268">
            <w:pPr>
              <w:pStyle w:val="Tablehead"/>
              <w:framePr w:hSpace="181" w:wrap="notBeside" w:vAnchor="text" w:hAnchor="text" w:xAlign="center" w:y="1"/>
              <w:spacing w:before="120" w:after="120"/>
              <w:rPr>
                <w:lang w:val="es-ES"/>
              </w:rPr>
            </w:pPr>
            <w:r>
              <w:rPr>
                <w:lang w:val="es-ES"/>
              </w:rPr>
              <w:t>MEGHA-TROPIC</w:t>
            </w:r>
          </w:p>
        </w:tc>
        <w:tc>
          <w:tcPr>
            <w:tcW w:w="2155" w:type="dxa"/>
            <w:vAlign w:val="center"/>
          </w:tcPr>
          <w:p w:rsidR="00B9359B" w:rsidRDefault="009A5268">
            <w:pPr>
              <w:pStyle w:val="Tablehead"/>
              <w:framePr w:hSpace="181" w:wrap="notBeside" w:vAnchor="text" w:hAnchor="text" w:xAlign="center" w:y="1"/>
              <w:spacing w:before="120" w:after="120"/>
              <w:rPr>
                <w:lang w:val="es-ES"/>
              </w:rPr>
            </w:pPr>
            <w:r>
              <w:rPr>
                <w:lang w:val="es-ES"/>
              </w:rPr>
              <w:t>EOS</w:t>
            </w:r>
            <w:r>
              <w:rPr>
                <w:sz w:val="16"/>
                <w:lang w:val="es-ES"/>
              </w:rPr>
              <w:t xml:space="preserve">  </w:t>
            </w:r>
            <w:r>
              <w:rPr>
                <w:lang w:val="en-GB"/>
              </w:rPr>
              <w:t>AMSR</w:t>
            </w:r>
            <w:r>
              <w:rPr>
                <w:lang w:val="es-ES"/>
              </w:rPr>
              <w:t>-E</w:t>
            </w:r>
          </w:p>
        </w:tc>
      </w:tr>
      <w:tr w:rsidR="00B9359B">
        <w:trPr>
          <w:jc w:val="center"/>
        </w:trPr>
        <w:tc>
          <w:tcPr>
            <w:tcW w:w="5329" w:type="dxa"/>
          </w:tcPr>
          <w:p w:rsidR="00B9359B" w:rsidRDefault="009A5268">
            <w:pPr>
              <w:pStyle w:val="Tabletext"/>
              <w:framePr w:hSpace="181" w:wrap="notBeside" w:vAnchor="text" w:hAnchor="text" w:xAlign="center" w:y="1"/>
              <w:spacing w:before="60" w:after="60"/>
              <w:jc w:val="left"/>
              <w:rPr>
                <w:lang w:val="en-US"/>
              </w:rPr>
            </w:pPr>
            <w:r>
              <w:rPr>
                <w:lang w:val="en-US"/>
              </w:rPr>
              <w:t>Downlink frequency range (GHz)</w:t>
            </w:r>
          </w:p>
        </w:tc>
        <w:tc>
          <w:tcPr>
            <w:tcW w:w="2155" w:type="dxa"/>
          </w:tcPr>
          <w:p w:rsidR="00B9359B" w:rsidRDefault="009A5268">
            <w:pPr>
              <w:pStyle w:val="Tabletext"/>
              <w:framePr w:hSpace="181" w:wrap="notBeside" w:vAnchor="text" w:hAnchor="text" w:xAlign="center" w:y="1"/>
              <w:spacing w:before="60" w:after="60"/>
              <w:jc w:val="center"/>
              <w:rPr>
                <w:caps/>
                <w:lang w:val="en-US"/>
              </w:rPr>
            </w:pPr>
            <w:r>
              <w:rPr>
                <w:caps/>
                <w:lang w:val="en-US"/>
              </w:rPr>
              <w:t>10.7-10.95</w:t>
            </w:r>
          </w:p>
        </w:tc>
        <w:tc>
          <w:tcPr>
            <w:tcW w:w="2155" w:type="dxa"/>
          </w:tcPr>
          <w:p w:rsidR="00B9359B" w:rsidRDefault="009A5268">
            <w:pPr>
              <w:pStyle w:val="Tabletext"/>
              <w:framePr w:hSpace="181" w:wrap="notBeside" w:vAnchor="text" w:hAnchor="text" w:xAlign="center" w:y="1"/>
              <w:spacing w:before="60" w:after="60"/>
              <w:jc w:val="center"/>
              <w:rPr>
                <w:caps/>
                <w:lang w:val="en-US"/>
              </w:rPr>
            </w:pPr>
            <w:r>
              <w:rPr>
                <w:caps/>
                <w:lang w:val="en-US"/>
              </w:rPr>
              <w:t>10.7-10.95</w:t>
            </w:r>
          </w:p>
        </w:tc>
      </w:tr>
      <w:tr w:rsidR="00B9359B">
        <w:trPr>
          <w:jc w:val="center"/>
        </w:trPr>
        <w:tc>
          <w:tcPr>
            <w:tcW w:w="5329" w:type="dxa"/>
          </w:tcPr>
          <w:p w:rsidR="00B9359B" w:rsidRDefault="009A5268">
            <w:pPr>
              <w:pStyle w:val="Tabletext"/>
              <w:framePr w:hSpace="181" w:wrap="notBeside" w:vAnchor="text" w:hAnchor="text" w:xAlign="center" w:y="1"/>
              <w:spacing w:before="60" w:after="60"/>
              <w:jc w:val="left"/>
              <w:rPr>
                <w:lang w:val="en-US"/>
              </w:rPr>
            </w:pPr>
            <w:r>
              <w:rPr>
                <w:lang w:val="en-US"/>
              </w:rPr>
              <w:t>e.i.r.p./carrier (dBW)</w:t>
            </w:r>
          </w:p>
        </w:tc>
        <w:tc>
          <w:tcPr>
            <w:tcW w:w="2155" w:type="dxa"/>
          </w:tcPr>
          <w:p w:rsidR="00B9359B" w:rsidRDefault="009A5268">
            <w:pPr>
              <w:pStyle w:val="Tabletext"/>
              <w:framePr w:hSpace="181" w:wrap="notBeside" w:vAnchor="text" w:hAnchor="text" w:xAlign="center" w:y="1"/>
              <w:spacing w:before="60" w:after="60"/>
              <w:jc w:val="center"/>
              <w:rPr>
                <w:lang w:val="en-US"/>
              </w:rPr>
            </w:pPr>
            <w:r>
              <w:rPr>
                <w:lang w:val="en-US"/>
              </w:rPr>
              <w:t>47</w:t>
            </w:r>
          </w:p>
        </w:tc>
        <w:tc>
          <w:tcPr>
            <w:tcW w:w="2155" w:type="dxa"/>
          </w:tcPr>
          <w:p w:rsidR="00B9359B" w:rsidRDefault="009A5268">
            <w:pPr>
              <w:pStyle w:val="Tabletext"/>
              <w:framePr w:hSpace="181" w:wrap="notBeside" w:vAnchor="text" w:hAnchor="text" w:xAlign="center" w:y="1"/>
              <w:spacing w:before="60" w:after="60"/>
              <w:jc w:val="center"/>
              <w:rPr>
                <w:lang w:val="en-US"/>
              </w:rPr>
            </w:pPr>
            <w:r>
              <w:rPr>
                <w:lang w:val="en-US"/>
              </w:rPr>
              <w:t>47</w:t>
            </w:r>
          </w:p>
        </w:tc>
      </w:tr>
      <w:tr w:rsidR="00B9359B">
        <w:trPr>
          <w:jc w:val="center"/>
        </w:trPr>
        <w:tc>
          <w:tcPr>
            <w:tcW w:w="5329" w:type="dxa"/>
          </w:tcPr>
          <w:p w:rsidR="00B9359B" w:rsidRDefault="009A5268">
            <w:pPr>
              <w:pStyle w:val="Tabletext"/>
              <w:framePr w:hSpace="181" w:wrap="notBeside" w:vAnchor="text" w:hAnchor="text" w:xAlign="center" w:y="1"/>
              <w:spacing w:before="60" w:after="60"/>
              <w:jc w:val="left"/>
              <w:rPr>
                <w:lang w:val="en-US"/>
              </w:rPr>
            </w:pPr>
            <w:r>
              <w:rPr>
                <w:lang w:val="en-US"/>
              </w:rPr>
              <w:t>Bandwidth (MHz)</w:t>
            </w:r>
          </w:p>
        </w:tc>
        <w:tc>
          <w:tcPr>
            <w:tcW w:w="2155" w:type="dxa"/>
          </w:tcPr>
          <w:p w:rsidR="00B9359B" w:rsidRDefault="009A5268">
            <w:pPr>
              <w:pStyle w:val="Tabletext"/>
              <w:framePr w:hSpace="181" w:wrap="notBeside" w:vAnchor="text" w:hAnchor="text" w:xAlign="center" w:y="1"/>
              <w:spacing w:before="60" w:after="60"/>
              <w:jc w:val="center"/>
              <w:rPr>
                <w:lang w:val="en-US"/>
              </w:rPr>
            </w:pPr>
            <w:r>
              <w:rPr>
                <w:lang w:val="en-US"/>
              </w:rPr>
              <w:t>250</w:t>
            </w:r>
          </w:p>
        </w:tc>
        <w:tc>
          <w:tcPr>
            <w:tcW w:w="2155" w:type="dxa"/>
          </w:tcPr>
          <w:p w:rsidR="00B9359B" w:rsidRDefault="009A5268">
            <w:pPr>
              <w:pStyle w:val="Tabletext"/>
              <w:framePr w:hSpace="181" w:wrap="notBeside" w:vAnchor="text" w:hAnchor="text" w:xAlign="center" w:y="1"/>
              <w:spacing w:before="60" w:after="60"/>
              <w:jc w:val="center"/>
              <w:rPr>
                <w:lang w:val="en-US"/>
              </w:rPr>
            </w:pPr>
            <w:r>
              <w:rPr>
                <w:lang w:val="en-US"/>
              </w:rPr>
              <w:t>250</w:t>
            </w:r>
          </w:p>
        </w:tc>
      </w:tr>
      <w:tr w:rsidR="00B9359B">
        <w:trPr>
          <w:jc w:val="center"/>
        </w:trPr>
        <w:tc>
          <w:tcPr>
            <w:tcW w:w="5329" w:type="dxa"/>
          </w:tcPr>
          <w:p w:rsidR="00B9359B" w:rsidRDefault="009A5268">
            <w:pPr>
              <w:pStyle w:val="Tabletext"/>
              <w:framePr w:hSpace="181" w:wrap="notBeside" w:vAnchor="text" w:hAnchor="text" w:xAlign="center" w:y="1"/>
              <w:spacing w:before="60" w:after="60"/>
              <w:jc w:val="left"/>
              <w:rPr>
                <w:lang w:val="en-US"/>
              </w:rPr>
            </w:pPr>
            <w:r>
              <w:rPr>
                <w:lang w:val="en-US"/>
              </w:rPr>
              <w:t>Distance GSO</w:t>
            </w:r>
            <w:r>
              <w:rPr>
                <w:lang w:val="en-US"/>
              </w:rPr>
              <w:noBreakHyphen/>
              <w:t>EESS (km)</w:t>
            </w:r>
          </w:p>
        </w:tc>
        <w:tc>
          <w:tcPr>
            <w:tcW w:w="2155" w:type="dxa"/>
          </w:tcPr>
          <w:p w:rsidR="00B9359B" w:rsidRDefault="009A5268">
            <w:pPr>
              <w:pStyle w:val="Tabletext"/>
              <w:framePr w:hSpace="181" w:wrap="notBeside" w:vAnchor="text" w:hAnchor="text" w:xAlign="center" w:y="1"/>
              <w:spacing w:before="60" w:after="60"/>
              <w:jc w:val="center"/>
              <w:rPr>
                <w:lang w:val="en-US"/>
              </w:rPr>
            </w:pPr>
            <w:r>
              <w:rPr>
                <w:lang w:val="en-US"/>
              </w:rPr>
              <w:t>34</w:t>
            </w:r>
            <w:r>
              <w:rPr>
                <w:rFonts w:ascii="Tms Rmn" w:hAnsi="Tms Rmn"/>
                <w:sz w:val="12"/>
                <w:lang w:val="en-US"/>
              </w:rPr>
              <w:t> </w:t>
            </w:r>
            <w:r>
              <w:rPr>
                <w:lang w:val="en-US"/>
              </w:rPr>
              <w:t>969</w:t>
            </w:r>
          </w:p>
        </w:tc>
        <w:tc>
          <w:tcPr>
            <w:tcW w:w="2155" w:type="dxa"/>
          </w:tcPr>
          <w:p w:rsidR="00B9359B" w:rsidRDefault="009A5268">
            <w:pPr>
              <w:pStyle w:val="Tabletext"/>
              <w:framePr w:hSpace="181" w:wrap="notBeside" w:vAnchor="text" w:hAnchor="text" w:xAlign="center" w:y="1"/>
              <w:spacing w:before="60" w:after="60"/>
              <w:jc w:val="center"/>
              <w:rPr>
                <w:lang w:val="en-US"/>
              </w:rPr>
            </w:pPr>
            <w:r>
              <w:rPr>
                <w:lang w:val="en-US"/>
              </w:rPr>
              <w:t>35</w:t>
            </w:r>
            <w:r>
              <w:rPr>
                <w:rFonts w:ascii="Tms Rmn" w:hAnsi="Tms Rmn"/>
                <w:sz w:val="12"/>
                <w:lang w:val="en-US"/>
              </w:rPr>
              <w:t> </w:t>
            </w:r>
            <w:r>
              <w:rPr>
                <w:lang w:val="en-US"/>
              </w:rPr>
              <w:t>081</w:t>
            </w:r>
          </w:p>
        </w:tc>
      </w:tr>
      <w:tr w:rsidR="00B9359B">
        <w:trPr>
          <w:jc w:val="center"/>
        </w:trPr>
        <w:tc>
          <w:tcPr>
            <w:tcW w:w="5329" w:type="dxa"/>
          </w:tcPr>
          <w:p w:rsidR="00B9359B" w:rsidRDefault="009A5268">
            <w:pPr>
              <w:pStyle w:val="Tabletext"/>
              <w:framePr w:hSpace="181" w:wrap="notBeside" w:vAnchor="text" w:hAnchor="text" w:xAlign="center" w:y="1"/>
              <w:spacing w:before="60" w:after="60"/>
              <w:jc w:val="left"/>
              <w:rPr>
                <w:lang w:val="en-US"/>
              </w:rPr>
            </w:pPr>
            <w:r>
              <w:rPr>
                <w:lang w:val="en-US"/>
              </w:rPr>
              <w:t>Free space loss (dB)</w:t>
            </w:r>
          </w:p>
        </w:tc>
        <w:tc>
          <w:tcPr>
            <w:tcW w:w="2155" w:type="dxa"/>
          </w:tcPr>
          <w:p w:rsidR="00B9359B" w:rsidRDefault="009A5268">
            <w:pPr>
              <w:pStyle w:val="Tabletext"/>
              <w:framePr w:hSpace="181" w:wrap="notBeside" w:vAnchor="text" w:hAnchor="text" w:xAlign="center" w:y="1"/>
              <w:spacing w:before="60" w:after="60"/>
              <w:jc w:val="center"/>
              <w:rPr>
                <w:lang w:val="en-US"/>
              </w:rPr>
            </w:pPr>
            <w:r>
              <w:rPr>
                <w:lang w:val="en-US"/>
              </w:rPr>
              <w:t>204</w:t>
            </w:r>
          </w:p>
        </w:tc>
        <w:tc>
          <w:tcPr>
            <w:tcW w:w="2155" w:type="dxa"/>
          </w:tcPr>
          <w:p w:rsidR="00B9359B" w:rsidRDefault="009A5268">
            <w:pPr>
              <w:pStyle w:val="Tabletext"/>
              <w:framePr w:hSpace="181" w:wrap="notBeside" w:vAnchor="text" w:hAnchor="text" w:xAlign="center" w:y="1"/>
              <w:spacing w:before="60" w:after="60"/>
              <w:jc w:val="center"/>
              <w:rPr>
                <w:lang w:val="en-US"/>
              </w:rPr>
            </w:pPr>
            <w:r>
              <w:rPr>
                <w:lang w:val="en-US"/>
              </w:rPr>
              <w:t>204</w:t>
            </w:r>
          </w:p>
        </w:tc>
      </w:tr>
      <w:tr w:rsidR="00B9359B">
        <w:trPr>
          <w:jc w:val="center"/>
        </w:trPr>
        <w:tc>
          <w:tcPr>
            <w:tcW w:w="5329" w:type="dxa"/>
          </w:tcPr>
          <w:p w:rsidR="00B9359B" w:rsidRDefault="009A5268">
            <w:pPr>
              <w:pStyle w:val="Tabletext"/>
              <w:framePr w:hSpace="181" w:wrap="notBeside" w:vAnchor="text" w:hAnchor="text" w:xAlign="center" w:y="1"/>
              <w:spacing w:before="60" w:after="60"/>
              <w:jc w:val="left"/>
              <w:rPr>
                <w:lang w:val="en-US"/>
              </w:rPr>
            </w:pPr>
            <w:r>
              <w:rPr>
                <w:lang w:val="en-US"/>
              </w:rPr>
              <w:t>EESS paraboloid offset angle to the nadir (degrees)</w:t>
            </w:r>
          </w:p>
        </w:tc>
        <w:tc>
          <w:tcPr>
            <w:tcW w:w="2155" w:type="dxa"/>
          </w:tcPr>
          <w:p w:rsidR="00B9359B" w:rsidRDefault="009A5268">
            <w:pPr>
              <w:pStyle w:val="Tabletext"/>
              <w:framePr w:hSpace="181" w:wrap="notBeside" w:vAnchor="text" w:hAnchor="text" w:xAlign="center" w:y="1"/>
              <w:spacing w:before="60" w:after="60"/>
              <w:jc w:val="center"/>
              <w:rPr>
                <w:lang w:val="en-US"/>
              </w:rPr>
            </w:pPr>
            <w:r>
              <w:rPr>
                <w:lang w:val="en-US"/>
              </w:rPr>
              <w:t>44</w:t>
            </w:r>
          </w:p>
        </w:tc>
        <w:tc>
          <w:tcPr>
            <w:tcW w:w="2155" w:type="dxa"/>
          </w:tcPr>
          <w:p w:rsidR="00B9359B" w:rsidRDefault="009A5268">
            <w:pPr>
              <w:pStyle w:val="Tabletext"/>
              <w:framePr w:hSpace="181" w:wrap="notBeside" w:vAnchor="text" w:hAnchor="text" w:xAlign="center" w:y="1"/>
              <w:spacing w:before="60" w:after="60"/>
              <w:jc w:val="center"/>
              <w:rPr>
                <w:lang w:val="en-US"/>
              </w:rPr>
            </w:pPr>
            <w:r>
              <w:rPr>
                <w:lang w:val="en-US"/>
              </w:rPr>
              <w:t>47.5</w:t>
            </w:r>
          </w:p>
        </w:tc>
      </w:tr>
      <w:tr w:rsidR="00B9359B">
        <w:trPr>
          <w:jc w:val="center"/>
        </w:trPr>
        <w:tc>
          <w:tcPr>
            <w:tcW w:w="5329" w:type="dxa"/>
          </w:tcPr>
          <w:p w:rsidR="00B9359B" w:rsidRDefault="009A5268">
            <w:pPr>
              <w:pStyle w:val="Tabletext"/>
              <w:framePr w:hSpace="181" w:wrap="notBeside" w:vAnchor="text" w:hAnchor="text" w:xAlign="center" w:y="1"/>
              <w:spacing w:before="60" w:after="60"/>
              <w:jc w:val="left"/>
              <w:rPr>
                <w:lang w:val="en-US"/>
              </w:rPr>
            </w:pPr>
            <w:r>
              <w:rPr>
                <w:lang w:val="en-US"/>
              </w:rPr>
              <w:t>EESS antenna gain (dBi)</w:t>
            </w:r>
          </w:p>
        </w:tc>
        <w:tc>
          <w:tcPr>
            <w:tcW w:w="2155" w:type="dxa"/>
          </w:tcPr>
          <w:p w:rsidR="00B9359B" w:rsidRDefault="009A5268">
            <w:pPr>
              <w:pStyle w:val="Tabletext"/>
              <w:framePr w:hSpace="181" w:wrap="notBeside" w:vAnchor="text" w:hAnchor="text" w:xAlign="center" w:y="1"/>
              <w:spacing w:before="60" w:after="60"/>
              <w:jc w:val="center"/>
              <w:rPr>
                <w:lang w:val="en-US"/>
              </w:rPr>
            </w:pPr>
            <w:r>
              <w:rPr>
                <w:lang w:val="en-US"/>
              </w:rPr>
              <w:t>–14</w:t>
            </w:r>
          </w:p>
        </w:tc>
        <w:tc>
          <w:tcPr>
            <w:tcW w:w="2155" w:type="dxa"/>
          </w:tcPr>
          <w:p w:rsidR="00B9359B" w:rsidRDefault="009A5268">
            <w:pPr>
              <w:pStyle w:val="Tabletext"/>
              <w:framePr w:hSpace="181" w:wrap="notBeside" w:vAnchor="text" w:hAnchor="text" w:xAlign="center" w:y="1"/>
              <w:spacing w:before="60" w:after="60"/>
              <w:jc w:val="center"/>
              <w:rPr>
                <w:lang w:val="en-US"/>
              </w:rPr>
            </w:pPr>
            <w:r>
              <w:rPr>
                <w:lang w:val="en-US"/>
              </w:rPr>
              <w:t>–23</w:t>
            </w:r>
          </w:p>
        </w:tc>
      </w:tr>
      <w:tr w:rsidR="00B9359B">
        <w:trPr>
          <w:jc w:val="center"/>
        </w:trPr>
        <w:tc>
          <w:tcPr>
            <w:tcW w:w="5329" w:type="dxa"/>
          </w:tcPr>
          <w:p w:rsidR="00B9359B" w:rsidRDefault="009A5268">
            <w:pPr>
              <w:pStyle w:val="Tabletext"/>
              <w:framePr w:hSpace="181" w:wrap="notBeside" w:vAnchor="text" w:hAnchor="text" w:xAlign="center" w:y="1"/>
              <w:spacing w:before="60" w:after="60"/>
              <w:jc w:val="left"/>
              <w:rPr>
                <w:lang w:val="en-US"/>
              </w:rPr>
            </w:pPr>
            <w:r>
              <w:rPr>
                <w:lang w:val="en-US"/>
              </w:rPr>
              <w:t>Received power at the EESS in the above bandwidth (dBW)</w:t>
            </w:r>
          </w:p>
        </w:tc>
        <w:tc>
          <w:tcPr>
            <w:tcW w:w="2155" w:type="dxa"/>
          </w:tcPr>
          <w:p w:rsidR="00B9359B" w:rsidRDefault="009A5268">
            <w:pPr>
              <w:pStyle w:val="Tabletext"/>
              <w:framePr w:hSpace="181" w:wrap="notBeside" w:vAnchor="text" w:hAnchor="text" w:xAlign="center" w:y="1"/>
              <w:spacing w:before="60" w:after="60"/>
              <w:jc w:val="center"/>
              <w:rPr>
                <w:lang w:val="en-US"/>
              </w:rPr>
            </w:pPr>
            <w:r>
              <w:rPr>
                <w:lang w:val="en-US"/>
              </w:rPr>
              <w:t>–171</w:t>
            </w:r>
          </w:p>
        </w:tc>
        <w:tc>
          <w:tcPr>
            <w:tcW w:w="2155" w:type="dxa"/>
          </w:tcPr>
          <w:p w:rsidR="00B9359B" w:rsidRDefault="009A5268">
            <w:pPr>
              <w:pStyle w:val="Tabletext"/>
              <w:framePr w:hSpace="181" w:wrap="notBeside" w:vAnchor="text" w:hAnchor="text" w:xAlign="center" w:y="1"/>
              <w:spacing w:before="60" w:after="60"/>
              <w:jc w:val="center"/>
              <w:rPr>
                <w:lang w:val="en-US"/>
              </w:rPr>
            </w:pPr>
            <w:r>
              <w:rPr>
                <w:lang w:val="en-US"/>
              </w:rPr>
              <w:t>–180</w:t>
            </w:r>
          </w:p>
        </w:tc>
      </w:tr>
      <w:tr w:rsidR="00B9359B">
        <w:trPr>
          <w:jc w:val="center"/>
        </w:trPr>
        <w:tc>
          <w:tcPr>
            <w:tcW w:w="5329" w:type="dxa"/>
          </w:tcPr>
          <w:p w:rsidR="00B9359B" w:rsidRDefault="009A5268">
            <w:pPr>
              <w:pStyle w:val="Tabletext"/>
              <w:framePr w:hSpace="181" w:wrap="notBeside" w:vAnchor="text" w:hAnchor="text" w:xAlign="center" w:y="1"/>
              <w:spacing w:before="60" w:after="60"/>
              <w:jc w:val="left"/>
              <w:rPr>
                <w:lang w:val="en-US"/>
              </w:rPr>
            </w:pPr>
            <w:r>
              <w:rPr>
                <w:lang w:val="en-US"/>
              </w:rPr>
              <w:t>Corresponding received power at the EESS in a bandwidth of 20 MHz (dBW)</w:t>
            </w:r>
          </w:p>
        </w:tc>
        <w:tc>
          <w:tcPr>
            <w:tcW w:w="2155" w:type="dxa"/>
          </w:tcPr>
          <w:p w:rsidR="00B9359B" w:rsidRDefault="009A5268">
            <w:pPr>
              <w:pStyle w:val="Tabletext"/>
              <w:framePr w:hSpace="181" w:wrap="notBeside" w:vAnchor="text" w:hAnchor="text" w:xAlign="center" w:y="1"/>
              <w:spacing w:before="60" w:after="60"/>
              <w:jc w:val="center"/>
              <w:rPr>
                <w:lang w:val="en-US"/>
              </w:rPr>
            </w:pPr>
            <w:r>
              <w:rPr>
                <w:lang w:val="en-US"/>
              </w:rPr>
              <w:t>–182</w:t>
            </w:r>
          </w:p>
        </w:tc>
        <w:tc>
          <w:tcPr>
            <w:tcW w:w="2155" w:type="dxa"/>
          </w:tcPr>
          <w:p w:rsidR="00B9359B" w:rsidRDefault="009A5268">
            <w:pPr>
              <w:pStyle w:val="Tabletext"/>
              <w:framePr w:hSpace="181" w:wrap="notBeside" w:vAnchor="text" w:hAnchor="text" w:xAlign="center" w:y="1"/>
              <w:spacing w:before="60" w:after="60"/>
              <w:jc w:val="center"/>
              <w:rPr>
                <w:lang w:val="en-US"/>
              </w:rPr>
            </w:pPr>
            <w:r>
              <w:rPr>
                <w:lang w:val="en-US"/>
              </w:rPr>
              <w:t>–191</w:t>
            </w:r>
          </w:p>
        </w:tc>
      </w:tr>
      <w:tr w:rsidR="00B9359B">
        <w:trPr>
          <w:jc w:val="center"/>
        </w:trPr>
        <w:tc>
          <w:tcPr>
            <w:tcW w:w="5329" w:type="dxa"/>
          </w:tcPr>
          <w:p w:rsidR="00B9359B" w:rsidRDefault="009A5268">
            <w:pPr>
              <w:pStyle w:val="Tabletext"/>
              <w:framePr w:hSpace="181" w:wrap="notBeside" w:vAnchor="text" w:hAnchor="text" w:xAlign="center" w:y="1"/>
              <w:spacing w:before="60" w:after="60"/>
              <w:jc w:val="left"/>
              <w:rPr>
                <w:lang w:val="en-US"/>
              </w:rPr>
            </w:pPr>
            <w:r>
              <w:rPr>
                <w:lang w:val="en-US"/>
              </w:rPr>
              <w:t>Interference threshold in a bandwidth of 20 MHz (dBW)</w:t>
            </w:r>
          </w:p>
        </w:tc>
        <w:tc>
          <w:tcPr>
            <w:tcW w:w="2155" w:type="dxa"/>
          </w:tcPr>
          <w:p w:rsidR="00B9359B" w:rsidRDefault="009A5268">
            <w:pPr>
              <w:pStyle w:val="Tabletext"/>
              <w:framePr w:hSpace="181" w:wrap="notBeside" w:vAnchor="text" w:hAnchor="text" w:xAlign="center" w:y="1"/>
              <w:spacing w:before="60" w:after="60"/>
              <w:jc w:val="center"/>
              <w:rPr>
                <w:lang w:val="en-US"/>
              </w:rPr>
            </w:pPr>
            <w:r>
              <w:rPr>
                <w:lang w:val="en-US"/>
              </w:rPr>
              <w:t>–163</w:t>
            </w:r>
          </w:p>
        </w:tc>
        <w:tc>
          <w:tcPr>
            <w:tcW w:w="2155" w:type="dxa"/>
          </w:tcPr>
          <w:p w:rsidR="00B9359B" w:rsidRDefault="009A5268">
            <w:pPr>
              <w:pStyle w:val="Tabletext"/>
              <w:framePr w:hSpace="181" w:wrap="notBeside" w:vAnchor="text" w:hAnchor="text" w:xAlign="center" w:y="1"/>
              <w:spacing w:before="60" w:after="60"/>
              <w:jc w:val="center"/>
              <w:rPr>
                <w:lang w:val="en-US"/>
              </w:rPr>
            </w:pPr>
            <w:r>
              <w:rPr>
                <w:lang w:val="en-US"/>
              </w:rPr>
              <w:t>–163</w:t>
            </w:r>
          </w:p>
        </w:tc>
      </w:tr>
      <w:tr w:rsidR="00B9359B">
        <w:trPr>
          <w:jc w:val="center"/>
        </w:trPr>
        <w:tc>
          <w:tcPr>
            <w:tcW w:w="5329" w:type="dxa"/>
          </w:tcPr>
          <w:p w:rsidR="00B9359B" w:rsidRDefault="009A5268">
            <w:pPr>
              <w:pStyle w:val="Tabletext"/>
              <w:framePr w:hSpace="181" w:wrap="notBeside" w:vAnchor="text" w:hAnchor="text" w:xAlign="center" w:y="1"/>
              <w:spacing w:before="60" w:after="60"/>
              <w:jc w:val="left"/>
              <w:rPr>
                <w:lang w:val="en-US"/>
              </w:rPr>
            </w:pPr>
            <w:r>
              <w:rPr>
                <w:lang w:val="en-US"/>
              </w:rPr>
              <w:t>Difference between interference power and EESS protection criterion (dB)</w:t>
            </w:r>
          </w:p>
        </w:tc>
        <w:tc>
          <w:tcPr>
            <w:tcW w:w="2155" w:type="dxa"/>
          </w:tcPr>
          <w:p w:rsidR="00B9359B" w:rsidRDefault="009A5268">
            <w:pPr>
              <w:pStyle w:val="Tabletext"/>
              <w:framePr w:hSpace="181" w:wrap="notBeside" w:vAnchor="text" w:hAnchor="text" w:xAlign="center" w:y="1"/>
              <w:spacing w:before="60" w:after="60"/>
              <w:jc w:val="center"/>
              <w:rPr>
                <w:lang w:val="en-US"/>
              </w:rPr>
            </w:pPr>
            <w:r>
              <w:rPr>
                <w:lang w:val="en-US"/>
              </w:rPr>
              <w:t>0</w:t>
            </w:r>
          </w:p>
        </w:tc>
        <w:tc>
          <w:tcPr>
            <w:tcW w:w="2155" w:type="dxa"/>
          </w:tcPr>
          <w:p w:rsidR="00B9359B" w:rsidRDefault="009A5268">
            <w:pPr>
              <w:pStyle w:val="Tabletext"/>
              <w:framePr w:hSpace="181" w:wrap="notBeside" w:vAnchor="text" w:hAnchor="text" w:xAlign="center" w:y="1"/>
              <w:spacing w:before="60" w:after="60"/>
              <w:jc w:val="center"/>
              <w:rPr>
                <w:lang w:val="en-US"/>
              </w:rPr>
            </w:pPr>
            <w:r>
              <w:rPr>
                <w:lang w:val="en-US"/>
              </w:rPr>
              <w:t>0</w:t>
            </w:r>
          </w:p>
        </w:tc>
      </w:tr>
      <w:tr w:rsidR="00B9359B">
        <w:trPr>
          <w:jc w:val="center"/>
        </w:trPr>
        <w:tc>
          <w:tcPr>
            <w:tcW w:w="5329" w:type="dxa"/>
          </w:tcPr>
          <w:p w:rsidR="00B9359B" w:rsidRDefault="009A5268">
            <w:pPr>
              <w:pStyle w:val="Tabletext"/>
              <w:framePr w:hSpace="181" w:wrap="notBeside" w:vAnchor="text" w:hAnchor="text" w:xAlign="center" w:y="1"/>
              <w:spacing w:before="60" w:after="60"/>
              <w:jc w:val="left"/>
              <w:rPr>
                <w:lang w:val="en-US"/>
              </w:rPr>
            </w:pPr>
            <w:r>
              <w:rPr>
                <w:lang w:val="en-US"/>
              </w:rPr>
              <w:t>Reference bandwidth for pfd limit (kHz)</w:t>
            </w:r>
          </w:p>
        </w:tc>
        <w:tc>
          <w:tcPr>
            <w:tcW w:w="2155" w:type="dxa"/>
          </w:tcPr>
          <w:p w:rsidR="00B9359B" w:rsidRDefault="009A5268">
            <w:pPr>
              <w:pStyle w:val="Tabletext"/>
              <w:framePr w:hSpace="181" w:wrap="notBeside" w:vAnchor="text" w:hAnchor="text" w:xAlign="center" w:y="1"/>
              <w:spacing w:before="60" w:after="60"/>
              <w:jc w:val="center"/>
              <w:rPr>
                <w:lang w:val="en-US"/>
              </w:rPr>
            </w:pPr>
            <w:r>
              <w:rPr>
                <w:lang w:val="en-US"/>
              </w:rPr>
              <w:t>4</w:t>
            </w:r>
          </w:p>
        </w:tc>
        <w:tc>
          <w:tcPr>
            <w:tcW w:w="2155" w:type="dxa"/>
          </w:tcPr>
          <w:p w:rsidR="00B9359B" w:rsidRDefault="009A5268">
            <w:pPr>
              <w:pStyle w:val="Tabletext"/>
              <w:framePr w:hSpace="181" w:wrap="notBeside" w:vAnchor="text" w:hAnchor="text" w:xAlign="center" w:y="1"/>
              <w:spacing w:before="60" w:after="60"/>
              <w:jc w:val="center"/>
              <w:rPr>
                <w:lang w:val="en-US"/>
              </w:rPr>
            </w:pPr>
            <w:r>
              <w:rPr>
                <w:lang w:val="en-US"/>
              </w:rPr>
              <w:t>4</w:t>
            </w:r>
          </w:p>
        </w:tc>
      </w:tr>
      <w:tr w:rsidR="00B9359B">
        <w:trPr>
          <w:jc w:val="center"/>
        </w:trPr>
        <w:tc>
          <w:tcPr>
            <w:tcW w:w="5329" w:type="dxa"/>
          </w:tcPr>
          <w:p w:rsidR="00B9359B" w:rsidRDefault="009A5268">
            <w:pPr>
              <w:pStyle w:val="Tabletext"/>
              <w:framePr w:hSpace="181" w:wrap="notBeside" w:vAnchor="text" w:hAnchor="text" w:xAlign="center" w:y="1"/>
              <w:spacing w:before="60" w:after="60"/>
              <w:jc w:val="left"/>
              <w:rPr>
                <w:lang w:val="en-US"/>
              </w:rPr>
            </w:pPr>
            <w:r>
              <w:rPr>
                <w:lang w:val="en-US"/>
              </w:rPr>
              <w:t>Maximum permitted pfd by RR Article 21</w:t>
            </w:r>
            <w:r>
              <w:rPr>
                <w:lang w:val="en-US"/>
              </w:rPr>
              <w:br/>
              <w:t>(dB(W/(m</w:t>
            </w:r>
            <w:r>
              <w:rPr>
                <w:vertAlign w:val="superscript"/>
                <w:lang w:val="en-US"/>
              </w:rPr>
              <w:t>2</w:t>
            </w:r>
            <w:r>
              <w:rPr>
                <w:lang w:val="en-US"/>
              </w:rPr>
              <w:t xml:space="preserve"> · 4 kHz)))</w:t>
            </w:r>
          </w:p>
        </w:tc>
        <w:tc>
          <w:tcPr>
            <w:tcW w:w="2155" w:type="dxa"/>
          </w:tcPr>
          <w:p w:rsidR="00B9359B" w:rsidRDefault="009A5268">
            <w:pPr>
              <w:pStyle w:val="Tabletext"/>
              <w:framePr w:hSpace="181" w:wrap="notBeside" w:vAnchor="text" w:hAnchor="text" w:xAlign="center" w:y="1"/>
              <w:spacing w:before="60" w:after="60"/>
              <w:jc w:val="center"/>
              <w:rPr>
                <w:lang w:val="en-US"/>
              </w:rPr>
            </w:pPr>
            <w:r>
              <w:rPr>
                <w:lang w:val="en-US"/>
              </w:rPr>
              <w:t>–140</w:t>
            </w:r>
          </w:p>
        </w:tc>
        <w:tc>
          <w:tcPr>
            <w:tcW w:w="2155" w:type="dxa"/>
          </w:tcPr>
          <w:p w:rsidR="00B9359B" w:rsidRDefault="009A5268">
            <w:pPr>
              <w:pStyle w:val="Tabletext"/>
              <w:framePr w:hSpace="181" w:wrap="notBeside" w:vAnchor="text" w:hAnchor="text" w:xAlign="center" w:y="1"/>
              <w:spacing w:before="60" w:after="60"/>
              <w:jc w:val="center"/>
              <w:rPr>
                <w:lang w:val="en-US"/>
              </w:rPr>
            </w:pPr>
            <w:r>
              <w:rPr>
                <w:lang w:val="en-US"/>
              </w:rPr>
              <w:t>–140</w:t>
            </w:r>
          </w:p>
        </w:tc>
      </w:tr>
      <w:tr w:rsidR="00B9359B">
        <w:trPr>
          <w:jc w:val="center"/>
        </w:trPr>
        <w:tc>
          <w:tcPr>
            <w:tcW w:w="5329" w:type="dxa"/>
          </w:tcPr>
          <w:p w:rsidR="00B9359B" w:rsidRDefault="009A5268">
            <w:pPr>
              <w:pStyle w:val="Tabletext"/>
              <w:framePr w:hSpace="181" w:wrap="notBeside" w:vAnchor="text" w:hAnchor="text" w:xAlign="center" w:y="1"/>
              <w:spacing w:before="60" w:after="60"/>
              <w:jc w:val="left"/>
              <w:rPr>
                <w:lang w:val="en-US"/>
              </w:rPr>
            </w:pPr>
            <w:r>
              <w:rPr>
                <w:lang w:val="en-US"/>
              </w:rPr>
              <w:t>pfd produced by operating e.i.r.p. density at Earth’s surface (dB(W/(m</w:t>
            </w:r>
            <w:r>
              <w:rPr>
                <w:vertAlign w:val="superscript"/>
                <w:lang w:val="en-US"/>
              </w:rPr>
              <w:t>2</w:t>
            </w:r>
            <w:r>
              <w:rPr>
                <w:lang w:val="en-US"/>
              </w:rPr>
              <w:t xml:space="preserve"> · 4 kHz)))</w:t>
            </w:r>
          </w:p>
        </w:tc>
        <w:tc>
          <w:tcPr>
            <w:tcW w:w="2155" w:type="dxa"/>
          </w:tcPr>
          <w:p w:rsidR="00B9359B" w:rsidRDefault="009A5268">
            <w:pPr>
              <w:pStyle w:val="Tabletext"/>
              <w:framePr w:hSpace="181" w:wrap="notBeside" w:vAnchor="text" w:hAnchor="text" w:xAlign="center" w:y="1"/>
              <w:spacing w:before="60" w:after="60"/>
              <w:jc w:val="center"/>
              <w:rPr>
                <w:lang w:val="en-US"/>
              </w:rPr>
            </w:pPr>
            <w:r>
              <w:rPr>
                <w:lang w:val="en-US"/>
              </w:rPr>
              <w:t>–163</w:t>
            </w:r>
          </w:p>
        </w:tc>
        <w:tc>
          <w:tcPr>
            <w:tcW w:w="2155" w:type="dxa"/>
          </w:tcPr>
          <w:p w:rsidR="00B9359B" w:rsidRDefault="009A5268">
            <w:pPr>
              <w:pStyle w:val="Tabletext"/>
              <w:framePr w:hSpace="181" w:wrap="notBeside" w:vAnchor="text" w:hAnchor="text" w:xAlign="center" w:y="1"/>
              <w:spacing w:before="60" w:after="60"/>
              <w:jc w:val="center"/>
              <w:rPr>
                <w:lang w:val="en-US"/>
              </w:rPr>
            </w:pPr>
            <w:r>
              <w:rPr>
                <w:lang w:val="en-US"/>
              </w:rPr>
              <w:t>–163</w:t>
            </w:r>
          </w:p>
        </w:tc>
      </w:tr>
      <w:tr w:rsidR="00B9359B">
        <w:trPr>
          <w:jc w:val="center"/>
        </w:trPr>
        <w:tc>
          <w:tcPr>
            <w:tcW w:w="5329" w:type="dxa"/>
          </w:tcPr>
          <w:p w:rsidR="00B9359B" w:rsidRDefault="009A5268">
            <w:pPr>
              <w:pStyle w:val="Tabletext"/>
              <w:framePr w:hSpace="181" w:wrap="notBeside" w:vAnchor="text" w:hAnchor="text" w:xAlign="center" w:y="1"/>
              <w:spacing w:before="60" w:after="60"/>
              <w:jc w:val="left"/>
              <w:rPr>
                <w:lang w:val="en-US"/>
              </w:rPr>
            </w:pPr>
            <w:r>
              <w:rPr>
                <w:lang w:val="en-US"/>
              </w:rPr>
              <w:t>Allowable increase in e.i.r.p. density (dB)</w:t>
            </w:r>
          </w:p>
        </w:tc>
        <w:tc>
          <w:tcPr>
            <w:tcW w:w="2155" w:type="dxa"/>
          </w:tcPr>
          <w:p w:rsidR="00B9359B" w:rsidRDefault="009A5268">
            <w:pPr>
              <w:pStyle w:val="Tabletext"/>
              <w:framePr w:hSpace="181" w:wrap="notBeside" w:vAnchor="text" w:hAnchor="text" w:xAlign="center" w:y="1"/>
              <w:spacing w:before="60" w:after="60"/>
              <w:jc w:val="center"/>
              <w:rPr>
                <w:lang w:val="en-US"/>
              </w:rPr>
            </w:pPr>
            <w:r>
              <w:rPr>
                <w:lang w:val="en-US"/>
              </w:rPr>
              <w:t>23</w:t>
            </w:r>
          </w:p>
        </w:tc>
        <w:tc>
          <w:tcPr>
            <w:tcW w:w="2155" w:type="dxa"/>
          </w:tcPr>
          <w:p w:rsidR="00B9359B" w:rsidRDefault="009A5268">
            <w:pPr>
              <w:pStyle w:val="Tabletext"/>
              <w:framePr w:hSpace="181" w:wrap="notBeside" w:vAnchor="text" w:hAnchor="text" w:xAlign="center" w:y="1"/>
              <w:spacing w:before="60" w:after="60"/>
              <w:jc w:val="center"/>
              <w:rPr>
                <w:lang w:val="en-US"/>
              </w:rPr>
            </w:pPr>
            <w:r>
              <w:rPr>
                <w:lang w:val="en-US"/>
              </w:rPr>
              <w:t>23</w:t>
            </w:r>
          </w:p>
        </w:tc>
      </w:tr>
      <w:tr w:rsidR="00B9359B">
        <w:trPr>
          <w:jc w:val="center"/>
        </w:trPr>
        <w:tc>
          <w:tcPr>
            <w:tcW w:w="5329" w:type="dxa"/>
          </w:tcPr>
          <w:p w:rsidR="00B9359B" w:rsidRDefault="009A5268">
            <w:pPr>
              <w:pStyle w:val="Tabletext"/>
              <w:framePr w:hSpace="181" w:wrap="notBeside" w:vAnchor="text" w:hAnchor="text" w:xAlign="center" w:y="1"/>
              <w:spacing w:before="60" w:after="60"/>
              <w:jc w:val="left"/>
              <w:rPr>
                <w:lang w:val="en-US"/>
              </w:rPr>
            </w:pPr>
            <w:r>
              <w:rPr>
                <w:lang w:val="en-US"/>
              </w:rPr>
              <w:t>Difference between interference power and EESS protection criterion at the maximum permitted e.i.r.p. (dB)</w:t>
            </w:r>
          </w:p>
        </w:tc>
        <w:tc>
          <w:tcPr>
            <w:tcW w:w="2155" w:type="dxa"/>
          </w:tcPr>
          <w:p w:rsidR="00B9359B" w:rsidRDefault="009A5268">
            <w:pPr>
              <w:pStyle w:val="Tabletext"/>
              <w:framePr w:hSpace="181" w:wrap="notBeside" w:vAnchor="text" w:hAnchor="text" w:xAlign="center" w:y="1"/>
              <w:spacing w:before="60" w:after="60"/>
              <w:jc w:val="center"/>
              <w:rPr>
                <w:lang w:val="en-US"/>
              </w:rPr>
            </w:pPr>
            <w:r>
              <w:rPr>
                <w:lang w:val="en-US"/>
              </w:rPr>
              <w:t>4</w:t>
            </w:r>
          </w:p>
        </w:tc>
        <w:tc>
          <w:tcPr>
            <w:tcW w:w="2155" w:type="dxa"/>
          </w:tcPr>
          <w:p w:rsidR="00B9359B" w:rsidRDefault="009A5268">
            <w:pPr>
              <w:pStyle w:val="Tabletext"/>
              <w:framePr w:hSpace="181" w:wrap="notBeside" w:vAnchor="text" w:hAnchor="text" w:xAlign="center" w:y="1"/>
              <w:spacing w:before="60" w:after="60"/>
              <w:jc w:val="center"/>
              <w:rPr>
                <w:lang w:val="en-US"/>
              </w:rPr>
            </w:pPr>
            <w:r>
              <w:rPr>
                <w:lang w:val="en-US"/>
              </w:rPr>
              <w:t>0</w:t>
            </w:r>
          </w:p>
        </w:tc>
      </w:tr>
    </w:tbl>
    <w:p w:rsidR="00B9359B" w:rsidRDefault="00B9359B">
      <w:pPr>
        <w:pStyle w:val="Tablefin"/>
        <w:spacing w:before="0"/>
      </w:pPr>
    </w:p>
    <w:p w:rsidR="00B9359B" w:rsidRDefault="009A5268">
      <w:pPr>
        <w:rPr>
          <w:lang w:val="en-US"/>
        </w:rPr>
      </w:pPr>
      <w:r>
        <w:rPr>
          <w:lang w:val="en-US"/>
        </w:rPr>
        <w:br w:type="page"/>
        <w:t>According to Recommendation ITU-R S.1328-3</w:t>
      </w:r>
      <w:r>
        <w:rPr>
          <w:rStyle w:val="FootnoteReference"/>
          <w:lang w:val="en-US"/>
        </w:rPr>
        <w:footnoteReference w:customMarkFollows="1" w:id="2"/>
        <w:t>1</w:t>
      </w:r>
      <w:r>
        <w:rPr>
          <w:lang w:val="en-US"/>
        </w:rPr>
        <w:t>, system GSO-VX</w:t>
      </w:r>
      <w:r>
        <w:rPr>
          <w:rStyle w:val="FootnoteReference"/>
          <w:lang w:val="en-US"/>
        </w:rPr>
        <w:footnoteReference w:customMarkFollows="1" w:id="3"/>
        <w:t>2</w:t>
      </w:r>
      <w:r>
        <w:rPr>
          <w:lang w:val="en-US"/>
        </w:rPr>
        <w:t xml:space="preserve"> proposes to operate six satellites located at the three adjacent orbital locations of 99º W, 101º W and 103º W, assuming that agreement can be reached with other administrations on the necessary modifications to the RR Appendix 30B Plan. Therefore, assuming that co-located satellites do not have overlapping service areas and that the individual received power at the EESS is more or less the same (i.e. </w:t>
      </w:r>
      <w:r>
        <w:rPr>
          <w:rFonts w:ascii="Symbol" w:hAnsi="Symbol"/>
          <w:lang w:val="en-US"/>
        </w:rPr>
        <w:noBreakHyphen/>
      </w:r>
      <w:r>
        <w:rPr>
          <w:lang w:val="en-US"/>
        </w:rPr>
        <w:t>182 dBW for a bandwidth of 20 MHz for MEGHA-TROPIC or –191 dBW for EOS  AMSR</w:t>
      </w:r>
      <w:r>
        <w:rPr>
          <w:lang w:val="en-US"/>
        </w:rPr>
        <w:noBreakHyphen/>
        <w:t>E), the    calculated   power produced by three co-coverage, co-frequency FSS satellites equals 10 log</w:t>
      </w:r>
      <w:r>
        <w:rPr>
          <w:vertAlign w:val="subscript"/>
          <w:lang w:val="en-US"/>
        </w:rPr>
        <w:t>10</w:t>
      </w:r>
      <w:r>
        <w:rPr>
          <w:lang w:val="en-US"/>
        </w:rPr>
        <w:t> (3 </w:t>
      </w:r>
      <w:r>
        <w:rPr>
          <w:rFonts w:ascii="Symbol" w:hAnsi="Symbol"/>
        </w:rPr>
        <w:t></w:t>
      </w:r>
      <w:r>
        <w:rPr>
          <w:lang w:val="en-US"/>
        </w:rPr>
        <w:t> 10</w:t>
      </w:r>
      <w:r>
        <w:rPr>
          <w:rFonts w:ascii="Symbol" w:hAnsi="Symbol"/>
          <w:vertAlign w:val="superscript"/>
          <w:lang w:val="en-US"/>
        </w:rPr>
        <w:noBreakHyphen/>
      </w:r>
      <w:r>
        <w:rPr>
          <w:vertAlign w:val="superscript"/>
          <w:lang w:val="en-US"/>
        </w:rPr>
        <w:t>18.2</w:t>
      </w:r>
      <w:r>
        <w:rPr>
          <w:lang w:val="en-US"/>
        </w:rPr>
        <w:t>) </w:t>
      </w:r>
      <w:r>
        <w:rPr>
          <w:rFonts w:ascii="Symbol" w:hAnsi="Symbol"/>
          <w:lang w:val="en-US"/>
        </w:rPr>
        <w:t></w:t>
      </w:r>
      <w:r>
        <w:rPr>
          <w:lang w:val="en-US"/>
        </w:rPr>
        <w:t> </w:t>
      </w:r>
      <w:r>
        <w:rPr>
          <w:rFonts w:ascii="Symbol" w:hAnsi="Symbol"/>
          <w:lang w:val="en-US"/>
        </w:rPr>
        <w:noBreakHyphen/>
      </w:r>
      <w:r>
        <w:rPr>
          <w:lang w:val="en-US"/>
        </w:rPr>
        <w:t>177 dBW into MEGHA-TROPIC and 10 log</w:t>
      </w:r>
      <w:r>
        <w:rPr>
          <w:vertAlign w:val="subscript"/>
          <w:lang w:val="en-US"/>
        </w:rPr>
        <w:t>10</w:t>
      </w:r>
      <w:r>
        <w:rPr>
          <w:lang w:val="en-US"/>
        </w:rPr>
        <w:t> (3 </w:t>
      </w:r>
      <w:r>
        <w:rPr>
          <w:rFonts w:ascii="Symbol" w:hAnsi="Symbol"/>
        </w:rPr>
        <w:t></w:t>
      </w:r>
      <w:r>
        <w:rPr>
          <w:lang w:val="en-US"/>
        </w:rPr>
        <w:t> 10</w:t>
      </w:r>
      <w:r>
        <w:rPr>
          <w:rFonts w:ascii="Symbol" w:hAnsi="Symbol"/>
          <w:vertAlign w:val="superscript"/>
          <w:lang w:val="en-US"/>
        </w:rPr>
        <w:noBreakHyphen/>
      </w:r>
      <w:r>
        <w:rPr>
          <w:vertAlign w:val="superscript"/>
          <w:lang w:val="en-US"/>
        </w:rPr>
        <w:t>19.1</w:t>
      </w:r>
      <w:r>
        <w:rPr>
          <w:lang w:val="en-US"/>
        </w:rPr>
        <w:t>) </w:t>
      </w:r>
      <w:r>
        <w:rPr>
          <w:rFonts w:ascii="Symbol" w:hAnsi="Symbol"/>
          <w:lang w:val="en-US"/>
        </w:rPr>
        <w:t></w:t>
      </w:r>
      <w:r>
        <w:rPr>
          <w:lang w:val="en-US"/>
        </w:rPr>
        <w:t> </w:t>
      </w:r>
      <w:r>
        <w:sym w:font="Symbol" w:char="F02D"/>
      </w:r>
      <w:r>
        <w:rPr>
          <w:lang w:val="en-US"/>
        </w:rPr>
        <w:t>186 dBW into EOS AMSR</w:t>
      </w:r>
      <w:r>
        <w:rPr>
          <w:lang w:val="en-US"/>
        </w:rPr>
        <w:noBreakHyphen/>
        <w:t>E. In both cases, the interference criterion of the passive service is met.</w:t>
      </w:r>
    </w:p>
    <w:p w:rsidR="00B9359B" w:rsidRDefault="009A5268">
      <w:pPr>
        <w:rPr>
          <w:lang w:val="en-US"/>
        </w:rPr>
      </w:pPr>
      <w:r>
        <w:rPr>
          <w:lang w:val="en-US"/>
        </w:rPr>
        <w:t>For the worst-case assumption that a GSO FSS satellite operating with an e.i.r.p. density that produces the maximum pfd at the Earth’s surface permitted by RR Article 21 can be incorporated into the RR Appendix 30B Plan, the calculated power level at the MEGHA-TROPIC satellite exceeds the EESS interference criteria by 4 dB. With respect to the lower altitude EOS </w:t>
      </w:r>
      <w:r>
        <w:rPr>
          <w:rFonts w:ascii="Tms Rmn" w:hAnsi="Tms Rmn"/>
          <w:sz w:val="12"/>
          <w:lang w:val="en-US"/>
        </w:rPr>
        <w:t> </w:t>
      </w:r>
      <w:r>
        <w:rPr>
          <w:lang w:val="en-US"/>
        </w:rPr>
        <w:t>AMSR</w:t>
      </w:r>
      <w:r>
        <w:rPr>
          <w:lang w:val="en-US"/>
        </w:rPr>
        <w:noBreakHyphen/>
        <w:t>E passive sensor, the EESS interference criterion is not exceeded.</w:t>
      </w:r>
      <w:r>
        <w:rPr>
          <w:rStyle w:val="FootnoteReference"/>
          <w:lang w:val="en-US"/>
        </w:rPr>
        <w:footnoteReference w:customMarkFollows="1" w:id="4"/>
        <w:t>3</w:t>
      </w:r>
    </w:p>
    <w:p w:rsidR="00B9359B" w:rsidRDefault="009A5268">
      <w:pPr>
        <w:pStyle w:val="Heading3"/>
        <w:rPr>
          <w:lang w:val="en-US"/>
        </w:rPr>
      </w:pPr>
      <w:bookmarkStart w:id="251" w:name="_Toc51045651"/>
      <w:r>
        <w:rPr>
          <w:lang w:val="en-US"/>
        </w:rPr>
        <w:t>4.2.2</w:t>
      </w:r>
      <w:r>
        <w:rPr>
          <w:lang w:val="en-US"/>
        </w:rPr>
        <w:tab/>
        <w:t>Calculations with the non-GSO networks</w:t>
      </w:r>
      <w:bookmarkEnd w:id="251"/>
      <w:r>
        <w:rPr>
          <w:lang w:val="en-US"/>
        </w:rPr>
        <w:t xml:space="preserve"> </w:t>
      </w:r>
    </w:p>
    <w:p w:rsidR="00B9359B" w:rsidRDefault="009A5268">
      <w:pPr>
        <w:rPr>
          <w:lang w:val="en-US"/>
        </w:rPr>
      </w:pPr>
      <w:r>
        <w:rPr>
          <w:lang w:val="en-US"/>
        </w:rPr>
        <w:t>It should be noted that these results are based on simple analyses that do not take into account the percentage of time that the EESS interference criteria is exceeded. A more complex simulation would be required to find out if a non-GSO FSS system that exceeds the EESS criteria for the particular geometric configuration considered in these analyses does so as well for the 99% of time value indicated in Recommendation ITU</w:t>
      </w:r>
      <w:r>
        <w:rPr>
          <w:lang w:val="en-US"/>
        </w:rPr>
        <w:noBreakHyphen/>
        <w:t>R SA.1029.</w:t>
      </w:r>
    </w:p>
    <w:p w:rsidR="00B9359B" w:rsidRDefault="00B9359B">
      <w:pPr>
        <w:rPr>
          <w:lang w:val="en-US"/>
        </w:rPr>
      </w:pPr>
    </w:p>
    <w:p w:rsidR="00B9359B" w:rsidRDefault="00B9359B">
      <w:pPr>
        <w:rPr>
          <w:lang w:val="en-US"/>
        </w:rPr>
      </w:pPr>
    </w:p>
    <w:p w:rsidR="00B9359B" w:rsidRDefault="009A5268">
      <w:pPr>
        <w:pStyle w:val="Heading4"/>
        <w:rPr>
          <w:lang w:val="en-US"/>
        </w:rPr>
      </w:pPr>
      <w:bookmarkStart w:id="252" w:name="_Toc51045652"/>
      <w:r>
        <w:rPr>
          <w:lang w:val="en-US"/>
        </w:rPr>
        <w:br w:type="page"/>
        <w:t>4.2.2.1</w:t>
      </w:r>
      <w:r>
        <w:rPr>
          <w:lang w:val="en-US"/>
        </w:rPr>
        <w:tab/>
        <w:t>Case 1 – Non-GSO networks (back lobe reception)</w:t>
      </w:r>
      <w:bookmarkEnd w:id="252"/>
    </w:p>
    <w:p w:rsidR="00B9359B" w:rsidRDefault="009A5268">
      <w:pPr>
        <w:rPr>
          <w:lang w:val="en-US"/>
        </w:rPr>
      </w:pPr>
      <w:r>
        <w:rPr>
          <w:lang w:val="en-US"/>
        </w:rPr>
        <w:t>For case 1, the geometric situation is such that the EESS sensor is located directly below the transmitting FSS satellite.</w:t>
      </w:r>
    </w:p>
    <w:p w:rsidR="00B9359B" w:rsidRDefault="009A5268">
      <w:pPr>
        <w:rPr>
          <w:lang w:val="en-US"/>
        </w:rPr>
      </w:pPr>
      <w:r>
        <w:rPr>
          <w:lang w:val="en-US"/>
        </w:rPr>
        <w:t>The difference between interference level and EESS criteria is calculated in Table 18 when the FSS downlinks are co-frequency with the EESS (passive) sensors.</w:t>
      </w:r>
    </w:p>
    <w:p w:rsidR="00B9359B" w:rsidRDefault="009A5268">
      <w:pPr>
        <w:pStyle w:val="TableNo"/>
        <w:rPr>
          <w:lang w:val="en-US"/>
        </w:rPr>
      </w:pPr>
      <w:r>
        <w:rPr>
          <w:lang w:val="en-US"/>
        </w:rPr>
        <w:t>TABLE  18</w:t>
      </w:r>
    </w:p>
    <w:p w:rsidR="00B9359B" w:rsidRDefault="009A5268">
      <w:pPr>
        <w:pStyle w:val="Tabletitle"/>
        <w:spacing w:before="120"/>
        <w:rPr>
          <w:lang w:val="en-US"/>
        </w:rPr>
      </w:pPr>
      <w:r>
        <w:rPr>
          <w:lang w:val="en-US"/>
        </w:rPr>
        <w:t>Compatibility analysis with FSAT-MULTI 1-B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30"/>
        <w:gridCol w:w="2155"/>
        <w:gridCol w:w="2155"/>
      </w:tblGrid>
      <w:tr w:rsidR="00B9359B">
        <w:tc>
          <w:tcPr>
            <w:tcW w:w="5330" w:type="dxa"/>
          </w:tcPr>
          <w:p w:rsidR="00B9359B" w:rsidRDefault="009A5268">
            <w:pPr>
              <w:pStyle w:val="Tablehead"/>
              <w:framePr w:hSpace="181" w:wrap="notBeside" w:vAnchor="text" w:hAnchor="text" w:xAlign="center" w:y="1"/>
              <w:rPr>
                <w:lang w:val="es-ES"/>
              </w:rPr>
            </w:pPr>
            <w:r>
              <w:rPr>
                <w:lang w:val="es-ES"/>
              </w:rPr>
              <w:t>Parameter</w:t>
            </w:r>
          </w:p>
        </w:tc>
        <w:tc>
          <w:tcPr>
            <w:tcW w:w="2155" w:type="dxa"/>
          </w:tcPr>
          <w:p w:rsidR="00B9359B" w:rsidRDefault="009A5268">
            <w:pPr>
              <w:pStyle w:val="Tablehead"/>
              <w:framePr w:hSpace="181" w:wrap="notBeside" w:vAnchor="text" w:hAnchor="text" w:xAlign="center" w:y="1"/>
              <w:rPr>
                <w:lang w:val="es-ES"/>
              </w:rPr>
            </w:pPr>
            <w:r>
              <w:rPr>
                <w:lang w:val="es-ES"/>
              </w:rPr>
              <w:t>MEGHA-TROPIC</w:t>
            </w:r>
          </w:p>
        </w:tc>
        <w:tc>
          <w:tcPr>
            <w:tcW w:w="2155" w:type="dxa"/>
          </w:tcPr>
          <w:p w:rsidR="00B9359B" w:rsidRDefault="009A5268">
            <w:pPr>
              <w:pStyle w:val="Tablehead"/>
              <w:framePr w:hSpace="181" w:wrap="notBeside" w:vAnchor="text" w:hAnchor="text" w:xAlign="center" w:y="1"/>
              <w:rPr>
                <w:lang w:val="es-ES"/>
              </w:rPr>
            </w:pPr>
            <w:r>
              <w:rPr>
                <w:lang w:val="es-ES"/>
              </w:rPr>
              <w:t>EOS</w:t>
            </w:r>
            <w:r>
              <w:rPr>
                <w:sz w:val="16"/>
                <w:lang w:val="es-ES"/>
              </w:rPr>
              <w:t xml:space="preserve">  </w:t>
            </w:r>
            <w:r>
              <w:rPr>
                <w:lang w:val="es-ES"/>
              </w:rPr>
              <w:t>AMSR-E</w:t>
            </w:r>
          </w:p>
        </w:tc>
      </w:tr>
      <w:tr w:rsidR="00B9359B">
        <w:tc>
          <w:tcPr>
            <w:tcW w:w="5330" w:type="dxa"/>
          </w:tcPr>
          <w:p w:rsidR="00B9359B" w:rsidRDefault="009A5268">
            <w:pPr>
              <w:pStyle w:val="Tabletext"/>
              <w:framePr w:hSpace="181" w:wrap="notBeside" w:vAnchor="text" w:hAnchor="text" w:xAlign="center" w:y="1"/>
              <w:spacing w:before="50" w:after="50"/>
              <w:jc w:val="left"/>
              <w:rPr>
                <w:lang w:val="en-US"/>
              </w:rPr>
            </w:pPr>
            <w:r>
              <w:rPr>
                <w:lang w:val="en-US"/>
              </w:rPr>
              <w:t>Downlink frequency range (GHz)</w:t>
            </w:r>
          </w:p>
        </w:tc>
        <w:tc>
          <w:tcPr>
            <w:tcW w:w="2155" w:type="dxa"/>
          </w:tcPr>
          <w:p w:rsidR="00B9359B" w:rsidRDefault="009A5268">
            <w:pPr>
              <w:pStyle w:val="Tabletext"/>
              <w:framePr w:hSpace="181" w:wrap="notBeside" w:vAnchor="text" w:hAnchor="text" w:xAlign="center" w:y="1"/>
              <w:spacing w:before="50" w:after="50"/>
              <w:jc w:val="center"/>
              <w:rPr>
                <w:lang w:val="en-US"/>
              </w:rPr>
            </w:pPr>
            <w:r>
              <w:rPr>
                <w:lang w:val="en-US"/>
              </w:rPr>
              <w:t>11-12</w:t>
            </w:r>
          </w:p>
        </w:tc>
        <w:tc>
          <w:tcPr>
            <w:tcW w:w="2155" w:type="dxa"/>
          </w:tcPr>
          <w:p w:rsidR="00B9359B" w:rsidRDefault="009A5268">
            <w:pPr>
              <w:pStyle w:val="Tabletext"/>
              <w:framePr w:hSpace="181" w:wrap="notBeside" w:vAnchor="text" w:hAnchor="text" w:xAlign="center" w:y="1"/>
              <w:spacing w:before="50" w:after="50"/>
              <w:jc w:val="center"/>
              <w:rPr>
                <w:lang w:val="en-US"/>
              </w:rPr>
            </w:pPr>
            <w:r>
              <w:rPr>
                <w:lang w:val="en-US"/>
              </w:rPr>
              <w:t>11-12</w:t>
            </w:r>
          </w:p>
        </w:tc>
      </w:tr>
      <w:tr w:rsidR="00B9359B">
        <w:tc>
          <w:tcPr>
            <w:tcW w:w="5330" w:type="dxa"/>
          </w:tcPr>
          <w:p w:rsidR="00B9359B" w:rsidRDefault="009A5268">
            <w:pPr>
              <w:pStyle w:val="Tabletext"/>
              <w:framePr w:hSpace="181" w:wrap="notBeside" w:vAnchor="text" w:hAnchor="text" w:xAlign="center" w:y="1"/>
              <w:spacing w:before="50" w:after="50"/>
              <w:jc w:val="left"/>
              <w:rPr>
                <w:lang w:val="en-US"/>
              </w:rPr>
            </w:pPr>
            <w:r>
              <w:rPr>
                <w:lang w:val="en-US"/>
              </w:rPr>
              <w:t>e.i.r.p./carrier for one beam (dBW)</w:t>
            </w:r>
          </w:p>
        </w:tc>
        <w:tc>
          <w:tcPr>
            <w:tcW w:w="2155" w:type="dxa"/>
          </w:tcPr>
          <w:p w:rsidR="00B9359B" w:rsidRDefault="009A5268">
            <w:pPr>
              <w:pStyle w:val="Tabletext"/>
              <w:framePr w:hSpace="181" w:wrap="notBeside" w:vAnchor="text" w:hAnchor="text" w:xAlign="center" w:y="1"/>
              <w:spacing w:before="50" w:after="50"/>
              <w:jc w:val="center"/>
              <w:rPr>
                <w:lang w:val="en-US"/>
              </w:rPr>
            </w:pPr>
            <w:r>
              <w:rPr>
                <w:lang w:val="en-US"/>
              </w:rPr>
              <w:t>17.5</w:t>
            </w:r>
          </w:p>
        </w:tc>
        <w:tc>
          <w:tcPr>
            <w:tcW w:w="2155" w:type="dxa"/>
          </w:tcPr>
          <w:p w:rsidR="00B9359B" w:rsidRDefault="009A5268">
            <w:pPr>
              <w:pStyle w:val="Tabletext"/>
              <w:framePr w:hSpace="181" w:wrap="notBeside" w:vAnchor="text" w:hAnchor="text" w:xAlign="center" w:y="1"/>
              <w:spacing w:before="50" w:after="50"/>
              <w:jc w:val="center"/>
              <w:rPr>
                <w:lang w:val="en-US"/>
              </w:rPr>
            </w:pPr>
            <w:r>
              <w:rPr>
                <w:lang w:val="en-US"/>
              </w:rPr>
              <w:t>17.5</w:t>
            </w:r>
          </w:p>
        </w:tc>
      </w:tr>
      <w:tr w:rsidR="00B9359B">
        <w:tc>
          <w:tcPr>
            <w:tcW w:w="5330" w:type="dxa"/>
          </w:tcPr>
          <w:p w:rsidR="00B9359B" w:rsidRDefault="009A5268">
            <w:pPr>
              <w:pStyle w:val="Tabletext"/>
              <w:framePr w:hSpace="181" w:wrap="notBeside" w:vAnchor="text" w:hAnchor="text" w:xAlign="center" w:y="1"/>
              <w:spacing w:before="50" w:after="50"/>
              <w:jc w:val="left"/>
              <w:rPr>
                <w:lang w:val="en-US"/>
              </w:rPr>
            </w:pPr>
            <w:r>
              <w:rPr>
                <w:lang w:val="en-US"/>
              </w:rPr>
              <w:t>Bandwidth (MHz)</w:t>
            </w:r>
          </w:p>
        </w:tc>
        <w:tc>
          <w:tcPr>
            <w:tcW w:w="2155" w:type="dxa"/>
          </w:tcPr>
          <w:p w:rsidR="00B9359B" w:rsidRDefault="009A5268">
            <w:pPr>
              <w:pStyle w:val="Tabletext"/>
              <w:framePr w:hSpace="181" w:wrap="notBeside" w:vAnchor="text" w:hAnchor="text" w:xAlign="center" w:y="1"/>
              <w:spacing w:before="50" w:after="50"/>
              <w:jc w:val="center"/>
              <w:rPr>
                <w:lang w:val="en-US"/>
              </w:rPr>
            </w:pPr>
            <w:r>
              <w:rPr>
                <w:lang w:val="en-US"/>
              </w:rPr>
              <w:t>41</w:t>
            </w:r>
          </w:p>
        </w:tc>
        <w:tc>
          <w:tcPr>
            <w:tcW w:w="2155" w:type="dxa"/>
          </w:tcPr>
          <w:p w:rsidR="00B9359B" w:rsidRDefault="009A5268">
            <w:pPr>
              <w:pStyle w:val="Tabletext"/>
              <w:framePr w:hSpace="181" w:wrap="notBeside" w:vAnchor="text" w:hAnchor="text" w:xAlign="center" w:y="1"/>
              <w:spacing w:before="50" w:after="50"/>
              <w:jc w:val="center"/>
              <w:rPr>
                <w:lang w:val="en-US"/>
              </w:rPr>
            </w:pPr>
            <w:r>
              <w:rPr>
                <w:lang w:val="en-US"/>
              </w:rPr>
              <w:t>41</w:t>
            </w:r>
          </w:p>
        </w:tc>
      </w:tr>
      <w:tr w:rsidR="00B9359B">
        <w:tc>
          <w:tcPr>
            <w:tcW w:w="5330" w:type="dxa"/>
          </w:tcPr>
          <w:p w:rsidR="00B9359B" w:rsidRDefault="009A5268">
            <w:pPr>
              <w:pStyle w:val="Tabletext"/>
              <w:framePr w:hSpace="181" w:wrap="notBeside" w:vAnchor="text" w:hAnchor="text" w:xAlign="center" w:y="1"/>
              <w:spacing w:before="50" w:after="50"/>
              <w:jc w:val="left"/>
              <w:rPr>
                <w:lang w:val="en-US"/>
              </w:rPr>
            </w:pPr>
            <w:r>
              <w:rPr>
                <w:lang w:val="en-US"/>
              </w:rPr>
              <w:t>Distance FSAT-EESS (km)</w:t>
            </w:r>
          </w:p>
        </w:tc>
        <w:tc>
          <w:tcPr>
            <w:tcW w:w="2155" w:type="dxa"/>
          </w:tcPr>
          <w:p w:rsidR="00B9359B" w:rsidRDefault="009A5268">
            <w:pPr>
              <w:pStyle w:val="Tabletext"/>
              <w:framePr w:hSpace="181" w:wrap="notBeside" w:vAnchor="text" w:hAnchor="text" w:xAlign="center" w:y="1"/>
              <w:spacing w:before="50" w:after="50"/>
              <w:jc w:val="center"/>
              <w:rPr>
                <w:lang w:val="en-US"/>
              </w:rPr>
            </w:pPr>
            <w:r>
              <w:rPr>
                <w:lang w:val="en-US"/>
              </w:rPr>
              <w:t>640</w:t>
            </w:r>
          </w:p>
        </w:tc>
        <w:tc>
          <w:tcPr>
            <w:tcW w:w="2155" w:type="dxa"/>
          </w:tcPr>
          <w:p w:rsidR="00B9359B" w:rsidRDefault="009A5268">
            <w:pPr>
              <w:pStyle w:val="Tabletext"/>
              <w:framePr w:hSpace="181" w:wrap="notBeside" w:vAnchor="text" w:hAnchor="text" w:xAlign="center" w:y="1"/>
              <w:spacing w:before="50" w:after="50"/>
              <w:jc w:val="center"/>
              <w:rPr>
                <w:lang w:val="en-US"/>
              </w:rPr>
            </w:pPr>
            <w:r>
              <w:rPr>
                <w:lang w:val="en-US"/>
              </w:rPr>
              <w:t>752</w:t>
            </w:r>
          </w:p>
        </w:tc>
      </w:tr>
      <w:tr w:rsidR="00B9359B">
        <w:tc>
          <w:tcPr>
            <w:tcW w:w="5330" w:type="dxa"/>
          </w:tcPr>
          <w:p w:rsidR="00B9359B" w:rsidRDefault="009A5268">
            <w:pPr>
              <w:pStyle w:val="Tabletext"/>
              <w:framePr w:hSpace="181" w:wrap="notBeside" w:vAnchor="text" w:hAnchor="text" w:xAlign="center" w:y="1"/>
              <w:spacing w:before="50" w:after="50"/>
              <w:jc w:val="left"/>
              <w:rPr>
                <w:lang w:val="en-US"/>
              </w:rPr>
            </w:pPr>
            <w:r>
              <w:rPr>
                <w:lang w:val="en-US"/>
              </w:rPr>
              <w:t>Free space loss (dB)</w:t>
            </w:r>
          </w:p>
        </w:tc>
        <w:tc>
          <w:tcPr>
            <w:tcW w:w="2155" w:type="dxa"/>
          </w:tcPr>
          <w:p w:rsidR="00B9359B" w:rsidRDefault="009A5268">
            <w:pPr>
              <w:pStyle w:val="Tabletext"/>
              <w:framePr w:hSpace="181" w:wrap="notBeside" w:vAnchor="text" w:hAnchor="text" w:xAlign="center" w:y="1"/>
              <w:spacing w:before="50" w:after="50"/>
              <w:jc w:val="center"/>
              <w:rPr>
                <w:lang w:val="en-US"/>
              </w:rPr>
            </w:pPr>
            <w:r>
              <w:rPr>
                <w:lang w:val="en-US"/>
              </w:rPr>
              <w:t>169</w:t>
            </w:r>
          </w:p>
        </w:tc>
        <w:tc>
          <w:tcPr>
            <w:tcW w:w="2155" w:type="dxa"/>
          </w:tcPr>
          <w:p w:rsidR="00B9359B" w:rsidRDefault="009A5268">
            <w:pPr>
              <w:pStyle w:val="Tabletext"/>
              <w:framePr w:hSpace="181" w:wrap="notBeside" w:vAnchor="text" w:hAnchor="text" w:xAlign="center" w:y="1"/>
              <w:spacing w:before="50" w:after="50"/>
              <w:jc w:val="center"/>
              <w:rPr>
                <w:lang w:val="en-US"/>
              </w:rPr>
            </w:pPr>
            <w:r>
              <w:rPr>
                <w:lang w:val="en-US"/>
              </w:rPr>
              <w:t>170.5</w:t>
            </w:r>
          </w:p>
        </w:tc>
      </w:tr>
      <w:tr w:rsidR="00B9359B">
        <w:tc>
          <w:tcPr>
            <w:tcW w:w="5330" w:type="dxa"/>
          </w:tcPr>
          <w:p w:rsidR="00B9359B" w:rsidRDefault="009A5268">
            <w:pPr>
              <w:pStyle w:val="Tabletext"/>
              <w:framePr w:hSpace="181" w:wrap="notBeside" w:vAnchor="text" w:hAnchor="text" w:xAlign="center" w:y="1"/>
              <w:spacing w:before="50" w:after="50"/>
              <w:jc w:val="left"/>
              <w:rPr>
                <w:lang w:val="en-US"/>
              </w:rPr>
            </w:pPr>
            <w:r>
              <w:rPr>
                <w:lang w:val="en-US"/>
              </w:rPr>
              <w:t>EESS paraboloid offset angle to the nadir (degrees)</w:t>
            </w:r>
          </w:p>
        </w:tc>
        <w:tc>
          <w:tcPr>
            <w:tcW w:w="2155" w:type="dxa"/>
          </w:tcPr>
          <w:p w:rsidR="00B9359B" w:rsidRDefault="009A5268">
            <w:pPr>
              <w:pStyle w:val="Tabletext"/>
              <w:framePr w:hSpace="181" w:wrap="notBeside" w:vAnchor="text" w:hAnchor="text" w:xAlign="center" w:y="1"/>
              <w:spacing w:before="50" w:after="50"/>
              <w:jc w:val="center"/>
              <w:rPr>
                <w:lang w:val="en-US"/>
              </w:rPr>
            </w:pPr>
            <w:r>
              <w:rPr>
                <w:lang w:val="en-US"/>
              </w:rPr>
              <w:t>44</w:t>
            </w:r>
          </w:p>
        </w:tc>
        <w:tc>
          <w:tcPr>
            <w:tcW w:w="2155" w:type="dxa"/>
          </w:tcPr>
          <w:p w:rsidR="00B9359B" w:rsidRDefault="009A5268">
            <w:pPr>
              <w:pStyle w:val="Tabletext"/>
              <w:framePr w:hSpace="181" w:wrap="notBeside" w:vAnchor="text" w:hAnchor="text" w:xAlign="center" w:y="1"/>
              <w:spacing w:before="50" w:after="50"/>
              <w:jc w:val="center"/>
              <w:rPr>
                <w:lang w:val="en-US"/>
              </w:rPr>
            </w:pPr>
            <w:r>
              <w:rPr>
                <w:lang w:val="en-US"/>
              </w:rPr>
              <w:t>47.5</w:t>
            </w:r>
          </w:p>
        </w:tc>
      </w:tr>
      <w:tr w:rsidR="00B9359B">
        <w:tc>
          <w:tcPr>
            <w:tcW w:w="5330" w:type="dxa"/>
          </w:tcPr>
          <w:p w:rsidR="00B9359B" w:rsidRDefault="009A5268">
            <w:pPr>
              <w:pStyle w:val="Tabletext"/>
              <w:framePr w:hSpace="181" w:wrap="notBeside" w:vAnchor="text" w:hAnchor="text" w:xAlign="center" w:y="1"/>
              <w:spacing w:before="50" w:after="50"/>
              <w:jc w:val="left"/>
              <w:rPr>
                <w:lang w:val="en-US"/>
              </w:rPr>
            </w:pPr>
            <w:r>
              <w:rPr>
                <w:lang w:val="en-US"/>
              </w:rPr>
              <w:t>EESS antenna gain (dBi)</w:t>
            </w:r>
          </w:p>
        </w:tc>
        <w:tc>
          <w:tcPr>
            <w:tcW w:w="2155"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14</w:t>
            </w:r>
          </w:p>
        </w:tc>
        <w:tc>
          <w:tcPr>
            <w:tcW w:w="2155"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23</w:t>
            </w:r>
          </w:p>
        </w:tc>
      </w:tr>
      <w:tr w:rsidR="00B9359B">
        <w:tc>
          <w:tcPr>
            <w:tcW w:w="5330" w:type="dxa"/>
          </w:tcPr>
          <w:p w:rsidR="00B9359B" w:rsidRDefault="009A5268">
            <w:pPr>
              <w:pStyle w:val="Tabletext"/>
              <w:framePr w:hSpace="181" w:wrap="notBeside" w:vAnchor="text" w:hAnchor="text" w:xAlign="center" w:y="1"/>
              <w:spacing w:before="50" w:after="50"/>
              <w:jc w:val="left"/>
              <w:rPr>
                <w:lang w:val="en-US"/>
              </w:rPr>
            </w:pPr>
            <w:r>
              <w:rPr>
                <w:lang w:val="en-US"/>
              </w:rPr>
              <w:t>Received power at the EESS in the above bandwidth (dBW)</w:t>
            </w:r>
          </w:p>
        </w:tc>
        <w:tc>
          <w:tcPr>
            <w:tcW w:w="2155" w:type="dxa"/>
          </w:tcPr>
          <w:p w:rsidR="00B9359B" w:rsidRDefault="009A5268">
            <w:pPr>
              <w:pStyle w:val="Tabletext"/>
              <w:framePr w:hSpace="181" w:wrap="notBeside" w:vAnchor="text" w:hAnchor="text" w:xAlign="center" w:y="1"/>
              <w:spacing w:before="50" w:after="50"/>
              <w:jc w:val="center"/>
              <w:rPr>
                <w:lang w:val="en-US"/>
              </w:rPr>
            </w:pPr>
            <w:r>
              <w:rPr>
                <w:lang w:val="en-US"/>
              </w:rPr>
              <w:t>–166</w:t>
            </w:r>
          </w:p>
        </w:tc>
        <w:tc>
          <w:tcPr>
            <w:tcW w:w="2155"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176</w:t>
            </w:r>
          </w:p>
        </w:tc>
      </w:tr>
      <w:tr w:rsidR="00B9359B">
        <w:tc>
          <w:tcPr>
            <w:tcW w:w="5330" w:type="dxa"/>
          </w:tcPr>
          <w:p w:rsidR="00B9359B" w:rsidRDefault="009A5268">
            <w:pPr>
              <w:pStyle w:val="Tabletext"/>
              <w:framePr w:hSpace="181" w:wrap="notBeside" w:vAnchor="text" w:hAnchor="text" w:xAlign="center" w:y="1"/>
              <w:spacing w:before="50" w:after="50"/>
              <w:jc w:val="left"/>
              <w:rPr>
                <w:lang w:val="en-US"/>
              </w:rPr>
            </w:pPr>
            <w:r>
              <w:rPr>
                <w:lang w:val="en-US"/>
              </w:rPr>
              <w:t>Corresponding received power at the EESS in a bandwidth of 20 MHz (dBW)</w:t>
            </w:r>
          </w:p>
        </w:tc>
        <w:tc>
          <w:tcPr>
            <w:tcW w:w="2155" w:type="dxa"/>
          </w:tcPr>
          <w:p w:rsidR="00B9359B" w:rsidRDefault="009A5268">
            <w:pPr>
              <w:pStyle w:val="Tabletext"/>
              <w:framePr w:hSpace="181" w:wrap="notBeside" w:vAnchor="text" w:hAnchor="text" w:xAlign="center" w:y="1"/>
              <w:spacing w:before="50" w:after="50"/>
              <w:jc w:val="center"/>
              <w:rPr>
                <w:lang w:val="en-US"/>
              </w:rPr>
            </w:pPr>
            <w:r>
              <w:rPr>
                <w:lang w:val="en-US"/>
              </w:rPr>
              <w:t>–169</w:t>
            </w:r>
          </w:p>
        </w:tc>
        <w:tc>
          <w:tcPr>
            <w:tcW w:w="2155"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179</w:t>
            </w:r>
          </w:p>
        </w:tc>
      </w:tr>
      <w:tr w:rsidR="00B9359B">
        <w:trPr>
          <w:trHeight w:val="65"/>
        </w:trPr>
        <w:tc>
          <w:tcPr>
            <w:tcW w:w="5330" w:type="dxa"/>
          </w:tcPr>
          <w:p w:rsidR="00B9359B" w:rsidRDefault="009A5268">
            <w:pPr>
              <w:pStyle w:val="Tabletext"/>
              <w:framePr w:hSpace="181" w:wrap="notBeside" w:vAnchor="text" w:hAnchor="text" w:xAlign="center" w:y="1"/>
              <w:spacing w:before="50" w:after="50"/>
              <w:jc w:val="left"/>
              <w:rPr>
                <w:lang w:val="en-US"/>
              </w:rPr>
            </w:pPr>
            <w:r>
              <w:rPr>
                <w:lang w:val="en-US"/>
              </w:rPr>
              <w:t>Interference threshold in a bandwidth of 20 MHz (dBW)</w:t>
            </w:r>
          </w:p>
        </w:tc>
        <w:tc>
          <w:tcPr>
            <w:tcW w:w="2155" w:type="dxa"/>
          </w:tcPr>
          <w:p w:rsidR="00B9359B" w:rsidRDefault="009A5268">
            <w:pPr>
              <w:pStyle w:val="Tabletext"/>
              <w:framePr w:hSpace="181" w:wrap="notBeside" w:vAnchor="text" w:hAnchor="text" w:xAlign="center" w:y="1"/>
              <w:spacing w:before="50" w:after="50"/>
              <w:jc w:val="center"/>
              <w:rPr>
                <w:lang w:val="en-US"/>
              </w:rPr>
            </w:pPr>
            <w:r>
              <w:rPr>
                <w:lang w:val="en-US"/>
              </w:rPr>
              <w:t>–163</w:t>
            </w:r>
          </w:p>
        </w:tc>
        <w:tc>
          <w:tcPr>
            <w:tcW w:w="2155"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163</w:t>
            </w:r>
          </w:p>
        </w:tc>
      </w:tr>
      <w:tr w:rsidR="00B9359B">
        <w:tc>
          <w:tcPr>
            <w:tcW w:w="5330" w:type="dxa"/>
          </w:tcPr>
          <w:p w:rsidR="00B9359B" w:rsidRDefault="009A5268">
            <w:pPr>
              <w:pStyle w:val="Tabletext"/>
              <w:framePr w:hSpace="181" w:wrap="notBeside" w:vAnchor="text" w:hAnchor="text" w:xAlign="center" w:y="1"/>
              <w:spacing w:before="50" w:after="50"/>
              <w:jc w:val="left"/>
              <w:rPr>
                <w:lang w:val="en-US"/>
              </w:rPr>
            </w:pPr>
            <w:r>
              <w:rPr>
                <w:lang w:val="en-US"/>
              </w:rPr>
              <w:t>Difference between interference power and EESS protection criterion at the proposed operating e.i.r.p. (dB)</w:t>
            </w:r>
          </w:p>
        </w:tc>
        <w:tc>
          <w:tcPr>
            <w:tcW w:w="2155" w:type="dxa"/>
          </w:tcPr>
          <w:p w:rsidR="00B9359B" w:rsidRDefault="009A5268">
            <w:pPr>
              <w:pStyle w:val="Tabletext"/>
              <w:framePr w:hSpace="181" w:wrap="notBeside" w:vAnchor="text" w:hAnchor="text" w:xAlign="center" w:y="1"/>
              <w:spacing w:before="50" w:after="50"/>
              <w:jc w:val="center"/>
              <w:rPr>
                <w:lang w:val="en-US"/>
              </w:rPr>
            </w:pPr>
            <w:r>
              <w:rPr>
                <w:lang w:val="en-US"/>
              </w:rPr>
              <w:t>0</w:t>
            </w:r>
          </w:p>
        </w:tc>
        <w:tc>
          <w:tcPr>
            <w:tcW w:w="2155" w:type="dxa"/>
          </w:tcPr>
          <w:p w:rsidR="00B9359B" w:rsidRDefault="009A5268">
            <w:pPr>
              <w:pStyle w:val="Tabletext"/>
              <w:framePr w:hSpace="181" w:wrap="notBeside" w:vAnchor="text" w:hAnchor="text" w:xAlign="center" w:y="1"/>
              <w:spacing w:before="50" w:after="50"/>
              <w:jc w:val="center"/>
              <w:rPr>
                <w:lang w:val="en-US"/>
              </w:rPr>
            </w:pPr>
            <w:r>
              <w:rPr>
                <w:lang w:val="en-US"/>
              </w:rPr>
              <w:t>0</w:t>
            </w:r>
          </w:p>
        </w:tc>
      </w:tr>
      <w:tr w:rsidR="00B9359B">
        <w:tc>
          <w:tcPr>
            <w:tcW w:w="5330" w:type="dxa"/>
          </w:tcPr>
          <w:p w:rsidR="00B9359B" w:rsidRDefault="009A5268">
            <w:pPr>
              <w:pStyle w:val="Tabletext"/>
              <w:framePr w:hSpace="181" w:wrap="notBeside" w:vAnchor="text" w:hAnchor="text" w:xAlign="center" w:y="1"/>
              <w:spacing w:before="50" w:after="50"/>
              <w:jc w:val="left"/>
              <w:rPr>
                <w:lang w:val="en-US"/>
              </w:rPr>
            </w:pPr>
            <w:r>
              <w:rPr>
                <w:lang w:val="en-US"/>
              </w:rPr>
              <w:t>Reference bandwidth for pfd limit (kHz)</w:t>
            </w:r>
          </w:p>
        </w:tc>
        <w:tc>
          <w:tcPr>
            <w:tcW w:w="2155" w:type="dxa"/>
          </w:tcPr>
          <w:p w:rsidR="00B9359B" w:rsidRDefault="009A5268">
            <w:pPr>
              <w:pStyle w:val="Tabletext"/>
              <w:framePr w:hSpace="181" w:wrap="notBeside" w:vAnchor="text" w:hAnchor="text" w:xAlign="center" w:y="1"/>
              <w:spacing w:before="50" w:after="50"/>
              <w:jc w:val="center"/>
              <w:rPr>
                <w:lang w:val="en-US"/>
              </w:rPr>
            </w:pPr>
            <w:r>
              <w:rPr>
                <w:lang w:val="en-US"/>
              </w:rPr>
              <w:t>1 000</w:t>
            </w:r>
          </w:p>
        </w:tc>
        <w:tc>
          <w:tcPr>
            <w:tcW w:w="2155" w:type="dxa"/>
          </w:tcPr>
          <w:p w:rsidR="00B9359B" w:rsidRDefault="009A5268">
            <w:pPr>
              <w:pStyle w:val="Tabletext"/>
              <w:framePr w:hSpace="181" w:wrap="notBeside" w:vAnchor="text" w:hAnchor="text" w:xAlign="center" w:y="1"/>
              <w:spacing w:before="50" w:after="50"/>
              <w:jc w:val="center"/>
              <w:rPr>
                <w:lang w:val="en-US"/>
              </w:rPr>
            </w:pPr>
            <w:r>
              <w:rPr>
                <w:lang w:val="en-US"/>
              </w:rPr>
              <w:t>1 000</w:t>
            </w:r>
          </w:p>
        </w:tc>
      </w:tr>
      <w:tr w:rsidR="00B9359B">
        <w:tc>
          <w:tcPr>
            <w:tcW w:w="5330" w:type="dxa"/>
          </w:tcPr>
          <w:p w:rsidR="00B9359B" w:rsidRDefault="009A5268">
            <w:pPr>
              <w:pStyle w:val="Tabletext"/>
              <w:framePr w:hSpace="181" w:wrap="notBeside" w:vAnchor="text" w:hAnchor="text" w:xAlign="center" w:y="1"/>
              <w:spacing w:before="50" w:after="50"/>
              <w:jc w:val="left"/>
              <w:rPr>
                <w:lang w:val="en-US"/>
              </w:rPr>
            </w:pPr>
            <w:r>
              <w:rPr>
                <w:lang w:val="en-US"/>
              </w:rPr>
              <w:t>Maximum permitted pfd by RR Article 21 (dB(W/(m</w:t>
            </w:r>
            <w:r>
              <w:rPr>
                <w:vertAlign w:val="superscript"/>
                <w:lang w:val="en-US"/>
              </w:rPr>
              <w:t>2</w:t>
            </w:r>
            <w:r>
              <w:rPr>
                <w:lang w:val="en-US"/>
              </w:rPr>
              <w:t> </w:t>
            </w:r>
            <w:r>
              <w:rPr>
                <w:rFonts w:ascii="Symbol" w:hAnsi="Symbol"/>
              </w:rPr>
              <w:t></w:t>
            </w:r>
            <w:r>
              <w:rPr>
                <w:lang w:val="en-US"/>
              </w:rPr>
              <w:t> MHz)))</w:t>
            </w:r>
          </w:p>
        </w:tc>
        <w:tc>
          <w:tcPr>
            <w:tcW w:w="2155"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116</w:t>
            </w:r>
          </w:p>
        </w:tc>
        <w:tc>
          <w:tcPr>
            <w:tcW w:w="2155"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116</w:t>
            </w:r>
          </w:p>
        </w:tc>
      </w:tr>
      <w:tr w:rsidR="00B9359B">
        <w:tc>
          <w:tcPr>
            <w:tcW w:w="5330" w:type="dxa"/>
          </w:tcPr>
          <w:p w:rsidR="00B9359B" w:rsidRDefault="009A5268">
            <w:pPr>
              <w:pStyle w:val="Tabletext"/>
              <w:framePr w:hSpace="181" w:wrap="notBeside" w:vAnchor="text" w:hAnchor="text" w:xAlign="center" w:y="1"/>
              <w:spacing w:before="50" w:after="50"/>
              <w:jc w:val="left"/>
              <w:rPr>
                <w:lang w:val="en-US"/>
              </w:rPr>
            </w:pPr>
            <w:r>
              <w:rPr>
                <w:lang w:val="en-US"/>
              </w:rPr>
              <w:t>pfd produced by operating e.i.r.p. density at Earth’s surface (dB(W/(m</w:t>
            </w:r>
            <w:r>
              <w:rPr>
                <w:vertAlign w:val="superscript"/>
                <w:lang w:val="en-US"/>
              </w:rPr>
              <w:t>2</w:t>
            </w:r>
            <w:r>
              <w:rPr>
                <w:lang w:val="en-US"/>
              </w:rPr>
              <w:t> </w:t>
            </w:r>
            <w:r>
              <w:rPr>
                <w:rFonts w:ascii="Symbol" w:hAnsi="Symbol"/>
              </w:rPr>
              <w:t></w:t>
            </w:r>
            <w:r>
              <w:rPr>
                <w:lang w:val="en-US"/>
              </w:rPr>
              <w:t> MHz)))</w:t>
            </w:r>
          </w:p>
        </w:tc>
        <w:tc>
          <w:tcPr>
            <w:tcW w:w="2155"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133</w:t>
            </w:r>
          </w:p>
        </w:tc>
        <w:tc>
          <w:tcPr>
            <w:tcW w:w="2155"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133</w:t>
            </w:r>
          </w:p>
        </w:tc>
      </w:tr>
      <w:tr w:rsidR="00B9359B">
        <w:tc>
          <w:tcPr>
            <w:tcW w:w="5330" w:type="dxa"/>
          </w:tcPr>
          <w:p w:rsidR="00B9359B" w:rsidRDefault="009A5268">
            <w:pPr>
              <w:pStyle w:val="Tabletext"/>
              <w:framePr w:hSpace="181" w:wrap="notBeside" w:vAnchor="text" w:hAnchor="text" w:xAlign="center" w:y="1"/>
              <w:spacing w:before="50" w:after="50"/>
              <w:jc w:val="left"/>
              <w:rPr>
                <w:lang w:val="en-US"/>
              </w:rPr>
            </w:pPr>
            <w:r>
              <w:rPr>
                <w:lang w:val="en-US"/>
              </w:rPr>
              <w:t>Allowable increase in e.i.r.p. density (dB)</w:t>
            </w:r>
          </w:p>
        </w:tc>
        <w:tc>
          <w:tcPr>
            <w:tcW w:w="2155" w:type="dxa"/>
          </w:tcPr>
          <w:p w:rsidR="00B9359B" w:rsidRDefault="009A5268">
            <w:pPr>
              <w:pStyle w:val="Tabletext"/>
              <w:framePr w:hSpace="181" w:wrap="notBeside" w:vAnchor="text" w:hAnchor="text" w:xAlign="center" w:y="1"/>
              <w:spacing w:before="50" w:after="50"/>
              <w:jc w:val="center"/>
              <w:rPr>
                <w:lang w:val="en-US"/>
              </w:rPr>
            </w:pPr>
            <w:r>
              <w:rPr>
                <w:lang w:val="en-US"/>
              </w:rPr>
              <w:t>17</w:t>
            </w:r>
          </w:p>
        </w:tc>
        <w:tc>
          <w:tcPr>
            <w:tcW w:w="2155" w:type="dxa"/>
          </w:tcPr>
          <w:p w:rsidR="00B9359B" w:rsidRDefault="009A5268">
            <w:pPr>
              <w:pStyle w:val="Tabletext"/>
              <w:framePr w:hSpace="181" w:wrap="notBeside" w:vAnchor="text" w:hAnchor="text" w:xAlign="center" w:y="1"/>
              <w:spacing w:before="50" w:after="50"/>
              <w:jc w:val="center"/>
              <w:rPr>
                <w:lang w:val="en-US"/>
              </w:rPr>
            </w:pPr>
            <w:r>
              <w:rPr>
                <w:lang w:val="en-US"/>
              </w:rPr>
              <w:t>17</w:t>
            </w:r>
          </w:p>
        </w:tc>
      </w:tr>
      <w:tr w:rsidR="00B9359B">
        <w:tc>
          <w:tcPr>
            <w:tcW w:w="5330" w:type="dxa"/>
          </w:tcPr>
          <w:p w:rsidR="00B9359B" w:rsidRDefault="009A5268">
            <w:pPr>
              <w:pStyle w:val="Tabletext"/>
              <w:framePr w:hSpace="181" w:wrap="notBeside" w:vAnchor="text" w:hAnchor="text" w:xAlign="center" w:y="1"/>
              <w:spacing w:before="50" w:after="50"/>
              <w:jc w:val="left"/>
              <w:rPr>
                <w:lang w:val="en-US"/>
              </w:rPr>
            </w:pPr>
            <w:r>
              <w:rPr>
                <w:lang w:val="en-US"/>
              </w:rPr>
              <w:t>Difference between interference power and EESS protection criterion (dB) at the maximum permitted e.i.r.p.</w:t>
            </w:r>
          </w:p>
        </w:tc>
        <w:tc>
          <w:tcPr>
            <w:tcW w:w="2155" w:type="dxa"/>
          </w:tcPr>
          <w:p w:rsidR="00B9359B" w:rsidRDefault="009A5268">
            <w:pPr>
              <w:pStyle w:val="Tabletext"/>
              <w:framePr w:hSpace="181" w:wrap="notBeside" w:vAnchor="text" w:hAnchor="text" w:xAlign="center" w:y="1"/>
              <w:spacing w:before="50" w:after="50"/>
              <w:jc w:val="center"/>
              <w:rPr>
                <w:lang w:val="en-US"/>
              </w:rPr>
            </w:pPr>
            <w:r>
              <w:rPr>
                <w:lang w:val="en-US"/>
              </w:rPr>
              <w:t>11</w:t>
            </w:r>
          </w:p>
        </w:tc>
        <w:tc>
          <w:tcPr>
            <w:tcW w:w="2155" w:type="dxa"/>
          </w:tcPr>
          <w:p w:rsidR="00B9359B" w:rsidRDefault="009A5268">
            <w:pPr>
              <w:pStyle w:val="Tabletext"/>
              <w:framePr w:hSpace="181" w:wrap="notBeside" w:vAnchor="text" w:hAnchor="text" w:xAlign="center" w:y="1"/>
              <w:spacing w:before="50" w:after="50"/>
              <w:jc w:val="center"/>
              <w:rPr>
                <w:lang w:val="en-US"/>
              </w:rPr>
            </w:pPr>
            <w:r>
              <w:rPr>
                <w:lang w:val="en-US"/>
              </w:rPr>
              <w:t>1</w:t>
            </w:r>
          </w:p>
        </w:tc>
      </w:tr>
    </w:tbl>
    <w:p w:rsidR="00B9359B" w:rsidRDefault="00B9359B">
      <w:pPr>
        <w:pStyle w:val="Tablefin"/>
      </w:pPr>
    </w:p>
    <w:p w:rsidR="00B9359B" w:rsidRDefault="009A5268">
      <w:pPr>
        <w:rPr>
          <w:lang w:val="en-US"/>
        </w:rPr>
      </w:pPr>
      <w:r>
        <w:rPr>
          <w:lang w:val="en-US"/>
        </w:rPr>
        <w:t xml:space="preserve">For one FSAT-MULTI-1B satellite, the calculated interference level does not exceed the EESS interference criteria. The total constellation for FSAT-MULTI-1B is composed of 64 satellites. </w:t>
      </w:r>
    </w:p>
    <w:p w:rsidR="00B9359B" w:rsidRDefault="009A5268">
      <w:pPr>
        <w:rPr>
          <w:lang w:val="en-US"/>
        </w:rPr>
      </w:pPr>
      <w:r>
        <w:rPr>
          <w:lang w:val="en-US"/>
        </w:rPr>
        <w:t>Assuming that:</w:t>
      </w:r>
    </w:p>
    <w:p w:rsidR="00B9359B" w:rsidRDefault="009A5268">
      <w:pPr>
        <w:pStyle w:val="enumlev1"/>
        <w:rPr>
          <w:lang w:val="en-US"/>
        </w:rPr>
      </w:pPr>
      <w:r>
        <w:rPr>
          <w:lang w:val="en-US"/>
        </w:rPr>
        <w:t>–</w:t>
      </w:r>
      <w:r>
        <w:rPr>
          <w:lang w:val="en-US"/>
        </w:rPr>
        <w:tab/>
        <w:t>it is possible to have up to two satellites in visibility of the EESS sensor; and</w:t>
      </w:r>
    </w:p>
    <w:p w:rsidR="00B9359B" w:rsidRDefault="009A5268">
      <w:pPr>
        <w:pStyle w:val="enumlev1"/>
        <w:rPr>
          <w:lang w:val="en-US"/>
        </w:rPr>
      </w:pPr>
      <w:r>
        <w:rPr>
          <w:lang w:val="en-US"/>
        </w:rPr>
        <w:t>–</w:t>
      </w:r>
      <w:r>
        <w:rPr>
          <w:lang w:val="en-US"/>
        </w:rPr>
        <w:tab/>
        <w:t xml:space="preserve">the individual received power at the EESS is more or less the same (i.e. </w:t>
      </w:r>
      <w:r>
        <w:rPr>
          <w:rFonts w:ascii="Symbol" w:hAnsi="Symbol"/>
          <w:lang w:val="en-US"/>
        </w:rPr>
        <w:noBreakHyphen/>
      </w:r>
      <w:r>
        <w:rPr>
          <w:lang w:val="en-US"/>
        </w:rPr>
        <w:t>169 dBW for a bandwidth of 20 MHz for MEGHA</w:t>
      </w:r>
      <w:r>
        <w:rPr>
          <w:lang w:val="en-US"/>
        </w:rPr>
        <w:noBreakHyphen/>
        <w:t xml:space="preserve">TROPIC and </w:t>
      </w:r>
      <w:r>
        <w:rPr>
          <w:rFonts w:ascii="Symbol" w:hAnsi="Symbol"/>
          <w:lang w:val="en-US"/>
        </w:rPr>
        <w:noBreakHyphen/>
      </w:r>
      <w:r>
        <w:rPr>
          <w:lang w:val="en-US"/>
        </w:rPr>
        <w:t>179 dBW for EOS AMSR</w:t>
      </w:r>
      <w:r>
        <w:rPr>
          <w:lang w:val="en-US"/>
        </w:rPr>
        <w:noBreakHyphen/>
        <w:t>E),</w:t>
      </w:r>
    </w:p>
    <w:p w:rsidR="00B9359B" w:rsidRDefault="009A5268">
      <w:pPr>
        <w:rPr>
          <w:lang w:val="en-US"/>
        </w:rPr>
      </w:pPr>
      <w:r>
        <w:rPr>
          <w:lang w:val="en-US"/>
        </w:rPr>
        <w:br w:type="page"/>
        <w:t>the resulting power valid for two satellites equals 10 log</w:t>
      </w:r>
      <w:r>
        <w:rPr>
          <w:vertAlign w:val="subscript"/>
          <w:lang w:val="en-US"/>
        </w:rPr>
        <w:t>10</w:t>
      </w:r>
      <w:r>
        <w:rPr>
          <w:lang w:val="en-US"/>
        </w:rPr>
        <w:t> (2 </w:t>
      </w:r>
      <w:r>
        <w:rPr>
          <w:rFonts w:ascii="Symbol" w:hAnsi="Symbol"/>
        </w:rPr>
        <w:t></w:t>
      </w:r>
      <w:r>
        <w:rPr>
          <w:lang w:val="en-US"/>
        </w:rPr>
        <w:t> 10</w:t>
      </w:r>
      <w:r>
        <w:rPr>
          <w:vertAlign w:val="superscript"/>
          <w:lang w:val="en-US"/>
        </w:rPr>
        <w:t>–16.9</w:t>
      </w:r>
      <w:r>
        <w:rPr>
          <w:lang w:val="en-US"/>
        </w:rPr>
        <w:t>) </w:t>
      </w:r>
      <w:r>
        <w:rPr>
          <w:rFonts w:ascii="Symbol" w:hAnsi="Symbol"/>
          <w:lang w:val="en-US"/>
        </w:rPr>
        <w:t></w:t>
      </w:r>
      <w:r>
        <w:rPr>
          <w:lang w:val="en-US"/>
        </w:rPr>
        <w:t> </w:t>
      </w:r>
      <w:r>
        <w:rPr>
          <w:rFonts w:ascii="Symbol" w:hAnsi="Symbol"/>
          <w:lang w:val="en-US"/>
        </w:rPr>
        <w:noBreakHyphen/>
      </w:r>
      <w:r>
        <w:rPr>
          <w:lang w:val="en-US"/>
        </w:rPr>
        <w:t>166 dBW for MEGHA</w:t>
      </w:r>
      <w:r>
        <w:rPr>
          <w:lang w:val="en-US"/>
        </w:rPr>
        <w:noBreakHyphen/>
        <w:t>TROPIC and 10 log</w:t>
      </w:r>
      <w:r>
        <w:rPr>
          <w:vertAlign w:val="subscript"/>
          <w:lang w:val="en-US"/>
        </w:rPr>
        <w:t>10</w:t>
      </w:r>
      <w:r>
        <w:rPr>
          <w:lang w:val="en-US"/>
        </w:rPr>
        <w:t> (2 </w:t>
      </w:r>
      <w:r>
        <w:rPr>
          <w:rFonts w:ascii="Symbol" w:hAnsi="Symbol"/>
        </w:rPr>
        <w:t></w:t>
      </w:r>
      <w:r>
        <w:rPr>
          <w:lang w:val="en-US"/>
        </w:rPr>
        <w:t> 10</w:t>
      </w:r>
      <w:r>
        <w:rPr>
          <w:vertAlign w:val="superscript"/>
          <w:lang w:val="en-US"/>
        </w:rPr>
        <w:t>–17.9</w:t>
      </w:r>
      <w:r>
        <w:rPr>
          <w:lang w:val="en-US"/>
        </w:rPr>
        <w:t>) </w:t>
      </w:r>
      <w:r>
        <w:rPr>
          <w:rFonts w:ascii="Symbol" w:hAnsi="Symbol"/>
          <w:lang w:val="en-US"/>
        </w:rPr>
        <w:t></w:t>
      </w:r>
      <w:r>
        <w:rPr>
          <w:lang w:val="en-US"/>
        </w:rPr>
        <w:t> </w:t>
      </w:r>
      <w:r>
        <w:rPr>
          <w:rFonts w:ascii="Symbol" w:hAnsi="Symbol"/>
          <w:lang w:val="en-US"/>
        </w:rPr>
        <w:noBreakHyphen/>
      </w:r>
      <w:r>
        <w:rPr>
          <w:lang w:val="en-US"/>
        </w:rPr>
        <w:t>176 dBW for EOS AMSR</w:t>
      </w:r>
      <w:r>
        <w:rPr>
          <w:lang w:val="en-US"/>
        </w:rPr>
        <w:noBreakHyphen/>
        <w:t>E. In both cases, the interfering power is also below the required interference threshold.</w:t>
      </w:r>
    </w:p>
    <w:p w:rsidR="00B9359B" w:rsidRDefault="009A5268">
      <w:pPr>
        <w:rPr>
          <w:lang w:val="en-US"/>
        </w:rPr>
      </w:pPr>
      <w:r>
        <w:rPr>
          <w:lang w:val="en-US"/>
        </w:rPr>
        <w:t>For the worst case of a similar non-GSO FSS satellite operating with an e.i.r.p. density that produces the maximum permissible pfd at the Earth’s surface, the calculated power level at the MEGHA</w:t>
      </w:r>
      <w:r>
        <w:rPr>
          <w:lang w:val="en-US"/>
        </w:rPr>
        <w:noBreakHyphen/>
        <w:t>TROPIC satellite exceeds the EESS interference criteria by 11 dB. For the same assumption that two such satellites are simultaneously visible, the calculated interference level exceeds the EESS criteria by (11 </w:t>
      </w:r>
      <w:r>
        <w:rPr>
          <w:rFonts w:ascii="Symbol" w:hAnsi="Symbol"/>
          <w:lang w:val="en-US"/>
        </w:rPr>
        <w:t></w:t>
      </w:r>
      <w:r>
        <w:rPr>
          <w:lang w:val="en-US"/>
        </w:rPr>
        <w:t> 10 log</w:t>
      </w:r>
      <w:r>
        <w:rPr>
          <w:vertAlign w:val="subscript"/>
          <w:lang w:val="en-US"/>
        </w:rPr>
        <w:t>10</w:t>
      </w:r>
      <w:r>
        <w:rPr>
          <w:lang w:val="en-US"/>
        </w:rPr>
        <w:t> 2) </w:t>
      </w:r>
      <w:r>
        <w:rPr>
          <w:rFonts w:ascii="Symbol" w:hAnsi="Symbol"/>
          <w:lang w:val="en-US"/>
        </w:rPr>
        <w:t></w:t>
      </w:r>
      <w:r>
        <w:rPr>
          <w:lang w:val="en-US"/>
        </w:rPr>
        <w:t> 14 dB if each satellite is operating at the maximum permitted pfd level. For the lower altitude EOS AMSR</w:t>
      </w:r>
      <w:r>
        <w:rPr>
          <w:lang w:val="en-US"/>
        </w:rPr>
        <w:noBreakHyphen/>
        <w:t>E passive sensor, the calculated interference level exceeds the EESS criteria by (1 </w:t>
      </w:r>
      <w:r>
        <w:rPr>
          <w:rFonts w:ascii="Symbol" w:hAnsi="Symbol"/>
          <w:lang w:val="en-US"/>
        </w:rPr>
        <w:t></w:t>
      </w:r>
      <w:r>
        <w:rPr>
          <w:lang w:val="en-US"/>
        </w:rPr>
        <w:t> 10 log</w:t>
      </w:r>
      <w:r>
        <w:rPr>
          <w:vertAlign w:val="subscript"/>
          <w:lang w:val="en-US"/>
        </w:rPr>
        <w:t>10</w:t>
      </w:r>
      <w:r>
        <w:rPr>
          <w:lang w:val="en-US"/>
        </w:rPr>
        <w:t> 2) </w:t>
      </w:r>
      <w:r>
        <w:rPr>
          <w:rFonts w:ascii="Symbol" w:hAnsi="Symbol"/>
          <w:lang w:val="en-US"/>
        </w:rPr>
        <w:t></w:t>
      </w:r>
      <w:r>
        <w:rPr>
          <w:lang w:val="en-US"/>
        </w:rPr>
        <w:t> 4 dB for this two satellite case.</w:t>
      </w:r>
    </w:p>
    <w:p w:rsidR="00B9359B" w:rsidRDefault="009A5268">
      <w:pPr>
        <w:pStyle w:val="Heading4"/>
        <w:rPr>
          <w:lang w:val="en-US"/>
        </w:rPr>
      </w:pPr>
      <w:bookmarkStart w:id="253" w:name="_Toc51045653"/>
      <w:r>
        <w:rPr>
          <w:lang w:val="en-US"/>
        </w:rPr>
        <w:t>4.2.2.2</w:t>
      </w:r>
      <w:r>
        <w:rPr>
          <w:lang w:val="en-US"/>
        </w:rPr>
        <w:tab/>
        <w:t>Case 2 – Non-GSO networks (near-grazing path)</w:t>
      </w:r>
      <w:bookmarkEnd w:id="253"/>
    </w:p>
    <w:p w:rsidR="00B9359B" w:rsidRDefault="009A5268">
      <w:pPr>
        <w:rPr>
          <w:lang w:val="en-US"/>
        </w:rPr>
      </w:pPr>
      <w:r>
        <w:rPr>
          <w:lang w:val="en-US"/>
        </w:rPr>
        <w:t>For case 2, the geometric situation is such that the FSS satellite is in the direction of the maximum antenna gain of the EESS sensor. This case does not exist because:</w:t>
      </w:r>
    </w:p>
    <w:p w:rsidR="00B9359B" w:rsidRDefault="009A5268">
      <w:pPr>
        <w:pStyle w:val="enumlev1"/>
        <w:rPr>
          <w:lang w:val="en-US"/>
        </w:rPr>
      </w:pPr>
      <w:r>
        <w:rPr>
          <w:lang w:val="en-US"/>
        </w:rPr>
        <w:t>–</w:t>
      </w:r>
      <w:r>
        <w:rPr>
          <w:lang w:val="en-US"/>
        </w:rPr>
        <w:tab/>
        <w:t>the full antenna beamwidth of the main beam equals 6.7º and concentrates more than 90% of the energy;</w:t>
      </w:r>
    </w:p>
    <w:p w:rsidR="00B9359B" w:rsidRDefault="009A5268">
      <w:pPr>
        <w:pStyle w:val="enumlev1"/>
        <w:rPr>
          <w:lang w:val="en-US"/>
        </w:rPr>
      </w:pPr>
      <w:r>
        <w:rPr>
          <w:lang w:val="en-US"/>
        </w:rPr>
        <w:t>–</w:t>
      </w:r>
      <w:r>
        <w:rPr>
          <w:lang w:val="en-US"/>
        </w:rPr>
        <w:tab/>
        <w:t>the actual and operational off-nadir angle of the EESS sensor is 44º;</w:t>
      </w:r>
    </w:p>
    <w:p w:rsidR="00B9359B" w:rsidRDefault="009A5268">
      <w:pPr>
        <w:pStyle w:val="enumlev1"/>
        <w:rPr>
          <w:lang w:val="en-US"/>
        </w:rPr>
      </w:pPr>
      <w:r>
        <w:rPr>
          <w:lang w:val="en-US"/>
        </w:rPr>
        <w:t>–</w:t>
      </w:r>
      <w:r>
        <w:rPr>
          <w:lang w:val="en-US"/>
        </w:rPr>
        <w:tab/>
        <w:t>the minimum off-nadir of the EESS satellite where the sky is seen is about 60º; and</w:t>
      </w:r>
    </w:p>
    <w:p w:rsidR="00B9359B" w:rsidRDefault="009A5268">
      <w:pPr>
        <w:pStyle w:val="enumlev1"/>
        <w:rPr>
          <w:lang w:val="en-US"/>
        </w:rPr>
      </w:pPr>
      <w:r>
        <w:rPr>
          <w:lang w:val="en-US"/>
        </w:rPr>
        <w:t>–</w:t>
      </w:r>
      <w:r>
        <w:rPr>
          <w:lang w:val="en-US"/>
        </w:rPr>
        <w:tab/>
        <w:t>the</w:t>
      </w:r>
      <w:r>
        <w:rPr>
          <w:sz w:val="23"/>
          <w:lang w:val="en-US"/>
        </w:rPr>
        <w:t xml:space="preserve"> </w:t>
      </w:r>
      <w:r>
        <w:rPr>
          <w:lang w:val="en-US"/>
        </w:rPr>
        <w:t>EESS</w:t>
      </w:r>
      <w:r>
        <w:rPr>
          <w:sz w:val="23"/>
          <w:lang w:val="en-US"/>
        </w:rPr>
        <w:t xml:space="preserve"> </w:t>
      </w:r>
      <w:r>
        <w:rPr>
          <w:lang w:val="en-US"/>
        </w:rPr>
        <w:t>antenna</w:t>
      </w:r>
      <w:r>
        <w:rPr>
          <w:sz w:val="23"/>
          <w:lang w:val="en-US"/>
        </w:rPr>
        <w:t xml:space="preserve"> </w:t>
      </w:r>
      <w:r>
        <w:rPr>
          <w:lang w:val="en-US"/>
        </w:rPr>
        <w:t>side</w:t>
      </w:r>
      <w:r>
        <w:rPr>
          <w:sz w:val="23"/>
          <w:lang w:val="en-US"/>
        </w:rPr>
        <w:t xml:space="preserve"> </w:t>
      </w:r>
      <w:r>
        <w:rPr>
          <w:lang w:val="en-US"/>
        </w:rPr>
        <w:t>lobes</w:t>
      </w:r>
      <w:r>
        <w:rPr>
          <w:sz w:val="23"/>
          <w:lang w:val="en-US"/>
        </w:rPr>
        <w:t xml:space="preserve"> </w:t>
      </w:r>
      <w:r>
        <w:rPr>
          <w:lang w:val="en-US"/>
        </w:rPr>
        <w:t>above</w:t>
      </w:r>
      <w:r>
        <w:rPr>
          <w:sz w:val="23"/>
          <w:lang w:val="en-US"/>
        </w:rPr>
        <w:t xml:space="preserve"> </w:t>
      </w:r>
      <w:r>
        <w:rPr>
          <w:lang w:val="en-US"/>
        </w:rPr>
        <w:t>this</w:t>
      </w:r>
      <w:r>
        <w:rPr>
          <w:sz w:val="23"/>
          <w:lang w:val="en-US"/>
        </w:rPr>
        <w:t xml:space="preserve"> </w:t>
      </w:r>
      <w:r>
        <w:rPr>
          <w:lang w:val="en-US"/>
        </w:rPr>
        <w:t>minimum</w:t>
      </w:r>
      <w:r>
        <w:rPr>
          <w:sz w:val="23"/>
          <w:lang w:val="en-US"/>
        </w:rPr>
        <w:t xml:space="preserve"> </w:t>
      </w:r>
      <w:r>
        <w:rPr>
          <w:lang w:val="en-US"/>
        </w:rPr>
        <w:t>off-nadir</w:t>
      </w:r>
      <w:r>
        <w:rPr>
          <w:sz w:val="23"/>
          <w:lang w:val="en-US"/>
        </w:rPr>
        <w:t xml:space="preserve"> </w:t>
      </w:r>
      <w:r>
        <w:rPr>
          <w:lang w:val="en-US"/>
        </w:rPr>
        <w:t>angle</w:t>
      </w:r>
      <w:r>
        <w:rPr>
          <w:sz w:val="23"/>
          <w:lang w:val="en-US"/>
        </w:rPr>
        <w:t xml:space="preserve"> </w:t>
      </w:r>
      <w:r>
        <w:rPr>
          <w:lang w:val="en-US"/>
        </w:rPr>
        <w:t>are</w:t>
      </w:r>
      <w:r>
        <w:rPr>
          <w:sz w:val="23"/>
          <w:lang w:val="en-US"/>
        </w:rPr>
        <w:t xml:space="preserve"> </w:t>
      </w:r>
      <w:r>
        <w:rPr>
          <w:lang w:val="en-US"/>
        </w:rPr>
        <w:t>already</w:t>
      </w:r>
      <w:r>
        <w:rPr>
          <w:sz w:val="23"/>
          <w:lang w:val="en-US"/>
        </w:rPr>
        <w:t xml:space="preserve"> </w:t>
      </w:r>
      <w:r>
        <w:rPr>
          <w:lang w:val="en-US"/>
        </w:rPr>
        <w:t>below</w:t>
      </w:r>
      <w:r>
        <w:rPr>
          <w:sz w:val="23"/>
          <w:lang w:val="en-US"/>
        </w:rPr>
        <w:t> </w:t>
      </w:r>
      <w:r>
        <w:rPr>
          <w:rFonts w:ascii="Symbol" w:hAnsi="Symbol"/>
          <w:lang w:val="en-US"/>
        </w:rPr>
        <w:noBreakHyphen/>
      </w:r>
      <w:r>
        <w:rPr>
          <w:lang w:val="en-US"/>
        </w:rPr>
        <w:t>30</w:t>
      </w:r>
      <w:r>
        <w:rPr>
          <w:sz w:val="23"/>
          <w:lang w:val="en-US"/>
        </w:rPr>
        <w:t> </w:t>
      </w:r>
      <w:r>
        <w:rPr>
          <w:lang w:val="en-US"/>
        </w:rPr>
        <w:t>dB.</w:t>
      </w:r>
    </w:p>
    <w:p w:rsidR="00B9359B" w:rsidRDefault="009A5268">
      <w:pPr>
        <w:pStyle w:val="Heading3"/>
        <w:rPr>
          <w:lang w:val="en-US"/>
        </w:rPr>
      </w:pPr>
      <w:bookmarkStart w:id="254" w:name="_Toc51045654"/>
      <w:r>
        <w:rPr>
          <w:lang w:val="en-US"/>
        </w:rPr>
        <w:t>4.2.3</w:t>
      </w:r>
      <w:r>
        <w:rPr>
          <w:lang w:val="en-US"/>
        </w:rPr>
        <w:tab/>
        <w:t>Calculations with the HEO/Elliptical networks (back lobe reception)</w:t>
      </w:r>
      <w:bookmarkEnd w:id="254"/>
    </w:p>
    <w:p w:rsidR="00B9359B" w:rsidRDefault="009A5268">
      <w:pPr>
        <w:rPr>
          <w:lang w:val="en-US"/>
        </w:rPr>
      </w:pPr>
      <w:r>
        <w:rPr>
          <w:lang w:val="en-US"/>
        </w:rPr>
        <w:t>The geometric situation, which is under consideration is such that the EESS sensor is located directly below the transmitting FSS satellite.</w:t>
      </w:r>
    </w:p>
    <w:p w:rsidR="00B9359B" w:rsidRDefault="009A5268">
      <w:pPr>
        <w:rPr>
          <w:lang w:val="en-US"/>
        </w:rPr>
      </w:pPr>
      <w:r>
        <w:rPr>
          <w:lang w:val="en-US"/>
        </w:rPr>
        <w:t>The difference between interference level and EESS criteria is calculated in Table 19 when the FSS downlinks are co-frequency with the EESS (passive) sensors. In the case of perigee operations, the e.i.r.p./carrier has been adjusted to the level that would just produce the maximum pfd permitted at the Earth’s surface.</w:t>
      </w:r>
    </w:p>
    <w:p w:rsidR="00B9359B" w:rsidRDefault="009A5268">
      <w:pPr>
        <w:pStyle w:val="TableNo"/>
        <w:rPr>
          <w:lang w:val="en-US"/>
        </w:rPr>
      </w:pPr>
      <w:r>
        <w:rPr>
          <w:lang w:val="en-US"/>
        </w:rPr>
        <w:t>TABLE  19</w:t>
      </w:r>
    </w:p>
    <w:p w:rsidR="00B9359B" w:rsidRDefault="009A5268">
      <w:pPr>
        <w:pStyle w:val="Tabletitle"/>
        <w:spacing w:before="120"/>
        <w:rPr>
          <w:lang w:val="en-US"/>
        </w:rPr>
      </w:pPr>
      <w:r>
        <w:rPr>
          <w:lang w:val="en-US"/>
        </w:rPr>
        <w:t>Compatibility analysis with elliptical networks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30"/>
        <w:gridCol w:w="1077"/>
        <w:gridCol w:w="1078"/>
        <w:gridCol w:w="1077"/>
        <w:gridCol w:w="1078"/>
      </w:tblGrid>
      <w:tr w:rsidR="00B9359B">
        <w:tc>
          <w:tcPr>
            <w:tcW w:w="5330" w:type="dxa"/>
          </w:tcPr>
          <w:p w:rsidR="00B9359B" w:rsidRDefault="009A5268">
            <w:pPr>
              <w:pStyle w:val="Tablehead"/>
              <w:framePr w:hSpace="181" w:wrap="notBeside" w:vAnchor="text" w:hAnchor="text" w:xAlign="center" w:y="1"/>
              <w:spacing w:before="120" w:after="120"/>
              <w:rPr>
                <w:lang w:val="es-ES"/>
              </w:rPr>
            </w:pPr>
            <w:r>
              <w:rPr>
                <w:lang w:val="es-ES"/>
              </w:rPr>
              <w:t>Parameter</w:t>
            </w:r>
          </w:p>
        </w:tc>
        <w:tc>
          <w:tcPr>
            <w:tcW w:w="2155" w:type="dxa"/>
            <w:gridSpan w:val="2"/>
          </w:tcPr>
          <w:p w:rsidR="00B9359B" w:rsidRDefault="009A5268">
            <w:pPr>
              <w:pStyle w:val="Tablehead"/>
              <w:framePr w:hSpace="181" w:wrap="notBeside" w:vAnchor="text" w:hAnchor="text" w:xAlign="center" w:y="1"/>
              <w:spacing w:before="120" w:after="120"/>
              <w:rPr>
                <w:lang w:val="es-ES"/>
              </w:rPr>
            </w:pPr>
            <w:r>
              <w:rPr>
                <w:lang w:val="es-ES"/>
              </w:rPr>
              <w:t>MEGHA-TROPIC</w:t>
            </w:r>
          </w:p>
        </w:tc>
        <w:tc>
          <w:tcPr>
            <w:tcW w:w="2155" w:type="dxa"/>
            <w:gridSpan w:val="2"/>
          </w:tcPr>
          <w:p w:rsidR="00B9359B" w:rsidRDefault="009A5268">
            <w:pPr>
              <w:pStyle w:val="Tablehead"/>
              <w:framePr w:hSpace="181" w:wrap="notBeside" w:vAnchor="text" w:hAnchor="text" w:xAlign="center" w:y="1"/>
              <w:spacing w:before="120" w:after="120"/>
              <w:rPr>
                <w:lang w:val="es-ES"/>
              </w:rPr>
            </w:pPr>
            <w:r>
              <w:rPr>
                <w:lang w:val="es-ES"/>
              </w:rPr>
              <w:t>EOS</w:t>
            </w:r>
            <w:r>
              <w:rPr>
                <w:sz w:val="16"/>
                <w:lang w:val="es-ES"/>
              </w:rPr>
              <w:t xml:space="preserve">  </w:t>
            </w:r>
            <w:r>
              <w:rPr>
                <w:lang w:val="es-ES"/>
              </w:rPr>
              <w:t>AMSR-E</w:t>
            </w:r>
          </w:p>
        </w:tc>
      </w:tr>
      <w:tr w:rsidR="00B9359B">
        <w:tc>
          <w:tcPr>
            <w:tcW w:w="5330" w:type="dxa"/>
          </w:tcPr>
          <w:p w:rsidR="00B9359B" w:rsidRDefault="009A5268">
            <w:pPr>
              <w:pStyle w:val="Tabletext"/>
              <w:framePr w:hSpace="181" w:wrap="notBeside" w:vAnchor="text" w:hAnchor="text" w:xAlign="center" w:y="1"/>
              <w:spacing w:before="50" w:after="50"/>
              <w:jc w:val="left"/>
              <w:rPr>
                <w:lang w:val="en-US"/>
              </w:rPr>
            </w:pPr>
            <w:r>
              <w:rPr>
                <w:lang w:val="en-US"/>
              </w:rPr>
              <w:t>Downlink frequency range (GHz)</w:t>
            </w:r>
          </w:p>
        </w:tc>
        <w:tc>
          <w:tcPr>
            <w:tcW w:w="2155" w:type="dxa"/>
            <w:gridSpan w:val="2"/>
          </w:tcPr>
          <w:p w:rsidR="00B9359B" w:rsidRDefault="009A5268">
            <w:pPr>
              <w:pStyle w:val="Tabletext"/>
              <w:framePr w:hSpace="181" w:wrap="notBeside" w:vAnchor="text" w:hAnchor="text" w:xAlign="center" w:y="1"/>
              <w:spacing w:before="50" w:after="50"/>
              <w:jc w:val="center"/>
              <w:rPr>
                <w:lang w:val="en-US"/>
              </w:rPr>
            </w:pPr>
            <w:r>
              <w:rPr>
                <w:lang w:val="en-US"/>
              </w:rPr>
              <w:t>10.7-11.7</w:t>
            </w:r>
          </w:p>
        </w:tc>
        <w:tc>
          <w:tcPr>
            <w:tcW w:w="2155" w:type="dxa"/>
            <w:gridSpan w:val="2"/>
          </w:tcPr>
          <w:p w:rsidR="00B9359B" w:rsidRDefault="009A5268">
            <w:pPr>
              <w:pStyle w:val="Tabletext"/>
              <w:framePr w:hSpace="181" w:wrap="notBeside" w:vAnchor="text" w:hAnchor="text" w:xAlign="center" w:y="1"/>
              <w:spacing w:before="50" w:after="50"/>
              <w:jc w:val="center"/>
              <w:rPr>
                <w:lang w:val="en-US"/>
              </w:rPr>
            </w:pPr>
            <w:r>
              <w:rPr>
                <w:lang w:val="en-US"/>
              </w:rPr>
              <w:t>10.7-11.7</w:t>
            </w:r>
          </w:p>
        </w:tc>
      </w:tr>
      <w:tr w:rsidR="00B9359B">
        <w:tc>
          <w:tcPr>
            <w:tcW w:w="5330" w:type="dxa"/>
          </w:tcPr>
          <w:p w:rsidR="00B9359B" w:rsidRDefault="009A5268">
            <w:pPr>
              <w:pStyle w:val="Tabletext"/>
              <w:framePr w:hSpace="181" w:wrap="notBeside" w:vAnchor="text" w:hAnchor="text" w:xAlign="center" w:y="1"/>
              <w:spacing w:before="50" w:after="50"/>
              <w:jc w:val="left"/>
              <w:rPr>
                <w:lang w:val="en-US"/>
              </w:rPr>
            </w:pPr>
            <w:r>
              <w:rPr>
                <w:lang w:val="en-US"/>
              </w:rPr>
              <w:t>e.i.r.p./carrier for one beam (dBW)</w:t>
            </w:r>
          </w:p>
        </w:tc>
        <w:tc>
          <w:tcPr>
            <w:tcW w:w="2155" w:type="dxa"/>
            <w:gridSpan w:val="2"/>
          </w:tcPr>
          <w:p w:rsidR="00B9359B" w:rsidRDefault="009A5268">
            <w:pPr>
              <w:pStyle w:val="Tabletext"/>
              <w:framePr w:hSpace="181" w:wrap="notBeside" w:vAnchor="text" w:hAnchor="text" w:xAlign="center" w:y="1"/>
              <w:spacing w:before="50" w:after="50"/>
              <w:jc w:val="center"/>
              <w:rPr>
                <w:lang w:val="en-US"/>
              </w:rPr>
            </w:pPr>
            <w:r>
              <w:rPr>
                <w:lang w:val="en-US"/>
              </w:rPr>
              <w:t>58</w:t>
            </w:r>
          </w:p>
        </w:tc>
        <w:tc>
          <w:tcPr>
            <w:tcW w:w="2155" w:type="dxa"/>
            <w:gridSpan w:val="2"/>
          </w:tcPr>
          <w:p w:rsidR="00B9359B" w:rsidRDefault="009A5268">
            <w:pPr>
              <w:pStyle w:val="Tabletext"/>
              <w:framePr w:hSpace="181" w:wrap="notBeside" w:vAnchor="text" w:hAnchor="text" w:xAlign="center" w:y="1"/>
              <w:spacing w:before="50" w:after="50"/>
              <w:jc w:val="center"/>
              <w:rPr>
                <w:lang w:val="en-US"/>
              </w:rPr>
            </w:pPr>
            <w:r>
              <w:rPr>
                <w:lang w:val="en-US"/>
              </w:rPr>
              <w:t>58</w:t>
            </w:r>
          </w:p>
        </w:tc>
      </w:tr>
      <w:tr w:rsidR="00B9359B">
        <w:tc>
          <w:tcPr>
            <w:tcW w:w="5330" w:type="dxa"/>
          </w:tcPr>
          <w:p w:rsidR="00B9359B" w:rsidRDefault="009A5268">
            <w:pPr>
              <w:pStyle w:val="Tabletext"/>
              <w:framePr w:hSpace="181" w:wrap="notBeside" w:vAnchor="text" w:hAnchor="text" w:xAlign="center" w:y="1"/>
              <w:spacing w:before="50" w:after="50"/>
              <w:jc w:val="left"/>
              <w:rPr>
                <w:lang w:val="en-US"/>
              </w:rPr>
            </w:pPr>
            <w:r>
              <w:rPr>
                <w:lang w:val="en-US"/>
              </w:rPr>
              <w:t>Bandwidth (MHz)</w:t>
            </w:r>
          </w:p>
        </w:tc>
        <w:tc>
          <w:tcPr>
            <w:tcW w:w="2155" w:type="dxa"/>
            <w:gridSpan w:val="2"/>
          </w:tcPr>
          <w:p w:rsidR="00B9359B" w:rsidRDefault="009A5268">
            <w:pPr>
              <w:pStyle w:val="Tabletext"/>
              <w:framePr w:hSpace="181" w:wrap="notBeside" w:vAnchor="text" w:hAnchor="text" w:xAlign="center" w:y="1"/>
              <w:spacing w:before="50" w:after="50"/>
              <w:jc w:val="center"/>
              <w:rPr>
                <w:lang w:val="en-US"/>
              </w:rPr>
            </w:pPr>
            <w:r>
              <w:rPr>
                <w:lang w:val="en-US"/>
              </w:rPr>
              <w:t>24</w:t>
            </w:r>
          </w:p>
        </w:tc>
        <w:tc>
          <w:tcPr>
            <w:tcW w:w="2155" w:type="dxa"/>
            <w:gridSpan w:val="2"/>
          </w:tcPr>
          <w:p w:rsidR="00B9359B" w:rsidRDefault="009A5268">
            <w:pPr>
              <w:pStyle w:val="Tabletext"/>
              <w:framePr w:hSpace="181" w:wrap="notBeside" w:vAnchor="text" w:hAnchor="text" w:xAlign="center" w:y="1"/>
              <w:spacing w:before="50" w:after="50"/>
              <w:jc w:val="center"/>
              <w:rPr>
                <w:lang w:val="en-US"/>
              </w:rPr>
            </w:pPr>
            <w:r>
              <w:rPr>
                <w:lang w:val="en-US"/>
              </w:rPr>
              <w:t>24</w:t>
            </w:r>
          </w:p>
        </w:tc>
      </w:tr>
      <w:tr w:rsidR="00B9359B">
        <w:tc>
          <w:tcPr>
            <w:tcW w:w="5330" w:type="dxa"/>
          </w:tcPr>
          <w:p w:rsidR="00B9359B" w:rsidRDefault="009A5268">
            <w:pPr>
              <w:pStyle w:val="Tabletext"/>
              <w:framePr w:hSpace="181" w:wrap="notBeside" w:vAnchor="text" w:hAnchor="text" w:xAlign="center" w:y="1"/>
              <w:spacing w:before="50" w:after="50"/>
              <w:jc w:val="left"/>
              <w:rPr>
                <w:lang w:val="en-US"/>
              </w:rPr>
            </w:pPr>
            <w:r>
              <w:rPr>
                <w:lang w:val="en-US"/>
              </w:rPr>
              <w:t>Distance FSAT-EESS (km)</w:t>
            </w:r>
          </w:p>
        </w:tc>
        <w:tc>
          <w:tcPr>
            <w:tcW w:w="1077" w:type="dxa"/>
          </w:tcPr>
          <w:p w:rsidR="00B9359B" w:rsidRDefault="009A5268">
            <w:pPr>
              <w:pStyle w:val="Tabletext"/>
              <w:framePr w:hSpace="181" w:wrap="notBeside" w:vAnchor="text" w:hAnchor="text" w:xAlign="center" w:y="1"/>
              <w:spacing w:before="50" w:after="50"/>
              <w:jc w:val="center"/>
              <w:rPr>
                <w:lang w:val="es-ES"/>
              </w:rPr>
            </w:pPr>
            <w:r>
              <w:rPr>
                <w:lang w:val="es-ES"/>
              </w:rPr>
              <w:t>40</w:t>
            </w:r>
            <w:r>
              <w:rPr>
                <w:rFonts w:ascii="Tms Rmn" w:hAnsi="Tms Rmn"/>
                <w:sz w:val="12"/>
                <w:lang w:val="es-ES"/>
              </w:rPr>
              <w:t> </w:t>
            </w:r>
            <w:r>
              <w:rPr>
                <w:lang w:val="es-ES"/>
              </w:rPr>
              <w:t>632 (apogee)</w:t>
            </w:r>
          </w:p>
        </w:tc>
        <w:tc>
          <w:tcPr>
            <w:tcW w:w="1078" w:type="dxa"/>
          </w:tcPr>
          <w:p w:rsidR="00B9359B" w:rsidRDefault="009A5268">
            <w:pPr>
              <w:pStyle w:val="Tabletext"/>
              <w:framePr w:hSpace="181" w:wrap="notBeside" w:vAnchor="text" w:hAnchor="text" w:xAlign="center" w:y="1"/>
              <w:spacing w:before="50" w:after="50"/>
              <w:jc w:val="center"/>
              <w:rPr>
                <w:lang w:val="es-ES"/>
              </w:rPr>
            </w:pPr>
            <w:r>
              <w:rPr>
                <w:lang w:val="es-ES"/>
              </w:rPr>
              <w:t>3</w:t>
            </w:r>
            <w:r>
              <w:rPr>
                <w:rFonts w:ascii="Tms Rmn" w:hAnsi="Tms Rmn"/>
                <w:sz w:val="12"/>
                <w:lang w:val="es-ES"/>
              </w:rPr>
              <w:t> </w:t>
            </w:r>
            <w:r>
              <w:rPr>
                <w:lang w:val="es-ES"/>
              </w:rPr>
              <w:t>283 (perigee)</w:t>
            </w:r>
          </w:p>
        </w:tc>
        <w:tc>
          <w:tcPr>
            <w:tcW w:w="1077" w:type="dxa"/>
          </w:tcPr>
          <w:p w:rsidR="00B9359B" w:rsidRDefault="009A5268">
            <w:pPr>
              <w:pStyle w:val="Tabletext"/>
              <w:framePr w:hSpace="181" w:wrap="notBeside" w:vAnchor="text" w:hAnchor="text" w:xAlign="center" w:y="1"/>
              <w:spacing w:before="50" w:after="50"/>
              <w:jc w:val="center"/>
              <w:rPr>
                <w:lang w:val="es-ES"/>
              </w:rPr>
            </w:pPr>
            <w:r>
              <w:rPr>
                <w:lang w:val="es-ES"/>
              </w:rPr>
              <w:t>40</w:t>
            </w:r>
            <w:r>
              <w:rPr>
                <w:rFonts w:ascii="Tms Rmn" w:hAnsi="Tms Rmn"/>
                <w:sz w:val="12"/>
                <w:lang w:val="es-ES"/>
              </w:rPr>
              <w:t> </w:t>
            </w:r>
            <w:r>
              <w:rPr>
                <w:lang w:val="es-ES"/>
              </w:rPr>
              <w:t>744 (apogee)</w:t>
            </w:r>
          </w:p>
        </w:tc>
        <w:tc>
          <w:tcPr>
            <w:tcW w:w="1078" w:type="dxa"/>
          </w:tcPr>
          <w:p w:rsidR="00B9359B" w:rsidRDefault="009A5268">
            <w:pPr>
              <w:pStyle w:val="Tabletext"/>
              <w:framePr w:hSpace="181" w:wrap="notBeside" w:vAnchor="text" w:hAnchor="text" w:xAlign="center" w:y="1"/>
              <w:spacing w:before="50" w:after="50"/>
              <w:jc w:val="center"/>
              <w:rPr>
                <w:lang w:val="en-US"/>
              </w:rPr>
            </w:pPr>
            <w:r>
              <w:rPr>
                <w:lang w:val="en-US"/>
              </w:rPr>
              <w:t>3</w:t>
            </w:r>
            <w:r>
              <w:rPr>
                <w:rFonts w:ascii="Tms Rmn" w:hAnsi="Tms Rmn"/>
                <w:sz w:val="12"/>
                <w:lang w:val="en-US"/>
              </w:rPr>
              <w:t> </w:t>
            </w:r>
            <w:r>
              <w:rPr>
                <w:lang w:val="en-US"/>
              </w:rPr>
              <w:t>395 (perigee)</w:t>
            </w:r>
          </w:p>
        </w:tc>
      </w:tr>
      <w:tr w:rsidR="00B9359B">
        <w:tc>
          <w:tcPr>
            <w:tcW w:w="5330" w:type="dxa"/>
          </w:tcPr>
          <w:p w:rsidR="00B9359B" w:rsidRDefault="009A5268">
            <w:pPr>
              <w:pStyle w:val="Tabletext"/>
              <w:framePr w:hSpace="181" w:wrap="notBeside" w:vAnchor="text" w:hAnchor="text" w:xAlign="center" w:y="1"/>
              <w:spacing w:before="50" w:after="50"/>
              <w:jc w:val="left"/>
              <w:rPr>
                <w:lang w:val="en-US"/>
              </w:rPr>
            </w:pPr>
            <w:r>
              <w:rPr>
                <w:lang w:val="en-US"/>
              </w:rPr>
              <w:t>pfd limit adjusted e.i.r.p./carrier at perigee for one beam (dBW)</w:t>
            </w:r>
          </w:p>
        </w:tc>
        <w:tc>
          <w:tcPr>
            <w:tcW w:w="1077" w:type="dxa"/>
          </w:tcPr>
          <w:p w:rsidR="00B9359B" w:rsidRDefault="009A5268">
            <w:pPr>
              <w:pStyle w:val="Tabletext"/>
              <w:framePr w:hSpace="181" w:wrap="notBeside" w:vAnchor="text" w:hAnchor="text" w:xAlign="center" w:y="1"/>
              <w:spacing w:before="50" w:after="50"/>
              <w:jc w:val="center"/>
              <w:rPr>
                <w:lang w:val="en-US"/>
              </w:rPr>
            </w:pPr>
            <w:r>
              <w:rPr>
                <w:lang w:val="en-US"/>
              </w:rPr>
              <w:t>58</w:t>
            </w:r>
          </w:p>
        </w:tc>
        <w:tc>
          <w:tcPr>
            <w:tcW w:w="1078" w:type="dxa"/>
          </w:tcPr>
          <w:p w:rsidR="00B9359B" w:rsidRDefault="009A5268">
            <w:pPr>
              <w:pStyle w:val="Tabletext"/>
              <w:framePr w:hSpace="181" w:wrap="notBeside" w:vAnchor="text" w:hAnchor="text" w:xAlign="center" w:y="1"/>
              <w:spacing w:before="50" w:after="50"/>
              <w:jc w:val="center"/>
              <w:rPr>
                <w:lang w:val="en-US"/>
              </w:rPr>
            </w:pPr>
            <w:r>
              <w:rPr>
                <w:lang w:val="en-US"/>
              </w:rPr>
              <w:t>41</w:t>
            </w:r>
          </w:p>
        </w:tc>
        <w:tc>
          <w:tcPr>
            <w:tcW w:w="1077" w:type="dxa"/>
          </w:tcPr>
          <w:p w:rsidR="00B9359B" w:rsidRDefault="009A5268">
            <w:pPr>
              <w:pStyle w:val="Tabletext"/>
              <w:framePr w:hSpace="181" w:wrap="notBeside" w:vAnchor="text" w:hAnchor="text" w:xAlign="center" w:y="1"/>
              <w:spacing w:before="50" w:after="50"/>
              <w:jc w:val="center"/>
              <w:rPr>
                <w:lang w:val="en-US"/>
              </w:rPr>
            </w:pPr>
            <w:r>
              <w:rPr>
                <w:lang w:val="en-US"/>
              </w:rPr>
              <w:t>58</w:t>
            </w:r>
          </w:p>
        </w:tc>
        <w:tc>
          <w:tcPr>
            <w:tcW w:w="1078" w:type="dxa"/>
          </w:tcPr>
          <w:p w:rsidR="00B9359B" w:rsidRDefault="009A5268">
            <w:pPr>
              <w:pStyle w:val="Tabletext"/>
              <w:framePr w:hSpace="181" w:wrap="notBeside" w:vAnchor="text" w:hAnchor="text" w:xAlign="center" w:y="1"/>
              <w:spacing w:before="50" w:after="50"/>
              <w:jc w:val="center"/>
              <w:rPr>
                <w:lang w:val="en-US"/>
              </w:rPr>
            </w:pPr>
            <w:r>
              <w:rPr>
                <w:lang w:val="en-US"/>
              </w:rPr>
              <w:t>41</w:t>
            </w:r>
          </w:p>
        </w:tc>
      </w:tr>
      <w:tr w:rsidR="00B9359B">
        <w:tc>
          <w:tcPr>
            <w:tcW w:w="5330" w:type="dxa"/>
          </w:tcPr>
          <w:p w:rsidR="00B9359B" w:rsidRDefault="009A5268">
            <w:pPr>
              <w:pStyle w:val="Tabletext"/>
              <w:framePr w:hSpace="181" w:wrap="notBeside" w:vAnchor="text" w:hAnchor="text" w:xAlign="center" w:y="1"/>
              <w:spacing w:before="50" w:after="50"/>
              <w:jc w:val="left"/>
              <w:rPr>
                <w:lang w:val="en-US"/>
              </w:rPr>
            </w:pPr>
            <w:r>
              <w:rPr>
                <w:lang w:val="en-US"/>
              </w:rPr>
              <w:t>Free space loss (dB)</w:t>
            </w:r>
          </w:p>
        </w:tc>
        <w:tc>
          <w:tcPr>
            <w:tcW w:w="1077" w:type="dxa"/>
          </w:tcPr>
          <w:p w:rsidR="00B9359B" w:rsidRDefault="009A5268">
            <w:pPr>
              <w:pStyle w:val="Tabletext"/>
              <w:framePr w:hSpace="181" w:wrap="notBeside" w:vAnchor="text" w:hAnchor="text" w:xAlign="center" w:y="1"/>
              <w:spacing w:before="50" w:after="50"/>
              <w:jc w:val="center"/>
              <w:rPr>
                <w:lang w:val="en-US"/>
              </w:rPr>
            </w:pPr>
            <w:r>
              <w:rPr>
                <w:lang w:val="en-US"/>
              </w:rPr>
              <w:t>205</w:t>
            </w:r>
          </w:p>
        </w:tc>
        <w:tc>
          <w:tcPr>
            <w:tcW w:w="1078" w:type="dxa"/>
          </w:tcPr>
          <w:p w:rsidR="00B9359B" w:rsidRDefault="009A5268">
            <w:pPr>
              <w:pStyle w:val="Tabletext"/>
              <w:framePr w:hSpace="181" w:wrap="notBeside" w:vAnchor="text" w:hAnchor="text" w:xAlign="center" w:y="1"/>
              <w:spacing w:before="50" w:after="50"/>
              <w:jc w:val="center"/>
              <w:rPr>
                <w:lang w:val="en-US"/>
              </w:rPr>
            </w:pPr>
            <w:r>
              <w:rPr>
                <w:lang w:val="en-US"/>
              </w:rPr>
              <w:t>183</w:t>
            </w:r>
          </w:p>
        </w:tc>
        <w:tc>
          <w:tcPr>
            <w:tcW w:w="1077" w:type="dxa"/>
          </w:tcPr>
          <w:p w:rsidR="00B9359B" w:rsidRDefault="009A5268">
            <w:pPr>
              <w:pStyle w:val="Tabletext"/>
              <w:framePr w:hSpace="181" w:wrap="notBeside" w:vAnchor="text" w:hAnchor="text" w:xAlign="center" w:y="1"/>
              <w:spacing w:before="50" w:after="50"/>
              <w:jc w:val="center"/>
              <w:rPr>
                <w:lang w:val="en-US"/>
              </w:rPr>
            </w:pPr>
            <w:r>
              <w:rPr>
                <w:lang w:val="en-US"/>
              </w:rPr>
              <w:t>205</w:t>
            </w:r>
          </w:p>
        </w:tc>
        <w:tc>
          <w:tcPr>
            <w:tcW w:w="1078" w:type="dxa"/>
          </w:tcPr>
          <w:p w:rsidR="00B9359B" w:rsidRDefault="009A5268">
            <w:pPr>
              <w:pStyle w:val="Tabletext"/>
              <w:framePr w:hSpace="181" w:wrap="notBeside" w:vAnchor="text" w:hAnchor="text" w:xAlign="center" w:y="1"/>
              <w:spacing w:before="50" w:after="50"/>
              <w:jc w:val="center"/>
              <w:rPr>
                <w:lang w:val="en-US"/>
              </w:rPr>
            </w:pPr>
            <w:r>
              <w:rPr>
                <w:lang w:val="en-US"/>
              </w:rPr>
              <w:t>184</w:t>
            </w:r>
          </w:p>
        </w:tc>
      </w:tr>
      <w:tr w:rsidR="00B9359B">
        <w:tc>
          <w:tcPr>
            <w:tcW w:w="5330" w:type="dxa"/>
          </w:tcPr>
          <w:p w:rsidR="00B9359B" w:rsidRDefault="009A5268">
            <w:pPr>
              <w:pStyle w:val="Tabletext"/>
              <w:framePr w:hSpace="181" w:wrap="notBeside" w:vAnchor="text" w:hAnchor="text" w:xAlign="center" w:y="1"/>
              <w:spacing w:before="50" w:after="50"/>
              <w:jc w:val="left"/>
              <w:rPr>
                <w:lang w:val="en-US"/>
              </w:rPr>
            </w:pPr>
            <w:r>
              <w:rPr>
                <w:lang w:val="en-US"/>
              </w:rPr>
              <w:t>EESS paraboloid offset angle to the nadir (degrees)</w:t>
            </w:r>
          </w:p>
        </w:tc>
        <w:tc>
          <w:tcPr>
            <w:tcW w:w="1077" w:type="dxa"/>
          </w:tcPr>
          <w:p w:rsidR="00B9359B" w:rsidRDefault="009A5268">
            <w:pPr>
              <w:pStyle w:val="Tabletext"/>
              <w:framePr w:hSpace="181" w:wrap="notBeside" w:vAnchor="text" w:hAnchor="text" w:xAlign="center" w:y="1"/>
              <w:spacing w:before="50" w:after="50"/>
              <w:jc w:val="center"/>
              <w:rPr>
                <w:lang w:val="en-US"/>
              </w:rPr>
            </w:pPr>
            <w:r>
              <w:rPr>
                <w:lang w:val="en-US"/>
              </w:rPr>
              <w:t>44</w:t>
            </w:r>
          </w:p>
        </w:tc>
        <w:tc>
          <w:tcPr>
            <w:tcW w:w="1078" w:type="dxa"/>
          </w:tcPr>
          <w:p w:rsidR="00B9359B" w:rsidRDefault="009A5268">
            <w:pPr>
              <w:pStyle w:val="Tabletext"/>
              <w:framePr w:hSpace="181" w:wrap="notBeside" w:vAnchor="text" w:hAnchor="text" w:xAlign="center" w:y="1"/>
              <w:spacing w:before="50" w:after="50"/>
              <w:jc w:val="center"/>
              <w:rPr>
                <w:lang w:val="en-US"/>
              </w:rPr>
            </w:pPr>
            <w:r>
              <w:rPr>
                <w:lang w:val="en-US"/>
              </w:rPr>
              <w:t>44</w:t>
            </w:r>
          </w:p>
        </w:tc>
        <w:tc>
          <w:tcPr>
            <w:tcW w:w="1077" w:type="dxa"/>
          </w:tcPr>
          <w:p w:rsidR="00B9359B" w:rsidRDefault="009A5268">
            <w:pPr>
              <w:pStyle w:val="Tabletext"/>
              <w:framePr w:hSpace="181" w:wrap="notBeside" w:vAnchor="text" w:hAnchor="text" w:xAlign="center" w:y="1"/>
              <w:spacing w:before="50" w:after="50"/>
              <w:jc w:val="center"/>
              <w:rPr>
                <w:lang w:val="en-US"/>
              </w:rPr>
            </w:pPr>
            <w:r>
              <w:rPr>
                <w:lang w:val="en-US"/>
              </w:rPr>
              <w:t>47.5</w:t>
            </w:r>
          </w:p>
        </w:tc>
        <w:tc>
          <w:tcPr>
            <w:tcW w:w="1078" w:type="dxa"/>
          </w:tcPr>
          <w:p w:rsidR="00B9359B" w:rsidRDefault="009A5268">
            <w:pPr>
              <w:pStyle w:val="Tabletext"/>
              <w:framePr w:hSpace="181" w:wrap="notBeside" w:vAnchor="text" w:hAnchor="text" w:xAlign="center" w:y="1"/>
              <w:spacing w:before="50" w:after="50"/>
              <w:jc w:val="center"/>
              <w:rPr>
                <w:lang w:val="en-US"/>
              </w:rPr>
            </w:pPr>
            <w:r>
              <w:rPr>
                <w:lang w:val="en-US"/>
              </w:rPr>
              <w:t>47.5</w:t>
            </w:r>
          </w:p>
        </w:tc>
      </w:tr>
    </w:tbl>
    <w:p w:rsidR="00B9359B" w:rsidRDefault="00B9359B">
      <w:pPr>
        <w:pStyle w:val="Tablefin"/>
      </w:pPr>
    </w:p>
    <w:p w:rsidR="00B9359B" w:rsidRDefault="009A5268">
      <w:pPr>
        <w:pStyle w:val="TableNo"/>
        <w:rPr>
          <w:lang w:val="en-US"/>
        </w:rPr>
      </w:pPr>
      <w:r>
        <w:rPr>
          <w:lang w:val="en-US"/>
        </w:rPr>
        <w:br w:type="page"/>
        <w:t>TABLE  19  (</w:t>
      </w:r>
      <w:r>
        <w:rPr>
          <w:i/>
          <w:iCs/>
          <w:lang w:val="en-US"/>
        </w:rPr>
        <w:t>end</w:t>
      </w:r>
      <w:r>
        <w:rPr>
          <w:rFonts w:ascii="Tms Rmn" w:hAnsi="Tms Rmn"/>
          <w:i/>
          <w:iCs/>
          <w:sz w:val="12"/>
          <w:lang w:val="en-US"/>
        </w:rPr>
        <w:t> </w:t>
      </w:r>
      <w:r>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30"/>
        <w:gridCol w:w="1077"/>
        <w:gridCol w:w="1078"/>
        <w:gridCol w:w="1077"/>
        <w:gridCol w:w="1078"/>
      </w:tblGrid>
      <w:tr w:rsidR="00B9359B">
        <w:tc>
          <w:tcPr>
            <w:tcW w:w="5330" w:type="dxa"/>
          </w:tcPr>
          <w:p w:rsidR="00B9359B" w:rsidRDefault="009A5268">
            <w:pPr>
              <w:pStyle w:val="Tablehead"/>
              <w:framePr w:hSpace="181" w:wrap="notBeside" w:vAnchor="text" w:hAnchor="text" w:xAlign="center" w:y="1"/>
              <w:spacing w:before="120" w:after="120"/>
              <w:rPr>
                <w:lang w:val="en-US"/>
              </w:rPr>
            </w:pPr>
            <w:r>
              <w:rPr>
                <w:lang w:val="en-US"/>
              </w:rPr>
              <w:t>Parameter</w:t>
            </w:r>
          </w:p>
        </w:tc>
        <w:tc>
          <w:tcPr>
            <w:tcW w:w="2155" w:type="dxa"/>
            <w:gridSpan w:val="2"/>
          </w:tcPr>
          <w:p w:rsidR="00B9359B" w:rsidRDefault="009A5268">
            <w:pPr>
              <w:pStyle w:val="Tablehead"/>
              <w:framePr w:hSpace="181" w:wrap="notBeside" w:vAnchor="text" w:hAnchor="text" w:xAlign="center" w:y="1"/>
              <w:spacing w:before="120" w:after="120"/>
              <w:rPr>
                <w:lang w:val="es-ES"/>
              </w:rPr>
            </w:pPr>
            <w:r>
              <w:rPr>
                <w:lang w:val="es-ES"/>
              </w:rPr>
              <w:t>MEGHA-TROPIC</w:t>
            </w:r>
          </w:p>
        </w:tc>
        <w:tc>
          <w:tcPr>
            <w:tcW w:w="2155" w:type="dxa"/>
            <w:gridSpan w:val="2"/>
          </w:tcPr>
          <w:p w:rsidR="00B9359B" w:rsidRDefault="009A5268">
            <w:pPr>
              <w:pStyle w:val="Tablehead"/>
              <w:framePr w:hSpace="181" w:wrap="notBeside" w:vAnchor="text" w:hAnchor="text" w:xAlign="center" w:y="1"/>
              <w:spacing w:before="120" w:after="120"/>
              <w:rPr>
                <w:lang w:val="es-ES"/>
              </w:rPr>
            </w:pPr>
            <w:r>
              <w:rPr>
                <w:lang w:val="es-ES"/>
              </w:rPr>
              <w:t>EOS</w:t>
            </w:r>
            <w:r>
              <w:rPr>
                <w:sz w:val="16"/>
                <w:lang w:val="es-ES"/>
              </w:rPr>
              <w:t xml:space="preserve">  </w:t>
            </w:r>
            <w:r>
              <w:rPr>
                <w:lang w:val="es-ES"/>
              </w:rPr>
              <w:t>AMSR-E</w:t>
            </w:r>
          </w:p>
        </w:tc>
      </w:tr>
      <w:tr w:rsidR="00B9359B">
        <w:tc>
          <w:tcPr>
            <w:tcW w:w="5330" w:type="dxa"/>
          </w:tcPr>
          <w:p w:rsidR="00B9359B" w:rsidRDefault="009A5268">
            <w:pPr>
              <w:pStyle w:val="Tabletext"/>
              <w:framePr w:hSpace="181" w:wrap="notBeside" w:vAnchor="text" w:hAnchor="text" w:xAlign="center" w:y="1"/>
              <w:spacing w:before="50" w:after="50"/>
              <w:jc w:val="left"/>
              <w:rPr>
                <w:lang w:val="en-US"/>
              </w:rPr>
            </w:pPr>
            <w:r>
              <w:rPr>
                <w:lang w:val="en-US"/>
              </w:rPr>
              <w:t>EESS antenna gain (dBi)</w:t>
            </w:r>
          </w:p>
        </w:tc>
        <w:tc>
          <w:tcPr>
            <w:tcW w:w="1077"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14</w:t>
            </w:r>
          </w:p>
        </w:tc>
        <w:tc>
          <w:tcPr>
            <w:tcW w:w="1078"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14</w:t>
            </w:r>
          </w:p>
        </w:tc>
        <w:tc>
          <w:tcPr>
            <w:tcW w:w="1077"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23</w:t>
            </w:r>
          </w:p>
        </w:tc>
        <w:tc>
          <w:tcPr>
            <w:tcW w:w="1078"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23</w:t>
            </w:r>
          </w:p>
        </w:tc>
      </w:tr>
      <w:tr w:rsidR="00B9359B">
        <w:tc>
          <w:tcPr>
            <w:tcW w:w="5330" w:type="dxa"/>
          </w:tcPr>
          <w:p w:rsidR="00B9359B" w:rsidRDefault="009A5268">
            <w:pPr>
              <w:pStyle w:val="Tabletext"/>
              <w:framePr w:hSpace="181" w:wrap="notBeside" w:vAnchor="text" w:hAnchor="text" w:xAlign="center" w:y="1"/>
              <w:spacing w:before="50" w:after="50"/>
              <w:jc w:val="left"/>
              <w:rPr>
                <w:lang w:val="en-US"/>
              </w:rPr>
            </w:pPr>
            <w:r>
              <w:rPr>
                <w:lang w:val="en-US"/>
              </w:rPr>
              <w:t>Received power at the EESS in the above bandwidth (dBW)</w:t>
            </w:r>
          </w:p>
        </w:tc>
        <w:tc>
          <w:tcPr>
            <w:tcW w:w="1077" w:type="dxa"/>
          </w:tcPr>
          <w:p w:rsidR="00B9359B" w:rsidRDefault="009A5268">
            <w:pPr>
              <w:pStyle w:val="Tabletext"/>
              <w:framePr w:hSpace="181" w:wrap="notBeside" w:vAnchor="text" w:hAnchor="text" w:xAlign="center" w:y="1"/>
              <w:spacing w:before="50" w:after="50"/>
              <w:jc w:val="center"/>
              <w:rPr>
                <w:lang w:val="en-US"/>
              </w:rPr>
            </w:pPr>
            <w:r>
              <w:rPr>
                <w:lang w:val="en-US"/>
              </w:rPr>
              <w:t>–161</w:t>
            </w:r>
          </w:p>
        </w:tc>
        <w:tc>
          <w:tcPr>
            <w:tcW w:w="1078" w:type="dxa"/>
          </w:tcPr>
          <w:p w:rsidR="00B9359B" w:rsidRDefault="009A5268">
            <w:pPr>
              <w:pStyle w:val="Tabletext"/>
              <w:framePr w:hSpace="181" w:wrap="notBeside" w:vAnchor="text" w:hAnchor="text" w:xAlign="center" w:y="1"/>
              <w:spacing w:before="50" w:after="50"/>
              <w:jc w:val="center"/>
              <w:rPr>
                <w:lang w:val="en-US"/>
              </w:rPr>
            </w:pPr>
            <w:r>
              <w:rPr>
                <w:lang w:val="en-US"/>
              </w:rPr>
              <w:t>–156</w:t>
            </w:r>
          </w:p>
        </w:tc>
        <w:tc>
          <w:tcPr>
            <w:tcW w:w="1077" w:type="dxa"/>
          </w:tcPr>
          <w:p w:rsidR="00B9359B" w:rsidRDefault="009A5268">
            <w:pPr>
              <w:pStyle w:val="Tabletext"/>
              <w:framePr w:hSpace="181" w:wrap="notBeside" w:vAnchor="text" w:hAnchor="text" w:xAlign="center" w:y="1"/>
              <w:spacing w:before="50" w:after="50"/>
              <w:jc w:val="center"/>
              <w:rPr>
                <w:lang w:val="en-US"/>
              </w:rPr>
            </w:pPr>
            <w:r>
              <w:rPr>
                <w:lang w:val="en-US"/>
              </w:rPr>
              <w:t>–170</w:t>
            </w:r>
          </w:p>
        </w:tc>
        <w:tc>
          <w:tcPr>
            <w:tcW w:w="1078" w:type="dxa"/>
          </w:tcPr>
          <w:p w:rsidR="00B9359B" w:rsidRDefault="009A5268">
            <w:pPr>
              <w:pStyle w:val="Tabletext"/>
              <w:framePr w:hSpace="181" w:wrap="notBeside" w:vAnchor="text" w:hAnchor="text" w:xAlign="center" w:y="1"/>
              <w:spacing w:before="50" w:after="50"/>
              <w:jc w:val="center"/>
              <w:rPr>
                <w:lang w:val="en-US"/>
              </w:rPr>
            </w:pPr>
            <w:r>
              <w:rPr>
                <w:lang w:val="en-US"/>
              </w:rPr>
              <w:t>–166</w:t>
            </w:r>
          </w:p>
        </w:tc>
      </w:tr>
      <w:tr w:rsidR="00B9359B">
        <w:tc>
          <w:tcPr>
            <w:tcW w:w="5330" w:type="dxa"/>
          </w:tcPr>
          <w:p w:rsidR="00B9359B" w:rsidRDefault="009A5268">
            <w:pPr>
              <w:pStyle w:val="Tabletext"/>
              <w:framePr w:hSpace="181" w:wrap="notBeside" w:vAnchor="text" w:hAnchor="text" w:xAlign="center" w:y="1"/>
              <w:spacing w:before="50" w:after="50"/>
              <w:jc w:val="left"/>
              <w:rPr>
                <w:lang w:val="en-US"/>
              </w:rPr>
            </w:pPr>
            <w:r>
              <w:rPr>
                <w:lang w:val="en-US"/>
              </w:rPr>
              <w:t>Corresponding received power at the EESS in a bandwidth of 20 MHz (dBW)</w:t>
            </w:r>
          </w:p>
        </w:tc>
        <w:tc>
          <w:tcPr>
            <w:tcW w:w="1077" w:type="dxa"/>
          </w:tcPr>
          <w:p w:rsidR="00B9359B" w:rsidRDefault="009A5268">
            <w:pPr>
              <w:pStyle w:val="Tabletext"/>
              <w:framePr w:hSpace="181" w:wrap="notBeside" w:vAnchor="text" w:hAnchor="text" w:xAlign="center" w:y="1"/>
              <w:spacing w:before="50" w:after="50"/>
              <w:jc w:val="center"/>
              <w:rPr>
                <w:lang w:val="en-US"/>
              </w:rPr>
            </w:pPr>
            <w:r>
              <w:rPr>
                <w:lang w:val="en-US"/>
              </w:rPr>
              <w:t>–162</w:t>
            </w:r>
          </w:p>
        </w:tc>
        <w:tc>
          <w:tcPr>
            <w:tcW w:w="1078" w:type="dxa"/>
          </w:tcPr>
          <w:p w:rsidR="00B9359B" w:rsidRDefault="009A5268">
            <w:pPr>
              <w:pStyle w:val="Tabletext"/>
              <w:framePr w:hSpace="181" w:wrap="notBeside" w:vAnchor="text" w:hAnchor="text" w:xAlign="center" w:y="1"/>
              <w:spacing w:before="50" w:after="50"/>
              <w:jc w:val="center"/>
              <w:rPr>
                <w:lang w:val="en-US"/>
              </w:rPr>
            </w:pPr>
            <w:r>
              <w:rPr>
                <w:lang w:val="en-US"/>
              </w:rPr>
              <w:t>–157</w:t>
            </w:r>
          </w:p>
        </w:tc>
        <w:tc>
          <w:tcPr>
            <w:tcW w:w="1077" w:type="dxa"/>
          </w:tcPr>
          <w:p w:rsidR="00B9359B" w:rsidRDefault="009A5268">
            <w:pPr>
              <w:pStyle w:val="Tabletext"/>
              <w:framePr w:hSpace="181" w:wrap="notBeside" w:vAnchor="text" w:hAnchor="text" w:xAlign="center" w:y="1"/>
              <w:spacing w:before="50" w:after="50"/>
              <w:jc w:val="center"/>
              <w:rPr>
                <w:lang w:val="en-US"/>
              </w:rPr>
            </w:pPr>
            <w:r>
              <w:rPr>
                <w:lang w:val="en-US"/>
              </w:rPr>
              <w:t>–171</w:t>
            </w:r>
          </w:p>
        </w:tc>
        <w:tc>
          <w:tcPr>
            <w:tcW w:w="1078" w:type="dxa"/>
          </w:tcPr>
          <w:p w:rsidR="00B9359B" w:rsidRDefault="009A5268">
            <w:pPr>
              <w:pStyle w:val="Tabletext"/>
              <w:framePr w:hSpace="181" w:wrap="notBeside" w:vAnchor="text" w:hAnchor="text" w:xAlign="center" w:y="1"/>
              <w:spacing w:before="50" w:after="50"/>
              <w:jc w:val="center"/>
              <w:rPr>
                <w:lang w:val="en-US"/>
              </w:rPr>
            </w:pPr>
            <w:r>
              <w:rPr>
                <w:lang w:val="en-US"/>
              </w:rPr>
              <w:t>–167</w:t>
            </w:r>
          </w:p>
        </w:tc>
      </w:tr>
      <w:tr w:rsidR="00B9359B">
        <w:trPr>
          <w:trHeight w:val="580"/>
        </w:trPr>
        <w:tc>
          <w:tcPr>
            <w:tcW w:w="5330" w:type="dxa"/>
          </w:tcPr>
          <w:p w:rsidR="00B9359B" w:rsidRDefault="009A5268">
            <w:pPr>
              <w:pStyle w:val="Tabletext"/>
              <w:framePr w:hSpace="181" w:wrap="notBeside" w:vAnchor="text" w:hAnchor="text" w:xAlign="center" w:y="1"/>
              <w:spacing w:before="50" w:after="50"/>
              <w:jc w:val="left"/>
              <w:rPr>
                <w:lang w:val="en-US"/>
              </w:rPr>
            </w:pPr>
            <w:r>
              <w:rPr>
                <w:lang w:val="en-US"/>
              </w:rPr>
              <w:t>Interference threshold in a bandwidth of 20 MHz (dBW)</w:t>
            </w:r>
          </w:p>
        </w:tc>
        <w:tc>
          <w:tcPr>
            <w:tcW w:w="1077"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163</w:t>
            </w:r>
          </w:p>
        </w:tc>
        <w:tc>
          <w:tcPr>
            <w:tcW w:w="1078"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163</w:t>
            </w:r>
          </w:p>
        </w:tc>
        <w:tc>
          <w:tcPr>
            <w:tcW w:w="1077"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163</w:t>
            </w:r>
          </w:p>
        </w:tc>
        <w:tc>
          <w:tcPr>
            <w:tcW w:w="1078"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163</w:t>
            </w:r>
          </w:p>
        </w:tc>
      </w:tr>
      <w:tr w:rsidR="00B9359B">
        <w:tc>
          <w:tcPr>
            <w:tcW w:w="5330" w:type="dxa"/>
          </w:tcPr>
          <w:p w:rsidR="00B9359B" w:rsidRDefault="009A5268">
            <w:pPr>
              <w:pStyle w:val="Tabletext"/>
              <w:framePr w:hSpace="181" w:wrap="notBeside" w:vAnchor="text" w:hAnchor="text" w:xAlign="center" w:y="1"/>
              <w:spacing w:before="50" w:after="50"/>
              <w:jc w:val="left"/>
              <w:rPr>
                <w:lang w:val="en-US"/>
              </w:rPr>
            </w:pPr>
            <w:r>
              <w:rPr>
                <w:lang w:val="en-US"/>
              </w:rPr>
              <w:t>Difference between interference power and EESS protection criterion at the proposed operating e.i.r.p. (dB)</w:t>
            </w:r>
          </w:p>
        </w:tc>
        <w:tc>
          <w:tcPr>
            <w:tcW w:w="1077" w:type="dxa"/>
          </w:tcPr>
          <w:p w:rsidR="00B9359B" w:rsidRDefault="009A5268">
            <w:pPr>
              <w:pStyle w:val="Tabletext"/>
              <w:framePr w:hSpace="181" w:wrap="notBeside" w:vAnchor="text" w:hAnchor="text" w:xAlign="center" w:y="1"/>
              <w:spacing w:before="50" w:after="50"/>
              <w:jc w:val="center"/>
              <w:rPr>
                <w:lang w:val="en-US"/>
              </w:rPr>
            </w:pPr>
            <w:r>
              <w:rPr>
                <w:lang w:val="en-US"/>
              </w:rPr>
              <w:t>1</w:t>
            </w:r>
          </w:p>
        </w:tc>
        <w:tc>
          <w:tcPr>
            <w:tcW w:w="1078" w:type="dxa"/>
          </w:tcPr>
          <w:p w:rsidR="00B9359B" w:rsidRDefault="009A5268">
            <w:pPr>
              <w:pStyle w:val="Tabletext"/>
              <w:framePr w:hSpace="181" w:wrap="notBeside" w:vAnchor="text" w:hAnchor="text" w:xAlign="center" w:y="1"/>
              <w:spacing w:before="50" w:after="50"/>
              <w:jc w:val="center"/>
              <w:rPr>
                <w:lang w:val="en-US"/>
              </w:rPr>
            </w:pPr>
            <w:r>
              <w:rPr>
                <w:lang w:val="en-US"/>
              </w:rPr>
              <w:t>6</w:t>
            </w:r>
          </w:p>
        </w:tc>
        <w:tc>
          <w:tcPr>
            <w:tcW w:w="1077" w:type="dxa"/>
          </w:tcPr>
          <w:p w:rsidR="00B9359B" w:rsidRDefault="009A5268">
            <w:pPr>
              <w:pStyle w:val="Tabletext"/>
              <w:framePr w:hSpace="181" w:wrap="notBeside" w:vAnchor="text" w:hAnchor="text" w:xAlign="center" w:y="1"/>
              <w:spacing w:before="50" w:after="50"/>
              <w:jc w:val="center"/>
              <w:rPr>
                <w:lang w:val="en-US"/>
              </w:rPr>
            </w:pPr>
            <w:r>
              <w:rPr>
                <w:lang w:val="en-US"/>
              </w:rPr>
              <w:t>0</w:t>
            </w:r>
          </w:p>
        </w:tc>
        <w:tc>
          <w:tcPr>
            <w:tcW w:w="1078" w:type="dxa"/>
          </w:tcPr>
          <w:p w:rsidR="00B9359B" w:rsidRDefault="009A5268">
            <w:pPr>
              <w:pStyle w:val="Tabletext"/>
              <w:framePr w:hSpace="181" w:wrap="notBeside" w:vAnchor="text" w:hAnchor="text" w:xAlign="center" w:y="1"/>
              <w:spacing w:before="50" w:after="50"/>
              <w:jc w:val="center"/>
              <w:rPr>
                <w:lang w:val="en-US"/>
              </w:rPr>
            </w:pPr>
            <w:r>
              <w:rPr>
                <w:lang w:val="en-US"/>
              </w:rPr>
              <w:t>0</w:t>
            </w:r>
          </w:p>
        </w:tc>
      </w:tr>
      <w:tr w:rsidR="00B9359B">
        <w:tc>
          <w:tcPr>
            <w:tcW w:w="5330" w:type="dxa"/>
          </w:tcPr>
          <w:p w:rsidR="00B9359B" w:rsidRDefault="009A5268">
            <w:pPr>
              <w:pStyle w:val="Tabletext"/>
              <w:framePr w:hSpace="181" w:wrap="notBeside" w:vAnchor="text" w:hAnchor="text" w:xAlign="center" w:y="1"/>
              <w:spacing w:before="50" w:after="50"/>
              <w:jc w:val="left"/>
              <w:rPr>
                <w:lang w:val="en-US"/>
              </w:rPr>
            </w:pPr>
            <w:r>
              <w:rPr>
                <w:lang w:val="en-US"/>
              </w:rPr>
              <w:t>Reference bandwidth for pfd limit (kHz)</w:t>
            </w:r>
          </w:p>
        </w:tc>
        <w:tc>
          <w:tcPr>
            <w:tcW w:w="1077" w:type="dxa"/>
          </w:tcPr>
          <w:p w:rsidR="00B9359B" w:rsidRDefault="009A5268">
            <w:pPr>
              <w:pStyle w:val="Tabletext"/>
              <w:framePr w:hSpace="181" w:wrap="notBeside" w:vAnchor="text" w:hAnchor="text" w:xAlign="center" w:y="1"/>
              <w:spacing w:before="50" w:after="50"/>
              <w:jc w:val="center"/>
              <w:rPr>
                <w:lang w:val="en-US"/>
              </w:rPr>
            </w:pPr>
            <w:r>
              <w:rPr>
                <w:lang w:val="en-US"/>
              </w:rPr>
              <w:t>1 000</w:t>
            </w:r>
          </w:p>
        </w:tc>
        <w:tc>
          <w:tcPr>
            <w:tcW w:w="1078" w:type="dxa"/>
          </w:tcPr>
          <w:p w:rsidR="00B9359B" w:rsidRDefault="009A5268">
            <w:pPr>
              <w:pStyle w:val="Tabletext"/>
              <w:framePr w:hSpace="181" w:wrap="notBeside" w:vAnchor="text" w:hAnchor="text" w:xAlign="center" w:y="1"/>
              <w:spacing w:before="50" w:after="50"/>
              <w:jc w:val="center"/>
              <w:rPr>
                <w:lang w:val="en-US"/>
              </w:rPr>
            </w:pPr>
            <w:r>
              <w:rPr>
                <w:lang w:val="en-US"/>
              </w:rPr>
              <w:t>1 000</w:t>
            </w:r>
          </w:p>
        </w:tc>
        <w:tc>
          <w:tcPr>
            <w:tcW w:w="1077" w:type="dxa"/>
          </w:tcPr>
          <w:p w:rsidR="00B9359B" w:rsidRDefault="009A5268">
            <w:pPr>
              <w:pStyle w:val="Tabletext"/>
              <w:framePr w:hSpace="181" w:wrap="notBeside" w:vAnchor="text" w:hAnchor="text" w:xAlign="center" w:y="1"/>
              <w:spacing w:before="50" w:after="50"/>
              <w:jc w:val="center"/>
              <w:rPr>
                <w:lang w:val="en-US"/>
              </w:rPr>
            </w:pPr>
            <w:r>
              <w:rPr>
                <w:lang w:val="en-US"/>
              </w:rPr>
              <w:t>1 000</w:t>
            </w:r>
          </w:p>
        </w:tc>
        <w:tc>
          <w:tcPr>
            <w:tcW w:w="1078" w:type="dxa"/>
          </w:tcPr>
          <w:p w:rsidR="00B9359B" w:rsidRDefault="009A5268">
            <w:pPr>
              <w:pStyle w:val="Tabletext"/>
              <w:framePr w:hSpace="181" w:wrap="notBeside" w:vAnchor="text" w:hAnchor="text" w:xAlign="center" w:y="1"/>
              <w:spacing w:before="50" w:after="50"/>
              <w:jc w:val="center"/>
              <w:rPr>
                <w:lang w:val="en-US"/>
              </w:rPr>
            </w:pPr>
            <w:r>
              <w:rPr>
                <w:lang w:val="en-US"/>
              </w:rPr>
              <w:t>1 000</w:t>
            </w:r>
          </w:p>
        </w:tc>
      </w:tr>
      <w:tr w:rsidR="00B9359B">
        <w:tc>
          <w:tcPr>
            <w:tcW w:w="5330" w:type="dxa"/>
          </w:tcPr>
          <w:p w:rsidR="00B9359B" w:rsidRDefault="009A5268">
            <w:pPr>
              <w:pStyle w:val="Tabletext"/>
              <w:framePr w:hSpace="181" w:wrap="notBeside" w:vAnchor="text" w:hAnchor="text" w:xAlign="center" w:y="1"/>
              <w:spacing w:before="50" w:after="50"/>
              <w:jc w:val="left"/>
              <w:rPr>
                <w:lang w:val="en-US"/>
              </w:rPr>
            </w:pPr>
            <w:r>
              <w:rPr>
                <w:lang w:val="en-US"/>
              </w:rPr>
              <w:t>Maximum permitted pfd by RR Article</w:t>
            </w:r>
            <w:r>
              <w:rPr>
                <w:b/>
                <w:bCs/>
                <w:lang w:val="en-US"/>
              </w:rPr>
              <w:t xml:space="preserve"> </w:t>
            </w:r>
            <w:r>
              <w:rPr>
                <w:lang w:val="en-US"/>
              </w:rPr>
              <w:t>21 (dB(W/(m</w:t>
            </w:r>
            <w:r>
              <w:rPr>
                <w:vertAlign w:val="superscript"/>
                <w:lang w:val="en-US"/>
              </w:rPr>
              <w:t>2</w:t>
            </w:r>
            <w:r>
              <w:rPr>
                <w:lang w:val="en-US"/>
              </w:rPr>
              <w:t> </w:t>
            </w:r>
            <w:r>
              <w:rPr>
                <w:rFonts w:ascii="Symbol" w:hAnsi="Symbol"/>
              </w:rPr>
              <w:t></w:t>
            </w:r>
            <w:r>
              <w:rPr>
                <w:lang w:val="en-US"/>
              </w:rPr>
              <w:t> MHz)))</w:t>
            </w:r>
          </w:p>
        </w:tc>
        <w:tc>
          <w:tcPr>
            <w:tcW w:w="1077"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116</w:t>
            </w:r>
          </w:p>
        </w:tc>
        <w:tc>
          <w:tcPr>
            <w:tcW w:w="1078"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116</w:t>
            </w:r>
          </w:p>
        </w:tc>
        <w:tc>
          <w:tcPr>
            <w:tcW w:w="1077"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116</w:t>
            </w:r>
          </w:p>
        </w:tc>
        <w:tc>
          <w:tcPr>
            <w:tcW w:w="1078"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116</w:t>
            </w:r>
          </w:p>
        </w:tc>
      </w:tr>
      <w:tr w:rsidR="00B9359B">
        <w:tc>
          <w:tcPr>
            <w:tcW w:w="5330" w:type="dxa"/>
          </w:tcPr>
          <w:p w:rsidR="00B9359B" w:rsidRDefault="009A5268">
            <w:pPr>
              <w:pStyle w:val="Tabletext"/>
              <w:framePr w:hSpace="181" w:wrap="notBeside" w:vAnchor="text" w:hAnchor="text" w:xAlign="center" w:y="1"/>
              <w:spacing w:before="50" w:after="50"/>
              <w:jc w:val="left"/>
              <w:rPr>
                <w:lang w:val="en-US"/>
              </w:rPr>
            </w:pPr>
            <w:r>
              <w:rPr>
                <w:lang w:val="en-US"/>
              </w:rPr>
              <w:t>pfd produced by operating e.i.r.p. density at Earth’s surface (dB(W/(m</w:t>
            </w:r>
            <w:r>
              <w:rPr>
                <w:vertAlign w:val="superscript"/>
                <w:lang w:val="en-US"/>
              </w:rPr>
              <w:t>2</w:t>
            </w:r>
            <w:r>
              <w:rPr>
                <w:lang w:val="en-US"/>
              </w:rPr>
              <w:t> </w:t>
            </w:r>
            <w:r>
              <w:rPr>
                <w:rFonts w:ascii="Symbol" w:hAnsi="Symbol"/>
              </w:rPr>
              <w:t></w:t>
            </w:r>
            <w:r>
              <w:rPr>
                <w:lang w:val="en-US"/>
              </w:rPr>
              <w:t> MHz)))</w:t>
            </w:r>
          </w:p>
        </w:tc>
        <w:tc>
          <w:tcPr>
            <w:tcW w:w="1077"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119</w:t>
            </w:r>
          </w:p>
        </w:tc>
        <w:tc>
          <w:tcPr>
            <w:tcW w:w="1078"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116</w:t>
            </w:r>
          </w:p>
        </w:tc>
        <w:tc>
          <w:tcPr>
            <w:tcW w:w="1077"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119</w:t>
            </w:r>
          </w:p>
        </w:tc>
        <w:tc>
          <w:tcPr>
            <w:tcW w:w="1078"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116</w:t>
            </w:r>
          </w:p>
        </w:tc>
      </w:tr>
      <w:tr w:rsidR="00B9359B">
        <w:tc>
          <w:tcPr>
            <w:tcW w:w="5330" w:type="dxa"/>
          </w:tcPr>
          <w:p w:rsidR="00B9359B" w:rsidRDefault="009A5268">
            <w:pPr>
              <w:pStyle w:val="Tabletext"/>
              <w:framePr w:hSpace="181" w:wrap="notBeside" w:vAnchor="text" w:hAnchor="text" w:xAlign="center" w:y="1"/>
              <w:spacing w:before="50" w:after="50"/>
              <w:jc w:val="left"/>
              <w:rPr>
                <w:lang w:val="en-US"/>
              </w:rPr>
            </w:pPr>
            <w:r>
              <w:rPr>
                <w:lang w:val="en-US"/>
              </w:rPr>
              <w:t>Allowable increase in e.i.r.p. density (dB)</w:t>
            </w:r>
          </w:p>
        </w:tc>
        <w:tc>
          <w:tcPr>
            <w:tcW w:w="1077" w:type="dxa"/>
          </w:tcPr>
          <w:p w:rsidR="00B9359B" w:rsidRDefault="009A5268">
            <w:pPr>
              <w:pStyle w:val="Tabletext"/>
              <w:framePr w:hSpace="181" w:wrap="notBeside" w:vAnchor="text" w:hAnchor="text" w:xAlign="center" w:y="1"/>
              <w:spacing w:before="50" w:after="50"/>
              <w:jc w:val="center"/>
              <w:rPr>
                <w:lang w:val="en-US"/>
              </w:rPr>
            </w:pPr>
            <w:r>
              <w:rPr>
                <w:lang w:val="en-US"/>
              </w:rPr>
              <w:t>3</w:t>
            </w:r>
          </w:p>
        </w:tc>
        <w:tc>
          <w:tcPr>
            <w:tcW w:w="1078" w:type="dxa"/>
          </w:tcPr>
          <w:p w:rsidR="00B9359B" w:rsidRDefault="009A5268">
            <w:pPr>
              <w:pStyle w:val="Tabletext"/>
              <w:framePr w:hSpace="181" w:wrap="notBeside" w:vAnchor="text" w:hAnchor="text" w:xAlign="center" w:y="1"/>
              <w:spacing w:before="50" w:after="50"/>
              <w:jc w:val="center"/>
              <w:rPr>
                <w:lang w:val="en-US"/>
              </w:rPr>
            </w:pPr>
            <w:r>
              <w:rPr>
                <w:lang w:val="en-US"/>
              </w:rPr>
              <w:t>0.0</w:t>
            </w:r>
          </w:p>
        </w:tc>
        <w:tc>
          <w:tcPr>
            <w:tcW w:w="1077" w:type="dxa"/>
          </w:tcPr>
          <w:p w:rsidR="00B9359B" w:rsidRDefault="009A5268">
            <w:pPr>
              <w:pStyle w:val="Tabletext"/>
              <w:framePr w:hSpace="181" w:wrap="notBeside" w:vAnchor="text" w:hAnchor="text" w:xAlign="center" w:y="1"/>
              <w:spacing w:before="50" w:after="50"/>
              <w:jc w:val="center"/>
              <w:rPr>
                <w:lang w:val="en-US"/>
              </w:rPr>
            </w:pPr>
            <w:r>
              <w:rPr>
                <w:lang w:val="en-US"/>
              </w:rPr>
              <w:t>3</w:t>
            </w:r>
          </w:p>
        </w:tc>
        <w:tc>
          <w:tcPr>
            <w:tcW w:w="1078" w:type="dxa"/>
          </w:tcPr>
          <w:p w:rsidR="00B9359B" w:rsidRDefault="009A5268">
            <w:pPr>
              <w:pStyle w:val="Tabletext"/>
              <w:framePr w:hSpace="181" w:wrap="notBeside" w:vAnchor="text" w:hAnchor="text" w:xAlign="center" w:y="1"/>
              <w:spacing w:before="50" w:after="50"/>
              <w:jc w:val="center"/>
              <w:rPr>
                <w:lang w:val="en-US"/>
              </w:rPr>
            </w:pPr>
            <w:r>
              <w:rPr>
                <w:lang w:val="en-US"/>
              </w:rPr>
              <w:t>0.0</w:t>
            </w:r>
          </w:p>
        </w:tc>
      </w:tr>
      <w:tr w:rsidR="00B9359B">
        <w:tc>
          <w:tcPr>
            <w:tcW w:w="5330" w:type="dxa"/>
          </w:tcPr>
          <w:p w:rsidR="00B9359B" w:rsidRDefault="009A5268">
            <w:pPr>
              <w:pStyle w:val="Tabletext"/>
              <w:framePr w:hSpace="181" w:wrap="notBeside" w:vAnchor="text" w:hAnchor="text" w:xAlign="center" w:y="1"/>
              <w:spacing w:before="50" w:after="50"/>
              <w:jc w:val="left"/>
              <w:rPr>
                <w:lang w:val="en-US"/>
              </w:rPr>
            </w:pPr>
            <w:r>
              <w:rPr>
                <w:lang w:val="en-US"/>
              </w:rPr>
              <w:t>Difference between interference power and EESS protection criterion at the maximum permitted e.i.r.p. (dB)</w:t>
            </w:r>
          </w:p>
        </w:tc>
        <w:tc>
          <w:tcPr>
            <w:tcW w:w="1077" w:type="dxa"/>
          </w:tcPr>
          <w:p w:rsidR="00B9359B" w:rsidRDefault="009A5268">
            <w:pPr>
              <w:pStyle w:val="Tabletext"/>
              <w:framePr w:hSpace="181" w:wrap="notBeside" w:vAnchor="text" w:hAnchor="text" w:xAlign="center" w:y="1"/>
              <w:spacing w:before="50" w:after="50"/>
              <w:jc w:val="center"/>
              <w:rPr>
                <w:lang w:val="en-US"/>
              </w:rPr>
            </w:pPr>
            <w:r>
              <w:rPr>
                <w:lang w:val="en-US"/>
              </w:rPr>
              <w:t>4</w:t>
            </w:r>
          </w:p>
        </w:tc>
        <w:tc>
          <w:tcPr>
            <w:tcW w:w="1078" w:type="dxa"/>
          </w:tcPr>
          <w:p w:rsidR="00B9359B" w:rsidRDefault="009A5268">
            <w:pPr>
              <w:pStyle w:val="Tabletext"/>
              <w:framePr w:hSpace="181" w:wrap="notBeside" w:vAnchor="text" w:hAnchor="text" w:xAlign="center" w:y="1"/>
              <w:spacing w:before="50" w:after="50"/>
              <w:jc w:val="center"/>
              <w:rPr>
                <w:lang w:val="en-US"/>
              </w:rPr>
            </w:pPr>
            <w:r>
              <w:rPr>
                <w:lang w:val="en-US"/>
              </w:rPr>
              <w:t>6</w:t>
            </w:r>
          </w:p>
        </w:tc>
        <w:tc>
          <w:tcPr>
            <w:tcW w:w="1077" w:type="dxa"/>
          </w:tcPr>
          <w:p w:rsidR="00B9359B" w:rsidRDefault="009A5268">
            <w:pPr>
              <w:pStyle w:val="Tabletext"/>
              <w:framePr w:hSpace="181" w:wrap="notBeside" w:vAnchor="text" w:hAnchor="text" w:xAlign="center" w:y="1"/>
              <w:spacing w:before="50" w:after="50"/>
              <w:jc w:val="center"/>
              <w:rPr>
                <w:lang w:val="en-US"/>
              </w:rPr>
            </w:pPr>
            <w:r>
              <w:rPr>
                <w:lang w:val="en-US"/>
              </w:rPr>
              <w:t>0</w:t>
            </w:r>
          </w:p>
        </w:tc>
        <w:tc>
          <w:tcPr>
            <w:tcW w:w="1078" w:type="dxa"/>
          </w:tcPr>
          <w:p w:rsidR="00B9359B" w:rsidRDefault="009A5268">
            <w:pPr>
              <w:pStyle w:val="Tabletext"/>
              <w:framePr w:hSpace="181" w:wrap="notBeside" w:vAnchor="text" w:hAnchor="text" w:xAlign="center" w:y="1"/>
              <w:spacing w:before="50" w:after="50"/>
              <w:jc w:val="center"/>
              <w:rPr>
                <w:lang w:val="en-US"/>
              </w:rPr>
            </w:pPr>
            <w:r>
              <w:rPr>
                <w:lang w:val="en-US"/>
              </w:rPr>
              <w:t>0</w:t>
            </w:r>
          </w:p>
        </w:tc>
      </w:tr>
    </w:tbl>
    <w:p w:rsidR="00B9359B" w:rsidRDefault="00B9359B">
      <w:pPr>
        <w:pStyle w:val="Tablefin"/>
      </w:pPr>
    </w:p>
    <w:p w:rsidR="00B9359B" w:rsidRDefault="009A5268">
      <w:pPr>
        <w:rPr>
          <w:lang w:val="en-US"/>
        </w:rPr>
      </w:pPr>
      <w:r>
        <w:rPr>
          <w:lang w:val="en-US"/>
        </w:rPr>
        <w:t>In the case of the MEGHA-TROPIC passive sensor, the EESS interference criteria is exceeded by 1 dB for the USAKU-H1 satellite when it is at apogee and the threshold is exceeded by 6 dB when it is at apogee and operating at the maximum permitted pfd level. If the satellite e.i.r.p. density at apogee is increased to the maximum allowable under RR Article 21, the interference criteria is exceeded by 4 dB.</w:t>
      </w:r>
    </w:p>
    <w:p w:rsidR="00B9359B" w:rsidRDefault="009A5268">
      <w:pPr>
        <w:pStyle w:val="Heading3"/>
        <w:rPr>
          <w:lang w:val="en-US"/>
        </w:rPr>
      </w:pPr>
      <w:bookmarkStart w:id="255" w:name="_Toc51045655"/>
      <w:r>
        <w:rPr>
          <w:lang w:val="en-US"/>
        </w:rPr>
        <w:t>4.2.4</w:t>
      </w:r>
      <w:r>
        <w:rPr>
          <w:lang w:val="en-US"/>
        </w:rPr>
        <w:tab/>
        <w:t>Calculations for both GSO and non-GSO networks in the case of scattering</w:t>
      </w:r>
      <w:bookmarkEnd w:id="255"/>
    </w:p>
    <w:p w:rsidR="00B9359B" w:rsidRDefault="009A5268">
      <w:pPr>
        <w:rPr>
          <w:lang w:val="en-US"/>
        </w:rPr>
      </w:pPr>
      <w:r>
        <w:rPr>
          <w:lang w:val="en-US"/>
        </w:rPr>
        <w:t>One form of interference power into the passive service comes from the unwanted emissions of the FSS that are scattered from the Earth’s surface upward toward a nearby EESS sensor.</w:t>
      </w:r>
    </w:p>
    <w:p w:rsidR="00B9359B" w:rsidRDefault="009A5268">
      <w:pPr>
        <w:rPr>
          <w:lang w:val="en-US"/>
        </w:rPr>
      </w:pPr>
      <w:r>
        <w:rPr>
          <w:lang w:val="en-US"/>
        </w:rPr>
        <w:t>For frequencies around 10-20 GHz, the scattered energy has a significant specular component. Scattering by this mode would constitute the worst-case interference. Hence, the maximum inter</w:t>
      </w:r>
      <w:r>
        <w:rPr>
          <w:lang w:val="en-US"/>
        </w:rPr>
        <w:softHyphen/>
        <w:t xml:space="preserve">ference would occur when: </w:t>
      </w:r>
    </w:p>
    <w:p w:rsidR="00B9359B" w:rsidRDefault="009A5268">
      <w:pPr>
        <w:pStyle w:val="enumlev1"/>
        <w:rPr>
          <w:lang w:val="en-US"/>
        </w:rPr>
      </w:pPr>
      <w:r>
        <w:rPr>
          <w:lang w:val="en-US"/>
        </w:rPr>
        <w:t>–</w:t>
      </w:r>
      <w:r>
        <w:rPr>
          <w:lang w:val="en-US"/>
        </w:rPr>
        <w:tab/>
        <w:t>the sensor views a FSS coverage area;</w:t>
      </w:r>
    </w:p>
    <w:p w:rsidR="00B9359B" w:rsidRDefault="009A5268">
      <w:pPr>
        <w:pStyle w:val="enumlev1"/>
        <w:rPr>
          <w:lang w:val="en-US"/>
        </w:rPr>
      </w:pPr>
      <w:r>
        <w:rPr>
          <w:lang w:val="en-US"/>
        </w:rPr>
        <w:t>–</w:t>
      </w:r>
      <w:r>
        <w:rPr>
          <w:lang w:val="en-US"/>
        </w:rPr>
        <w:tab/>
        <w:t>the FSS satellite, the sensor, the Earth’s centre, and the intersection of the FSS and sensor beams all lie in the same plane;</w:t>
      </w:r>
    </w:p>
    <w:p w:rsidR="00B9359B" w:rsidRDefault="009A5268">
      <w:pPr>
        <w:pStyle w:val="enumlev1"/>
        <w:rPr>
          <w:lang w:val="en-US"/>
        </w:rPr>
      </w:pPr>
      <w:r>
        <w:rPr>
          <w:lang w:val="en-US"/>
        </w:rPr>
        <w:t>–</w:t>
      </w:r>
      <w:r>
        <w:rPr>
          <w:lang w:val="en-US"/>
        </w:rPr>
        <w:tab/>
        <w:t>the intersection of the FSS satellite and sensor beams lie between the FSS satellite and sensor nadirs; and</w:t>
      </w:r>
    </w:p>
    <w:p w:rsidR="00B9359B" w:rsidRDefault="009A5268">
      <w:pPr>
        <w:pStyle w:val="enumlev1"/>
        <w:rPr>
          <w:lang w:val="en-US"/>
        </w:rPr>
      </w:pPr>
      <w:r>
        <w:rPr>
          <w:lang w:val="en-US"/>
        </w:rPr>
        <w:t>–</w:t>
      </w:r>
      <w:r>
        <w:rPr>
          <w:lang w:val="en-US"/>
        </w:rPr>
        <w:tab/>
        <w:t>the FSS satellite beam axis and the sensor beam axis intersect the Earth at the same angle.</w:t>
      </w:r>
    </w:p>
    <w:p w:rsidR="00B9359B" w:rsidRDefault="009A5268">
      <w:pPr>
        <w:rPr>
          <w:lang w:val="en-US"/>
        </w:rPr>
      </w:pPr>
      <w:r>
        <w:rPr>
          <w:lang w:val="en-US"/>
        </w:rPr>
        <w:t>Other scattering modes also exist. These would be more frequent in occurrence but at a lower level.</w:t>
      </w:r>
    </w:p>
    <w:p w:rsidR="00B9359B" w:rsidRDefault="009A5268">
      <w:pPr>
        <w:pStyle w:val="Heading4"/>
        <w:rPr>
          <w:b w:val="0"/>
          <w:lang w:val="en-US"/>
        </w:rPr>
      </w:pPr>
      <w:bookmarkStart w:id="256" w:name="_Toc51045656"/>
      <w:r>
        <w:rPr>
          <w:lang w:val="en-US"/>
        </w:rPr>
        <w:br w:type="page"/>
        <w:t>4.2.4.1</w:t>
      </w:r>
      <w:r>
        <w:rPr>
          <w:lang w:val="en-US"/>
        </w:rPr>
        <w:tab/>
        <w:t>Scattering coefficient</w:t>
      </w:r>
      <w:bookmarkEnd w:id="256"/>
    </w:p>
    <w:p w:rsidR="00B9359B" w:rsidRDefault="009A5268">
      <w:pPr>
        <w:rPr>
          <w:lang w:val="en-US"/>
        </w:rPr>
      </w:pPr>
      <w:r>
        <w:rPr>
          <w:lang w:val="en-US"/>
        </w:rPr>
        <w:t>Annex 1 of Recommendation ITU-R SA.1449 describes a model for the scattering coefficient that enables one to estimate the direction and intensity of scattering from the Earth’s surface. Experiments from Skylab have determined the Earth surface radar scattering coefficient at 13.9 GHz over the Conterminous United States (CONUS) including the 48 contiguous States and the District of Columbia. Extrapolating across frequency and assuming that the probability density of the scattering coefficient has a log-normal form, it is estimated that the scattering coefficient, for the worst-case geometry described above, has a mean value of about 2 dB. However, 10% of the time the scattering coefficient can exceed 5.2 dB and 1% of the time can exceed 9.4 dB at 10.65 GHz as illustrated in Fig. 16. Further work is planned within the ITU-R to develop a bi-static microwave scattering model for interference assessment using this approach.</w:t>
      </w:r>
    </w:p>
    <w:p w:rsidR="00B9359B" w:rsidRDefault="00B9359B">
      <w:pPr>
        <w:rPr>
          <w:lang w:val="en-US"/>
        </w:rPr>
      </w:pPr>
    </w:p>
    <w:p w:rsidR="00B9359B" w:rsidRDefault="00AB52AF">
      <w:pPr>
        <w:pStyle w:val="FigureNo"/>
      </w:pPr>
      <w:r>
        <w:pict>
          <v:shape id="_x0000_i1051" type="#_x0000_t75" style="width:380.95pt;height:279.95pt">
            <v:imagedata r:id="rId47" o:title=""/>
          </v:shape>
        </w:pict>
      </w:r>
    </w:p>
    <w:p w:rsidR="00B9359B" w:rsidRDefault="00B9359B">
      <w:pPr>
        <w:rPr>
          <w:lang w:val="en-US"/>
        </w:rPr>
      </w:pPr>
    </w:p>
    <w:p w:rsidR="00B9359B" w:rsidRDefault="009A5268">
      <w:pPr>
        <w:rPr>
          <w:lang w:val="en-US"/>
        </w:rPr>
      </w:pPr>
      <w:r>
        <w:rPr>
          <w:lang w:val="en-US"/>
        </w:rPr>
        <w:t>Most of the time, however, scattering would be via a more non-directional mode with an average scattering coefficient range of –12.8 to –5.7 dB depending on incidence angle (lesser value for 50</w:t>
      </w:r>
      <w:r>
        <w:rPr>
          <w:rFonts w:ascii="Symbol" w:hAnsi="Symbol"/>
          <w:lang w:val="en-US"/>
        </w:rPr>
        <w:t></w:t>
      </w:r>
      <w:r>
        <w:rPr>
          <w:lang w:val="en-US"/>
        </w:rPr>
        <w:t xml:space="preserve"> incidence/40</w:t>
      </w:r>
      <w:r>
        <w:rPr>
          <w:rFonts w:ascii="Symbol" w:hAnsi="Symbol"/>
          <w:lang w:val="en-US"/>
        </w:rPr>
        <w:t></w:t>
      </w:r>
      <w:r>
        <w:rPr>
          <w:lang w:val="en-US"/>
        </w:rPr>
        <w:t xml:space="preserve"> elevation). Recall from § 3.2.2, the interference threshold is coupled with a frequency of occurrence. This factor is a combination of the statistics of the scattering coefficient and the dynamics of relative motion of the FSS satellite and the EESS satellite. Coupling of both factors requires further study. For, herein, we only examine the worst-case scenario of interception of a specular reflection at the 1% occurrence level.</w:t>
      </w:r>
    </w:p>
    <w:p w:rsidR="00B9359B" w:rsidRDefault="009A5268">
      <w:pPr>
        <w:pStyle w:val="Heading4"/>
        <w:rPr>
          <w:lang w:val="en-US"/>
        </w:rPr>
      </w:pPr>
      <w:bookmarkStart w:id="257" w:name="_Toc51045657"/>
      <w:r>
        <w:rPr>
          <w:lang w:val="en-US"/>
        </w:rPr>
        <w:t>4.2.4.2</w:t>
      </w:r>
      <w:r>
        <w:rPr>
          <w:lang w:val="en-US"/>
        </w:rPr>
        <w:tab/>
        <w:t>OoB interference using the OoB mask of Recommendation ITU-R SM.1541</w:t>
      </w:r>
      <w:bookmarkEnd w:id="257"/>
    </w:p>
    <w:p w:rsidR="00B9359B" w:rsidRDefault="009A5268">
      <w:pPr>
        <w:rPr>
          <w:lang w:val="en-US"/>
        </w:rPr>
      </w:pPr>
      <w:r>
        <w:rPr>
          <w:lang w:val="en-US"/>
        </w:rPr>
        <w:t>Appendix 1, Annex 1 of Recommendation ITU-R SM.1541 describes the procedure for calculating the unwanted emission power between any two frequencies within the OoB domain.</w:t>
      </w:r>
    </w:p>
    <w:p w:rsidR="00B9359B" w:rsidRDefault="009A5268">
      <w:pPr>
        <w:rPr>
          <w:lang w:val="en-US"/>
        </w:rPr>
      </w:pPr>
      <w:r>
        <w:rPr>
          <w:lang w:val="en-US"/>
        </w:rPr>
        <w:br w:type="page"/>
        <w:t>Two equivalent methods are included, which essentially estimate the integral of the spectral mask over the frequency span defined by the two frequencies. Consequently, in order to determine the impact of this mask, it is integrated to provide the results in Fig. 17.</w:t>
      </w:r>
    </w:p>
    <w:p w:rsidR="00B9359B" w:rsidRDefault="00AB52AF">
      <w:pPr>
        <w:pStyle w:val="FigureNo"/>
      </w:pPr>
      <w:r>
        <w:pict>
          <v:shape id="_x0000_i1052" type="#_x0000_t75" style="width:336.35pt;height:231.6pt">
            <v:imagedata r:id="rId48" o:title=""/>
          </v:shape>
        </w:pict>
      </w:r>
    </w:p>
    <w:p w:rsidR="00B9359B" w:rsidRDefault="009A5268">
      <w:pPr>
        <w:rPr>
          <w:lang w:val="en-US"/>
        </w:rPr>
      </w:pPr>
      <w:r>
        <w:rPr>
          <w:lang w:val="en-US"/>
        </w:rPr>
        <w:t>If it were assumed the total power within an adjacent band service includes the OoB emissions on either side of the necessary bandwidth, integration of the above relation would indicate that about 12.5% (</w:t>
      </w:r>
      <w:r>
        <w:rPr>
          <w:rFonts w:ascii="Symbol" w:hAnsi="Symbol"/>
          <w:lang w:val="en-US"/>
        </w:rPr>
        <w:noBreakHyphen/>
      </w:r>
      <w:r>
        <w:rPr>
          <w:lang w:val="en-US"/>
        </w:rPr>
        <w:t>9 dB) of the energy would be emitted into the OoB domain on either side of the necessary bandwidth. Therefore, if no allowance is made for a guardband between two adjacent assigned bands (both services operate at band edge), an active service in the 10.7</w:t>
      </w:r>
      <w:r>
        <w:rPr>
          <w:lang w:val="en-US"/>
        </w:rPr>
        <w:noBreakHyphen/>
        <w:t>11.7 GHz band could contribute interfering unwanted emissions into the passive service up to the amount of 12.5% of the total transmitter power (</w:t>
      </w:r>
      <w:r>
        <w:rPr>
          <w:i/>
          <w:iCs/>
          <w:lang w:val="en-US"/>
        </w:rPr>
        <w:t>P</w:t>
      </w:r>
      <w:r>
        <w:rPr>
          <w:lang w:val="en-US"/>
        </w:rPr>
        <w:t> </w:t>
      </w:r>
      <w:r>
        <w:rPr>
          <w:rFonts w:ascii="Symbol" w:hAnsi="Symbol"/>
          <w:lang w:val="en-US"/>
        </w:rPr>
        <w:noBreakHyphen/>
      </w:r>
      <w:r>
        <w:rPr>
          <w:lang w:val="en-US"/>
        </w:rPr>
        <w:t> 9.0 dB). Of course, use of guardbands with either service could reduce this interference greatly. However, for this initial assessment, it will be assumed no guardbands are used.</w:t>
      </w:r>
    </w:p>
    <w:p w:rsidR="00B9359B" w:rsidRDefault="009A5268">
      <w:pPr>
        <w:rPr>
          <w:lang w:val="en-US"/>
        </w:rPr>
      </w:pPr>
      <w:r>
        <w:rPr>
          <w:lang w:val="en-US"/>
        </w:rPr>
        <w:t>Table 20 provides power budgets for the three representative satellite systems showing interference threshold margins for each. With the OoB mask of Recommendation ITU-R SM.1541, the level of the unwanted emissions into the passive band is obtained by integration over the OoB mask between the two edges of the passive band. For the GSO case with 250 MHz bandwidth and the sensor having a bandwidth of 100 MHz, the appropriate integration boundaries range from 0</w:t>
      </w:r>
      <w:r>
        <w:rPr>
          <w:lang w:val="en-US"/>
        </w:rPr>
        <w:noBreakHyphen/>
        <w:t>40% of the necessary bandwidth of the active service. An equivalent operation would simply take the difference of the antilog at 0% and 40% taken from Fig. 17, and convert that to dBs. Doing so would indicate an unwanted emission level of about 9.8 dB below the average in-band power of the active service. This result is indicated in Table 20 as the OoB factor. For both the LEO</w:t>
      </w:r>
      <w:r>
        <w:rPr>
          <w:lang w:val="en-US"/>
        </w:rPr>
        <w:noBreakHyphen/>
        <w:t>N and USAKU</w:t>
      </w:r>
      <w:r>
        <w:rPr>
          <w:lang w:val="en-US"/>
        </w:rPr>
        <w:noBreakHyphen/>
        <w:t>H1 systems, the upper boundary of the integration percentage extends beyond the ITU</w:t>
      </w:r>
      <w:r>
        <w:rPr>
          <w:lang w:val="en-US"/>
        </w:rPr>
        <w:noBreakHyphen/>
        <w:t>R SM.1541 mask (which terminates at the spurious boundary of 200% of the necessary bandwidth). For these we account only for the unwanted emissions defined by the OoB mask and exclude those due to spurious emissions. The total contribution from the OoB domain is 9 dB below the average power in the active service. Both the GSO</w:t>
      </w:r>
      <w:r>
        <w:rPr>
          <w:lang w:val="en-US"/>
        </w:rPr>
        <w:noBreakHyphen/>
        <w:t>VX and LEO</w:t>
      </w:r>
      <w:r>
        <w:rPr>
          <w:lang w:val="en-US"/>
        </w:rPr>
        <w:noBreakHyphen/>
        <w:t xml:space="preserve">N systems can meet the </w:t>
      </w:r>
      <w:r>
        <w:rPr>
          <w:lang w:val="en-US"/>
        </w:rPr>
        <w:br w:type="page"/>
        <w:t>conditions for alignment of a specular reflection along the axis of the sensor antenna (elevation angle </w:t>
      </w:r>
      <w:r>
        <w:rPr>
          <w:rFonts w:ascii="Symbol" w:hAnsi="Symbol"/>
          <w:lang w:val="en-US"/>
        </w:rPr>
        <w:t></w:t>
      </w:r>
      <w:r>
        <w:rPr>
          <w:lang w:val="en-US"/>
        </w:rPr>
        <w:t> 35</w:t>
      </w:r>
      <w:r>
        <w:rPr>
          <w:rFonts w:ascii="Symbol" w:hAnsi="Symbol"/>
          <w:lang w:val="en-US"/>
        </w:rPr>
        <w:t></w:t>
      </w:r>
      <w:r>
        <w:rPr>
          <w:lang w:val="en-US"/>
        </w:rPr>
        <w:t>). However, the USAKU</w:t>
      </w:r>
      <w:r>
        <w:rPr>
          <w:lang w:val="en-US"/>
        </w:rPr>
        <w:noBreakHyphen/>
        <w:t xml:space="preserve">H1 system is designed to operate at high elevation angles on the order of 70º. Consequently, there would never be such an alignment with this system. At the point on the Earth where the sensor axis intersects the axis of the active service antenna, there will be an offset of </w:t>
      </w:r>
      <w:r>
        <w:rPr>
          <w:rFonts w:ascii="Symbol" w:hAnsi="Symbol"/>
        </w:rPr>
        <w:sym w:font="Symbol" w:char="F065"/>
      </w:r>
      <w:r>
        <w:rPr>
          <w:lang w:val="en-US"/>
        </w:rPr>
        <w:t> </w:t>
      </w:r>
      <w:r>
        <w:rPr>
          <w:rFonts w:ascii="Symbol" w:hAnsi="Symbol"/>
          <w:lang w:val="en-US"/>
        </w:rPr>
        <w:noBreakHyphen/>
      </w:r>
      <w:r>
        <w:rPr>
          <w:lang w:val="en-US"/>
        </w:rPr>
        <w:t> </w:t>
      </w:r>
      <w:r>
        <w:rPr>
          <w:rFonts w:ascii="Symbol" w:hAnsi="Symbol"/>
        </w:rPr>
        <w:sym w:font="Symbol" w:char="F06A"/>
      </w:r>
      <w:r>
        <w:rPr>
          <w:lang w:val="en-US"/>
        </w:rPr>
        <w:t> </w:t>
      </w:r>
      <w:r>
        <w:rPr>
          <w:rFonts w:ascii="Symbol" w:hAnsi="Symbol"/>
          <w:lang w:val="en-US"/>
        </w:rPr>
        <w:t></w:t>
      </w:r>
      <w:r>
        <w:rPr>
          <w:lang w:val="en-US"/>
        </w:rPr>
        <w:t> 35</w:t>
      </w:r>
      <w:r>
        <w:rPr>
          <w:rFonts w:ascii="Symbol" w:hAnsi="Symbol"/>
          <w:lang w:val="en-US"/>
        </w:rPr>
        <w:t></w:t>
      </w:r>
      <w:r>
        <w:rPr>
          <w:lang w:val="en-US"/>
        </w:rPr>
        <w:t xml:space="preserve"> as shown in Fig. 18.</w:t>
      </w:r>
    </w:p>
    <w:p w:rsidR="00B9359B" w:rsidRDefault="009A5268">
      <w:pPr>
        <w:pStyle w:val="TableNo"/>
        <w:rPr>
          <w:lang w:val="en-US"/>
        </w:rPr>
      </w:pPr>
      <w:r>
        <w:rPr>
          <w:lang w:val="en-US"/>
        </w:rPr>
        <w:t>TABLE  20</w:t>
      </w:r>
    </w:p>
    <w:p w:rsidR="00B9359B" w:rsidRDefault="009A5268">
      <w:pPr>
        <w:pStyle w:val="Tabletitle"/>
        <w:rPr>
          <w:lang w:val="en-US"/>
        </w:rPr>
      </w:pPr>
      <w:r>
        <w:rPr>
          <w:lang w:val="en-US"/>
        </w:rPr>
        <w:t>Estimated interference margins for typical FSS systems using the OoB mask</w:t>
      </w:r>
      <w:r>
        <w:rPr>
          <w:lang w:val="en-US"/>
        </w:rPr>
        <w:br/>
        <w:t>of Recommendation ITU-R SM.1541</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82"/>
        <w:gridCol w:w="1145"/>
        <w:gridCol w:w="981"/>
        <w:gridCol w:w="1531"/>
      </w:tblGrid>
      <w:tr w:rsidR="00B9359B">
        <w:trPr>
          <w:cantSplit/>
        </w:trPr>
        <w:tc>
          <w:tcPr>
            <w:tcW w:w="5982" w:type="dxa"/>
            <w:vMerge w:val="restart"/>
          </w:tcPr>
          <w:p w:rsidR="00B9359B" w:rsidRDefault="00B9359B">
            <w:pPr>
              <w:pStyle w:val="Tablehead"/>
              <w:framePr w:hSpace="181" w:wrap="notBeside" w:vAnchor="text" w:hAnchor="text" w:xAlign="center" w:y="1"/>
              <w:rPr>
                <w:lang w:val="en-US"/>
              </w:rPr>
            </w:pPr>
          </w:p>
        </w:tc>
        <w:tc>
          <w:tcPr>
            <w:tcW w:w="3657" w:type="dxa"/>
            <w:gridSpan w:val="3"/>
          </w:tcPr>
          <w:p w:rsidR="00B9359B" w:rsidRDefault="009A5268">
            <w:pPr>
              <w:pStyle w:val="Tablehead"/>
              <w:framePr w:hSpace="181" w:wrap="notBeside" w:vAnchor="text" w:hAnchor="text" w:xAlign="center" w:y="1"/>
              <w:rPr>
                <w:lang w:val="en-US"/>
              </w:rPr>
            </w:pPr>
            <w:r>
              <w:rPr>
                <w:lang w:val="en-US"/>
              </w:rPr>
              <w:t>FSS System</w:t>
            </w:r>
          </w:p>
        </w:tc>
      </w:tr>
      <w:tr w:rsidR="00B9359B">
        <w:trPr>
          <w:cantSplit/>
        </w:trPr>
        <w:tc>
          <w:tcPr>
            <w:tcW w:w="5982" w:type="dxa"/>
            <w:vMerge/>
          </w:tcPr>
          <w:p w:rsidR="00B9359B" w:rsidRDefault="00B9359B">
            <w:pPr>
              <w:pStyle w:val="Tablehead"/>
              <w:framePr w:hSpace="181" w:wrap="notBeside" w:vAnchor="text" w:hAnchor="text" w:xAlign="center" w:y="1"/>
              <w:rPr>
                <w:lang w:val="en-US"/>
              </w:rPr>
            </w:pPr>
          </w:p>
        </w:tc>
        <w:tc>
          <w:tcPr>
            <w:tcW w:w="1145" w:type="dxa"/>
          </w:tcPr>
          <w:p w:rsidR="00B9359B" w:rsidRDefault="009A5268">
            <w:pPr>
              <w:pStyle w:val="Tablehead"/>
              <w:framePr w:hSpace="181" w:wrap="notBeside" w:vAnchor="text" w:hAnchor="text" w:xAlign="center" w:y="1"/>
              <w:rPr>
                <w:lang w:val="en-US"/>
              </w:rPr>
            </w:pPr>
            <w:r>
              <w:rPr>
                <w:lang w:val="en-US"/>
              </w:rPr>
              <w:t>GSO-VX</w:t>
            </w:r>
          </w:p>
        </w:tc>
        <w:tc>
          <w:tcPr>
            <w:tcW w:w="981" w:type="dxa"/>
          </w:tcPr>
          <w:p w:rsidR="00B9359B" w:rsidRDefault="009A5268">
            <w:pPr>
              <w:pStyle w:val="Tablehead"/>
              <w:framePr w:hSpace="181" w:wrap="notBeside" w:vAnchor="text" w:hAnchor="text" w:xAlign="center" w:y="1"/>
              <w:rPr>
                <w:lang w:val="es-ES"/>
              </w:rPr>
            </w:pPr>
            <w:r>
              <w:rPr>
                <w:lang w:val="es-ES"/>
              </w:rPr>
              <w:t>LEO-N</w:t>
            </w:r>
          </w:p>
        </w:tc>
        <w:tc>
          <w:tcPr>
            <w:tcW w:w="1531" w:type="dxa"/>
          </w:tcPr>
          <w:p w:rsidR="00B9359B" w:rsidRDefault="009A5268">
            <w:pPr>
              <w:pStyle w:val="Tablehead"/>
              <w:framePr w:hSpace="181" w:wrap="notBeside" w:vAnchor="text" w:hAnchor="text" w:xAlign="center" w:y="1"/>
              <w:rPr>
                <w:lang w:val="es-ES"/>
              </w:rPr>
            </w:pPr>
            <w:r>
              <w:rPr>
                <w:lang w:val="es-ES"/>
              </w:rPr>
              <w:t>USAKU-H1</w:t>
            </w:r>
          </w:p>
        </w:tc>
      </w:tr>
      <w:tr w:rsidR="00B9359B">
        <w:tc>
          <w:tcPr>
            <w:tcW w:w="5982" w:type="dxa"/>
          </w:tcPr>
          <w:p w:rsidR="00B9359B" w:rsidRDefault="009A5268">
            <w:pPr>
              <w:pStyle w:val="Tabletext"/>
              <w:framePr w:hSpace="181" w:wrap="notBeside" w:vAnchor="text" w:hAnchor="text" w:xAlign="center" w:y="1"/>
              <w:rPr>
                <w:lang w:val="es-ES"/>
              </w:rPr>
            </w:pPr>
            <w:r>
              <w:rPr>
                <w:lang w:val="es-ES"/>
              </w:rPr>
              <w:t>e.i.r.p. (dBW)</w:t>
            </w:r>
          </w:p>
        </w:tc>
        <w:tc>
          <w:tcPr>
            <w:tcW w:w="1145" w:type="dxa"/>
          </w:tcPr>
          <w:p w:rsidR="00B9359B" w:rsidRDefault="009A5268">
            <w:pPr>
              <w:pStyle w:val="Tabletext"/>
              <w:framePr w:hSpace="181" w:wrap="notBeside" w:vAnchor="text" w:hAnchor="text" w:xAlign="center" w:y="1"/>
              <w:jc w:val="center"/>
              <w:rPr>
                <w:lang w:val="en-US"/>
              </w:rPr>
            </w:pPr>
            <w:r>
              <w:rPr>
                <w:lang w:val="en-US"/>
              </w:rPr>
              <w:t>47.0</w:t>
            </w:r>
          </w:p>
        </w:tc>
        <w:tc>
          <w:tcPr>
            <w:tcW w:w="981" w:type="dxa"/>
          </w:tcPr>
          <w:p w:rsidR="00B9359B" w:rsidRDefault="009A5268">
            <w:pPr>
              <w:pStyle w:val="Tabletext"/>
              <w:framePr w:hSpace="181" w:wrap="notBeside" w:vAnchor="text" w:hAnchor="text" w:xAlign="center" w:y="1"/>
              <w:jc w:val="center"/>
              <w:rPr>
                <w:lang w:val="en-US"/>
              </w:rPr>
            </w:pPr>
            <w:r>
              <w:rPr>
                <w:lang w:val="en-US"/>
              </w:rPr>
              <w:t>17.6</w:t>
            </w:r>
          </w:p>
        </w:tc>
        <w:tc>
          <w:tcPr>
            <w:tcW w:w="1531" w:type="dxa"/>
          </w:tcPr>
          <w:p w:rsidR="00B9359B" w:rsidRDefault="009A5268">
            <w:pPr>
              <w:pStyle w:val="Tabletext"/>
              <w:framePr w:hSpace="181" w:wrap="notBeside" w:vAnchor="text" w:hAnchor="text" w:xAlign="center" w:y="1"/>
              <w:jc w:val="center"/>
              <w:rPr>
                <w:lang w:val="en-US"/>
              </w:rPr>
            </w:pPr>
            <w:r>
              <w:rPr>
                <w:lang w:val="en-US"/>
              </w:rPr>
              <w:t>58.0</w:t>
            </w:r>
          </w:p>
        </w:tc>
      </w:tr>
      <w:tr w:rsidR="00B9359B">
        <w:tc>
          <w:tcPr>
            <w:tcW w:w="5982" w:type="dxa"/>
          </w:tcPr>
          <w:p w:rsidR="00B9359B" w:rsidRDefault="009A5268">
            <w:pPr>
              <w:pStyle w:val="Tabletext"/>
              <w:framePr w:hSpace="181" w:wrap="notBeside" w:vAnchor="text" w:hAnchor="text" w:xAlign="center" w:y="1"/>
              <w:rPr>
                <w:lang w:val="en-US"/>
              </w:rPr>
            </w:pPr>
            <w:r>
              <w:rPr>
                <w:lang w:val="en-US"/>
              </w:rPr>
              <w:t>FSS transponder bandwidth (MHz)</w:t>
            </w:r>
          </w:p>
        </w:tc>
        <w:tc>
          <w:tcPr>
            <w:tcW w:w="1145" w:type="dxa"/>
          </w:tcPr>
          <w:p w:rsidR="00B9359B" w:rsidRDefault="009A5268">
            <w:pPr>
              <w:pStyle w:val="Tabletext"/>
              <w:framePr w:hSpace="181" w:wrap="notBeside" w:vAnchor="text" w:hAnchor="text" w:xAlign="center" w:y="1"/>
              <w:jc w:val="center"/>
              <w:rPr>
                <w:lang w:val="en-US"/>
              </w:rPr>
            </w:pPr>
            <w:r>
              <w:rPr>
                <w:lang w:val="en-US"/>
              </w:rPr>
              <w:t>250.0</w:t>
            </w:r>
          </w:p>
        </w:tc>
        <w:tc>
          <w:tcPr>
            <w:tcW w:w="981" w:type="dxa"/>
          </w:tcPr>
          <w:p w:rsidR="00B9359B" w:rsidRDefault="009A5268">
            <w:pPr>
              <w:pStyle w:val="Tabletext"/>
              <w:framePr w:hSpace="181" w:wrap="notBeside" w:vAnchor="text" w:hAnchor="text" w:xAlign="center" w:y="1"/>
              <w:jc w:val="center"/>
              <w:rPr>
                <w:lang w:val="en-US"/>
              </w:rPr>
            </w:pPr>
            <w:r>
              <w:rPr>
                <w:lang w:val="en-US"/>
              </w:rPr>
              <w:t>4.9</w:t>
            </w:r>
          </w:p>
        </w:tc>
        <w:tc>
          <w:tcPr>
            <w:tcW w:w="1531" w:type="dxa"/>
          </w:tcPr>
          <w:p w:rsidR="00B9359B" w:rsidRDefault="009A5268">
            <w:pPr>
              <w:pStyle w:val="Tabletext"/>
              <w:framePr w:hSpace="181" w:wrap="notBeside" w:vAnchor="text" w:hAnchor="text" w:xAlign="center" w:y="1"/>
              <w:jc w:val="center"/>
              <w:rPr>
                <w:lang w:val="en-US"/>
              </w:rPr>
            </w:pPr>
            <w:r>
              <w:rPr>
                <w:lang w:val="en-US"/>
              </w:rPr>
              <w:t>24.0</w:t>
            </w:r>
          </w:p>
        </w:tc>
      </w:tr>
      <w:tr w:rsidR="00B9359B">
        <w:tc>
          <w:tcPr>
            <w:tcW w:w="5982" w:type="dxa"/>
          </w:tcPr>
          <w:p w:rsidR="00B9359B" w:rsidRDefault="009A5268">
            <w:pPr>
              <w:pStyle w:val="Tabletext"/>
              <w:framePr w:hSpace="181" w:wrap="notBeside" w:vAnchor="text" w:hAnchor="text" w:xAlign="center" w:y="1"/>
              <w:rPr>
                <w:lang w:val="en-US"/>
              </w:rPr>
            </w:pPr>
            <w:r>
              <w:rPr>
                <w:lang w:val="en-US"/>
              </w:rPr>
              <w:t>Sensor bandwidth (MHz)</w:t>
            </w:r>
          </w:p>
        </w:tc>
        <w:tc>
          <w:tcPr>
            <w:tcW w:w="1145" w:type="dxa"/>
          </w:tcPr>
          <w:p w:rsidR="00B9359B" w:rsidRDefault="009A5268">
            <w:pPr>
              <w:pStyle w:val="Tabletext"/>
              <w:framePr w:hSpace="181" w:wrap="notBeside" w:vAnchor="text" w:hAnchor="text" w:xAlign="center" w:y="1"/>
              <w:jc w:val="center"/>
              <w:rPr>
                <w:lang w:val="en-US"/>
              </w:rPr>
            </w:pPr>
            <w:r>
              <w:rPr>
                <w:lang w:val="en-US"/>
              </w:rPr>
              <w:t>100</w:t>
            </w:r>
          </w:p>
        </w:tc>
        <w:tc>
          <w:tcPr>
            <w:tcW w:w="981" w:type="dxa"/>
          </w:tcPr>
          <w:p w:rsidR="00B9359B" w:rsidRDefault="009A5268">
            <w:pPr>
              <w:pStyle w:val="Tabletext"/>
              <w:framePr w:hSpace="181" w:wrap="notBeside" w:vAnchor="text" w:hAnchor="text" w:xAlign="center" w:y="1"/>
              <w:jc w:val="center"/>
              <w:rPr>
                <w:lang w:val="en-US"/>
              </w:rPr>
            </w:pPr>
            <w:r>
              <w:rPr>
                <w:lang w:val="en-US"/>
              </w:rPr>
              <w:t>100</w:t>
            </w:r>
          </w:p>
        </w:tc>
        <w:tc>
          <w:tcPr>
            <w:tcW w:w="1531" w:type="dxa"/>
          </w:tcPr>
          <w:p w:rsidR="00B9359B" w:rsidRDefault="009A5268">
            <w:pPr>
              <w:pStyle w:val="Tabletext"/>
              <w:framePr w:hSpace="181" w:wrap="notBeside" w:vAnchor="text" w:hAnchor="text" w:xAlign="center" w:y="1"/>
              <w:jc w:val="center"/>
              <w:rPr>
                <w:lang w:val="en-US"/>
              </w:rPr>
            </w:pPr>
            <w:r>
              <w:rPr>
                <w:lang w:val="en-US"/>
              </w:rPr>
              <w:t>100</w:t>
            </w:r>
          </w:p>
        </w:tc>
      </w:tr>
      <w:tr w:rsidR="00B9359B">
        <w:tc>
          <w:tcPr>
            <w:tcW w:w="5982" w:type="dxa"/>
          </w:tcPr>
          <w:p w:rsidR="00B9359B" w:rsidRDefault="009A5268">
            <w:pPr>
              <w:pStyle w:val="Tabletext"/>
              <w:framePr w:hSpace="181" w:wrap="notBeside" w:vAnchor="text" w:hAnchor="text" w:xAlign="center" w:y="1"/>
              <w:rPr>
                <w:lang w:val="en-US"/>
              </w:rPr>
            </w:pPr>
            <w:r>
              <w:rPr>
                <w:lang w:val="en-US"/>
              </w:rPr>
              <w:t>Percent frequency offset from band edge</w:t>
            </w:r>
          </w:p>
        </w:tc>
        <w:tc>
          <w:tcPr>
            <w:tcW w:w="1145" w:type="dxa"/>
          </w:tcPr>
          <w:p w:rsidR="00B9359B" w:rsidRDefault="009A5268">
            <w:pPr>
              <w:pStyle w:val="Tabletext"/>
              <w:framePr w:hSpace="181" w:wrap="notBeside" w:vAnchor="text" w:hAnchor="text" w:xAlign="center" w:y="1"/>
              <w:jc w:val="center"/>
              <w:rPr>
                <w:lang w:val="en-US"/>
              </w:rPr>
            </w:pPr>
            <w:r>
              <w:rPr>
                <w:lang w:val="en-US"/>
              </w:rPr>
              <w:t>0-40</w:t>
            </w:r>
          </w:p>
        </w:tc>
        <w:tc>
          <w:tcPr>
            <w:tcW w:w="981" w:type="dxa"/>
          </w:tcPr>
          <w:p w:rsidR="00B9359B" w:rsidRDefault="009A5268">
            <w:pPr>
              <w:pStyle w:val="Tabletext"/>
              <w:framePr w:hSpace="181" w:wrap="notBeside" w:vAnchor="text" w:hAnchor="text" w:xAlign="center" w:y="1"/>
              <w:jc w:val="center"/>
              <w:rPr>
                <w:lang w:val="en-US"/>
              </w:rPr>
            </w:pPr>
            <w:r>
              <w:rPr>
                <w:lang w:val="en-US"/>
              </w:rPr>
              <w:t>–</w:t>
            </w:r>
            <w:r>
              <w:rPr>
                <w:vertAlign w:val="superscript"/>
                <w:lang w:val="en-US"/>
              </w:rPr>
              <w:t>(1)</w:t>
            </w:r>
          </w:p>
        </w:tc>
        <w:tc>
          <w:tcPr>
            <w:tcW w:w="1531" w:type="dxa"/>
          </w:tcPr>
          <w:p w:rsidR="00B9359B" w:rsidRDefault="009A5268">
            <w:pPr>
              <w:pStyle w:val="Tabletext"/>
              <w:framePr w:hSpace="181" w:wrap="notBeside" w:vAnchor="text" w:hAnchor="text" w:xAlign="center" w:y="1"/>
              <w:jc w:val="center"/>
              <w:rPr>
                <w:vertAlign w:val="superscript"/>
                <w:lang w:val="en-US"/>
              </w:rPr>
            </w:pPr>
            <w:r>
              <w:rPr>
                <w:lang w:val="en-US"/>
              </w:rPr>
              <w:t>–</w:t>
            </w:r>
            <w:r>
              <w:rPr>
                <w:vertAlign w:val="superscript"/>
                <w:lang w:val="en-US"/>
              </w:rPr>
              <w:t>(1)</w:t>
            </w:r>
          </w:p>
        </w:tc>
      </w:tr>
      <w:tr w:rsidR="00B9359B">
        <w:tc>
          <w:tcPr>
            <w:tcW w:w="5982" w:type="dxa"/>
          </w:tcPr>
          <w:p w:rsidR="00B9359B" w:rsidRDefault="009A5268">
            <w:pPr>
              <w:pStyle w:val="Tabletext"/>
              <w:framePr w:hSpace="181" w:wrap="notBeside" w:vAnchor="text" w:hAnchor="text" w:xAlign="center" w:y="1"/>
              <w:rPr>
                <w:lang w:val="en-US"/>
              </w:rPr>
            </w:pPr>
            <w:r>
              <w:rPr>
                <w:lang w:val="en-US"/>
              </w:rPr>
              <w:t>OoB power factor</w:t>
            </w:r>
          </w:p>
        </w:tc>
        <w:tc>
          <w:tcPr>
            <w:tcW w:w="1145" w:type="dxa"/>
          </w:tcPr>
          <w:p w:rsidR="00B9359B" w:rsidRDefault="009A5268">
            <w:pPr>
              <w:pStyle w:val="Tabletext"/>
              <w:framePr w:hSpace="181" w:wrap="notBeside" w:vAnchor="text" w:hAnchor="text" w:xAlign="center" w:y="1"/>
              <w:jc w:val="center"/>
              <w:rPr>
                <w:lang w:val="en-US"/>
              </w:rPr>
            </w:pPr>
            <w:r>
              <w:sym w:font="Symbol" w:char="F02D"/>
            </w:r>
            <w:r>
              <w:rPr>
                <w:lang w:val="en-US"/>
              </w:rPr>
              <w:t>9.8</w:t>
            </w:r>
          </w:p>
        </w:tc>
        <w:tc>
          <w:tcPr>
            <w:tcW w:w="981" w:type="dxa"/>
          </w:tcPr>
          <w:p w:rsidR="00B9359B" w:rsidRDefault="009A5268">
            <w:pPr>
              <w:pStyle w:val="Tabletext"/>
              <w:framePr w:hSpace="181" w:wrap="notBeside" w:vAnchor="text" w:hAnchor="text" w:xAlign="center" w:y="1"/>
              <w:jc w:val="center"/>
              <w:rPr>
                <w:lang w:val="en-US"/>
              </w:rPr>
            </w:pPr>
            <w:r>
              <w:sym w:font="Symbol" w:char="F02D"/>
            </w:r>
            <w:r>
              <w:rPr>
                <w:lang w:val="en-US"/>
              </w:rPr>
              <w:t>9.0</w:t>
            </w:r>
          </w:p>
        </w:tc>
        <w:tc>
          <w:tcPr>
            <w:tcW w:w="1531" w:type="dxa"/>
          </w:tcPr>
          <w:p w:rsidR="00B9359B" w:rsidRDefault="009A5268">
            <w:pPr>
              <w:pStyle w:val="Tabletext"/>
              <w:framePr w:hSpace="181" w:wrap="notBeside" w:vAnchor="text" w:hAnchor="text" w:xAlign="center" w:y="1"/>
              <w:jc w:val="center"/>
              <w:rPr>
                <w:lang w:val="en-US"/>
              </w:rPr>
            </w:pPr>
            <w:r>
              <w:sym w:font="Symbol" w:char="F02D"/>
            </w:r>
            <w:r>
              <w:rPr>
                <w:lang w:val="en-US"/>
              </w:rPr>
              <w:t>9.0</w:t>
            </w:r>
          </w:p>
        </w:tc>
      </w:tr>
      <w:tr w:rsidR="00B9359B">
        <w:tc>
          <w:tcPr>
            <w:tcW w:w="5982" w:type="dxa"/>
          </w:tcPr>
          <w:p w:rsidR="00B9359B" w:rsidRDefault="009A5268">
            <w:pPr>
              <w:pStyle w:val="Tabletext"/>
              <w:framePr w:hSpace="181" w:wrap="notBeside" w:vAnchor="text" w:hAnchor="text" w:xAlign="center" w:y="1"/>
              <w:rPr>
                <w:lang w:val="en-US"/>
              </w:rPr>
            </w:pPr>
            <w:r>
              <w:rPr>
                <w:lang w:val="en-US"/>
              </w:rPr>
              <w:t>Unwanted power in sensor band (dBW)</w:t>
            </w:r>
          </w:p>
        </w:tc>
        <w:tc>
          <w:tcPr>
            <w:tcW w:w="1145" w:type="dxa"/>
          </w:tcPr>
          <w:p w:rsidR="00B9359B" w:rsidRDefault="009A5268">
            <w:pPr>
              <w:pStyle w:val="Tabletext"/>
              <w:framePr w:hSpace="181" w:wrap="notBeside" w:vAnchor="text" w:hAnchor="text" w:xAlign="center" w:y="1"/>
              <w:jc w:val="center"/>
              <w:rPr>
                <w:lang w:val="en-US"/>
              </w:rPr>
            </w:pPr>
            <w:r>
              <w:rPr>
                <w:lang w:val="en-US"/>
              </w:rPr>
              <w:t>37.2</w:t>
            </w:r>
          </w:p>
        </w:tc>
        <w:tc>
          <w:tcPr>
            <w:tcW w:w="981" w:type="dxa"/>
          </w:tcPr>
          <w:p w:rsidR="00B9359B" w:rsidRDefault="009A5268">
            <w:pPr>
              <w:pStyle w:val="Tabletext"/>
              <w:framePr w:hSpace="181" w:wrap="notBeside" w:vAnchor="text" w:hAnchor="text" w:xAlign="center" w:y="1"/>
              <w:jc w:val="center"/>
              <w:rPr>
                <w:lang w:val="en-US"/>
              </w:rPr>
            </w:pPr>
            <w:r>
              <w:rPr>
                <w:lang w:val="en-US"/>
              </w:rPr>
              <w:t>8.6</w:t>
            </w:r>
          </w:p>
        </w:tc>
        <w:tc>
          <w:tcPr>
            <w:tcW w:w="1531" w:type="dxa"/>
          </w:tcPr>
          <w:p w:rsidR="00B9359B" w:rsidRDefault="009A5268">
            <w:pPr>
              <w:pStyle w:val="Tabletext"/>
              <w:framePr w:hSpace="181" w:wrap="notBeside" w:vAnchor="text" w:hAnchor="text" w:xAlign="center" w:y="1"/>
              <w:jc w:val="center"/>
              <w:rPr>
                <w:lang w:val="en-US"/>
              </w:rPr>
            </w:pPr>
            <w:r>
              <w:rPr>
                <w:lang w:val="en-US"/>
              </w:rPr>
              <w:t>49.0</w:t>
            </w:r>
          </w:p>
        </w:tc>
      </w:tr>
      <w:tr w:rsidR="00B9359B">
        <w:tc>
          <w:tcPr>
            <w:tcW w:w="5982" w:type="dxa"/>
          </w:tcPr>
          <w:p w:rsidR="00B9359B" w:rsidRDefault="009A5268">
            <w:pPr>
              <w:pStyle w:val="Tabletext"/>
              <w:framePr w:hSpace="181" w:wrap="notBeside" w:vAnchor="text" w:hAnchor="text" w:xAlign="center" w:y="1"/>
              <w:rPr>
                <w:vertAlign w:val="superscript"/>
                <w:lang w:val="en-US"/>
              </w:rPr>
            </w:pPr>
            <w:r>
              <w:rPr>
                <w:lang w:val="en-US"/>
              </w:rPr>
              <w:t>Threshold bandwidth adjustment (dB)</w:t>
            </w:r>
            <w:r>
              <w:rPr>
                <w:vertAlign w:val="superscript"/>
                <w:lang w:val="en-US"/>
              </w:rPr>
              <w:t>(2)</w:t>
            </w:r>
          </w:p>
        </w:tc>
        <w:tc>
          <w:tcPr>
            <w:tcW w:w="1145" w:type="dxa"/>
          </w:tcPr>
          <w:p w:rsidR="00B9359B" w:rsidRDefault="009A5268">
            <w:pPr>
              <w:pStyle w:val="Tabletext"/>
              <w:framePr w:hSpace="181" w:wrap="notBeside" w:vAnchor="text" w:hAnchor="text" w:xAlign="center" w:y="1"/>
              <w:jc w:val="center"/>
              <w:rPr>
                <w:lang w:val="en-US"/>
              </w:rPr>
            </w:pPr>
            <w:r>
              <w:sym w:font="Symbol" w:char="F02D"/>
            </w:r>
            <w:r>
              <w:rPr>
                <w:lang w:val="en-US"/>
              </w:rPr>
              <w:t>7.0</w:t>
            </w:r>
          </w:p>
        </w:tc>
        <w:tc>
          <w:tcPr>
            <w:tcW w:w="981" w:type="dxa"/>
          </w:tcPr>
          <w:p w:rsidR="00B9359B" w:rsidRDefault="009A5268">
            <w:pPr>
              <w:pStyle w:val="Tabletext"/>
              <w:framePr w:hSpace="181" w:wrap="notBeside" w:vAnchor="text" w:hAnchor="text" w:xAlign="center" w:y="1"/>
              <w:jc w:val="center"/>
              <w:rPr>
                <w:lang w:val="en-US"/>
              </w:rPr>
            </w:pPr>
            <w:r>
              <w:sym w:font="Symbol" w:char="F02D"/>
            </w:r>
            <w:r>
              <w:rPr>
                <w:lang w:val="en-US"/>
              </w:rPr>
              <w:t>7.0</w:t>
            </w:r>
          </w:p>
        </w:tc>
        <w:tc>
          <w:tcPr>
            <w:tcW w:w="1531" w:type="dxa"/>
          </w:tcPr>
          <w:p w:rsidR="00B9359B" w:rsidRDefault="009A5268">
            <w:pPr>
              <w:pStyle w:val="Tabletext"/>
              <w:framePr w:hSpace="181" w:wrap="notBeside" w:vAnchor="text" w:hAnchor="text" w:xAlign="center" w:y="1"/>
              <w:jc w:val="center"/>
              <w:rPr>
                <w:lang w:val="en-US"/>
              </w:rPr>
            </w:pPr>
            <w:r>
              <w:sym w:font="Symbol" w:char="F02D"/>
            </w:r>
            <w:r>
              <w:rPr>
                <w:lang w:val="en-US"/>
              </w:rPr>
              <w:t>7.0</w:t>
            </w:r>
          </w:p>
        </w:tc>
      </w:tr>
      <w:tr w:rsidR="00B9359B">
        <w:tc>
          <w:tcPr>
            <w:tcW w:w="5982" w:type="dxa"/>
          </w:tcPr>
          <w:p w:rsidR="00B9359B" w:rsidRDefault="009A5268">
            <w:pPr>
              <w:pStyle w:val="Tabletext"/>
              <w:framePr w:hSpace="181" w:wrap="notBeside" w:vAnchor="text" w:hAnchor="text" w:xAlign="center" w:y="1"/>
              <w:rPr>
                <w:lang w:val="en-US"/>
              </w:rPr>
            </w:pPr>
            <w:r>
              <w:rPr>
                <w:lang w:val="en-US"/>
              </w:rPr>
              <w:t>Unwanted emission psd (dB(W/20 MHz))</w:t>
            </w:r>
          </w:p>
        </w:tc>
        <w:tc>
          <w:tcPr>
            <w:tcW w:w="1145" w:type="dxa"/>
          </w:tcPr>
          <w:p w:rsidR="00B9359B" w:rsidRDefault="009A5268">
            <w:pPr>
              <w:pStyle w:val="Tabletext"/>
              <w:framePr w:hSpace="181" w:wrap="notBeside" w:vAnchor="text" w:hAnchor="text" w:xAlign="center" w:y="1"/>
              <w:jc w:val="center"/>
              <w:rPr>
                <w:lang w:val="en-US"/>
              </w:rPr>
            </w:pPr>
            <w:r>
              <w:rPr>
                <w:lang w:val="en-US"/>
              </w:rPr>
              <w:t>30.2</w:t>
            </w:r>
          </w:p>
        </w:tc>
        <w:tc>
          <w:tcPr>
            <w:tcW w:w="981" w:type="dxa"/>
          </w:tcPr>
          <w:p w:rsidR="00B9359B" w:rsidRDefault="009A5268">
            <w:pPr>
              <w:pStyle w:val="Tabletext"/>
              <w:framePr w:hSpace="181" w:wrap="notBeside" w:vAnchor="text" w:hAnchor="text" w:xAlign="center" w:y="1"/>
              <w:jc w:val="center"/>
              <w:rPr>
                <w:lang w:val="en-US"/>
              </w:rPr>
            </w:pPr>
            <w:r>
              <w:rPr>
                <w:lang w:val="en-US"/>
              </w:rPr>
              <w:t>1.6</w:t>
            </w:r>
          </w:p>
        </w:tc>
        <w:tc>
          <w:tcPr>
            <w:tcW w:w="1531" w:type="dxa"/>
          </w:tcPr>
          <w:p w:rsidR="00B9359B" w:rsidRDefault="009A5268">
            <w:pPr>
              <w:pStyle w:val="Tabletext"/>
              <w:framePr w:hSpace="181" w:wrap="notBeside" w:vAnchor="text" w:hAnchor="text" w:xAlign="center" w:y="1"/>
              <w:jc w:val="center"/>
              <w:rPr>
                <w:lang w:val="en-US"/>
              </w:rPr>
            </w:pPr>
            <w:r>
              <w:rPr>
                <w:lang w:val="en-US"/>
              </w:rPr>
              <w:t>42.0</w:t>
            </w:r>
          </w:p>
        </w:tc>
      </w:tr>
      <w:tr w:rsidR="00B9359B">
        <w:tc>
          <w:tcPr>
            <w:tcW w:w="5982" w:type="dxa"/>
          </w:tcPr>
          <w:p w:rsidR="00B9359B" w:rsidRDefault="009A5268">
            <w:pPr>
              <w:pStyle w:val="Tabletext"/>
              <w:framePr w:hSpace="181" w:wrap="notBeside" w:vAnchor="text" w:hAnchor="text" w:xAlign="center" w:y="1"/>
              <w:rPr>
                <w:lang w:val="en-US"/>
              </w:rPr>
            </w:pPr>
            <w:r>
              <w:rPr>
                <w:lang w:val="en-US"/>
              </w:rPr>
              <w:t>Elevation to active service satellite (degrees)</w:t>
            </w:r>
          </w:p>
        </w:tc>
        <w:tc>
          <w:tcPr>
            <w:tcW w:w="1145" w:type="dxa"/>
          </w:tcPr>
          <w:p w:rsidR="00B9359B" w:rsidRDefault="009A5268">
            <w:pPr>
              <w:pStyle w:val="Tabletext"/>
              <w:framePr w:hSpace="181" w:wrap="notBeside" w:vAnchor="text" w:hAnchor="text" w:xAlign="center" w:y="1"/>
              <w:jc w:val="center"/>
              <w:rPr>
                <w:lang w:val="en-US"/>
              </w:rPr>
            </w:pPr>
            <w:r>
              <w:rPr>
                <w:lang w:val="en-US"/>
              </w:rPr>
              <w:t>35.0</w:t>
            </w:r>
          </w:p>
        </w:tc>
        <w:tc>
          <w:tcPr>
            <w:tcW w:w="981" w:type="dxa"/>
          </w:tcPr>
          <w:p w:rsidR="00B9359B" w:rsidRDefault="009A5268">
            <w:pPr>
              <w:pStyle w:val="Tabletext"/>
              <w:framePr w:hSpace="181" w:wrap="notBeside" w:vAnchor="text" w:hAnchor="text" w:xAlign="center" w:y="1"/>
              <w:jc w:val="center"/>
              <w:rPr>
                <w:lang w:val="en-US"/>
              </w:rPr>
            </w:pPr>
            <w:r>
              <w:rPr>
                <w:lang w:val="en-US"/>
              </w:rPr>
              <w:t>35.0</w:t>
            </w:r>
          </w:p>
        </w:tc>
        <w:tc>
          <w:tcPr>
            <w:tcW w:w="1531" w:type="dxa"/>
          </w:tcPr>
          <w:p w:rsidR="00B9359B" w:rsidRDefault="009A5268">
            <w:pPr>
              <w:pStyle w:val="Tabletext"/>
              <w:framePr w:hSpace="181" w:wrap="notBeside" w:vAnchor="text" w:hAnchor="text" w:xAlign="center" w:y="1"/>
              <w:jc w:val="center"/>
              <w:rPr>
                <w:vertAlign w:val="superscript"/>
                <w:lang w:val="en-US"/>
              </w:rPr>
            </w:pPr>
            <w:r>
              <w:rPr>
                <w:lang w:val="en-US"/>
              </w:rPr>
              <w:t>70.0</w:t>
            </w:r>
            <w:r>
              <w:rPr>
                <w:vertAlign w:val="superscript"/>
                <w:lang w:val="en-US"/>
              </w:rPr>
              <w:t>(3)</w:t>
            </w:r>
          </w:p>
        </w:tc>
      </w:tr>
      <w:tr w:rsidR="00B9359B">
        <w:tc>
          <w:tcPr>
            <w:tcW w:w="5982" w:type="dxa"/>
          </w:tcPr>
          <w:p w:rsidR="00B9359B" w:rsidRDefault="009A5268">
            <w:pPr>
              <w:pStyle w:val="Tabletext"/>
              <w:framePr w:hSpace="181" w:wrap="notBeside" w:vAnchor="text" w:hAnchor="text" w:xAlign="center" w:y="1"/>
              <w:rPr>
                <w:lang w:val="en-US"/>
              </w:rPr>
            </w:pPr>
            <w:r>
              <w:rPr>
                <w:lang w:val="en-US"/>
              </w:rPr>
              <w:t>FSS range (km)</w:t>
            </w:r>
          </w:p>
        </w:tc>
        <w:tc>
          <w:tcPr>
            <w:tcW w:w="1145" w:type="dxa"/>
          </w:tcPr>
          <w:p w:rsidR="00B9359B" w:rsidRDefault="009A5268">
            <w:pPr>
              <w:pStyle w:val="Tabletext"/>
              <w:framePr w:hSpace="181" w:wrap="notBeside" w:vAnchor="text" w:hAnchor="text" w:xAlign="center" w:y="1"/>
              <w:jc w:val="center"/>
              <w:rPr>
                <w:lang w:val="en-US"/>
              </w:rPr>
            </w:pPr>
            <w:r>
              <w:rPr>
                <w:lang w:val="en-US"/>
              </w:rPr>
              <w:t>38</w:t>
            </w:r>
            <w:r>
              <w:rPr>
                <w:rFonts w:ascii="Tms Rmn" w:hAnsi="Tms Rmn"/>
                <w:sz w:val="12"/>
                <w:lang w:val="en-US"/>
              </w:rPr>
              <w:t> </w:t>
            </w:r>
            <w:r>
              <w:rPr>
                <w:lang w:val="en-US"/>
              </w:rPr>
              <w:t>180</w:t>
            </w:r>
          </w:p>
        </w:tc>
        <w:tc>
          <w:tcPr>
            <w:tcW w:w="981" w:type="dxa"/>
          </w:tcPr>
          <w:p w:rsidR="00B9359B" w:rsidRDefault="009A5268">
            <w:pPr>
              <w:pStyle w:val="Tabletext"/>
              <w:framePr w:hSpace="181" w:wrap="notBeside" w:vAnchor="text" w:hAnchor="text" w:xAlign="center" w:y="1"/>
              <w:jc w:val="center"/>
              <w:rPr>
                <w:lang w:val="en-US"/>
              </w:rPr>
            </w:pPr>
            <w:r>
              <w:rPr>
                <w:lang w:val="en-US"/>
              </w:rPr>
              <w:t>1</w:t>
            </w:r>
            <w:r>
              <w:rPr>
                <w:rFonts w:ascii="Tms Rmn" w:hAnsi="Tms Rmn"/>
                <w:sz w:val="12"/>
                <w:lang w:val="en-US"/>
              </w:rPr>
              <w:t> </w:t>
            </w:r>
            <w:r>
              <w:rPr>
                <w:lang w:val="en-US"/>
              </w:rPr>
              <w:t>117</w:t>
            </w:r>
          </w:p>
        </w:tc>
        <w:tc>
          <w:tcPr>
            <w:tcW w:w="1531" w:type="dxa"/>
          </w:tcPr>
          <w:p w:rsidR="00B9359B" w:rsidRDefault="009A5268">
            <w:pPr>
              <w:pStyle w:val="Tabletext"/>
              <w:framePr w:hSpace="181" w:wrap="notBeside" w:vAnchor="text" w:hAnchor="text" w:xAlign="center" w:y="1"/>
              <w:jc w:val="center"/>
              <w:rPr>
                <w:lang w:val="en-US"/>
              </w:rPr>
            </w:pPr>
            <w:r>
              <w:rPr>
                <w:lang w:val="en-US"/>
              </w:rPr>
              <w:t>41</w:t>
            </w:r>
            <w:r>
              <w:rPr>
                <w:rFonts w:ascii="Tms Rmn" w:hAnsi="Tms Rmn"/>
                <w:sz w:val="12"/>
                <w:lang w:val="en-US"/>
              </w:rPr>
              <w:t> </w:t>
            </w:r>
            <w:r>
              <w:rPr>
                <w:lang w:val="en-US"/>
              </w:rPr>
              <w:t>784</w:t>
            </w:r>
          </w:p>
        </w:tc>
      </w:tr>
      <w:tr w:rsidR="00B9359B">
        <w:tc>
          <w:tcPr>
            <w:tcW w:w="5982" w:type="dxa"/>
          </w:tcPr>
          <w:p w:rsidR="00B9359B" w:rsidRDefault="009A5268">
            <w:pPr>
              <w:pStyle w:val="Tabletext"/>
              <w:framePr w:hSpace="181" w:wrap="notBeside" w:vAnchor="text" w:hAnchor="text" w:xAlign="center" w:y="1"/>
              <w:rPr>
                <w:lang w:val="en-US"/>
              </w:rPr>
            </w:pPr>
            <w:r>
              <w:rPr>
                <w:lang w:val="en-US"/>
              </w:rPr>
              <w:t>Beam spreading loss (dB)</w:t>
            </w:r>
          </w:p>
        </w:tc>
        <w:tc>
          <w:tcPr>
            <w:tcW w:w="1145" w:type="dxa"/>
          </w:tcPr>
          <w:p w:rsidR="00B9359B" w:rsidRDefault="009A5268">
            <w:pPr>
              <w:pStyle w:val="Tabletext"/>
              <w:framePr w:hSpace="181" w:wrap="notBeside" w:vAnchor="text" w:hAnchor="text" w:xAlign="center" w:y="1"/>
              <w:jc w:val="center"/>
              <w:rPr>
                <w:lang w:val="en-US"/>
              </w:rPr>
            </w:pPr>
            <w:r>
              <w:rPr>
                <w:lang w:val="en-US"/>
              </w:rPr>
              <w:t>162.5</w:t>
            </w:r>
          </w:p>
        </w:tc>
        <w:tc>
          <w:tcPr>
            <w:tcW w:w="981" w:type="dxa"/>
          </w:tcPr>
          <w:p w:rsidR="00B9359B" w:rsidRDefault="009A5268">
            <w:pPr>
              <w:pStyle w:val="Tabletext"/>
              <w:framePr w:hSpace="181" w:wrap="notBeside" w:vAnchor="text" w:hAnchor="text" w:xAlign="center" w:y="1"/>
              <w:jc w:val="center"/>
              <w:rPr>
                <w:lang w:val="en-US"/>
              </w:rPr>
            </w:pPr>
            <w:r>
              <w:rPr>
                <w:lang w:val="en-US"/>
              </w:rPr>
              <w:t>132.0</w:t>
            </w:r>
          </w:p>
        </w:tc>
        <w:tc>
          <w:tcPr>
            <w:tcW w:w="1531" w:type="dxa"/>
          </w:tcPr>
          <w:p w:rsidR="00B9359B" w:rsidRDefault="009A5268">
            <w:pPr>
              <w:pStyle w:val="Tabletext"/>
              <w:framePr w:hSpace="181" w:wrap="notBeside" w:vAnchor="text" w:hAnchor="text" w:xAlign="center" w:y="1"/>
              <w:jc w:val="center"/>
              <w:rPr>
                <w:lang w:val="en-US"/>
              </w:rPr>
            </w:pPr>
            <w:r>
              <w:rPr>
                <w:lang w:val="en-US"/>
              </w:rPr>
              <w:t>163.4</w:t>
            </w:r>
          </w:p>
        </w:tc>
      </w:tr>
      <w:tr w:rsidR="00B9359B">
        <w:tc>
          <w:tcPr>
            <w:tcW w:w="5982" w:type="dxa"/>
          </w:tcPr>
          <w:p w:rsidR="00B9359B" w:rsidRDefault="009A5268">
            <w:pPr>
              <w:pStyle w:val="Tabletext"/>
              <w:framePr w:hSpace="181" w:wrap="notBeside" w:vAnchor="text" w:hAnchor="text" w:xAlign="center" w:y="1"/>
              <w:rPr>
                <w:lang w:val="en-US"/>
              </w:rPr>
            </w:pPr>
            <w:r>
              <w:rPr>
                <w:lang w:val="en-US"/>
              </w:rPr>
              <w:t>OoB pfd centre of projected area (dB(W/(m</w:t>
            </w:r>
            <w:r>
              <w:rPr>
                <w:vertAlign w:val="superscript"/>
                <w:lang w:val="en-US"/>
              </w:rPr>
              <w:t>2</w:t>
            </w:r>
            <w:r>
              <w:rPr>
                <w:lang w:val="en-US"/>
              </w:rPr>
              <w:t> · 20 MHz)))</w:t>
            </w:r>
          </w:p>
        </w:tc>
        <w:tc>
          <w:tcPr>
            <w:tcW w:w="1145" w:type="dxa"/>
          </w:tcPr>
          <w:p w:rsidR="00B9359B" w:rsidRDefault="009A5268">
            <w:pPr>
              <w:pStyle w:val="Tabletext"/>
              <w:framePr w:hSpace="181" w:wrap="notBeside" w:vAnchor="text" w:hAnchor="text" w:xAlign="center" w:y="1"/>
              <w:jc w:val="center"/>
              <w:rPr>
                <w:lang w:val="en-US"/>
              </w:rPr>
            </w:pPr>
            <w:r>
              <w:sym w:font="Symbol" w:char="F02D"/>
            </w:r>
            <w:r>
              <w:rPr>
                <w:lang w:val="en-US"/>
              </w:rPr>
              <w:t>134.7</w:t>
            </w:r>
          </w:p>
        </w:tc>
        <w:tc>
          <w:tcPr>
            <w:tcW w:w="981" w:type="dxa"/>
          </w:tcPr>
          <w:p w:rsidR="00B9359B" w:rsidRDefault="009A5268">
            <w:pPr>
              <w:pStyle w:val="Tabletext"/>
              <w:framePr w:hSpace="181" w:wrap="notBeside" w:vAnchor="text" w:hAnchor="text" w:xAlign="center" w:y="1"/>
              <w:jc w:val="center"/>
              <w:rPr>
                <w:lang w:val="en-US"/>
              </w:rPr>
            </w:pPr>
            <w:r>
              <w:sym w:font="Symbol" w:char="F02D"/>
            </w:r>
            <w:r>
              <w:rPr>
                <w:lang w:val="en-US"/>
              </w:rPr>
              <w:t>131.4</w:t>
            </w:r>
          </w:p>
        </w:tc>
        <w:tc>
          <w:tcPr>
            <w:tcW w:w="1531" w:type="dxa"/>
          </w:tcPr>
          <w:p w:rsidR="00B9359B" w:rsidRDefault="009A5268">
            <w:pPr>
              <w:pStyle w:val="Tabletext"/>
              <w:framePr w:hSpace="181" w:wrap="notBeside" w:vAnchor="text" w:hAnchor="text" w:xAlign="center" w:y="1"/>
              <w:jc w:val="center"/>
              <w:rPr>
                <w:lang w:val="en-US"/>
              </w:rPr>
            </w:pPr>
            <w:r>
              <w:sym w:font="Symbol" w:char="F02D"/>
            </w:r>
            <w:r>
              <w:rPr>
                <w:lang w:val="en-US"/>
              </w:rPr>
              <w:t>123.8</w:t>
            </w:r>
          </w:p>
        </w:tc>
      </w:tr>
      <w:tr w:rsidR="00B9359B">
        <w:tc>
          <w:tcPr>
            <w:tcW w:w="5982" w:type="dxa"/>
          </w:tcPr>
          <w:p w:rsidR="00B9359B" w:rsidRDefault="009A5268">
            <w:pPr>
              <w:pStyle w:val="Tabletext"/>
              <w:framePr w:hSpace="181" w:wrap="notBeside" w:vAnchor="text" w:hAnchor="text" w:xAlign="center" w:y="1"/>
              <w:rPr>
                <w:lang w:val="en-US"/>
              </w:rPr>
            </w:pPr>
            <w:r>
              <w:rPr>
                <w:lang w:val="en-US"/>
              </w:rPr>
              <w:t>Scattering coefficient (dB)</w:t>
            </w:r>
          </w:p>
        </w:tc>
        <w:tc>
          <w:tcPr>
            <w:tcW w:w="1145" w:type="dxa"/>
          </w:tcPr>
          <w:p w:rsidR="00B9359B" w:rsidRDefault="009A5268">
            <w:pPr>
              <w:pStyle w:val="Tabletext"/>
              <w:framePr w:hSpace="181" w:wrap="notBeside" w:vAnchor="text" w:hAnchor="text" w:xAlign="center" w:y="1"/>
              <w:jc w:val="center"/>
              <w:rPr>
                <w:lang w:val="en-US"/>
              </w:rPr>
            </w:pPr>
            <w:r>
              <w:rPr>
                <w:lang w:val="en-US"/>
              </w:rPr>
              <w:t>9.4</w:t>
            </w:r>
          </w:p>
        </w:tc>
        <w:tc>
          <w:tcPr>
            <w:tcW w:w="981" w:type="dxa"/>
          </w:tcPr>
          <w:p w:rsidR="00B9359B" w:rsidRDefault="009A5268">
            <w:pPr>
              <w:pStyle w:val="Tabletext"/>
              <w:framePr w:hSpace="181" w:wrap="notBeside" w:vAnchor="text" w:hAnchor="text" w:xAlign="center" w:y="1"/>
              <w:jc w:val="center"/>
              <w:rPr>
                <w:lang w:val="en-US"/>
              </w:rPr>
            </w:pPr>
            <w:r>
              <w:rPr>
                <w:lang w:val="en-US"/>
              </w:rPr>
              <w:t>9.4</w:t>
            </w:r>
          </w:p>
        </w:tc>
        <w:tc>
          <w:tcPr>
            <w:tcW w:w="1531" w:type="dxa"/>
          </w:tcPr>
          <w:p w:rsidR="00B9359B" w:rsidRDefault="009A5268">
            <w:pPr>
              <w:pStyle w:val="Tabletext"/>
              <w:framePr w:hSpace="181" w:wrap="notBeside" w:vAnchor="text" w:hAnchor="text" w:xAlign="center" w:y="1"/>
              <w:jc w:val="center"/>
              <w:rPr>
                <w:vertAlign w:val="superscript"/>
                <w:lang w:val="en-US"/>
              </w:rPr>
            </w:pPr>
            <w:r>
              <w:sym w:font="Symbol" w:char="F02D"/>
            </w:r>
            <w:r>
              <w:rPr>
                <w:lang w:val="en-US"/>
              </w:rPr>
              <w:t>5.5</w:t>
            </w:r>
            <w:r>
              <w:rPr>
                <w:vertAlign w:val="superscript"/>
                <w:lang w:val="en-US"/>
              </w:rPr>
              <w:t>(4)</w:t>
            </w:r>
          </w:p>
        </w:tc>
      </w:tr>
      <w:tr w:rsidR="00B9359B">
        <w:tc>
          <w:tcPr>
            <w:tcW w:w="5982" w:type="dxa"/>
          </w:tcPr>
          <w:p w:rsidR="00B9359B" w:rsidRDefault="009A5268">
            <w:pPr>
              <w:pStyle w:val="Tabletext"/>
              <w:framePr w:hSpace="181" w:wrap="notBeside" w:vAnchor="text" w:hAnchor="text" w:xAlign="center" w:y="1"/>
              <w:rPr>
                <w:lang w:val="en-US"/>
              </w:rPr>
            </w:pPr>
            <w:r>
              <w:rPr>
                <w:lang w:val="en-US"/>
              </w:rPr>
              <w:t>Sensor beamwidth (degrees)</w:t>
            </w:r>
          </w:p>
        </w:tc>
        <w:tc>
          <w:tcPr>
            <w:tcW w:w="1145" w:type="dxa"/>
          </w:tcPr>
          <w:p w:rsidR="00B9359B" w:rsidRDefault="009A5268">
            <w:pPr>
              <w:pStyle w:val="Tabletext"/>
              <w:framePr w:hSpace="181" w:wrap="notBeside" w:vAnchor="text" w:hAnchor="text" w:xAlign="center" w:y="1"/>
              <w:jc w:val="center"/>
              <w:rPr>
                <w:lang w:val="en-US"/>
              </w:rPr>
            </w:pPr>
            <w:r>
              <w:rPr>
                <w:lang w:val="en-US"/>
              </w:rPr>
              <w:t>1.4</w:t>
            </w:r>
          </w:p>
        </w:tc>
        <w:tc>
          <w:tcPr>
            <w:tcW w:w="981" w:type="dxa"/>
          </w:tcPr>
          <w:p w:rsidR="00B9359B" w:rsidRDefault="009A5268">
            <w:pPr>
              <w:pStyle w:val="Tabletext"/>
              <w:framePr w:hSpace="181" w:wrap="notBeside" w:vAnchor="text" w:hAnchor="text" w:xAlign="center" w:y="1"/>
              <w:jc w:val="center"/>
              <w:rPr>
                <w:lang w:val="en-US"/>
              </w:rPr>
            </w:pPr>
            <w:r>
              <w:rPr>
                <w:lang w:val="en-US"/>
              </w:rPr>
              <w:t>1.4</w:t>
            </w:r>
          </w:p>
        </w:tc>
        <w:tc>
          <w:tcPr>
            <w:tcW w:w="1531" w:type="dxa"/>
          </w:tcPr>
          <w:p w:rsidR="00B9359B" w:rsidRDefault="009A5268">
            <w:pPr>
              <w:pStyle w:val="Tabletext"/>
              <w:framePr w:hSpace="181" w:wrap="notBeside" w:vAnchor="text" w:hAnchor="text" w:xAlign="center" w:y="1"/>
              <w:jc w:val="center"/>
              <w:rPr>
                <w:lang w:val="en-US"/>
              </w:rPr>
            </w:pPr>
            <w:r>
              <w:rPr>
                <w:lang w:val="en-US"/>
              </w:rPr>
              <w:t>1.4</w:t>
            </w:r>
          </w:p>
        </w:tc>
      </w:tr>
      <w:tr w:rsidR="00B9359B">
        <w:tc>
          <w:tcPr>
            <w:tcW w:w="5982" w:type="dxa"/>
          </w:tcPr>
          <w:p w:rsidR="00B9359B" w:rsidRDefault="009A5268">
            <w:pPr>
              <w:pStyle w:val="Tabletext"/>
              <w:framePr w:hSpace="181" w:wrap="notBeside" w:vAnchor="text" w:hAnchor="text" w:xAlign="center" w:y="1"/>
              <w:rPr>
                <w:lang w:val="en-US"/>
              </w:rPr>
            </w:pPr>
            <w:r>
              <w:rPr>
                <w:lang w:val="en-US"/>
              </w:rPr>
              <w:t>Sensor range (km)</w:t>
            </w:r>
          </w:p>
        </w:tc>
        <w:tc>
          <w:tcPr>
            <w:tcW w:w="1145" w:type="dxa"/>
          </w:tcPr>
          <w:p w:rsidR="00B9359B" w:rsidRDefault="009A5268">
            <w:pPr>
              <w:pStyle w:val="Tabletext"/>
              <w:framePr w:hSpace="181" w:wrap="notBeside" w:vAnchor="text" w:hAnchor="text" w:xAlign="center" w:y="1"/>
              <w:jc w:val="center"/>
              <w:rPr>
                <w:lang w:val="en-US"/>
              </w:rPr>
            </w:pPr>
            <w:r>
              <w:rPr>
                <w:lang w:val="en-US"/>
              </w:rPr>
              <w:t>1</w:t>
            </w:r>
            <w:r>
              <w:rPr>
                <w:rFonts w:ascii="Tms Rmn" w:hAnsi="Tms Rmn"/>
                <w:sz w:val="12"/>
                <w:lang w:val="en-US"/>
              </w:rPr>
              <w:t> </w:t>
            </w:r>
            <w:r>
              <w:rPr>
                <w:lang w:val="en-US"/>
              </w:rPr>
              <w:t>124</w:t>
            </w:r>
          </w:p>
        </w:tc>
        <w:tc>
          <w:tcPr>
            <w:tcW w:w="981" w:type="dxa"/>
          </w:tcPr>
          <w:p w:rsidR="00B9359B" w:rsidRDefault="009A5268">
            <w:pPr>
              <w:pStyle w:val="Tabletext"/>
              <w:framePr w:hSpace="181" w:wrap="notBeside" w:vAnchor="text" w:hAnchor="text" w:xAlign="center" w:y="1"/>
              <w:jc w:val="center"/>
              <w:rPr>
                <w:lang w:val="en-US"/>
              </w:rPr>
            </w:pPr>
            <w:r>
              <w:rPr>
                <w:lang w:val="en-US"/>
              </w:rPr>
              <w:t>1</w:t>
            </w:r>
            <w:r>
              <w:rPr>
                <w:rFonts w:ascii="Tms Rmn" w:hAnsi="Tms Rmn"/>
                <w:sz w:val="12"/>
                <w:lang w:val="en-US"/>
              </w:rPr>
              <w:t> </w:t>
            </w:r>
            <w:r>
              <w:rPr>
                <w:lang w:val="en-US"/>
              </w:rPr>
              <w:t>124</w:t>
            </w:r>
          </w:p>
        </w:tc>
        <w:tc>
          <w:tcPr>
            <w:tcW w:w="1531" w:type="dxa"/>
          </w:tcPr>
          <w:p w:rsidR="00B9359B" w:rsidRDefault="009A5268">
            <w:pPr>
              <w:pStyle w:val="Tabletext"/>
              <w:framePr w:hSpace="181" w:wrap="notBeside" w:vAnchor="text" w:hAnchor="text" w:xAlign="center" w:y="1"/>
              <w:jc w:val="center"/>
              <w:rPr>
                <w:lang w:val="en-US"/>
              </w:rPr>
            </w:pPr>
            <w:r>
              <w:rPr>
                <w:lang w:val="en-US"/>
              </w:rPr>
              <w:t>1</w:t>
            </w:r>
            <w:r>
              <w:rPr>
                <w:rFonts w:ascii="Tms Rmn" w:hAnsi="Tms Rmn"/>
                <w:sz w:val="12"/>
                <w:lang w:val="en-US"/>
              </w:rPr>
              <w:t> </w:t>
            </w:r>
            <w:r>
              <w:rPr>
                <w:lang w:val="en-US"/>
              </w:rPr>
              <w:t>124</w:t>
            </w:r>
          </w:p>
        </w:tc>
      </w:tr>
      <w:tr w:rsidR="00B9359B">
        <w:tc>
          <w:tcPr>
            <w:tcW w:w="5982" w:type="dxa"/>
          </w:tcPr>
          <w:p w:rsidR="00B9359B" w:rsidRDefault="009A5268">
            <w:pPr>
              <w:pStyle w:val="Tabletext"/>
              <w:framePr w:hSpace="181" w:wrap="notBeside" w:vAnchor="text" w:hAnchor="text" w:xAlign="center" w:y="1"/>
              <w:rPr>
                <w:lang w:val="en-US"/>
              </w:rPr>
            </w:pPr>
            <w:r>
              <w:rPr>
                <w:lang w:val="en-US"/>
              </w:rPr>
              <w:t>Sensor beam area (million m</w:t>
            </w:r>
            <w:r>
              <w:rPr>
                <w:vertAlign w:val="superscript"/>
                <w:lang w:val="en-US"/>
              </w:rPr>
              <w:t>2</w:t>
            </w:r>
            <w:r>
              <w:rPr>
                <w:lang w:val="en-US"/>
              </w:rPr>
              <w:t>)</w:t>
            </w:r>
          </w:p>
        </w:tc>
        <w:tc>
          <w:tcPr>
            <w:tcW w:w="1145" w:type="dxa"/>
          </w:tcPr>
          <w:p w:rsidR="00B9359B" w:rsidRDefault="009A5268">
            <w:pPr>
              <w:pStyle w:val="Tabletext"/>
              <w:framePr w:hSpace="181" w:wrap="notBeside" w:vAnchor="text" w:hAnchor="text" w:xAlign="center" w:y="1"/>
              <w:jc w:val="center"/>
              <w:rPr>
                <w:lang w:val="en-US"/>
              </w:rPr>
            </w:pPr>
            <w:r>
              <w:rPr>
                <w:lang w:val="en-US"/>
              </w:rPr>
              <w:t>592</w:t>
            </w:r>
          </w:p>
        </w:tc>
        <w:tc>
          <w:tcPr>
            <w:tcW w:w="981" w:type="dxa"/>
          </w:tcPr>
          <w:p w:rsidR="00B9359B" w:rsidRDefault="009A5268">
            <w:pPr>
              <w:pStyle w:val="Tabletext"/>
              <w:framePr w:hSpace="181" w:wrap="notBeside" w:vAnchor="text" w:hAnchor="text" w:xAlign="center" w:y="1"/>
              <w:jc w:val="center"/>
              <w:rPr>
                <w:lang w:val="en-US"/>
              </w:rPr>
            </w:pPr>
            <w:r>
              <w:rPr>
                <w:lang w:val="en-US"/>
              </w:rPr>
              <w:t>592</w:t>
            </w:r>
          </w:p>
        </w:tc>
        <w:tc>
          <w:tcPr>
            <w:tcW w:w="1531" w:type="dxa"/>
          </w:tcPr>
          <w:p w:rsidR="00B9359B" w:rsidRDefault="009A5268">
            <w:pPr>
              <w:pStyle w:val="Tabletext"/>
              <w:framePr w:hSpace="181" w:wrap="notBeside" w:vAnchor="text" w:hAnchor="text" w:xAlign="center" w:y="1"/>
              <w:jc w:val="center"/>
              <w:rPr>
                <w:lang w:val="en-US"/>
              </w:rPr>
            </w:pPr>
            <w:r>
              <w:rPr>
                <w:lang w:val="en-US"/>
              </w:rPr>
              <w:t>592</w:t>
            </w:r>
          </w:p>
        </w:tc>
      </w:tr>
      <w:tr w:rsidR="00B9359B">
        <w:tc>
          <w:tcPr>
            <w:tcW w:w="5982" w:type="dxa"/>
          </w:tcPr>
          <w:p w:rsidR="00B9359B" w:rsidRDefault="009A5268">
            <w:pPr>
              <w:pStyle w:val="Tabletext"/>
              <w:framePr w:hSpace="181" w:wrap="notBeside" w:vAnchor="text" w:hAnchor="text" w:xAlign="center" w:y="1"/>
              <w:rPr>
                <w:lang w:val="en-US"/>
              </w:rPr>
            </w:pPr>
            <w:r>
              <w:rPr>
                <w:lang w:val="en-US"/>
              </w:rPr>
              <w:t>Elevation to sensor (degrees)</w:t>
            </w:r>
          </w:p>
        </w:tc>
        <w:tc>
          <w:tcPr>
            <w:tcW w:w="1145" w:type="dxa"/>
          </w:tcPr>
          <w:p w:rsidR="00B9359B" w:rsidRDefault="009A5268">
            <w:pPr>
              <w:pStyle w:val="Tabletext"/>
              <w:framePr w:hSpace="181" w:wrap="notBeside" w:vAnchor="text" w:hAnchor="text" w:xAlign="center" w:y="1"/>
              <w:jc w:val="center"/>
              <w:rPr>
                <w:lang w:val="en-US"/>
              </w:rPr>
            </w:pPr>
            <w:r>
              <w:rPr>
                <w:lang w:val="en-US"/>
              </w:rPr>
              <w:t>35</w:t>
            </w:r>
          </w:p>
        </w:tc>
        <w:tc>
          <w:tcPr>
            <w:tcW w:w="981" w:type="dxa"/>
          </w:tcPr>
          <w:p w:rsidR="00B9359B" w:rsidRDefault="009A5268">
            <w:pPr>
              <w:pStyle w:val="Tabletext"/>
              <w:framePr w:hSpace="181" w:wrap="notBeside" w:vAnchor="text" w:hAnchor="text" w:xAlign="center" w:y="1"/>
              <w:jc w:val="center"/>
              <w:rPr>
                <w:lang w:val="en-US"/>
              </w:rPr>
            </w:pPr>
            <w:r>
              <w:rPr>
                <w:lang w:val="en-US"/>
              </w:rPr>
              <w:t>35</w:t>
            </w:r>
          </w:p>
        </w:tc>
        <w:tc>
          <w:tcPr>
            <w:tcW w:w="1531" w:type="dxa"/>
          </w:tcPr>
          <w:p w:rsidR="00B9359B" w:rsidRDefault="009A5268">
            <w:pPr>
              <w:pStyle w:val="Tabletext"/>
              <w:framePr w:hSpace="181" w:wrap="notBeside" w:vAnchor="text" w:hAnchor="text" w:xAlign="center" w:y="1"/>
              <w:jc w:val="center"/>
              <w:rPr>
                <w:lang w:val="en-US"/>
              </w:rPr>
            </w:pPr>
            <w:r>
              <w:rPr>
                <w:lang w:val="en-US"/>
              </w:rPr>
              <w:t>35</w:t>
            </w:r>
          </w:p>
        </w:tc>
      </w:tr>
      <w:tr w:rsidR="00B9359B">
        <w:tc>
          <w:tcPr>
            <w:tcW w:w="5982" w:type="dxa"/>
          </w:tcPr>
          <w:p w:rsidR="00B9359B" w:rsidRDefault="009A5268">
            <w:pPr>
              <w:pStyle w:val="Tabletext"/>
              <w:framePr w:hSpace="181" w:wrap="notBeside" w:vAnchor="text" w:hAnchor="text" w:xAlign="center" w:y="1"/>
              <w:rPr>
                <w:lang w:val="en-US"/>
              </w:rPr>
            </w:pPr>
            <w:r>
              <w:rPr>
                <w:lang w:val="en-US"/>
              </w:rPr>
              <w:t>Projected beam area (million m</w:t>
            </w:r>
            <w:r>
              <w:rPr>
                <w:vertAlign w:val="superscript"/>
                <w:lang w:val="en-US"/>
              </w:rPr>
              <w:t>2</w:t>
            </w:r>
            <w:r>
              <w:rPr>
                <w:lang w:val="en-US"/>
              </w:rPr>
              <w:t>)</w:t>
            </w:r>
          </w:p>
        </w:tc>
        <w:tc>
          <w:tcPr>
            <w:tcW w:w="1145" w:type="dxa"/>
          </w:tcPr>
          <w:p w:rsidR="00B9359B" w:rsidRDefault="009A5268">
            <w:pPr>
              <w:pStyle w:val="Tabletext"/>
              <w:framePr w:hSpace="181" w:wrap="notBeside" w:vAnchor="text" w:hAnchor="text" w:xAlign="center" w:y="1"/>
              <w:jc w:val="center"/>
              <w:rPr>
                <w:lang w:val="en-US"/>
              </w:rPr>
            </w:pPr>
            <w:r>
              <w:rPr>
                <w:lang w:val="en-US"/>
              </w:rPr>
              <w:t>1</w:t>
            </w:r>
            <w:r>
              <w:rPr>
                <w:rFonts w:ascii="Tms Rmn" w:hAnsi="Tms Rmn"/>
                <w:sz w:val="12"/>
                <w:lang w:val="en-US"/>
              </w:rPr>
              <w:t> </w:t>
            </w:r>
            <w:r>
              <w:rPr>
                <w:lang w:val="en-US"/>
              </w:rPr>
              <w:t>033</w:t>
            </w:r>
          </w:p>
        </w:tc>
        <w:tc>
          <w:tcPr>
            <w:tcW w:w="981" w:type="dxa"/>
          </w:tcPr>
          <w:p w:rsidR="00B9359B" w:rsidRDefault="009A5268">
            <w:pPr>
              <w:pStyle w:val="Tabletext"/>
              <w:framePr w:hSpace="181" w:wrap="notBeside" w:vAnchor="text" w:hAnchor="text" w:xAlign="center" w:y="1"/>
              <w:jc w:val="center"/>
              <w:rPr>
                <w:lang w:val="en-US"/>
              </w:rPr>
            </w:pPr>
            <w:r>
              <w:rPr>
                <w:lang w:val="en-US"/>
              </w:rPr>
              <w:t>1</w:t>
            </w:r>
            <w:r>
              <w:rPr>
                <w:rFonts w:ascii="Tms Rmn" w:hAnsi="Tms Rmn"/>
                <w:sz w:val="12"/>
                <w:lang w:val="en-US"/>
              </w:rPr>
              <w:t> </w:t>
            </w:r>
            <w:r>
              <w:rPr>
                <w:lang w:val="en-US"/>
              </w:rPr>
              <w:t>033</w:t>
            </w:r>
          </w:p>
        </w:tc>
        <w:tc>
          <w:tcPr>
            <w:tcW w:w="1531" w:type="dxa"/>
          </w:tcPr>
          <w:p w:rsidR="00B9359B" w:rsidRDefault="009A5268">
            <w:pPr>
              <w:pStyle w:val="Tabletext"/>
              <w:framePr w:hSpace="181" w:wrap="notBeside" w:vAnchor="text" w:hAnchor="text" w:xAlign="center" w:y="1"/>
              <w:jc w:val="center"/>
              <w:rPr>
                <w:lang w:val="en-US"/>
              </w:rPr>
            </w:pPr>
            <w:r>
              <w:rPr>
                <w:lang w:val="en-US"/>
              </w:rPr>
              <w:t>1</w:t>
            </w:r>
            <w:r>
              <w:rPr>
                <w:rFonts w:ascii="Tms Rmn" w:hAnsi="Tms Rmn"/>
                <w:sz w:val="12"/>
                <w:lang w:val="en-US"/>
              </w:rPr>
              <w:t> </w:t>
            </w:r>
            <w:r>
              <w:rPr>
                <w:lang w:val="en-US"/>
              </w:rPr>
              <w:t>033</w:t>
            </w:r>
          </w:p>
        </w:tc>
      </w:tr>
      <w:tr w:rsidR="00B9359B">
        <w:tc>
          <w:tcPr>
            <w:tcW w:w="5982" w:type="dxa"/>
          </w:tcPr>
          <w:p w:rsidR="00B9359B" w:rsidRDefault="009A5268">
            <w:pPr>
              <w:pStyle w:val="Tabletext"/>
              <w:framePr w:hSpace="181" w:wrap="notBeside" w:vAnchor="text" w:hAnchor="text" w:xAlign="center" w:y="1"/>
              <w:rPr>
                <w:lang w:val="en-US"/>
              </w:rPr>
            </w:pPr>
            <w:r>
              <w:rPr>
                <w:lang w:val="en-US"/>
              </w:rPr>
              <w:t>Scattered power (dB(W/20 MHz))</w:t>
            </w:r>
          </w:p>
        </w:tc>
        <w:tc>
          <w:tcPr>
            <w:tcW w:w="1145" w:type="dxa"/>
          </w:tcPr>
          <w:p w:rsidR="00B9359B" w:rsidRDefault="009A5268">
            <w:pPr>
              <w:pStyle w:val="Tabletext"/>
              <w:framePr w:hSpace="181" w:wrap="notBeside" w:vAnchor="text" w:hAnchor="text" w:xAlign="center" w:y="1"/>
              <w:jc w:val="center"/>
              <w:rPr>
                <w:lang w:val="en-US"/>
              </w:rPr>
            </w:pPr>
            <w:r>
              <w:sym w:font="Symbol" w:char="F02D"/>
            </w:r>
            <w:r>
              <w:rPr>
                <w:lang w:val="en-US"/>
              </w:rPr>
              <w:t>35.3</w:t>
            </w:r>
          </w:p>
        </w:tc>
        <w:tc>
          <w:tcPr>
            <w:tcW w:w="981" w:type="dxa"/>
          </w:tcPr>
          <w:p w:rsidR="00B9359B" w:rsidRDefault="009A5268">
            <w:pPr>
              <w:pStyle w:val="Tabletext"/>
              <w:framePr w:hSpace="181" w:wrap="notBeside" w:vAnchor="text" w:hAnchor="text" w:xAlign="center" w:y="1"/>
              <w:jc w:val="center"/>
              <w:rPr>
                <w:lang w:val="en-US"/>
              </w:rPr>
            </w:pPr>
            <w:r>
              <w:sym w:font="Symbol" w:char="F02D"/>
            </w:r>
            <w:r>
              <w:rPr>
                <w:lang w:val="en-US"/>
              </w:rPr>
              <w:t>33.2</w:t>
            </w:r>
          </w:p>
        </w:tc>
        <w:tc>
          <w:tcPr>
            <w:tcW w:w="1531" w:type="dxa"/>
          </w:tcPr>
          <w:p w:rsidR="00B9359B" w:rsidRDefault="009A5268">
            <w:pPr>
              <w:pStyle w:val="Tabletext"/>
              <w:framePr w:hSpace="181" w:wrap="notBeside" w:vAnchor="text" w:hAnchor="text" w:xAlign="center" w:y="1"/>
              <w:jc w:val="center"/>
              <w:rPr>
                <w:lang w:val="en-US"/>
              </w:rPr>
            </w:pPr>
            <w:r>
              <w:sym w:font="Symbol" w:char="F02D"/>
            </w:r>
            <w:r>
              <w:rPr>
                <w:lang w:val="en-US"/>
              </w:rPr>
              <w:t>37.0</w:t>
            </w:r>
          </w:p>
        </w:tc>
      </w:tr>
      <w:tr w:rsidR="00B9359B">
        <w:tc>
          <w:tcPr>
            <w:tcW w:w="5982" w:type="dxa"/>
          </w:tcPr>
          <w:p w:rsidR="00B9359B" w:rsidRDefault="009A5268">
            <w:pPr>
              <w:pStyle w:val="Tabletext"/>
              <w:framePr w:hSpace="181" w:wrap="notBeside" w:vAnchor="text" w:hAnchor="text" w:xAlign="center" w:y="1"/>
              <w:rPr>
                <w:lang w:val="en-US"/>
              </w:rPr>
            </w:pPr>
            <w:r>
              <w:rPr>
                <w:lang w:val="en-US"/>
              </w:rPr>
              <w:t>Path to sensor (dB)</w:t>
            </w:r>
          </w:p>
        </w:tc>
        <w:tc>
          <w:tcPr>
            <w:tcW w:w="1145" w:type="dxa"/>
          </w:tcPr>
          <w:p w:rsidR="00B9359B" w:rsidRDefault="009A5268">
            <w:pPr>
              <w:pStyle w:val="Tabletext"/>
              <w:framePr w:hSpace="181" w:wrap="notBeside" w:vAnchor="text" w:hAnchor="text" w:xAlign="center" w:y="1"/>
              <w:jc w:val="center"/>
              <w:rPr>
                <w:lang w:val="en-US"/>
              </w:rPr>
            </w:pPr>
            <w:r>
              <w:sym w:font="Symbol" w:char="F02D"/>
            </w:r>
            <w:r>
              <w:rPr>
                <w:lang w:val="en-US"/>
              </w:rPr>
              <w:t>174</w:t>
            </w:r>
          </w:p>
        </w:tc>
        <w:tc>
          <w:tcPr>
            <w:tcW w:w="981" w:type="dxa"/>
          </w:tcPr>
          <w:p w:rsidR="00B9359B" w:rsidRDefault="009A5268">
            <w:pPr>
              <w:pStyle w:val="Tabletext"/>
              <w:framePr w:hSpace="181" w:wrap="notBeside" w:vAnchor="text" w:hAnchor="text" w:xAlign="center" w:y="1"/>
              <w:jc w:val="center"/>
              <w:rPr>
                <w:lang w:val="en-US"/>
              </w:rPr>
            </w:pPr>
            <w:r>
              <w:sym w:font="Symbol" w:char="F02D"/>
            </w:r>
            <w:r>
              <w:rPr>
                <w:lang w:val="en-US"/>
              </w:rPr>
              <w:t>174</w:t>
            </w:r>
          </w:p>
        </w:tc>
        <w:tc>
          <w:tcPr>
            <w:tcW w:w="1531" w:type="dxa"/>
          </w:tcPr>
          <w:p w:rsidR="00B9359B" w:rsidRDefault="009A5268">
            <w:pPr>
              <w:pStyle w:val="Tabletext"/>
              <w:framePr w:hSpace="181" w:wrap="notBeside" w:vAnchor="text" w:hAnchor="text" w:xAlign="center" w:y="1"/>
              <w:jc w:val="center"/>
              <w:rPr>
                <w:lang w:val="en-US"/>
              </w:rPr>
            </w:pPr>
            <w:r>
              <w:sym w:font="Symbol" w:char="F02D"/>
            </w:r>
            <w:r>
              <w:rPr>
                <w:lang w:val="en-US"/>
              </w:rPr>
              <w:t>174</w:t>
            </w:r>
          </w:p>
        </w:tc>
      </w:tr>
      <w:tr w:rsidR="00B9359B">
        <w:tc>
          <w:tcPr>
            <w:tcW w:w="5982" w:type="dxa"/>
          </w:tcPr>
          <w:p w:rsidR="00B9359B" w:rsidRDefault="009A5268">
            <w:pPr>
              <w:pStyle w:val="Tabletext"/>
              <w:framePr w:hSpace="181" w:wrap="notBeside" w:vAnchor="text" w:hAnchor="text" w:xAlign="center" w:y="1"/>
              <w:rPr>
                <w:lang w:val="en-US"/>
              </w:rPr>
            </w:pPr>
            <w:r>
              <w:rPr>
                <w:lang w:val="en-US"/>
              </w:rPr>
              <w:t>Sensor antenna gain (dBi)</w:t>
            </w:r>
          </w:p>
        </w:tc>
        <w:tc>
          <w:tcPr>
            <w:tcW w:w="1145" w:type="dxa"/>
          </w:tcPr>
          <w:p w:rsidR="00B9359B" w:rsidRDefault="009A5268">
            <w:pPr>
              <w:pStyle w:val="Tabletext"/>
              <w:framePr w:hSpace="181" w:wrap="notBeside" w:vAnchor="text" w:hAnchor="text" w:xAlign="center" w:y="1"/>
              <w:jc w:val="center"/>
              <w:rPr>
                <w:lang w:val="en-US"/>
              </w:rPr>
            </w:pPr>
            <w:r>
              <w:rPr>
                <w:lang w:val="en-US"/>
              </w:rPr>
              <w:t>41</w:t>
            </w:r>
          </w:p>
        </w:tc>
        <w:tc>
          <w:tcPr>
            <w:tcW w:w="981" w:type="dxa"/>
          </w:tcPr>
          <w:p w:rsidR="00B9359B" w:rsidRDefault="009A5268">
            <w:pPr>
              <w:pStyle w:val="Tabletext"/>
              <w:framePr w:hSpace="181" w:wrap="notBeside" w:vAnchor="text" w:hAnchor="text" w:xAlign="center" w:y="1"/>
              <w:jc w:val="center"/>
              <w:rPr>
                <w:lang w:val="en-US"/>
              </w:rPr>
            </w:pPr>
            <w:r>
              <w:rPr>
                <w:lang w:val="en-US"/>
              </w:rPr>
              <w:t>41</w:t>
            </w:r>
          </w:p>
        </w:tc>
        <w:tc>
          <w:tcPr>
            <w:tcW w:w="1531" w:type="dxa"/>
          </w:tcPr>
          <w:p w:rsidR="00B9359B" w:rsidRDefault="009A5268">
            <w:pPr>
              <w:pStyle w:val="Tabletext"/>
              <w:framePr w:hSpace="181" w:wrap="notBeside" w:vAnchor="text" w:hAnchor="text" w:xAlign="center" w:y="1"/>
              <w:jc w:val="center"/>
              <w:rPr>
                <w:lang w:val="en-US"/>
              </w:rPr>
            </w:pPr>
            <w:r>
              <w:rPr>
                <w:lang w:val="en-US"/>
              </w:rPr>
              <w:t>41</w:t>
            </w:r>
          </w:p>
        </w:tc>
      </w:tr>
      <w:tr w:rsidR="00B9359B">
        <w:tc>
          <w:tcPr>
            <w:tcW w:w="5982" w:type="dxa"/>
          </w:tcPr>
          <w:p w:rsidR="00B9359B" w:rsidRDefault="009A5268">
            <w:pPr>
              <w:pStyle w:val="Tabletext"/>
              <w:framePr w:hSpace="181" w:wrap="notBeside" w:vAnchor="text" w:hAnchor="text" w:xAlign="center" w:y="1"/>
              <w:rPr>
                <w:lang w:val="en-US"/>
              </w:rPr>
            </w:pPr>
            <w:r>
              <w:rPr>
                <w:lang w:val="en-US"/>
              </w:rPr>
              <w:t>Received psd (dB(W/(m</w:t>
            </w:r>
            <w:r>
              <w:rPr>
                <w:vertAlign w:val="superscript"/>
                <w:lang w:val="en-US"/>
              </w:rPr>
              <w:t>2</w:t>
            </w:r>
            <w:r>
              <w:rPr>
                <w:lang w:val="en-US"/>
              </w:rPr>
              <w:t xml:space="preserve"> · 20 MHz)))</w:t>
            </w:r>
          </w:p>
        </w:tc>
        <w:tc>
          <w:tcPr>
            <w:tcW w:w="1145" w:type="dxa"/>
          </w:tcPr>
          <w:p w:rsidR="00B9359B" w:rsidRDefault="009A5268">
            <w:pPr>
              <w:pStyle w:val="Tabletext"/>
              <w:framePr w:hSpace="181" w:wrap="notBeside" w:vAnchor="text" w:hAnchor="text" w:xAlign="center" w:y="1"/>
              <w:jc w:val="center"/>
              <w:rPr>
                <w:lang w:val="en-US"/>
              </w:rPr>
            </w:pPr>
            <w:r>
              <w:sym w:font="Symbol" w:char="F02D"/>
            </w:r>
            <w:r>
              <w:rPr>
                <w:lang w:val="en-US"/>
              </w:rPr>
              <w:t>168.3</w:t>
            </w:r>
          </w:p>
        </w:tc>
        <w:tc>
          <w:tcPr>
            <w:tcW w:w="981" w:type="dxa"/>
          </w:tcPr>
          <w:p w:rsidR="00B9359B" w:rsidRDefault="009A5268">
            <w:pPr>
              <w:pStyle w:val="Tabletext"/>
              <w:framePr w:hSpace="181" w:wrap="notBeside" w:vAnchor="text" w:hAnchor="text" w:xAlign="center" w:y="1"/>
              <w:jc w:val="center"/>
              <w:rPr>
                <w:lang w:val="en-US"/>
              </w:rPr>
            </w:pPr>
            <w:r>
              <w:sym w:font="Symbol" w:char="F02D"/>
            </w:r>
            <w:r>
              <w:rPr>
                <w:lang w:val="en-US"/>
              </w:rPr>
              <w:t>166.2</w:t>
            </w:r>
          </w:p>
        </w:tc>
        <w:tc>
          <w:tcPr>
            <w:tcW w:w="1531" w:type="dxa"/>
          </w:tcPr>
          <w:p w:rsidR="00B9359B" w:rsidRDefault="009A5268">
            <w:pPr>
              <w:pStyle w:val="Tabletext"/>
              <w:framePr w:hSpace="181" w:wrap="notBeside" w:vAnchor="text" w:hAnchor="text" w:xAlign="center" w:y="1"/>
              <w:jc w:val="center"/>
              <w:rPr>
                <w:lang w:val="en-US"/>
              </w:rPr>
            </w:pPr>
            <w:r>
              <w:sym w:font="Symbol" w:char="F02D"/>
            </w:r>
            <w:r>
              <w:rPr>
                <w:lang w:val="en-US"/>
              </w:rPr>
              <w:t>170.0</w:t>
            </w:r>
          </w:p>
        </w:tc>
      </w:tr>
      <w:tr w:rsidR="00B9359B">
        <w:trPr>
          <w:trHeight w:val="260"/>
        </w:trPr>
        <w:tc>
          <w:tcPr>
            <w:tcW w:w="5982" w:type="dxa"/>
          </w:tcPr>
          <w:p w:rsidR="00B9359B" w:rsidRDefault="009A5268">
            <w:pPr>
              <w:pStyle w:val="Tabletext"/>
              <w:framePr w:hSpace="181" w:wrap="notBeside" w:vAnchor="text" w:hAnchor="text" w:xAlign="center" w:y="1"/>
              <w:rPr>
                <w:lang w:val="en-US"/>
              </w:rPr>
            </w:pPr>
            <w:r>
              <w:rPr>
                <w:lang w:val="en-US"/>
              </w:rPr>
              <w:t>Interference threshold (dB(W/20 MHz))</w:t>
            </w:r>
          </w:p>
        </w:tc>
        <w:tc>
          <w:tcPr>
            <w:tcW w:w="1145" w:type="dxa"/>
          </w:tcPr>
          <w:p w:rsidR="00B9359B" w:rsidRDefault="009A5268">
            <w:pPr>
              <w:pStyle w:val="Tabletext"/>
              <w:framePr w:hSpace="181" w:wrap="notBeside" w:vAnchor="text" w:hAnchor="text" w:xAlign="center" w:y="1"/>
              <w:jc w:val="center"/>
              <w:rPr>
                <w:lang w:val="en-US"/>
              </w:rPr>
            </w:pPr>
            <w:r>
              <w:sym w:font="Symbol" w:char="F02D"/>
            </w:r>
            <w:r>
              <w:rPr>
                <w:lang w:val="en-US"/>
              </w:rPr>
              <w:t>163</w:t>
            </w:r>
          </w:p>
        </w:tc>
        <w:tc>
          <w:tcPr>
            <w:tcW w:w="981" w:type="dxa"/>
          </w:tcPr>
          <w:p w:rsidR="00B9359B" w:rsidRDefault="009A5268">
            <w:pPr>
              <w:pStyle w:val="Tabletext"/>
              <w:framePr w:hSpace="181" w:wrap="notBeside" w:vAnchor="text" w:hAnchor="text" w:xAlign="center" w:y="1"/>
              <w:jc w:val="center"/>
              <w:rPr>
                <w:lang w:val="en-US"/>
              </w:rPr>
            </w:pPr>
            <w:r>
              <w:sym w:font="Symbol" w:char="F02D"/>
            </w:r>
            <w:r>
              <w:rPr>
                <w:lang w:val="en-US"/>
              </w:rPr>
              <w:t>163</w:t>
            </w:r>
          </w:p>
        </w:tc>
        <w:tc>
          <w:tcPr>
            <w:tcW w:w="1531" w:type="dxa"/>
          </w:tcPr>
          <w:p w:rsidR="00B9359B" w:rsidRDefault="009A5268">
            <w:pPr>
              <w:pStyle w:val="Tabletext"/>
              <w:framePr w:hSpace="181" w:wrap="notBeside" w:vAnchor="text" w:hAnchor="text" w:xAlign="center" w:y="1"/>
              <w:jc w:val="center"/>
              <w:rPr>
                <w:lang w:val="en-US"/>
              </w:rPr>
            </w:pPr>
            <w:r>
              <w:sym w:font="Symbol" w:char="F02D"/>
            </w:r>
            <w:r>
              <w:rPr>
                <w:lang w:val="en-US"/>
              </w:rPr>
              <w:t>163</w:t>
            </w:r>
          </w:p>
        </w:tc>
      </w:tr>
      <w:tr w:rsidR="00B9359B">
        <w:tc>
          <w:tcPr>
            <w:tcW w:w="5982" w:type="dxa"/>
          </w:tcPr>
          <w:p w:rsidR="00B9359B" w:rsidRDefault="009A5268">
            <w:pPr>
              <w:pStyle w:val="Tabletext"/>
              <w:framePr w:hSpace="181" w:wrap="notBeside" w:vAnchor="text" w:hAnchor="text" w:xAlign="center" w:y="1"/>
              <w:rPr>
                <w:lang w:val="en-US"/>
              </w:rPr>
            </w:pPr>
            <w:r>
              <w:rPr>
                <w:lang w:val="en-US"/>
              </w:rPr>
              <w:t>Margin (dB)</w:t>
            </w:r>
          </w:p>
        </w:tc>
        <w:tc>
          <w:tcPr>
            <w:tcW w:w="1145" w:type="dxa"/>
          </w:tcPr>
          <w:p w:rsidR="00B9359B" w:rsidRDefault="009A5268">
            <w:pPr>
              <w:pStyle w:val="Tabletext"/>
              <w:framePr w:hSpace="181" w:wrap="notBeside" w:vAnchor="text" w:hAnchor="text" w:xAlign="center" w:y="1"/>
              <w:jc w:val="center"/>
              <w:rPr>
                <w:lang w:val="en-US"/>
              </w:rPr>
            </w:pPr>
            <w:r>
              <w:rPr>
                <w:lang w:val="en-US"/>
              </w:rPr>
              <w:t>5.3</w:t>
            </w:r>
          </w:p>
        </w:tc>
        <w:tc>
          <w:tcPr>
            <w:tcW w:w="981" w:type="dxa"/>
          </w:tcPr>
          <w:p w:rsidR="00B9359B" w:rsidRDefault="009A5268">
            <w:pPr>
              <w:pStyle w:val="Tabletext"/>
              <w:framePr w:hSpace="181" w:wrap="notBeside" w:vAnchor="text" w:hAnchor="text" w:xAlign="center" w:y="1"/>
              <w:jc w:val="center"/>
              <w:rPr>
                <w:lang w:val="en-US"/>
              </w:rPr>
            </w:pPr>
            <w:r>
              <w:rPr>
                <w:lang w:val="en-US"/>
              </w:rPr>
              <w:t>3.2</w:t>
            </w:r>
          </w:p>
        </w:tc>
        <w:tc>
          <w:tcPr>
            <w:tcW w:w="1531" w:type="dxa"/>
          </w:tcPr>
          <w:p w:rsidR="00B9359B" w:rsidRDefault="009A5268">
            <w:pPr>
              <w:pStyle w:val="Tabletext"/>
              <w:framePr w:hSpace="181" w:wrap="notBeside" w:vAnchor="text" w:hAnchor="text" w:xAlign="center" w:y="1"/>
              <w:jc w:val="center"/>
              <w:rPr>
                <w:lang w:val="en-US"/>
              </w:rPr>
            </w:pPr>
            <w:r>
              <w:rPr>
                <w:lang w:val="en-US"/>
              </w:rPr>
              <w:t>7.0</w:t>
            </w:r>
          </w:p>
        </w:tc>
      </w:tr>
      <w:tr w:rsidR="00B9359B" w:rsidRPr="00D35B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639" w:type="dxa"/>
            <w:gridSpan w:val="4"/>
          </w:tcPr>
          <w:p w:rsidR="00B9359B" w:rsidRDefault="009A5268">
            <w:pPr>
              <w:pStyle w:val="Tablelegend"/>
              <w:framePr w:hSpace="181" w:wrap="notBeside" w:vAnchor="text" w:hAnchor="text" w:xAlign="center" w:y="1"/>
              <w:rPr>
                <w:lang w:val="en-US"/>
              </w:rPr>
            </w:pPr>
            <w:r>
              <w:rPr>
                <w:vertAlign w:val="superscript"/>
                <w:lang w:val="en-US"/>
              </w:rPr>
              <w:t>(1)</w:t>
            </w:r>
            <w:r>
              <w:rPr>
                <w:lang w:val="en-US"/>
              </w:rPr>
              <w:tab/>
              <w:t>As explained in the text, the percentage range exceeds the range of validity of the OoB mask, and the integration of the OoB mask ignores the interference contribution from the region beyond the spurious boundary at 200% necessary bandwidth.</w:t>
            </w:r>
          </w:p>
          <w:p w:rsidR="00B9359B" w:rsidRDefault="009A5268">
            <w:pPr>
              <w:pStyle w:val="Tablelegend"/>
              <w:framePr w:hSpace="181" w:wrap="notBeside" w:vAnchor="text" w:hAnchor="text" w:xAlign="center" w:y="1"/>
              <w:spacing w:before="0"/>
              <w:rPr>
                <w:lang w:val="en-US"/>
              </w:rPr>
            </w:pPr>
            <w:r>
              <w:rPr>
                <w:vertAlign w:val="superscript"/>
                <w:lang w:val="en-US"/>
              </w:rPr>
              <w:t>(2)</w:t>
            </w:r>
            <w:r>
              <w:rPr>
                <w:lang w:val="en-US"/>
              </w:rPr>
              <w:tab/>
              <w:t>Threshold reference bandwidth is 1/5 the sensor bandwidth.</w:t>
            </w:r>
          </w:p>
          <w:p w:rsidR="00B9359B" w:rsidRDefault="009A5268">
            <w:pPr>
              <w:pStyle w:val="Tablelegend"/>
              <w:framePr w:hSpace="181" w:wrap="notBeside" w:vAnchor="text" w:hAnchor="text" w:xAlign="center" w:y="1"/>
              <w:spacing w:before="0"/>
              <w:rPr>
                <w:lang w:val="en-US"/>
              </w:rPr>
            </w:pPr>
            <w:r>
              <w:rPr>
                <w:vertAlign w:val="superscript"/>
                <w:lang w:val="en-US"/>
              </w:rPr>
              <w:t>(3)</w:t>
            </w:r>
            <w:r>
              <w:rPr>
                <w:lang w:val="en-US"/>
              </w:rPr>
              <w:tab/>
              <w:t>HEO systems are usually designed for high elevation angles, 70</w:t>
            </w:r>
            <w:r>
              <w:rPr>
                <w:rFonts w:ascii="Symbol" w:hAnsi="Symbol"/>
                <w:lang w:val="en-US"/>
              </w:rPr>
              <w:t></w:t>
            </w:r>
            <w:r>
              <w:rPr>
                <w:lang w:val="en-US"/>
              </w:rPr>
              <w:t xml:space="preserve"> assumed.</w:t>
            </w:r>
          </w:p>
          <w:p w:rsidR="00B9359B" w:rsidRDefault="009A5268">
            <w:pPr>
              <w:pStyle w:val="Tablelegend"/>
              <w:framePr w:hSpace="181" w:wrap="notBeside" w:vAnchor="text" w:hAnchor="text" w:xAlign="center" w:y="1"/>
              <w:spacing w:before="0"/>
              <w:rPr>
                <w:lang w:val="en-US"/>
              </w:rPr>
            </w:pPr>
            <w:r>
              <w:rPr>
                <w:vertAlign w:val="superscript"/>
                <w:lang w:val="en-US"/>
              </w:rPr>
              <w:t>(4)</w:t>
            </w:r>
            <w:r>
              <w:rPr>
                <w:vertAlign w:val="superscript"/>
                <w:lang w:val="en-US"/>
              </w:rPr>
              <w:tab/>
            </w:r>
            <w:r>
              <w:rPr>
                <w:lang w:val="en-US"/>
              </w:rPr>
              <w:t>The closest approach to specular is a 12.5</w:t>
            </w:r>
            <w:r>
              <w:rPr>
                <w:rFonts w:ascii="Symbol" w:hAnsi="Symbol"/>
                <w:lang w:val="en-US"/>
              </w:rPr>
              <w:t></w:t>
            </w:r>
            <w:r>
              <w:rPr>
                <w:lang w:val="en-US"/>
              </w:rPr>
              <w:t xml:space="preserve"> offset, which gives the smaller coefficient.</w:t>
            </w:r>
          </w:p>
        </w:tc>
      </w:tr>
    </w:tbl>
    <w:p w:rsidR="00B9359B" w:rsidRDefault="00B9359B">
      <w:pPr>
        <w:pStyle w:val="Tablefin"/>
        <w:spacing w:before="0"/>
      </w:pPr>
    </w:p>
    <w:p w:rsidR="00B9359B" w:rsidRDefault="009A5268">
      <w:pPr>
        <w:pStyle w:val="FigureNo"/>
      </w:pPr>
      <w:r>
        <w:rPr>
          <w:lang w:val="en-GB"/>
        </w:rPr>
        <w:br w:type="page"/>
      </w:r>
      <w:r w:rsidR="00AB52AF">
        <w:pict>
          <v:shape id="_x0000_i1053" type="#_x0000_t75" style="width:255.2pt;height:183.2pt">
            <v:imagedata r:id="rId49" o:title=""/>
          </v:shape>
        </w:pict>
      </w:r>
    </w:p>
    <w:p w:rsidR="00B9359B" w:rsidRDefault="00B9359B">
      <w:pPr>
        <w:rPr>
          <w:lang w:val="en-US"/>
        </w:rPr>
      </w:pPr>
    </w:p>
    <w:p w:rsidR="00B9359B" w:rsidRDefault="009A5268">
      <w:pPr>
        <w:rPr>
          <w:lang w:val="en-US"/>
        </w:rPr>
      </w:pPr>
      <w:r>
        <w:rPr>
          <w:lang w:val="en-US"/>
        </w:rPr>
        <w:t>From § 3.2 of Annex 1 of Recommendation ITU-R SA.1449, the scattering coefficient appropriate for this offset would be the value corresponding to one-half this offset taken from Fig. 12 at the frequency-of-occurrence of interest. With a 70</w:t>
      </w:r>
      <w:r>
        <w:rPr>
          <w:rFonts w:ascii="Symbol" w:hAnsi="Symbol"/>
          <w:lang w:val="en-US"/>
        </w:rPr>
        <w:t></w:t>
      </w:r>
      <w:r>
        <w:rPr>
          <w:lang w:val="en-US"/>
        </w:rPr>
        <w:t xml:space="preserve"> FSS satellite elevation and 35</w:t>
      </w:r>
      <w:r>
        <w:rPr>
          <w:rFonts w:ascii="Symbol" w:hAnsi="Symbol"/>
          <w:lang w:val="en-US"/>
        </w:rPr>
        <w:t></w:t>
      </w:r>
      <w:r>
        <w:rPr>
          <w:lang w:val="en-US"/>
        </w:rPr>
        <w:t xml:space="preserve"> EESS satellite elevation, the one-half offset would be 17.5</w:t>
      </w:r>
      <w:r>
        <w:rPr>
          <w:rFonts w:ascii="Symbol" w:hAnsi="Symbol"/>
          <w:lang w:val="en-US"/>
        </w:rPr>
        <w:t></w:t>
      </w:r>
      <w:r>
        <w:rPr>
          <w:lang w:val="en-US"/>
        </w:rPr>
        <w:t xml:space="preserve"> and the scattering coefficient at the 1% frequency-of-occurrence from Fig. 16 would be about </w:t>
      </w:r>
      <w:r>
        <w:rPr>
          <w:rFonts w:ascii="Symbol" w:hAnsi="Symbol"/>
          <w:lang w:val="en-US"/>
        </w:rPr>
        <w:noBreakHyphen/>
      </w:r>
      <w:r>
        <w:rPr>
          <w:lang w:val="en-US"/>
        </w:rPr>
        <w:t>5.5 dB.</w:t>
      </w:r>
    </w:p>
    <w:p w:rsidR="00B9359B" w:rsidRDefault="009A5268">
      <w:pPr>
        <w:rPr>
          <w:lang w:val="en-US"/>
        </w:rPr>
      </w:pPr>
      <w:r>
        <w:rPr>
          <w:lang w:val="en-US"/>
        </w:rPr>
        <w:t>The scattered PSD has a variation of about 4 dB among the three systems. The net margin against interference is positive in each case with the LEO</w:t>
      </w:r>
      <w:r>
        <w:rPr>
          <w:lang w:val="en-US"/>
        </w:rPr>
        <w:noBreakHyphen/>
        <w:t>N system having the least margin.</w:t>
      </w:r>
    </w:p>
    <w:p w:rsidR="00B9359B" w:rsidRDefault="009A5268">
      <w:pPr>
        <w:pStyle w:val="Heading4"/>
        <w:rPr>
          <w:lang w:val="en-US"/>
        </w:rPr>
      </w:pPr>
      <w:bookmarkStart w:id="258" w:name="_Toc51045658"/>
      <w:r>
        <w:rPr>
          <w:lang w:val="en-US"/>
        </w:rPr>
        <w:t>4.2.4.3</w:t>
      </w:r>
      <w:r>
        <w:rPr>
          <w:lang w:val="en-US"/>
        </w:rPr>
        <w:tab/>
        <w:t>OoB interference using RR No. 1.153</w:t>
      </w:r>
      <w:bookmarkEnd w:id="258"/>
    </w:p>
    <w:p w:rsidR="00B9359B" w:rsidRDefault="009A5268">
      <w:pPr>
        <w:rPr>
          <w:lang w:val="en-US"/>
        </w:rPr>
      </w:pPr>
      <w:r>
        <w:rPr>
          <w:lang w:val="en-US"/>
        </w:rPr>
        <w:t xml:space="preserve">The intent of this provision is to provide a definition of occupied bandwidth in the RR that is based on the power of an emission. In this study, it is assumed that the occupied bandwidth is entirely within the allocated band and that no more than 0.5% of the power falls either above or below the allocated band. If this were the case, the mean power either above or below the allocated band would be no greater than </w:t>
      </w:r>
      <w:r>
        <w:rPr>
          <w:rFonts w:ascii="Symbol" w:hAnsi="Symbol"/>
          <w:lang w:val="en-US"/>
        </w:rPr>
        <w:noBreakHyphen/>
      </w:r>
      <w:r>
        <w:rPr>
          <w:lang w:val="en-US"/>
        </w:rPr>
        <w:t>23 dB relative to the total power of the emission. Herein, we assume the distribution of this unwanted emission power is uniform over a bandwidth equal to the active service bandwidth. Consequently, the OoB unwanted emission into the passive band from the GSO</w:t>
      </w:r>
      <w:r>
        <w:rPr>
          <w:lang w:val="en-US"/>
        </w:rPr>
        <w:noBreakHyphen/>
        <w:t>VX case would be further adjusted by the ratio 10 log(100/250). Since the LEO</w:t>
      </w:r>
      <w:r>
        <w:rPr>
          <w:lang w:val="en-US"/>
        </w:rPr>
        <w:noBreakHyphen/>
        <w:t>N and USAKU</w:t>
      </w:r>
      <w:r>
        <w:rPr>
          <w:lang w:val="en-US"/>
        </w:rPr>
        <w:noBreakHyphen/>
        <w:t>H1 cases have bandwidths less than the passive band, the passive band is subject to the entire unwanted emission allocation.</w:t>
      </w:r>
    </w:p>
    <w:p w:rsidR="00B9359B" w:rsidRDefault="009A5268">
      <w:pPr>
        <w:rPr>
          <w:lang w:val="en-US"/>
        </w:rPr>
      </w:pPr>
      <w:r>
        <w:rPr>
          <w:lang w:val="en-US"/>
        </w:rPr>
        <w:t>Since the interference threshold is referenced to 20 MHz, we make the further bandwidth adjustment of 10 log (20/100) </w:t>
      </w:r>
      <w:r>
        <w:rPr>
          <w:rFonts w:ascii="Symbol" w:hAnsi="Symbol"/>
          <w:lang w:val="en-US"/>
        </w:rPr>
        <w:t></w:t>
      </w:r>
      <w:r>
        <w:rPr>
          <w:lang w:val="en-US"/>
        </w:rPr>
        <w:t> </w:t>
      </w:r>
      <w:r>
        <w:rPr>
          <w:rFonts w:ascii="Symbol" w:hAnsi="Symbol"/>
          <w:lang w:val="en-US"/>
        </w:rPr>
        <w:noBreakHyphen/>
      </w:r>
      <w:r>
        <w:rPr>
          <w:lang w:val="en-US"/>
        </w:rPr>
        <w:t>7 dB.</w:t>
      </w:r>
    </w:p>
    <w:p w:rsidR="00B9359B" w:rsidRDefault="009A5268">
      <w:pPr>
        <w:rPr>
          <w:lang w:val="en-US"/>
        </w:rPr>
      </w:pPr>
      <w:r>
        <w:rPr>
          <w:lang w:val="en-US"/>
        </w:rPr>
        <w:t>With these considerations, a power budget showing the margins against interference is shown in Table 21.</w:t>
      </w:r>
    </w:p>
    <w:p w:rsidR="00B9359B" w:rsidRDefault="009A5268">
      <w:pPr>
        <w:pStyle w:val="Heading2"/>
        <w:rPr>
          <w:lang w:val="en-US"/>
        </w:rPr>
      </w:pPr>
      <w:bookmarkStart w:id="259" w:name="_Toc51045659"/>
      <w:r>
        <w:rPr>
          <w:lang w:val="en-US"/>
        </w:rPr>
        <w:t>4.3</w:t>
      </w:r>
      <w:r>
        <w:rPr>
          <w:lang w:val="en-US"/>
        </w:rPr>
        <w:tab/>
        <w:t>Values achieved</w:t>
      </w:r>
      <w:bookmarkEnd w:id="259"/>
    </w:p>
    <w:p w:rsidR="00B9359B" w:rsidRDefault="009A5268">
      <w:pPr>
        <w:rPr>
          <w:lang w:val="en-US"/>
        </w:rPr>
      </w:pPr>
      <w:r>
        <w:rPr>
          <w:lang w:val="en-US"/>
        </w:rPr>
        <w:t>The interference criterion is met for the cases of the studied GSO and non-GSO systems operating at their proposed e.i.r.p. levels. For cases where the FSS systems operate at the maximum pfd limits allowed under RR Article 21, the calculations presented in § 4.2.2.1 indicate that the EESS inter</w:t>
      </w:r>
      <w:r>
        <w:rPr>
          <w:lang w:val="en-US"/>
        </w:rPr>
        <w:softHyphen/>
        <w:t>ference criteria is exceeded by up to 14 dB when considering the impact of two non</w:t>
      </w:r>
      <w:r>
        <w:rPr>
          <w:lang w:val="en-US"/>
        </w:rPr>
        <w:noBreakHyphen/>
        <w:t>GSO satellites.</w:t>
      </w:r>
    </w:p>
    <w:p w:rsidR="00B9359B" w:rsidRDefault="009A5268">
      <w:pPr>
        <w:pStyle w:val="TableNo"/>
        <w:rPr>
          <w:lang w:val="en-US"/>
        </w:rPr>
      </w:pPr>
      <w:r>
        <w:rPr>
          <w:lang w:val="en-US"/>
        </w:rPr>
        <w:br w:type="page"/>
        <w:t>TABLE  21</w:t>
      </w:r>
    </w:p>
    <w:p w:rsidR="00B9359B" w:rsidRDefault="009A5268">
      <w:pPr>
        <w:pStyle w:val="Tabletitle"/>
        <w:rPr>
          <w:lang w:val="en-US"/>
        </w:rPr>
      </w:pPr>
      <w:r>
        <w:rPr>
          <w:lang w:val="en-US"/>
        </w:rPr>
        <w:t>Estimated interference margins for typical FSS systems</w:t>
      </w:r>
      <w:r>
        <w:rPr>
          <w:lang w:val="en-US"/>
        </w:rPr>
        <w:br/>
        <w:t>using RR No. 1.153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1134"/>
        <w:gridCol w:w="1134"/>
        <w:gridCol w:w="1474"/>
      </w:tblGrid>
      <w:tr w:rsidR="00B9359B">
        <w:trPr>
          <w:cantSplit/>
        </w:trPr>
        <w:tc>
          <w:tcPr>
            <w:tcW w:w="5954" w:type="dxa"/>
            <w:vMerge w:val="restart"/>
          </w:tcPr>
          <w:p w:rsidR="00B9359B" w:rsidRDefault="00B9359B">
            <w:pPr>
              <w:pStyle w:val="Tablehead"/>
              <w:framePr w:hSpace="181" w:wrap="notBeside" w:vAnchor="text" w:hAnchor="text" w:xAlign="center" w:y="1"/>
              <w:rPr>
                <w:lang w:val="en-US"/>
              </w:rPr>
            </w:pPr>
          </w:p>
        </w:tc>
        <w:tc>
          <w:tcPr>
            <w:tcW w:w="3742" w:type="dxa"/>
            <w:gridSpan w:val="3"/>
          </w:tcPr>
          <w:p w:rsidR="00B9359B" w:rsidRDefault="009A5268">
            <w:pPr>
              <w:pStyle w:val="Tablehead"/>
              <w:framePr w:hSpace="181" w:wrap="notBeside" w:vAnchor="text" w:hAnchor="text" w:xAlign="center" w:y="1"/>
              <w:rPr>
                <w:lang w:val="en-US"/>
              </w:rPr>
            </w:pPr>
            <w:r>
              <w:rPr>
                <w:lang w:val="en-US"/>
              </w:rPr>
              <w:t>FSS System</w:t>
            </w:r>
          </w:p>
        </w:tc>
      </w:tr>
      <w:tr w:rsidR="00B9359B">
        <w:trPr>
          <w:cantSplit/>
        </w:trPr>
        <w:tc>
          <w:tcPr>
            <w:tcW w:w="5954" w:type="dxa"/>
            <w:vMerge/>
          </w:tcPr>
          <w:p w:rsidR="00B9359B" w:rsidRDefault="00B9359B">
            <w:pPr>
              <w:pStyle w:val="Tablehead"/>
              <w:framePr w:hSpace="181" w:wrap="notBeside" w:vAnchor="text" w:hAnchor="text" w:xAlign="center" w:y="1"/>
              <w:rPr>
                <w:lang w:val="en-US"/>
              </w:rPr>
            </w:pPr>
          </w:p>
        </w:tc>
        <w:tc>
          <w:tcPr>
            <w:tcW w:w="1134" w:type="dxa"/>
          </w:tcPr>
          <w:p w:rsidR="00B9359B" w:rsidRDefault="009A5268">
            <w:pPr>
              <w:pStyle w:val="Tablehead"/>
              <w:framePr w:hSpace="181" w:wrap="notBeside" w:vAnchor="text" w:hAnchor="text" w:xAlign="center" w:y="1"/>
              <w:rPr>
                <w:lang w:val="en-US"/>
              </w:rPr>
            </w:pPr>
            <w:r>
              <w:rPr>
                <w:lang w:val="en-US"/>
              </w:rPr>
              <w:t>GSO-VX</w:t>
            </w:r>
          </w:p>
        </w:tc>
        <w:tc>
          <w:tcPr>
            <w:tcW w:w="1134" w:type="dxa"/>
          </w:tcPr>
          <w:p w:rsidR="00B9359B" w:rsidRDefault="009A5268">
            <w:pPr>
              <w:pStyle w:val="Tablehead"/>
              <w:framePr w:hSpace="181" w:wrap="notBeside" w:vAnchor="text" w:hAnchor="text" w:xAlign="center" w:y="1"/>
              <w:rPr>
                <w:lang w:val="es-ES"/>
              </w:rPr>
            </w:pPr>
            <w:r>
              <w:rPr>
                <w:lang w:val="es-ES"/>
              </w:rPr>
              <w:t>LEO-N</w:t>
            </w:r>
          </w:p>
        </w:tc>
        <w:tc>
          <w:tcPr>
            <w:tcW w:w="1474" w:type="dxa"/>
          </w:tcPr>
          <w:p w:rsidR="00B9359B" w:rsidRDefault="009A5268">
            <w:pPr>
              <w:pStyle w:val="Tablehead"/>
              <w:framePr w:hSpace="181" w:wrap="notBeside" w:vAnchor="text" w:hAnchor="text" w:xAlign="center" w:y="1"/>
              <w:rPr>
                <w:lang w:val="es-ES"/>
              </w:rPr>
            </w:pPr>
            <w:r>
              <w:rPr>
                <w:lang w:val="es-ES"/>
              </w:rPr>
              <w:t>USAKU-H1</w:t>
            </w:r>
          </w:p>
        </w:tc>
      </w:tr>
      <w:tr w:rsidR="00B9359B">
        <w:tc>
          <w:tcPr>
            <w:tcW w:w="5954" w:type="dxa"/>
          </w:tcPr>
          <w:p w:rsidR="00B9359B" w:rsidRDefault="009A5268">
            <w:pPr>
              <w:pStyle w:val="Tabletext"/>
              <w:framePr w:hSpace="181" w:wrap="notBeside" w:vAnchor="text" w:hAnchor="text" w:xAlign="center" w:y="1"/>
              <w:spacing w:before="50" w:after="50"/>
              <w:rPr>
                <w:lang w:val="es-ES"/>
              </w:rPr>
            </w:pPr>
            <w:r>
              <w:rPr>
                <w:lang w:val="es-ES"/>
              </w:rPr>
              <w:t>e.i.r.p. (dBW)</w:t>
            </w:r>
          </w:p>
        </w:tc>
        <w:tc>
          <w:tcPr>
            <w:tcW w:w="1134" w:type="dxa"/>
          </w:tcPr>
          <w:p w:rsidR="00B9359B" w:rsidRDefault="009A5268">
            <w:pPr>
              <w:pStyle w:val="Tabletext"/>
              <w:framePr w:hSpace="181" w:wrap="notBeside" w:vAnchor="text" w:hAnchor="text" w:xAlign="center" w:y="1"/>
              <w:spacing w:before="50" w:after="50"/>
              <w:jc w:val="center"/>
              <w:rPr>
                <w:lang w:val="en-US"/>
              </w:rPr>
            </w:pPr>
            <w:r>
              <w:rPr>
                <w:lang w:val="en-US"/>
              </w:rPr>
              <w:t>47.0</w:t>
            </w:r>
          </w:p>
        </w:tc>
        <w:tc>
          <w:tcPr>
            <w:tcW w:w="1134" w:type="dxa"/>
          </w:tcPr>
          <w:p w:rsidR="00B9359B" w:rsidRDefault="009A5268">
            <w:pPr>
              <w:pStyle w:val="Tabletext"/>
              <w:framePr w:hSpace="181" w:wrap="notBeside" w:vAnchor="text" w:hAnchor="text" w:xAlign="center" w:y="1"/>
              <w:spacing w:before="50" w:after="50"/>
              <w:jc w:val="center"/>
              <w:rPr>
                <w:lang w:val="en-US"/>
              </w:rPr>
            </w:pPr>
            <w:r>
              <w:rPr>
                <w:lang w:val="en-US"/>
              </w:rPr>
              <w:t>17.6</w:t>
            </w:r>
          </w:p>
        </w:tc>
        <w:tc>
          <w:tcPr>
            <w:tcW w:w="1474" w:type="dxa"/>
          </w:tcPr>
          <w:p w:rsidR="00B9359B" w:rsidRDefault="009A5268">
            <w:pPr>
              <w:pStyle w:val="Tabletext"/>
              <w:framePr w:hSpace="181" w:wrap="notBeside" w:vAnchor="text" w:hAnchor="text" w:xAlign="center" w:y="1"/>
              <w:spacing w:before="50" w:after="50"/>
              <w:jc w:val="center"/>
              <w:rPr>
                <w:lang w:val="en-US"/>
              </w:rPr>
            </w:pPr>
            <w:r>
              <w:rPr>
                <w:lang w:val="en-US"/>
              </w:rPr>
              <w:t>58.0</w:t>
            </w:r>
          </w:p>
        </w:tc>
      </w:tr>
      <w:tr w:rsidR="00B9359B">
        <w:tc>
          <w:tcPr>
            <w:tcW w:w="5954" w:type="dxa"/>
          </w:tcPr>
          <w:p w:rsidR="00B9359B" w:rsidRDefault="009A5268">
            <w:pPr>
              <w:pStyle w:val="Tabletext"/>
              <w:framePr w:hSpace="181" w:wrap="notBeside" w:vAnchor="text" w:hAnchor="text" w:xAlign="center" w:y="1"/>
              <w:spacing w:before="50" w:after="50"/>
              <w:rPr>
                <w:vertAlign w:val="superscript"/>
                <w:lang w:val="en-US"/>
              </w:rPr>
            </w:pPr>
            <w:r>
              <w:rPr>
                <w:lang w:val="en-US"/>
              </w:rPr>
              <w:t>OoB factor (dB)</w:t>
            </w:r>
            <w:r>
              <w:rPr>
                <w:vertAlign w:val="superscript"/>
                <w:lang w:val="en-US"/>
              </w:rPr>
              <w:t>(1)</w:t>
            </w:r>
          </w:p>
        </w:tc>
        <w:tc>
          <w:tcPr>
            <w:tcW w:w="1134"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23.0</w:t>
            </w:r>
          </w:p>
        </w:tc>
        <w:tc>
          <w:tcPr>
            <w:tcW w:w="1134"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23.0</w:t>
            </w:r>
          </w:p>
        </w:tc>
        <w:tc>
          <w:tcPr>
            <w:tcW w:w="1474"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23.0</w:t>
            </w:r>
          </w:p>
        </w:tc>
      </w:tr>
      <w:tr w:rsidR="00B9359B">
        <w:tc>
          <w:tcPr>
            <w:tcW w:w="5954" w:type="dxa"/>
          </w:tcPr>
          <w:p w:rsidR="00B9359B" w:rsidRDefault="009A5268">
            <w:pPr>
              <w:pStyle w:val="Tabletext"/>
              <w:framePr w:hSpace="181" w:wrap="notBeside" w:vAnchor="text" w:hAnchor="text" w:xAlign="center" w:y="1"/>
              <w:spacing w:before="50" w:after="50"/>
              <w:rPr>
                <w:lang w:val="en-US"/>
              </w:rPr>
            </w:pPr>
            <w:r>
              <w:rPr>
                <w:lang w:val="en-US"/>
              </w:rPr>
              <w:t>FSS transponder bandwidth (MHz)</w:t>
            </w:r>
          </w:p>
        </w:tc>
        <w:tc>
          <w:tcPr>
            <w:tcW w:w="1134" w:type="dxa"/>
          </w:tcPr>
          <w:p w:rsidR="00B9359B" w:rsidRDefault="009A5268">
            <w:pPr>
              <w:pStyle w:val="Tabletext"/>
              <w:framePr w:hSpace="181" w:wrap="notBeside" w:vAnchor="text" w:hAnchor="text" w:xAlign="center" w:y="1"/>
              <w:spacing w:before="50" w:after="50"/>
              <w:jc w:val="center"/>
              <w:rPr>
                <w:lang w:val="en-US"/>
              </w:rPr>
            </w:pPr>
            <w:r>
              <w:rPr>
                <w:lang w:val="en-US"/>
              </w:rPr>
              <w:t>250.0</w:t>
            </w:r>
          </w:p>
        </w:tc>
        <w:tc>
          <w:tcPr>
            <w:tcW w:w="1134" w:type="dxa"/>
          </w:tcPr>
          <w:p w:rsidR="00B9359B" w:rsidRDefault="009A5268">
            <w:pPr>
              <w:pStyle w:val="Tabletext"/>
              <w:framePr w:hSpace="181" w:wrap="notBeside" w:vAnchor="text" w:hAnchor="text" w:xAlign="center" w:y="1"/>
              <w:spacing w:before="50" w:after="50"/>
              <w:jc w:val="center"/>
              <w:rPr>
                <w:lang w:val="en-US"/>
              </w:rPr>
            </w:pPr>
            <w:r>
              <w:rPr>
                <w:lang w:val="en-US"/>
              </w:rPr>
              <w:t>4.9</w:t>
            </w:r>
          </w:p>
        </w:tc>
        <w:tc>
          <w:tcPr>
            <w:tcW w:w="1474" w:type="dxa"/>
          </w:tcPr>
          <w:p w:rsidR="00B9359B" w:rsidRDefault="009A5268">
            <w:pPr>
              <w:pStyle w:val="Tabletext"/>
              <w:framePr w:hSpace="181" w:wrap="notBeside" w:vAnchor="text" w:hAnchor="text" w:xAlign="center" w:y="1"/>
              <w:spacing w:before="50" w:after="50"/>
              <w:jc w:val="center"/>
              <w:rPr>
                <w:lang w:val="en-US"/>
              </w:rPr>
            </w:pPr>
            <w:r>
              <w:rPr>
                <w:lang w:val="en-US"/>
              </w:rPr>
              <w:t>24.0</w:t>
            </w:r>
          </w:p>
        </w:tc>
      </w:tr>
      <w:tr w:rsidR="00B9359B">
        <w:tc>
          <w:tcPr>
            <w:tcW w:w="5954" w:type="dxa"/>
          </w:tcPr>
          <w:p w:rsidR="00B9359B" w:rsidRDefault="009A5268">
            <w:pPr>
              <w:pStyle w:val="Tabletext"/>
              <w:framePr w:hSpace="181" w:wrap="notBeside" w:vAnchor="text" w:hAnchor="text" w:xAlign="center" w:y="1"/>
              <w:spacing w:before="50" w:after="50"/>
              <w:rPr>
                <w:lang w:val="en-US"/>
              </w:rPr>
            </w:pPr>
            <w:r>
              <w:rPr>
                <w:lang w:val="en-US"/>
              </w:rPr>
              <w:t>Sensor bandwidth (MHz)</w:t>
            </w:r>
          </w:p>
        </w:tc>
        <w:tc>
          <w:tcPr>
            <w:tcW w:w="1134" w:type="dxa"/>
          </w:tcPr>
          <w:p w:rsidR="00B9359B" w:rsidRDefault="009A5268">
            <w:pPr>
              <w:pStyle w:val="Tabletext"/>
              <w:framePr w:hSpace="181" w:wrap="notBeside" w:vAnchor="text" w:hAnchor="text" w:xAlign="center" w:y="1"/>
              <w:spacing w:before="50" w:after="50"/>
              <w:jc w:val="center"/>
              <w:rPr>
                <w:lang w:val="en-US"/>
              </w:rPr>
            </w:pPr>
            <w:r>
              <w:rPr>
                <w:lang w:val="en-US"/>
              </w:rPr>
              <w:t>100</w:t>
            </w:r>
          </w:p>
        </w:tc>
        <w:tc>
          <w:tcPr>
            <w:tcW w:w="1134" w:type="dxa"/>
          </w:tcPr>
          <w:p w:rsidR="00B9359B" w:rsidRDefault="009A5268">
            <w:pPr>
              <w:pStyle w:val="Tabletext"/>
              <w:framePr w:hSpace="181" w:wrap="notBeside" w:vAnchor="text" w:hAnchor="text" w:xAlign="center" w:y="1"/>
              <w:spacing w:before="50" w:after="50"/>
              <w:jc w:val="center"/>
              <w:rPr>
                <w:lang w:val="en-US"/>
              </w:rPr>
            </w:pPr>
            <w:r>
              <w:rPr>
                <w:lang w:val="en-US"/>
              </w:rPr>
              <w:t>100</w:t>
            </w:r>
          </w:p>
        </w:tc>
        <w:tc>
          <w:tcPr>
            <w:tcW w:w="1474" w:type="dxa"/>
          </w:tcPr>
          <w:p w:rsidR="00B9359B" w:rsidRDefault="009A5268">
            <w:pPr>
              <w:pStyle w:val="Tabletext"/>
              <w:framePr w:hSpace="181" w:wrap="notBeside" w:vAnchor="text" w:hAnchor="text" w:xAlign="center" w:y="1"/>
              <w:spacing w:before="50" w:after="50"/>
              <w:jc w:val="center"/>
              <w:rPr>
                <w:lang w:val="en-US"/>
              </w:rPr>
            </w:pPr>
            <w:r>
              <w:rPr>
                <w:lang w:val="en-US"/>
              </w:rPr>
              <w:t>100</w:t>
            </w:r>
          </w:p>
        </w:tc>
      </w:tr>
      <w:tr w:rsidR="00B9359B">
        <w:tc>
          <w:tcPr>
            <w:tcW w:w="5954" w:type="dxa"/>
          </w:tcPr>
          <w:p w:rsidR="00B9359B" w:rsidRDefault="009A5268">
            <w:pPr>
              <w:pStyle w:val="Tabletext"/>
              <w:framePr w:hSpace="181" w:wrap="notBeside" w:vAnchor="text" w:hAnchor="text" w:xAlign="center" w:y="1"/>
              <w:spacing w:before="50" w:after="50"/>
              <w:rPr>
                <w:vertAlign w:val="superscript"/>
                <w:lang w:val="en-US"/>
              </w:rPr>
            </w:pPr>
            <w:r>
              <w:rPr>
                <w:lang w:val="en-US"/>
              </w:rPr>
              <w:t>OoB bandwidth adjustment (dB)</w:t>
            </w:r>
            <w:r>
              <w:rPr>
                <w:vertAlign w:val="superscript"/>
                <w:lang w:val="en-US"/>
              </w:rPr>
              <w:t>(2)</w:t>
            </w:r>
          </w:p>
        </w:tc>
        <w:tc>
          <w:tcPr>
            <w:tcW w:w="1134"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4.0</w:t>
            </w:r>
          </w:p>
        </w:tc>
        <w:tc>
          <w:tcPr>
            <w:tcW w:w="1134" w:type="dxa"/>
          </w:tcPr>
          <w:p w:rsidR="00B9359B" w:rsidRDefault="009A5268">
            <w:pPr>
              <w:pStyle w:val="Tabletext"/>
              <w:framePr w:hSpace="181" w:wrap="notBeside" w:vAnchor="text" w:hAnchor="text" w:xAlign="center" w:y="1"/>
              <w:spacing w:before="50" w:after="50"/>
              <w:jc w:val="center"/>
              <w:rPr>
                <w:lang w:val="en-US"/>
              </w:rPr>
            </w:pPr>
            <w:r>
              <w:rPr>
                <w:lang w:val="en-US"/>
              </w:rPr>
              <w:t>0.0</w:t>
            </w:r>
          </w:p>
        </w:tc>
        <w:tc>
          <w:tcPr>
            <w:tcW w:w="1474" w:type="dxa"/>
          </w:tcPr>
          <w:p w:rsidR="00B9359B" w:rsidRDefault="009A5268">
            <w:pPr>
              <w:pStyle w:val="Tabletext"/>
              <w:framePr w:hSpace="181" w:wrap="notBeside" w:vAnchor="text" w:hAnchor="text" w:xAlign="center" w:y="1"/>
              <w:spacing w:before="50" w:after="50"/>
              <w:jc w:val="center"/>
              <w:rPr>
                <w:lang w:val="en-US"/>
              </w:rPr>
            </w:pPr>
            <w:r>
              <w:rPr>
                <w:lang w:val="en-US"/>
              </w:rPr>
              <w:t>0.0</w:t>
            </w:r>
          </w:p>
        </w:tc>
      </w:tr>
      <w:tr w:rsidR="00B9359B">
        <w:tc>
          <w:tcPr>
            <w:tcW w:w="5954" w:type="dxa"/>
          </w:tcPr>
          <w:p w:rsidR="00B9359B" w:rsidRDefault="009A5268">
            <w:pPr>
              <w:pStyle w:val="Tabletext"/>
              <w:framePr w:hSpace="181" w:wrap="notBeside" w:vAnchor="text" w:hAnchor="text" w:xAlign="center" w:y="1"/>
              <w:spacing w:before="50" w:after="50"/>
              <w:rPr>
                <w:lang w:val="en-US"/>
              </w:rPr>
            </w:pPr>
            <w:r>
              <w:rPr>
                <w:lang w:val="en-US"/>
              </w:rPr>
              <w:t>Threshold bandwidth adjustment (dB)</w:t>
            </w:r>
          </w:p>
        </w:tc>
        <w:tc>
          <w:tcPr>
            <w:tcW w:w="1134"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7.0</w:t>
            </w:r>
          </w:p>
        </w:tc>
        <w:tc>
          <w:tcPr>
            <w:tcW w:w="1134"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7.0</w:t>
            </w:r>
          </w:p>
        </w:tc>
        <w:tc>
          <w:tcPr>
            <w:tcW w:w="1474"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7.0</w:t>
            </w:r>
          </w:p>
        </w:tc>
      </w:tr>
      <w:tr w:rsidR="00B9359B">
        <w:tc>
          <w:tcPr>
            <w:tcW w:w="5954" w:type="dxa"/>
          </w:tcPr>
          <w:p w:rsidR="00B9359B" w:rsidRDefault="009A5268">
            <w:pPr>
              <w:pStyle w:val="Tabletext"/>
              <w:framePr w:hSpace="181" w:wrap="notBeside" w:vAnchor="text" w:hAnchor="text" w:xAlign="center" w:y="1"/>
              <w:spacing w:before="50" w:after="50"/>
              <w:rPr>
                <w:lang w:val="en-US"/>
              </w:rPr>
            </w:pPr>
            <w:r>
              <w:rPr>
                <w:lang w:val="en-US"/>
              </w:rPr>
              <w:t>OoB equivalent e.i.r.p. (dB(W/20 MHz))</w:t>
            </w:r>
          </w:p>
        </w:tc>
        <w:tc>
          <w:tcPr>
            <w:tcW w:w="1134" w:type="dxa"/>
          </w:tcPr>
          <w:p w:rsidR="00B9359B" w:rsidRDefault="009A5268">
            <w:pPr>
              <w:pStyle w:val="Tabletext"/>
              <w:framePr w:hSpace="181" w:wrap="notBeside" w:vAnchor="text" w:hAnchor="text" w:xAlign="center" w:y="1"/>
              <w:spacing w:before="50" w:after="50"/>
              <w:jc w:val="center"/>
              <w:rPr>
                <w:lang w:val="en-US"/>
              </w:rPr>
            </w:pPr>
            <w:r>
              <w:rPr>
                <w:lang w:val="en-US"/>
              </w:rPr>
              <w:t>13.0</w:t>
            </w:r>
          </w:p>
        </w:tc>
        <w:tc>
          <w:tcPr>
            <w:tcW w:w="1134" w:type="dxa"/>
          </w:tcPr>
          <w:p w:rsidR="00B9359B" w:rsidRDefault="009A5268">
            <w:pPr>
              <w:pStyle w:val="Tabletext"/>
              <w:framePr w:hSpace="181" w:wrap="notBeside" w:vAnchor="text" w:hAnchor="text" w:xAlign="center" w:y="1"/>
              <w:spacing w:before="50" w:after="50"/>
              <w:jc w:val="center"/>
              <w:rPr>
                <w:lang w:val="en-US"/>
              </w:rPr>
            </w:pPr>
            <w:r>
              <w:rPr>
                <w:lang w:val="en-US"/>
              </w:rPr>
              <w:t>–12.4</w:t>
            </w:r>
          </w:p>
        </w:tc>
        <w:tc>
          <w:tcPr>
            <w:tcW w:w="1474" w:type="dxa"/>
          </w:tcPr>
          <w:p w:rsidR="00B9359B" w:rsidRDefault="009A5268">
            <w:pPr>
              <w:pStyle w:val="Tabletext"/>
              <w:framePr w:hSpace="181" w:wrap="notBeside" w:vAnchor="text" w:hAnchor="text" w:xAlign="center" w:y="1"/>
              <w:spacing w:before="50" w:after="50"/>
              <w:jc w:val="center"/>
              <w:rPr>
                <w:lang w:val="en-US"/>
              </w:rPr>
            </w:pPr>
            <w:r>
              <w:rPr>
                <w:lang w:val="en-US"/>
              </w:rPr>
              <w:t>28.0</w:t>
            </w:r>
          </w:p>
        </w:tc>
      </w:tr>
      <w:tr w:rsidR="00B9359B">
        <w:tc>
          <w:tcPr>
            <w:tcW w:w="5954" w:type="dxa"/>
          </w:tcPr>
          <w:p w:rsidR="00B9359B" w:rsidRDefault="009A5268">
            <w:pPr>
              <w:pStyle w:val="Tabletext"/>
              <w:framePr w:hSpace="181" w:wrap="notBeside" w:vAnchor="text" w:hAnchor="text" w:xAlign="center" w:y="1"/>
              <w:spacing w:before="50" w:after="50"/>
              <w:rPr>
                <w:lang w:val="en-US"/>
              </w:rPr>
            </w:pPr>
            <w:r>
              <w:rPr>
                <w:lang w:val="en-US"/>
              </w:rPr>
              <w:t>FSS range (km)</w:t>
            </w:r>
          </w:p>
        </w:tc>
        <w:tc>
          <w:tcPr>
            <w:tcW w:w="1134" w:type="dxa"/>
          </w:tcPr>
          <w:p w:rsidR="00B9359B" w:rsidRDefault="009A5268">
            <w:pPr>
              <w:pStyle w:val="Tabletext"/>
              <w:framePr w:hSpace="181" w:wrap="notBeside" w:vAnchor="text" w:hAnchor="text" w:xAlign="center" w:y="1"/>
              <w:spacing w:before="50" w:after="50"/>
              <w:jc w:val="center"/>
              <w:rPr>
                <w:lang w:val="en-US"/>
              </w:rPr>
            </w:pPr>
            <w:r>
              <w:rPr>
                <w:lang w:val="en-US"/>
              </w:rPr>
              <w:t>38</w:t>
            </w:r>
            <w:r>
              <w:rPr>
                <w:rFonts w:ascii="Tms Rmn" w:hAnsi="Tms Rmn"/>
                <w:sz w:val="12"/>
                <w:lang w:val="en-US"/>
              </w:rPr>
              <w:t> </w:t>
            </w:r>
            <w:r>
              <w:rPr>
                <w:lang w:val="en-US"/>
              </w:rPr>
              <w:t>180</w:t>
            </w:r>
          </w:p>
        </w:tc>
        <w:tc>
          <w:tcPr>
            <w:tcW w:w="1134" w:type="dxa"/>
          </w:tcPr>
          <w:p w:rsidR="00B9359B" w:rsidRDefault="009A5268">
            <w:pPr>
              <w:pStyle w:val="Tabletext"/>
              <w:framePr w:hSpace="181" w:wrap="notBeside" w:vAnchor="text" w:hAnchor="text" w:xAlign="center" w:y="1"/>
              <w:spacing w:before="50" w:after="50"/>
              <w:jc w:val="center"/>
              <w:rPr>
                <w:lang w:val="en-US"/>
              </w:rPr>
            </w:pPr>
            <w:r>
              <w:rPr>
                <w:lang w:val="en-US"/>
              </w:rPr>
              <w:t>1</w:t>
            </w:r>
            <w:r>
              <w:rPr>
                <w:rFonts w:ascii="Tms Rmn" w:hAnsi="Tms Rmn"/>
                <w:sz w:val="12"/>
                <w:lang w:val="en-US"/>
              </w:rPr>
              <w:t> </w:t>
            </w:r>
            <w:r>
              <w:rPr>
                <w:lang w:val="en-US"/>
              </w:rPr>
              <w:t>117</w:t>
            </w:r>
          </w:p>
        </w:tc>
        <w:tc>
          <w:tcPr>
            <w:tcW w:w="1474" w:type="dxa"/>
          </w:tcPr>
          <w:p w:rsidR="00B9359B" w:rsidRDefault="009A5268">
            <w:pPr>
              <w:pStyle w:val="Tabletext"/>
              <w:framePr w:hSpace="181" w:wrap="notBeside" w:vAnchor="text" w:hAnchor="text" w:xAlign="center" w:y="1"/>
              <w:spacing w:before="50" w:after="50"/>
              <w:jc w:val="center"/>
              <w:rPr>
                <w:lang w:val="en-US"/>
              </w:rPr>
            </w:pPr>
            <w:r>
              <w:rPr>
                <w:lang w:val="en-US"/>
              </w:rPr>
              <w:t>41</w:t>
            </w:r>
            <w:r>
              <w:rPr>
                <w:rFonts w:ascii="Tms Rmn" w:hAnsi="Tms Rmn"/>
                <w:sz w:val="12"/>
                <w:lang w:val="en-US"/>
              </w:rPr>
              <w:t> </w:t>
            </w:r>
            <w:r>
              <w:rPr>
                <w:lang w:val="en-US"/>
              </w:rPr>
              <w:t>784</w:t>
            </w:r>
          </w:p>
        </w:tc>
      </w:tr>
      <w:tr w:rsidR="00B9359B">
        <w:tc>
          <w:tcPr>
            <w:tcW w:w="5954" w:type="dxa"/>
          </w:tcPr>
          <w:p w:rsidR="00B9359B" w:rsidRDefault="009A5268">
            <w:pPr>
              <w:pStyle w:val="Tabletext"/>
              <w:framePr w:hSpace="181" w:wrap="notBeside" w:vAnchor="text" w:hAnchor="text" w:xAlign="center" w:y="1"/>
              <w:spacing w:before="50" w:after="50"/>
              <w:rPr>
                <w:lang w:val="en-US"/>
              </w:rPr>
            </w:pPr>
            <w:r>
              <w:rPr>
                <w:lang w:val="en-US"/>
              </w:rPr>
              <w:t>Beam spreading loss (dB)</w:t>
            </w:r>
          </w:p>
        </w:tc>
        <w:tc>
          <w:tcPr>
            <w:tcW w:w="1134" w:type="dxa"/>
          </w:tcPr>
          <w:p w:rsidR="00B9359B" w:rsidRDefault="009A5268">
            <w:pPr>
              <w:pStyle w:val="Tabletext"/>
              <w:framePr w:hSpace="181" w:wrap="notBeside" w:vAnchor="text" w:hAnchor="text" w:xAlign="center" w:y="1"/>
              <w:spacing w:before="50" w:after="50"/>
              <w:jc w:val="center"/>
              <w:rPr>
                <w:lang w:val="en-US"/>
              </w:rPr>
            </w:pPr>
            <w:r>
              <w:rPr>
                <w:lang w:val="en-US"/>
              </w:rPr>
              <w:t>162.5</w:t>
            </w:r>
          </w:p>
        </w:tc>
        <w:tc>
          <w:tcPr>
            <w:tcW w:w="1134" w:type="dxa"/>
          </w:tcPr>
          <w:p w:rsidR="00B9359B" w:rsidRDefault="009A5268">
            <w:pPr>
              <w:pStyle w:val="Tabletext"/>
              <w:framePr w:hSpace="181" w:wrap="notBeside" w:vAnchor="text" w:hAnchor="text" w:xAlign="center" w:y="1"/>
              <w:spacing w:before="50" w:after="50"/>
              <w:jc w:val="center"/>
              <w:rPr>
                <w:lang w:val="en-US"/>
              </w:rPr>
            </w:pPr>
            <w:r>
              <w:rPr>
                <w:lang w:val="en-US"/>
              </w:rPr>
              <w:t>132.0</w:t>
            </w:r>
          </w:p>
        </w:tc>
        <w:tc>
          <w:tcPr>
            <w:tcW w:w="1474" w:type="dxa"/>
          </w:tcPr>
          <w:p w:rsidR="00B9359B" w:rsidRDefault="009A5268">
            <w:pPr>
              <w:pStyle w:val="Tabletext"/>
              <w:framePr w:hSpace="181" w:wrap="notBeside" w:vAnchor="text" w:hAnchor="text" w:xAlign="center" w:y="1"/>
              <w:spacing w:before="50" w:after="50"/>
              <w:jc w:val="center"/>
              <w:rPr>
                <w:lang w:val="en-US"/>
              </w:rPr>
            </w:pPr>
            <w:r>
              <w:rPr>
                <w:lang w:val="en-US"/>
              </w:rPr>
              <w:t>163.4</w:t>
            </w:r>
          </w:p>
        </w:tc>
      </w:tr>
      <w:tr w:rsidR="00B9359B">
        <w:tc>
          <w:tcPr>
            <w:tcW w:w="5954" w:type="dxa"/>
          </w:tcPr>
          <w:p w:rsidR="00B9359B" w:rsidRDefault="009A5268">
            <w:pPr>
              <w:pStyle w:val="Tabletext"/>
              <w:framePr w:hSpace="181" w:wrap="notBeside" w:vAnchor="text" w:hAnchor="text" w:xAlign="center" w:y="1"/>
              <w:spacing w:before="50" w:after="50"/>
              <w:rPr>
                <w:lang w:val="en-US"/>
              </w:rPr>
            </w:pPr>
            <w:r>
              <w:rPr>
                <w:lang w:val="en-US"/>
              </w:rPr>
              <w:t>Reference incidence angle (degrees)</w:t>
            </w:r>
          </w:p>
        </w:tc>
        <w:tc>
          <w:tcPr>
            <w:tcW w:w="1134" w:type="dxa"/>
          </w:tcPr>
          <w:p w:rsidR="00B9359B" w:rsidRDefault="009A5268">
            <w:pPr>
              <w:pStyle w:val="Tabletext"/>
              <w:framePr w:hSpace="181" w:wrap="notBeside" w:vAnchor="text" w:hAnchor="text" w:xAlign="center" w:y="1"/>
              <w:spacing w:before="50" w:after="50"/>
              <w:jc w:val="center"/>
              <w:rPr>
                <w:lang w:val="en-US"/>
              </w:rPr>
            </w:pPr>
            <w:r>
              <w:rPr>
                <w:lang w:val="en-US"/>
              </w:rPr>
              <w:t>55.0</w:t>
            </w:r>
          </w:p>
        </w:tc>
        <w:tc>
          <w:tcPr>
            <w:tcW w:w="1134" w:type="dxa"/>
          </w:tcPr>
          <w:p w:rsidR="00B9359B" w:rsidRDefault="009A5268">
            <w:pPr>
              <w:pStyle w:val="Tabletext"/>
              <w:framePr w:hSpace="181" w:wrap="notBeside" w:vAnchor="text" w:hAnchor="text" w:xAlign="center" w:y="1"/>
              <w:spacing w:before="50" w:after="50"/>
              <w:jc w:val="center"/>
              <w:rPr>
                <w:lang w:val="en-US"/>
              </w:rPr>
            </w:pPr>
            <w:r>
              <w:rPr>
                <w:lang w:val="en-US"/>
              </w:rPr>
              <w:t>55.0</w:t>
            </w:r>
          </w:p>
        </w:tc>
        <w:tc>
          <w:tcPr>
            <w:tcW w:w="1474" w:type="dxa"/>
          </w:tcPr>
          <w:p w:rsidR="00B9359B" w:rsidRDefault="009A5268">
            <w:pPr>
              <w:pStyle w:val="Tabletext"/>
              <w:framePr w:hSpace="181" w:wrap="notBeside" w:vAnchor="text" w:hAnchor="text" w:xAlign="center" w:y="1"/>
              <w:spacing w:before="50" w:after="50"/>
              <w:jc w:val="center"/>
              <w:rPr>
                <w:lang w:val="en-US"/>
              </w:rPr>
            </w:pPr>
            <w:r>
              <w:rPr>
                <w:lang w:val="en-US"/>
              </w:rPr>
              <w:t>20.0</w:t>
            </w:r>
          </w:p>
        </w:tc>
      </w:tr>
      <w:tr w:rsidR="00B9359B">
        <w:tc>
          <w:tcPr>
            <w:tcW w:w="5954" w:type="dxa"/>
          </w:tcPr>
          <w:p w:rsidR="00B9359B" w:rsidRDefault="009A5268">
            <w:pPr>
              <w:pStyle w:val="Tabletext"/>
              <w:framePr w:hSpace="181" w:wrap="notBeside" w:vAnchor="text" w:hAnchor="text" w:xAlign="center" w:y="1"/>
              <w:spacing w:before="50" w:after="50"/>
              <w:rPr>
                <w:lang w:val="en-US"/>
              </w:rPr>
            </w:pPr>
            <w:r>
              <w:rPr>
                <w:lang w:val="en-US"/>
              </w:rPr>
              <w:t>OoB pfd at scattering point (dB(W/m</w:t>
            </w:r>
            <w:r>
              <w:rPr>
                <w:vertAlign w:val="superscript"/>
                <w:lang w:val="en-US"/>
              </w:rPr>
              <w:t>2</w:t>
            </w:r>
            <w:r>
              <w:rPr>
                <w:lang w:val="en-US"/>
              </w:rPr>
              <w:t>))</w:t>
            </w:r>
          </w:p>
        </w:tc>
        <w:tc>
          <w:tcPr>
            <w:tcW w:w="1134"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149.9</w:t>
            </w:r>
          </w:p>
        </w:tc>
        <w:tc>
          <w:tcPr>
            <w:tcW w:w="1134"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136.0</w:t>
            </w:r>
          </w:p>
        </w:tc>
        <w:tc>
          <w:tcPr>
            <w:tcW w:w="1474"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129.2</w:t>
            </w:r>
          </w:p>
        </w:tc>
      </w:tr>
      <w:tr w:rsidR="00B9359B">
        <w:tc>
          <w:tcPr>
            <w:tcW w:w="5954" w:type="dxa"/>
          </w:tcPr>
          <w:p w:rsidR="00B9359B" w:rsidRDefault="009A5268">
            <w:pPr>
              <w:pStyle w:val="Tabletext"/>
              <w:framePr w:hSpace="181" w:wrap="notBeside" w:vAnchor="text" w:hAnchor="text" w:xAlign="center" w:y="1"/>
              <w:spacing w:before="50" w:after="50"/>
              <w:rPr>
                <w:lang w:val="en-US"/>
              </w:rPr>
            </w:pPr>
            <w:r>
              <w:rPr>
                <w:lang w:val="en-US"/>
              </w:rPr>
              <w:t>Scattering coefficient (dB)</w:t>
            </w:r>
          </w:p>
        </w:tc>
        <w:tc>
          <w:tcPr>
            <w:tcW w:w="1134" w:type="dxa"/>
          </w:tcPr>
          <w:p w:rsidR="00B9359B" w:rsidRDefault="009A5268">
            <w:pPr>
              <w:pStyle w:val="Tabletext"/>
              <w:framePr w:hSpace="181" w:wrap="notBeside" w:vAnchor="text" w:hAnchor="text" w:xAlign="center" w:y="1"/>
              <w:spacing w:before="50" w:after="50"/>
              <w:jc w:val="center"/>
              <w:rPr>
                <w:lang w:val="en-US"/>
              </w:rPr>
            </w:pPr>
            <w:r>
              <w:rPr>
                <w:lang w:val="en-US"/>
              </w:rPr>
              <w:t>9.4</w:t>
            </w:r>
          </w:p>
        </w:tc>
        <w:tc>
          <w:tcPr>
            <w:tcW w:w="1134" w:type="dxa"/>
          </w:tcPr>
          <w:p w:rsidR="00B9359B" w:rsidRDefault="009A5268">
            <w:pPr>
              <w:pStyle w:val="Tabletext"/>
              <w:framePr w:hSpace="181" w:wrap="notBeside" w:vAnchor="text" w:hAnchor="text" w:xAlign="center" w:y="1"/>
              <w:spacing w:before="50" w:after="50"/>
              <w:jc w:val="center"/>
              <w:rPr>
                <w:lang w:val="en-US"/>
              </w:rPr>
            </w:pPr>
            <w:r>
              <w:rPr>
                <w:lang w:val="en-US"/>
              </w:rPr>
              <w:t>9.4</w:t>
            </w:r>
          </w:p>
        </w:tc>
        <w:tc>
          <w:tcPr>
            <w:tcW w:w="1474"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5.5</w:t>
            </w:r>
          </w:p>
        </w:tc>
      </w:tr>
      <w:tr w:rsidR="00B9359B">
        <w:tc>
          <w:tcPr>
            <w:tcW w:w="5954" w:type="dxa"/>
          </w:tcPr>
          <w:p w:rsidR="00B9359B" w:rsidRDefault="009A5268">
            <w:pPr>
              <w:pStyle w:val="Tabletext"/>
              <w:framePr w:hSpace="181" w:wrap="notBeside" w:vAnchor="text" w:hAnchor="text" w:xAlign="center" w:y="1"/>
              <w:spacing w:before="50" w:after="50"/>
              <w:rPr>
                <w:lang w:val="en-US"/>
              </w:rPr>
            </w:pPr>
            <w:r>
              <w:rPr>
                <w:lang w:val="en-US"/>
              </w:rPr>
              <w:t>Sensor beamwidth (degrees)</w:t>
            </w:r>
          </w:p>
        </w:tc>
        <w:tc>
          <w:tcPr>
            <w:tcW w:w="1134" w:type="dxa"/>
          </w:tcPr>
          <w:p w:rsidR="00B9359B" w:rsidRDefault="009A5268">
            <w:pPr>
              <w:pStyle w:val="Tabletext"/>
              <w:framePr w:hSpace="181" w:wrap="notBeside" w:vAnchor="text" w:hAnchor="text" w:xAlign="center" w:y="1"/>
              <w:spacing w:before="50" w:after="50"/>
              <w:jc w:val="center"/>
              <w:rPr>
                <w:lang w:val="en-US"/>
              </w:rPr>
            </w:pPr>
            <w:r>
              <w:rPr>
                <w:lang w:val="en-US"/>
              </w:rPr>
              <w:t>1.4</w:t>
            </w:r>
          </w:p>
        </w:tc>
        <w:tc>
          <w:tcPr>
            <w:tcW w:w="1134" w:type="dxa"/>
          </w:tcPr>
          <w:p w:rsidR="00B9359B" w:rsidRDefault="009A5268">
            <w:pPr>
              <w:pStyle w:val="Tabletext"/>
              <w:framePr w:hSpace="181" w:wrap="notBeside" w:vAnchor="text" w:hAnchor="text" w:xAlign="center" w:y="1"/>
              <w:spacing w:before="50" w:after="50"/>
              <w:jc w:val="center"/>
              <w:rPr>
                <w:lang w:val="en-US"/>
              </w:rPr>
            </w:pPr>
            <w:r>
              <w:rPr>
                <w:lang w:val="en-US"/>
              </w:rPr>
              <w:t>1.4</w:t>
            </w:r>
          </w:p>
        </w:tc>
        <w:tc>
          <w:tcPr>
            <w:tcW w:w="1474" w:type="dxa"/>
          </w:tcPr>
          <w:p w:rsidR="00B9359B" w:rsidRDefault="009A5268">
            <w:pPr>
              <w:pStyle w:val="Tabletext"/>
              <w:framePr w:hSpace="181" w:wrap="notBeside" w:vAnchor="text" w:hAnchor="text" w:xAlign="center" w:y="1"/>
              <w:spacing w:before="50" w:after="50"/>
              <w:jc w:val="center"/>
              <w:rPr>
                <w:lang w:val="en-US"/>
              </w:rPr>
            </w:pPr>
            <w:r>
              <w:rPr>
                <w:lang w:val="en-US"/>
              </w:rPr>
              <w:t>1.4</w:t>
            </w:r>
          </w:p>
        </w:tc>
      </w:tr>
      <w:tr w:rsidR="00B9359B">
        <w:tc>
          <w:tcPr>
            <w:tcW w:w="5954" w:type="dxa"/>
          </w:tcPr>
          <w:p w:rsidR="00B9359B" w:rsidRDefault="009A5268">
            <w:pPr>
              <w:pStyle w:val="Tabletext"/>
              <w:framePr w:hSpace="181" w:wrap="notBeside" w:vAnchor="text" w:hAnchor="text" w:xAlign="center" w:y="1"/>
              <w:spacing w:before="50" w:after="50"/>
              <w:rPr>
                <w:lang w:val="en-US"/>
              </w:rPr>
            </w:pPr>
            <w:r>
              <w:rPr>
                <w:lang w:val="en-US"/>
              </w:rPr>
              <w:t>Sensor range (km)</w:t>
            </w:r>
          </w:p>
        </w:tc>
        <w:tc>
          <w:tcPr>
            <w:tcW w:w="1134" w:type="dxa"/>
          </w:tcPr>
          <w:p w:rsidR="00B9359B" w:rsidRDefault="009A5268">
            <w:pPr>
              <w:pStyle w:val="Tabletext"/>
              <w:framePr w:hSpace="181" w:wrap="notBeside" w:vAnchor="text" w:hAnchor="text" w:xAlign="center" w:y="1"/>
              <w:spacing w:before="50" w:after="50"/>
              <w:jc w:val="center"/>
              <w:rPr>
                <w:lang w:val="en-US"/>
              </w:rPr>
            </w:pPr>
            <w:r>
              <w:rPr>
                <w:lang w:val="en-US"/>
              </w:rPr>
              <w:t>1</w:t>
            </w:r>
            <w:r>
              <w:rPr>
                <w:rFonts w:ascii="Tms Rmn" w:hAnsi="Tms Rmn"/>
                <w:sz w:val="12"/>
                <w:lang w:val="en-US"/>
              </w:rPr>
              <w:t> </w:t>
            </w:r>
            <w:r>
              <w:rPr>
                <w:lang w:val="en-US"/>
              </w:rPr>
              <w:t>124</w:t>
            </w:r>
          </w:p>
        </w:tc>
        <w:tc>
          <w:tcPr>
            <w:tcW w:w="1134" w:type="dxa"/>
          </w:tcPr>
          <w:p w:rsidR="00B9359B" w:rsidRDefault="009A5268">
            <w:pPr>
              <w:pStyle w:val="Tabletext"/>
              <w:framePr w:hSpace="181" w:wrap="notBeside" w:vAnchor="text" w:hAnchor="text" w:xAlign="center" w:y="1"/>
              <w:spacing w:before="50" w:after="50"/>
              <w:jc w:val="center"/>
              <w:rPr>
                <w:lang w:val="en-US"/>
              </w:rPr>
            </w:pPr>
            <w:r>
              <w:rPr>
                <w:lang w:val="en-US"/>
              </w:rPr>
              <w:t>1</w:t>
            </w:r>
            <w:r>
              <w:rPr>
                <w:rFonts w:ascii="Tms Rmn" w:hAnsi="Tms Rmn"/>
                <w:sz w:val="12"/>
                <w:lang w:val="en-US"/>
              </w:rPr>
              <w:t> </w:t>
            </w:r>
            <w:r>
              <w:rPr>
                <w:lang w:val="en-US"/>
              </w:rPr>
              <w:t>124</w:t>
            </w:r>
          </w:p>
        </w:tc>
        <w:tc>
          <w:tcPr>
            <w:tcW w:w="1474" w:type="dxa"/>
          </w:tcPr>
          <w:p w:rsidR="00B9359B" w:rsidRDefault="009A5268">
            <w:pPr>
              <w:pStyle w:val="Tabletext"/>
              <w:framePr w:hSpace="181" w:wrap="notBeside" w:vAnchor="text" w:hAnchor="text" w:xAlign="center" w:y="1"/>
              <w:spacing w:before="50" w:after="50"/>
              <w:jc w:val="center"/>
              <w:rPr>
                <w:lang w:val="en-US"/>
              </w:rPr>
            </w:pPr>
            <w:r>
              <w:rPr>
                <w:lang w:val="en-US"/>
              </w:rPr>
              <w:t>1</w:t>
            </w:r>
            <w:r>
              <w:rPr>
                <w:rFonts w:ascii="Tms Rmn" w:hAnsi="Tms Rmn"/>
                <w:sz w:val="12"/>
                <w:lang w:val="en-US"/>
              </w:rPr>
              <w:t> </w:t>
            </w:r>
            <w:r>
              <w:rPr>
                <w:lang w:val="en-US"/>
              </w:rPr>
              <w:t>124</w:t>
            </w:r>
          </w:p>
        </w:tc>
      </w:tr>
      <w:tr w:rsidR="00B9359B">
        <w:tc>
          <w:tcPr>
            <w:tcW w:w="5954" w:type="dxa"/>
          </w:tcPr>
          <w:p w:rsidR="00B9359B" w:rsidRDefault="009A5268">
            <w:pPr>
              <w:pStyle w:val="Tabletext"/>
              <w:framePr w:hSpace="181" w:wrap="notBeside" w:vAnchor="text" w:hAnchor="text" w:xAlign="center" w:y="1"/>
              <w:spacing w:before="50" w:after="50"/>
              <w:rPr>
                <w:lang w:val="en-US"/>
              </w:rPr>
            </w:pPr>
            <w:r>
              <w:rPr>
                <w:lang w:val="en-US"/>
              </w:rPr>
              <w:t>Sensor beam area (million m</w:t>
            </w:r>
            <w:r>
              <w:rPr>
                <w:vertAlign w:val="superscript"/>
                <w:lang w:val="en-US"/>
              </w:rPr>
              <w:t>2</w:t>
            </w:r>
            <w:r>
              <w:rPr>
                <w:lang w:val="en-US"/>
              </w:rPr>
              <w:t>)</w:t>
            </w:r>
          </w:p>
        </w:tc>
        <w:tc>
          <w:tcPr>
            <w:tcW w:w="1134" w:type="dxa"/>
          </w:tcPr>
          <w:p w:rsidR="00B9359B" w:rsidRDefault="009A5268">
            <w:pPr>
              <w:pStyle w:val="Tabletext"/>
              <w:framePr w:hSpace="181" w:wrap="notBeside" w:vAnchor="text" w:hAnchor="text" w:xAlign="center" w:y="1"/>
              <w:spacing w:before="50" w:after="50"/>
              <w:jc w:val="center"/>
              <w:rPr>
                <w:lang w:val="en-US"/>
              </w:rPr>
            </w:pPr>
            <w:r>
              <w:rPr>
                <w:lang w:val="en-US"/>
              </w:rPr>
              <w:t>592.5</w:t>
            </w:r>
          </w:p>
        </w:tc>
        <w:tc>
          <w:tcPr>
            <w:tcW w:w="1134" w:type="dxa"/>
          </w:tcPr>
          <w:p w:rsidR="00B9359B" w:rsidRDefault="009A5268">
            <w:pPr>
              <w:pStyle w:val="Tabletext"/>
              <w:framePr w:hSpace="181" w:wrap="notBeside" w:vAnchor="text" w:hAnchor="text" w:xAlign="center" w:y="1"/>
              <w:spacing w:before="50" w:after="50"/>
              <w:jc w:val="center"/>
              <w:rPr>
                <w:lang w:val="en-US"/>
              </w:rPr>
            </w:pPr>
            <w:r>
              <w:rPr>
                <w:lang w:val="en-US"/>
              </w:rPr>
              <w:t>592.5</w:t>
            </w:r>
          </w:p>
        </w:tc>
        <w:tc>
          <w:tcPr>
            <w:tcW w:w="1474" w:type="dxa"/>
          </w:tcPr>
          <w:p w:rsidR="00B9359B" w:rsidRDefault="009A5268">
            <w:pPr>
              <w:pStyle w:val="Tabletext"/>
              <w:framePr w:hSpace="181" w:wrap="notBeside" w:vAnchor="text" w:hAnchor="text" w:xAlign="center" w:y="1"/>
              <w:spacing w:before="50" w:after="50"/>
              <w:jc w:val="center"/>
              <w:rPr>
                <w:lang w:val="en-US"/>
              </w:rPr>
            </w:pPr>
            <w:r>
              <w:rPr>
                <w:lang w:val="en-US"/>
              </w:rPr>
              <w:t>592.5</w:t>
            </w:r>
          </w:p>
        </w:tc>
      </w:tr>
      <w:tr w:rsidR="00B9359B">
        <w:tc>
          <w:tcPr>
            <w:tcW w:w="5954" w:type="dxa"/>
          </w:tcPr>
          <w:p w:rsidR="00B9359B" w:rsidRDefault="009A5268">
            <w:pPr>
              <w:pStyle w:val="Tabletext"/>
              <w:framePr w:hSpace="181" w:wrap="notBeside" w:vAnchor="text" w:hAnchor="text" w:xAlign="center" w:y="1"/>
              <w:spacing w:before="50" w:after="50"/>
              <w:rPr>
                <w:lang w:val="en-US"/>
              </w:rPr>
            </w:pPr>
            <w:r>
              <w:rPr>
                <w:lang w:val="en-US"/>
              </w:rPr>
              <w:t>Elevation to sensor (degrees)</w:t>
            </w:r>
          </w:p>
        </w:tc>
        <w:tc>
          <w:tcPr>
            <w:tcW w:w="1134" w:type="dxa"/>
          </w:tcPr>
          <w:p w:rsidR="00B9359B" w:rsidRDefault="009A5268">
            <w:pPr>
              <w:pStyle w:val="Tabletext"/>
              <w:framePr w:hSpace="181" w:wrap="notBeside" w:vAnchor="text" w:hAnchor="text" w:xAlign="center" w:y="1"/>
              <w:spacing w:before="50" w:after="50"/>
              <w:jc w:val="center"/>
              <w:rPr>
                <w:lang w:val="en-US"/>
              </w:rPr>
            </w:pPr>
            <w:r>
              <w:rPr>
                <w:lang w:val="en-US"/>
              </w:rPr>
              <w:t>35.0</w:t>
            </w:r>
          </w:p>
        </w:tc>
        <w:tc>
          <w:tcPr>
            <w:tcW w:w="1134" w:type="dxa"/>
          </w:tcPr>
          <w:p w:rsidR="00B9359B" w:rsidRDefault="009A5268">
            <w:pPr>
              <w:pStyle w:val="Tabletext"/>
              <w:framePr w:hSpace="181" w:wrap="notBeside" w:vAnchor="text" w:hAnchor="text" w:xAlign="center" w:y="1"/>
              <w:spacing w:before="50" w:after="50"/>
              <w:jc w:val="center"/>
              <w:rPr>
                <w:lang w:val="en-US"/>
              </w:rPr>
            </w:pPr>
            <w:r>
              <w:rPr>
                <w:lang w:val="en-US"/>
              </w:rPr>
              <w:t>35.0</w:t>
            </w:r>
          </w:p>
        </w:tc>
        <w:tc>
          <w:tcPr>
            <w:tcW w:w="1474" w:type="dxa"/>
          </w:tcPr>
          <w:p w:rsidR="00B9359B" w:rsidRDefault="009A5268">
            <w:pPr>
              <w:pStyle w:val="Tabletext"/>
              <w:framePr w:hSpace="181" w:wrap="notBeside" w:vAnchor="text" w:hAnchor="text" w:xAlign="center" w:y="1"/>
              <w:spacing w:before="50" w:after="50"/>
              <w:jc w:val="center"/>
              <w:rPr>
                <w:lang w:val="en-US"/>
              </w:rPr>
            </w:pPr>
            <w:r>
              <w:rPr>
                <w:lang w:val="en-US"/>
              </w:rPr>
              <w:t>35.0</w:t>
            </w:r>
          </w:p>
        </w:tc>
      </w:tr>
      <w:tr w:rsidR="00B9359B">
        <w:tc>
          <w:tcPr>
            <w:tcW w:w="5954" w:type="dxa"/>
          </w:tcPr>
          <w:p w:rsidR="00B9359B" w:rsidRDefault="009A5268">
            <w:pPr>
              <w:pStyle w:val="Tabletext"/>
              <w:framePr w:hSpace="181" w:wrap="notBeside" w:vAnchor="text" w:hAnchor="text" w:xAlign="center" w:y="1"/>
              <w:spacing w:before="50" w:after="50"/>
              <w:rPr>
                <w:lang w:val="en-US"/>
              </w:rPr>
            </w:pPr>
            <w:r>
              <w:rPr>
                <w:lang w:val="en-US"/>
              </w:rPr>
              <w:t>Projected beam area (million m</w:t>
            </w:r>
            <w:r>
              <w:rPr>
                <w:vertAlign w:val="superscript"/>
                <w:lang w:val="en-US"/>
              </w:rPr>
              <w:t>2</w:t>
            </w:r>
            <w:r>
              <w:rPr>
                <w:lang w:val="en-US"/>
              </w:rPr>
              <w:t>)</w:t>
            </w:r>
          </w:p>
        </w:tc>
        <w:tc>
          <w:tcPr>
            <w:tcW w:w="1134" w:type="dxa"/>
          </w:tcPr>
          <w:p w:rsidR="00B9359B" w:rsidRDefault="009A5268">
            <w:pPr>
              <w:pStyle w:val="Tabletext"/>
              <w:framePr w:hSpace="181" w:wrap="notBeside" w:vAnchor="text" w:hAnchor="text" w:xAlign="center" w:y="1"/>
              <w:spacing w:before="50" w:after="50"/>
              <w:jc w:val="center"/>
              <w:rPr>
                <w:lang w:val="en-US"/>
              </w:rPr>
            </w:pPr>
            <w:r>
              <w:rPr>
                <w:lang w:val="en-US"/>
              </w:rPr>
              <w:t>1</w:t>
            </w:r>
            <w:r>
              <w:rPr>
                <w:rFonts w:ascii="Tms Rmn" w:hAnsi="Tms Rmn"/>
                <w:sz w:val="12"/>
                <w:lang w:val="en-US"/>
              </w:rPr>
              <w:t> </w:t>
            </w:r>
            <w:r>
              <w:rPr>
                <w:lang w:val="en-US"/>
              </w:rPr>
              <w:t>033</w:t>
            </w:r>
          </w:p>
        </w:tc>
        <w:tc>
          <w:tcPr>
            <w:tcW w:w="1134" w:type="dxa"/>
          </w:tcPr>
          <w:p w:rsidR="00B9359B" w:rsidRDefault="009A5268">
            <w:pPr>
              <w:pStyle w:val="Tabletext"/>
              <w:framePr w:hSpace="181" w:wrap="notBeside" w:vAnchor="text" w:hAnchor="text" w:xAlign="center" w:y="1"/>
              <w:spacing w:before="50" w:after="50"/>
              <w:jc w:val="center"/>
              <w:rPr>
                <w:lang w:val="en-US"/>
              </w:rPr>
            </w:pPr>
            <w:r>
              <w:rPr>
                <w:lang w:val="en-US"/>
              </w:rPr>
              <w:t>1</w:t>
            </w:r>
            <w:r>
              <w:rPr>
                <w:rFonts w:ascii="Tms Rmn" w:hAnsi="Tms Rmn"/>
                <w:sz w:val="12"/>
                <w:lang w:val="en-US"/>
              </w:rPr>
              <w:t> </w:t>
            </w:r>
            <w:r>
              <w:rPr>
                <w:lang w:val="en-US"/>
              </w:rPr>
              <w:t>033</w:t>
            </w:r>
          </w:p>
        </w:tc>
        <w:tc>
          <w:tcPr>
            <w:tcW w:w="1474" w:type="dxa"/>
          </w:tcPr>
          <w:p w:rsidR="00B9359B" w:rsidRDefault="009A5268">
            <w:pPr>
              <w:pStyle w:val="Tabletext"/>
              <w:framePr w:hSpace="181" w:wrap="notBeside" w:vAnchor="text" w:hAnchor="text" w:xAlign="center" w:y="1"/>
              <w:spacing w:before="50" w:after="50"/>
              <w:jc w:val="center"/>
              <w:rPr>
                <w:lang w:val="en-US"/>
              </w:rPr>
            </w:pPr>
            <w:r>
              <w:rPr>
                <w:lang w:val="en-US"/>
              </w:rPr>
              <w:t>1</w:t>
            </w:r>
            <w:r>
              <w:rPr>
                <w:rFonts w:ascii="Tms Rmn" w:hAnsi="Tms Rmn"/>
                <w:sz w:val="12"/>
                <w:lang w:val="en-US"/>
              </w:rPr>
              <w:t> </w:t>
            </w:r>
            <w:r>
              <w:rPr>
                <w:lang w:val="en-US"/>
              </w:rPr>
              <w:t>033</w:t>
            </w:r>
          </w:p>
        </w:tc>
      </w:tr>
      <w:tr w:rsidR="00B9359B">
        <w:tc>
          <w:tcPr>
            <w:tcW w:w="5954" w:type="dxa"/>
          </w:tcPr>
          <w:p w:rsidR="00B9359B" w:rsidRDefault="009A5268">
            <w:pPr>
              <w:pStyle w:val="Tabletext"/>
              <w:framePr w:hSpace="181" w:wrap="notBeside" w:vAnchor="text" w:hAnchor="text" w:xAlign="center" w:y="1"/>
              <w:spacing w:before="50" w:after="50"/>
              <w:rPr>
                <w:lang w:val="en-US"/>
              </w:rPr>
            </w:pPr>
            <w:r>
              <w:rPr>
                <w:lang w:val="en-US"/>
              </w:rPr>
              <w:t>Scattered power (dB(W/20 MHz))</w:t>
            </w:r>
          </w:p>
        </w:tc>
        <w:tc>
          <w:tcPr>
            <w:tcW w:w="1134"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52.5</w:t>
            </w:r>
          </w:p>
        </w:tc>
        <w:tc>
          <w:tcPr>
            <w:tcW w:w="1134"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47.2</w:t>
            </w:r>
          </w:p>
        </w:tc>
        <w:tc>
          <w:tcPr>
            <w:tcW w:w="1474"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51.0</w:t>
            </w:r>
          </w:p>
        </w:tc>
      </w:tr>
      <w:tr w:rsidR="00B9359B">
        <w:tc>
          <w:tcPr>
            <w:tcW w:w="5954" w:type="dxa"/>
          </w:tcPr>
          <w:p w:rsidR="00B9359B" w:rsidRDefault="009A5268">
            <w:pPr>
              <w:pStyle w:val="Tabletext"/>
              <w:framePr w:hSpace="181" w:wrap="notBeside" w:vAnchor="text" w:hAnchor="text" w:xAlign="center" w:y="1"/>
              <w:spacing w:before="50" w:after="50"/>
              <w:rPr>
                <w:lang w:val="en-US"/>
              </w:rPr>
            </w:pPr>
            <w:r>
              <w:rPr>
                <w:lang w:val="en-US"/>
              </w:rPr>
              <w:t>Path to sensor (dB)</w:t>
            </w:r>
          </w:p>
        </w:tc>
        <w:tc>
          <w:tcPr>
            <w:tcW w:w="1134"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172.6</w:t>
            </w:r>
          </w:p>
        </w:tc>
        <w:tc>
          <w:tcPr>
            <w:tcW w:w="1134"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172.6</w:t>
            </w:r>
          </w:p>
        </w:tc>
        <w:tc>
          <w:tcPr>
            <w:tcW w:w="1474"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172.6</w:t>
            </w:r>
          </w:p>
        </w:tc>
      </w:tr>
      <w:tr w:rsidR="00B9359B">
        <w:tc>
          <w:tcPr>
            <w:tcW w:w="5954" w:type="dxa"/>
          </w:tcPr>
          <w:p w:rsidR="00B9359B" w:rsidRDefault="009A5268">
            <w:pPr>
              <w:pStyle w:val="Tabletext"/>
              <w:framePr w:hSpace="181" w:wrap="notBeside" w:vAnchor="text" w:hAnchor="text" w:xAlign="center" w:y="1"/>
              <w:spacing w:before="50" w:after="50"/>
              <w:rPr>
                <w:lang w:val="en-US"/>
              </w:rPr>
            </w:pPr>
            <w:r>
              <w:rPr>
                <w:lang w:val="en-US"/>
              </w:rPr>
              <w:t>Sensor antenna gain (dBi)</w:t>
            </w:r>
          </w:p>
        </w:tc>
        <w:tc>
          <w:tcPr>
            <w:tcW w:w="1134" w:type="dxa"/>
          </w:tcPr>
          <w:p w:rsidR="00B9359B" w:rsidRDefault="009A5268">
            <w:pPr>
              <w:pStyle w:val="Tabletext"/>
              <w:framePr w:hSpace="181" w:wrap="notBeside" w:vAnchor="text" w:hAnchor="text" w:xAlign="center" w:y="1"/>
              <w:spacing w:before="50" w:after="50"/>
              <w:jc w:val="center"/>
              <w:rPr>
                <w:lang w:val="en-US"/>
              </w:rPr>
            </w:pPr>
            <w:r>
              <w:rPr>
                <w:lang w:val="en-US"/>
              </w:rPr>
              <w:t>41</w:t>
            </w:r>
          </w:p>
        </w:tc>
        <w:tc>
          <w:tcPr>
            <w:tcW w:w="1134" w:type="dxa"/>
          </w:tcPr>
          <w:p w:rsidR="00B9359B" w:rsidRDefault="009A5268">
            <w:pPr>
              <w:pStyle w:val="Tabletext"/>
              <w:framePr w:hSpace="181" w:wrap="notBeside" w:vAnchor="text" w:hAnchor="text" w:xAlign="center" w:y="1"/>
              <w:spacing w:before="50" w:after="50"/>
              <w:jc w:val="center"/>
              <w:rPr>
                <w:lang w:val="en-US"/>
              </w:rPr>
            </w:pPr>
            <w:r>
              <w:rPr>
                <w:lang w:val="en-US"/>
              </w:rPr>
              <w:t>41</w:t>
            </w:r>
          </w:p>
        </w:tc>
        <w:tc>
          <w:tcPr>
            <w:tcW w:w="1474" w:type="dxa"/>
          </w:tcPr>
          <w:p w:rsidR="00B9359B" w:rsidRDefault="009A5268">
            <w:pPr>
              <w:pStyle w:val="Tabletext"/>
              <w:framePr w:hSpace="181" w:wrap="notBeside" w:vAnchor="text" w:hAnchor="text" w:xAlign="center" w:y="1"/>
              <w:spacing w:before="50" w:after="50"/>
              <w:jc w:val="center"/>
              <w:rPr>
                <w:lang w:val="en-US"/>
              </w:rPr>
            </w:pPr>
            <w:r>
              <w:rPr>
                <w:lang w:val="en-US"/>
              </w:rPr>
              <w:t>41</w:t>
            </w:r>
          </w:p>
        </w:tc>
      </w:tr>
      <w:tr w:rsidR="00B9359B">
        <w:tc>
          <w:tcPr>
            <w:tcW w:w="5954" w:type="dxa"/>
          </w:tcPr>
          <w:p w:rsidR="00B9359B" w:rsidRDefault="009A5268">
            <w:pPr>
              <w:pStyle w:val="Tabletext"/>
              <w:framePr w:hSpace="181" w:wrap="notBeside" w:vAnchor="text" w:hAnchor="text" w:xAlign="center" w:y="1"/>
              <w:spacing w:before="50" w:after="50"/>
              <w:rPr>
                <w:lang w:val="en-US"/>
              </w:rPr>
            </w:pPr>
            <w:r>
              <w:rPr>
                <w:lang w:val="en-US"/>
              </w:rPr>
              <w:t>Received psd (dB(W/(m</w:t>
            </w:r>
            <w:r>
              <w:rPr>
                <w:vertAlign w:val="superscript"/>
                <w:lang w:val="en-US"/>
              </w:rPr>
              <w:t>2</w:t>
            </w:r>
            <w:r>
              <w:rPr>
                <w:lang w:val="en-US"/>
              </w:rPr>
              <w:t xml:space="preserve"> · 20 MHz)))</w:t>
            </w:r>
          </w:p>
        </w:tc>
        <w:tc>
          <w:tcPr>
            <w:tcW w:w="1134"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185.5</w:t>
            </w:r>
          </w:p>
        </w:tc>
        <w:tc>
          <w:tcPr>
            <w:tcW w:w="1134"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180.2</w:t>
            </w:r>
          </w:p>
        </w:tc>
        <w:tc>
          <w:tcPr>
            <w:tcW w:w="1474"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184.0</w:t>
            </w:r>
          </w:p>
        </w:tc>
      </w:tr>
      <w:tr w:rsidR="00B9359B">
        <w:trPr>
          <w:trHeight w:val="260"/>
        </w:trPr>
        <w:tc>
          <w:tcPr>
            <w:tcW w:w="5954" w:type="dxa"/>
          </w:tcPr>
          <w:p w:rsidR="00B9359B" w:rsidRDefault="009A5268">
            <w:pPr>
              <w:pStyle w:val="Tabletext"/>
              <w:framePr w:hSpace="181" w:wrap="notBeside" w:vAnchor="text" w:hAnchor="text" w:xAlign="center" w:y="1"/>
              <w:spacing w:before="50" w:after="50"/>
              <w:rPr>
                <w:lang w:val="en-US"/>
              </w:rPr>
            </w:pPr>
            <w:r>
              <w:rPr>
                <w:lang w:val="en-US"/>
              </w:rPr>
              <w:t>Interference threshold (dB(W/20 MHz))</w:t>
            </w:r>
          </w:p>
        </w:tc>
        <w:tc>
          <w:tcPr>
            <w:tcW w:w="1134"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163.0</w:t>
            </w:r>
          </w:p>
        </w:tc>
        <w:tc>
          <w:tcPr>
            <w:tcW w:w="1134"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163.0</w:t>
            </w:r>
          </w:p>
        </w:tc>
        <w:tc>
          <w:tcPr>
            <w:tcW w:w="1474"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163.0</w:t>
            </w:r>
          </w:p>
        </w:tc>
      </w:tr>
      <w:tr w:rsidR="00B9359B">
        <w:tc>
          <w:tcPr>
            <w:tcW w:w="5954" w:type="dxa"/>
          </w:tcPr>
          <w:p w:rsidR="00B9359B" w:rsidRDefault="009A5268">
            <w:pPr>
              <w:pStyle w:val="Tabletext"/>
              <w:framePr w:hSpace="181" w:wrap="notBeside" w:vAnchor="text" w:hAnchor="text" w:xAlign="center" w:y="1"/>
              <w:spacing w:before="50" w:after="50"/>
              <w:rPr>
                <w:lang w:val="en-US"/>
              </w:rPr>
            </w:pPr>
            <w:r>
              <w:rPr>
                <w:lang w:val="en-US"/>
              </w:rPr>
              <w:t>Margin (dB)</w:t>
            </w:r>
          </w:p>
        </w:tc>
        <w:tc>
          <w:tcPr>
            <w:tcW w:w="1134" w:type="dxa"/>
          </w:tcPr>
          <w:p w:rsidR="00B9359B" w:rsidRDefault="009A5268">
            <w:pPr>
              <w:pStyle w:val="Tabletext"/>
              <w:framePr w:hSpace="181" w:wrap="notBeside" w:vAnchor="text" w:hAnchor="text" w:xAlign="center" w:y="1"/>
              <w:spacing w:before="50" w:after="50"/>
              <w:jc w:val="center"/>
              <w:rPr>
                <w:lang w:val="en-US"/>
              </w:rPr>
            </w:pPr>
            <w:r>
              <w:rPr>
                <w:lang w:val="en-US"/>
              </w:rPr>
              <w:t>22.5</w:t>
            </w:r>
          </w:p>
        </w:tc>
        <w:tc>
          <w:tcPr>
            <w:tcW w:w="1134" w:type="dxa"/>
          </w:tcPr>
          <w:p w:rsidR="00B9359B" w:rsidRDefault="009A5268">
            <w:pPr>
              <w:pStyle w:val="Tabletext"/>
              <w:framePr w:hSpace="181" w:wrap="notBeside" w:vAnchor="text" w:hAnchor="text" w:xAlign="center" w:y="1"/>
              <w:spacing w:before="50" w:after="50"/>
              <w:jc w:val="center"/>
              <w:rPr>
                <w:lang w:val="en-US"/>
              </w:rPr>
            </w:pPr>
            <w:r>
              <w:rPr>
                <w:lang w:val="en-US"/>
              </w:rPr>
              <w:t>17.2</w:t>
            </w:r>
          </w:p>
        </w:tc>
        <w:tc>
          <w:tcPr>
            <w:tcW w:w="1474" w:type="dxa"/>
          </w:tcPr>
          <w:p w:rsidR="00B9359B" w:rsidRDefault="009A5268">
            <w:pPr>
              <w:pStyle w:val="Tabletext"/>
              <w:framePr w:hSpace="181" w:wrap="notBeside" w:vAnchor="text" w:hAnchor="text" w:xAlign="center" w:y="1"/>
              <w:spacing w:before="50" w:after="50"/>
              <w:jc w:val="center"/>
              <w:rPr>
                <w:lang w:val="en-US"/>
              </w:rPr>
            </w:pPr>
            <w:r>
              <w:rPr>
                <w:lang w:val="en-US"/>
              </w:rPr>
              <w:t>20.4</w:t>
            </w:r>
          </w:p>
        </w:tc>
      </w:tr>
      <w:tr w:rsidR="00B9359B" w:rsidRPr="00D35B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696" w:type="dxa"/>
            <w:gridSpan w:val="4"/>
          </w:tcPr>
          <w:p w:rsidR="00B9359B" w:rsidRDefault="009A5268">
            <w:pPr>
              <w:pStyle w:val="Tablelegend"/>
              <w:framePr w:hSpace="181" w:wrap="notBeside" w:vAnchor="text" w:hAnchor="text" w:xAlign="center" w:y="1"/>
              <w:rPr>
                <w:lang w:val="en-US"/>
              </w:rPr>
            </w:pPr>
            <w:r>
              <w:rPr>
                <w:vertAlign w:val="superscript"/>
                <w:lang w:val="en-US"/>
              </w:rPr>
              <w:t>(1)</w:t>
            </w:r>
            <w:r>
              <w:rPr>
                <w:lang w:val="en-US"/>
              </w:rPr>
              <w:tab/>
              <w:t>Assumes 0.5% outside allocation on each side.</w:t>
            </w:r>
          </w:p>
          <w:p w:rsidR="00B9359B" w:rsidRDefault="009A5268">
            <w:pPr>
              <w:pStyle w:val="Tablelegend"/>
              <w:framePr w:hSpace="181" w:wrap="notBeside" w:vAnchor="text" w:hAnchor="text" w:xAlign="center" w:y="1"/>
              <w:spacing w:before="0"/>
              <w:rPr>
                <w:lang w:val="en-US"/>
              </w:rPr>
            </w:pPr>
            <w:r>
              <w:rPr>
                <w:vertAlign w:val="superscript"/>
                <w:lang w:val="en-US"/>
              </w:rPr>
              <w:t>(2)</w:t>
            </w:r>
            <w:r>
              <w:rPr>
                <w:lang w:val="en-US"/>
              </w:rPr>
              <w:tab/>
              <w:t>Assumes</w:t>
            </w:r>
            <w:r>
              <w:rPr>
                <w:lang w:val="en-GB"/>
              </w:rPr>
              <w:t xml:space="preserve"> OoB</w:t>
            </w:r>
            <w:r>
              <w:rPr>
                <w:lang w:val="en-US"/>
              </w:rPr>
              <w:t xml:space="preserve"> power uniformly distributed over bandwidth equal to active service bandwidth.</w:t>
            </w:r>
          </w:p>
        </w:tc>
      </w:tr>
    </w:tbl>
    <w:p w:rsidR="00B9359B" w:rsidRDefault="00B9359B">
      <w:pPr>
        <w:pStyle w:val="Tablefin"/>
        <w:rPr>
          <w:lang w:val="en-US"/>
        </w:rPr>
      </w:pPr>
    </w:p>
    <w:p w:rsidR="00B9359B" w:rsidRDefault="00B9359B">
      <w:pPr>
        <w:rPr>
          <w:lang w:val="en-US"/>
        </w:rPr>
      </w:pPr>
    </w:p>
    <w:p w:rsidR="00B9359B" w:rsidRDefault="00B9359B">
      <w:pPr>
        <w:rPr>
          <w:lang w:val="en-US"/>
        </w:rPr>
      </w:pPr>
    </w:p>
    <w:p w:rsidR="00B9359B" w:rsidRDefault="009A5268">
      <w:pPr>
        <w:rPr>
          <w:lang w:val="en-US"/>
        </w:rPr>
      </w:pPr>
      <w:r>
        <w:rPr>
          <w:lang w:val="en-US"/>
        </w:rPr>
        <w:t>Compatibility will occur in all of the cases considered above if the occupied bandwidth of the FSS emission lies wholly within the allocated band. However, this may not be possible for the active service, or may require that the FSS bear the burden of the use of mitigation methods such as filtering or a guardband.</w:t>
      </w:r>
    </w:p>
    <w:p w:rsidR="00B9359B" w:rsidRDefault="009A5268">
      <w:pPr>
        <w:rPr>
          <w:lang w:val="en-US"/>
        </w:rPr>
      </w:pPr>
      <w:r>
        <w:rPr>
          <w:lang w:val="en-US"/>
        </w:rPr>
        <w:br w:type="page"/>
        <w:t>For consideration of the application of Recommendation ITU-R SM.1541, Table 22 summarizes the exceedance of interference criteria calculated for each of the cases addressed in § 4.2.1, 4.2.2 and 4.2.3 above and the frequency separations implied by Fig. 15 for the specified necessary bandwidth considered.</w:t>
      </w:r>
    </w:p>
    <w:p w:rsidR="00B9359B" w:rsidRDefault="009A5268">
      <w:pPr>
        <w:pStyle w:val="TableNo"/>
        <w:rPr>
          <w:lang w:val="en-US"/>
        </w:rPr>
      </w:pPr>
      <w:r>
        <w:rPr>
          <w:lang w:val="en-US"/>
        </w:rPr>
        <w:t>TABLE  22</w:t>
      </w:r>
    </w:p>
    <w:p w:rsidR="00B9359B" w:rsidRDefault="009A5268">
      <w:pPr>
        <w:pStyle w:val="Tabletitle"/>
        <w:rPr>
          <w:lang w:val="en-US"/>
        </w:rPr>
      </w:pPr>
      <w:r>
        <w:rPr>
          <w:lang w:val="en-US"/>
        </w:rPr>
        <w:t>Summary of interference exceedance threshold</w:t>
      </w:r>
      <w:r>
        <w:rPr>
          <w:lang w:val="en-US"/>
        </w:rPr>
        <w:br/>
        <w:t>and frequency separation calculations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1477"/>
        <w:gridCol w:w="1583"/>
        <w:gridCol w:w="1440"/>
        <w:gridCol w:w="1440"/>
      </w:tblGrid>
      <w:tr w:rsidR="00B9359B">
        <w:tc>
          <w:tcPr>
            <w:tcW w:w="2988" w:type="dxa"/>
            <w:vAlign w:val="center"/>
          </w:tcPr>
          <w:p w:rsidR="00B9359B" w:rsidRDefault="00B9359B">
            <w:pPr>
              <w:pStyle w:val="Tablehead"/>
              <w:framePr w:hSpace="181" w:wrap="notBeside" w:vAnchor="text" w:hAnchor="text" w:xAlign="center" w:y="1"/>
              <w:rPr>
                <w:lang w:val="en-US"/>
              </w:rPr>
            </w:pPr>
          </w:p>
        </w:tc>
        <w:tc>
          <w:tcPr>
            <w:tcW w:w="1477" w:type="dxa"/>
            <w:vAlign w:val="center"/>
          </w:tcPr>
          <w:p w:rsidR="00B9359B" w:rsidRDefault="009A5268">
            <w:pPr>
              <w:pStyle w:val="Tablehead"/>
              <w:framePr w:hSpace="181" w:wrap="notBeside" w:vAnchor="text" w:hAnchor="text" w:xAlign="center" w:y="1"/>
              <w:rPr>
                <w:lang w:val="en-US"/>
              </w:rPr>
            </w:pPr>
            <w:r>
              <w:rPr>
                <w:lang w:val="en-US"/>
              </w:rPr>
              <w:t>Interference threshold exceedance (dB)</w:t>
            </w:r>
          </w:p>
        </w:tc>
        <w:tc>
          <w:tcPr>
            <w:tcW w:w="1583" w:type="dxa"/>
            <w:vAlign w:val="center"/>
          </w:tcPr>
          <w:p w:rsidR="00B9359B" w:rsidRDefault="009A5268">
            <w:pPr>
              <w:pStyle w:val="Tablehead"/>
              <w:framePr w:hSpace="181" w:wrap="notBeside" w:vAnchor="text" w:hAnchor="text" w:xAlign="center" w:y="1"/>
              <w:rPr>
                <w:lang w:val="en-US"/>
              </w:rPr>
            </w:pPr>
            <w:r>
              <w:rPr>
                <w:lang w:val="en-US"/>
              </w:rPr>
              <w:t>Calculated frequency offset</w:t>
            </w:r>
            <w:r>
              <w:rPr>
                <w:lang w:val="en-US"/>
              </w:rPr>
              <w:br/>
              <w:t>(%)</w:t>
            </w:r>
          </w:p>
        </w:tc>
        <w:tc>
          <w:tcPr>
            <w:tcW w:w="1440" w:type="dxa"/>
            <w:vAlign w:val="center"/>
          </w:tcPr>
          <w:p w:rsidR="00B9359B" w:rsidRDefault="009A5268">
            <w:pPr>
              <w:pStyle w:val="Tablehead"/>
              <w:framePr w:hSpace="181" w:wrap="notBeside" w:vAnchor="text" w:hAnchor="text" w:xAlign="center" w:y="1"/>
              <w:rPr>
                <w:lang w:val="en-US"/>
              </w:rPr>
            </w:pPr>
            <w:r>
              <w:rPr>
                <w:lang w:val="en-US"/>
              </w:rPr>
              <w:t>Carrier bandwidth (MHz)</w:t>
            </w:r>
          </w:p>
        </w:tc>
        <w:tc>
          <w:tcPr>
            <w:tcW w:w="1440" w:type="dxa"/>
            <w:vAlign w:val="center"/>
          </w:tcPr>
          <w:p w:rsidR="00B9359B" w:rsidRDefault="009A5268">
            <w:pPr>
              <w:pStyle w:val="Tablehead"/>
              <w:framePr w:hSpace="181" w:wrap="notBeside" w:vAnchor="text" w:hAnchor="text" w:xAlign="center" w:y="1"/>
              <w:rPr>
                <w:lang w:val="en-US"/>
              </w:rPr>
            </w:pPr>
            <w:r>
              <w:rPr>
                <w:lang w:val="en-US"/>
              </w:rPr>
              <w:t>Calculated guardband (MHz)</w:t>
            </w:r>
          </w:p>
        </w:tc>
      </w:tr>
      <w:tr w:rsidR="00B9359B">
        <w:tc>
          <w:tcPr>
            <w:tcW w:w="2988" w:type="dxa"/>
          </w:tcPr>
          <w:p w:rsidR="00B9359B" w:rsidRDefault="009A5268">
            <w:pPr>
              <w:pStyle w:val="Tabletext"/>
              <w:framePr w:hSpace="181" w:wrap="notBeside" w:vAnchor="text" w:hAnchor="text" w:xAlign="center" w:y="1"/>
              <w:spacing w:before="50" w:after="50"/>
              <w:jc w:val="left"/>
              <w:rPr>
                <w:lang w:val="en-US"/>
              </w:rPr>
            </w:pPr>
            <w:r>
              <w:rPr>
                <w:lang w:val="en-US"/>
              </w:rPr>
              <w:t>GSO-VX</w:t>
            </w:r>
          </w:p>
        </w:tc>
        <w:tc>
          <w:tcPr>
            <w:tcW w:w="1477" w:type="dxa"/>
          </w:tcPr>
          <w:p w:rsidR="00B9359B" w:rsidRDefault="009A5268">
            <w:pPr>
              <w:pStyle w:val="Tabletext"/>
              <w:framePr w:hSpace="181" w:wrap="notBeside" w:vAnchor="text" w:hAnchor="text" w:xAlign="center" w:y="1"/>
              <w:spacing w:before="50" w:after="50"/>
              <w:jc w:val="center"/>
              <w:rPr>
                <w:lang w:val="en-US"/>
              </w:rPr>
            </w:pPr>
            <w:r>
              <w:rPr>
                <w:lang w:val="en-US"/>
              </w:rPr>
              <w:t>0</w:t>
            </w:r>
          </w:p>
        </w:tc>
        <w:tc>
          <w:tcPr>
            <w:tcW w:w="1583" w:type="dxa"/>
          </w:tcPr>
          <w:p w:rsidR="00B9359B" w:rsidRDefault="009A5268">
            <w:pPr>
              <w:pStyle w:val="Tabletext"/>
              <w:framePr w:hSpace="181" w:wrap="notBeside" w:vAnchor="text" w:hAnchor="text" w:xAlign="center" w:y="1"/>
              <w:spacing w:before="50" w:after="50"/>
              <w:jc w:val="center"/>
              <w:rPr>
                <w:lang w:val="en-US"/>
              </w:rPr>
            </w:pPr>
            <w:r>
              <w:rPr>
                <w:lang w:val="en-US"/>
              </w:rPr>
              <w:t>–</w:t>
            </w:r>
          </w:p>
        </w:tc>
        <w:tc>
          <w:tcPr>
            <w:tcW w:w="1440" w:type="dxa"/>
          </w:tcPr>
          <w:p w:rsidR="00B9359B" w:rsidRDefault="009A5268">
            <w:pPr>
              <w:pStyle w:val="Tabletext"/>
              <w:framePr w:hSpace="181" w:wrap="notBeside" w:vAnchor="text" w:hAnchor="text" w:xAlign="center" w:y="1"/>
              <w:spacing w:before="50" w:after="50"/>
              <w:jc w:val="center"/>
              <w:rPr>
                <w:lang w:val="en-US"/>
              </w:rPr>
            </w:pPr>
            <w:r>
              <w:rPr>
                <w:lang w:val="en-US"/>
              </w:rPr>
              <w:t>–</w:t>
            </w:r>
          </w:p>
        </w:tc>
        <w:tc>
          <w:tcPr>
            <w:tcW w:w="1440" w:type="dxa"/>
          </w:tcPr>
          <w:p w:rsidR="00B9359B" w:rsidRDefault="009A5268">
            <w:pPr>
              <w:pStyle w:val="Tabletext"/>
              <w:framePr w:hSpace="181" w:wrap="notBeside" w:vAnchor="text" w:hAnchor="text" w:xAlign="center" w:y="1"/>
              <w:spacing w:before="50" w:after="50"/>
              <w:jc w:val="center"/>
              <w:rPr>
                <w:lang w:val="en-US"/>
              </w:rPr>
            </w:pPr>
            <w:r>
              <w:rPr>
                <w:lang w:val="en-US"/>
              </w:rPr>
              <w:t>–</w:t>
            </w:r>
          </w:p>
        </w:tc>
      </w:tr>
      <w:tr w:rsidR="00B9359B">
        <w:tc>
          <w:tcPr>
            <w:tcW w:w="2988" w:type="dxa"/>
          </w:tcPr>
          <w:p w:rsidR="00B9359B" w:rsidRDefault="009A5268">
            <w:pPr>
              <w:pStyle w:val="Tabletext"/>
              <w:framePr w:hSpace="181" w:wrap="notBeside" w:vAnchor="text" w:hAnchor="text" w:xAlign="center" w:y="1"/>
              <w:spacing w:before="50" w:after="50"/>
              <w:jc w:val="left"/>
              <w:rPr>
                <w:lang w:val="en-US"/>
              </w:rPr>
            </w:pPr>
            <w:r>
              <w:rPr>
                <w:lang w:val="en-US"/>
              </w:rPr>
              <w:t>Maximum pfd GSO FSS</w:t>
            </w:r>
          </w:p>
        </w:tc>
        <w:tc>
          <w:tcPr>
            <w:tcW w:w="1477" w:type="dxa"/>
          </w:tcPr>
          <w:p w:rsidR="00B9359B" w:rsidRDefault="009A5268">
            <w:pPr>
              <w:pStyle w:val="Tabletext"/>
              <w:framePr w:hSpace="181" w:wrap="notBeside" w:vAnchor="text" w:hAnchor="text" w:xAlign="center" w:y="1"/>
              <w:spacing w:before="50" w:after="50"/>
              <w:jc w:val="center"/>
            </w:pPr>
            <w:r>
              <w:t>4</w:t>
            </w:r>
          </w:p>
        </w:tc>
        <w:tc>
          <w:tcPr>
            <w:tcW w:w="1583" w:type="dxa"/>
          </w:tcPr>
          <w:p w:rsidR="00B9359B" w:rsidRDefault="009A5268">
            <w:pPr>
              <w:pStyle w:val="Tabletext"/>
              <w:framePr w:hSpace="181" w:wrap="notBeside" w:vAnchor="text" w:hAnchor="text" w:xAlign="center" w:y="1"/>
              <w:spacing w:before="50" w:after="50"/>
              <w:jc w:val="center"/>
            </w:pPr>
            <w:r>
              <w:t>34</w:t>
            </w:r>
          </w:p>
        </w:tc>
        <w:tc>
          <w:tcPr>
            <w:tcW w:w="1440" w:type="dxa"/>
          </w:tcPr>
          <w:p w:rsidR="00B9359B" w:rsidRDefault="009A5268">
            <w:pPr>
              <w:pStyle w:val="Tabletext"/>
              <w:framePr w:hSpace="181" w:wrap="notBeside" w:vAnchor="text" w:hAnchor="text" w:xAlign="center" w:y="1"/>
              <w:spacing w:before="50" w:after="50"/>
              <w:jc w:val="center"/>
            </w:pPr>
            <w:r>
              <w:t>36</w:t>
            </w:r>
            <w:r>
              <w:rPr>
                <w:vertAlign w:val="superscript"/>
              </w:rPr>
              <w:t>(1)</w:t>
            </w:r>
          </w:p>
        </w:tc>
        <w:tc>
          <w:tcPr>
            <w:tcW w:w="1440" w:type="dxa"/>
          </w:tcPr>
          <w:p w:rsidR="00B9359B" w:rsidRDefault="009A5268">
            <w:pPr>
              <w:pStyle w:val="Tabletext"/>
              <w:framePr w:hSpace="181" w:wrap="notBeside" w:vAnchor="text" w:hAnchor="text" w:xAlign="center" w:y="1"/>
              <w:spacing w:before="50" w:after="50"/>
              <w:jc w:val="center"/>
            </w:pPr>
            <w:r>
              <w:t>5</w:t>
            </w:r>
          </w:p>
        </w:tc>
      </w:tr>
      <w:tr w:rsidR="00B9359B">
        <w:tc>
          <w:tcPr>
            <w:tcW w:w="2988" w:type="dxa"/>
          </w:tcPr>
          <w:p w:rsidR="00B9359B" w:rsidRDefault="009A5268">
            <w:pPr>
              <w:pStyle w:val="Tabletext"/>
              <w:framePr w:hSpace="181" w:wrap="notBeside" w:vAnchor="text" w:hAnchor="text" w:xAlign="center" w:y="1"/>
              <w:spacing w:before="50" w:after="50"/>
              <w:jc w:val="left"/>
            </w:pPr>
            <w:r>
              <w:t>FSAT-MULTI 1-B</w:t>
            </w:r>
          </w:p>
        </w:tc>
        <w:tc>
          <w:tcPr>
            <w:tcW w:w="1477" w:type="dxa"/>
          </w:tcPr>
          <w:p w:rsidR="00B9359B" w:rsidRDefault="009A5268">
            <w:pPr>
              <w:pStyle w:val="Tabletext"/>
              <w:framePr w:hSpace="181" w:wrap="notBeside" w:vAnchor="text" w:hAnchor="text" w:xAlign="center" w:y="1"/>
              <w:spacing w:before="50" w:after="50"/>
              <w:jc w:val="center"/>
            </w:pPr>
            <w:r>
              <w:t>0</w:t>
            </w:r>
          </w:p>
        </w:tc>
        <w:tc>
          <w:tcPr>
            <w:tcW w:w="1583" w:type="dxa"/>
          </w:tcPr>
          <w:p w:rsidR="00B9359B" w:rsidRDefault="009A5268">
            <w:pPr>
              <w:pStyle w:val="Tabletext"/>
              <w:framePr w:hSpace="181" w:wrap="notBeside" w:vAnchor="text" w:hAnchor="text" w:xAlign="center" w:y="1"/>
              <w:spacing w:before="50" w:after="50"/>
              <w:jc w:val="center"/>
            </w:pPr>
            <w:r>
              <w:t>–</w:t>
            </w:r>
          </w:p>
        </w:tc>
        <w:tc>
          <w:tcPr>
            <w:tcW w:w="1440" w:type="dxa"/>
          </w:tcPr>
          <w:p w:rsidR="00B9359B" w:rsidRDefault="009A5268">
            <w:pPr>
              <w:pStyle w:val="Tabletext"/>
              <w:framePr w:hSpace="181" w:wrap="notBeside" w:vAnchor="text" w:hAnchor="text" w:xAlign="center" w:y="1"/>
              <w:spacing w:before="50" w:after="50"/>
              <w:jc w:val="center"/>
            </w:pPr>
            <w:r>
              <w:t>–</w:t>
            </w:r>
          </w:p>
        </w:tc>
        <w:tc>
          <w:tcPr>
            <w:tcW w:w="1440" w:type="dxa"/>
          </w:tcPr>
          <w:p w:rsidR="00B9359B" w:rsidRDefault="009A5268">
            <w:pPr>
              <w:pStyle w:val="Tabletext"/>
              <w:framePr w:hSpace="181" w:wrap="notBeside" w:vAnchor="text" w:hAnchor="text" w:xAlign="center" w:y="1"/>
              <w:spacing w:before="50" w:after="50"/>
              <w:jc w:val="center"/>
            </w:pPr>
            <w:r>
              <w:t>–</w:t>
            </w:r>
          </w:p>
        </w:tc>
      </w:tr>
      <w:tr w:rsidR="00B9359B">
        <w:tc>
          <w:tcPr>
            <w:tcW w:w="2988" w:type="dxa"/>
          </w:tcPr>
          <w:p w:rsidR="00B9359B" w:rsidRDefault="009A5268">
            <w:pPr>
              <w:pStyle w:val="Tabletext"/>
              <w:framePr w:hSpace="181" w:wrap="notBeside" w:vAnchor="text" w:hAnchor="text" w:xAlign="center" w:y="1"/>
              <w:spacing w:before="50" w:after="50"/>
              <w:jc w:val="left"/>
            </w:pPr>
            <w:r>
              <w:rPr>
                <w:lang w:val="fr-CH"/>
              </w:rPr>
              <w:t>Maximum pfd non-GSO FSS</w:t>
            </w:r>
          </w:p>
        </w:tc>
        <w:tc>
          <w:tcPr>
            <w:tcW w:w="1477" w:type="dxa"/>
          </w:tcPr>
          <w:p w:rsidR="00B9359B" w:rsidRDefault="009A5268">
            <w:pPr>
              <w:pStyle w:val="Tabletext"/>
              <w:framePr w:hSpace="181" w:wrap="notBeside" w:vAnchor="text" w:hAnchor="text" w:xAlign="center" w:y="1"/>
              <w:spacing w:before="50" w:after="50"/>
              <w:jc w:val="center"/>
              <w:rPr>
                <w:lang w:val="es-ES_tradnl"/>
              </w:rPr>
            </w:pPr>
            <w:r>
              <w:rPr>
                <w:lang w:val="es-ES_tradnl"/>
              </w:rPr>
              <w:t>14</w:t>
            </w:r>
          </w:p>
        </w:tc>
        <w:tc>
          <w:tcPr>
            <w:tcW w:w="1583" w:type="dxa"/>
          </w:tcPr>
          <w:p w:rsidR="00B9359B" w:rsidRDefault="009A5268">
            <w:pPr>
              <w:pStyle w:val="Tabletext"/>
              <w:framePr w:hSpace="181" w:wrap="notBeside" w:vAnchor="text" w:hAnchor="text" w:xAlign="center" w:y="1"/>
              <w:spacing w:before="50" w:after="50"/>
              <w:jc w:val="center"/>
              <w:rPr>
                <w:lang w:val="es-ES_tradnl"/>
              </w:rPr>
            </w:pPr>
            <w:r>
              <w:rPr>
                <w:lang w:val="es-ES_tradnl"/>
              </w:rPr>
              <w:t>63</w:t>
            </w:r>
          </w:p>
        </w:tc>
        <w:tc>
          <w:tcPr>
            <w:tcW w:w="1440" w:type="dxa"/>
          </w:tcPr>
          <w:p w:rsidR="00B9359B" w:rsidRDefault="009A5268">
            <w:pPr>
              <w:pStyle w:val="Tabletext"/>
              <w:framePr w:hSpace="181" w:wrap="notBeside" w:vAnchor="text" w:hAnchor="text" w:xAlign="center" w:y="1"/>
              <w:spacing w:before="50" w:after="50"/>
              <w:jc w:val="center"/>
              <w:rPr>
                <w:lang w:val="es-ES_tradnl"/>
              </w:rPr>
            </w:pPr>
            <w:r>
              <w:rPr>
                <w:lang w:val="es-ES_tradnl"/>
              </w:rPr>
              <w:t>41</w:t>
            </w:r>
          </w:p>
        </w:tc>
        <w:tc>
          <w:tcPr>
            <w:tcW w:w="1440" w:type="dxa"/>
          </w:tcPr>
          <w:p w:rsidR="00B9359B" w:rsidRDefault="009A5268">
            <w:pPr>
              <w:pStyle w:val="Tabletext"/>
              <w:framePr w:hSpace="181" w:wrap="notBeside" w:vAnchor="text" w:hAnchor="text" w:xAlign="center" w:y="1"/>
              <w:spacing w:before="50" w:after="50"/>
              <w:jc w:val="center"/>
              <w:rPr>
                <w:lang w:val="es-ES_tradnl"/>
              </w:rPr>
            </w:pPr>
            <w:r>
              <w:rPr>
                <w:lang w:val="es-ES_tradnl"/>
              </w:rPr>
              <w:t>26</w:t>
            </w:r>
          </w:p>
        </w:tc>
      </w:tr>
      <w:tr w:rsidR="00B9359B">
        <w:tc>
          <w:tcPr>
            <w:tcW w:w="2988" w:type="dxa"/>
          </w:tcPr>
          <w:p w:rsidR="00B9359B" w:rsidRDefault="009A5268">
            <w:pPr>
              <w:pStyle w:val="Tabletext"/>
              <w:framePr w:hSpace="181" w:wrap="notBeside" w:vAnchor="text" w:hAnchor="text" w:xAlign="center" w:y="1"/>
              <w:spacing w:before="50" w:after="50"/>
              <w:jc w:val="left"/>
              <w:rPr>
                <w:lang w:val="es-ES_tradnl"/>
              </w:rPr>
            </w:pPr>
            <w:r>
              <w:rPr>
                <w:lang w:val="es-ES_tradnl"/>
              </w:rPr>
              <w:t>USAKU-H1</w:t>
            </w:r>
          </w:p>
        </w:tc>
        <w:tc>
          <w:tcPr>
            <w:tcW w:w="1477" w:type="dxa"/>
          </w:tcPr>
          <w:p w:rsidR="00B9359B" w:rsidRDefault="009A5268">
            <w:pPr>
              <w:pStyle w:val="Tabletext"/>
              <w:framePr w:hSpace="181" w:wrap="notBeside" w:vAnchor="text" w:hAnchor="text" w:xAlign="center" w:y="1"/>
              <w:spacing w:before="50" w:after="50"/>
              <w:jc w:val="center"/>
              <w:rPr>
                <w:lang w:val="es-ES_tradnl"/>
              </w:rPr>
            </w:pPr>
            <w:r>
              <w:rPr>
                <w:lang w:val="es-ES_tradnl"/>
              </w:rPr>
              <w:t>1 (apogee)</w:t>
            </w:r>
            <w:r>
              <w:rPr>
                <w:lang w:val="es-ES_tradnl"/>
              </w:rPr>
              <w:br/>
              <w:t>6 (perigee)</w:t>
            </w:r>
          </w:p>
        </w:tc>
        <w:tc>
          <w:tcPr>
            <w:tcW w:w="1583" w:type="dxa"/>
          </w:tcPr>
          <w:p w:rsidR="00B9359B" w:rsidRDefault="009A5268">
            <w:pPr>
              <w:pStyle w:val="Tabletext"/>
              <w:framePr w:hSpace="181" w:wrap="notBeside" w:vAnchor="text" w:hAnchor="text" w:xAlign="center" w:y="1"/>
              <w:spacing w:before="50" w:after="50"/>
              <w:jc w:val="center"/>
              <w:rPr>
                <w:lang w:val="es-ES_tradnl"/>
              </w:rPr>
            </w:pPr>
            <w:r>
              <w:rPr>
                <w:lang w:val="es-ES_tradnl"/>
              </w:rPr>
              <w:t>3 (apogee)</w:t>
            </w:r>
            <w:r>
              <w:rPr>
                <w:lang w:val="es-ES_tradnl"/>
              </w:rPr>
              <w:br/>
              <w:t>20 (perigee)</w:t>
            </w:r>
          </w:p>
        </w:tc>
        <w:tc>
          <w:tcPr>
            <w:tcW w:w="1440" w:type="dxa"/>
          </w:tcPr>
          <w:p w:rsidR="00B9359B" w:rsidRDefault="009A5268">
            <w:pPr>
              <w:pStyle w:val="Tabletext"/>
              <w:framePr w:hSpace="181" w:wrap="notBeside" w:vAnchor="text" w:hAnchor="text" w:xAlign="center" w:y="1"/>
              <w:spacing w:before="50" w:after="50"/>
              <w:jc w:val="center"/>
              <w:rPr>
                <w:lang w:val="es-ES_tradnl"/>
              </w:rPr>
            </w:pPr>
            <w:r>
              <w:rPr>
                <w:lang w:val="es-ES_tradnl"/>
              </w:rPr>
              <w:t>24</w:t>
            </w:r>
          </w:p>
        </w:tc>
        <w:tc>
          <w:tcPr>
            <w:tcW w:w="1440" w:type="dxa"/>
          </w:tcPr>
          <w:p w:rsidR="00B9359B" w:rsidRDefault="009A5268">
            <w:pPr>
              <w:pStyle w:val="Tabletext"/>
              <w:framePr w:hSpace="181" w:wrap="notBeside" w:vAnchor="text" w:hAnchor="text" w:xAlign="center" w:y="1"/>
              <w:spacing w:before="50" w:after="50"/>
              <w:jc w:val="center"/>
              <w:rPr>
                <w:lang w:val="es-ES_tradnl"/>
              </w:rPr>
            </w:pPr>
            <w:r>
              <w:rPr>
                <w:lang w:val="es-ES_tradnl"/>
              </w:rPr>
              <w:t>1 (apogee)</w:t>
            </w:r>
            <w:r>
              <w:rPr>
                <w:lang w:val="es-ES_tradnl"/>
              </w:rPr>
              <w:br/>
              <w:t>5 (perigee)</w:t>
            </w:r>
          </w:p>
        </w:tc>
      </w:tr>
      <w:tr w:rsidR="00B9359B">
        <w:tc>
          <w:tcPr>
            <w:tcW w:w="2988" w:type="dxa"/>
            <w:tcBorders>
              <w:bottom w:val="single" w:sz="4" w:space="0" w:color="auto"/>
            </w:tcBorders>
          </w:tcPr>
          <w:p w:rsidR="00B9359B" w:rsidRDefault="009A5268">
            <w:pPr>
              <w:pStyle w:val="Tabletext"/>
              <w:framePr w:hSpace="181" w:wrap="notBeside" w:vAnchor="text" w:hAnchor="text" w:xAlign="center" w:y="1"/>
              <w:spacing w:before="50" w:after="50"/>
              <w:jc w:val="left"/>
              <w:rPr>
                <w:lang w:val="en-US"/>
              </w:rPr>
            </w:pPr>
            <w:r>
              <w:rPr>
                <w:lang w:val="en-US"/>
              </w:rPr>
              <w:t>Maximum pfd HEO FSS</w:t>
            </w:r>
          </w:p>
        </w:tc>
        <w:tc>
          <w:tcPr>
            <w:tcW w:w="1477" w:type="dxa"/>
            <w:tcBorders>
              <w:bottom w:val="single" w:sz="4" w:space="0" w:color="auto"/>
            </w:tcBorders>
          </w:tcPr>
          <w:p w:rsidR="00B9359B" w:rsidRDefault="009A5268">
            <w:pPr>
              <w:pStyle w:val="Tabletext"/>
              <w:framePr w:hSpace="181" w:wrap="notBeside" w:vAnchor="text" w:hAnchor="text" w:xAlign="center" w:y="1"/>
              <w:spacing w:before="50" w:after="50"/>
              <w:jc w:val="center"/>
              <w:rPr>
                <w:lang w:val="es-ES_tradnl"/>
              </w:rPr>
            </w:pPr>
            <w:r>
              <w:rPr>
                <w:lang w:val="es-ES_tradnl"/>
              </w:rPr>
              <w:t>4 (apogee)</w:t>
            </w:r>
            <w:r>
              <w:rPr>
                <w:lang w:val="es-ES_tradnl"/>
              </w:rPr>
              <w:br/>
              <w:t>6 (perigee)</w:t>
            </w:r>
          </w:p>
        </w:tc>
        <w:tc>
          <w:tcPr>
            <w:tcW w:w="1583" w:type="dxa"/>
            <w:tcBorders>
              <w:bottom w:val="single" w:sz="4" w:space="0" w:color="auto"/>
            </w:tcBorders>
          </w:tcPr>
          <w:p w:rsidR="00B9359B" w:rsidRDefault="009A5268">
            <w:pPr>
              <w:pStyle w:val="Tabletext"/>
              <w:framePr w:hSpace="181" w:wrap="notBeside" w:vAnchor="text" w:hAnchor="text" w:xAlign="center" w:y="1"/>
              <w:spacing w:before="50" w:after="50"/>
              <w:jc w:val="center"/>
              <w:rPr>
                <w:lang w:val="es-ES_tradnl"/>
              </w:rPr>
            </w:pPr>
            <w:r>
              <w:rPr>
                <w:lang w:val="es-ES_tradnl"/>
              </w:rPr>
              <w:t>13 (apogee)</w:t>
            </w:r>
            <w:r>
              <w:rPr>
                <w:lang w:val="es-ES_tradnl"/>
              </w:rPr>
              <w:br/>
              <w:t>20 (perigee)</w:t>
            </w:r>
          </w:p>
        </w:tc>
        <w:tc>
          <w:tcPr>
            <w:tcW w:w="1440" w:type="dxa"/>
            <w:tcBorders>
              <w:bottom w:val="single" w:sz="4" w:space="0" w:color="auto"/>
            </w:tcBorders>
          </w:tcPr>
          <w:p w:rsidR="00B9359B" w:rsidRDefault="009A5268">
            <w:pPr>
              <w:pStyle w:val="Tabletext"/>
              <w:framePr w:hSpace="181" w:wrap="notBeside" w:vAnchor="text" w:hAnchor="text" w:xAlign="center" w:y="1"/>
              <w:spacing w:before="50" w:after="50"/>
              <w:jc w:val="center"/>
              <w:rPr>
                <w:lang w:val="en-US"/>
              </w:rPr>
            </w:pPr>
            <w:r>
              <w:rPr>
                <w:lang w:val="en-US"/>
              </w:rPr>
              <w:t>24</w:t>
            </w:r>
          </w:p>
        </w:tc>
        <w:tc>
          <w:tcPr>
            <w:tcW w:w="1440" w:type="dxa"/>
            <w:tcBorders>
              <w:bottom w:val="single" w:sz="4" w:space="0" w:color="auto"/>
            </w:tcBorders>
          </w:tcPr>
          <w:p w:rsidR="00B9359B" w:rsidRDefault="009A5268">
            <w:pPr>
              <w:pStyle w:val="Tabletext"/>
              <w:framePr w:hSpace="181" w:wrap="notBeside" w:vAnchor="text" w:hAnchor="text" w:xAlign="center" w:y="1"/>
              <w:spacing w:before="50" w:after="50"/>
              <w:jc w:val="center"/>
              <w:rPr>
                <w:lang w:val="en-US"/>
              </w:rPr>
            </w:pPr>
            <w:r>
              <w:rPr>
                <w:lang w:val="en-US"/>
              </w:rPr>
              <w:t>3 (apogee)</w:t>
            </w:r>
            <w:r>
              <w:rPr>
                <w:lang w:val="en-US"/>
              </w:rPr>
              <w:br/>
              <w:t>5 (perigee)</w:t>
            </w:r>
          </w:p>
        </w:tc>
      </w:tr>
      <w:tr w:rsidR="00B9359B">
        <w:trPr>
          <w:cantSplit/>
        </w:trPr>
        <w:tc>
          <w:tcPr>
            <w:tcW w:w="8928" w:type="dxa"/>
            <w:gridSpan w:val="5"/>
            <w:tcBorders>
              <w:left w:val="nil"/>
              <w:bottom w:val="nil"/>
              <w:right w:val="nil"/>
            </w:tcBorders>
          </w:tcPr>
          <w:p w:rsidR="00B9359B" w:rsidRDefault="009A5268">
            <w:pPr>
              <w:pStyle w:val="Tablelegend"/>
              <w:framePr w:hSpace="181" w:wrap="notBeside" w:vAnchor="text" w:hAnchor="text" w:xAlign="center" w:y="1"/>
              <w:rPr>
                <w:lang w:val="en-US"/>
              </w:rPr>
            </w:pPr>
            <w:r>
              <w:rPr>
                <w:vertAlign w:val="superscript"/>
                <w:lang w:val="en-US"/>
              </w:rPr>
              <w:t>(1)</w:t>
            </w:r>
            <w:r>
              <w:rPr>
                <w:vertAlign w:val="superscript"/>
                <w:lang w:val="en-US"/>
              </w:rPr>
              <w:tab/>
            </w:r>
            <w:r>
              <w:rPr>
                <w:lang w:val="en-US"/>
              </w:rPr>
              <w:t>Typical FSS transponder bandwidth.</w:t>
            </w:r>
          </w:p>
        </w:tc>
      </w:tr>
    </w:tbl>
    <w:p w:rsidR="00B9359B" w:rsidRDefault="00B9359B">
      <w:pPr>
        <w:pStyle w:val="Tablefin"/>
      </w:pPr>
    </w:p>
    <w:p w:rsidR="00B9359B" w:rsidRDefault="009A5268">
      <w:pPr>
        <w:pStyle w:val="Heading1"/>
        <w:rPr>
          <w:lang w:val="en-US"/>
        </w:rPr>
      </w:pPr>
      <w:bookmarkStart w:id="260" w:name="_Toc51045660"/>
      <w:r>
        <w:rPr>
          <w:lang w:val="en-US"/>
        </w:rPr>
        <w:t>5</w:t>
      </w:r>
      <w:r>
        <w:rPr>
          <w:lang w:val="en-US"/>
        </w:rPr>
        <w:tab/>
        <w:t>Mitigation techniques</w:t>
      </w:r>
      <w:bookmarkEnd w:id="260"/>
    </w:p>
    <w:p w:rsidR="00B9359B" w:rsidRDefault="009A5268">
      <w:pPr>
        <w:rPr>
          <w:lang w:val="en-US"/>
        </w:rPr>
      </w:pPr>
      <w:r>
        <w:rPr>
          <w:lang w:val="en-US"/>
        </w:rPr>
        <w:t>The proposed GSO and non-GSO satellite designs considered above that operate at e.i.r.p. density levels substantially below the maximum levels permitted by RR Article 21 do not require mitigation techniques. However, mitigation techniques may be required in the case of the proposed HEO elliptical orbit FSS system considered, as well as for all types of FSS systems operating with higher e.i.r.p. densities than the particular FSS networks considered above if they produce pfd levels at the Earth’s surface that approach the limits in RR Table 21</w:t>
      </w:r>
      <w:r>
        <w:rPr>
          <w:lang w:val="en-US"/>
        </w:rPr>
        <w:noBreakHyphen/>
        <w:t>4.</w:t>
      </w:r>
    </w:p>
    <w:p w:rsidR="00B9359B" w:rsidRDefault="009A5268">
      <w:pPr>
        <w:rPr>
          <w:lang w:val="en-US"/>
        </w:rPr>
      </w:pPr>
      <w:r>
        <w:rPr>
          <w:lang w:val="en-US"/>
        </w:rPr>
        <w:t>In such cases, having the occupied bandwidth contained completely within the band allocated to the FSS would lead to compatibility between the two services. However the impact on the FSS of this obligation could be significant either in loss capacity through the application of a guardband in the RR Appendix 30B band or in the implementation of additional filtering.</w:t>
      </w:r>
    </w:p>
    <w:p w:rsidR="00B9359B" w:rsidRDefault="009A5268">
      <w:pPr>
        <w:rPr>
          <w:lang w:val="en-US"/>
        </w:rPr>
      </w:pPr>
      <w:r>
        <w:rPr>
          <w:lang w:val="en-US"/>
        </w:rPr>
        <w:t xml:space="preserve">This is because the addition of an output filter to a space station results in additional construction costs and time delays resulting from the design construction and testing of the filter. In addition filters cause an insertion loss after the high power amplifier (HPA), which implies the selection of a larger HPA in order to maintain the same network capacity. A larger HPA impacts the weight and </w:t>
      </w:r>
      <w:r>
        <w:rPr>
          <w:lang w:val="en-US"/>
        </w:rPr>
        <w:br w:type="page"/>
        <w:t>power requirements on the space station bus that impacts space station cost. In addition, the insertion of a filter increases phase delay that can result in a need for equalization at the terminal impacting terminal cost.</w:t>
      </w:r>
    </w:p>
    <w:p w:rsidR="00B9359B" w:rsidRDefault="009A5268">
      <w:pPr>
        <w:rPr>
          <w:lang w:val="en-US"/>
        </w:rPr>
      </w:pPr>
      <w:r>
        <w:rPr>
          <w:lang w:val="en-US"/>
        </w:rPr>
        <w:t>Compatibility in these cases may also be achieved by means less onerous than full compliance with RR No. 1.153. For example, controlling the percentage of total OoB power to less than 4% appears to be sufficient to satisfy the EESS interference criteria under the worst-case assumptions in the calculations presented above. Employing emissions in the FSS whose OoB spectra roll</w:t>
      </w:r>
      <w:r>
        <w:rPr>
          <w:lang w:val="en-US"/>
        </w:rPr>
        <w:noBreakHyphen/>
        <w:t>off faster than the Recommendation ITU-R SM.1541 mask would result in a smaller frequency offset as a percentage of the necessary bandwidth being needed to achieve the passive service criteria. It should be noted that the values of guardband calculated in Table 20 are based on the carrier bandwidths specified for the specific systems considered and that smaller carrier bandwidths might require smaller guardbands in order to achieve the protection criterion of the EESS. Further study is required to establish if FSS systems can reasonably employ the mitigation methods mentioned above.</w:t>
      </w:r>
    </w:p>
    <w:p w:rsidR="00B9359B" w:rsidRDefault="009A5268">
      <w:pPr>
        <w:pStyle w:val="Heading1"/>
        <w:rPr>
          <w:lang w:val="en-US"/>
        </w:rPr>
      </w:pPr>
      <w:bookmarkStart w:id="261" w:name="_Toc51045661"/>
      <w:r>
        <w:rPr>
          <w:lang w:val="en-US"/>
        </w:rPr>
        <w:t>6</w:t>
      </w:r>
      <w:r>
        <w:rPr>
          <w:lang w:val="en-US"/>
        </w:rPr>
        <w:tab/>
        <w:t>Results of studies</w:t>
      </w:r>
      <w:bookmarkEnd w:id="261"/>
    </w:p>
    <w:p w:rsidR="00B9359B" w:rsidRDefault="009A5268">
      <w:pPr>
        <w:pStyle w:val="Heading2"/>
        <w:rPr>
          <w:lang w:val="en-US"/>
        </w:rPr>
      </w:pPr>
      <w:bookmarkStart w:id="262" w:name="_Toc51045662"/>
      <w:r>
        <w:rPr>
          <w:lang w:val="en-US"/>
        </w:rPr>
        <w:t>6.1</w:t>
      </w:r>
      <w:r>
        <w:rPr>
          <w:lang w:val="en-US"/>
        </w:rPr>
        <w:tab/>
        <w:t>Summary</w:t>
      </w:r>
      <w:bookmarkEnd w:id="262"/>
    </w:p>
    <w:p w:rsidR="00B9359B" w:rsidRDefault="009A5268">
      <w:pPr>
        <w:rPr>
          <w:lang w:val="en-US"/>
        </w:rPr>
      </w:pPr>
      <w:r>
        <w:rPr>
          <w:lang w:val="en-US"/>
        </w:rPr>
        <w:t>This study addressed a compatibility analysis between the EESS (passive) in the band 10.6-10.7 GHz and the FSS (space-to-Earth) in the band 10.7-10.95 GHz.</w:t>
      </w:r>
    </w:p>
    <w:p w:rsidR="00B9359B" w:rsidRDefault="009A5268">
      <w:pPr>
        <w:rPr>
          <w:lang w:val="en-US"/>
        </w:rPr>
      </w:pPr>
      <w:r>
        <w:rPr>
          <w:lang w:val="en-US"/>
        </w:rPr>
        <w:t>Two different microwave radiometers from the EESS (passive) were taken into account and three different types of satellite networks from the FSS were considered in this study, i.e. GSO, non</w:t>
      </w:r>
      <w:r>
        <w:rPr>
          <w:lang w:val="en-US"/>
        </w:rPr>
        <w:noBreakHyphen/>
        <w:t>GSO (including HEO/elliptical) satellite networks. Calculations were performed using the e.i.r.p./carrier levels specified for the proposed systems as well as for worst-case e.i.r.p./carrier levels that produce the maximum level of pfd at the Earth’s surface permitted by RR Article</w:t>
      </w:r>
      <w:r>
        <w:rPr>
          <w:b/>
          <w:bCs/>
          <w:lang w:val="en-US"/>
        </w:rPr>
        <w:t> </w:t>
      </w:r>
      <w:r>
        <w:rPr>
          <w:lang w:val="en-US"/>
        </w:rPr>
        <w:t>21.</w:t>
      </w:r>
    </w:p>
    <w:p w:rsidR="00B9359B" w:rsidRDefault="009A5268">
      <w:pPr>
        <w:rPr>
          <w:lang w:val="en-US"/>
        </w:rPr>
      </w:pPr>
      <w:r>
        <w:rPr>
          <w:lang w:val="en-US"/>
        </w:rPr>
        <w:t>Mitigation techniques resulting in a reduction of unwanted emissions of up to 14 dB for non</w:t>
      </w:r>
      <w:r>
        <w:rPr>
          <w:lang w:val="en-US"/>
        </w:rPr>
        <w:noBreakHyphen/>
        <w:t>GSO and 4 dB for GSO would be required by certain FSS systems operating at the maximum e.i.r.p. density levels that comply with the RR Article 21 pfd limits in order to meet the EESS protection criterion for 100% of time. This reduction could possibly be achieved via compliance with RR No. 1.153 (assuming that the overall occupied bandwidth is within the allocated FSS band</w:t>
      </w:r>
      <w:r>
        <w:rPr>
          <w:caps/>
          <w:lang w:val="en-US"/>
        </w:rPr>
        <w:t xml:space="preserve"> </w:t>
      </w:r>
      <w:r>
        <w:rPr>
          <w:lang w:val="en-US"/>
        </w:rPr>
        <w:t>and that no more than 0.5% of the power falls either above or below the allocated band), or by some combination of controlling the total OoB power of the FSS emission that falls with the EESS (passive) band, and/or employing frequency offsets within the allocated FSS band. Whether all FSS systems can meet this constraint remains to be studied. For the particular cases considered in this analysis, frequency offsets of up to 63% of the necessary bandwidth were calculated on the basis of the OoB emission mask in Recommendation ITU</w:t>
      </w:r>
      <w:r>
        <w:rPr>
          <w:lang w:val="en-US"/>
        </w:rPr>
        <w:noBreakHyphen/>
        <w:t>R SM.1541.</w:t>
      </w:r>
    </w:p>
    <w:p w:rsidR="00B9359B" w:rsidRDefault="009A5268">
      <w:pPr>
        <w:rPr>
          <w:lang w:val="en-US"/>
        </w:rPr>
      </w:pPr>
      <w:r>
        <w:rPr>
          <w:lang w:val="en-US"/>
        </w:rPr>
        <w:t xml:space="preserve">As indicated in § 2.2, it was not possible to undertake an interference analysis dealing with FSS systems that would use in Region 1 the uplink allocation 10.7-11.7 GHz through RR  No. 5.484 (limited to feeder links for the broadcasting service), because no information is currently available </w:t>
      </w:r>
      <w:r>
        <w:rPr>
          <w:lang w:val="en-US"/>
        </w:rPr>
        <w:br w:type="page"/>
        <w:t>on such systems. If such systems were to be deployed, it would be a major concern for EESS (passive) sensors since these links are planned for Earth-to-space. There might be a significant amount of time during which the signal sent by such FSS earth stations be in the main beam or the first sidelobe of the EESS antenna.</w:t>
      </w:r>
    </w:p>
    <w:p w:rsidR="00B9359B" w:rsidRDefault="009A5268">
      <w:pPr>
        <w:pStyle w:val="Heading2"/>
        <w:rPr>
          <w:lang w:val="en-US"/>
        </w:rPr>
      </w:pPr>
      <w:bookmarkStart w:id="263" w:name="_Toc51045663"/>
      <w:r>
        <w:rPr>
          <w:lang w:val="en-US"/>
        </w:rPr>
        <w:t>6.2</w:t>
      </w:r>
      <w:r>
        <w:rPr>
          <w:lang w:val="en-US"/>
        </w:rPr>
        <w:tab/>
        <w:t>Conclusions</w:t>
      </w:r>
      <w:bookmarkEnd w:id="263"/>
    </w:p>
    <w:p w:rsidR="00B9359B" w:rsidRDefault="009A5268">
      <w:pPr>
        <w:rPr>
          <w:lang w:val="en-US"/>
        </w:rPr>
      </w:pPr>
      <w:r>
        <w:rPr>
          <w:lang w:val="en-US"/>
        </w:rPr>
        <w:t>The interference criteria of the EESS are met for the cases of GSO and non-GSO systems operating at the proposed e.i.r.p./carrier levels. An additional 14 dB of reduction of the unwanted emission power may be required by certain FSS systems operating at the maximum e.i.r.p. density levels that comply with the RR Article 21 pfd limits. In all such cases, having the occupied bandwidth contained completely within the band allocated to the FSS would lead to compatibility between the two services. In the special case of HEO satellites, since they are transmitting mostly in the apogee position and are switched off in the perigee position, it is unlikely that this interference event will occur. Applying the unavailability criteria of Recommendation ITU</w:t>
      </w:r>
      <w:r>
        <w:rPr>
          <w:lang w:val="en-US"/>
        </w:rPr>
        <w:noBreakHyphen/>
        <w:t>R SA.1029 may modify this scattering.</w:t>
      </w:r>
    </w:p>
    <w:p w:rsidR="00B9359B" w:rsidRDefault="00B9359B">
      <w:pPr>
        <w:rPr>
          <w:lang w:val="en-US"/>
        </w:rPr>
      </w:pPr>
    </w:p>
    <w:p w:rsidR="00B9359B" w:rsidRDefault="00B9359B">
      <w:pPr>
        <w:rPr>
          <w:lang w:val="en-US"/>
        </w:rPr>
      </w:pPr>
    </w:p>
    <w:p w:rsidR="00B9359B" w:rsidRDefault="009A5268">
      <w:pPr>
        <w:pStyle w:val="AnnexNoTitle"/>
        <w:rPr>
          <w:lang w:val="en-US"/>
        </w:rPr>
      </w:pPr>
      <w:r>
        <w:rPr>
          <w:lang w:val="en-US"/>
        </w:rPr>
        <w:t>Annex 10</w:t>
      </w:r>
      <w:r>
        <w:rPr>
          <w:lang w:val="en-US"/>
        </w:rPr>
        <w:br/>
      </w:r>
      <w:r>
        <w:rPr>
          <w:lang w:val="en-US"/>
        </w:rPr>
        <w:br/>
        <w:t>Compatibility analysis between RAS systems operating in the</w:t>
      </w:r>
      <w:r>
        <w:rPr>
          <w:lang w:val="en-US"/>
        </w:rPr>
        <w:br/>
        <w:t>10.6-10.7 GHz band and FSS (space-to-Earth) systems</w:t>
      </w:r>
      <w:r>
        <w:rPr>
          <w:lang w:val="en-US"/>
        </w:rPr>
        <w:br/>
        <w:t>operating in the 10.7-10.95 GHz band</w:t>
      </w:r>
    </w:p>
    <w:p w:rsidR="00B9359B" w:rsidRDefault="009A5268">
      <w:pPr>
        <w:pStyle w:val="Heading1"/>
        <w:rPr>
          <w:lang w:val="en-US"/>
        </w:rPr>
      </w:pPr>
      <w:bookmarkStart w:id="264" w:name="_Toc51045664"/>
      <w:r>
        <w:rPr>
          <w:lang w:val="en-US"/>
        </w:rPr>
        <w:t>1</w:t>
      </w:r>
      <w:r>
        <w:rPr>
          <w:lang w:val="en-US"/>
        </w:rPr>
        <w:tab/>
        <w:t>RAS</w:t>
      </w:r>
      <w:bookmarkEnd w:id="264"/>
    </w:p>
    <w:p w:rsidR="00B9359B" w:rsidRDefault="009A5268">
      <w:pPr>
        <w:pStyle w:val="Heading2"/>
        <w:rPr>
          <w:lang w:val="en-US"/>
        </w:rPr>
      </w:pPr>
      <w:bookmarkStart w:id="265" w:name="_Toc51045665"/>
      <w:r>
        <w:rPr>
          <w:lang w:val="en-US"/>
        </w:rPr>
        <w:t>1.1</w:t>
      </w:r>
      <w:r>
        <w:rPr>
          <w:lang w:val="en-US"/>
        </w:rPr>
        <w:tab/>
        <w:t>Allocated band</w:t>
      </w:r>
      <w:bookmarkEnd w:id="265"/>
    </w:p>
    <w:p w:rsidR="00B9359B" w:rsidRDefault="009A5268">
      <w:pPr>
        <w:rPr>
          <w:lang w:val="en-US"/>
        </w:rPr>
      </w:pPr>
      <w:r>
        <w:rPr>
          <w:lang w:val="en-US"/>
        </w:rPr>
        <w:t>The 10.6-10.7 GHz band is allocated to the RAS, EESS (passive) and SRS (passive) on a primary basis; the 10.68</w:t>
      </w:r>
      <w:r>
        <w:rPr>
          <w:lang w:val="en-US"/>
        </w:rPr>
        <w:noBreakHyphen/>
        <w:t>10.7 GHz sub-band is allocated exclusively to these services, worldwide.</w:t>
      </w:r>
    </w:p>
    <w:p w:rsidR="00B9359B" w:rsidRDefault="009A5268">
      <w:pPr>
        <w:rPr>
          <w:bCs/>
          <w:lang w:val="en-US"/>
        </w:rPr>
      </w:pPr>
      <w:r>
        <w:rPr>
          <w:lang w:val="en-US"/>
        </w:rPr>
        <w:t>The following footnotes are of relevance to these bands:</w:t>
      </w:r>
      <w:r>
        <w:rPr>
          <w:bCs/>
          <w:lang w:val="en-US"/>
        </w:rPr>
        <w:t xml:space="preserve"> RR No.</w:t>
      </w:r>
      <w:r>
        <w:rPr>
          <w:b/>
          <w:lang w:val="en-US"/>
        </w:rPr>
        <w:t xml:space="preserve"> </w:t>
      </w:r>
      <w:r>
        <w:rPr>
          <w:bCs/>
          <w:lang w:val="en-US"/>
        </w:rPr>
        <w:t>5.149 for the band 10.6-10.68 GHz and RR No. 5.340 for the band 10.68-10.7 GHz.</w:t>
      </w:r>
    </w:p>
    <w:p w:rsidR="00B9359B" w:rsidRDefault="009A5268">
      <w:pPr>
        <w:pStyle w:val="Heading2"/>
        <w:rPr>
          <w:lang w:val="en-US"/>
        </w:rPr>
      </w:pPr>
      <w:bookmarkStart w:id="266" w:name="_Toc51045666"/>
      <w:r>
        <w:rPr>
          <w:lang w:val="en-US"/>
        </w:rPr>
        <w:t>1.2</w:t>
      </w:r>
      <w:r>
        <w:rPr>
          <w:lang w:val="en-US"/>
        </w:rPr>
        <w:tab/>
        <w:t>Type of observations</w:t>
      </w:r>
      <w:bookmarkEnd w:id="266"/>
    </w:p>
    <w:p w:rsidR="00B9359B" w:rsidRDefault="009A5268">
      <w:pPr>
        <w:pStyle w:val="Heading3"/>
        <w:rPr>
          <w:lang w:val="en-US"/>
        </w:rPr>
      </w:pPr>
      <w:bookmarkStart w:id="267" w:name="_Toc51045667"/>
      <w:r>
        <w:rPr>
          <w:lang w:val="en-US"/>
        </w:rPr>
        <w:t>1.2.1</w:t>
      </w:r>
      <w:r>
        <w:rPr>
          <w:lang w:val="en-US"/>
        </w:rPr>
        <w:tab/>
        <w:t>Single dish observations</w:t>
      </w:r>
      <w:bookmarkEnd w:id="267"/>
    </w:p>
    <w:p w:rsidR="00B9359B" w:rsidRDefault="009A5268">
      <w:pPr>
        <w:rPr>
          <w:lang w:val="en-US"/>
        </w:rPr>
      </w:pPr>
      <w:r>
        <w:rPr>
          <w:lang w:val="en-US"/>
        </w:rPr>
        <w:t xml:space="preserve">Astronomical uses of the band include the observation of non-thermal synchrotron sources that are just detectable at this frequency range. These observations provide information at the highest frequency where such sources can be easily detected, and this allows the determination of some physical parameters of these sources. The 10.6 GHz band is also extremely important for monitoring the intensity variability of radio galaxies, including quasars. These objects, believed to </w:t>
      </w:r>
      <w:r>
        <w:rPr>
          <w:lang w:val="en-US"/>
        </w:rPr>
        <w:br w:type="page"/>
        <w:t>be the most distant celestial objects that astronomers can detect, have been found to vary in intensity with periods varying from hours to years, and to produce surprisingly large amounts of energy. The energy emitted during one such burst from a quasar is equivalent to the complete destruction of a few hundred million stars in a period of a few weeks or months. The fundamental physics that can produce such events are not yet fully understood and observations of the size and variability of these sources are crucial in solving these enigmas. Such observations are best performed in the frequency range 10 to 15 GHz.</w:t>
      </w:r>
    </w:p>
    <w:p w:rsidR="00B9359B" w:rsidRDefault="009A5268">
      <w:pPr>
        <w:rPr>
          <w:lang w:val="en-US"/>
        </w:rPr>
      </w:pPr>
      <w:r>
        <w:rPr>
          <w:lang w:val="en-US"/>
        </w:rPr>
        <w:t>The variability of quasars is pronounced at these frequencies, and their observation facilitates the discovery and the monitoring of such events, the physics of which is as yet poorly understood by astronomers. Observations lead us to estimate the sizes of these sources, which turn out to be very small for the amount of energy they produce. The 10.6 GHz band provides some of the best angular resolutions (~2 arc min) for many large, single-dish radio telescopes.</w:t>
      </w:r>
    </w:p>
    <w:p w:rsidR="00B9359B" w:rsidRDefault="009A5268">
      <w:pPr>
        <w:pStyle w:val="Heading3"/>
        <w:rPr>
          <w:lang w:val="en-US"/>
        </w:rPr>
      </w:pPr>
      <w:bookmarkStart w:id="268" w:name="_Toc51045668"/>
      <w:r>
        <w:rPr>
          <w:lang w:val="en-US"/>
        </w:rPr>
        <w:t>1.2.2</w:t>
      </w:r>
      <w:r>
        <w:rPr>
          <w:lang w:val="en-US"/>
        </w:rPr>
        <w:tab/>
        <w:t>VLBI observations</w:t>
      </w:r>
      <w:bookmarkEnd w:id="268"/>
    </w:p>
    <w:p w:rsidR="00B9359B" w:rsidRDefault="009A5268">
      <w:pPr>
        <w:rPr>
          <w:lang w:val="en-US"/>
        </w:rPr>
      </w:pPr>
      <w:r>
        <w:rPr>
          <w:lang w:val="en-US"/>
        </w:rPr>
        <w:t>The extremely small sizes of quasars (as small as milliarcseconds) are revealed from the VLBI observations. Such observations are also being made in the frequency band 10.6-10.7 GHz, though at present the 8.4 GHz is a more frequently used band for VLBI observations. The 8</w:t>
      </w:r>
      <w:r>
        <w:rPr>
          <w:lang w:val="en-US"/>
        </w:rPr>
        <w:noBreakHyphen/>
        <w:t>10 GHz range provides a better angular resolution than observations made at lower frequencies and enable scientists to determine more accurately the sizes and small</w:t>
      </w:r>
      <w:r>
        <w:rPr>
          <w:lang w:val="en-US"/>
        </w:rPr>
        <w:noBreakHyphen/>
        <w:t>scale structure of radio galaxies.</w:t>
      </w:r>
    </w:p>
    <w:p w:rsidR="00B9359B" w:rsidRDefault="009A5268">
      <w:pPr>
        <w:pStyle w:val="Heading2"/>
        <w:rPr>
          <w:lang w:val="en-US"/>
        </w:rPr>
      </w:pPr>
      <w:bookmarkStart w:id="269" w:name="_Toc51045669"/>
      <w:r>
        <w:rPr>
          <w:lang w:val="en-US"/>
        </w:rPr>
        <w:t>1.3</w:t>
      </w:r>
      <w:r>
        <w:rPr>
          <w:lang w:val="en-US"/>
        </w:rPr>
        <w:tab/>
        <w:t>Required protection criteria</w:t>
      </w:r>
      <w:bookmarkEnd w:id="269"/>
    </w:p>
    <w:p w:rsidR="00B9359B" w:rsidRDefault="009A5268">
      <w:pPr>
        <w:rPr>
          <w:snapToGrid w:val="0"/>
          <w:lang w:val="en-US"/>
        </w:rPr>
      </w:pPr>
      <w:r>
        <w:rPr>
          <w:lang w:val="en-US"/>
        </w:rPr>
        <w:t xml:space="preserve">Recommendation ITU-R RA.769 specifies the protection criteria for radio astronomical observations and gives threshold levels of detrimental interference for primary radio astronomy bands. In the 10.6-10.7 GHz band, for single-dish continuum observations making use of the entire 100 MHz bandwidth, the threshold pfd limit is –160 </w:t>
      </w:r>
      <w:r>
        <w:rPr>
          <w:snapToGrid w:val="0"/>
          <w:lang w:val="en-US"/>
        </w:rPr>
        <w:t>dB(W/m</w:t>
      </w:r>
      <w:r>
        <w:rPr>
          <w:vertAlign w:val="superscript"/>
          <w:lang w:val="en-US"/>
        </w:rPr>
        <w:t>2</w:t>
      </w:r>
      <w:r>
        <w:rPr>
          <w:rFonts w:ascii="Times" w:hAnsi="Times"/>
          <w:spacing w:val="-2"/>
          <w:lang w:val="en-US"/>
        </w:rPr>
        <w:t>)</w:t>
      </w:r>
      <w:r>
        <w:rPr>
          <w:snapToGrid w:val="0"/>
          <w:lang w:val="en-US"/>
        </w:rPr>
        <w:t xml:space="preserve"> </w:t>
      </w:r>
      <w:r>
        <w:rPr>
          <w:lang w:val="en-US"/>
        </w:rPr>
        <w:t>This band is used only for continuum observations, not for radio line observations.</w:t>
      </w:r>
    </w:p>
    <w:p w:rsidR="00B9359B" w:rsidRDefault="009A5268">
      <w:pPr>
        <w:rPr>
          <w:lang w:val="en-US"/>
        </w:rPr>
      </w:pPr>
      <w:r>
        <w:rPr>
          <w:lang w:val="en-US"/>
        </w:rPr>
        <w:t>VLBI observations, where signals from widely separated antennas are recorded and correlated after the observations, are much less susceptible to interference. This is reflected in the threshold pfd level for VLBI observations in this band, –145 </w:t>
      </w:r>
      <w:r>
        <w:rPr>
          <w:snapToGrid w:val="0"/>
          <w:lang w:val="en-US"/>
        </w:rPr>
        <w:t>dB(W/m</w:t>
      </w:r>
      <w:r>
        <w:rPr>
          <w:vertAlign w:val="superscript"/>
          <w:lang w:val="en-US"/>
        </w:rPr>
        <w:t>2</w:t>
      </w:r>
      <w:r>
        <w:rPr>
          <w:rFonts w:ascii="Times" w:hAnsi="Times"/>
          <w:spacing w:val="-2"/>
          <w:lang w:val="en-US"/>
        </w:rPr>
        <w:t>), for a bandwidth of 50 kHz.</w:t>
      </w:r>
    </w:p>
    <w:p w:rsidR="00B9359B" w:rsidRDefault="009A5268">
      <w:pPr>
        <w:rPr>
          <w:lang w:val="en-US"/>
        </w:rPr>
      </w:pPr>
      <w:r>
        <w:rPr>
          <w:lang w:val="en-US"/>
        </w:rPr>
        <w:t>For detrimental interference from non-GSO systems, the protection criteria and the relevant methodologies are described in Recommendations ITU</w:t>
      </w:r>
      <w:r>
        <w:rPr>
          <w:lang w:val="en-US"/>
        </w:rPr>
        <w:noBreakHyphen/>
        <w:t>R</w:t>
      </w:r>
      <w:r>
        <w:rPr>
          <w:b/>
          <w:bCs/>
          <w:lang w:val="en-US"/>
        </w:rPr>
        <w:t xml:space="preserve"> </w:t>
      </w:r>
      <w:r>
        <w:rPr>
          <w:lang w:val="en-US"/>
        </w:rPr>
        <w:t>RA.769 and ITU</w:t>
      </w:r>
      <w:r>
        <w:rPr>
          <w:lang w:val="en-US"/>
        </w:rPr>
        <w:noBreakHyphen/>
        <w:t>R RA.1513, as well as in Recommendation ITU</w:t>
      </w:r>
      <w:r>
        <w:rPr>
          <w:lang w:val="en-US"/>
        </w:rPr>
        <w:noBreakHyphen/>
        <w:t>R S.1586 for FSS systems and in Recommendation ITU</w:t>
      </w:r>
      <w:r>
        <w:rPr>
          <w:lang w:val="en-US"/>
        </w:rPr>
        <w:noBreakHyphen/>
        <w:t>R M.1583 for MSS and RNSS systems.</w:t>
      </w:r>
    </w:p>
    <w:p w:rsidR="00B9359B" w:rsidRDefault="009A5268">
      <w:pPr>
        <w:rPr>
          <w:snapToGrid w:val="0"/>
          <w:lang w:val="en-US"/>
        </w:rPr>
      </w:pPr>
      <w:r>
        <w:rPr>
          <w:lang w:val="en-US"/>
        </w:rPr>
        <w:t>The thresholds of detrimental interference levels to the radio astronomy service as defined and calculated in the Recommendation ITU-R RA.769 are protection criteria above which radio astro</w:t>
      </w:r>
      <w:r>
        <w:rPr>
          <w:lang w:val="en-US"/>
        </w:rPr>
        <w:softHyphen/>
        <w:t>nomical data are degraded and may be eventually obliterated. In principle, under rather idealised circumstances, if these levels are very slightly exceeded then it may be possible to compensate at the radio astronomy observatory by increased observing time. In doing so, the channel capacity of the telescope is reduced, with a corresponding reduction in scientific throughput. If the level of interference, under the assumptions of Recommendation ITU</w:t>
      </w:r>
      <w:r>
        <w:rPr>
          <w:lang w:val="en-US"/>
        </w:rPr>
        <w:noBreakHyphen/>
        <w:t>R RA.769 (e.g. antenna performance, etc.), becomes 10 dB or more above the Recommendation ITU</w:t>
      </w:r>
      <w:r>
        <w:rPr>
          <w:lang w:val="en-US"/>
        </w:rPr>
        <w:noBreakHyphen/>
        <w:t xml:space="preserve">R RA.769 definition, then increased </w:t>
      </w:r>
      <w:r>
        <w:rPr>
          <w:lang w:val="en-US"/>
        </w:rPr>
        <w:br w:type="page"/>
        <w:t>observing time will no longer be effective in ensuring that valid scientific data are provided to the scientist. The radio astronomy station will be unable to operate in the affected frequency band, and its ability to provide service will have been lost if no appropriate mitigation techniques can be applied.</w:t>
      </w:r>
    </w:p>
    <w:p w:rsidR="00B9359B" w:rsidRDefault="009A5268">
      <w:pPr>
        <w:pStyle w:val="Heading2"/>
        <w:rPr>
          <w:snapToGrid w:val="0"/>
          <w:lang w:val="en-US"/>
        </w:rPr>
      </w:pPr>
      <w:bookmarkStart w:id="270" w:name="_Toc51045670"/>
      <w:r>
        <w:rPr>
          <w:snapToGrid w:val="0"/>
          <w:lang w:val="en-US"/>
        </w:rPr>
        <w:t>1.4</w:t>
      </w:r>
      <w:r>
        <w:rPr>
          <w:snapToGrid w:val="0"/>
          <w:lang w:val="en-US"/>
        </w:rPr>
        <w:tab/>
      </w:r>
      <w:r>
        <w:rPr>
          <w:lang w:val="en-US"/>
        </w:rPr>
        <w:t>Operational</w:t>
      </w:r>
      <w:r>
        <w:rPr>
          <w:snapToGrid w:val="0"/>
          <w:lang w:val="en-US"/>
        </w:rPr>
        <w:t xml:space="preserve"> characteristics</w:t>
      </w:r>
      <w:bookmarkEnd w:id="270"/>
    </w:p>
    <w:p w:rsidR="00B9359B" w:rsidRDefault="009A5268">
      <w:pPr>
        <w:rPr>
          <w:snapToGrid w:val="0"/>
          <w:lang w:val="en-US"/>
        </w:rPr>
      </w:pPr>
      <w:r>
        <w:rPr>
          <w:snapToGrid w:val="0"/>
          <w:lang w:val="en-US"/>
        </w:rPr>
        <w:t xml:space="preserve">Observations in the 10.6-10.7 GHz band are carried out at a number of radio astronomy sites worldwide; these are made using single-antenna and array radio telescopes. </w:t>
      </w:r>
    </w:p>
    <w:p w:rsidR="00B9359B" w:rsidRDefault="009A5268">
      <w:pPr>
        <w:rPr>
          <w:lang w:val="en-US"/>
        </w:rPr>
      </w:pPr>
      <w:r>
        <w:rPr>
          <w:lang w:val="en-US"/>
        </w:rPr>
        <w:t>In general, observations are made differentially. In the case of continuum emissions, the area of sky containing the source may be mapped and the background emission subtracted, or measurements made of the power coming from the direction of the source (on-source) and at one or more nearby positions in the sky (off-source). By subtracting the off-source values from the on-source values, the emission originating in the source is separated from other contributions to the receiver output.</w:t>
      </w:r>
    </w:p>
    <w:p w:rsidR="00B9359B" w:rsidRDefault="009A5268">
      <w:pPr>
        <w:rPr>
          <w:lang w:val="en-US"/>
        </w:rPr>
      </w:pPr>
      <w:r>
        <w:rPr>
          <w:lang w:val="en-US"/>
        </w:rPr>
        <w:t xml:space="preserve">Extended areas of radio emission can be mapped by recording the emission from a grid of points covering the region of interest. In the case of single antenna radio telescopes, each grid point observation is an indication of the total power coming from that position in the sky; the spacing between the grid points should not be more than half the antenna beamwidth. When observations are made using a synthesis radio telescope, where the area to be mapped exceeds the instantaneous mapping field, the grid points should not be further apart than half the beamwidth of one of the radio telescope antennas. </w:t>
      </w:r>
    </w:p>
    <w:p w:rsidR="00B9359B" w:rsidRDefault="009A5268">
      <w:pPr>
        <w:rPr>
          <w:snapToGrid w:val="0"/>
          <w:lang w:val="en-US"/>
        </w:rPr>
      </w:pPr>
      <w:r>
        <w:rPr>
          <w:snapToGrid w:val="0"/>
          <w:lang w:val="en-US"/>
        </w:rPr>
        <w:t>VLBI observations are made by down-converting the signals to a baseband, digitizing them without rectification, and recording them on tape or other storage media, along with precise timing signals. The data are then taken to a VLBI data processing centre, where the signals are synchronized and correlated. Consequently, the full impact of interference might not be known until the observing period is over and the data have been processed.</w:t>
      </w:r>
    </w:p>
    <w:p w:rsidR="00B9359B" w:rsidRDefault="009A5268">
      <w:pPr>
        <w:pStyle w:val="Heading1"/>
        <w:rPr>
          <w:lang w:val="en-US"/>
        </w:rPr>
      </w:pPr>
      <w:bookmarkStart w:id="271" w:name="_Toc51045671"/>
      <w:r>
        <w:rPr>
          <w:lang w:val="en-US"/>
        </w:rPr>
        <w:t>2</w:t>
      </w:r>
      <w:r>
        <w:rPr>
          <w:lang w:val="en-US"/>
        </w:rPr>
        <w:tab/>
        <w:t>FSS</w:t>
      </w:r>
      <w:bookmarkEnd w:id="271"/>
    </w:p>
    <w:p w:rsidR="00B9359B" w:rsidRDefault="009A5268">
      <w:pPr>
        <w:pStyle w:val="Heading2"/>
        <w:rPr>
          <w:lang w:val="en-US"/>
        </w:rPr>
      </w:pPr>
      <w:bookmarkStart w:id="272" w:name="_Toc51045672"/>
      <w:r>
        <w:rPr>
          <w:lang w:val="en-US"/>
        </w:rPr>
        <w:t>2.1</w:t>
      </w:r>
      <w:r>
        <w:rPr>
          <w:lang w:val="en-US"/>
        </w:rPr>
        <w:tab/>
        <w:t>Allocated transmit band</w:t>
      </w:r>
      <w:bookmarkEnd w:id="272"/>
      <w:r>
        <w:rPr>
          <w:lang w:val="en-US"/>
        </w:rPr>
        <w:t xml:space="preserve"> </w:t>
      </w:r>
    </w:p>
    <w:p w:rsidR="00B9359B" w:rsidRDefault="009A5268">
      <w:pPr>
        <w:rPr>
          <w:lang w:val="en-US"/>
        </w:rPr>
      </w:pPr>
      <w:r>
        <w:rPr>
          <w:lang w:val="en-US"/>
        </w:rPr>
        <w:t>The active service band considered is from 10.7 to 10.95 GHz.</w:t>
      </w:r>
    </w:p>
    <w:p w:rsidR="00B9359B" w:rsidRDefault="009A5268">
      <w:pPr>
        <w:pStyle w:val="Heading2"/>
        <w:rPr>
          <w:lang w:val="en-US"/>
        </w:rPr>
      </w:pPr>
      <w:bookmarkStart w:id="273" w:name="_Toc51045673"/>
      <w:r>
        <w:rPr>
          <w:lang w:val="en-US"/>
        </w:rPr>
        <w:t>2.2</w:t>
      </w:r>
      <w:r>
        <w:rPr>
          <w:lang w:val="en-US"/>
        </w:rPr>
        <w:tab/>
        <w:t>Application</w:t>
      </w:r>
      <w:bookmarkEnd w:id="273"/>
    </w:p>
    <w:p w:rsidR="00B9359B" w:rsidRDefault="009A5268">
      <w:pPr>
        <w:rPr>
          <w:lang w:val="en-US"/>
        </w:rPr>
      </w:pPr>
      <w:r>
        <w:rPr>
          <w:lang w:val="en-US"/>
        </w:rPr>
        <w:t xml:space="preserve">The band 10.7 to 10.95 GHz is allocated to the FSS on a primary basis. This allocation is governed by RR Appendix </w:t>
      </w:r>
      <w:r>
        <w:rPr>
          <w:bCs/>
          <w:lang w:val="en-US"/>
        </w:rPr>
        <w:t>30B that uses a plan to assign and guarantee capacity to all member nations. Given the general policy of first-come, first-served in unplanned bands, the creation of the RR Appendix 30B Plan allowed developing nations to preserve access to the GSO arc at a future time. Any imposition of constraints such as guardbands or filtering on the FSS would impact the RR Appendix 30B Plan all</w:t>
      </w:r>
      <w:r>
        <w:rPr>
          <w:lang w:val="en-US"/>
        </w:rPr>
        <w:t>otments.</w:t>
      </w:r>
    </w:p>
    <w:p w:rsidR="00B9359B" w:rsidRDefault="009A5268">
      <w:pPr>
        <w:pStyle w:val="Heading2"/>
        <w:rPr>
          <w:lang w:val="en-US"/>
        </w:rPr>
      </w:pPr>
      <w:bookmarkStart w:id="274" w:name="_Toc51045674"/>
      <w:r>
        <w:rPr>
          <w:lang w:val="en-US"/>
        </w:rPr>
        <w:br w:type="page"/>
        <w:t>2.3</w:t>
      </w:r>
      <w:r>
        <w:rPr>
          <w:lang w:val="en-US"/>
        </w:rPr>
        <w:tab/>
        <w:t>Levels based upon regulatory provisions</w:t>
      </w:r>
      <w:bookmarkEnd w:id="274"/>
    </w:p>
    <w:p w:rsidR="00B9359B" w:rsidRDefault="009A5268">
      <w:pPr>
        <w:rPr>
          <w:lang w:val="en-US"/>
        </w:rPr>
      </w:pPr>
      <w:r>
        <w:rPr>
          <w:lang w:val="en-US"/>
        </w:rPr>
        <w:t>Levels of unwanted emissions into the band 10.6-10.7 GHz from the FSS are based on regulatory in-band pfd limits. The conversion from in band to OoB power is done using the RR  Appendix  3 spurious emission levels and the OoB emission levels from Recommendation ITU</w:t>
      </w:r>
      <w:r>
        <w:rPr>
          <w:lang w:val="en-US"/>
        </w:rPr>
        <w:noBreakHyphen/>
        <w:t>R  SM.1541. A level of –154 dB(W/(m</w:t>
      </w:r>
      <w:r>
        <w:rPr>
          <w:vertAlign w:val="superscript"/>
          <w:lang w:val="en-US"/>
        </w:rPr>
        <w:t>2</w:t>
      </w:r>
      <w:r>
        <w:rPr>
          <w:lang w:val="en-US"/>
        </w:rPr>
        <w:t> </w:t>
      </w:r>
      <w:r>
        <w:t>·</w:t>
      </w:r>
      <w:r>
        <w:rPr>
          <w:lang w:val="en-US"/>
        </w:rPr>
        <w:t> 4 kHz)</w:t>
      </w:r>
      <w:r>
        <w:rPr>
          <w:sz w:val="28"/>
          <w:lang w:val="en-US"/>
        </w:rPr>
        <w:t>)</w:t>
      </w:r>
      <w:r>
        <w:rPr>
          <w:lang w:val="en-US"/>
        </w:rPr>
        <w:t xml:space="preserve"> is the level of unwanted emissions that would be received in the band 10.6 to 10.7 GHz based on regulatory levels. A level of </w:t>
      </w:r>
      <w:r>
        <w:rPr>
          <w:rFonts w:ascii="Symbol" w:hAnsi="Symbol"/>
          <w:lang w:val="en-US"/>
        </w:rPr>
        <w:noBreakHyphen/>
      </w:r>
      <w:r>
        <w:rPr>
          <w:lang w:val="en-US"/>
        </w:rPr>
        <w:t>166 dB(W/(m</w:t>
      </w:r>
      <w:r>
        <w:rPr>
          <w:vertAlign w:val="superscript"/>
          <w:lang w:val="en-US"/>
        </w:rPr>
        <w:t>2</w:t>
      </w:r>
      <w:r>
        <w:rPr>
          <w:lang w:val="en-US"/>
        </w:rPr>
        <w:t> </w:t>
      </w:r>
      <w:r>
        <w:t>·</w:t>
      </w:r>
      <w:r>
        <w:rPr>
          <w:lang w:val="en-US"/>
        </w:rPr>
        <w:t> 4 kHz</w:t>
      </w:r>
      <w:r>
        <w:rPr>
          <w:sz w:val="28"/>
          <w:lang w:val="en-US"/>
        </w:rPr>
        <w:t>))</w:t>
      </w:r>
      <w:r>
        <w:rPr>
          <w:lang w:val="en-US"/>
        </w:rPr>
        <w:t xml:space="preserve"> was provided, which is based on practical experience.</w:t>
      </w:r>
    </w:p>
    <w:p w:rsidR="00B9359B" w:rsidRDefault="009A5268">
      <w:pPr>
        <w:pStyle w:val="Heading2"/>
        <w:rPr>
          <w:lang w:val="en-US"/>
        </w:rPr>
      </w:pPr>
      <w:bookmarkStart w:id="275" w:name="_Toc51045675"/>
      <w:r>
        <w:rPr>
          <w:lang w:val="en-US"/>
        </w:rPr>
        <w:t>2.4</w:t>
      </w:r>
      <w:r>
        <w:rPr>
          <w:lang w:val="en-US"/>
        </w:rPr>
        <w:tab/>
        <w:t>Transmitter characteristics</w:t>
      </w:r>
      <w:bookmarkEnd w:id="275"/>
    </w:p>
    <w:p w:rsidR="00B9359B" w:rsidRDefault="009A5268">
      <w:pPr>
        <w:rPr>
          <w:lang w:val="en-US"/>
        </w:rPr>
      </w:pPr>
      <w:r>
        <w:rPr>
          <w:lang w:val="en-US"/>
        </w:rPr>
        <w:t>FSS GSO systems operating in the band are governed by RR Appendix 30B. FSS non-GSO systems operating in the band are governed by RR Article 22.</w:t>
      </w:r>
    </w:p>
    <w:p w:rsidR="00B9359B" w:rsidRDefault="009A5268">
      <w:pPr>
        <w:pStyle w:val="Heading2"/>
        <w:rPr>
          <w:lang w:val="en-US"/>
        </w:rPr>
      </w:pPr>
      <w:bookmarkStart w:id="276" w:name="_Toc51045676"/>
      <w:r>
        <w:rPr>
          <w:lang w:val="en-US"/>
        </w:rPr>
        <w:t>2.5</w:t>
      </w:r>
      <w:r>
        <w:rPr>
          <w:lang w:val="en-US"/>
        </w:rPr>
        <w:tab/>
        <w:t>Operational characteristics</w:t>
      </w:r>
      <w:bookmarkEnd w:id="276"/>
    </w:p>
    <w:p w:rsidR="00B9359B" w:rsidRDefault="009A5268">
      <w:pPr>
        <w:rPr>
          <w:lang w:val="en-US"/>
        </w:rPr>
      </w:pPr>
      <w:r>
        <w:rPr>
          <w:lang w:val="en-US"/>
        </w:rPr>
        <w:t xml:space="preserve">In order to share with the terrestrial fixed service, the in-band pfd limit from RR Table </w:t>
      </w:r>
      <w:r>
        <w:rPr>
          <w:bCs/>
          <w:lang w:val="en-US"/>
        </w:rPr>
        <w:t>21</w:t>
      </w:r>
      <w:r>
        <w:rPr>
          <w:bCs/>
          <w:lang w:val="en-US"/>
        </w:rPr>
        <w:noBreakHyphen/>
        <w:t xml:space="preserve">4 </w:t>
      </w:r>
      <w:r>
        <w:rPr>
          <w:lang w:val="en-US"/>
        </w:rPr>
        <w:t xml:space="preserve">for the  FSS ranges from </w:t>
      </w:r>
      <w:r>
        <w:sym w:font="Symbol" w:char="F02D"/>
      </w:r>
      <w:r>
        <w:rPr>
          <w:lang w:val="en-US"/>
        </w:rPr>
        <w:t xml:space="preserve">116 to </w:t>
      </w:r>
      <w:r>
        <w:sym w:font="Symbol" w:char="F02D"/>
      </w:r>
      <w:r>
        <w:rPr>
          <w:lang w:val="en-US"/>
        </w:rPr>
        <w:t xml:space="preserve">126 </w:t>
      </w:r>
      <w:r>
        <w:rPr>
          <w:snapToGrid w:val="0"/>
          <w:lang w:val="en-US"/>
        </w:rPr>
        <w:t>dB(W/(m</w:t>
      </w:r>
      <w:r>
        <w:rPr>
          <w:vertAlign w:val="superscript"/>
          <w:lang w:val="en-US"/>
        </w:rPr>
        <w:t>2</w:t>
      </w:r>
      <w:r>
        <w:rPr>
          <w:lang w:val="en-US"/>
        </w:rPr>
        <w:t> </w:t>
      </w:r>
      <w:r>
        <w:t>·</w:t>
      </w:r>
      <w:r>
        <w:rPr>
          <w:lang w:val="en-US"/>
        </w:rPr>
        <w:t xml:space="preserve"> MHz)) which represents a range from </w:t>
      </w:r>
      <w:r>
        <w:sym w:font="Symbol" w:char="F02D"/>
      </w:r>
      <w:r>
        <w:rPr>
          <w:lang w:val="en-US"/>
        </w:rPr>
        <w:t xml:space="preserve">176 to </w:t>
      </w:r>
      <w:r>
        <w:rPr>
          <w:rFonts w:ascii="Symbol" w:hAnsi="Symbol"/>
          <w:lang w:val="en-US"/>
        </w:rPr>
        <w:noBreakHyphen/>
      </w:r>
      <w:r>
        <w:rPr>
          <w:lang w:val="en-US"/>
        </w:rPr>
        <w:t>186 dB(W/(m</w:t>
      </w:r>
      <w:r>
        <w:rPr>
          <w:vertAlign w:val="superscript"/>
          <w:lang w:val="en-US"/>
        </w:rPr>
        <w:t>2</w:t>
      </w:r>
      <w:r>
        <w:rPr>
          <w:lang w:val="en-US"/>
        </w:rPr>
        <w:t> </w:t>
      </w:r>
      <w:r>
        <w:t>·</w:t>
      </w:r>
      <w:r>
        <w:rPr>
          <w:lang w:val="en-US"/>
        </w:rPr>
        <w:t> Hz))</w:t>
      </w:r>
      <w:r>
        <w:rPr>
          <w:snapToGrid w:val="0"/>
          <w:lang w:val="en-US"/>
        </w:rPr>
        <w:t xml:space="preserve"> b</w:t>
      </w:r>
      <w:r>
        <w:rPr>
          <w:lang w:val="en-US"/>
        </w:rPr>
        <w:t>etween 0</w:t>
      </w:r>
      <w:r>
        <w:rPr>
          <w:rFonts w:ascii="Symbol" w:hAnsi="Symbol"/>
        </w:rPr>
        <w:t></w:t>
      </w:r>
      <w:r>
        <w:rPr>
          <w:lang w:val="en-US"/>
        </w:rPr>
        <w:t xml:space="preserve"> and 90</w:t>
      </w:r>
      <w:r>
        <w:rPr>
          <w:rFonts w:ascii="Symbol" w:hAnsi="Symbol"/>
        </w:rPr>
        <w:t></w:t>
      </w:r>
      <w:r>
        <w:rPr>
          <w:lang w:val="en-US"/>
        </w:rPr>
        <w:t xml:space="preserve"> above the horizontal plane.</w:t>
      </w:r>
    </w:p>
    <w:p w:rsidR="00B9359B" w:rsidRDefault="009A5268">
      <w:pPr>
        <w:pStyle w:val="Heading1"/>
        <w:rPr>
          <w:lang w:val="en-US"/>
        </w:rPr>
      </w:pPr>
      <w:bookmarkStart w:id="277" w:name="_Toc51045677"/>
      <w:r>
        <w:rPr>
          <w:lang w:val="en-US"/>
        </w:rPr>
        <w:t>3</w:t>
      </w:r>
      <w:r>
        <w:rPr>
          <w:lang w:val="en-US"/>
        </w:rPr>
        <w:tab/>
        <w:t>Compatibility threshold</w:t>
      </w:r>
      <w:bookmarkEnd w:id="277"/>
    </w:p>
    <w:p w:rsidR="00B9359B" w:rsidRDefault="009A5268">
      <w:pPr>
        <w:rPr>
          <w:lang w:val="en-US"/>
        </w:rPr>
      </w:pPr>
      <w:r>
        <w:rPr>
          <w:lang w:val="en-US"/>
        </w:rPr>
        <w:t>See § 1.3.</w:t>
      </w:r>
    </w:p>
    <w:p w:rsidR="00B9359B" w:rsidRDefault="009A5268">
      <w:pPr>
        <w:pStyle w:val="Heading1"/>
        <w:rPr>
          <w:lang w:val="en-US"/>
        </w:rPr>
      </w:pPr>
      <w:bookmarkStart w:id="278" w:name="_Toc51045678"/>
      <w:r>
        <w:rPr>
          <w:lang w:val="en-US"/>
        </w:rPr>
        <w:t>4</w:t>
      </w:r>
      <w:r>
        <w:rPr>
          <w:lang w:val="en-US"/>
        </w:rPr>
        <w:tab/>
        <w:t>Interference assessment</w:t>
      </w:r>
      <w:bookmarkEnd w:id="278"/>
    </w:p>
    <w:p w:rsidR="00B9359B" w:rsidRDefault="009A5268">
      <w:pPr>
        <w:pStyle w:val="Heading2"/>
        <w:rPr>
          <w:lang w:val="en-US"/>
        </w:rPr>
      </w:pPr>
      <w:bookmarkStart w:id="279" w:name="_Toc51045679"/>
      <w:r>
        <w:rPr>
          <w:lang w:val="en-US"/>
        </w:rPr>
        <w:t>4.1</w:t>
      </w:r>
      <w:r>
        <w:rPr>
          <w:lang w:val="en-US"/>
        </w:rPr>
        <w:tab/>
        <w:t>Methodology used to assess the interference level</w:t>
      </w:r>
      <w:bookmarkEnd w:id="279"/>
    </w:p>
    <w:p w:rsidR="00B9359B" w:rsidRDefault="009A5268">
      <w:pPr>
        <w:rPr>
          <w:lang w:val="en-US"/>
        </w:rPr>
      </w:pPr>
      <w:r>
        <w:rPr>
          <w:lang w:val="en-US"/>
        </w:rPr>
        <w:t>Based on experience acquired with some radio astronomy sites and some satellite systems in these bands, information was provided by the radio astronomy community and satellite operators on unwanted levels that could be expected in the band 10.6-10.7 GHz.</w:t>
      </w:r>
    </w:p>
    <w:p w:rsidR="00B9359B" w:rsidRDefault="009A5268">
      <w:pPr>
        <w:pStyle w:val="Heading2"/>
        <w:rPr>
          <w:lang w:val="en-US"/>
        </w:rPr>
      </w:pPr>
      <w:bookmarkStart w:id="280" w:name="_Toc51045680"/>
      <w:r>
        <w:rPr>
          <w:lang w:val="en-US"/>
        </w:rPr>
        <w:t>4.2</w:t>
      </w:r>
      <w:r>
        <w:rPr>
          <w:lang w:val="en-US"/>
        </w:rPr>
        <w:tab/>
        <w:t>Calculation of the interference level</w:t>
      </w:r>
      <w:bookmarkEnd w:id="280"/>
    </w:p>
    <w:p w:rsidR="00B9359B" w:rsidRDefault="009A5268">
      <w:pPr>
        <w:rPr>
          <w:lang w:val="en-US"/>
        </w:rPr>
      </w:pPr>
      <w:r>
        <w:rPr>
          <w:lang w:val="en-US"/>
        </w:rPr>
        <w:t>The calculations performed are all based on information provided in § 4.3, as indicated in § 4.1.</w:t>
      </w:r>
    </w:p>
    <w:p w:rsidR="00B9359B" w:rsidRDefault="009A5268">
      <w:pPr>
        <w:pStyle w:val="Heading2"/>
        <w:rPr>
          <w:lang w:val="en-US"/>
        </w:rPr>
      </w:pPr>
      <w:bookmarkStart w:id="281" w:name="_Toc51045681"/>
      <w:r>
        <w:rPr>
          <w:lang w:val="en-US"/>
        </w:rPr>
        <w:t>4.3</w:t>
      </w:r>
      <w:r>
        <w:rPr>
          <w:lang w:val="en-US"/>
        </w:rPr>
        <w:tab/>
        <w:t>Values achieved</w:t>
      </w:r>
      <w:bookmarkEnd w:id="281"/>
    </w:p>
    <w:p w:rsidR="00B9359B" w:rsidRDefault="009A5268">
      <w:pPr>
        <w:pStyle w:val="Heading3"/>
        <w:rPr>
          <w:lang w:val="en-US"/>
        </w:rPr>
      </w:pPr>
      <w:bookmarkStart w:id="282" w:name="_Toc51045682"/>
      <w:r>
        <w:rPr>
          <w:lang w:val="en-US"/>
        </w:rPr>
        <w:t>4.3.1</w:t>
      </w:r>
      <w:r>
        <w:rPr>
          <w:lang w:val="en-US"/>
        </w:rPr>
        <w:tab/>
        <w:t>European example for GSO satellite systems</w:t>
      </w:r>
      <w:bookmarkEnd w:id="282"/>
    </w:p>
    <w:p w:rsidR="00B9359B" w:rsidRDefault="009A5268">
      <w:pPr>
        <w:rPr>
          <w:lang w:val="en-US"/>
        </w:rPr>
      </w:pPr>
      <w:r>
        <w:rPr>
          <w:lang w:val="en-US"/>
        </w:rPr>
        <w:t>In Europe, the RAS in the frequency band 10.6</w:t>
      </w:r>
      <w:r>
        <w:rPr>
          <w:lang w:val="en-US"/>
        </w:rPr>
        <w:noBreakHyphen/>
        <w:t>10.7 GHz experiences severe harmful interference by OoB emissions from one FSS system. Specifically, this harmful interference has effectively rendered observations in this band completely impossible at the Effelsberg radio observatory in Germany.</w:t>
      </w:r>
      <w:r>
        <w:rPr>
          <w:i/>
          <w:lang w:val="en-US"/>
        </w:rPr>
        <w:t xml:space="preserve"> </w:t>
      </w:r>
      <w:r>
        <w:rPr>
          <w:lang w:val="en-US"/>
        </w:rPr>
        <w:t>The issue has been brought to the attention of the German Administration, which confirmed the observed interference by observations at the Leeheim Satellite Monitoring Station of the German Administration and supported by this evidence also to the attention of the operator.</w:t>
      </w:r>
    </w:p>
    <w:p w:rsidR="00B9359B" w:rsidRDefault="009A5268">
      <w:pPr>
        <w:rPr>
          <w:lang w:val="en-US"/>
        </w:rPr>
      </w:pPr>
      <w:r>
        <w:rPr>
          <w:lang w:val="en-US"/>
        </w:rPr>
        <w:t>For example, one real case of interference to RAS operations is described below, with a particular GEO </w:t>
      </w:r>
      <w:r>
        <w:rPr>
          <w:rFonts w:ascii="Tms Rmn" w:hAnsi="Tms Rmn"/>
          <w:sz w:val="12"/>
          <w:lang w:val="en-US"/>
        </w:rPr>
        <w:t> </w:t>
      </w:r>
      <w:r>
        <w:rPr>
          <w:lang w:val="en-US"/>
        </w:rPr>
        <w:t>FSS satellite system operating at lower nominal centre frequency of 10.714 MHz with a transponder bandwidth of 26 MHz.</w:t>
      </w:r>
    </w:p>
    <w:p w:rsidR="00B9359B" w:rsidRDefault="009A5268">
      <w:pPr>
        <w:rPr>
          <w:lang w:val="en-US"/>
        </w:rPr>
      </w:pPr>
      <w:r>
        <w:rPr>
          <w:lang w:val="en-US"/>
        </w:rPr>
        <w:br w:type="page"/>
        <w:t>Figure 19 shows the results of RAS measurement at 10.6 GHz by the Effelsberg 100 m radio telescope, looking towards 3C84, one of the strongest point-like cosmic radio sources. This measurement was made before 1995. The field size is 30' </w:t>
      </w:r>
      <w:r>
        <w:rPr>
          <w:rFonts w:ascii="Symbol" w:hAnsi="Symbol"/>
        </w:rPr>
        <w:t></w:t>
      </w:r>
      <w:r>
        <w:rPr>
          <w:lang w:val="en-US"/>
        </w:rPr>
        <w:t> 12', the flux from the source is 20.5 Jy (~ </w:t>
      </w:r>
      <w:r>
        <w:rPr>
          <w:rFonts w:ascii="Symbol" w:hAnsi="Symbol"/>
          <w:lang w:val="en-US"/>
        </w:rPr>
        <w:noBreakHyphen/>
      </w:r>
      <w:r>
        <w:rPr>
          <w:lang w:val="en-US"/>
        </w:rPr>
        <w:t>247 dB(W/(m</w:t>
      </w:r>
      <w:r>
        <w:rPr>
          <w:vertAlign w:val="superscript"/>
          <w:lang w:val="en-US"/>
        </w:rPr>
        <w:t>–2</w:t>
      </w:r>
      <w:r>
        <w:rPr>
          <w:lang w:val="en-US"/>
        </w:rPr>
        <w:t> </w:t>
      </w:r>
      <w:r>
        <w:t>·</w:t>
      </w:r>
      <w:r>
        <w:rPr>
          <w:lang w:val="en-US"/>
        </w:rPr>
        <w:t> Hz</w:t>
      </w:r>
      <w:r>
        <w:rPr>
          <w:sz w:val="28"/>
          <w:vertAlign w:val="superscript"/>
          <w:lang w:val="en-US"/>
        </w:rPr>
        <w:t>–1</w:t>
      </w:r>
      <w:r>
        <w:rPr>
          <w:lang w:val="en-US"/>
        </w:rPr>
        <w:t>))).</w:t>
      </w:r>
    </w:p>
    <w:p w:rsidR="00B9359B" w:rsidRDefault="00AB52AF">
      <w:pPr>
        <w:pStyle w:val="FigureNo"/>
      </w:pPr>
      <w:r>
        <w:pict>
          <v:shape id="_x0000_i1054" type="#_x0000_t75" style="width:431.45pt;height:230.5pt">
            <v:imagedata r:id="rId50" o:title=""/>
          </v:shape>
        </w:pict>
      </w:r>
    </w:p>
    <w:p w:rsidR="00B9359B" w:rsidRDefault="009A5268">
      <w:pPr>
        <w:pStyle w:val="Note"/>
        <w:tabs>
          <w:tab w:val="left" w:pos="284"/>
        </w:tabs>
        <w:spacing w:before="0"/>
        <w:ind w:left="851" w:right="567" w:hanging="284"/>
        <w:rPr>
          <w:lang w:val="en-US"/>
        </w:rPr>
      </w:pPr>
      <w:r>
        <w:rPr>
          <w:lang w:val="en-US"/>
        </w:rPr>
        <w:t>*</w:t>
      </w:r>
      <w:r>
        <w:rPr>
          <w:lang w:val="en-US"/>
        </w:rPr>
        <w:tab/>
        <w:t>The source 3C84 has an angular diameter much smaller than the antenna beamwidth, so the image above shows the antenna beam profile, including sidelobes. Since the map has been made to measure the source brightness and not its structure, this is not a problem.</w:t>
      </w:r>
    </w:p>
    <w:p w:rsidR="00B9359B" w:rsidRDefault="00B9359B">
      <w:pPr>
        <w:rPr>
          <w:lang w:val="en-US"/>
        </w:rPr>
      </w:pPr>
    </w:p>
    <w:p w:rsidR="00B9359B" w:rsidRDefault="009A5268">
      <w:pPr>
        <w:rPr>
          <w:lang w:val="en-US"/>
        </w:rPr>
      </w:pPr>
      <w:r>
        <w:rPr>
          <w:lang w:val="en-US"/>
        </w:rPr>
        <w:t>Then in the year 1995 a GSO FSS satellite was put into operation at certain orbital position, where other satellites had been already operating for some time. The satellite has a lower transmitting centre frequency of 10.714 GHz and a transponder bandwidth of 26 MHz. The resulting noise fluctuation generated by unwanted FSS emissions from that orbital position into adjacent RAS band 10.6-10.7 GHz was so strong, that it completely masked any astronomical signals.</w:t>
      </w:r>
    </w:p>
    <w:p w:rsidR="00B9359B" w:rsidRDefault="009A5268">
      <w:pPr>
        <w:rPr>
          <w:lang w:val="en-US"/>
        </w:rPr>
      </w:pPr>
      <w:r>
        <w:rPr>
          <w:lang w:val="en-US"/>
        </w:rPr>
        <w:t>Therefore, Fig. 20 shows a consequent map in the same 30' </w:t>
      </w:r>
      <w:r>
        <w:rPr>
          <w:rFonts w:ascii="Symbol" w:hAnsi="Symbol"/>
        </w:rPr>
        <w:t></w:t>
      </w:r>
      <w:r>
        <w:rPr>
          <w:lang w:val="en-US"/>
        </w:rPr>
        <w:t> 12' field of the sky as shown in Fig. 19, but after the satellite was put into operation in the year 1995, its orbital position being spaced 10</w:t>
      </w:r>
      <w:r>
        <w:rPr>
          <w:rFonts w:ascii="Symbol" w:hAnsi="Symbol"/>
          <w:lang w:val="en-US"/>
        </w:rPr>
        <w:t></w:t>
      </w:r>
      <w:r>
        <w:rPr>
          <w:lang w:val="en-US"/>
        </w:rPr>
        <w:t xml:space="preserve"> from the mapped field of the sky. For comparison, the 3C84 picture from Fig. 19 has been added onto the map in Fig. 20. However, this very strong point source is now no longer visible against the flux caused by the satellite’s emissions.</w:t>
      </w:r>
    </w:p>
    <w:p w:rsidR="00B9359B" w:rsidRDefault="009A5268">
      <w:pPr>
        <w:rPr>
          <w:lang w:val="en-US"/>
        </w:rPr>
      </w:pPr>
      <w:r>
        <w:rPr>
          <w:lang w:val="en-US"/>
        </w:rPr>
        <w:t>To investigate this case of interference, the satellite monitoring station at Leeheim of the German Regulatory Authority measured a spectrum of the FSS transmissions from the given satellite orbital location (see Fig. 21), in order to determine the level of unwanted emissions into the RAS band. However it should be noted, that the sensitivity and the dynamic range of the monitoring station are not sufficient to verify interference at the levels given as protection criteria for the RAS in Recom</w:t>
      </w:r>
      <w:r>
        <w:rPr>
          <w:lang w:val="en-US"/>
        </w:rPr>
        <w:softHyphen/>
        <w:t>mendation ITU</w:t>
      </w:r>
      <w:r>
        <w:rPr>
          <w:lang w:val="en-US"/>
        </w:rPr>
        <w:noBreakHyphen/>
        <w:t xml:space="preserve">R RA.769. </w:t>
      </w:r>
    </w:p>
    <w:p w:rsidR="00B9359B" w:rsidRDefault="009A5268">
      <w:pPr>
        <w:pStyle w:val="Note"/>
        <w:rPr>
          <w:lang w:val="en-US"/>
        </w:rPr>
      </w:pPr>
      <w:r>
        <w:rPr>
          <w:lang w:val="en-US"/>
        </w:rPr>
        <w:t>NOTE 1 – In Fig. 20, the galactic object is no longer visible due to interference received.</w:t>
      </w:r>
    </w:p>
    <w:p w:rsidR="00B9359B" w:rsidRDefault="009A5268">
      <w:pPr>
        <w:pStyle w:val="FigureNo"/>
      </w:pPr>
      <w:r>
        <w:rPr>
          <w:lang w:val="en-US"/>
        </w:rPr>
        <w:br w:type="page"/>
      </w:r>
      <w:r w:rsidR="00AB52AF">
        <w:pict>
          <v:shape id="_x0000_i1055" type="#_x0000_t75" style="width:430.95pt;height:234.25pt">
            <v:imagedata r:id="rId51" o:title=""/>
          </v:shape>
        </w:pict>
      </w:r>
    </w:p>
    <w:p w:rsidR="00B9359B" w:rsidRDefault="009A5268">
      <w:pPr>
        <w:pStyle w:val="FigureNo"/>
        <w:spacing w:before="240"/>
      </w:pPr>
      <w:r>
        <w:object w:dxaOrig="5761" w:dyaOrig="5098">
          <v:shape id="_x0000_i1056" type="#_x0000_t75" style="width:4in;height:254.15pt" o:ole="">
            <v:imagedata r:id="rId52" o:title=""/>
          </v:shape>
          <o:OLEObject Type="Embed" ProgID="Designer.Drawing.7" ShapeID="_x0000_i1056" DrawAspect="Content" ObjectID="_1629894566" r:id="rId53"/>
        </w:object>
      </w:r>
    </w:p>
    <w:p w:rsidR="00B9359B" w:rsidRDefault="00B9359B">
      <w:pPr>
        <w:rPr>
          <w:lang w:val="en-US"/>
        </w:rPr>
      </w:pPr>
    </w:p>
    <w:p w:rsidR="00B9359B" w:rsidRDefault="009A5268">
      <w:pPr>
        <w:rPr>
          <w:lang w:val="en-US"/>
        </w:rPr>
      </w:pPr>
      <w:r>
        <w:rPr>
          <w:lang w:val="en-US"/>
        </w:rPr>
        <w:t>It may be seen from Fig. 21 that at the 10.7 GHz edge of the RAS allocation, in the passive exclusive band, the unwanted emission level is measured to be –151 dB(W/m</w:t>
      </w:r>
      <w:r>
        <w:rPr>
          <w:vertAlign w:val="superscript"/>
          <w:lang w:val="en-US"/>
        </w:rPr>
        <w:t>2</w:t>
      </w:r>
      <w:r>
        <w:rPr>
          <w:lang w:val="en-US"/>
        </w:rPr>
        <w:t>) in a reference bandwidth of 100 kHz. This corresponds to –201 dB(W/(m</w:t>
      </w:r>
      <w:r>
        <w:rPr>
          <w:vertAlign w:val="superscript"/>
          <w:lang w:val="en-US"/>
        </w:rPr>
        <w:t>2</w:t>
      </w:r>
      <w:r>
        <w:rPr>
          <w:lang w:val="en-US"/>
        </w:rPr>
        <w:t> · Hz)), whereas Recommendation ITU</w:t>
      </w:r>
      <w:r>
        <w:rPr>
          <w:lang w:val="en-US"/>
        </w:rPr>
        <w:noBreakHyphen/>
        <w:t>R RA.769 gives a 39 dB lower number, –240 dB(W/(m</w:t>
      </w:r>
      <w:r>
        <w:rPr>
          <w:vertAlign w:val="superscript"/>
          <w:lang w:val="en-US"/>
        </w:rPr>
        <w:t>2</w:t>
      </w:r>
      <w:r>
        <w:rPr>
          <w:lang w:val="en-US"/>
        </w:rPr>
        <w:t xml:space="preserve"> · Hz)), as interference threshold, and </w:t>
      </w:r>
      <w:r>
        <w:rPr>
          <w:lang w:val="en-US"/>
        </w:rPr>
        <w:br w:type="page"/>
        <w:t>additionally considers desirable that more stringent limits of 15 dB be applied in case of GSO satellites. This huge discrepancy occurs at the high edge of the 10.6-10.7 GHz band, and is lower in the rest of the band.</w:t>
      </w:r>
    </w:p>
    <w:p w:rsidR="00B9359B" w:rsidRDefault="009A5268">
      <w:pPr>
        <w:rPr>
          <w:lang w:val="en-US"/>
        </w:rPr>
      </w:pPr>
      <w:r>
        <w:rPr>
          <w:lang w:val="en-US"/>
        </w:rPr>
        <w:t>Down from the edge of 10.7 GHz until about 10.69 GHz, where the interfering signal reaches the noise floor of the Leeheim monitoring station (pfd ~ </w:t>
      </w:r>
      <w:r>
        <w:rPr>
          <w:rFonts w:ascii="Symbol" w:hAnsi="Symbol"/>
          <w:lang w:val="en-US"/>
        </w:rPr>
        <w:noBreakHyphen/>
      </w:r>
      <w:r>
        <w:rPr>
          <w:lang w:val="en-US"/>
        </w:rPr>
        <w:t>160 dB(W/m</w:t>
      </w:r>
      <w:r>
        <w:rPr>
          <w:vertAlign w:val="superscript"/>
          <w:lang w:val="en-US"/>
        </w:rPr>
        <w:t>2</w:t>
      </w:r>
      <w:r>
        <w:rPr>
          <w:lang w:val="en-US"/>
        </w:rPr>
        <w:t xml:space="preserve">)), its roll-off is about 10 dB per 4 MHz. If one assumes that this roll-off rate continues down to 10.6 GHz, the estimated total power emitted from that orbital location into the 10.6-10.7 GHz band would be </w:t>
      </w:r>
      <w:r>
        <w:rPr>
          <w:rFonts w:ascii="Symbol" w:hAnsi="Symbol"/>
          <w:lang w:val="en-US"/>
        </w:rPr>
        <w:noBreakHyphen/>
      </w:r>
      <w:r>
        <w:rPr>
          <w:lang w:val="en-US"/>
        </w:rPr>
        <w:t>145.6 dB(W/m</w:t>
      </w:r>
      <w:r>
        <w:rPr>
          <w:vertAlign w:val="superscript"/>
          <w:lang w:val="en-US"/>
        </w:rPr>
        <w:t>2</w:t>
      </w:r>
      <w:r>
        <w:rPr>
          <w:lang w:val="en-US"/>
        </w:rPr>
        <w:t xml:space="preserve">), which is 14.4 dB above the </w:t>
      </w:r>
      <w:r>
        <w:rPr>
          <w:rFonts w:ascii="Symbol" w:hAnsi="Symbol"/>
          <w:lang w:val="en-US"/>
        </w:rPr>
        <w:noBreakHyphen/>
      </w:r>
      <w:r>
        <w:rPr>
          <w:lang w:val="en-US"/>
        </w:rPr>
        <w:t>160 dB(W/m</w:t>
      </w:r>
      <w:r>
        <w:rPr>
          <w:vertAlign w:val="superscript"/>
          <w:lang w:val="en-US"/>
        </w:rPr>
        <w:t>2</w:t>
      </w:r>
      <w:r>
        <w:rPr>
          <w:lang w:val="en-US"/>
        </w:rPr>
        <w:t>) threshold given in Recommendation ITU</w:t>
      </w:r>
      <w:r>
        <w:rPr>
          <w:lang w:val="en-US"/>
        </w:rPr>
        <w:noBreakHyphen/>
        <w:t>R RA.769 for the 10.6-10.7 GHz band, and therefore renders the entire 10.6-10.7 GHz completely unusable for radio astronomy observations, as shown in Fig. 20.</w:t>
      </w:r>
    </w:p>
    <w:p w:rsidR="00B9359B" w:rsidRDefault="009A5268">
      <w:pPr>
        <w:rPr>
          <w:lang w:val="en-US"/>
        </w:rPr>
      </w:pPr>
      <w:r>
        <w:rPr>
          <w:lang w:val="en-US"/>
        </w:rPr>
        <w:t>Though the operator of the satellite system did improve the system to some extent and filters were installed at the Effelsberg radio telescope an effective solution of this problem is not yet possible.</w:t>
      </w:r>
    </w:p>
    <w:p w:rsidR="00B9359B" w:rsidRDefault="009A5268">
      <w:pPr>
        <w:rPr>
          <w:snapToGrid w:val="0"/>
          <w:lang w:val="en-US"/>
        </w:rPr>
      </w:pPr>
      <w:r>
        <w:rPr>
          <w:lang w:val="en-US"/>
        </w:rPr>
        <w:t xml:space="preserve">The following values of levels of unwanted emissions from typical FSS systems falling into the RAS band were provided. </w:t>
      </w:r>
      <w:r>
        <w:rPr>
          <w:snapToGrid w:val="0"/>
          <w:lang w:val="en-US"/>
        </w:rPr>
        <w:t>Two operators identified that any limit lower than the levels in Table 23 would impose undue constraint on FSS systems currently operating in the 10.7-10.95 GHz frequency band.</w:t>
      </w:r>
    </w:p>
    <w:p w:rsidR="00B9359B" w:rsidRDefault="009A5268">
      <w:pPr>
        <w:pStyle w:val="TableNo"/>
        <w:rPr>
          <w:lang w:val="en-US"/>
        </w:rPr>
      </w:pPr>
      <w:r>
        <w:rPr>
          <w:lang w:val="en-US"/>
        </w:rPr>
        <w:t>TABLE  23</w:t>
      </w:r>
    </w:p>
    <w:p w:rsidR="00B9359B" w:rsidRDefault="009A5268">
      <w:pPr>
        <w:pStyle w:val="Tabletitle"/>
        <w:rPr>
          <w:lang w:val="en-US"/>
        </w:rPr>
      </w:pPr>
      <w:r>
        <w:rPr>
          <w:lang w:val="en-US"/>
        </w:rPr>
        <w:t>Levels of unwanted emissions falling into the 10.57-10.7 GHz</w:t>
      </w:r>
      <w:r>
        <w:rPr>
          <w:lang w:val="en-US"/>
        </w:rPr>
        <w:br/>
        <w:t>frequency band at specific points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4"/>
        <w:gridCol w:w="5220"/>
      </w:tblGrid>
      <w:tr w:rsidR="00B9359B" w:rsidRPr="00D35B94">
        <w:tc>
          <w:tcPr>
            <w:tcW w:w="2144" w:type="dxa"/>
            <w:vAlign w:val="center"/>
          </w:tcPr>
          <w:p w:rsidR="00B9359B" w:rsidRDefault="009A5268">
            <w:pPr>
              <w:pStyle w:val="Tablehead"/>
              <w:framePr w:hSpace="181" w:wrap="notBeside" w:vAnchor="text" w:hAnchor="text" w:xAlign="center" w:y="1"/>
              <w:rPr>
                <w:lang w:val="en-US"/>
              </w:rPr>
            </w:pPr>
            <w:r>
              <w:rPr>
                <w:lang w:val="en-US"/>
              </w:rPr>
              <w:t>Boundary</w:t>
            </w:r>
            <w:r>
              <w:rPr>
                <w:lang w:val="en-US"/>
              </w:rPr>
              <w:br/>
              <w:t>(GHz)</w:t>
            </w:r>
          </w:p>
        </w:tc>
        <w:tc>
          <w:tcPr>
            <w:tcW w:w="5220" w:type="dxa"/>
            <w:vAlign w:val="center"/>
          </w:tcPr>
          <w:p w:rsidR="00B9359B" w:rsidRDefault="009A5268">
            <w:pPr>
              <w:pStyle w:val="Tablehead"/>
              <w:framePr w:hSpace="181" w:wrap="notBeside" w:vAnchor="text" w:hAnchor="text" w:xAlign="center" w:y="1"/>
              <w:rPr>
                <w:lang w:val="en-US"/>
              </w:rPr>
            </w:pPr>
            <w:r>
              <w:rPr>
                <w:lang w:val="en-US"/>
              </w:rPr>
              <w:t>Unwanted emission spfd level</w:t>
            </w:r>
            <w:r>
              <w:rPr>
                <w:lang w:val="en-US"/>
              </w:rPr>
              <w:br/>
              <w:t>(dB(W/(m</w:t>
            </w:r>
            <w:r>
              <w:rPr>
                <w:vertAlign w:val="superscript"/>
                <w:lang w:val="en-US"/>
              </w:rPr>
              <w:t>2</w:t>
            </w:r>
            <w:r>
              <w:rPr>
                <w:lang w:val="en-US"/>
              </w:rPr>
              <w:t xml:space="preserve"> · Hz)))</w:t>
            </w:r>
          </w:p>
        </w:tc>
      </w:tr>
      <w:tr w:rsidR="00B9359B">
        <w:tc>
          <w:tcPr>
            <w:tcW w:w="2144"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10.570</w:t>
            </w:r>
          </w:p>
        </w:tc>
        <w:tc>
          <w:tcPr>
            <w:tcW w:w="5220"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–285</w:t>
            </w:r>
          </w:p>
        </w:tc>
      </w:tr>
      <w:tr w:rsidR="00B9359B">
        <w:tc>
          <w:tcPr>
            <w:tcW w:w="2144"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10.656</w:t>
            </w:r>
          </w:p>
        </w:tc>
        <w:tc>
          <w:tcPr>
            <w:tcW w:w="5220"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–256</w:t>
            </w:r>
          </w:p>
        </w:tc>
      </w:tr>
      <w:tr w:rsidR="00B9359B">
        <w:tc>
          <w:tcPr>
            <w:tcW w:w="2144"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10.662</w:t>
            </w:r>
          </w:p>
        </w:tc>
        <w:tc>
          <w:tcPr>
            <w:tcW w:w="5220"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–237</w:t>
            </w:r>
          </w:p>
        </w:tc>
      </w:tr>
      <w:tr w:rsidR="00B9359B">
        <w:tc>
          <w:tcPr>
            <w:tcW w:w="2144"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10.680</w:t>
            </w:r>
          </w:p>
        </w:tc>
        <w:tc>
          <w:tcPr>
            <w:tcW w:w="5220"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–237</w:t>
            </w:r>
          </w:p>
        </w:tc>
      </w:tr>
      <w:tr w:rsidR="00B9359B">
        <w:tc>
          <w:tcPr>
            <w:tcW w:w="2144"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10.700</w:t>
            </w:r>
          </w:p>
        </w:tc>
        <w:tc>
          <w:tcPr>
            <w:tcW w:w="5220"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–195</w:t>
            </w:r>
          </w:p>
        </w:tc>
      </w:tr>
    </w:tbl>
    <w:p w:rsidR="00B9359B" w:rsidRDefault="00B9359B">
      <w:pPr>
        <w:pStyle w:val="Tablefin"/>
      </w:pPr>
    </w:p>
    <w:p w:rsidR="00B9359B" w:rsidRDefault="009A5268">
      <w:pPr>
        <w:rPr>
          <w:lang w:val="en-US"/>
        </w:rPr>
      </w:pPr>
      <w:r>
        <w:rPr>
          <w:lang w:val="en-US"/>
        </w:rPr>
        <w:t>Figure 22 shows the spfd levels of a digital modulation with a symbol rate of 22 Msymbol/s, a roll</w:t>
      </w:r>
      <w:r>
        <w:rPr>
          <w:lang w:val="en-US"/>
        </w:rPr>
        <w:noBreakHyphen/>
        <w:t>off of 35% and a transponder bandwidth of 26 MHz operating at 10 714 MHz. For practical reasons, the real power decrease was extrapolated by a linear power decrease in order to estimate the power falling into the entire 100 MHz radio astronomy band depending of the frequency offset.</w:t>
      </w:r>
    </w:p>
    <w:p w:rsidR="00B9359B" w:rsidRDefault="009A5268">
      <w:pPr>
        <w:rPr>
          <w:lang w:val="en-US"/>
        </w:rPr>
      </w:pPr>
      <w:r>
        <w:rPr>
          <w:lang w:val="en-US"/>
        </w:rPr>
        <w:t>Due to the nature itself of the digital modulation, the digital modulation necessary bandwidth is </w:t>
      </w:r>
      <w:r>
        <w:rPr>
          <w:rFonts w:ascii="Tms Rmn" w:hAnsi="Tms Rmn"/>
          <w:sz w:val="12"/>
          <w:lang w:val="en-US"/>
        </w:rPr>
        <w:t> </w:t>
      </w:r>
      <w:r>
        <w:rPr>
          <w:lang w:val="en-US"/>
        </w:rPr>
        <w:t>very close to the transponder bandwidth. Therefore, the spfd levels falling into the upper part of the </w:t>
      </w:r>
      <w:r>
        <w:rPr>
          <w:rFonts w:ascii="Tms Rmn" w:hAnsi="Tms Rmn"/>
          <w:sz w:val="12"/>
          <w:lang w:val="en-US"/>
        </w:rPr>
        <w:t> </w:t>
      </w:r>
      <w:r>
        <w:rPr>
          <w:lang w:val="en-US"/>
        </w:rPr>
        <w:t>RAS frequency band is much greater than the spfd levels observed for an analogue modulation (see Fig. 23).</w:t>
      </w:r>
    </w:p>
    <w:p w:rsidR="00B9359B" w:rsidRDefault="009A5268">
      <w:pPr>
        <w:pStyle w:val="FigureNo"/>
      </w:pPr>
      <w:r>
        <w:rPr>
          <w:lang w:val="en-US"/>
        </w:rPr>
        <w:br w:type="page"/>
      </w:r>
      <w:r w:rsidR="00AB52AF">
        <w:pict>
          <v:shape id="_x0000_i1057" type="#_x0000_t75" style="width:371.3pt;height:339.6pt">
            <v:imagedata r:id="rId54" o:title=""/>
          </v:shape>
        </w:pict>
      </w:r>
    </w:p>
    <w:p w:rsidR="00B9359B" w:rsidRDefault="00AB52AF">
      <w:pPr>
        <w:pStyle w:val="FigureNo"/>
      </w:pPr>
      <w:r>
        <w:pict>
          <v:shape id="_x0000_i1058" type="#_x0000_t75" style="width:421.8pt;height:308.95pt">
            <v:imagedata r:id="rId55" o:title=""/>
          </v:shape>
        </w:pict>
      </w:r>
    </w:p>
    <w:p w:rsidR="00B9359B" w:rsidRDefault="009A5268">
      <w:pPr>
        <w:rPr>
          <w:lang w:val="en-US"/>
        </w:rPr>
      </w:pPr>
      <w:r>
        <w:rPr>
          <w:lang w:val="en-US"/>
        </w:rPr>
        <w:br w:type="page"/>
        <w:t>From Fig. 23, it is possible to calculate the power falling into a 100 MHz reference bandwidth depending on the frequency where the integrations starts (see Fig. 24).</w:t>
      </w:r>
    </w:p>
    <w:p w:rsidR="00B9359B" w:rsidRDefault="00B9359B">
      <w:pPr>
        <w:rPr>
          <w:lang w:val="en-US"/>
        </w:rPr>
      </w:pPr>
    </w:p>
    <w:p w:rsidR="00B9359B" w:rsidRDefault="009A5268">
      <w:pPr>
        <w:pStyle w:val="FigureNo"/>
      </w:pPr>
      <w:r>
        <w:object w:dxaOrig="9461" w:dyaOrig="7321">
          <v:shape id="_x0000_i1059" type="#_x0000_t75" style="width:472.85pt;height:365.9pt" o:ole="">
            <v:imagedata r:id="rId56" o:title=""/>
          </v:shape>
          <o:OLEObject Type="Embed" ProgID="Designer.Drawing.7" ShapeID="_x0000_i1059" DrawAspect="Content" ObjectID="_1629894567" r:id="rId57"/>
        </w:object>
      </w:r>
    </w:p>
    <w:p w:rsidR="00B9359B" w:rsidRDefault="00B9359B">
      <w:pPr>
        <w:rPr>
          <w:lang w:val="en-US"/>
        </w:rPr>
      </w:pPr>
    </w:p>
    <w:p w:rsidR="00B9359B" w:rsidRDefault="00B9359B">
      <w:pPr>
        <w:rPr>
          <w:lang w:val="en-US"/>
        </w:rPr>
      </w:pPr>
    </w:p>
    <w:p w:rsidR="00B9359B" w:rsidRDefault="009A5268">
      <w:pPr>
        <w:rPr>
          <w:lang w:val="en-US"/>
        </w:rPr>
      </w:pPr>
      <w:r>
        <w:rPr>
          <w:lang w:val="en-US"/>
        </w:rPr>
        <w:t>In Fig. 24, a frequency offset of 0 MHz means that the integration over 100 MHz starts from 10.7 GHz (and thus ends up at 10.6 GHz), similarly a frequency offset of 30 MHz means that the integration over 100 MHz starts from 10.67 GHz (and thus ends up at 10.57 GHz).</w:t>
      </w:r>
    </w:p>
    <w:p w:rsidR="00B9359B" w:rsidRDefault="009A5268">
      <w:pPr>
        <w:rPr>
          <w:lang w:val="en-US"/>
        </w:rPr>
      </w:pPr>
      <w:r>
        <w:rPr>
          <w:lang w:val="en-US"/>
        </w:rPr>
        <w:t xml:space="preserve">From Fig. 24, under the assumptions that were made with regard to the signal decrease, the threshold level for continuum observations, i.e. </w:t>
      </w:r>
      <w:r>
        <w:rPr>
          <w:rFonts w:ascii="Symbol" w:hAnsi="Symbol"/>
          <w:lang w:val="en-US"/>
        </w:rPr>
        <w:noBreakHyphen/>
      </w:r>
      <w:r>
        <w:rPr>
          <w:lang w:val="en-US"/>
        </w:rPr>
        <w:t>160 </w:t>
      </w:r>
      <w:r>
        <w:rPr>
          <w:snapToGrid w:val="0"/>
          <w:lang w:val="en-US"/>
        </w:rPr>
        <w:t>dB(W/(m</w:t>
      </w:r>
      <w:r>
        <w:rPr>
          <w:vertAlign w:val="superscript"/>
          <w:lang w:val="en-US"/>
        </w:rPr>
        <w:t>2</w:t>
      </w:r>
      <w:r>
        <w:rPr>
          <w:lang w:val="en-US"/>
        </w:rPr>
        <w:t> · </w:t>
      </w:r>
      <w:r>
        <w:rPr>
          <w:rFonts w:ascii="Times" w:hAnsi="Times"/>
          <w:spacing w:val="-2"/>
          <w:lang w:val="en-US"/>
        </w:rPr>
        <w:t xml:space="preserve">100 MHz)), would be met with the implementation of a guardband of at least 15 MHz between the two services. A different assumption </w:t>
      </w:r>
      <w:r>
        <w:rPr>
          <w:lang w:val="en-US"/>
        </w:rPr>
        <w:t>with regard to the signal decrease could result in a larger required guardband.</w:t>
      </w:r>
    </w:p>
    <w:p w:rsidR="00B9359B" w:rsidRDefault="009A5268">
      <w:pPr>
        <w:rPr>
          <w:lang w:val="en-US"/>
        </w:rPr>
      </w:pPr>
      <w:r>
        <w:rPr>
          <w:lang w:val="en-US"/>
        </w:rPr>
        <w:t>Therefore, to reach a conclusion on a possible frequency separation that would make both services compatible in this example, the assumptions in terms of signal decrease should be validated.</w:t>
      </w:r>
    </w:p>
    <w:p w:rsidR="00B9359B" w:rsidRDefault="009A5268">
      <w:pPr>
        <w:pStyle w:val="Heading3"/>
        <w:rPr>
          <w:lang w:val="en-US"/>
        </w:rPr>
      </w:pPr>
      <w:bookmarkStart w:id="283" w:name="_Toc51045683"/>
      <w:r>
        <w:rPr>
          <w:lang w:val="en-US"/>
        </w:rPr>
        <w:br w:type="page"/>
        <w:t>4.3.2</w:t>
      </w:r>
      <w:r>
        <w:rPr>
          <w:lang w:val="en-US"/>
        </w:rPr>
        <w:tab/>
        <w:t>Region 2 example for GSO satellite systems</w:t>
      </w:r>
      <w:bookmarkEnd w:id="283"/>
    </w:p>
    <w:p w:rsidR="00B9359B" w:rsidRDefault="009A5268">
      <w:pPr>
        <w:rPr>
          <w:snapToGrid w:val="0"/>
          <w:lang w:val="en-US"/>
        </w:rPr>
      </w:pPr>
      <w:r>
        <w:rPr>
          <w:snapToGrid w:val="0"/>
          <w:lang w:val="en-US"/>
        </w:rPr>
        <w:t xml:space="preserve">In November, 1993 the United States National Radio Astronomy Observatory (NRAO) conducted a survey of the geostationary belt from </w:t>
      </w:r>
      <w:r>
        <w:rPr>
          <w:rFonts w:ascii="Symbol" w:hAnsi="Symbol"/>
          <w:snapToGrid w:val="0"/>
          <w:lang w:val="en-US"/>
        </w:rPr>
        <w:t></w:t>
      </w:r>
      <w:r>
        <w:rPr>
          <w:rFonts w:ascii="Symbol" w:hAnsi="Symbol"/>
          <w:snapToGrid w:val="0"/>
          <w:lang w:val="en-US"/>
        </w:rPr>
        <w:t></w:t>
      </w:r>
      <w:r>
        <w:rPr>
          <w:rFonts w:ascii="Symbol" w:hAnsi="Symbol"/>
          <w:snapToGrid w:val="0"/>
          <w:lang w:val="en-US"/>
        </w:rPr>
        <w:t></w:t>
      </w:r>
      <w:r>
        <w:rPr>
          <w:rFonts w:ascii="Symbol" w:hAnsi="Symbol"/>
          <w:snapToGrid w:val="0"/>
          <w:lang w:val="en-US"/>
        </w:rPr>
        <w:t></w:t>
      </w:r>
      <w:r>
        <w:rPr>
          <w:lang w:val="en-US"/>
        </w:rPr>
        <w:t> </w:t>
      </w:r>
      <w:r>
        <w:rPr>
          <w:snapToGrid w:val="0"/>
          <w:lang w:val="en-US"/>
        </w:rPr>
        <w:t>W to 7</w:t>
      </w:r>
      <w:r>
        <w:rPr>
          <w:rFonts w:ascii="Symbol" w:hAnsi="Symbol"/>
          <w:snapToGrid w:val="0"/>
          <w:lang w:val="en-US"/>
        </w:rPr>
        <w:t></w:t>
      </w:r>
      <w:r>
        <w:rPr>
          <w:lang w:val="en-US"/>
        </w:rPr>
        <w:t> </w:t>
      </w:r>
      <w:r>
        <w:rPr>
          <w:snapToGrid w:val="0"/>
          <w:lang w:val="en-US"/>
        </w:rPr>
        <w:t xml:space="preserve">W in the 10.68-10.7 GHz band, using its 43 m telescope at Green Bank, West Virginia, (since decommissioned) to determine the levels of emission that may be present, and determined that this portion of the sky was free of emissions to at least the </w:t>
      </w:r>
      <w:r>
        <w:rPr>
          <w:snapToGrid w:val="0"/>
        </w:rPr>
        <w:sym w:font="Symbol" w:char="F02D"/>
      </w:r>
      <w:r>
        <w:rPr>
          <w:snapToGrid w:val="0"/>
          <w:lang w:val="en-US"/>
        </w:rPr>
        <w:t>250 dB(W/(m</w:t>
      </w:r>
      <w:r>
        <w:rPr>
          <w:vertAlign w:val="superscript"/>
          <w:lang w:val="en-US"/>
        </w:rPr>
        <w:t>2</w:t>
      </w:r>
      <w:r>
        <w:rPr>
          <w:lang w:val="en-US"/>
        </w:rPr>
        <w:t> · Hz))</w:t>
      </w:r>
      <w:r>
        <w:rPr>
          <w:snapToGrid w:val="0"/>
          <w:lang w:val="en-US"/>
        </w:rPr>
        <w:t xml:space="preserve"> level.</w:t>
      </w:r>
    </w:p>
    <w:p w:rsidR="00B9359B" w:rsidRDefault="009A5268">
      <w:pPr>
        <w:rPr>
          <w:lang w:val="en-US"/>
        </w:rPr>
      </w:pPr>
      <w:r>
        <w:rPr>
          <w:lang w:val="en-US"/>
        </w:rPr>
        <w:t>One case in Region 2 concerns two identical GSO satellites operating in the 10.75-10.95 GHz band, and using the 10.75-10.95 GHz band in accordance with RR Appendix 30B to provide feeder links for an MSS application. In another case, an operator provided data on the expected performance of their space station in the 10.6-10.7 GHz band.</w:t>
      </w:r>
    </w:p>
    <w:p w:rsidR="00B9359B" w:rsidRDefault="009A5268">
      <w:pPr>
        <w:rPr>
          <w:lang w:val="en-US"/>
        </w:rPr>
      </w:pPr>
      <w:r>
        <w:rPr>
          <w:lang w:val="en-US"/>
        </w:rPr>
        <w:t>In the case of the two identical GSO satellites mentioned above, special filters providing attenuation just over 40 dB in the 10.6-10.7 GHz band were installed at significant expense to the operators, to satisfy domestic concerns of protection of the passive services. The satellites generate interference into the 10.68-10.7 GHz band from two independent sources:</w:t>
      </w:r>
    </w:p>
    <w:p w:rsidR="00B9359B" w:rsidRDefault="009A5268">
      <w:pPr>
        <w:pStyle w:val="enumlev1"/>
        <w:rPr>
          <w:lang w:val="en-US"/>
        </w:rPr>
      </w:pPr>
      <w:r>
        <w:rPr>
          <w:lang w:val="en-US"/>
        </w:rPr>
        <w:t>–</w:t>
      </w:r>
      <w:r>
        <w:rPr>
          <w:lang w:val="en-US"/>
        </w:rPr>
        <w:tab/>
        <w:t xml:space="preserve">radiated thermal noise generated in a travelling wave tube amplifier (TWTA). The worst case thermal tube noise e.i.r.p. was measured to be </w:t>
      </w:r>
      <w:r>
        <w:sym w:font="Symbol" w:char="F02D"/>
      </w:r>
      <w:r>
        <w:rPr>
          <w:lang w:val="en-US"/>
        </w:rPr>
        <w:t>27 dB(W/4 kHz) at the peak of the antenna pattern in the 10.68</w:t>
      </w:r>
      <w:r>
        <w:rPr>
          <w:lang w:val="en-US"/>
        </w:rPr>
        <w:noBreakHyphen/>
        <w:t xml:space="preserve">10.7 GHz band, resulting in a spfd of </w:t>
      </w:r>
      <w:r>
        <w:rPr>
          <w:rFonts w:ascii="Symbol" w:hAnsi="Symbol"/>
          <w:lang w:val="en-US"/>
        </w:rPr>
        <w:noBreakHyphen/>
      </w:r>
      <w:r>
        <w:rPr>
          <w:lang w:val="en-US"/>
        </w:rPr>
        <w:t>226.2 dB(W/(m</w:t>
      </w:r>
      <w:r>
        <w:rPr>
          <w:vertAlign w:val="superscript"/>
          <w:lang w:val="en-US"/>
        </w:rPr>
        <w:t>2</w:t>
      </w:r>
      <w:r>
        <w:rPr>
          <w:lang w:val="en-US"/>
        </w:rPr>
        <w:t xml:space="preserve"> · Hz)), after subtraction of a spreading loss of </w:t>
      </w:r>
      <w:r>
        <w:rPr>
          <w:rFonts w:ascii="Symbol" w:hAnsi="Symbol"/>
          <w:lang w:val="en-US"/>
        </w:rPr>
        <w:noBreakHyphen/>
      </w:r>
      <w:r>
        <w:rPr>
          <w:lang w:val="en-US"/>
        </w:rPr>
        <w:t>163.2 dB(W/m</w:t>
      </w:r>
      <w:r>
        <w:rPr>
          <w:vertAlign w:val="superscript"/>
          <w:lang w:val="en-US"/>
        </w:rPr>
        <w:t>2</w:t>
      </w:r>
      <w:r>
        <w:rPr>
          <w:lang w:val="en-US"/>
        </w:rPr>
        <w:t xml:space="preserve">); and </w:t>
      </w:r>
    </w:p>
    <w:p w:rsidR="00B9359B" w:rsidRDefault="009A5268">
      <w:pPr>
        <w:pStyle w:val="enumlev1"/>
        <w:rPr>
          <w:lang w:val="en-US"/>
        </w:rPr>
      </w:pPr>
      <w:r>
        <w:rPr>
          <w:lang w:val="en-US"/>
        </w:rPr>
        <w:t>–</w:t>
      </w:r>
      <w:r>
        <w:rPr>
          <w:lang w:val="en-US"/>
        </w:rPr>
        <w:tab/>
        <w:t>intermodulation (IM) products among carriers generated by non-linearities in the TWTA. The 10.75 to 10.95 GHz downlink band is subdivided into 27 sub-bands, each carrying varying numbers of radio carriers. Under peak loading conditions, approximately 600  carriers will be on simultaneously and distributed across the sub-bands. In order to estimate the level of IM falling in the radio astronomy band, a worst-case simulation was done in which the sub</w:t>
      </w:r>
      <w:r>
        <w:rPr>
          <w:lang w:val="en-US"/>
        </w:rPr>
        <w:noBreakHyphen/>
        <w:t>bands were filled with Gaussian noise to simulate the presence of many carriers, and the TWTA was run at maximum loading level. The simulation used  measured TWTA input</w:t>
      </w:r>
      <w:r>
        <w:rPr>
          <w:lang w:val="en-US"/>
        </w:rPr>
        <w:noBreakHyphen/>
        <w:t>output transfer characteristics and resulted in a peak IM product spfd level (including all IM product orders) in the 10.69-10.70 GHz band of  </w:t>
      </w:r>
      <w:r>
        <w:rPr>
          <w:rFonts w:ascii="Symbol" w:hAnsi="Symbol"/>
          <w:lang w:val="en-US"/>
        </w:rPr>
        <w:noBreakHyphen/>
      </w:r>
      <w:r>
        <w:rPr>
          <w:lang w:val="en-US"/>
        </w:rPr>
        <w:t>223.0 </w:t>
      </w:r>
      <w:r>
        <w:rPr>
          <w:snapToGrid w:val="0"/>
          <w:lang w:val="en-US"/>
        </w:rPr>
        <w:t>dB(W/(m</w:t>
      </w:r>
      <w:r>
        <w:rPr>
          <w:vertAlign w:val="superscript"/>
          <w:lang w:val="en-US"/>
        </w:rPr>
        <w:t>2</w:t>
      </w:r>
      <w:r>
        <w:rPr>
          <w:lang w:val="en-US"/>
        </w:rPr>
        <w:t xml:space="preserve"> · Hz)). The average worst case IM spfd over this band is </w:t>
      </w:r>
      <w:r>
        <w:rPr>
          <w:rFonts w:ascii="Symbol" w:hAnsi="Symbol"/>
          <w:lang w:val="en-US"/>
        </w:rPr>
        <w:noBreakHyphen/>
      </w:r>
      <w:r>
        <w:rPr>
          <w:lang w:val="en-US"/>
        </w:rPr>
        <w:t>231 </w:t>
      </w:r>
      <w:r>
        <w:rPr>
          <w:snapToGrid w:val="0"/>
          <w:lang w:val="en-US"/>
        </w:rPr>
        <w:t>dB(W/(m</w:t>
      </w:r>
      <w:r>
        <w:rPr>
          <w:vertAlign w:val="superscript"/>
          <w:lang w:val="en-US"/>
        </w:rPr>
        <w:t>2</w:t>
      </w:r>
      <w:r>
        <w:rPr>
          <w:lang w:val="en-US"/>
        </w:rPr>
        <w:t xml:space="preserve"> · Hz)). Values for the remainder of the RAS band are approximately 5 dB less (i.e. peak of </w:t>
      </w:r>
      <w:r>
        <w:rPr>
          <w:rFonts w:ascii="Symbol" w:hAnsi="Symbol"/>
          <w:lang w:val="en-US"/>
        </w:rPr>
        <w:noBreakHyphen/>
      </w:r>
      <w:r>
        <w:rPr>
          <w:lang w:val="en-US"/>
        </w:rPr>
        <w:t xml:space="preserve">228.0 and average of </w:t>
      </w:r>
      <w:r>
        <w:rPr>
          <w:rFonts w:ascii="Symbol" w:hAnsi="Symbol"/>
          <w:lang w:val="en-US"/>
        </w:rPr>
        <w:noBreakHyphen/>
      </w:r>
      <w:r>
        <w:rPr>
          <w:lang w:val="en-US"/>
        </w:rPr>
        <w:t>236.0 </w:t>
      </w:r>
      <w:r>
        <w:rPr>
          <w:snapToGrid w:val="0"/>
          <w:lang w:val="en-US"/>
        </w:rPr>
        <w:t>dB(W/(m</w:t>
      </w:r>
      <w:r>
        <w:rPr>
          <w:vertAlign w:val="superscript"/>
          <w:lang w:val="en-US"/>
        </w:rPr>
        <w:t>2</w:t>
      </w:r>
      <w:r>
        <w:rPr>
          <w:lang w:val="en-US"/>
        </w:rPr>
        <w:t> · Hz)).</w:t>
      </w:r>
    </w:p>
    <w:p w:rsidR="00B9359B" w:rsidRDefault="009A5268">
      <w:pPr>
        <w:rPr>
          <w:lang w:val="en-US"/>
        </w:rPr>
      </w:pPr>
      <w:r>
        <w:rPr>
          <w:lang w:val="en-US"/>
        </w:rPr>
        <w:t>The IM is generated by hundreds of independent radio carriers that are modulated by random, independent bit streams. Each modulator applies a 24-bit maximal pseudo</w:t>
      </w:r>
      <w:r>
        <w:rPr>
          <w:lang w:val="en-US"/>
        </w:rPr>
        <w:noBreakHyphen/>
        <w:t>random noise sequence on top of the information stream, assuring minimal cross</w:t>
      </w:r>
      <w:r>
        <w:rPr>
          <w:lang w:val="en-US"/>
        </w:rPr>
        <w:noBreakHyphen/>
        <w:t>correlation between carriers. There are thousands of individual independent products distributed across the radio astronomy band. The radio carriers themselves are turned on only when speech is present, further adding to the randomness of the composite IM signal. It therefore appears that the IM products will behave very much like wideband Gaussian noise.</w:t>
      </w:r>
    </w:p>
    <w:p w:rsidR="00B9359B" w:rsidRDefault="009A5268">
      <w:pPr>
        <w:rPr>
          <w:lang w:val="en-US"/>
        </w:rPr>
      </w:pPr>
      <w:r>
        <w:rPr>
          <w:lang w:val="en-US"/>
        </w:rPr>
        <w:br w:type="page"/>
        <w:t>The radio carriers are demand assigned when needed, otherwise they are turned off. As a result, these worst-case conditions will occur during normal business day busy hours typically occurring in a twelve-hour period during the day. At night, weekends and holidays the peak loading will be greatly reduced. This reduction in loading moves the operation of the TWTA into a more linear region, reducing the IM level. Fewer radio carriers also reduce the number of IM products. During  these off</w:t>
      </w:r>
      <w:r>
        <w:rPr>
          <w:lang w:val="en-US"/>
        </w:rPr>
        <w:noBreakHyphen/>
        <w:t xml:space="preserve">peak periods the IM spfd is reduced by at least 40 dB, or in the vicinity of </w:t>
      </w:r>
      <w:r>
        <w:sym w:font="Symbol" w:char="F02D"/>
      </w:r>
      <w:r>
        <w:rPr>
          <w:lang w:val="en-US"/>
        </w:rPr>
        <w:t>260 </w:t>
      </w:r>
      <w:r>
        <w:rPr>
          <w:snapToGrid w:val="0"/>
          <w:lang w:val="en-US"/>
        </w:rPr>
        <w:t>dB(W/(m</w:t>
      </w:r>
      <w:r>
        <w:rPr>
          <w:vertAlign w:val="superscript"/>
          <w:lang w:val="en-US"/>
        </w:rPr>
        <w:t>2</w:t>
      </w:r>
      <w:r>
        <w:rPr>
          <w:lang w:val="en-US"/>
        </w:rPr>
        <w:t> · Hz)).</w:t>
      </w:r>
    </w:p>
    <w:p w:rsidR="00B9359B" w:rsidRDefault="009A5268">
      <w:pPr>
        <w:rPr>
          <w:snapToGrid w:val="0"/>
          <w:lang w:val="en-US"/>
        </w:rPr>
      </w:pPr>
      <w:r>
        <w:rPr>
          <w:i/>
          <w:iCs/>
          <w:lang w:val="en-US"/>
        </w:rPr>
        <w:t>Total interference estimate</w:t>
      </w:r>
      <w:r>
        <w:rPr>
          <w:lang w:val="en-US"/>
        </w:rPr>
        <w:t xml:space="preserve">:  the tube noise and IM noise combined are wideband Gaussian distributed. The worst-case average spfd across the 10.6 to 10.69 GHz band is estimated to be </w:t>
      </w:r>
      <w:r>
        <w:rPr>
          <w:rFonts w:ascii="Symbol" w:hAnsi="Symbol"/>
          <w:lang w:val="en-US"/>
        </w:rPr>
        <w:noBreakHyphen/>
      </w:r>
      <w:r>
        <w:rPr>
          <w:lang w:val="en-US"/>
        </w:rPr>
        <w:t xml:space="preserve">225.6 </w:t>
      </w:r>
      <w:r>
        <w:rPr>
          <w:snapToGrid w:val="0"/>
          <w:lang w:val="en-US"/>
        </w:rPr>
        <w:t>dB(W/(m</w:t>
      </w:r>
      <w:r>
        <w:rPr>
          <w:vertAlign w:val="superscript"/>
          <w:lang w:val="en-US"/>
        </w:rPr>
        <w:t>2</w:t>
      </w:r>
      <w:r>
        <w:rPr>
          <w:lang w:val="en-US"/>
        </w:rPr>
        <w:t xml:space="preserve"> · Hz)), rising to </w:t>
      </w:r>
      <w:r>
        <w:rPr>
          <w:rFonts w:ascii="Symbol" w:hAnsi="Symbol"/>
          <w:lang w:val="en-US"/>
        </w:rPr>
        <w:noBreakHyphen/>
      </w:r>
      <w:r>
        <w:rPr>
          <w:lang w:val="en-US"/>
        </w:rPr>
        <w:t xml:space="preserve">221.3 </w:t>
      </w:r>
      <w:r>
        <w:rPr>
          <w:snapToGrid w:val="0"/>
          <w:lang w:val="en-US"/>
        </w:rPr>
        <w:t>dB(W/(m</w:t>
      </w:r>
      <w:r>
        <w:rPr>
          <w:vertAlign w:val="superscript"/>
          <w:lang w:val="en-US"/>
        </w:rPr>
        <w:t>2</w:t>
      </w:r>
      <w:r>
        <w:rPr>
          <w:lang w:val="en-US"/>
        </w:rPr>
        <w:t xml:space="preserve"> · Hz)) at 10.7 GHz. During light traffic loading periods the average spfd across the entire band is estimated to be </w:t>
      </w:r>
      <w:r>
        <w:rPr>
          <w:rFonts w:ascii="Symbol" w:hAnsi="Symbol"/>
          <w:lang w:val="en-US"/>
        </w:rPr>
        <w:noBreakHyphen/>
      </w:r>
      <w:r>
        <w:rPr>
          <w:lang w:val="en-US"/>
        </w:rPr>
        <w:t>226.2 </w:t>
      </w:r>
      <w:r>
        <w:rPr>
          <w:snapToGrid w:val="0"/>
          <w:lang w:val="en-US"/>
        </w:rPr>
        <w:t>dB(W/(m</w:t>
      </w:r>
      <w:r>
        <w:rPr>
          <w:vertAlign w:val="superscript"/>
          <w:lang w:val="en-US"/>
        </w:rPr>
        <w:t>2</w:t>
      </w:r>
      <w:r>
        <w:rPr>
          <w:lang w:val="en-US"/>
        </w:rPr>
        <w:t> · Hz))</w:t>
      </w:r>
      <w:r>
        <w:rPr>
          <w:snapToGrid w:val="0"/>
          <w:lang w:val="en-US"/>
        </w:rPr>
        <w:t>.</w:t>
      </w:r>
    </w:p>
    <w:p w:rsidR="00B9359B" w:rsidRDefault="009A5268">
      <w:pPr>
        <w:pStyle w:val="Heading4"/>
        <w:rPr>
          <w:snapToGrid w:val="0"/>
          <w:lang w:val="en-US"/>
        </w:rPr>
      </w:pPr>
      <w:bookmarkStart w:id="284" w:name="_Toc51045684"/>
      <w:r>
        <w:rPr>
          <w:snapToGrid w:val="0"/>
          <w:lang w:val="en-US"/>
        </w:rPr>
        <w:t>4.3.2.1</w:t>
      </w:r>
      <w:r>
        <w:rPr>
          <w:snapToGrid w:val="0"/>
          <w:lang w:val="en-US"/>
        </w:rPr>
        <w:tab/>
        <w:t>Computer simulation</w:t>
      </w:r>
      <w:bookmarkEnd w:id="284"/>
    </w:p>
    <w:p w:rsidR="00B9359B" w:rsidRDefault="009A5268">
      <w:pPr>
        <w:rPr>
          <w:snapToGrid w:val="0"/>
          <w:lang w:val="en-US"/>
        </w:rPr>
      </w:pPr>
      <w:r>
        <w:rPr>
          <w:snapToGrid w:val="0"/>
          <w:lang w:val="en-US"/>
        </w:rPr>
        <w:t>One study based on a computer simulation demonstrated that the bringing into use of any RR Appendix 30B allotment would cause interference above the continuum pfd threshold level listed in § 1.3 for all radio telescopes having visibility of the space station. The study highlighted the fact that the largest portion of the unwanted emission power falling into the 10.6-10.7 GHz band occurs on the band edge. It should be pointed out that the use of Recommendation ITU</w:t>
      </w:r>
      <w:r>
        <w:rPr>
          <w:snapToGrid w:val="0"/>
          <w:lang w:val="en-US"/>
        </w:rPr>
        <w:noBreakHyphen/>
        <w:t>R SM.1541 to establish the OoB level overestimates the unwanted emission level, as this represents integration over a worst-case mask. Additional studies are required based on a mask representing typical unwanted emission performance.</w:t>
      </w:r>
    </w:p>
    <w:p w:rsidR="00B9359B" w:rsidRDefault="009A5268">
      <w:pPr>
        <w:pStyle w:val="Heading3"/>
        <w:rPr>
          <w:snapToGrid w:val="0"/>
          <w:lang w:val="en-US"/>
        </w:rPr>
      </w:pPr>
      <w:bookmarkStart w:id="285" w:name="_Toc51045685"/>
      <w:r>
        <w:rPr>
          <w:snapToGrid w:val="0"/>
          <w:lang w:val="en-US"/>
        </w:rPr>
        <w:t>4.3.3</w:t>
      </w:r>
      <w:r>
        <w:rPr>
          <w:snapToGrid w:val="0"/>
          <w:lang w:val="en-US"/>
        </w:rPr>
        <w:tab/>
        <w:t>Non-GSO satellite systems</w:t>
      </w:r>
      <w:bookmarkEnd w:id="285"/>
    </w:p>
    <w:p w:rsidR="00B9359B" w:rsidRDefault="009A5268">
      <w:pPr>
        <w:spacing w:line="280" w:lineRule="exact"/>
        <w:rPr>
          <w:lang w:val="en-US"/>
        </w:rPr>
      </w:pPr>
      <w:r>
        <w:rPr>
          <w:lang w:val="en-US"/>
        </w:rPr>
        <w:t>As yet no non-GSO satellite system operates in the 10.7-10.95 GHz band, but several are planned to begin operations in the near future. Preliminary calculations were performed for one of these systems (F</w:t>
      </w:r>
      <w:r>
        <w:rPr>
          <w:lang w:val="en-US"/>
        </w:rPr>
        <w:noBreakHyphen/>
        <w:t xml:space="preserve">SATMULTI1 B), using the </w:t>
      </w:r>
      <w:r>
        <w:rPr>
          <w:iCs/>
          <w:lang w:val="en-US"/>
        </w:rPr>
        <w:t xml:space="preserve">epfd </w:t>
      </w:r>
      <w:r>
        <w:rPr>
          <w:lang w:val="en-US"/>
        </w:rPr>
        <w:t>method (see Recommendations ITU</w:t>
      </w:r>
      <w:r>
        <w:rPr>
          <w:lang w:val="en-US"/>
        </w:rPr>
        <w:noBreakHyphen/>
        <w:t>R RA.1513 and ITU-R  S.1586). These calculations show that using the assumptions in Recommendation ITU</w:t>
      </w:r>
      <w:r>
        <w:rPr>
          <w:lang w:val="en-US"/>
        </w:rPr>
        <w:noBreakHyphen/>
        <w:t xml:space="preserve">R  RA.769, filtering values between 30 dB and 40 dB, would be required to protect the RAS in the 10.7 GHz band from spurious emissions of this system to the </w:t>
      </w:r>
      <w:r>
        <w:rPr>
          <w:rFonts w:ascii="Symbol" w:hAnsi="Symbol"/>
          <w:lang w:val="en-US"/>
        </w:rPr>
        <w:noBreakHyphen/>
      </w:r>
      <w:r>
        <w:rPr>
          <w:lang w:val="en-US"/>
        </w:rPr>
        <w:t>240 dB(W/(m</w:t>
      </w:r>
      <w:r>
        <w:rPr>
          <w:vertAlign w:val="superscript"/>
          <w:lang w:val="en-US"/>
        </w:rPr>
        <w:t>2</w:t>
      </w:r>
      <w:r>
        <w:rPr>
          <w:lang w:val="en-US"/>
        </w:rPr>
        <w:t xml:space="preserve"> · Hz)) level within a 100 MHz bandwidth. This result is consistent with the first GSO example described above. </w:t>
      </w:r>
    </w:p>
    <w:p w:rsidR="00B9359B" w:rsidRDefault="009A5268">
      <w:pPr>
        <w:pStyle w:val="Heading1"/>
        <w:rPr>
          <w:lang w:val="en-US"/>
        </w:rPr>
      </w:pPr>
      <w:bookmarkStart w:id="286" w:name="_Toc51045686"/>
      <w:r>
        <w:rPr>
          <w:lang w:val="en-US"/>
        </w:rPr>
        <w:t>5</w:t>
      </w:r>
      <w:r>
        <w:rPr>
          <w:lang w:val="en-US"/>
        </w:rPr>
        <w:tab/>
        <w:t>Mitigation techniques</w:t>
      </w:r>
      <w:bookmarkEnd w:id="286"/>
    </w:p>
    <w:p w:rsidR="00B9359B" w:rsidRDefault="009A5268">
      <w:pPr>
        <w:pStyle w:val="Heading2"/>
        <w:rPr>
          <w:lang w:val="en-US"/>
        </w:rPr>
      </w:pPr>
      <w:bookmarkStart w:id="287" w:name="_Toc51045687"/>
      <w:r>
        <w:rPr>
          <w:lang w:val="en-US"/>
        </w:rPr>
        <w:t>5.1</w:t>
      </w:r>
      <w:r>
        <w:rPr>
          <w:lang w:val="en-US"/>
        </w:rPr>
        <w:tab/>
        <w:t>RAS</w:t>
      </w:r>
      <w:bookmarkEnd w:id="287"/>
      <w:r>
        <w:rPr>
          <w:lang w:val="en-US"/>
        </w:rPr>
        <w:t xml:space="preserve"> </w:t>
      </w:r>
    </w:p>
    <w:p w:rsidR="00B9359B" w:rsidRDefault="009A5268">
      <w:pPr>
        <w:rPr>
          <w:lang w:val="en-US"/>
        </w:rPr>
      </w:pPr>
      <w:r>
        <w:rPr>
          <w:lang w:val="en-US"/>
        </w:rPr>
        <w:t>In order to continue RAS observations in the interference situation described in § 4.3.1, a filter was introduced into the receiver front-end of the radiotelescope. The specification for the filter was designed so as to suppress the main transmission from an interference source by 70 dB, while leaving sufficient pass-band with minimal insertion loss.</w:t>
      </w:r>
    </w:p>
    <w:p w:rsidR="00B9359B" w:rsidRDefault="009A5268">
      <w:pPr>
        <w:rPr>
          <w:lang w:val="en-US"/>
        </w:rPr>
      </w:pPr>
      <w:r>
        <w:rPr>
          <w:lang w:val="en-US"/>
        </w:rPr>
        <w:br w:type="page"/>
        <w:t>Amplifiers based on field effect transistors could be retuned to the somewhat lower frequency without loss of gain or increase in noise figure and a good commercially available filter design could be found. Figure 25 shows the transfer function for the filter, as provided by the filter manufacturer.</w:t>
      </w:r>
    </w:p>
    <w:p w:rsidR="00B9359B" w:rsidRDefault="00B9359B">
      <w:pPr>
        <w:rPr>
          <w:lang w:val="en-US"/>
        </w:rPr>
      </w:pPr>
    </w:p>
    <w:p w:rsidR="00B9359B" w:rsidRDefault="00B9359B">
      <w:pPr>
        <w:rPr>
          <w:lang w:val="en-US"/>
        </w:rPr>
      </w:pPr>
    </w:p>
    <w:p w:rsidR="00B9359B" w:rsidRDefault="009A5268">
      <w:pPr>
        <w:pStyle w:val="FigureNo"/>
      </w:pPr>
      <w:r>
        <w:object w:dxaOrig="6610" w:dyaOrig="5962">
          <v:shape id="_x0000_i1060" type="#_x0000_t75" style="width:330.45pt;height:298.2pt" o:ole="">
            <v:imagedata r:id="rId58" o:title=""/>
          </v:shape>
          <o:OLEObject Type="Embed" ProgID="Designer.Drawing.7" ShapeID="_x0000_i1060" DrawAspect="Content" ObjectID="_1629894568" r:id="rId59"/>
        </w:object>
      </w:r>
    </w:p>
    <w:p w:rsidR="00B9359B" w:rsidRDefault="00B9359B">
      <w:pPr>
        <w:rPr>
          <w:lang w:val="en-US"/>
        </w:rPr>
      </w:pPr>
    </w:p>
    <w:p w:rsidR="00B9359B" w:rsidRDefault="00B9359B">
      <w:pPr>
        <w:rPr>
          <w:lang w:val="en-US"/>
        </w:rPr>
      </w:pPr>
    </w:p>
    <w:p w:rsidR="00B9359B" w:rsidRDefault="009A5268">
      <w:pPr>
        <w:rPr>
          <w:lang w:val="en-US"/>
        </w:rPr>
      </w:pPr>
      <w:r>
        <w:rPr>
          <w:lang w:val="en-US"/>
        </w:rPr>
        <w:t>Marker 3 in Fig. 25 is set to the nominal centre frequency of interfering satellite transmission, that is 10.714 GHz. Note that the RAS band allocation, 10.6</w:t>
      </w:r>
      <w:r>
        <w:rPr>
          <w:lang w:val="en-US"/>
        </w:rPr>
        <w:noBreakHyphen/>
        <w:t>10.7 GHz is marked by the dashed lines.</w:t>
      </w:r>
    </w:p>
    <w:p w:rsidR="00B9359B" w:rsidRDefault="009A5268">
      <w:pPr>
        <w:rPr>
          <w:lang w:val="en-US"/>
        </w:rPr>
      </w:pPr>
      <w:r>
        <w:rPr>
          <w:lang w:val="en-US"/>
        </w:rPr>
        <w:t>It should be noted that the above-described filter, which has been designed to protect the RAS receiver, provides minimal insertion loss at a frequency separation of roughly 200 MHz from the centre frequency of a rejected signal. As filter technology progresses, better figures may be achievable, but the currently available instrumentation requires a frequency shift of at least 100 MHz to be made.</w:t>
      </w:r>
    </w:p>
    <w:p w:rsidR="00B9359B" w:rsidRDefault="009A5268">
      <w:pPr>
        <w:rPr>
          <w:lang w:val="en-US"/>
        </w:rPr>
      </w:pPr>
      <w:r>
        <w:rPr>
          <w:lang w:val="en-US"/>
        </w:rPr>
        <w:t>It should be also noted that usable RAS observations could be made at Effelsberg in a frequency band around 10.5 GHz, which is allocated to the terrestrial fixed service, and in which interference is reported only occasionally. This may not be applicable in other countries due to their particular use of the fixed service in this band.</w:t>
      </w:r>
    </w:p>
    <w:p w:rsidR="00B9359B" w:rsidRDefault="009A5268">
      <w:pPr>
        <w:pStyle w:val="Heading2"/>
        <w:rPr>
          <w:lang w:val="en-US"/>
        </w:rPr>
      </w:pPr>
      <w:bookmarkStart w:id="288" w:name="_Toc51045688"/>
      <w:r>
        <w:rPr>
          <w:lang w:val="en-US"/>
        </w:rPr>
        <w:br w:type="page"/>
        <w:t>5.2</w:t>
      </w:r>
      <w:r>
        <w:rPr>
          <w:lang w:val="en-US"/>
        </w:rPr>
        <w:tab/>
        <w:t>The active service</w:t>
      </w:r>
      <w:bookmarkEnd w:id="288"/>
      <w:r>
        <w:rPr>
          <w:lang w:val="en-US"/>
        </w:rPr>
        <w:t xml:space="preserve"> </w:t>
      </w:r>
    </w:p>
    <w:p w:rsidR="00B9359B" w:rsidRDefault="009A5268">
      <w:pPr>
        <w:rPr>
          <w:lang w:val="en-US"/>
        </w:rPr>
      </w:pPr>
      <w:r>
        <w:rPr>
          <w:lang w:val="en-US"/>
        </w:rPr>
        <w:t>A number of possible mitigation methods may be implemented to minimize the impact on the passive service. These are listed in Recommendation ITU-R SM.1542. Certain specific cases that have been applied to protect the passive services operating in the band 10.6-10.7 GHz are listed below:</w:t>
      </w:r>
    </w:p>
    <w:p w:rsidR="00B9359B" w:rsidRDefault="009A5268">
      <w:pPr>
        <w:pStyle w:val="enumlev1"/>
        <w:rPr>
          <w:lang w:val="en-US"/>
        </w:rPr>
      </w:pPr>
      <w:r>
        <w:rPr>
          <w:lang w:val="en-US"/>
        </w:rPr>
        <w:t>–</w:t>
      </w:r>
      <w:r>
        <w:rPr>
          <w:lang w:val="en-US"/>
        </w:rPr>
        <w:tab/>
        <w:t>One</w:t>
      </w:r>
      <w:r>
        <w:rPr>
          <w:sz w:val="22"/>
          <w:lang w:val="en-US"/>
        </w:rPr>
        <w:t xml:space="preserve"> </w:t>
      </w:r>
      <w:r>
        <w:rPr>
          <w:lang w:val="en-US"/>
        </w:rPr>
        <w:t>administration</w:t>
      </w:r>
      <w:r>
        <w:rPr>
          <w:sz w:val="22"/>
          <w:lang w:val="en-US"/>
        </w:rPr>
        <w:t xml:space="preserve"> </w:t>
      </w:r>
      <w:r>
        <w:rPr>
          <w:lang w:val="en-US"/>
        </w:rPr>
        <w:t>found</w:t>
      </w:r>
      <w:r>
        <w:rPr>
          <w:sz w:val="22"/>
          <w:lang w:val="en-US"/>
        </w:rPr>
        <w:t xml:space="preserve"> </w:t>
      </w:r>
      <w:r>
        <w:rPr>
          <w:lang w:val="en-US"/>
        </w:rPr>
        <w:t>that,</w:t>
      </w:r>
      <w:r>
        <w:rPr>
          <w:sz w:val="22"/>
          <w:lang w:val="en-US"/>
        </w:rPr>
        <w:t xml:space="preserve"> </w:t>
      </w:r>
      <w:r>
        <w:rPr>
          <w:lang w:val="en-US"/>
        </w:rPr>
        <w:t>while</w:t>
      </w:r>
      <w:r>
        <w:rPr>
          <w:sz w:val="22"/>
          <w:lang w:val="en-US"/>
        </w:rPr>
        <w:t xml:space="preserve"> </w:t>
      </w:r>
      <w:r>
        <w:rPr>
          <w:lang w:val="en-US"/>
        </w:rPr>
        <w:t>interference</w:t>
      </w:r>
      <w:r>
        <w:rPr>
          <w:sz w:val="22"/>
          <w:lang w:val="en-US"/>
        </w:rPr>
        <w:t xml:space="preserve"> </w:t>
      </w:r>
      <w:r>
        <w:rPr>
          <w:lang w:val="en-US"/>
        </w:rPr>
        <w:t>limits</w:t>
      </w:r>
      <w:r>
        <w:rPr>
          <w:sz w:val="22"/>
          <w:lang w:val="en-US"/>
        </w:rPr>
        <w:t xml:space="preserve"> </w:t>
      </w:r>
      <w:r>
        <w:rPr>
          <w:lang w:val="en-US"/>
        </w:rPr>
        <w:t>in</w:t>
      </w:r>
      <w:r>
        <w:rPr>
          <w:sz w:val="22"/>
          <w:lang w:val="en-US"/>
        </w:rPr>
        <w:t xml:space="preserve"> </w:t>
      </w:r>
      <w:r>
        <w:rPr>
          <w:lang w:val="en-US"/>
        </w:rPr>
        <w:t>Recommendation</w:t>
      </w:r>
      <w:r>
        <w:rPr>
          <w:sz w:val="22"/>
          <w:lang w:val="en-US"/>
        </w:rPr>
        <w:t xml:space="preserve"> </w:t>
      </w:r>
      <w:r>
        <w:rPr>
          <w:lang w:val="en-US"/>
        </w:rPr>
        <w:t>ITU</w:t>
      </w:r>
      <w:r>
        <w:rPr>
          <w:lang w:val="en-US"/>
        </w:rPr>
        <w:noBreakHyphen/>
        <w:t>R</w:t>
      </w:r>
      <w:r>
        <w:rPr>
          <w:sz w:val="22"/>
          <w:lang w:val="en-US"/>
        </w:rPr>
        <w:t> </w:t>
      </w:r>
      <w:r>
        <w:rPr>
          <w:lang w:val="en-US"/>
        </w:rPr>
        <w:t>RA.769 provided protection against interference to RAS operations, more flexibility could be exercised by requiring that non-GSO FSS service providers coordinate and reach a mutually acceptable agreement with the RAS facilities that use the 10.6-10.7 GHz band, that ensure that these facilities are adequately protected from interference. To that effect, a footnote was added to the relevant National Table of Allocations. The text of this footnote is as follows:</w:t>
      </w:r>
    </w:p>
    <w:p w:rsidR="00B9359B" w:rsidRDefault="009A5268">
      <w:pPr>
        <w:pStyle w:val="enumlev2"/>
        <w:ind w:left="794" w:firstLine="0"/>
        <w:rPr>
          <w:lang w:val="en-US"/>
        </w:rPr>
      </w:pPr>
      <w:r>
        <w:rPr>
          <w:lang w:val="en-US"/>
        </w:rPr>
        <w:t>“In the band 10.7-11.7 GHz, non-geostationary satellite orbit licensees in the fixed-satellite service (space-to-Earth), prior to commencing operations, shall coordinate with the following radio astronomy observatories to achieve a mutually acceptable agreement regarding the protection of the radio telescope facilities operating in the band 10.6-10.7 GHz” (NOTE 1 – In this place in the footnote, a Table of Radio Astronomy sites follows).</w:t>
      </w:r>
    </w:p>
    <w:p w:rsidR="00B9359B" w:rsidRDefault="009A5268">
      <w:pPr>
        <w:pStyle w:val="enumlev1"/>
        <w:rPr>
          <w:lang w:val="en-US"/>
        </w:rPr>
      </w:pPr>
      <w:r>
        <w:rPr>
          <w:lang w:val="en-US"/>
        </w:rPr>
        <w:t>–</w:t>
      </w:r>
      <w:r>
        <w:rPr>
          <w:lang w:val="en-US"/>
        </w:rPr>
        <w:tab/>
        <w:t>One contribution suggests that the possibility to set a guardband between the FSS band and the RAS band should be considered (see considerations on this issue in § 4.3.1). Results of the band</w:t>
      </w:r>
      <w:r>
        <w:rPr>
          <w:lang w:val="en-US"/>
        </w:rPr>
        <w:noBreakHyphen/>
        <w:t>by</w:t>
      </w:r>
      <w:r>
        <w:rPr>
          <w:lang w:val="en-US"/>
        </w:rPr>
        <w:noBreakHyphen/>
        <w:t>band studies may conclude that the only option is to seek the implementation of a guardband between the FSS and RAS. However, the apportionment of the burden of the guardband between the services needs consideration.</w:t>
      </w:r>
    </w:p>
    <w:p w:rsidR="00B9359B" w:rsidRDefault="009A5268">
      <w:pPr>
        <w:pStyle w:val="enumlev2"/>
        <w:ind w:left="794" w:firstLine="0"/>
        <w:rPr>
          <w:lang w:val="en-US"/>
        </w:rPr>
      </w:pPr>
      <w:r>
        <w:rPr>
          <w:lang w:val="en-US"/>
        </w:rPr>
        <w:t>It should be kept in mind that any guardband imposed on the FSS would impact the RR Appendix 30B Plan. Similarly, any guardband imposed on the RAS would result in an increase in measurement time thus reducing the usage of RAS stations.</w:t>
      </w:r>
    </w:p>
    <w:p w:rsidR="00B9359B" w:rsidRDefault="009A5268">
      <w:pPr>
        <w:pStyle w:val="enumlev2"/>
        <w:ind w:left="794" w:firstLine="0"/>
        <w:rPr>
          <w:lang w:val="en-US"/>
        </w:rPr>
      </w:pPr>
      <w:r>
        <w:rPr>
          <w:lang w:val="en-US"/>
        </w:rPr>
        <w:t>Similarly, if an extension of the RAS allocation below 10.6 GHz is considered to allow the RAS service to operate properly in a 100 MHz bandwidth, this may impact services operating below 10.6 GHz.</w:t>
      </w:r>
    </w:p>
    <w:p w:rsidR="00B9359B" w:rsidRDefault="009A5268">
      <w:pPr>
        <w:pStyle w:val="Heading2"/>
        <w:rPr>
          <w:lang w:val="en-US"/>
        </w:rPr>
      </w:pPr>
      <w:bookmarkStart w:id="289" w:name="_Toc51045689"/>
      <w:r>
        <w:rPr>
          <w:lang w:val="en-US"/>
        </w:rPr>
        <w:t>5.3</w:t>
      </w:r>
      <w:r>
        <w:rPr>
          <w:lang w:val="en-US"/>
        </w:rPr>
        <w:tab/>
        <w:t>Potential impact</w:t>
      </w:r>
      <w:bookmarkEnd w:id="289"/>
    </w:p>
    <w:p w:rsidR="00B9359B" w:rsidRDefault="009A5268">
      <w:pPr>
        <w:pStyle w:val="Heading3"/>
        <w:rPr>
          <w:lang w:val="en-US"/>
        </w:rPr>
      </w:pPr>
      <w:bookmarkStart w:id="290" w:name="_Toc51045690"/>
      <w:r>
        <w:rPr>
          <w:lang w:val="en-US"/>
        </w:rPr>
        <w:t>5.3.1</w:t>
      </w:r>
      <w:r>
        <w:rPr>
          <w:lang w:val="en-US"/>
        </w:rPr>
        <w:tab/>
        <w:t>RAS</w:t>
      </w:r>
      <w:bookmarkEnd w:id="290"/>
    </w:p>
    <w:p w:rsidR="00B9359B" w:rsidRDefault="009A5268">
      <w:pPr>
        <w:rPr>
          <w:lang w:val="en-US"/>
        </w:rPr>
      </w:pPr>
      <w:r>
        <w:rPr>
          <w:lang w:val="en-US"/>
        </w:rPr>
        <w:t>From the radio astronomy side, it is technically not possible to filter the interference mentioned in § 4.3.1. Even a well designed BSS/FSS system would force radio astronomy observatories to insert filters into the receiver front ends. The receiver front ends in use today at radio observatories normally contain cooled high electron mobility transistor (HEMT) amplifiers, which are inherently broadbanded. The passband of the first stage amplifier drops slowly outside the edge of the designed bandwidth. Satellite transmitters, especially, which come close enough to the observing direction, may cause non-linearity of the receiving system and therefore filtering may be required before the first amplifier stage of the receiver front-end. In designing radio astronomy receivers, however, one always tries to avoid transmission loss, which raises the receiver noise temperature. This loss would occur when insufficient guardband is taken into account to protect radio astronomy observations, also because at the frequencies under consideration the filter technology is not developed sufficiently.</w:t>
      </w:r>
    </w:p>
    <w:p w:rsidR="00B9359B" w:rsidRDefault="009A5268">
      <w:pPr>
        <w:pStyle w:val="Heading3"/>
        <w:rPr>
          <w:lang w:val="en-US"/>
        </w:rPr>
      </w:pPr>
      <w:bookmarkStart w:id="291" w:name="_Toc51045691"/>
      <w:r>
        <w:rPr>
          <w:lang w:val="en-US"/>
        </w:rPr>
        <w:br w:type="page"/>
        <w:t>5.3.2</w:t>
      </w:r>
      <w:r>
        <w:rPr>
          <w:lang w:val="en-US"/>
        </w:rPr>
        <w:tab/>
        <w:t>FSS</w:t>
      </w:r>
      <w:bookmarkEnd w:id="291"/>
    </w:p>
    <w:p w:rsidR="00B9359B" w:rsidRDefault="009A5268">
      <w:pPr>
        <w:rPr>
          <w:lang w:val="en-US"/>
        </w:rPr>
      </w:pPr>
      <w:r>
        <w:rPr>
          <w:lang w:val="en-US"/>
        </w:rPr>
        <w:t>Filters may be used to suppress unwanted emissions, but the addition of filters may affect the satellite design in a substantial manner:</w:t>
      </w:r>
    </w:p>
    <w:p w:rsidR="00B9359B" w:rsidRDefault="009A5268">
      <w:pPr>
        <w:pStyle w:val="enumlev1"/>
        <w:rPr>
          <w:lang w:val="en-US"/>
        </w:rPr>
      </w:pPr>
      <w:r>
        <w:rPr>
          <w:lang w:val="en-US"/>
        </w:rPr>
        <w:t>–</w:t>
      </w:r>
      <w:r>
        <w:rPr>
          <w:lang w:val="en-US"/>
        </w:rPr>
        <w:tab/>
        <w:t>The insertion loss introduced by the filter can result in a loss of capacity. To compensate for the loss requires an increase in HPA size, with consequential impacts to the space station design (cost, weight, power, reliability).</w:t>
      </w:r>
    </w:p>
    <w:p w:rsidR="00B9359B" w:rsidRDefault="009A5268">
      <w:pPr>
        <w:pStyle w:val="enumlev1"/>
        <w:rPr>
          <w:lang w:val="en-US"/>
        </w:rPr>
      </w:pPr>
      <w:r>
        <w:rPr>
          <w:lang w:val="en-US"/>
        </w:rPr>
        <w:t>–</w:t>
      </w:r>
      <w:r>
        <w:rPr>
          <w:lang w:val="en-US"/>
        </w:rPr>
        <w:tab/>
        <w:t>The insertion of a filter impacts the phase response of the in-band signal. If the phase tolerance levels of the receiver are exceeded, the performance of the link will be impacted even though there is sufficient power at the receiver.</w:t>
      </w:r>
    </w:p>
    <w:p w:rsidR="00B9359B" w:rsidRDefault="009A5268">
      <w:pPr>
        <w:pStyle w:val="enumlev1"/>
        <w:rPr>
          <w:lang w:val="en-US"/>
        </w:rPr>
      </w:pPr>
      <w:r>
        <w:rPr>
          <w:lang w:val="en-US"/>
        </w:rPr>
        <w:t>–</w:t>
      </w:r>
      <w:r>
        <w:rPr>
          <w:lang w:val="en-US"/>
        </w:rPr>
        <w:tab/>
        <w:t>The addition of a filter increases the complexity of the space station design and testing program.</w:t>
      </w:r>
    </w:p>
    <w:p w:rsidR="00B9359B" w:rsidRDefault="009A5268">
      <w:pPr>
        <w:rPr>
          <w:lang w:val="en-US"/>
        </w:rPr>
      </w:pPr>
      <w:r>
        <w:rPr>
          <w:lang w:val="en-US"/>
        </w:rPr>
        <w:t xml:space="preserve">Furthermore, if a phased-array active antenna is used, filters may be required for every antenna element. </w:t>
      </w:r>
    </w:p>
    <w:p w:rsidR="00B9359B" w:rsidRDefault="009A5268">
      <w:pPr>
        <w:rPr>
          <w:lang w:val="en-US"/>
        </w:rPr>
      </w:pPr>
      <w:r>
        <w:rPr>
          <w:lang w:val="en-US"/>
        </w:rPr>
        <w:t>For multi-beam satellite systems planned for operation in the frequency range of interest, the number of beams or the number of elements in the phased-array antenna system multiplies the cost and weight implications of additional RF filtering in the multi-beam system. This is due to the fact that in a multi-beam system the output amplifiers are generally not shared between beams, and so would have to be filtered separately. In a phased array type system the final stage of amplification takes place at the various elements of the array, each of which would have to be filtered separately. In this way the number of beams multiplies the weight impact of an individual filter in the system, or number of elements in the phased array. The filter insertion loss could impact system capacity.</w:t>
      </w:r>
    </w:p>
    <w:p w:rsidR="00B9359B" w:rsidRDefault="009A5268">
      <w:pPr>
        <w:rPr>
          <w:lang w:val="en-US"/>
        </w:rPr>
      </w:pPr>
      <w:r>
        <w:rPr>
          <w:lang w:val="en-US"/>
        </w:rPr>
        <w:t>Geographic isolation would involve the use of satellite antenna pattern roll-off to achieve the required isolation to meet an agreed sharing criterion at a particular radio astronomy receiver site. This technique tacitly assumes that an FSS system will not have a global, or even regional, coverage area, which is a limiting assumption in itself. Many 10-14 GHz band systems have regional or sub</w:t>
      </w:r>
      <w:r>
        <w:rPr>
          <w:lang w:val="en-US"/>
        </w:rPr>
        <w:noBreakHyphen/>
        <w:t>regional beams where geographic isolation is not feasible. Other spot beam systems may be able to use geographic isolation; however, this is not an attractive solution from the satellite system perspective at is could result in areas of the Earth being unavailable to the satellite service. Such limitations of the FSS service area could have serious revenue-generating implications. However, this solution does have the benefit of taking into account the actual protection requirements of specific radio astronomy sites, without the need to resort to the worst-case criteria at every radio astronomy site.</w:t>
      </w:r>
    </w:p>
    <w:p w:rsidR="00B9359B" w:rsidRDefault="009A5268">
      <w:pPr>
        <w:pStyle w:val="Heading1"/>
        <w:rPr>
          <w:lang w:val="en-US"/>
        </w:rPr>
      </w:pPr>
      <w:bookmarkStart w:id="292" w:name="_Toc51045692"/>
      <w:r>
        <w:rPr>
          <w:lang w:val="en-US"/>
        </w:rPr>
        <w:t>6</w:t>
      </w:r>
      <w:r>
        <w:rPr>
          <w:lang w:val="en-US"/>
        </w:rPr>
        <w:tab/>
        <w:t>Results of studies</w:t>
      </w:r>
      <w:bookmarkEnd w:id="292"/>
    </w:p>
    <w:p w:rsidR="00B9359B" w:rsidRDefault="009A5268">
      <w:pPr>
        <w:pStyle w:val="Heading2"/>
        <w:rPr>
          <w:lang w:val="en-US"/>
        </w:rPr>
      </w:pPr>
      <w:bookmarkStart w:id="293" w:name="_Toc51045693"/>
      <w:r>
        <w:rPr>
          <w:lang w:val="en-US"/>
        </w:rPr>
        <w:t>6.1</w:t>
      </w:r>
      <w:r>
        <w:rPr>
          <w:lang w:val="en-US"/>
        </w:rPr>
        <w:tab/>
        <w:t>Summary</w:t>
      </w:r>
      <w:bookmarkEnd w:id="293"/>
    </w:p>
    <w:p w:rsidR="00B9359B" w:rsidRDefault="009A5268">
      <w:pPr>
        <w:rPr>
          <w:lang w:val="en-US"/>
        </w:rPr>
      </w:pPr>
      <w:r>
        <w:rPr>
          <w:lang w:val="en-US"/>
        </w:rPr>
        <w:t>In Region 2, currently available design practices and mitigation methods have protected the radio astronomy service in the 10.6-10.7 GHz band from the limited number of FSS space stations currently deployed. In cases where the usage of the RR Appendix 30B</w:t>
      </w:r>
      <w:r>
        <w:rPr>
          <w:b/>
          <w:bCs/>
          <w:lang w:val="en-US"/>
        </w:rPr>
        <w:t xml:space="preserve"> </w:t>
      </w:r>
      <w:r>
        <w:rPr>
          <w:lang w:val="en-US"/>
        </w:rPr>
        <w:t>Plan may have interfered with radio astronomy observations, domestic pressure in another country ensured that the situation was corrected. However the deployment of future space stations that do not intentionally seek to protect radio telescopes could adversely impact their operations.</w:t>
      </w:r>
    </w:p>
    <w:p w:rsidR="00B9359B" w:rsidRDefault="009A5268">
      <w:pPr>
        <w:rPr>
          <w:lang w:val="en-US"/>
        </w:rPr>
      </w:pPr>
      <w:r>
        <w:rPr>
          <w:lang w:val="en-US"/>
        </w:rPr>
        <w:br w:type="page"/>
        <w:t>In Region 1, the juxtaposition of bands allocated to the RAS and the FSS or BSS, for use in transmitting signals in the space-to-Earth direction, has given rise to a difficult interference situation in some countries - one that can only be solved through the provision of a guardband between the two services. In this band, the protection criteria listed in § 1.3 are satisfied by the active service for the VLBI case, but not for the single-dish continuum case. Mitigation methods have been used in Region 2 to meet the single-dish continuum level. However, in Region 1 there are currently persistent cases of detrimental interference.</w:t>
      </w:r>
    </w:p>
    <w:p w:rsidR="00B9359B" w:rsidRDefault="009A5268">
      <w:pPr>
        <w:rPr>
          <w:lang w:val="en-US"/>
        </w:rPr>
      </w:pPr>
      <w:r>
        <w:rPr>
          <w:lang w:val="en-US"/>
        </w:rPr>
        <w:t>No data was received and no studies were done for Region 3.</w:t>
      </w:r>
    </w:p>
    <w:p w:rsidR="00B9359B" w:rsidRDefault="009A5268">
      <w:pPr>
        <w:pStyle w:val="Heading2"/>
        <w:rPr>
          <w:lang w:val="en-US"/>
        </w:rPr>
      </w:pPr>
      <w:bookmarkStart w:id="294" w:name="_Toc51045694"/>
      <w:r>
        <w:rPr>
          <w:lang w:val="en-US"/>
        </w:rPr>
        <w:t>6.2</w:t>
      </w:r>
      <w:r>
        <w:rPr>
          <w:lang w:val="en-US"/>
        </w:rPr>
        <w:tab/>
        <w:t>Conclusion</w:t>
      </w:r>
      <w:bookmarkEnd w:id="294"/>
    </w:p>
    <w:p w:rsidR="00B9359B" w:rsidRDefault="009A5268">
      <w:pPr>
        <w:rPr>
          <w:lang w:val="en-US"/>
        </w:rPr>
      </w:pPr>
      <w:r>
        <w:rPr>
          <w:lang w:val="en-US"/>
        </w:rPr>
        <w:t>In Region 1 the protection criteria are met for the VLBI case, but not for single-dish continuum or spectral line observations. In Region 2 the protection criteria are met for the VLBI case.</w:t>
      </w:r>
    </w:p>
    <w:p w:rsidR="00B9359B" w:rsidRDefault="00B9359B">
      <w:pPr>
        <w:rPr>
          <w:lang w:val="en-US"/>
        </w:rPr>
      </w:pPr>
    </w:p>
    <w:p w:rsidR="00B9359B" w:rsidRDefault="00B9359B">
      <w:pPr>
        <w:rPr>
          <w:lang w:val="en-US"/>
        </w:rPr>
      </w:pPr>
    </w:p>
    <w:p w:rsidR="00B9359B" w:rsidRDefault="009A5268">
      <w:pPr>
        <w:pStyle w:val="AnnexNoTitle"/>
        <w:rPr>
          <w:lang w:val="en-US"/>
        </w:rPr>
      </w:pPr>
      <w:r>
        <w:rPr>
          <w:lang w:val="en-US"/>
        </w:rPr>
        <w:t>Annex 11</w:t>
      </w:r>
      <w:r>
        <w:rPr>
          <w:lang w:val="en-US"/>
        </w:rPr>
        <w:br/>
      </w:r>
      <w:r>
        <w:rPr>
          <w:lang w:val="en-US"/>
        </w:rPr>
        <w:br/>
        <w:t>Compatibility analysis between the EESS (passive) in the 21.2-21.4 GHz band</w:t>
      </w:r>
      <w:r>
        <w:rPr>
          <w:lang w:val="en-US"/>
        </w:rPr>
        <w:br/>
        <w:t>and both FSS (space-to-Earth) and MSS (space-to-Earth) systems</w:t>
      </w:r>
      <w:r>
        <w:rPr>
          <w:lang w:val="en-US"/>
        </w:rPr>
        <w:br/>
        <w:t>in the 20.2-21.2 GHz band</w:t>
      </w:r>
    </w:p>
    <w:p w:rsidR="00B9359B" w:rsidRDefault="009A5268">
      <w:pPr>
        <w:pStyle w:val="Heading1"/>
        <w:rPr>
          <w:lang w:val="en-US"/>
        </w:rPr>
      </w:pPr>
      <w:bookmarkStart w:id="295" w:name="_Toc51045695"/>
      <w:r>
        <w:rPr>
          <w:lang w:val="en-US"/>
        </w:rPr>
        <w:t>1</w:t>
      </w:r>
      <w:r>
        <w:rPr>
          <w:lang w:val="en-US"/>
        </w:rPr>
        <w:tab/>
        <w:t>EESS (passive)</w:t>
      </w:r>
      <w:bookmarkEnd w:id="295"/>
      <w:r>
        <w:rPr>
          <w:lang w:val="en-US"/>
        </w:rPr>
        <w:t xml:space="preserve"> </w:t>
      </w:r>
    </w:p>
    <w:p w:rsidR="00B9359B" w:rsidRDefault="009A5268">
      <w:pPr>
        <w:pStyle w:val="Heading2"/>
        <w:rPr>
          <w:lang w:val="en-US"/>
        </w:rPr>
      </w:pPr>
      <w:bookmarkStart w:id="296" w:name="_Toc51045696"/>
      <w:r>
        <w:rPr>
          <w:lang w:val="en-US"/>
        </w:rPr>
        <w:t>1.1</w:t>
      </w:r>
      <w:r>
        <w:rPr>
          <w:lang w:val="en-US"/>
        </w:rPr>
        <w:tab/>
        <w:t>Allocated band</w:t>
      </w:r>
      <w:bookmarkEnd w:id="296"/>
    </w:p>
    <w:p w:rsidR="00B9359B" w:rsidRDefault="009A5268">
      <w:pPr>
        <w:rPr>
          <w:lang w:val="en-US"/>
        </w:rPr>
      </w:pPr>
      <w:r>
        <w:rPr>
          <w:lang w:val="en-US"/>
        </w:rPr>
        <w:t>Table 24 provides a listing of the services in the 21.2-21.4 GHz band and the bands adjacent to it.</w:t>
      </w:r>
    </w:p>
    <w:p w:rsidR="00B9359B" w:rsidRDefault="009A5268">
      <w:pPr>
        <w:pStyle w:val="TableNo"/>
        <w:rPr>
          <w:lang w:val="en-US"/>
        </w:rPr>
      </w:pPr>
      <w:r>
        <w:rPr>
          <w:lang w:val="en-US"/>
        </w:rPr>
        <w:t>TABLE  24</w:t>
      </w:r>
    </w:p>
    <w:p w:rsidR="00B9359B" w:rsidRDefault="009A5268">
      <w:pPr>
        <w:pStyle w:val="Tabletitle"/>
        <w:rPr>
          <w:lang w:val="en-US"/>
        </w:rPr>
      </w:pPr>
      <w:r>
        <w:rPr>
          <w:lang w:val="en-US"/>
        </w:rPr>
        <w:t>Adjacent band allocations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6"/>
        <w:gridCol w:w="3608"/>
        <w:gridCol w:w="3045"/>
      </w:tblGrid>
      <w:tr w:rsidR="00B9359B" w:rsidRPr="00D35B94">
        <w:tc>
          <w:tcPr>
            <w:tcW w:w="3003" w:type="dxa"/>
            <w:shd w:val="clear" w:color="auto" w:fill="FFFFFF"/>
            <w:vAlign w:val="center"/>
          </w:tcPr>
          <w:p w:rsidR="00B9359B" w:rsidRDefault="009A5268">
            <w:pPr>
              <w:pStyle w:val="Tablehead"/>
              <w:framePr w:hSpace="181" w:wrap="notBeside" w:vAnchor="text" w:hAnchor="text" w:xAlign="center" w:y="1"/>
              <w:rPr>
                <w:lang w:val="en-US"/>
              </w:rPr>
            </w:pPr>
            <w:r>
              <w:rPr>
                <w:lang w:val="en-US"/>
              </w:rPr>
              <w:t>Services in lower</w:t>
            </w:r>
            <w:r>
              <w:rPr>
                <w:lang w:val="en-US"/>
              </w:rPr>
              <w:br/>
              <w:t>allocated band</w:t>
            </w:r>
          </w:p>
        </w:tc>
        <w:tc>
          <w:tcPr>
            <w:tcW w:w="3629" w:type="dxa"/>
            <w:shd w:val="clear" w:color="auto" w:fill="FFFFFF"/>
            <w:vAlign w:val="center"/>
          </w:tcPr>
          <w:p w:rsidR="00B9359B" w:rsidRDefault="009A5268">
            <w:pPr>
              <w:pStyle w:val="Tablehead"/>
              <w:framePr w:hSpace="181" w:wrap="notBeside" w:vAnchor="text" w:hAnchor="text" w:xAlign="center" w:y="1"/>
              <w:rPr>
                <w:lang w:val="en-US"/>
              </w:rPr>
            </w:pPr>
            <w:r>
              <w:rPr>
                <w:lang w:val="en-US"/>
              </w:rPr>
              <w:t>Passive band</w:t>
            </w:r>
          </w:p>
        </w:tc>
        <w:tc>
          <w:tcPr>
            <w:tcW w:w="3062" w:type="dxa"/>
            <w:shd w:val="clear" w:color="auto" w:fill="FFFFFF"/>
            <w:vAlign w:val="center"/>
          </w:tcPr>
          <w:p w:rsidR="00B9359B" w:rsidRDefault="009A5268">
            <w:pPr>
              <w:pStyle w:val="Tablehead"/>
              <w:framePr w:hSpace="181" w:wrap="notBeside" w:vAnchor="text" w:hAnchor="text" w:xAlign="center" w:y="1"/>
              <w:rPr>
                <w:lang w:val="en-US"/>
              </w:rPr>
            </w:pPr>
            <w:r>
              <w:rPr>
                <w:lang w:val="en-US"/>
              </w:rPr>
              <w:t>Services in upper</w:t>
            </w:r>
            <w:r>
              <w:rPr>
                <w:lang w:val="en-US"/>
              </w:rPr>
              <w:br/>
              <w:t>allocated band</w:t>
            </w:r>
          </w:p>
        </w:tc>
      </w:tr>
      <w:tr w:rsidR="00B9359B">
        <w:tc>
          <w:tcPr>
            <w:tcW w:w="3003" w:type="dxa"/>
            <w:shd w:val="clear" w:color="auto" w:fill="FFFFFF"/>
          </w:tcPr>
          <w:p w:rsidR="00B9359B" w:rsidRDefault="009A5268">
            <w:pPr>
              <w:pStyle w:val="Tablehead"/>
              <w:framePr w:hSpace="181" w:wrap="notBeside" w:vAnchor="text" w:hAnchor="text" w:xAlign="center" w:y="1"/>
              <w:rPr>
                <w:b w:val="0"/>
                <w:bCs/>
                <w:lang w:val="en-US"/>
              </w:rPr>
            </w:pPr>
            <w:r>
              <w:rPr>
                <w:b w:val="0"/>
                <w:bCs/>
                <w:lang w:val="en-US"/>
              </w:rPr>
              <w:t>20.2-21.2 GHz</w:t>
            </w:r>
          </w:p>
        </w:tc>
        <w:tc>
          <w:tcPr>
            <w:tcW w:w="3629" w:type="dxa"/>
            <w:shd w:val="clear" w:color="auto" w:fill="FFFFFF"/>
          </w:tcPr>
          <w:p w:rsidR="00B9359B" w:rsidRDefault="009A5268">
            <w:pPr>
              <w:pStyle w:val="Tablehead"/>
              <w:framePr w:hSpace="181" w:wrap="notBeside" w:vAnchor="text" w:hAnchor="text" w:xAlign="center" w:y="1"/>
              <w:rPr>
                <w:b w:val="0"/>
                <w:bCs/>
                <w:lang w:val="en-US"/>
              </w:rPr>
            </w:pPr>
            <w:r>
              <w:rPr>
                <w:b w:val="0"/>
                <w:bCs/>
                <w:lang w:val="en-US"/>
              </w:rPr>
              <w:t>21.2-21.4 GHz</w:t>
            </w:r>
          </w:p>
        </w:tc>
        <w:tc>
          <w:tcPr>
            <w:tcW w:w="3062" w:type="dxa"/>
            <w:shd w:val="clear" w:color="auto" w:fill="FFFFFF"/>
          </w:tcPr>
          <w:p w:rsidR="00B9359B" w:rsidRDefault="009A5268">
            <w:pPr>
              <w:pStyle w:val="Tablehead"/>
              <w:framePr w:hSpace="181" w:wrap="notBeside" w:vAnchor="text" w:hAnchor="text" w:xAlign="center" w:y="1"/>
              <w:rPr>
                <w:b w:val="0"/>
                <w:bCs/>
                <w:lang w:val="en-US"/>
              </w:rPr>
            </w:pPr>
            <w:r>
              <w:rPr>
                <w:b w:val="0"/>
                <w:bCs/>
                <w:lang w:val="en-US"/>
              </w:rPr>
              <w:t>21.4-22 GHz</w:t>
            </w:r>
          </w:p>
        </w:tc>
      </w:tr>
      <w:tr w:rsidR="00B9359B">
        <w:tc>
          <w:tcPr>
            <w:tcW w:w="3003" w:type="dxa"/>
            <w:tcBorders>
              <w:bottom w:val="single" w:sz="4" w:space="0" w:color="auto"/>
            </w:tcBorders>
          </w:tcPr>
          <w:p w:rsidR="00B9359B" w:rsidRDefault="009A5268">
            <w:pPr>
              <w:pStyle w:val="Tabletext"/>
              <w:framePr w:hSpace="181" w:wrap="notBeside" w:vAnchor="text" w:hAnchor="text" w:xAlign="center" w:y="1"/>
              <w:spacing w:before="60" w:after="60"/>
              <w:jc w:val="left"/>
              <w:rPr>
                <w:lang w:val="en-US"/>
              </w:rPr>
            </w:pPr>
            <w:r>
              <w:rPr>
                <w:lang w:val="en-US"/>
              </w:rPr>
              <w:t>FIXED-SATELLITE</w:t>
            </w:r>
            <w:r>
              <w:rPr>
                <w:lang w:val="en-US"/>
              </w:rPr>
              <w:br/>
              <w:t>(space-to-Earth)</w:t>
            </w:r>
          </w:p>
          <w:p w:rsidR="00B9359B" w:rsidRDefault="009A5268">
            <w:pPr>
              <w:pStyle w:val="Tabletext"/>
              <w:framePr w:hSpace="181" w:wrap="notBeside" w:vAnchor="text" w:hAnchor="text" w:xAlign="center" w:y="1"/>
              <w:spacing w:before="60" w:after="60"/>
              <w:jc w:val="left"/>
              <w:rPr>
                <w:lang w:val="en-US"/>
              </w:rPr>
            </w:pPr>
            <w:r>
              <w:rPr>
                <w:lang w:val="en-US"/>
              </w:rPr>
              <w:t>MOBILE-SATELLITE</w:t>
            </w:r>
            <w:r>
              <w:rPr>
                <w:lang w:val="en-US"/>
              </w:rPr>
              <w:br/>
              <w:t>(space-to-Earth)</w:t>
            </w:r>
          </w:p>
          <w:p w:rsidR="00B9359B" w:rsidRDefault="009A5268">
            <w:pPr>
              <w:pStyle w:val="Tabletext"/>
              <w:framePr w:hSpace="181" w:wrap="notBeside" w:vAnchor="text" w:hAnchor="text" w:xAlign="center" w:y="1"/>
              <w:spacing w:before="60" w:after="60"/>
              <w:jc w:val="left"/>
              <w:rPr>
                <w:lang w:val="en-US"/>
              </w:rPr>
            </w:pPr>
            <w:r>
              <w:rPr>
                <w:lang w:val="en-US"/>
              </w:rPr>
              <w:t>Standard frequency and signal satellite (space-to-Earth)</w:t>
            </w:r>
          </w:p>
          <w:p w:rsidR="00B9359B" w:rsidRDefault="009A5268">
            <w:pPr>
              <w:pStyle w:val="Tabletext"/>
              <w:framePr w:hSpace="181" w:wrap="notBeside" w:vAnchor="text" w:hAnchor="text" w:xAlign="center" w:y="1"/>
              <w:spacing w:before="60" w:after="60"/>
              <w:jc w:val="left"/>
              <w:rPr>
                <w:lang w:val="en-US"/>
              </w:rPr>
            </w:pPr>
            <w:r>
              <w:rPr>
                <w:lang w:val="en-US"/>
              </w:rPr>
              <w:t>5.524</w:t>
            </w:r>
          </w:p>
        </w:tc>
        <w:tc>
          <w:tcPr>
            <w:tcW w:w="3629" w:type="dxa"/>
            <w:tcBorders>
              <w:bottom w:val="single" w:sz="4" w:space="0" w:color="auto"/>
            </w:tcBorders>
          </w:tcPr>
          <w:p w:rsidR="00B9359B" w:rsidRDefault="009A5268">
            <w:pPr>
              <w:pStyle w:val="Tabletext"/>
              <w:framePr w:hSpace="181" w:wrap="notBeside" w:vAnchor="text" w:hAnchor="text" w:xAlign="center" w:y="1"/>
              <w:spacing w:before="60" w:after="60"/>
              <w:jc w:val="left"/>
              <w:rPr>
                <w:lang w:val="en-US"/>
              </w:rPr>
            </w:pPr>
            <w:r>
              <w:rPr>
                <w:lang w:val="en-US"/>
              </w:rPr>
              <w:t>EARTH  EXPLORATION-SATELLITE (passive)</w:t>
            </w:r>
          </w:p>
          <w:p w:rsidR="00B9359B" w:rsidRDefault="009A5268">
            <w:pPr>
              <w:pStyle w:val="Tabletext"/>
              <w:framePr w:hSpace="181" w:wrap="notBeside" w:vAnchor="text" w:hAnchor="text" w:xAlign="center" w:y="1"/>
              <w:spacing w:before="60" w:after="60"/>
              <w:jc w:val="left"/>
              <w:rPr>
                <w:lang w:val="en-US"/>
              </w:rPr>
            </w:pPr>
            <w:r>
              <w:rPr>
                <w:lang w:val="en-US"/>
              </w:rPr>
              <w:t>FIXED</w:t>
            </w:r>
          </w:p>
          <w:p w:rsidR="00B9359B" w:rsidRDefault="009A5268">
            <w:pPr>
              <w:pStyle w:val="Tabletext"/>
              <w:framePr w:hSpace="181" w:wrap="notBeside" w:vAnchor="text" w:hAnchor="text" w:xAlign="center" w:y="1"/>
              <w:spacing w:before="60" w:after="60"/>
              <w:jc w:val="left"/>
              <w:rPr>
                <w:lang w:val="en-US"/>
              </w:rPr>
            </w:pPr>
            <w:r>
              <w:rPr>
                <w:lang w:val="en-US"/>
              </w:rPr>
              <w:t>MOBILE</w:t>
            </w:r>
          </w:p>
          <w:p w:rsidR="00B9359B" w:rsidRDefault="009A5268">
            <w:pPr>
              <w:pStyle w:val="Tabletext"/>
              <w:framePr w:hSpace="181" w:wrap="notBeside" w:vAnchor="text" w:hAnchor="text" w:xAlign="center" w:y="1"/>
              <w:spacing w:before="60" w:after="60"/>
              <w:jc w:val="left"/>
              <w:rPr>
                <w:lang w:val="en-US"/>
              </w:rPr>
            </w:pPr>
            <w:r>
              <w:rPr>
                <w:lang w:val="en-US"/>
              </w:rPr>
              <w:t>SPACE  RESEARCH (passive)</w:t>
            </w:r>
          </w:p>
        </w:tc>
        <w:tc>
          <w:tcPr>
            <w:tcW w:w="3062" w:type="dxa"/>
            <w:tcBorders>
              <w:bottom w:val="single" w:sz="4" w:space="0" w:color="auto"/>
            </w:tcBorders>
          </w:tcPr>
          <w:p w:rsidR="00B9359B" w:rsidRDefault="009A5268">
            <w:pPr>
              <w:pStyle w:val="Tabletext"/>
              <w:framePr w:hSpace="181" w:wrap="notBeside" w:vAnchor="text" w:hAnchor="text" w:xAlign="center" w:y="1"/>
              <w:spacing w:before="60" w:after="60"/>
              <w:jc w:val="left"/>
              <w:rPr>
                <w:lang w:val="en-US"/>
              </w:rPr>
            </w:pPr>
            <w:r>
              <w:rPr>
                <w:lang w:val="en-US"/>
              </w:rPr>
              <w:t>FIXED</w:t>
            </w:r>
          </w:p>
          <w:p w:rsidR="00B9359B" w:rsidRDefault="009A5268">
            <w:pPr>
              <w:pStyle w:val="Tabletext"/>
              <w:framePr w:hSpace="181" w:wrap="notBeside" w:vAnchor="text" w:hAnchor="text" w:xAlign="center" w:y="1"/>
              <w:spacing w:before="60" w:after="60"/>
              <w:jc w:val="left"/>
              <w:rPr>
                <w:lang w:val="en-US"/>
              </w:rPr>
            </w:pPr>
            <w:r>
              <w:rPr>
                <w:lang w:val="en-US"/>
              </w:rPr>
              <w:t>MOBILE</w:t>
            </w:r>
          </w:p>
          <w:p w:rsidR="00B9359B" w:rsidRDefault="009A5268">
            <w:pPr>
              <w:pStyle w:val="Tabletext"/>
              <w:framePr w:hSpace="181" w:wrap="notBeside" w:vAnchor="text" w:hAnchor="text" w:xAlign="center" w:y="1"/>
              <w:spacing w:before="60" w:after="60"/>
              <w:jc w:val="left"/>
              <w:rPr>
                <w:lang w:val="en-US"/>
              </w:rPr>
            </w:pPr>
            <w:r>
              <w:rPr>
                <w:lang w:val="en-US"/>
              </w:rPr>
              <w:t>BROADCASTING SATELLITE (Regions 1 and 3)</w:t>
            </w:r>
            <w:r>
              <w:rPr>
                <w:lang w:val="en-US"/>
              </w:rPr>
              <w:br/>
              <w:t>5.530</w:t>
            </w:r>
            <w:r>
              <w:rPr>
                <w:lang w:val="en-US"/>
              </w:rPr>
              <w:br/>
            </w:r>
          </w:p>
          <w:p w:rsidR="00B9359B" w:rsidRDefault="009A5268">
            <w:pPr>
              <w:pStyle w:val="Tabletext"/>
              <w:framePr w:hSpace="181" w:wrap="notBeside" w:vAnchor="text" w:hAnchor="text" w:xAlign="center" w:y="1"/>
              <w:spacing w:before="60" w:after="60"/>
              <w:jc w:val="left"/>
              <w:rPr>
                <w:lang w:val="en-US"/>
              </w:rPr>
            </w:pPr>
            <w:r>
              <w:rPr>
                <w:lang w:val="en-US"/>
              </w:rPr>
              <w:t>5.531</w:t>
            </w:r>
          </w:p>
        </w:tc>
      </w:tr>
    </w:tbl>
    <w:p w:rsidR="00B9359B" w:rsidRDefault="00B9359B">
      <w:pPr>
        <w:pStyle w:val="Tablefin"/>
      </w:pPr>
    </w:p>
    <w:p w:rsidR="00B9359B" w:rsidRDefault="009A5268">
      <w:pPr>
        <w:pStyle w:val="Note"/>
        <w:rPr>
          <w:b/>
          <w:lang w:val="en-US"/>
        </w:rPr>
      </w:pPr>
      <w:r>
        <w:rPr>
          <w:lang w:val="en-US"/>
        </w:rPr>
        <w:t>NOTE 1 – Different from other bands, this allocation is not exclusive. The BSS will not come into effect until 1 April 2007.</w:t>
      </w:r>
    </w:p>
    <w:p w:rsidR="00B9359B" w:rsidRDefault="009A5268">
      <w:pPr>
        <w:pStyle w:val="Heading2"/>
        <w:rPr>
          <w:lang w:val="en-US"/>
        </w:rPr>
      </w:pPr>
      <w:bookmarkStart w:id="297" w:name="_Toc51045697"/>
      <w:r>
        <w:rPr>
          <w:lang w:val="en-US"/>
        </w:rPr>
        <w:br w:type="page"/>
        <w:t>1.2</w:t>
      </w:r>
      <w:r>
        <w:rPr>
          <w:lang w:val="en-US"/>
        </w:rPr>
        <w:tab/>
        <w:t>Application (type of observation)</w:t>
      </w:r>
      <w:bookmarkEnd w:id="297"/>
    </w:p>
    <w:p w:rsidR="00B9359B" w:rsidRDefault="009A5268">
      <w:pPr>
        <w:rPr>
          <w:lang w:val="en-US"/>
        </w:rPr>
      </w:pPr>
      <w:r>
        <w:rPr>
          <w:lang w:val="en-US"/>
        </w:rPr>
        <w:t>This band was used on the Nimbus-7 experimental satellite. On the advanced microwave sounder unit (AMSU) instrument the 23.6 to 24 GHz band is used. The AMSU antenna characteristic will be assumed for this band because this band would be used in support of other measurements on this instrument and because it is an alternate band to the 23.6-24 GHz band.</w:t>
      </w:r>
    </w:p>
    <w:p w:rsidR="00B9359B" w:rsidRDefault="009A5268">
      <w:pPr>
        <w:rPr>
          <w:lang w:val="en-US"/>
        </w:rPr>
      </w:pPr>
      <w:r>
        <w:rPr>
          <w:lang w:val="en-US"/>
        </w:rPr>
        <w:t>This band and the 23.6 to 24 GHz bands are used for measurements of water vapour and liquid water. Therefore they are used for both surface and atmospheric measurements. They are on either side of the 22.235 GHz water-vapour spectral line. Atmospheric measurements are used with oxygen, O</w:t>
      </w:r>
      <w:r>
        <w:rPr>
          <w:vertAlign w:val="subscript"/>
          <w:lang w:val="en-US"/>
        </w:rPr>
        <w:t>2</w:t>
      </w:r>
      <w:r>
        <w:rPr>
          <w:lang w:val="en-US"/>
        </w:rPr>
        <w:t>, temperature measurements to remove the effect of water vapour on temperature profiles.</w:t>
      </w:r>
    </w:p>
    <w:p w:rsidR="00B9359B" w:rsidRDefault="009A5268">
      <w:pPr>
        <w:pStyle w:val="Heading2"/>
        <w:rPr>
          <w:lang w:val="en-US"/>
        </w:rPr>
      </w:pPr>
      <w:bookmarkStart w:id="298" w:name="_Toc51045698"/>
      <w:r>
        <w:rPr>
          <w:lang w:val="en-US"/>
        </w:rPr>
        <w:t>1.3</w:t>
      </w:r>
      <w:r>
        <w:rPr>
          <w:lang w:val="en-US"/>
        </w:rPr>
        <w:tab/>
        <w:t>Required protection criteria</w:t>
      </w:r>
      <w:bookmarkEnd w:id="298"/>
    </w:p>
    <w:p w:rsidR="00B9359B" w:rsidRDefault="009A5268">
      <w:pPr>
        <w:rPr>
          <w:lang w:val="en-US"/>
        </w:rPr>
      </w:pPr>
      <w:r>
        <w:rPr>
          <w:lang w:val="en-US"/>
        </w:rPr>
        <w:t>The following Recommendations establish the interference criteria for passive sensors.</w:t>
      </w:r>
    </w:p>
    <w:p w:rsidR="00B9359B" w:rsidRDefault="009A5268">
      <w:pPr>
        <w:pStyle w:val="enumlev1"/>
        <w:tabs>
          <w:tab w:val="clear" w:pos="794"/>
          <w:tab w:val="clear" w:pos="1191"/>
          <w:tab w:val="clear" w:pos="1588"/>
          <w:tab w:val="clear" w:pos="1985"/>
          <w:tab w:val="left" w:pos="3515"/>
        </w:tabs>
        <w:ind w:left="3515" w:hanging="3515"/>
        <w:rPr>
          <w:lang w:val="en-US"/>
        </w:rPr>
      </w:pPr>
      <w:bookmarkStart w:id="299" w:name="_Toc51045699"/>
      <w:r>
        <w:rPr>
          <w:lang w:val="en-US"/>
        </w:rPr>
        <w:t>Recommendation ITU-R SA.515 –</w:t>
      </w:r>
      <w:r>
        <w:rPr>
          <w:lang w:val="en-US"/>
        </w:rPr>
        <w:tab/>
        <w:t>Frequency bands and bandwidths used for satellite passive sensing.</w:t>
      </w:r>
    </w:p>
    <w:p w:rsidR="00B9359B" w:rsidRDefault="009A5268">
      <w:pPr>
        <w:pStyle w:val="enumlev1"/>
        <w:tabs>
          <w:tab w:val="clear" w:pos="794"/>
          <w:tab w:val="clear" w:pos="1191"/>
          <w:tab w:val="clear" w:pos="1588"/>
          <w:tab w:val="clear" w:pos="1985"/>
          <w:tab w:val="left" w:pos="3515"/>
        </w:tabs>
        <w:ind w:left="3515" w:hanging="3515"/>
        <w:rPr>
          <w:lang w:val="en-US"/>
        </w:rPr>
      </w:pPr>
      <w:r>
        <w:rPr>
          <w:lang w:val="en-US"/>
        </w:rPr>
        <w:t>Recommendation ITU-R SA.1028 –</w:t>
      </w:r>
      <w:r>
        <w:rPr>
          <w:lang w:val="en-US"/>
        </w:rPr>
        <w:tab/>
        <w:t>Performance criteria for satellite passive remote sensing.</w:t>
      </w:r>
    </w:p>
    <w:p w:rsidR="00B9359B" w:rsidRDefault="009A5268">
      <w:pPr>
        <w:pStyle w:val="enumlev1"/>
        <w:tabs>
          <w:tab w:val="clear" w:pos="794"/>
          <w:tab w:val="clear" w:pos="1191"/>
          <w:tab w:val="clear" w:pos="1588"/>
          <w:tab w:val="clear" w:pos="1985"/>
          <w:tab w:val="left" w:pos="3515"/>
        </w:tabs>
        <w:ind w:left="3515" w:hanging="3515"/>
        <w:rPr>
          <w:lang w:val="en-US"/>
        </w:rPr>
      </w:pPr>
      <w:r>
        <w:rPr>
          <w:lang w:val="en-US"/>
        </w:rPr>
        <w:t>Recommendation ITU-R SA.1029 –</w:t>
      </w:r>
      <w:r>
        <w:rPr>
          <w:lang w:val="en-US"/>
        </w:rPr>
        <w:tab/>
        <w:t>Interference criteria for satellite passive remote sensing.</w:t>
      </w:r>
    </w:p>
    <w:p w:rsidR="00B9359B" w:rsidRDefault="009A5268">
      <w:pPr>
        <w:pStyle w:val="Heading2"/>
        <w:rPr>
          <w:lang w:val="en-US"/>
        </w:rPr>
      </w:pPr>
      <w:r>
        <w:rPr>
          <w:lang w:val="en-US"/>
        </w:rPr>
        <w:t>1.4</w:t>
      </w:r>
      <w:r>
        <w:rPr>
          <w:lang w:val="en-US"/>
        </w:rPr>
        <w:tab/>
        <w:t>Operational characteristics</w:t>
      </w:r>
      <w:bookmarkEnd w:id="299"/>
    </w:p>
    <w:p w:rsidR="00B9359B" w:rsidRDefault="009A5268">
      <w:pPr>
        <w:rPr>
          <w:lang w:val="en-US"/>
        </w:rPr>
      </w:pPr>
      <w:r>
        <w:rPr>
          <w:lang w:val="en-US"/>
        </w:rPr>
        <w:t>Table 25 provides the operating characteristics of the sensor under study.</w:t>
      </w:r>
    </w:p>
    <w:p w:rsidR="00B9359B" w:rsidRDefault="009A5268">
      <w:pPr>
        <w:pStyle w:val="TableNo"/>
        <w:rPr>
          <w:lang w:val="en-US"/>
        </w:rPr>
      </w:pPr>
      <w:r>
        <w:rPr>
          <w:lang w:val="en-US"/>
        </w:rPr>
        <w:t>TABLE  25</w:t>
      </w:r>
    </w:p>
    <w:p w:rsidR="00B9359B" w:rsidRDefault="009A5268">
      <w:pPr>
        <w:pStyle w:val="Tabletitle"/>
        <w:rPr>
          <w:lang w:val="en-US"/>
        </w:rPr>
      </w:pPr>
      <w:r>
        <w:rPr>
          <w:lang w:val="en-US"/>
        </w:rPr>
        <w:t>Parameters of the advanced microwave sounding unit scanning sensor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20"/>
      </w:tblGrid>
      <w:tr w:rsidR="00B9359B">
        <w:tc>
          <w:tcPr>
            <w:tcW w:w="4820" w:type="dxa"/>
          </w:tcPr>
          <w:p w:rsidR="00B9359B" w:rsidRDefault="009A5268">
            <w:pPr>
              <w:pStyle w:val="Tablehead"/>
              <w:framePr w:hSpace="181" w:wrap="notBeside" w:vAnchor="text" w:hAnchor="text" w:xAlign="center" w:y="1"/>
              <w:spacing w:before="120" w:after="120"/>
            </w:pPr>
            <w:r>
              <w:t>Parameter</w:t>
            </w:r>
          </w:p>
        </w:tc>
        <w:tc>
          <w:tcPr>
            <w:tcW w:w="4820" w:type="dxa"/>
          </w:tcPr>
          <w:p w:rsidR="00B9359B" w:rsidRDefault="009A5268">
            <w:pPr>
              <w:pStyle w:val="Tablehead"/>
              <w:framePr w:hSpace="181" w:wrap="notBeside" w:vAnchor="text" w:hAnchor="text" w:xAlign="center" w:y="1"/>
              <w:spacing w:before="120" w:after="120"/>
            </w:pPr>
            <w:r>
              <w:t>Value</w:t>
            </w:r>
          </w:p>
        </w:tc>
      </w:tr>
      <w:tr w:rsidR="00B9359B">
        <w:tc>
          <w:tcPr>
            <w:tcW w:w="4820" w:type="dxa"/>
          </w:tcPr>
          <w:p w:rsidR="00B9359B" w:rsidRDefault="009A5268">
            <w:pPr>
              <w:pStyle w:val="Tabletext"/>
              <w:framePr w:hSpace="181" w:wrap="notBeside" w:vAnchor="text" w:hAnchor="text" w:xAlign="center" w:y="1"/>
              <w:spacing w:before="60" w:after="60"/>
              <w:jc w:val="left"/>
              <w:rPr>
                <w:lang w:val="en-US"/>
              </w:rPr>
            </w:pPr>
            <w:r>
              <w:rPr>
                <w:lang w:val="en-US"/>
              </w:rPr>
              <w:t>Altitude (km)</w:t>
            </w:r>
          </w:p>
        </w:tc>
        <w:tc>
          <w:tcPr>
            <w:tcW w:w="4820" w:type="dxa"/>
          </w:tcPr>
          <w:p w:rsidR="00B9359B" w:rsidRDefault="009A5268">
            <w:pPr>
              <w:pStyle w:val="Tabletext"/>
              <w:framePr w:hSpace="181" w:wrap="notBeside" w:vAnchor="text" w:hAnchor="text" w:xAlign="center" w:y="1"/>
              <w:spacing w:before="60" w:after="60"/>
              <w:jc w:val="center"/>
            </w:pPr>
            <w:r>
              <w:t>850</w:t>
            </w:r>
          </w:p>
        </w:tc>
      </w:tr>
      <w:tr w:rsidR="00B9359B">
        <w:tc>
          <w:tcPr>
            <w:tcW w:w="4820" w:type="dxa"/>
          </w:tcPr>
          <w:p w:rsidR="00B9359B" w:rsidRDefault="009A5268">
            <w:pPr>
              <w:pStyle w:val="Tabletext"/>
              <w:framePr w:hSpace="181" w:wrap="notBeside" w:vAnchor="text" w:hAnchor="text" w:xAlign="center" w:y="1"/>
              <w:spacing w:before="60" w:after="60"/>
              <w:jc w:val="left"/>
            </w:pPr>
            <w:r>
              <w:t>Orbit</w:t>
            </w:r>
          </w:p>
        </w:tc>
        <w:tc>
          <w:tcPr>
            <w:tcW w:w="4820" w:type="dxa"/>
          </w:tcPr>
          <w:p w:rsidR="00B9359B" w:rsidRDefault="009A5268">
            <w:pPr>
              <w:pStyle w:val="Tabletext"/>
              <w:framePr w:hSpace="181" w:wrap="notBeside" w:vAnchor="text" w:hAnchor="text" w:xAlign="center" w:y="1"/>
              <w:spacing w:before="60" w:after="60"/>
              <w:jc w:val="center"/>
            </w:pPr>
            <w:r>
              <w:t>Sun-synchronous polar</w:t>
            </w:r>
          </w:p>
        </w:tc>
      </w:tr>
      <w:tr w:rsidR="00B9359B">
        <w:tc>
          <w:tcPr>
            <w:tcW w:w="4820" w:type="dxa"/>
          </w:tcPr>
          <w:p w:rsidR="00B9359B" w:rsidRDefault="009A5268">
            <w:pPr>
              <w:pStyle w:val="Tabletext"/>
              <w:framePr w:hSpace="181" w:wrap="notBeside" w:vAnchor="text" w:hAnchor="text" w:xAlign="center" w:y="1"/>
              <w:spacing w:before="60" w:after="60"/>
              <w:jc w:val="left"/>
              <w:rPr>
                <w:lang w:val="en-US"/>
              </w:rPr>
            </w:pPr>
            <w:r>
              <w:rPr>
                <w:lang w:val="en-US"/>
              </w:rPr>
              <w:t>Main lobe antenna gain (dBi)</w:t>
            </w:r>
          </w:p>
        </w:tc>
        <w:tc>
          <w:tcPr>
            <w:tcW w:w="4820" w:type="dxa"/>
          </w:tcPr>
          <w:p w:rsidR="00B9359B" w:rsidRDefault="009A5268">
            <w:pPr>
              <w:pStyle w:val="Tabletext"/>
              <w:framePr w:hSpace="181" w:wrap="notBeside" w:vAnchor="text" w:hAnchor="text" w:xAlign="center" w:y="1"/>
              <w:spacing w:before="60" w:after="60"/>
              <w:jc w:val="center"/>
              <w:rPr>
                <w:lang w:val="en-US"/>
              </w:rPr>
            </w:pPr>
            <w:r>
              <w:rPr>
                <w:lang w:val="en-US"/>
              </w:rPr>
              <w:t>36</w:t>
            </w:r>
          </w:p>
        </w:tc>
      </w:tr>
      <w:tr w:rsidR="00B9359B">
        <w:tc>
          <w:tcPr>
            <w:tcW w:w="4820" w:type="dxa"/>
          </w:tcPr>
          <w:p w:rsidR="00B9359B" w:rsidRDefault="009A5268">
            <w:pPr>
              <w:pStyle w:val="Tabletext"/>
              <w:framePr w:hSpace="181" w:wrap="notBeside" w:vAnchor="text" w:hAnchor="text" w:xAlign="center" w:y="1"/>
              <w:spacing w:before="60" w:after="60"/>
              <w:jc w:val="left"/>
              <w:rPr>
                <w:lang w:val="en-US"/>
              </w:rPr>
            </w:pPr>
            <w:r>
              <w:rPr>
                <w:lang w:val="en-US"/>
              </w:rPr>
              <w:t>Antenna 3 dB beamwidth (degrees)</w:t>
            </w:r>
          </w:p>
        </w:tc>
        <w:tc>
          <w:tcPr>
            <w:tcW w:w="4820" w:type="dxa"/>
          </w:tcPr>
          <w:p w:rsidR="00B9359B" w:rsidRDefault="009A5268">
            <w:pPr>
              <w:pStyle w:val="Tabletext"/>
              <w:framePr w:hSpace="181" w:wrap="notBeside" w:vAnchor="text" w:hAnchor="text" w:xAlign="center" w:y="1"/>
              <w:spacing w:before="60" w:after="60"/>
              <w:jc w:val="center"/>
              <w:rPr>
                <w:lang w:val="en-US"/>
              </w:rPr>
            </w:pPr>
            <w:r>
              <w:rPr>
                <w:lang w:val="en-US"/>
              </w:rPr>
              <w:t>3.3</w:t>
            </w:r>
          </w:p>
        </w:tc>
      </w:tr>
      <w:tr w:rsidR="00B9359B">
        <w:tc>
          <w:tcPr>
            <w:tcW w:w="4820" w:type="dxa"/>
          </w:tcPr>
          <w:p w:rsidR="00B9359B" w:rsidRDefault="009A5268">
            <w:pPr>
              <w:pStyle w:val="Tabletext"/>
              <w:framePr w:hSpace="181" w:wrap="notBeside" w:vAnchor="text" w:hAnchor="text" w:xAlign="center" w:y="1"/>
              <w:spacing w:before="60" w:after="60"/>
              <w:jc w:val="left"/>
              <w:rPr>
                <w:lang w:val="en-US"/>
              </w:rPr>
            </w:pPr>
            <w:r>
              <w:rPr>
                <w:lang w:val="en-US"/>
              </w:rPr>
              <w:t>Backlobe and side-lobe gain (dBi)</w:t>
            </w:r>
          </w:p>
        </w:tc>
        <w:tc>
          <w:tcPr>
            <w:tcW w:w="4820" w:type="dxa"/>
          </w:tcPr>
          <w:p w:rsidR="00B9359B" w:rsidRDefault="009A5268">
            <w:pPr>
              <w:pStyle w:val="Tabletext"/>
              <w:framePr w:hSpace="181" w:wrap="notBeside" w:vAnchor="text" w:hAnchor="text" w:xAlign="center" w:y="1"/>
              <w:spacing w:before="60" w:after="60"/>
              <w:jc w:val="center"/>
              <w:rPr>
                <w:lang w:val="en-US"/>
              </w:rPr>
            </w:pPr>
            <w:r>
              <w:sym w:font="Symbol" w:char="F02D"/>
            </w:r>
            <w:r>
              <w:rPr>
                <w:lang w:val="en-US"/>
              </w:rPr>
              <w:t>10</w:t>
            </w:r>
          </w:p>
        </w:tc>
      </w:tr>
      <w:tr w:rsidR="00B9359B">
        <w:tc>
          <w:tcPr>
            <w:tcW w:w="4820" w:type="dxa"/>
          </w:tcPr>
          <w:p w:rsidR="00B9359B" w:rsidRDefault="009A5268">
            <w:pPr>
              <w:pStyle w:val="Tabletext"/>
              <w:framePr w:hSpace="181" w:wrap="notBeside" w:vAnchor="text" w:hAnchor="text" w:xAlign="center" w:y="1"/>
              <w:spacing w:before="60" w:after="60"/>
              <w:jc w:val="left"/>
              <w:rPr>
                <w:lang w:val="en-US"/>
              </w:rPr>
            </w:pPr>
            <w:r>
              <w:rPr>
                <w:lang w:val="en-US"/>
              </w:rPr>
              <w:t>Pixel diameter at nadir (km)</w:t>
            </w:r>
          </w:p>
        </w:tc>
        <w:tc>
          <w:tcPr>
            <w:tcW w:w="4820" w:type="dxa"/>
          </w:tcPr>
          <w:p w:rsidR="00B9359B" w:rsidRDefault="009A5268">
            <w:pPr>
              <w:pStyle w:val="Tabletext"/>
              <w:framePr w:hSpace="181" w:wrap="notBeside" w:vAnchor="text" w:hAnchor="text" w:xAlign="center" w:y="1"/>
              <w:spacing w:before="60" w:after="60"/>
              <w:jc w:val="center"/>
              <w:rPr>
                <w:lang w:val="en-US"/>
              </w:rPr>
            </w:pPr>
            <w:r>
              <w:rPr>
                <w:lang w:val="en-US"/>
              </w:rPr>
              <w:t>49</w:t>
            </w:r>
          </w:p>
        </w:tc>
      </w:tr>
      <w:tr w:rsidR="00B9359B">
        <w:tc>
          <w:tcPr>
            <w:tcW w:w="4820" w:type="dxa"/>
          </w:tcPr>
          <w:p w:rsidR="00B9359B" w:rsidRDefault="009A5268">
            <w:pPr>
              <w:pStyle w:val="Tabletext"/>
              <w:framePr w:hSpace="181" w:wrap="notBeside" w:vAnchor="text" w:hAnchor="text" w:xAlign="center" w:y="1"/>
              <w:spacing w:before="60" w:after="60"/>
              <w:jc w:val="left"/>
              <w:rPr>
                <w:lang w:val="en-US"/>
              </w:rPr>
            </w:pPr>
            <w:r>
              <w:rPr>
                <w:lang w:val="en-US"/>
              </w:rPr>
              <w:t>Pixels per scan</w:t>
            </w:r>
          </w:p>
        </w:tc>
        <w:tc>
          <w:tcPr>
            <w:tcW w:w="4820" w:type="dxa"/>
          </w:tcPr>
          <w:p w:rsidR="00B9359B" w:rsidRDefault="009A5268">
            <w:pPr>
              <w:pStyle w:val="Tabletext"/>
              <w:framePr w:hSpace="181" w:wrap="notBeside" w:vAnchor="text" w:hAnchor="text" w:xAlign="center" w:y="1"/>
              <w:spacing w:before="60" w:after="60"/>
              <w:jc w:val="center"/>
              <w:rPr>
                <w:lang w:val="en-US"/>
              </w:rPr>
            </w:pPr>
            <w:r>
              <w:rPr>
                <w:lang w:val="en-US"/>
              </w:rPr>
              <w:t>90</w:t>
            </w:r>
          </w:p>
        </w:tc>
      </w:tr>
      <w:tr w:rsidR="00B9359B">
        <w:tc>
          <w:tcPr>
            <w:tcW w:w="4820" w:type="dxa"/>
          </w:tcPr>
          <w:p w:rsidR="00B9359B" w:rsidRDefault="009A5268">
            <w:pPr>
              <w:pStyle w:val="Tabletext"/>
              <w:framePr w:hSpace="181" w:wrap="notBeside" w:vAnchor="text" w:hAnchor="text" w:xAlign="center" w:y="1"/>
              <w:spacing w:before="60" w:after="60"/>
              <w:jc w:val="left"/>
              <w:rPr>
                <w:lang w:val="en-US"/>
              </w:rPr>
            </w:pPr>
            <w:r>
              <w:rPr>
                <w:lang w:val="en-US"/>
              </w:rPr>
              <w:t>Scan width (km)</w:t>
            </w:r>
          </w:p>
        </w:tc>
        <w:tc>
          <w:tcPr>
            <w:tcW w:w="4820" w:type="dxa"/>
          </w:tcPr>
          <w:p w:rsidR="00B9359B" w:rsidRDefault="009A5268">
            <w:pPr>
              <w:pStyle w:val="Tabletext"/>
              <w:framePr w:hSpace="181" w:wrap="notBeside" w:vAnchor="text" w:hAnchor="text" w:xAlign="center" w:y="1"/>
              <w:spacing w:before="60" w:after="60"/>
              <w:jc w:val="center"/>
              <w:rPr>
                <w:lang w:val="en-US"/>
              </w:rPr>
            </w:pPr>
            <w:r>
              <w:rPr>
                <w:lang w:val="en-US"/>
              </w:rPr>
              <w:t>2</w:t>
            </w:r>
            <w:r>
              <w:rPr>
                <w:rFonts w:ascii="Tms Rmn" w:hAnsi="Tms Rmn"/>
                <w:sz w:val="12"/>
                <w:lang w:val="en-US"/>
              </w:rPr>
              <w:t> </w:t>
            </w:r>
            <w:r>
              <w:rPr>
                <w:lang w:val="en-US"/>
              </w:rPr>
              <w:t>300</w:t>
            </w:r>
          </w:p>
        </w:tc>
      </w:tr>
    </w:tbl>
    <w:p w:rsidR="00B9359B" w:rsidRDefault="00B9359B">
      <w:pPr>
        <w:pStyle w:val="Tablefin"/>
      </w:pPr>
    </w:p>
    <w:p w:rsidR="00B9359B" w:rsidRDefault="009A5268">
      <w:pPr>
        <w:pStyle w:val="Heading1"/>
        <w:rPr>
          <w:lang w:val="en-US"/>
        </w:rPr>
      </w:pPr>
      <w:bookmarkStart w:id="300" w:name="_Toc51045700"/>
      <w:r>
        <w:rPr>
          <w:lang w:val="en-US"/>
        </w:rPr>
        <w:t>2</w:t>
      </w:r>
      <w:r>
        <w:rPr>
          <w:lang w:val="en-US"/>
        </w:rPr>
        <w:tab/>
        <w:t>FSS (space-to-Earth) and MSS (space-to-Earth)</w:t>
      </w:r>
      <w:bookmarkEnd w:id="300"/>
    </w:p>
    <w:p w:rsidR="00B9359B" w:rsidRDefault="009A5268">
      <w:pPr>
        <w:pStyle w:val="Heading2"/>
        <w:rPr>
          <w:lang w:val="en-US"/>
        </w:rPr>
      </w:pPr>
      <w:bookmarkStart w:id="301" w:name="_Toc51045701"/>
      <w:r>
        <w:rPr>
          <w:lang w:val="en-US"/>
        </w:rPr>
        <w:t>2.1</w:t>
      </w:r>
      <w:r>
        <w:rPr>
          <w:lang w:val="en-US"/>
        </w:rPr>
        <w:tab/>
        <w:t>Allocated transmit band</w:t>
      </w:r>
      <w:bookmarkEnd w:id="301"/>
    </w:p>
    <w:p w:rsidR="00B9359B" w:rsidRDefault="009A5268">
      <w:pPr>
        <w:rPr>
          <w:lang w:val="en-US"/>
        </w:rPr>
      </w:pPr>
      <w:r>
        <w:rPr>
          <w:lang w:val="en-US"/>
        </w:rPr>
        <w:t>Refer to Table 24.</w:t>
      </w:r>
    </w:p>
    <w:p w:rsidR="00B9359B" w:rsidRDefault="009A5268">
      <w:pPr>
        <w:pStyle w:val="Heading2"/>
        <w:rPr>
          <w:lang w:val="en-US"/>
        </w:rPr>
      </w:pPr>
      <w:bookmarkStart w:id="302" w:name="_Toc51045702"/>
      <w:r>
        <w:rPr>
          <w:lang w:val="en-US"/>
        </w:rPr>
        <w:br w:type="page"/>
        <w:t>2.2</w:t>
      </w:r>
      <w:r>
        <w:rPr>
          <w:lang w:val="en-US"/>
        </w:rPr>
        <w:tab/>
        <w:t>Application</w:t>
      </w:r>
      <w:bookmarkEnd w:id="302"/>
    </w:p>
    <w:p w:rsidR="00B9359B" w:rsidRDefault="009A5268">
      <w:pPr>
        <w:rPr>
          <w:lang w:val="en-US"/>
        </w:rPr>
      </w:pPr>
      <w:r>
        <w:rPr>
          <w:lang w:val="en-US"/>
        </w:rPr>
        <w:t>The active services under consideration for this Annex are the FSS (space-to-Earth) and the MSS (space-to-Earth) in the 20.2-21.2 GHz band.</w:t>
      </w:r>
    </w:p>
    <w:p w:rsidR="00B9359B" w:rsidRDefault="009A5268">
      <w:pPr>
        <w:pStyle w:val="Heading2"/>
        <w:rPr>
          <w:lang w:val="en-US"/>
        </w:rPr>
      </w:pPr>
      <w:bookmarkStart w:id="303" w:name="_Toc51045703"/>
      <w:r>
        <w:rPr>
          <w:lang w:val="en-US"/>
        </w:rPr>
        <w:t>2.3</w:t>
      </w:r>
      <w:r>
        <w:rPr>
          <w:lang w:val="en-US"/>
        </w:rPr>
        <w:tab/>
        <w:t>Levels based on RR provisions and ITU-R Recommendations</w:t>
      </w:r>
      <w:bookmarkEnd w:id="303"/>
    </w:p>
    <w:p w:rsidR="00B9359B" w:rsidRDefault="009A5268">
      <w:pPr>
        <w:pStyle w:val="Heading3"/>
        <w:ind w:left="0" w:firstLine="0"/>
        <w:rPr>
          <w:lang w:val="en-US"/>
        </w:rPr>
      </w:pPr>
      <w:bookmarkStart w:id="304" w:name="_Toc51045704"/>
      <w:r>
        <w:rPr>
          <w:lang w:val="en-US"/>
        </w:rPr>
        <w:t>2.3.1</w:t>
      </w:r>
      <w:r>
        <w:rPr>
          <w:lang w:val="en-US"/>
        </w:rPr>
        <w:tab/>
        <w:t>RR No. 1.153</w:t>
      </w:r>
      <w:bookmarkEnd w:id="304"/>
    </w:p>
    <w:p w:rsidR="00B9359B" w:rsidRDefault="009A5268">
      <w:pPr>
        <w:rPr>
          <w:lang w:val="en-US"/>
        </w:rPr>
      </w:pPr>
      <w:r>
        <w:rPr>
          <w:lang w:val="en-US"/>
        </w:rPr>
        <w:t xml:space="preserve">The RR defines </w:t>
      </w:r>
      <w:r>
        <w:rPr>
          <w:i/>
          <w:lang w:val="en-US"/>
        </w:rPr>
        <w:t>occupied bandwidth</w:t>
      </w:r>
      <w:r>
        <w:rPr>
          <w:lang w:val="en-US"/>
        </w:rPr>
        <w:t xml:space="preserve"> as follows:</w:t>
      </w:r>
    </w:p>
    <w:p w:rsidR="00B9359B" w:rsidRDefault="009A5268">
      <w:pPr>
        <w:rPr>
          <w:lang w:val="en-US"/>
        </w:rPr>
      </w:pPr>
      <w:r>
        <w:rPr>
          <w:b/>
          <w:bCs/>
          <w:lang w:val="en-US"/>
        </w:rPr>
        <w:t>“1.153</w:t>
      </w:r>
      <w:r>
        <w:rPr>
          <w:lang w:val="en-US"/>
        </w:rPr>
        <w:t>   </w:t>
      </w:r>
      <w:r>
        <w:rPr>
          <w:i/>
          <w:lang w:val="en-US"/>
        </w:rPr>
        <w:t>occupied bandwidth</w:t>
      </w:r>
      <w:r>
        <w:rPr>
          <w:iCs/>
          <w:lang w:val="en-US"/>
        </w:rPr>
        <w:t>:   </w:t>
      </w:r>
      <w:r>
        <w:rPr>
          <w:lang w:val="en-US"/>
        </w:rPr>
        <w:t xml:space="preserve">The width of a frequency band such that, below the lower and above the upper frequency limits, the </w:t>
      </w:r>
      <w:r>
        <w:rPr>
          <w:i/>
          <w:lang w:val="en-US"/>
        </w:rPr>
        <w:t>mean powers</w:t>
      </w:r>
      <w:r>
        <w:rPr>
          <w:lang w:val="en-US"/>
        </w:rPr>
        <w:t xml:space="preserve"> emitted are each equal to a specified percentage </w:t>
      </w:r>
      <w:r>
        <w:rPr>
          <w:rFonts w:ascii="Symbol" w:hAnsi="Symbol"/>
        </w:rPr>
        <w:t></w:t>
      </w:r>
      <w:r>
        <w:rPr>
          <w:lang w:val="en-US"/>
        </w:rPr>
        <w:t xml:space="preserve">/2 of the total </w:t>
      </w:r>
      <w:r>
        <w:rPr>
          <w:i/>
          <w:lang w:val="en-US"/>
        </w:rPr>
        <w:t>mean power</w:t>
      </w:r>
      <w:r>
        <w:rPr>
          <w:lang w:val="en-US"/>
        </w:rPr>
        <w:t xml:space="preserve"> of a given </w:t>
      </w:r>
      <w:r>
        <w:rPr>
          <w:i/>
          <w:lang w:val="en-US"/>
        </w:rPr>
        <w:t>emission</w:t>
      </w:r>
      <w:r>
        <w:rPr>
          <w:lang w:val="en-US"/>
        </w:rPr>
        <w:t>.</w:t>
      </w:r>
    </w:p>
    <w:p w:rsidR="00B9359B" w:rsidRDefault="009A5268">
      <w:pPr>
        <w:rPr>
          <w:lang w:val="en-US"/>
        </w:rPr>
      </w:pPr>
      <w:r>
        <w:rPr>
          <w:lang w:val="en-US"/>
        </w:rPr>
        <w:tab/>
        <w:t xml:space="preserve">Unless otherwise specified in an ITU-R Recommendation for the appropriate </w:t>
      </w:r>
      <w:r>
        <w:rPr>
          <w:i/>
          <w:lang w:val="en-US"/>
        </w:rPr>
        <w:t>class of emission</w:t>
      </w:r>
      <w:r>
        <w:rPr>
          <w:lang w:val="en-US"/>
        </w:rPr>
        <w:t xml:space="preserve">, the value of </w:t>
      </w:r>
      <w:r>
        <w:rPr>
          <w:rFonts w:ascii="Symbol" w:hAnsi="Symbol"/>
        </w:rPr>
        <w:t></w:t>
      </w:r>
      <w:r>
        <w:rPr>
          <w:lang w:val="en-US"/>
        </w:rPr>
        <w:t>/2 should be taken as 0.5%.”</w:t>
      </w:r>
    </w:p>
    <w:p w:rsidR="00B9359B" w:rsidRDefault="009A5268">
      <w:pPr>
        <w:rPr>
          <w:lang w:val="en-US"/>
        </w:rPr>
      </w:pPr>
      <w:r>
        <w:rPr>
          <w:lang w:val="en-US"/>
        </w:rPr>
        <w:t xml:space="preserve">If the upper edge of the occupied bandwidth were at or below the upper limit of the satellite service allocation, the total power of unwanted emissions at frequencies above the allocated bandwidth would be no greater than 0.5% of </w:t>
      </w:r>
      <w:r>
        <w:rPr>
          <w:i/>
          <w:lang w:val="en-US"/>
        </w:rPr>
        <w:t>P</w:t>
      </w:r>
      <w:r>
        <w:rPr>
          <w:lang w:val="en-US"/>
        </w:rPr>
        <w:t xml:space="preserve">, where </w:t>
      </w:r>
      <w:r>
        <w:rPr>
          <w:i/>
          <w:lang w:val="en-US"/>
        </w:rPr>
        <w:t>P</w:t>
      </w:r>
      <w:r>
        <w:rPr>
          <w:lang w:val="en-US"/>
        </w:rPr>
        <w:t xml:space="preserve"> is the in-band power. Therefore, the total power of unwanted emission at frequencies in the EESS band and above is no greater than </w:t>
      </w:r>
      <w:r>
        <w:rPr>
          <w:i/>
          <w:lang w:val="en-US"/>
        </w:rPr>
        <w:t>P</w:t>
      </w:r>
      <w:r>
        <w:rPr>
          <w:lang w:val="en-US"/>
        </w:rPr>
        <w:t> </w:t>
      </w:r>
      <w:r>
        <w:rPr>
          <w:rFonts w:ascii="Symbol" w:hAnsi="Symbol"/>
          <w:lang w:val="en-US"/>
        </w:rPr>
        <w:noBreakHyphen/>
      </w:r>
      <w:r>
        <w:rPr>
          <w:lang w:val="en-US"/>
        </w:rPr>
        <w:t> 23 dB.</w:t>
      </w:r>
    </w:p>
    <w:p w:rsidR="00B9359B" w:rsidRDefault="009A5268">
      <w:pPr>
        <w:pStyle w:val="Heading3"/>
        <w:rPr>
          <w:lang w:val="en-US"/>
        </w:rPr>
      </w:pPr>
      <w:bookmarkStart w:id="305" w:name="_Toc51045705"/>
      <w:r>
        <w:rPr>
          <w:lang w:val="en-US"/>
        </w:rPr>
        <w:t>2.3.2</w:t>
      </w:r>
      <w:r>
        <w:rPr>
          <w:lang w:val="en-US"/>
        </w:rPr>
        <w:tab/>
        <w:t>Recommendation ITU-R SM.1541</w:t>
      </w:r>
      <w:bookmarkEnd w:id="305"/>
    </w:p>
    <w:p w:rsidR="00B9359B" w:rsidRDefault="009A5268">
      <w:pPr>
        <w:rPr>
          <w:b/>
          <w:lang w:val="en-US"/>
        </w:rPr>
      </w:pPr>
      <w:r>
        <w:rPr>
          <w:lang w:val="en-US"/>
        </w:rPr>
        <w:t>Recommendation ITU-R SM.1541 provides guidance on unwanted emissions falling outside the allocated bandwidth.</w:t>
      </w:r>
    </w:p>
    <w:p w:rsidR="00B9359B" w:rsidRDefault="009A5268">
      <w:pPr>
        <w:pStyle w:val="Heading3"/>
        <w:rPr>
          <w:lang w:val="en-US"/>
        </w:rPr>
      </w:pPr>
      <w:bookmarkStart w:id="306" w:name="_Toc51045706"/>
      <w:r>
        <w:rPr>
          <w:lang w:val="en-US"/>
        </w:rPr>
        <w:t>2.3.3</w:t>
      </w:r>
      <w:r>
        <w:rPr>
          <w:lang w:val="en-US"/>
        </w:rPr>
        <w:tab/>
        <w:t>Recommendation ITU-R SM.329</w:t>
      </w:r>
      <w:bookmarkEnd w:id="306"/>
    </w:p>
    <w:p w:rsidR="00B9359B" w:rsidRDefault="009A5268">
      <w:pPr>
        <w:rPr>
          <w:lang w:val="en-US"/>
        </w:rPr>
      </w:pPr>
      <w:r>
        <w:rPr>
          <w:lang w:val="en-US"/>
        </w:rPr>
        <w:t>Recommendation ITU-R SM.329 provides information on unwanted emissions falling into the spurious domain.</w:t>
      </w:r>
    </w:p>
    <w:p w:rsidR="00B9359B" w:rsidRDefault="009A5268">
      <w:pPr>
        <w:rPr>
          <w:lang w:val="en-US"/>
        </w:rPr>
      </w:pPr>
      <w:r>
        <w:rPr>
          <w:lang w:val="en-US"/>
        </w:rPr>
        <w:t>Even though levels are provided for narrowband and broadband spurious emissions it is noted that, except for spurious components, emissions roll off beyond the OoB domain. This analysis will consider the emissions to roll off at 40 dB per decade. The impact of spurious emissions will be handled as accumulative components of several emitters.</w:t>
      </w:r>
    </w:p>
    <w:p w:rsidR="00B9359B" w:rsidRDefault="009A5268">
      <w:pPr>
        <w:pStyle w:val="Heading2"/>
        <w:rPr>
          <w:lang w:val="en-US"/>
        </w:rPr>
      </w:pPr>
      <w:bookmarkStart w:id="307" w:name="_Toc51045707"/>
      <w:r>
        <w:rPr>
          <w:lang w:val="en-US"/>
        </w:rPr>
        <w:t>2.4</w:t>
      </w:r>
      <w:r>
        <w:rPr>
          <w:lang w:val="en-US"/>
        </w:rPr>
        <w:tab/>
        <w:t>Transmitter characteristics</w:t>
      </w:r>
      <w:bookmarkEnd w:id="307"/>
      <w:r>
        <w:rPr>
          <w:lang w:val="en-US"/>
        </w:rPr>
        <w:t xml:space="preserve"> </w:t>
      </w:r>
    </w:p>
    <w:p w:rsidR="00B9359B" w:rsidRDefault="009A5268">
      <w:pPr>
        <w:rPr>
          <w:lang w:val="en-US"/>
        </w:rPr>
      </w:pPr>
      <w:r>
        <w:rPr>
          <w:lang w:val="en-US"/>
        </w:rPr>
        <w:t>The transmitter characteristics are derived from Recommendation ITU-R S.1328-3 – Satellite system characteristics to be considered in frequency sharing analyses between geostationary-satellite orbit (GSO) and non-GSO satellite systems in the fixed-satellite service (FSS) including feeder links for the mobile-satellite service (MSS). This Recommendation tabulates a variety of satellite systems that are representative of systems that are being considered for deployment in various bands.</w:t>
      </w:r>
    </w:p>
    <w:p w:rsidR="00B9359B" w:rsidRDefault="009A5268">
      <w:pPr>
        <w:pStyle w:val="Heading2"/>
        <w:rPr>
          <w:lang w:val="en-US"/>
        </w:rPr>
      </w:pPr>
      <w:bookmarkStart w:id="308" w:name="_Toc51045708"/>
      <w:r>
        <w:rPr>
          <w:lang w:val="en-US"/>
        </w:rPr>
        <w:t>2.5</w:t>
      </w:r>
      <w:r>
        <w:rPr>
          <w:lang w:val="en-US"/>
        </w:rPr>
        <w:tab/>
        <w:t>Operational characteristics</w:t>
      </w:r>
      <w:bookmarkEnd w:id="308"/>
    </w:p>
    <w:p w:rsidR="00B9359B" w:rsidRDefault="009A5268">
      <w:pPr>
        <w:rPr>
          <w:lang w:val="en-US"/>
        </w:rPr>
      </w:pPr>
      <w:r>
        <w:rPr>
          <w:lang w:val="en-US"/>
        </w:rPr>
        <w:t>Twenty-six FSS or MSS systems were specified in the reference for use in the 20.2-20.4 GHz band. Both GSO and non</w:t>
      </w:r>
      <w:r>
        <w:rPr>
          <w:lang w:val="en-US"/>
        </w:rPr>
        <w:noBreakHyphen/>
        <w:t>GSO systems are included.</w:t>
      </w:r>
    </w:p>
    <w:p w:rsidR="00B9359B" w:rsidRDefault="009A5268">
      <w:pPr>
        <w:rPr>
          <w:lang w:val="en-US"/>
        </w:rPr>
      </w:pPr>
      <w:r>
        <w:rPr>
          <w:lang w:val="en-US"/>
        </w:rPr>
        <w:br w:type="page"/>
        <w:t>No non-GSO systems listed in the reference operate between 19.7-20.3 GHz. The list below shows characteristics for systems that operate below 19.7 GHz. In spite of the lack of listings, non</w:t>
      </w:r>
      <w:r>
        <w:rPr>
          <w:lang w:val="en-US"/>
        </w:rPr>
        <w:noBreakHyphen/>
        <w:t>GSO operation is not prohibited in this band.</w:t>
      </w:r>
    </w:p>
    <w:p w:rsidR="00B9359B" w:rsidRDefault="009A5268">
      <w:pPr>
        <w:pStyle w:val="Heading2"/>
        <w:rPr>
          <w:lang w:val="en-US"/>
        </w:rPr>
      </w:pPr>
      <w:bookmarkStart w:id="309" w:name="_Toc51045709"/>
      <w:r>
        <w:rPr>
          <w:lang w:val="en-US"/>
        </w:rPr>
        <w:t>2.6</w:t>
      </w:r>
      <w:r>
        <w:rPr>
          <w:lang w:val="en-US"/>
        </w:rPr>
        <w:tab/>
        <w:t>In-band transmit level</w:t>
      </w:r>
      <w:bookmarkEnd w:id="309"/>
    </w:p>
    <w:p w:rsidR="00B9359B" w:rsidRDefault="009A5268">
      <w:pPr>
        <w:rPr>
          <w:lang w:val="en-US"/>
        </w:rPr>
      </w:pPr>
      <w:r>
        <w:rPr>
          <w:lang w:val="en-US"/>
        </w:rPr>
        <w:t>See Tables 26 and 27.</w:t>
      </w:r>
    </w:p>
    <w:p w:rsidR="00B9359B" w:rsidRDefault="009A5268">
      <w:pPr>
        <w:pStyle w:val="TableNo"/>
        <w:rPr>
          <w:lang w:val="en-US"/>
        </w:rPr>
      </w:pPr>
      <w:r>
        <w:rPr>
          <w:lang w:val="en-US"/>
        </w:rPr>
        <w:t>TABLE  26</w:t>
      </w:r>
    </w:p>
    <w:p w:rsidR="00B9359B" w:rsidRDefault="009A5268">
      <w:pPr>
        <w:pStyle w:val="Tabletitle"/>
        <w:rPr>
          <w:lang w:val="en-US"/>
        </w:rPr>
      </w:pPr>
      <w:r>
        <w:rPr>
          <w:lang w:val="en-US"/>
        </w:rPr>
        <w:t>Downlink characteristics of GSO space stations</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438"/>
        <w:gridCol w:w="1758"/>
        <w:gridCol w:w="1758"/>
        <w:gridCol w:w="1985"/>
        <w:gridCol w:w="1758"/>
      </w:tblGrid>
      <w:tr w:rsidR="00B9359B">
        <w:tc>
          <w:tcPr>
            <w:tcW w:w="2438" w:type="dxa"/>
          </w:tcPr>
          <w:p w:rsidR="00B9359B" w:rsidRDefault="009A5268">
            <w:pPr>
              <w:pStyle w:val="Tablehead"/>
              <w:framePr w:hSpace="181" w:wrap="notBeside" w:vAnchor="text" w:hAnchor="text" w:xAlign="center" w:y="1"/>
              <w:jc w:val="left"/>
              <w:rPr>
                <w:lang w:val="en-US"/>
              </w:rPr>
            </w:pPr>
            <w:r>
              <w:rPr>
                <w:lang w:val="en-US"/>
              </w:rPr>
              <w:t>System</w:t>
            </w:r>
          </w:p>
        </w:tc>
        <w:tc>
          <w:tcPr>
            <w:tcW w:w="1758" w:type="dxa"/>
          </w:tcPr>
          <w:p w:rsidR="00B9359B" w:rsidRDefault="009A5268">
            <w:pPr>
              <w:pStyle w:val="Tablehead"/>
              <w:framePr w:hSpace="181" w:wrap="notBeside" w:vAnchor="text" w:hAnchor="text" w:xAlign="center" w:y="1"/>
              <w:rPr>
                <w:lang w:val="en-US"/>
              </w:rPr>
            </w:pPr>
            <w:r>
              <w:rPr>
                <w:lang w:val="en-US"/>
              </w:rPr>
              <w:t>GSO-20</w:t>
            </w:r>
          </w:p>
        </w:tc>
        <w:tc>
          <w:tcPr>
            <w:tcW w:w="1758" w:type="dxa"/>
          </w:tcPr>
          <w:p w:rsidR="00B9359B" w:rsidRDefault="009A5268">
            <w:pPr>
              <w:pStyle w:val="Tablehead"/>
              <w:framePr w:hSpace="181" w:wrap="notBeside" w:vAnchor="text" w:hAnchor="text" w:xAlign="center" w:y="1"/>
              <w:rPr>
                <w:lang w:val="en-US"/>
              </w:rPr>
            </w:pPr>
            <w:r>
              <w:rPr>
                <w:lang w:val="en-US"/>
              </w:rPr>
              <w:t>GSO-30</w:t>
            </w:r>
          </w:p>
        </w:tc>
        <w:tc>
          <w:tcPr>
            <w:tcW w:w="1985" w:type="dxa"/>
          </w:tcPr>
          <w:p w:rsidR="00B9359B" w:rsidRDefault="009A5268">
            <w:pPr>
              <w:pStyle w:val="Tablehead"/>
              <w:framePr w:hSpace="181" w:wrap="notBeside" w:vAnchor="text" w:hAnchor="text" w:xAlign="center" w:y="1"/>
              <w:rPr>
                <w:lang w:val="en-US"/>
              </w:rPr>
            </w:pPr>
            <w:r>
              <w:rPr>
                <w:lang w:val="en-US"/>
              </w:rPr>
              <w:t>GSO-F</w:t>
            </w:r>
          </w:p>
        </w:tc>
        <w:tc>
          <w:tcPr>
            <w:tcW w:w="1758" w:type="dxa"/>
          </w:tcPr>
          <w:p w:rsidR="00B9359B" w:rsidRDefault="009A5268">
            <w:pPr>
              <w:pStyle w:val="Tablehead"/>
              <w:framePr w:hSpace="181" w:wrap="notBeside" w:vAnchor="text" w:hAnchor="text" w:xAlign="center" w:y="1"/>
              <w:rPr>
                <w:lang w:val="en-US"/>
              </w:rPr>
            </w:pPr>
            <w:r>
              <w:rPr>
                <w:lang w:val="en-US"/>
              </w:rPr>
              <w:t>GSO-13</w:t>
            </w:r>
          </w:p>
        </w:tc>
      </w:tr>
      <w:tr w:rsidR="00B9359B">
        <w:tc>
          <w:tcPr>
            <w:tcW w:w="2438" w:type="dxa"/>
          </w:tcPr>
          <w:p w:rsidR="00B9359B" w:rsidRDefault="009A5268">
            <w:pPr>
              <w:pStyle w:val="Tabletext"/>
              <w:framePr w:hSpace="181" w:wrap="notBeside" w:vAnchor="text" w:hAnchor="text" w:xAlign="center" w:y="1"/>
              <w:spacing w:before="50" w:after="50"/>
              <w:rPr>
                <w:lang w:val="en-US"/>
              </w:rPr>
            </w:pPr>
            <w:r>
              <w:rPr>
                <w:lang w:val="en-US"/>
              </w:rPr>
              <w:t>Service</w:t>
            </w:r>
          </w:p>
        </w:tc>
        <w:tc>
          <w:tcPr>
            <w:tcW w:w="1758" w:type="dxa"/>
          </w:tcPr>
          <w:p w:rsidR="00B9359B" w:rsidRDefault="009A5268">
            <w:pPr>
              <w:pStyle w:val="Tabletext"/>
              <w:framePr w:hSpace="181" w:wrap="notBeside" w:vAnchor="text" w:hAnchor="text" w:xAlign="center" w:y="1"/>
              <w:spacing w:before="50" w:after="50"/>
              <w:jc w:val="center"/>
              <w:rPr>
                <w:lang w:val="en-US"/>
              </w:rPr>
            </w:pPr>
            <w:r>
              <w:rPr>
                <w:lang w:val="en-US"/>
              </w:rPr>
              <w:t>FSS/MSS</w:t>
            </w:r>
          </w:p>
        </w:tc>
        <w:tc>
          <w:tcPr>
            <w:tcW w:w="1758" w:type="dxa"/>
          </w:tcPr>
          <w:p w:rsidR="00B9359B" w:rsidRDefault="009A5268">
            <w:pPr>
              <w:pStyle w:val="Tabletext"/>
              <w:framePr w:hSpace="181" w:wrap="notBeside" w:vAnchor="text" w:hAnchor="text" w:xAlign="center" w:y="1"/>
              <w:spacing w:before="50" w:after="50"/>
              <w:jc w:val="center"/>
              <w:rPr>
                <w:lang w:val="en-US"/>
              </w:rPr>
            </w:pPr>
            <w:r>
              <w:rPr>
                <w:lang w:val="en-US"/>
              </w:rPr>
              <w:t>FSS</w:t>
            </w:r>
          </w:p>
        </w:tc>
        <w:tc>
          <w:tcPr>
            <w:tcW w:w="1985" w:type="dxa"/>
          </w:tcPr>
          <w:p w:rsidR="00B9359B" w:rsidRDefault="009A5268">
            <w:pPr>
              <w:pStyle w:val="Tabletext"/>
              <w:framePr w:hSpace="181" w:wrap="notBeside" w:vAnchor="text" w:hAnchor="text" w:xAlign="center" w:y="1"/>
              <w:spacing w:before="50" w:after="50"/>
              <w:jc w:val="center"/>
              <w:rPr>
                <w:lang w:val="en-US"/>
              </w:rPr>
            </w:pPr>
            <w:r>
              <w:rPr>
                <w:lang w:val="en-US"/>
              </w:rPr>
              <w:t>MSS</w:t>
            </w:r>
          </w:p>
        </w:tc>
        <w:tc>
          <w:tcPr>
            <w:tcW w:w="1758" w:type="dxa"/>
          </w:tcPr>
          <w:p w:rsidR="00B9359B" w:rsidRDefault="009A5268">
            <w:pPr>
              <w:pStyle w:val="Tabletext"/>
              <w:framePr w:hSpace="181" w:wrap="notBeside" w:vAnchor="text" w:hAnchor="text" w:xAlign="center" w:y="1"/>
              <w:spacing w:before="50" w:after="50"/>
              <w:jc w:val="center"/>
              <w:rPr>
                <w:lang w:val="en-US"/>
              </w:rPr>
            </w:pPr>
            <w:r>
              <w:rPr>
                <w:lang w:val="en-US"/>
              </w:rPr>
              <w:t>FSS</w:t>
            </w:r>
          </w:p>
        </w:tc>
      </w:tr>
      <w:tr w:rsidR="00B9359B">
        <w:tc>
          <w:tcPr>
            <w:tcW w:w="2438" w:type="dxa"/>
          </w:tcPr>
          <w:p w:rsidR="00B9359B" w:rsidRDefault="009A5268">
            <w:pPr>
              <w:pStyle w:val="Tabletext"/>
              <w:framePr w:hSpace="181" w:wrap="notBeside" w:vAnchor="text" w:hAnchor="text" w:xAlign="center" w:y="1"/>
              <w:spacing w:before="50" w:after="50"/>
              <w:rPr>
                <w:lang w:val="en-US"/>
              </w:rPr>
            </w:pPr>
            <w:r>
              <w:rPr>
                <w:lang w:val="en-US"/>
              </w:rPr>
              <w:t>Polarization</w:t>
            </w:r>
          </w:p>
        </w:tc>
        <w:tc>
          <w:tcPr>
            <w:tcW w:w="1758" w:type="dxa"/>
          </w:tcPr>
          <w:p w:rsidR="00B9359B" w:rsidRDefault="009A5268">
            <w:pPr>
              <w:pStyle w:val="Tabletext"/>
              <w:framePr w:hSpace="181" w:wrap="notBeside" w:vAnchor="text" w:hAnchor="text" w:xAlign="center" w:y="1"/>
              <w:spacing w:before="50" w:after="50"/>
              <w:jc w:val="center"/>
              <w:rPr>
                <w:lang w:val="en-US"/>
              </w:rPr>
            </w:pPr>
            <w:r>
              <w:rPr>
                <w:lang w:val="en-US"/>
              </w:rPr>
              <w:t>LHCP/RHCP</w:t>
            </w:r>
          </w:p>
        </w:tc>
        <w:tc>
          <w:tcPr>
            <w:tcW w:w="1758" w:type="dxa"/>
          </w:tcPr>
          <w:p w:rsidR="00B9359B" w:rsidRDefault="009A5268">
            <w:pPr>
              <w:pStyle w:val="Tabletext"/>
              <w:framePr w:hSpace="181" w:wrap="notBeside" w:vAnchor="text" w:hAnchor="text" w:xAlign="center" w:y="1"/>
              <w:spacing w:before="50" w:after="50"/>
              <w:jc w:val="center"/>
              <w:rPr>
                <w:lang w:val="en-US"/>
              </w:rPr>
            </w:pPr>
            <w:r>
              <w:rPr>
                <w:lang w:val="en-US"/>
              </w:rPr>
              <w:t>LHCP/RHCP</w:t>
            </w:r>
          </w:p>
        </w:tc>
        <w:tc>
          <w:tcPr>
            <w:tcW w:w="1985" w:type="dxa"/>
          </w:tcPr>
          <w:p w:rsidR="00B9359B" w:rsidRDefault="00B9359B">
            <w:pPr>
              <w:pStyle w:val="Tabletext"/>
              <w:framePr w:hSpace="181" w:wrap="notBeside" w:vAnchor="text" w:hAnchor="text" w:xAlign="center" w:y="1"/>
              <w:spacing w:before="50" w:after="50"/>
              <w:jc w:val="center"/>
              <w:rPr>
                <w:lang w:val="en-US"/>
              </w:rPr>
            </w:pPr>
          </w:p>
        </w:tc>
        <w:tc>
          <w:tcPr>
            <w:tcW w:w="1758" w:type="dxa"/>
          </w:tcPr>
          <w:p w:rsidR="00B9359B" w:rsidRDefault="009A5268">
            <w:pPr>
              <w:pStyle w:val="Tabletext"/>
              <w:framePr w:hSpace="181" w:wrap="notBeside" w:vAnchor="text" w:hAnchor="text" w:xAlign="center" w:y="1"/>
              <w:spacing w:before="50" w:after="50"/>
              <w:jc w:val="center"/>
              <w:rPr>
                <w:lang w:val="en-US"/>
              </w:rPr>
            </w:pPr>
            <w:r>
              <w:rPr>
                <w:lang w:val="en-US"/>
              </w:rPr>
              <w:t>RHCP/LHCP</w:t>
            </w:r>
          </w:p>
        </w:tc>
      </w:tr>
      <w:tr w:rsidR="00B9359B">
        <w:tc>
          <w:tcPr>
            <w:tcW w:w="2438" w:type="dxa"/>
          </w:tcPr>
          <w:p w:rsidR="00B9359B" w:rsidRDefault="009A5268">
            <w:pPr>
              <w:pStyle w:val="Tabletext"/>
              <w:framePr w:hSpace="181" w:wrap="notBeside" w:vAnchor="text" w:hAnchor="text" w:xAlign="center" w:y="1"/>
              <w:spacing w:before="50" w:after="50"/>
              <w:rPr>
                <w:lang w:val="en-US"/>
              </w:rPr>
            </w:pPr>
            <w:r>
              <w:rPr>
                <w:lang w:val="en-US"/>
              </w:rPr>
              <w:t>Modulation</w:t>
            </w:r>
          </w:p>
        </w:tc>
        <w:tc>
          <w:tcPr>
            <w:tcW w:w="1758" w:type="dxa"/>
          </w:tcPr>
          <w:p w:rsidR="00B9359B" w:rsidRDefault="009A5268">
            <w:pPr>
              <w:pStyle w:val="Tabletext"/>
              <w:framePr w:hSpace="181" w:wrap="notBeside" w:vAnchor="text" w:hAnchor="text" w:xAlign="center" w:y="1"/>
              <w:spacing w:before="50" w:after="50"/>
              <w:jc w:val="center"/>
              <w:rPr>
                <w:lang w:val="en-US"/>
              </w:rPr>
            </w:pPr>
            <w:r>
              <w:rPr>
                <w:lang w:val="en-US"/>
              </w:rPr>
              <w:t>FDMA/QPSK</w:t>
            </w:r>
          </w:p>
        </w:tc>
        <w:tc>
          <w:tcPr>
            <w:tcW w:w="1758" w:type="dxa"/>
          </w:tcPr>
          <w:p w:rsidR="00B9359B" w:rsidRDefault="009A5268">
            <w:pPr>
              <w:pStyle w:val="Tabletext"/>
              <w:framePr w:hSpace="181" w:wrap="notBeside" w:vAnchor="text" w:hAnchor="text" w:xAlign="center" w:y="1"/>
              <w:spacing w:before="50" w:after="50"/>
              <w:jc w:val="center"/>
              <w:rPr>
                <w:lang w:val="en-US"/>
              </w:rPr>
            </w:pPr>
            <w:r>
              <w:rPr>
                <w:lang w:val="en-US"/>
              </w:rPr>
              <w:t>Phase</w:t>
            </w:r>
          </w:p>
        </w:tc>
        <w:tc>
          <w:tcPr>
            <w:tcW w:w="1985" w:type="dxa"/>
          </w:tcPr>
          <w:p w:rsidR="00B9359B" w:rsidRDefault="009A5268">
            <w:pPr>
              <w:pStyle w:val="Tabletext"/>
              <w:framePr w:hSpace="181" w:wrap="notBeside" w:vAnchor="text" w:hAnchor="text" w:xAlign="center" w:y="1"/>
              <w:spacing w:before="50" w:after="50"/>
              <w:jc w:val="center"/>
              <w:rPr>
                <w:lang w:val="en-US"/>
              </w:rPr>
            </w:pPr>
            <w:r>
              <w:rPr>
                <w:lang w:val="en-US"/>
              </w:rPr>
              <w:t>FDM/TDM/QPSK</w:t>
            </w:r>
          </w:p>
        </w:tc>
        <w:tc>
          <w:tcPr>
            <w:tcW w:w="1758" w:type="dxa"/>
          </w:tcPr>
          <w:p w:rsidR="00B9359B" w:rsidRDefault="00B9359B">
            <w:pPr>
              <w:pStyle w:val="Tabletext"/>
              <w:framePr w:hSpace="181" w:wrap="notBeside" w:vAnchor="text" w:hAnchor="text" w:xAlign="center" w:y="1"/>
              <w:spacing w:before="50" w:after="50"/>
              <w:jc w:val="center"/>
              <w:rPr>
                <w:lang w:val="en-US"/>
              </w:rPr>
            </w:pPr>
          </w:p>
        </w:tc>
      </w:tr>
      <w:tr w:rsidR="00B9359B">
        <w:tc>
          <w:tcPr>
            <w:tcW w:w="2438" w:type="dxa"/>
          </w:tcPr>
          <w:p w:rsidR="00B9359B" w:rsidRDefault="009A5268">
            <w:pPr>
              <w:pStyle w:val="Tabletext"/>
              <w:framePr w:hSpace="181" w:wrap="notBeside" w:vAnchor="text" w:hAnchor="text" w:xAlign="center" w:y="1"/>
              <w:spacing w:before="50" w:after="50"/>
              <w:rPr>
                <w:lang w:val="en-US"/>
              </w:rPr>
            </w:pPr>
            <w:r>
              <w:rPr>
                <w:lang w:val="en-US"/>
              </w:rPr>
              <w:t>Bandwidth (MHz)</w:t>
            </w:r>
          </w:p>
        </w:tc>
        <w:tc>
          <w:tcPr>
            <w:tcW w:w="1758" w:type="dxa"/>
          </w:tcPr>
          <w:p w:rsidR="00B9359B" w:rsidRDefault="009A5268">
            <w:pPr>
              <w:pStyle w:val="Tabletext"/>
              <w:framePr w:hSpace="181" w:wrap="notBeside" w:vAnchor="text" w:hAnchor="text" w:xAlign="center" w:y="1"/>
              <w:spacing w:before="50" w:after="50"/>
              <w:jc w:val="center"/>
              <w:rPr>
                <w:lang w:val="en-US"/>
              </w:rPr>
            </w:pPr>
            <w:r>
              <w:rPr>
                <w:lang w:val="en-US"/>
              </w:rPr>
              <w:t>1.8</w:t>
            </w:r>
          </w:p>
        </w:tc>
        <w:tc>
          <w:tcPr>
            <w:tcW w:w="1758" w:type="dxa"/>
          </w:tcPr>
          <w:p w:rsidR="00B9359B" w:rsidRDefault="009A5268">
            <w:pPr>
              <w:pStyle w:val="Tabletext"/>
              <w:framePr w:hSpace="181" w:wrap="notBeside" w:vAnchor="text" w:hAnchor="text" w:xAlign="center" w:y="1"/>
              <w:spacing w:before="50" w:after="50"/>
              <w:jc w:val="center"/>
              <w:rPr>
                <w:lang w:val="en-US"/>
              </w:rPr>
            </w:pPr>
            <w:r>
              <w:rPr>
                <w:lang w:val="en-US"/>
              </w:rPr>
              <w:t>3 200</w:t>
            </w:r>
          </w:p>
        </w:tc>
        <w:tc>
          <w:tcPr>
            <w:tcW w:w="1985" w:type="dxa"/>
          </w:tcPr>
          <w:p w:rsidR="00B9359B" w:rsidRDefault="009A5268">
            <w:pPr>
              <w:pStyle w:val="Tabletext"/>
              <w:framePr w:hSpace="181" w:wrap="notBeside" w:vAnchor="text" w:hAnchor="text" w:xAlign="center" w:y="1"/>
              <w:spacing w:before="50" w:after="50"/>
              <w:jc w:val="center"/>
              <w:rPr>
                <w:lang w:val="en-US"/>
              </w:rPr>
            </w:pPr>
            <w:r>
              <w:rPr>
                <w:lang w:val="en-US"/>
              </w:rPr>
              <w:t>125</w:t>
            </w:r>
          </w:p>
        </w:tc>
        <w:tc>
          <w:tcPr>
            <w:tcW w:w="1758" w:type="dxa"/>
          </w:tcPr>
          <w:p w:rsidR="00B9359B" w:rsidRDefault="009A5268">
            <w:pPr>
              <w:pStyle w:val="Tabletext"/>
              <w:framePr w:hSpace="181" w:wrap="notBeside" w:vAnchor="text" w:hAnchor="text" w:xAlign="center" w:y="1"/>
              <w:spacing w:before="50" w:after="50"/>
              <w:jc w:val="center"/>
              <w:rPr>
                <w:lang w:val="en-US"/>
              </w:rPr>
            </w:pPr>
            <w:r>
              <w:rPr>
                <w:lang w:val="en-US"/>
              </w:rPr>
              <w:t>81</w:t>
            </w:r>
          </w:p>
        </w:tc>
      </w:tr>
      <w:tr w:rsidR="00B9359B">
        <w:tc>
          <w:tcPr>
            <w:tcW w:w="2438" w:type="dxa"/>
          </w:tcPr>
          <w:p w:rsidR="00B9359B" w:rsidRDefault="009A5268">
            <w:pPr>
              <w:pStyle w:val="Tabletext"/>
              <w:framePr w:hSpace="181" w:wrap="notBeside" w:vAnchor="text" w:hAnchor="text" w:xAlign="center" w:y="1"/>
              <w:spacing w:before="50" w:after="50"/>
              <w:rPr>
                <w:lang w:val="en-US"/>
              </w:rPr>
            </w:pPr>
            <w:r>
              <w:rPr>
                <w:lang w:val="en-US"/>
              </w:rPr>
              <w:t>e.i.r.p. (dBW)</w:t>
            </w:r>
          </w:p>
        </w:tc>
        <w:tc>
          <w:tcPr>
            <w:tcW w:w="1758" w:type="dxa"/>
          </w:tcPr>
          <w:p w:rsidR="00B9359B" w:rsidRDefault="009A5268">
            <w:pPr>
              <w:pStyle w:val="Tabletext"/>
              <w:framePr w:hSpace="181" w:wrap="notBeside" w:vAnchor="text" w:hAnchor="text" w:xAlign="center" w:y="1"/>
              <w:spacing w:before="50" w:after="50"/>
              <w:jc w:val="center"/>
              <w:rPr>
                <w:lang w:val="en-US"/>
              </w:rPr>
            </w:pPr>
            <w:r>
              <w:rPr>
                <w:lang w:val="en-US"/>
              </w:rPr>
              <w:t>57</w:t>
            </w:r>
          </w:p>
        </w:tc>
        <w:tc>
          <w:tcPr>
            <w:tcW w:w="1758" w:type="dxa"/>
          </w:tcPr>
          <w:p w:rsidR="00B9359B" w:rsidRDefault="009A5268">
            <w:pPr>
              <w:pStyle w:val="Tabletext"/>
              <w:framePr w:hSpace="181" w:wrap="notBeside" w:vAnchor="text" w:hAnchor="text" w:xAlign="center" w:y="1"/>
              <w:spacing w:before="50" w:after="50"/>
              <w:jc w:val="center"/>
              <w:rPr>
                <w:lang w:val="en-US"/>
              </w:rPr>
            </w:pPr>
            <w:r>
              <w:rPr>
                <w:lang w:val="en-US"/>
              </w:rPr>
              <w:t>74</w:t>
            </w:r>
          </w:p>
        </w:tc>
        <w:tc>
          <w:tcPr>
            <w:tcW w:w="1985" w:type="dxa"/>
          </w:tcPr>
          <w:p w:rsidR="00B9359B" w:rsidRDefault="009A5268">
            <w:pPr>
              <w:pStyle w:val="Tabletext"/>
              <w:framePr w:hSpace="181" w:wrap="notBeside" w:vAnchor="text" w:hAnchor="text" w:xAlign="center" w:y="1"/>
              <w:spacing w:before="50" w:after="50"/>
              <w:jc w:val="center"/>
              <w:rPr>
                <w:lang w:val="en-US"/>
              </w:rPr>
            </w:pPr>
            <w:r>
              <w:rPr>
                <w:lang w:val="en-US"/>
              </w:rPr>
              <w:t>61.8</w:t>
            </w:r>
          </w:p>
        </w:tc>
        <w:tc>
          <w:tcPr>
            <w:tcW w:w="1758" w:type="dxa"/>
          </w:tcPr>
          <w:p w:rsidR="00B9359B" w:rsidRDefault="009A5268">
            <w:pPr>
              <w:pStyle w:val="Tabletext"/>
              <w:framePr w:hSpace="181" w:wrap="notBeside" w:vAnchor="text" w:hAnchor="text" w:xAlign="center" w:y="1"/>
              <w:spacing w:before="50" w:after="50"/>
              <w:jc w:val="center"/>
              <w:rPr>
                <w:lang w:val="en-US"/>
              </w:rPr>
            </w:pPr>
            <w:r>
              <w:rPr>
                <w:lang w:val="en-US"/>
              </w:rPr>
              <w:t>59.5</w:t>
            </w:r>
          </w:p>
        </w:tc>
      </w:tr>
      <w:tr w:rsidR="00B9359B">
        <w:tc>
          <w:tcPr>
            <w:tcW w:w="2438" w:type="dxa"/>
          </w:tcPr>
          <w:p w:rsidR="00B9359B" w:rsidRDefault="009A5268">
            <w:pPr>
              <w:pStyle w:val="Tabletext"/>
              <w:framePr w:hSpace="181" w:wrap="notBeside" w:vAnchor="text" w:hAnchor="text" w:xAlign="center" w:y="1"/>
              <w:spacing w:before="50" w:after="50"/>
              <w:rPr>
                <w:lang w:val="en-US"/>
              </w:rPr>
            </w:pPr>
            <w:r>
              <w:rPr>
                <w:lang w:val="en-US"/>
              </w:rPr>
              <w:t>Antenna gain (dBW)</w:t>
            </w:r>
          </w:p>
        </w:tc>
        <w:tc>
          <w:tcPr>
            <w:tcW w:w="1758" w:type="dxa"/>
          </w:tcPr>
          <w:p w:rsidR="00B9359B" w:rsidRDefault="009A5268">
            <w:pPr>
              <w:pStyle w:val="Tabletext"/>
              <w:framePr w:hSpace="181" w:wrap="notBeside" w:vAnchor="text" w:hAnchor="text" w:xAlign="center" w:y="1"/>
              <w:spacing w:before="50" w:after="50"/>
              <w:jc w:val="center"/>
              <w:rPr>
                <w:lang w:val="en-US"/>
              </w:rPr>
            </w:pPr>
            <w:r>
              <w:rPr>
                <w:lang w:val="en-US"/>
              </w:rPr>
              <w:t>40.9</w:t>
            </w:r>
          </w:p>
        </w:tc>
        <w:tc>
          <w:tcPr>
            <w:tcW w:w="1758" w:type="dxa"/>
          </w:tcPr>
          <w:p w:rsidR="00B9359B" w:rsidRDefault="009A5268">
            <w:pPr>
              <w:pStyle w:val="Tabletext"/>
              <w:framePr w:hSpace="181" w:wrap="notBeside" w:vAnchor="text" w:hAnchor="text" w:xAlign="center" w:y="1"/>
              <w:spacing w:before="50" w:after="50"/>
              <w:jc w:val="center"/>
              <w:rPr>
                <w:lang w:val="en-US"/>
              </w:rPr>
            </w:pPr>
            <w:r>
              <w:rPr>
                <w:lang w:val="en-US"/>
              </w:rPr>
              <w:t>55</w:t>
            </w:r>
          </w:p>
        </w:tc>
        <w:tc>
          <w:tcPr>
            <w:tcW w:w="1985" w:type="dxa"/>
          </w:tcPr>
          <w:p w:rsidR="00B9359B" w:rsidRDefault="009A5268">
            <w:pPr>
              <w:pStyle w:val="Tabletext"/>
              <w:framePr w:hSpace="181" w:wrap="notBeside" w:vAnchor="text" w:hAnchor="text" w:xAlign="center" w:y="1"/>
              <w:spacing w:before="50" w:after="50"/>
              <w:jc w:val="center"/>
              <w:rPr>
                <w:lang w:val="en-US"/>
              </w:rPr>
            </w:pPr>
            <w:r>
              <w:rPr>
                <w:lang w:val="en-US"/>
              </w:rPr>
              <w:t>49.0</w:t>
            </w:r>
          </w:p>
        </w:tc>
        <w:tc>
          <w:tcPr>
            <w:tcW w:w="1758" w:type="dxa"/>
          </w:tcPr>
          <w:p w:rsidR="00B9359B" w:rsidRDefault="009A5268">
            <w:pPr>
              <w:pStyle w:val="Tabletext"/>
              <w:framePr w:hSpace="181" w:wrap="notBeside" w:vAnchor="text" w:hAnchor="text" w:xAlign="center" w:y="1"/>
              <w:spacing w:before="50" w:after="50"/>
              <w:jc w:val="center"/>
              <w:rPr>
                <w:lang w:val="en-US"/>
              </w:rPr>
            </w:pPr>
            <w:r>
              <w:rPr>
                <w:lang w:val="en-US"/>
              </w:rPr>
              <w:t>46.5</w:t>
            </w:r>
          </w:p>
        </w:tc>
      </w:tr>
      <w:tr w:rsidR="00B9359B">
        <w:tc>
          <w:tcPr>
            <w:tcW w:w="2438" w:type="dxa"/>
          </w:tcPr>
          <w:p w:rsidR="00B9359B" w:rsidRDefault="009A5268">
            <w:pPr>
              <w:pStyle w:val="Tabletext"/>
              <w:framePr w:hSpace="181" w:wrap="notBeside" w:vAnchor="text" w:hAnchor="text" w:xAlign="center" w:y="1"/>
              <w:spacing w:before="50" w:after="50"/>
              <w:rPr>
                <w:lang w:val="en-US"/>
              </w:rPr>
            </w:pPr>
            <w:r>
              <w:rPr>
                <w:lang w:val="en-US"/>
              </w:rPr>
              <w:t>Number of satellites</w:t>
            </w:r>
          </w:p>
        </w:tc>
        <w:tc>
          <w:tcPr>
            <w:tcW w:w="1758" w:type="dxa"/>
          </w:tcPr>
          <w:p w:rsidR="00B9359B" w:rsidRDefault="009A5268">
            <w:pPr>
              <w:pStyle w:val="Tabletext"/>
              <w:framePr w:hSpace="181" w:wrap="notBeside" w:vAnchor="text" w:hAnchor="text" w:xAlign="center" w:y="1"/>
              <w:spacing w:before="50" w:after="50"/>
              <w:jc w:val="center"/>
              <w:rPr>
                <w:lang w:val="en-US"/>
              </w:rPr>
            </w:pPr>
            <w:r>
              <w:rPr>
                <w:lang w:val="en-US"/>
              </w:rPr>
              <w:t>Unknown</w:t>
            </w:r>
          </w:p>
        </w:tc>
        <w:tc>
          <w:tcPr>
            <w:tcW w:w="1758" w:type="dxa"/>
          </w:tcPr>
          <w:p w:rsidR="00B9359B" w:rsidRDefault="009A5268">
            <w:pPr>
              <w:pStyle w:val="Tabletext"/>
              <w:framePr w:hSpace="181" w:wrap="notBeside" w:vAnchor="text" w:hAnchor="text" w:xAlign="center" w:y="1"/>
              <w:spacing w:before="50" w:after="50"/>
              <w:jc w:val="center"/>
              <w:rPr>
                <w:lang w:val="en-US"/>
              </w:rPr>
            </w:pPr>
            <w:r>
              <w:rPr>
                <w:lang w:val="en-US"/>
              </w:rPr>
              <w:t>12</w:t>
            </w:r>
          </w:p>
        </w:tc>
        <w:tc>
          <w:tcPr>
            <w:tcW w:w="1985" w:type="dxa"/>
          </w:tcPr>
          <w:p w:rsidR="00B9359B" w:rsidRDefault="009A5268">
            <w:pPr>
              <w:pStyle w:val="Tabletext"/>
              <w:framePr w:hSpace="181" w:wrap="notBeside" w:vAnchor="text" w:hAnchor="text" w:xAlign="center" w:y="1"/>
              <w:spacing w:before="50" w:after="50"/>
              <w:jc w:val="center"/>
              <w:rPr>
                <w:lang w:val="en-US"/>
              </w:rPr>
            </w:pPr>
            <w:r>
              <w:rPr>
                <w:lang w:val="en-US"/>
              </w:rPr>
              <w:t>Unknown</w:t>
            </w:r>
          </w:p>
        </w:tc>
        <w:tc>
          <w:tcPr>
            <w:tcW w:w="1758" w:type="dxa"/>
          </w:tcPr>
          <w:p w:rsidR="00B9359B" w:rsidRDefault="009A5268">
            <w:pPr>
              <w:pStyle w:val="Tabletext"/>
              <w:framePr w:hSpace="181" w:wrap="notBeside" w:vAnchor="text" w:hAnchor="text" w:xAlign="center" w:y="1"/>
              <w:spacing w:before="50" w:after="50"/>
              <w:jc w:val="center"/>
              <w:rPr>
                <w:lang w:val="en-US"/>
              </w:rPr>
            </w:pPr>
            <w:r>
              <w:rPr>
                <w:lang w:val="en-US"/>
              </w:rPr>
              <w:t>17</w:t>
            </w:r>
          </w:p>
        </w:tc>
      </w:tr>
    </w:tbl>
    <w:p w:rsidR="00B9359B" w:rsidRDefault="00B9359B">
      <w:pPr>
        <w:pStyle w:val="Tablefin"/>
        <w:spacing w:before="0"/>
      </w:pPr>
    </w:p>
    <w:p w:rsidR="00B9359B" w:rsidRDefault="009A5268">
      <w:pPr>
        <w:pStyle w:val="TableNo"/>
        <w:rPr>
          <w:lang w:val="en-US"/>
        </w:rPr>
      </w:pPr>
      <w:r>
        <w:rPr>
          <w:lang w:val="en-US"/>
        </w:rPr>
        <w:t>TABLE  27</w:t>
      </w:r>
    </w:p>
    <w:p w:rsidR="00B9359B" w:rsidRDefault="009A5268">
      <w:pPr>
        <w:pStyle w:val="Tabletitle"/>
        <w:rPr>
          <w:lang w:val="en-US"/>
        </w:rPr>
      </w:pPr>
      <w:r>
        <w:rPr>
          <w:lang w:val="en-US"/>
        </w:rPr>
        <w:t>Downlink characteristics of non-GSO space stations</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608"/>
        <w:gridCol w:w="1701"/>
        <w:gridCol w:w="1701"/>
        <w:gridCol w:w="1701"/>
        <w:gridCol w:w="1701"/>
      </w:tblGrid>
      <w:tr w:rsidR="00B9359B">
        <w:tc>
          <w:tcPr>
            <w:tcW w:w="2608" w:type="dxa"/>
          </w:tcPr>
          <w:p w:rsidR="00B9359B" w:rsidRDefault="009A5268">
            <w:pPr>
              <w:pStyle w:val="Tablehead"/>
              <w:framePr w:hSpace="181" w:wrap="notBeside" w:vAnchor="text" w:hAnchor="text" w:xAlign="center" w:y="1"/>
              <w:jc w:val="left"/>
              <w:rPr>
                <w:lang w:val="en-US"/>
              </w:rPr>
            </w:pPr>
            <w:r>
              <w:rPr>
                <w:lang w:val="en-US"/>
              </w:rPr>
              <w:t>System</w:t>
            </w:r>
          </w:p>
        </w:tc>
        <w:tc>
          <w:tcPr>
            <w:tcW w:w="1701" w:type="dxa"/>
          </w:tcPr>
          <w:p w:rsidR="00B9359B" w:rsidRDefault="009A5268">
            <w:pPr>
              <w:pStyle w:val="Tablehead"/>
              <w:framePr w:hSpace="181" w:wrap="notBeside" w:vAnchor="text" w:hAnchor="text" w:xAlign="center" w:y="1"/>
              <w:rPr>
                <w:lang w:val="en-US"/>
              </w:rPr>
            </w:pPr>
            <w:r>
              <w:rPr>
                <w:lang w:val="en-US"/>
              </w:rPr>
              <w:t>LEO</w:t>
            </w:r>
            <w:r>
              <w:rPr>
                <w:sz w:val="16"/>
                <w:lang w:val="en-US"/>
              </w:rPr>
              <w:t xml:space="preserve">  </w:t>
            </w:r>
            <w:r>
              <w:rPr>
                <w:lang w:val="en-US"/>
              </w:rPr>
              <w:t>A</w:t>
            </w:r>
          </w:p>
        </w:tc>
        <w:tc>
          <w:tcPr>
            <w:tcW w:w="1701" w:type="dxa"/>
          </w:tcPr>
          <w:p w:rsidR="00B9359B" w:rsidRDefault="009A5268">
            <w:pPr>
              <w:pStyle w:val="Tablehead"/>
              <w:framePr w:hSpace="181" w:wrap="notBeside" w:vAnchor="text" w:hAnchor="text" w:xAlign="center" w:y="1"/>
              <w:rPr>
                <w:lang w:val="es-ES"/>
              </w:rPr>
            </w:pPr>
            <w:r>
              <w:rPr>
                <w:lang w:val="es-ES"/>
              </w:rPr>
              <w:t>LEO</w:t>
            </w:r>
            <w:r>
              <w:rPr>
                <w:sz w:val="16"/>
                <w:lang w:val="es-ES"/>
              </w:rPr>
              <w:t xml:space="preserve">  </w:t>
            </w:r>
            <w:r>
              <w:rPr>
                <w:lang w:val="es-ES"/>
              </w:rPr>
              <w:t>B</w:t>
            </w:r>
          </w:p>
        </w:tc>
        <w:tc>
          <w:tcPr>
            <w:tcW w:w="1701" w:type="dxa"/>
          </w:tcPr>
          <w:p w:rsidR="00B9359B" w:rsidRDefault="009A5268">
            <w:pPr>
              <w:pStyle w:val="Tablehead"/>
              <w:framePr w:hSpace="181" w:wrap="notBeside" w:vAnchor="text" w:hAnchor="text" w:xAlign="center" w:y="1"/>
              <w:rPr>
                <w:lang w:val="es-ES"/>
              </w:rPr>
            </w:pPr>
            <w:r>
              <w:rPr>
                <w:lang w:val="es-ES"/>
              </w:rPr>
              <w:t>LEO</w:t>
            </w:r>
            <w:r>
              <w:rPr>
                <w:sz w:val="16"/>
                <w:lang w:val="es-ES"/>
              </w:rPr>
              <w:t xml:space="preserve">  </w:t>
            </w:r>
            <w:r>
              <w:rPr>
                <w:lang w:val="es-ES"/>
              </w:rPr>
              <w:t>SAT-1</w:t>
            </w:r>
          </w:p>
        </w:tc>
        <w:tc>
          <w:tcPr>
            <w:tcW w:w="1701" w:type="dxa"/>
          </w:tcPr>
          <w:p w:rsidR="00B9359B" w:rsidRDefault="009A5268">
            <w:pPr>
              <w:pStyle w:val="Tablehead"/>
              <w:framePr w:hSpace="181" w:wrap="notBeside" w:vAnchor="text" w:hAnchor="text" w:xAlign="center" w:y="1"/>
              <w:rPr>
                <w:lang w:val="en-US"/>
              </w:rPr>
            </w:pPr>
            <w:r>
              <w:rPr>
                <w:lang w:val="en-US"/>
              </w:rPr>
              <w:t>Quasi-GSO 31</w:t>
            </w:r>
          </w:p>
        </w:tc>
      </w:tr>
      <w:tr w:rsidR="00B9359B">
        <w:tc>
          <w:tcPr>
            <w:tcW w:w="2608" w:type="dxa"/>
          </w:tcPr>
          <w:p w:rsidR="00B9359B" w:rsidRDefault="009A5268">
            <w:pPr>
              <w:pStyle w:val="Tabletext"/>
              <w:framePr w:hSpace="181" w:wrap="notBeside" w:vAnchor="text" w:hAnchor="text" w:xAlign="center" w:y="1"/>
              <w:spacing w:before="50" w:after="50"/>
              <w:jc w:val="left"/>
              <w:rPr>
                <w:lang w:val="en-US"/>
              </w:rPr>
            </w:pPr>
            <w:r>
              <w:rPr>
                <w:lang w:val="en-US"/>
              </w:rPr>
              <w:t>Service</w:t>
            </w:r>
          </w:p>
        </w:tc>
        <w:tc>
          <w:tcPr>
            <w:tcW w:w="1701" w:type="dxa"/>
          </w:tcPr>
          <w:p w:rsidR="00B9359B" w:rsidRDefault="009A5268">
            <w:pPr>
              <w:pStyle w:val="Tabletext"/>
              <w:framePr w:hSpace="181" w:wrap="notBeside" w:vAnchor="text" w:hAnchor="text" w:xAlign="center" w:y="1"/>
              <w:spacing w:before="50" w:after="50"/>
              <w:jc w:val="center"/>
              <w:rPr>
                <w:lang w:val="en-US"/>
              </w:rPr>
            </w:pPr>
            <w:r>
              <w:rPr>
                <w:lang w:val="en-US"/>
              </w:rPr>
              <w:t>MSS</w:t>
            </w:r>
          </w:p>
        </w:tc>
        <w:tc>
          <w:tcPr>
            <w:tcW w:w="1701" w:type="dxa"/>
          </w:tcPr>
          <w:p w:rsidR="00B9359B" w:rsidRDefault="009A5268">
            <w:pPr>
              <w:pStyle w:val="Tabletext"/>
              <w:framePr w:hSpace="181" w:wrap="notBeside" w:vAnchor="text" w:hAnchor="text" w:xAlign="center" w:y="1"/>
              <w:spacing w:before="50" w:after="50"/>
              <w:jc w:val="center"/>
              <w:rPr>
                <w:lang w:val="en-US"/>
              </w:rPr>
            </w:pPr>
            <w:r>
              <w:rPr>
                <w:lang w:val="en-US"/>
              </w:rPr>
              <w:t>MSS</w:t>
            </w:r>
          </w:p>
        </w:tc>
        <w:tc>
          <w:tcPr>
            <w:tcW w:w="1701" w:type="dxa"/>
          </w:tcPr>
          <w:p w:rsidR="00B9359B" w:rsidRDefault="009A5268">
            <w:pPr>
              <w:pStyle w:val="Tabletext"/>
              <w:framePr w:hSpace="181" w:wrap="notBeside" w:vAnchor="text" w:hAnchor="text" w:xAlign="center" w:y="1"/>
              <w:spacing w:before="50" w:after="50"/>
              <w:jc w:val="center"/>
              <w:rPr>
                <w:lang w:val="en-US"/>
              </w:rPr>
            </w:pPr>
            <w:r>
              <w:rPr>
                <w:lang w:val="en-US"/>
              </w:rPr>
              <w:t>FSS</w:t>
            </w:r>
          </w:p>
        </w:tc>
        <w:tc>
          <w:tcPr>
            <w:tcW w:w="1701" w:type="dxa"/>
          </w:tcPr>
          <w:p w:rsidR="00B9359B" w:rsidRDefault="009A5268">
            <w:pPr>
              <w:pStyle w:val="Tabletext"/>
              <w:framePr w:hSpace="181" w:wrap="notBeside" w:vAnchor="text" w:hAnchor="text" w:xAlign="center" w:y="1"/>
              <w:spacing w:before="50" w:after="50"/>
              <w:jc w:val="center"/>
              <w:rPr>
                <w:lang w:val="en-US"/>
              </w:rPr>
            </w:pPr>
            <w:r>
              <w:rPr>
                <w:lang w:val="en-US"/>
              </w:rPr>
              <w:t>FSS</w:t>
            </w:r>
          </w:p>
        </w:tc>
      </w:tr>
      <w:tr w:rsidR="00B9359B">
        <w:tc>
          <w:tcPr>
            <w:tcW w:w="2608" w:type="dxa"/>
          </w:tcPr>
          <w:p w:rsidR="00B9359B" w:rsidRDefault="009A5268">
            <w:pPr>
              <w:pStyle w:val="Tabletext"/>
              <w:framePr w:hSpace="181" w:wrap="notBeside" w:vAnchor="text" w:hAnchor="text" w:xAlign="center" w:y="1"/>
              <w:spacing w:before="50" w:after="50"/>
              <w:jc w:val="left"/>
              <w:rPr>
                <w:lang w:val="en-US"/>
              </w:rPr>
            </w:pPr>
            <w:r>
              <w:rPr>
                <w:lang w:val="en-US"/>
              </w:rPr>
              <w:t>Orbit</w:t>
            </w:r>
          </w:p>
        </w:tc>
        <w:tc>
          <w:tcPr>
            <w:tcW w:w="1701" w:type="dxa"/>
          </w:tcPr>
          <w:p w:rsidR="00B9359B" w:rsidRDefault="009A5268">
            <w:pPr>
              <w:pStyle w:val="Tabletext"/>
              <w:framePr w:hSpace="181" w:wrap="notBeside" w:vAnchor="text" w:hAnchor="text" w:xAlign="center" w:y="1"/>
              <w:spacing w:before="50" w:after="50"/>
              <w:jc w:val="center"/>
              <w:rPr>
                <w:lang w:val="es-ES"/>
              </w:rPr>
            </w:pPr>
            <w:r>
              <w:rPr>
                <w:lang w:val="es-ES"/>
              </w:rPr>
              <w:t>Circular</w:t>
            </w:r>
          </w:p>
        </w:tc>
        <w:tc>
          <w:tcPr>
            <w:tcW w:w="1701" w:type="dxa"/>
          </w:tcPr>
          <w:p w:rsidR="00B9359B" w:rsidRDefault="009A5268">
            <w:pPr>
              <w:pStyle w:val="Tabletext"/>
              <w:framePr w:hSpace="181" w:wrap="notBeside" w:vAnchor="text" w:hAnchor="text" w:xAlign="center" w:y="1"/>
              <w:spacing w:before="50" w:after="50"/>
              <w:jc w:val="center"/>
              <w:rPr>
                <w:lang w:val="es-ES"/>
              </w:rPr>
            </w:pPr>
            <w:r>
              <w:rPr>
                <w:lang w:val="es-ES"/>
              </w:rPr>
              <w:t>Circular</w:t>
            </w:r>
          </w:p>
        </w:tc>
        <w:tc>
          <w:tcPr>
            <w:tcW w:w="1701" w:type="dxa"/>
          </w:tcPr>
          <w:p w:rsidR="00B9359B" w:rsidRDefault="009A5268">
            <w:pPr>
              <w:pStyle w:val="Tabletext"/>
              <w:framePr w:hSpace="181" w:wrap="notBeside" w:vAnchor="text" w:hAnchor="text" w:xAlign="center" w:y="1"/>
              <w:spacing w:before="50" w:after="50"/>
              <w:jc w:val="center"/>
              <w:rPr>
                <w:lang w:val="es-ES"/>
              </w:rPr>
            </w:pPr>
            <w:r>
              <w:rPr>
                <w:lang w:val="es-ES"/>
              </w:rPr>
              <w:t>Circular</w:t>
            </w:r>
          </w:p>
        </w:tc>
        <w:tc>
          <w:tcPr>
            <w:tcW w:w="1701" w:type="dxa"/>
          </w:tcPr>
          <w:p w:rsidR="00B9359B" w:rsidRDefault="009A5268">
            <w:pPr>
              <w:pStyle w:val="Tabletext"/>
              <w:framePr w:hSpace="181" w:wrap="notBeside" w:vAnchor="text" w:hAnchor="text" w:xAlign="center" w:y="1"/>
              <w:spacing w:before="50" w:after="50"/>
              <w:jc w:val="center"/>
              <w:rPr>
                <w:lang w:val="es-ES"/>
              </w:rPr>
            </w:pPr>
            <w:r>
              <w:rPr>
                <w:lang w:val="es-ES"/>
              </w:rPr>
              <w:t>Elliptical</w:t>
            </w:r>
          </w:p>
        </w:tc>
      </w:tr>
      <w:tr w:rsidR="00B9359B">
        <w:tc>
          <w:tcPr>
            <w:tcW w:w="2608" w:type="dxa"/>
          </w:tcPr>
          <w:p w:rsidR="00B9359B" w:rsidRDefault="009A5268">
            <w:pPr>
              <w:pStyle w:val="Tabletext"/>
              <w:framePr w:hSpace="181" w:wrap="notBeside" w:vAnchor="text" w:hAnchor="text" w:xAlign="center" w:y="1"/>
              <w:spacing w:before="50" w:after="50"/>
              <w:jc w:val="left"/>
              <w:rPr>
                <w:lang w:val="es-ES"/>
              </w:rPr>
            </w:pPr>
            <w:r>
              <w:rPr>
                <w:lang w:val="es-ES"/>
              </w:rPr>
              <w:t>Altitude (km)</w:t>
            </w:r>
          </w:p>
        </w:tc>
        <w:tc>
          <w:tcPr>
            <w:tcW w:w="1701" w:type="dxa"/>
          </w:tcPr>
          <w:p w:rsidR="00B9359B" w:rsidRDefault="009A5268">
            <w:pPr>
              <w:pStyle w:val="Tabletext"/>
              <w:framePr w:hSpace="181" w:wrap="notBeside" w:vAnchor="text" w:hAnchor="text" w:xAlign="center" w:y="1"/>
              <w:spacing w:before="50" w:after="50"/>
              <w:jc w:val="center"/>
              <w:rPr>
                <w:lang w:val="en-US"/>
              </w:rPr>
            </w:pPr>
            <w:r>
              <w:rPr>
                <w:lang w:val="en-US"/>
              </w:rPr>
              <w:t>780</w:t>
            </w:r>
          </w:p>
        </w:tc>
        <w:tc>
          <w:tcPr>
            <w:tcW w:w="1701" w:type="dxa"/>
          </w:tcPr>
          <w:p w:rsidR="00B9359B" w:rsidRDefault="009A5268">
            <w:pPr>
              <w:pStyle w:val="Tabletext"/>
              <w:framePr w:hSpace="181" w:wrap="notBeside" w:vAnchor="text" w:hAnchor="text" w:xAlign="center" w:y="1"/>
              <w:spacing w:before="50" w:after="50"/>
              <w:jc w:val="center"/>
              <w:rPr>
                <w:lang w:val="en-US"/>
              </w:rPr>
            </w:pPr>
            <w:r>
              <w:rPr>
                <w:lang w:val="en-US"/>
              </w:rPr>
              <w:t>10</w:t>
            </w:r>
            <w:r>
              <w:rPr>
                <w:rFonts w:ascii="Tms Rmn" w:hAnsi="Tms Rmn"/>
                <w:sz w:val="12"/>
                <w:lang w:val="en-US"/>
              </w:rPr>
              <w:t> </w:t>
            </w:r>
            <w:r>
              <w:rPr>
                <w:lang w:val="en-US"/>
              </w:rPr>
              <w:t>355</w:t>
            </w:r>
          </w:p>
        </w:tc>
        <w:tc>
          <w:tcPr>
            <w:tcW w:w="1701" w:type="dxa"/>
          </w:tcPr>
          <w:p w:rsidR="00B9359B" w:rsidRDefault="009A5268">
            <w:pPr>
              <w:pStyle w:val="Tabletext"/>
              <w:framePr w:hSpace="181" w:wrap="notBeside" w:vAnchor="text" w:hAnchor="text" w:xAlign="center" w:y="1"/>
              <w:spacing w:before="50" w:after="50"/>
              <w:jc w:val="center"/>
              <w:rPr>
                <w:lang w:val="en-US"/>
              </w:rPr>
            </w:pPr>
            <w:r>
              <w:rPr>
                <w:lang w:val="en-US"/>
              </w:rPr>
              <w:t>700</w:t>
            </w:r>
          </w:p>
        </w:tc>
        <w:tc>
          <w:tcPr>
            <w:tcW w:w="1701" w:type="dxa"/>
          </w:tcPr>
          <w:p w:rsidR="00B9359B" w:rsidRDefault="009A5268">
            <w:pPr>
              <w:pStyle w:val="Tabletext"/>
              <w:framePr w:hSpace="181" w:wrap="notBeside" w:vAnchor="text" w:hAnchor="text" w:xAlign="center" w:y="1"/>
              <w:spacing w:before="50" w:after="50"/>
              <w:jc w:val="center"/>
              <w:rPr>
                <w:lang w:val="en-US"/>
              </w:rPr>
            </w:pPr>
            <w:r>
              <w:rPr>
                <w:lang w:val="en-US"/>
              </w:rPr>
              <w:t>1</w:t>
            </w:r>
            <w:r>
              <w:rPr>
                <w:rFonts w:ascii="Tms Rmn" w:hAnsi="Tms Rmn"/>
                <w:sz w:val="12"/>
                <w:lang w:val="en-US"/>
              </w:rPr>
              <w:t> </w:t>
            </w:r>
            <w:r>
              <w:rPr>
                <w:lang w:val="en-US"/>
              </w:rPr>
              <w:t>000-43</w:t>
            </w:r>
            <w:r>
              <w:rPr>
                <w:rFonts w:ascii="Tms Rmn" w:hAnsi="Tms Rmn"/>
                <w:sz w:val="12"/>
                <w:lang w:val="en-US"/>
              </w:rPr>
              <w:t> </w:t>
            </w:r>
            <w:r>
              <w:rPr>
                <w:lang w:val="en-US"/>
              </w:rPr>
              <w:t>000</w:t>
            </w:r>
          </w:p>
        </w:tc>
      </w:tr>
      <w:tr w:rsidR="00B9359B">
        <w:tc>
          <w:tcPr>
            <w:tcW w:w="2608" w:type="dxa"/>
          </w:tcPr>
          <w:p w:rsidR="00B9359B" w:rsidRDefault="009A5268">
            <w:pPr>
              <w:pStyle w:val="Tabletext"/>
              <w:framePr w:hSpace="181" w:wrap="notBeside" w:vAnchor="text" w:hAnchor="text" w:xAlign="center" w:y="1"/>
              <w:spacing w:before="50" w:after="50"/>
              <w:jc w:val="left"/>
              <w:rPr>
                <w:lang w:val="en-US"/>
              </w:rPr>
            </w:pPr>
            <w:r>
              <w:rPr>
                <w:lang w:val="en-US"/>
              </w:rPr>
              <w:t>Inclination (degrees)</w:t>
            </w:r>
          </w:p>
        </w:tc>
        <w:tc>
          <w:tcPr>
            <w:tcW w:w="1701" w:type="dxa"/>
          </w:tcPr>
          <w:p w:rsidR="00B9359B" w:rsidRDefault="009A5268">
            <w:pPr>
              <w:pStyle w:val="Tabletext"/>
              <w:framePr w:hSpace="181" w:wrap="notBeside" w:vAnchor="text" w:hAnchor="text" w:xAlign="center" w:y="1"/>
              <w:spacing w:before="50" w:after="50"/>
              <w:jc w:val="center"/>
              <w:rPr>
                <w:lang w:val="en-US"/>
              </w:rPr>
            </w:pPr>
            <w:r>
              <w:rPr>
                <w:lang w:val="en-US"/>
              </w:rPr>
              <w:t>86</w:t>
            </w:r>
          </w:p>
        </w:tc>
        <w:tc>
          <w:tcPr>
            <w:tcW w:w="1701" w:type="dxa"/>
          </w:tcPr>
          <w:p w:rsidR="00B9359B" w:rsidRDefault="009A5268">
            <w:pPr>
              <w:pStyle w:val="Tabletext"/>
              <w:framePr w:hSpace="181" w:wrap="notBeside" w:vAnchor="text" w:hAnchor="text" w:xAlign="center" w:y="1"/>
              <w:spacing w:before="50" w:after="50"/>
              <w:jc w:val="center"/>
              <w:rPr>
                <w:lang w:val="en-US"/>
              </w:rPr>
            </w:pPr>
            <w:r>
              <w:rPr>
                <w:lang w:val="en-US"/>
              </w:rPr>
              <w:t>50</w:t>
            </w:r>
          </w:p>
        </w:tc>
        <w:tc>
          <w:tcPr>
            <w:tcW w:w="1701" w:type="dxa"/>
          </w:tcPr>
          <w:p w:rsidR="00B9359B" w:rsidRDefault="009A5268">
            <w:pPr>
              <w:pStyle w:val="Tabletext"/>
              <w:framePr w:hSpace="181" w:wrap="notBeside" w:vAnchor="text" w:hAnchor="text" w:xAlign="center" w:y="1"/>
              <w:spacing w:before="50" w:after="50"/>
              <w:jc w:val="center"/>
              <w:rPr>
                <w:lang w:val="en-US"/>
              </w:rPr>
            </w:pPr>
            <w:r>
              <w:rPr>
                <w:lang w:val="en-US"/>
              </w:rPr>
              <w:t>98.2</w:t>
            </w:r>
          </w:p>
        </w:tc>
        <w:tc>
          <w:tcPr>
            <w:tcW w:w="1701" w:type="dxa"/>
          </w:tcPr>
          <w:p w:rsidR="00B9359B" w:rsidRDefault="009A5268">
            <w:pPr>
              <w:pStyle w:val="Tabletext"/>
              <w:framePr w:hSpace="181" w:wrap="notBeside" w:vAnchor="text" w:hAnchor="text" w:xAlign="center" w:y="1"/>
              <w:spacing w:before="50" w:after="50"/>
              <w:jc w:val="center"/>
              <w:rPr>
                <w:lang w:val="en-US"/>
              </w:rPr>
            </w:pPr>
            <w:r>
              <w:rPr>
                <w:lang w:val="en-US"/>
              </w:rPr>
              <w:t>63</w:t>
            </w:r>
          </w:p>
        </w:tc>
      </w:tr>
      <w:tr w:rsidR="00B9359B">
        <w:tc>
          <w:tcPr>
            <w:tcW w:w="2608" w:type="dxa"/>
          </w:tcPr>
          <w:p w:rsidR="00B9359B" w:rsidRDefault="009A5268">
            <w:pPr>
              <w:pStyle w:val="Tabletext"/>
              <w:framePr w:hSpace="181" w:wrap="notBeside" w:vAnchor="text" w:hAnchor="text" w:xAlign="center" w:y="1"/>
              <w:spacing w:before="50" w:after="50"/>
              <w:jc w:val="left"/>
              <w:rPr>
                <w:lang w:val="en-US"/>
              </w:rPr>
            </w:pPr>
            <w:r>
              <w:rPr>
                <w:lang w:val="en-US"/>
              </w:rPr>
              <w:t>Satellites in plane</w:t>
            </w:r>
          </w:p>
        </w:tc>
        <w:tc>
          <w:tcPr>
            <w:tcW w:w="1701" w:type="dxa"/>
          </w:tcPr>
          <w:p w:rsidR="00B9359B" w:rsidRDefault="009A5268">
            <w:pPr>
              <w:pStyle w:val="Tabletext"/>
              <w:framePr w:hSpace="181" w:wrap="notBeside" w:vAnchor="text" w:hAnchor="text" w:xAlign="center" w:y="1"/>
              <w:spacing w:before="50" w:after="50"/>
              <w:jc w:val="center"/>
              <w:rPr>
                <w:lang w:val="en-US"/>
              </w:rPr>
            </w:pPr>
            <w:r>
              <w:rPr>
                <w:lang w:val="en-US"/>
              </w:rPr>
              <w:t>11</w:t>
            </w:r>
          </w:p>
        </w:tc>
        <w:tc>
          <w:tcPr>
            <w:tcW w:w="1701" w:type="dxa"/>
          </w:tcPr>
          <w:p w:rsidR="00B9359B" w:rsidRDefault="009A5268">
            <w:pPr>
              <w:pStyle w:val="Tabletext"/>
              <w:framePr w:hSpace="181" w:wrap="notBeside" w:vAnchor="text" w:hAnchor="text" w:xAlign="center" w:y="1"/>
              <w:spacing w:before="50" w:after="50"/>
              <w:jc w:val="center"/>
              <w:rPr>
                <w:lang w:val="en-US"/>
              </w:rPr>
            </w:pPr>
            <w:r>
              <w:rPr>
                <w:lang w:val="en-US"/>
              </w:rPr>
              <w:t>4</w:t>
            </w:r>
          </w:p>
        </w:tc>
        <w:tc>
          <w:tcPr>
            <w:tcW w:w="1701" w:type="dxa"/>
          </w:tcPr>
          <w:p w:rsidR="00B9359B" w:rsidRDefault="009A5268">
            <w:pPr>
              <w:pStyle w:val="Tabletext"/>
              <w:framePr w:hSpace="181" w:wrap="notBeside" w:vAnchor="text" w:hAnchor="text" w:xAlign="center" w:y="1"/>
              <w:spacing w:before="50" w:after="50"/>
              <w:jc w:val="center"/>
              <w:rPr>
                <w:lang w:val="en-US"/>
              </w:rPr>
            </w:pPr>
            <w:r>
              <w:rPr>
                <w:lang w:val="en-US"/>
              </w:rPr>
              <w:t>40</w:t>
            </w:r>
          </w:p>
        </w:tc>
        <w:tc>
          <w:tcPr>
            <w:tcW w:w="1701" w:type="dxa"/>
          </w:tcPr>
          <w:p w:rsidR="00B9359B" w:rsidRDefault="009A5268">
            <w:pPr>
              <w:pStyle w:val="Tabletext"/>
              <w:framePr w:hSpace="181" w:wrap="notBeside" w:vAnchor="text" w:hAnchor="text" w:xAlign="center" w:y="1"/>
              <w:spacing w:before="50" w:after="50"/>
              <w:jc w:val="center"/>
              <w:rPr>
                <w:lang w:val="en-US"/>
              </w:rPr>
            </w:pPr>
            <w:r>
              <w:rPr>
                <w:lang w:val="en-US"/>
              </w:rPr>
              <w:t>1</w:t>
            </w:r>
          </w:p>
        </w:tc>
      </w:tr>
      <w:tr w:rsidR="00B9359B">
        <w:tc>
          <w:tcPr>
            <w:tcW w:w="2608" w:type="dxa"/>
          </w:tcPr>
          <w:p w:rsidR="00B9359B" w:rsidRDefault="009A5268">
            <w:pPr>
              <w:pStyle w:val="Tabletext"/>
              <w:framePr w:hSpace="181" w:wrap="notBeside" w:vAnchor="text" w:hAnchor="text" w:xAlign="center" w:y="1"/>
              <w:spacing w:before="50" w:after="50"/>
              <w:jc w:val="left"/>
              <w:rPr>
                <w:lang w:val="en-US"/>
              </w:rPr>
            </w:pPr>
            <w:r>
              <w:rPr>
                <w:lang w:val="en-US"/>
              </w:rPr>
              <w:t>Planes</w:t>
            </w:r>
          </w:p>
        </w:tc>
        <w:tc>
          <w:tcPr>
            <w:tcW w:w="1701" w:type="dxa"/>
          </w:tcPr>
          <w:p w:rsidR="00B9359B" w:rsidRDefault="009A5268">
            <w:pPr>
              <w:pStyle w:val="Tabletext"/>
              <w:framePr w:hSpace="181" w:wrap="notBeside" w:vAnchor="text" w:hAnchor="text" w:xAlign="center" w:y="1"/>
              <w:spacing w:before="50" w:after="50"/>
              <w:jc w:val="center"/>
              <w:rPr>
                <w:lang w:val="en-US"/>
              </w:rPr>
            </w:pPr>
            <w:r>
              <w:rPr>
                <w:lang w:val="en-US"/>
              </w:rPr>
              <w:t>6</w:t>
            </w:r>
          </w:p>
        </w:tc>
        <w:tc>
          <w:tcPr>
            <w:tcW w:w="1701" w:type="dxa"/>
          </w:tcPr>
          <w:p w:rsidR="00B9359B" w:rsidRDefault="009A5268">
            <w:pPr>
              <w:pStyle w:val="Tabletext"/>
              <w:framePr w:hSpace="181" w:wrap="notBeside" w:vAnchor="text" w:hAnchor="text" w:xAlign="center" w:y="1"/>
              <w:spacing w:before="50" w:after="50"/>
              <w:jc w:val="center"/>
              <w:rPr>
                <w:lang w:val="en-US"/>
              </w:rPr>
            </w:pPr>
            <w:r>
              <w:rPr>
                <w:lang w:val="en-US"/>
              </w:rPr>
              <w:t>3</w:t>
            </w:r>
          </w:p>
        </w:tc>
        <w:tc>
          <w:tcPr>
            <w:tcW w:w="1701" w:type="dxa"/>
          </w:tcPr>
          <w:p w:rsidR="00B9359B" w:rsidRDefault="009A5268">
            <w:pPr>
              <w:pStyle w:val="Tabletext"/>
              <w:framePr w:hSpace="181" w:wrap="notBeside" w:vAnchor="text" w:hAnchor="text" w:xAlign="center" w:y="1"/>
              <w:spacing w:before="50" w:after="50"/>
              <w:jc w:val="center"/>
              <w:rPr>
                <w:lang w:val="en-US"/>
              </w:rPr>
            </w:pPr>
            <w:r>
              <w:rPr>
                <w:lang w:val="en-US"/>
              </w:rPr>
              <w:t>21</w:t>
            </w:r>
          </w:p>
        </w:tc>
        <w:tc>
          <w:tcPr>
            <w:tcW w:w="1701" w:type="dxa"/>
          </w:tcPr>
          <w:p w:rsidR="00B9359B" w:rsidRDefault="009A5268">
            <w:pPr>
              <w:pStyle w:val="Tabletext"/>
              <w:framePr w:hSpace="181" w:wrap="notBeside" w:vAnchor="text" w:hAnchor="text" w:xAlign="center" w:y="1"/>
              <w:spacing w:before="50" w:after="50"/>
              <w:jc w:val="center"/>
              <w:rPr>
                <w:lang w:val="en-US"/>
              </w:rPr>
            </w:pPr>
            <w:r>
              <w:rPr>
                <w:lang w:val="en-US"/>
              </w:rPr>
              <w:t>8</w:t>
            </w:r>
          </w:p>
        </w:tc>
      </w:tr>
      <w:tr w:rsidR="00B9359B">
        <w:tc>
          <w:tcPr>
            <w:tcW w:w="2608" w:type="dxa"/>
          </w:tcPr>
          <w:p w:rsidR="00B9359B" w:rsidRDefault="009A5268">
            <w:pPr>
              <w:pStyle w:val="Tabletext"/>
              <w:framePr w:hSpace="181" w:wrap="notBeside" w:vAnchor="text" w:hAnchor="text" w:xAlign="center" w:y="1"/>
              <w:spacing w:before="50" w:after="50"/>
              <w:jc w:val="left"/>
              <w:rPr>
                <w:lang w:val="en-US"/>
              </w:rPr>
            </w:pPr>
            <w:r>
              <w:rPr>
                <w:lang w:val="en-US"/>
              </w:rPr>
              <w:t>Satellite in plane (degrees)</w:t>
            </w:r>
          </w:p>
        </w:tc>
        <w:tc>
          <w:tcPr>
            <w:tcW w:w="1701" w:type="dxa"/>
          </w:tcPr>
          <w:p w:rsidR="00B9359B" w:rsidRDefault="009A5268">
            <w:pPr>
              <w:pStyle w:val="Tabletext"/>
              <w:framePr w:hSpace="181" w:wrap="notBeside" w:vAnchor="text" w:hAnchor="text" w:xAlign="center" w:y="1"/>
              <w:spacing w:before="50" w:after="50"/>
              <w:jc w:val="center"/>
              <w:rPr>
                <w:lang w:val="en-US"/>
              </w:rPr>
            </w:pPr>
            <w:r>
              <w:rPr>
                <w:lang w:val="en-US"/>
              </w:rPr>
              <w:t>32.7</w:t>
            </w:r>
          </w:p>
        </w:tc>
        <w:tc>
          <w:tcPr>
            <w:tcW w:w="1701" w:type="dxa"/>
          </w:tcPr>
          <w:p w:rsidR="00B9359B" w:rsidRDefault="009A5268">
            <w:pPr>
              <w:pStyle w:val="Tabletext"/>
              <w:framePr w:hSpace="181" w:wrap="notBeside" w:vAnchor="text" w:hAnchor="text" w:xAlign="center" w:y="1"/>
              <w:spacing w:before="50" w:after="50"/>
              <w:jc w:val="center"/>
              <w:rPr>
                <w:lang w:val="en-US"/>
              </w:rPr>
            </w:pPr>
            <w:r>
              <w:rPr>
                <w:lang w:val="en-US"/>
              </w:rPr>
              <w:t>90</w:t>
            </w:r>
          </w:p>
        </w:tc>
        <w:tc>
          <w:tcPr>
            <w:tcW w:w="1701" w:type="dxa"/>
          </w:tcPr>
          <w:p w:rsidR="00B9359B" w:rsidRDefault="009A5268">
            <w:pPr>
              <w:pStyle w:val="Tabletext"/>
              <w:framePr w:hSpace="181" w:wrap="notBeside" w:vAnchor="text" w:hAnchor="text" w:xAlign="center" w:y="1"/>
              <w:spacing w:before="50" w:after="50"/>
              <w:jc w:val="center"/>
              <w:rPr>
                <w:lang w:val="en-US"/>
              </w:rPr>
            </w:pPr>
            <w:r>
              <w:rPr>
                <w:lang w:val="en-US"/>
              </w:rPr>
              <w:t>9</w:t>
            </w:r>
          </w:p>
        </w:tc>
        <w:tc>
          <w:tcPr>
            <w:tcW w:w="1701" w:type="dxa"/>
          </w:tcPr>
          <w:p w:rsidR="00B9359B" w:rsidRDefault="009A5268">
            <w:pPr>
              <w:pStyle w:val="Tabletext"/>
              <w:framePr w:hSpace="181" w:wrap="notBeside" w:vAnchor="text" w:hAnchor="text" w:xAlign="center" w:y="1"/>
              <w:spacing w:before="50" w:after="50"/>
              <w:jc w:val="center"/>
              <w:rPr>
                <w:lang w:val="en-US"/>
              </w:rPr>
            </w:pPr>
            <w:r>
              <w:rPr>
                <w:lang w:val="en-US"/>
              </w:rPr>
              <w:t>–</w:t>
            </w:r>
          </w:p>
        </w:tc>
      </w:tr>
      <w:tr w:rsidR="00B9359B">
        <w:tc>
          <w:tcPr>
            <w:tcW w:w="2608" w:type="dxa"/>
          </w:tcPr>
          <w:p w:rsidR="00B9359B" w:rsidRDefault="009A5268">
            <w:pPr>
              <w:pStyle w:val="Tabletext"/>
              <w:framePr w:hSpace="181" w:wrap="notBeside" w:vAnchor="text" w:hAnchor="text" w:xAlign="center" w:y="1"/>
              <w:spacing w:before="50" w:after="50"/>
              <w:jc w:val="left"/>
              <w:rPr>
                <w:lang w:val="en-US"/>
              </w:rPr>
            </w:pPr>
            <w:r>
              <w:rPr>
                <w:lang w:val="en-US"/>
              </w:rPr>
              <w:t>Plane phasing (degrees)</w:t>
            </w:r>
          </w:p>
        </w:tc>
        <w:tc>
          <w:tcPr>
            <w:tcW w:w="1701" w:type="dxa"/>
          </w:tcPr>
          <w:p w:rsidR="00B9359B" w:rsidRDefault="009A5268">
            <w:pPr>
              <w:pStyle w:val="Tabletext"/>
              <w:framePr w:hSpace="181" w:wrap="notBeside" w:vAnchor="text" w:hAnchor="text" w:xAlign="center" w:y="1"/>
              <w:spacing w:before="50" w:after="50"/>
              <w:jc w:val="center"/>
              <w:rPr>
                <w:lang w:val="en-US"/>
              </w:rPr>
            </w:pPr>
            <w:r>
              <w:rPr>
                <w:lang w:val="en-US"/>
              </w:rPr>
              <w:t>31.6</w:t>
            </w:r>
          </w:p>
        </w:tc>
        <w:tc>
          <w:tcPr>
            <w:tcW w:w="1701" w:type="dxa"/>
          </w:tcPr>
          <w:p w:rsidR="00B9359B" w:rsidRDefault="009A5268">
            <w:pPr>
              <w:pStyle w:val="Tabletext"/>
              <w:framePr w:hSpace="181" w:wrap="notBeside" w:vAnchor="text" w:hAnchor="text" w:xAlign="center" w:y="1"/>
              <w:spacing w:before="50" w:after="50"/>
              <w:jc w:val="center"/>
              <w:rPr>
                <w:lang w:val="en-US"/>
              </w:rPr>
            </w:pPr>
            <w:r>
              <w:rPr>
                <w:lang w:val="en-US"/>
              </w:rPr>
              <w:t>30</w:t>
            </w:r>
          </w:p>
        </w:tc>
        <w:tc>
          <w:tcPr>
            <w:tcW w:w="1701" w:type="dxa"/>
          </w:tcPr>
          <w:p w:rsidR="00B9359B" w:rsidRDefault="009A5268">
            <w:pPr>
              <w:pStyle w:val="Tabletext"/>
              <w:framePr w:hSpace="181" w:wrap="notBeside" w:vAnchor="text" w:hAnchor="text" w:xAlign="center" w:y="1"/>
              <w:spacing w:before="50" w:after="50"/>
              <w:jc w:val="center"/>
              <w:rPr>
                <w:lang w:val="en-US"/>
              </w:rPr>
            </w:pPr>
            <w:r>
              <w:rPr>
                <w:lang w:val="en-US"/>
              </w:rPr>
              <w:t>Random</w:t>
            </w:r>
          </w:p>
        </w:tc>
        <w:tc>
          <w:tcPr>
            <w:tcW w:w="1701" w:type="dxa"/>
          </w:tcPr>
          <w:p w:rsidR="00B9359B" w:rsidRDefault="009A5268">
            <w:pPr>
              <w:pStyle w:val="Tabletext"/>
              <w:framePr w:hSpace="181" w:wrap="notBeside" w:vAnchor="text" w:hAnchor="text" w:xAlign="center" w:y="1"/>
              <w:spacing w:before="50" w:after="50"/>
              <w:jc w:val="center"/>
              <w:rPr>
                <w:lang w:val="en-US"/>
              </w:rPr>
            </w:pPr>
            <w:r>
              <w:rPr>
                <w:lang w:val="en-US"/>
              </w:rPr>
              <w:t>Varies</w:t>
            </w:r>
          </w:p>
        </w:tc>
      </w:tr>
      <w:tr w:rsidR="00B9359B">
        <w:tc>
          <w:tcPr>
            <w:tcW w:w="2608" w:type="dxa"/>
          </w:tcPr>
          <w:p w:rsidR="00B9359B" w:rsidRDefault="009A5268">
            <w:pPr>
              <w:pStyle w:val="Tabletext"/>
              <w:framePr w:hSpace="181" w:wrap="notBeside" w:vAnchor="text" w:hAnchor="text" w:xAlign="center" w:y="1"/>
              <w:spacing w:before="50" w:after="50"/>
              <w:jc w:val="left"/>
              <w:rPr>
                <w:lang w:val="en-US"/>
              </w:rPr>
            </w:pPr>
            <w:r>
              <w:rPr>
                <w:lang w:val="en-US"/>
              </w:rPr>
              <w:t>Polarization</w:t>
            </w:r>
          </w:p>
        </w:tc>
        <w:tc>
          <w:tcPr>
            <w:tcW w:w="1701" w:type="dxa"/>
          </w:tcPr>
          <w:p w:rsidR="00B9359B" w:rsidRDefault="009A5268">
            <w:pPr>
              <w:pStyle w:val="Tabletext"/>
              <w:framePr w:hSpace="181" w:wrap="notBeside" w:vAnchor="text" w:hAnchor="text" w:xAlign="center" w:y="1"/>
              <w:spacing w:before="50" w:after="50"/>
              <w:jc w:val="center"/>
              <w:rPr>
                <w:lang w:val="en-US"/>
              </w:rPr>
            </w:pPr>
            <w:r>
              <w:rPr>
                <w:lang w:val="en-US"/>
              </w:rPr>
              <w:t>LHCP</w:t>
            </w:r>
          </w:p>
        </w:tc>
        <w:tc>
          <w:tcPr>
            <w:tcW w:w="1701" w:type="dxa"/>
          </w:tcPr>
          <w:p w:rsidR="00B9359B" w:rsidRDefault="009A5268">
            <w:pPr>
              <w:pStyle w:val="Tabletext"/>
              <w:framePr w:hSpace="181" w:wrap="notBeside" w:vAnchor="text" w:hAnchor="text" w:xAlign="center" w:y="1"/>
              <w:spacing w:before="50" w:after="50"/>
              <w:jc w:val="center"/>
              <w:rPr>
                <w:lang w:val="en-US"/>
              </w:rPr>
            </w:pPr>
            <w:r>
              <w:rPr>
                <w:lang w:val="en-US"/>
              </w:rPr>
              <w:t>RHCP</w:t>
            </w:r>
          </w:p>
        </w:tc>
        <w:tc>
          <w:tcPr>
            <w:tcW w:w="1701" w:type="dxa"/>
          </w:tcPr>
          <w:p w:rsidR="00B9359B" w:rsidRDefault="009A5268">
            <w:pPr>
              <w:pStyle w:val="Tabletext"/>
              <w:framePr w:hSpace="181" w:wrap="notBeside" w:vAnchor="text" w:hAnchor="text" w:xAlign="center" w:y="1"/>
              <w:spacing w:before="50" w:after="50"/>
              <w:jc w:val="center"/>
              <w:rPr>
                <w:lang w:val="en-US"/>
              </w:rPr>
            </w:pPr>
            <w:r>
              <w:rPr>
                <w:lang w:val="en-US"/>
              </w:rPr>
              <w:t>LHCP/RHCP</w:t>
            </w:r>
          </w:p>
        </w:tc>
        <w:tc>
          <w:tcPr>
            <w:tcW w:w="1701" w:type="dxa"/>
          </w:tcPr>
          <w:p w:rsidR="00B9359B" w:rsidRDefault="009A5268">
            <w:pPr>
              <w:pStyle w:val="Tabletext"/>
              <w:framePr w:hSpace="181" w:wrap="notBeside" w:vAnchor="text" w:hAnchor="text" w:xAlign="center" w:y="1"/>
              <w:spacing w:before="50" w:after="50"/>
              <w:jc w:val="center"/>
              <w:rPr>
                <w:lang w:val="en-US"/>
              </w:rPr>
            </w:pPr>
            <w:r>
              <w:rPr>
                <w:lang w:val="en-US"/>
              </w:rPr>
              <w:t>LHCP/RHCP</w:t>
            </w:r>
          </w:p>
        </w:tc>
      </w:tr>
      <w:tr w:rsidR="00B9359B">
        <w:tc>
          <w:tcPr>
            <w:tcW w:w="2608" w:type="dxa"/>
          </w:tcPr>
          <w:p w:rsidR="00B9359B" w:rsidRDefault="009A5268">
            <w:pPr>
              <w:pStyle w:val="Tabletext"/>
              <w:framePr w:hSpace="181" w:wrap="notBeside" w:vAnchor="text" w:hAnchor="text" w:xAlign="center" w:y="1"/>
              <w:spacing w:before="50" w:after="50"/>
              <w:jc w:val="left"/>
              <w:rPr>
                <w:lang w:val="en-US"/>
              </w:rPr>
            </w:pPr>
            <w:r>
              <w:rPr>
                <w:lang w:val="en-US"/>
              </w:rPr>
              <w:t>Modulation</w:t>
            </w:r>
          </w:p>
        </w:tc>
        <w:tc>
          <w:tcPr>
            <w:tcW w:w="1701" w:type="dxa"/>
          </w:tcPr>
          <w:p w:rsidR="00B9359B" w:rsidRDefault="009A5268">
            <w:pPr>
              <w:pStyle w:val="Tabletext"/>
              <w:framePr w:hSpace="181" w:wrap="notBeside" w:vAnchor="text" w:hAnchor="text" w:xAlign="center" w:y="1"/>
              <w:spacing w:before="50" w:after="50"/>
              <w:jc w:val="center"/>
              <w:rPr>
                <w:lang w:val="en-US"/>
              </w:rPr>
            </w:pPr>
            <w:r>
              <w:rPr>
                <w:lang w:val="en-US"/>
              </w:rPr>
              <w:t>FDMA/QPSK</w:t>
            </w:r>
          </w:p>
        </w:tc>
        <w:tc>
          <w:tcPr>
            <w:tcW w:w="1701" w:type="dxa"/>
          </w:tcPr>
          <w:p w:rsidR="00B9359B" w:rsidRDefault="009A5268">
            <w:pPr>
              <w:pStyle w:val="Tabletext"/>
              <w:framePr w:hSpace="181" w:wrap="notBeside" w:vAnchor="text" w:hAnchor="text" w:xAlign="center" w:y="1"/>
              <w:spacing w:before="50" w:after="50"/>
              <w:jc w:val="center"/>
              <w:rPr>
                <w:lang w:val="en-US"/>
              </w:rPr>
            </w:pPr>
            <w:r>
              <w:rPr>
                <w:lang w:val="en-US"/>
              </w:rPr>
              <w:t>CDMA</w:t>
            </w:r>
          </w:p>
        </w:tc>
        <w:tc>
          <w:tcPr>
            <w:tcW w:w="1701" w:type="dxa"/>
          </w:tcPr>
          <w:p w:rsidR="00B9359B" w:rsidRDefault="009A5268">
            <w:pPr>
              <w:pStyle w:val="Tabletext"/>
              <w:framePr w:hSpace="181" w:wrap="notBeside" w:vAnchor="text" w:hAnchor="text" w:xAlign="center" w:y="1"/>
              <w:spacing w:before="50" w:after="50"/>
              <w:jc w:val="center"/>
              <w:rPr>
                <w:lang w:val="en-US"/>
              </w:rPr>
            </w:pPr>
            <w:r>
              <w:rPr>
                <w:lang w:val="en-US"/>
              </w:rPr>
              <w:t>Shaped QPSK</w:t>
            </w:r>
            <w:r>
              <w:rPr>
                <w:lang w:val="en-US"/>
              </w:rPr>
              <w:br/>
              <w:t>FDMA</w:t>
            </w:r>
          </w:p>
        </w:tc>
        <w:tc>
          <w:tcPr>
            <w:tcW w:w="1701" w:type="dxa"/>
          </w:tcPr>
          <w:p w:rsidR="00B9359B" w:rsidRDefault="009A5268">
            <w:pPr>
              <w:pStyle w:val="Tabletext"/>
              <w:framePr w:hSpace="181" w:wrap="notBeside" w:vAnchor="text" w:hAnchor="text" w:xAlign="center" w:y="1"/>
              <w:spacing w:before="50" w:after="50"/>
              <w:jc w:val="center"/>
              <w:rPr>
                <w:lang w:val="en-US"/>
              </w:rPr>
            </w:pPr>
            <w:r>
              <w:rPr>
                <w:lang w:val="en-US"/>
              </w:rPr>
              <w:t>Phase</w:t>
            </w:r>
          </w:p>
        </w:tc>
      </w:tr>
      <w:tr w:rsidR="00B9359B">
        <w:tc>
          <w:tcPr>
            <w:tcW w:w="2608" w:type="dxa"/>
          </w:tcPr>
          <w:p w:rsidR="00B9359B" w:rsidRDefault="009A5268">
            <w:pPr>
              <w:pStyle w:val="Tabletext"/>
              <w:framePr w:hSpace="181" w:wrap="notBeside" w:vAnchor="text" w:hAnchor="text" w:xAlign="center" w:y="1"/>
              <w:spacing w:before="50" w:after="50"/>
              <w:jc w:val="left"/>
              <w:rPr>
                <w:lang w:val="en-US"/>
              </w:rPr>
            </w:pPr>
            <w:r>
              <w:rPr>
                <w:lang w:val="en-US"/>
              </w:rPr>
              <w:t>Bandwidth (MHz)</w:t>
            </w:r>
          </w:p>
        </w:tc>
        <w:tc>
          <w:tcPr>
            <w:tcW w:w="1701" w:type="dxa"/>
          </w:tcPr>
          <w:p w:rsidR="00B9359B" w:rsidRDefault="009A5268">
            <w:pPr>
              <w:pStyle w:val="Tabletext"/>
              <w:framePr w:hSpace="181" w:wrap="notBeside" w:vAnchor="text" w:hAnchor="text" w:xAlign="center" w:y="1"/>
              <w:spacing w:before="50" w:after="50"/>
              <w:jc w:val="center"/>
              <w:rPr>
                <w:lang w:val="en-US"/>
              </w:rPr>
            </w:pPr>
            <w:r>
              <w:rPr>
                <w:lang w:val="en-US"/>
              </w:rPr>
              <w:t>4.37</w:t>
            </w:r>
          </w:p>
        </w:tc>
        <w:tc>
          <w:tcPr>
            <w:tcW w:w="1701" w:type="dxa"/>
          </w:tcPr>
          <w:p w:rsidR="00B9359B" w:rsidRDefault="009A5268">
            <w:pPr>
              <w:pStyle w:val="Tabletext"/>
              <w:framePr w:hSpace="181" w:wrap="notBeside" w:vAnchor="text" w:hAnchor="text" w:xAlign="center" w:y="1"/>
              <w:spacing w:before="50" w:after="50"/>
              <w:jc w:val="center"/>
              <w:rPr>
                <w:lang w:val="en-US"/>
              </w:rPr>
            </w:pPr>
            <w:r>
              <w:rPr>
                <w:lang w:val="en-US"/>
              </w:rPr>
              <w:t>2.5</w:t>
            </w:r>
          </w:p>
        </w:tc>
        <w:tc>
          <w:tcPr>
            <w:tcW w:w="1701" w:type="dxa"/>
          </w:tcPr>
          <w:p w:rsidR="00B9359B" w:rsidRDefault="009A5268">
            <w:pPr>
              <w:pStyle w:val="Tabletext"/>
              <w:framePr w:hSpace="181" w:wrap="notBeside" w:vAnchor="text" w:hAnchor="text" w:xAlign="center" w:y="1"/>
              <w:spacing w:before="50" w:after="50"/>
              <w:jc w:val="center"/>
              <w:rPr>
                <w:lang w:val="en-US"/>
              </w:rPr>
            </w:pPr>
            <w:r>
              <w:rPr>
                <w:lang w:val="en-US"/>
              </w:rPr>
              <w:t>500</w:t>
            </w:r>
          </w:p>
        </w:tc>
        <w:tc>
          <w:tcPr>
            <w:tcW w:w="1701" w:type="dxa"/>
          </w:tcPr>
          <w:p w:rsidR="00B9359B" w:rsidRDefault="009A5268">
            <w:pPr>
              <w:pStyle w:val="Tabletext"/>
              <w:framePr w:hSpace="181" w:wrap="notBeside" w:vAnchor="text" w:hAnchor="text" w:xAlign="center" w:y="1"/>
              <w:spacing w:before="50" w:after="50"/>
              <w:jc w:val="center"/>
              <w:rPr>
                <w:lang w:val="en-US"/>
              </w:rPr>
            </w:pPr>
            <w:r>
              <w:rPr>
                <w:lang w:val="en-US"/>
              </w:rPr>
              <w:t>3</w:t>
            </w:r>
            <w:r>
              <w:rPr>
                <w:rFonts w:ascii="Tms Rmn" w:hAnsi="Tms Rmn"/>
                <w:sz w:val="12"/>
                <w:lang w:val="en-US"/>
              </w:rPr>
              <w:t> </w:t>
            </w:r>
            <w:r>
              <w:rPr>
                <w:lang w:val="en-US"/>
              </w:rPr>
              <w:t>200</w:t>
            </w:r>
          </w:p>
        </w:tc>
      </w:tr>
      <w:tr w:rsidR="00B9359B">
        <w:tc>
          <w:tcPr>
            <w:tcW w:w="2608" w:type="dxa"/>
          </w:tcPr>
          <w:p w:rsidR="00B9359B" w:rsidRDefault="009A5268">
            <w:pPr>
              <w:pStyle w:val="Tabletext"/>
              <w:framePr w:hSpace="181" w:wrap="notBeside" w:vAnchor="text" w:hAnchor="text" w:xAlign="center" w:y="1"/>
              <w:spacing w:before="50" w:after="50"/>
              <w:jc w:val="left"/>
              <w:rPr>
                <w:lang w:val="en-US"/>
              </w:rPr>
            </w:pPr>
            <w:r>
              <w:rPr>
                <w:lang w:val="en-US"/>
              </w:rPr>
              <w:t>e.i.r.p. (dBW)</w:t>
            </w:r>
          </w:p>
        </w:tc>
        <w:tc>
          <w:tcPr>
            <w:tcW w:w="1701" w:type="dxa"/>
          </w:tcPr>
          <w:p w:rsidR="00B9359B" w:rsidRDefault="009A5268">
            <w:pPr>
              <w:pStyle w:val="Tabletext"/>
              <w:framePr w:hSpace="181" w:wrap="notBeside" w:vAnchor="text" w:hAnchor="text" w:xAlign="center" w:y="1"/>
              <w:spacing w:before="50" w:after="50"/>
              <w:jc w:val="center"/>
              <w:rPr>
                <w:lang w:val="en-US"/>
              </w:rPr>
            </w:pPr>
            <w:r>
              <w:rPr>
                <w:lang w:val="en-US"/>
              </w:rPr>
              <w:t>15</w:t>
            </w:r>
          </w:p>
        </w:tc>
        <w:tc>
          <w:tcPr>
            <w:tcW w:w="1701" w:type="dxa"/>
          </w:tcPr>
          <w:p w:rsidR="00B9359B" w:rsidRDefault="009A5268">
            <w:pPr>
              <w:pStyle w:val="Tabletext"/>
              <w:framePr w:hSpace="181" w:wrap="notBeside" w:vAnchor="text" w:hAnchor="text" w:xAlign="center" w:y="1"/>
              <w:spacing w:before="50" w:after="50"/>
              <w:jc w:val="center"/>
              <w:rPr>
                <w:lang w:val="en-US"/>
              </w:rPr>
            </w:pPr>
            <w:r>
              <w:rPr>
                <w:lang w:val="en-US"/>
              </w:rPr>
              <w:t>5.31</w:t>
            </w:r>
          </w:p>
        </w:tc>
        <w:tc>
          <w:tcPr>
            <w:tcW w:w="1701" w:type="dxa"/>
          </w:tcPr>
          <w:p w:rsidR="00B9359B" w:rsidRDefault="009A5268">
            <w:pPr>
              <w:pStyle w:val="Tabletext"/>
              <w:framePr w:hSpace="181" w:wrap="notBeside" w:vAnchor="text" w:hAnchor="text" w:xAlign="center" w:y="1"/>
              <w:spacing w:before="50" w:after="50"/>
              <w:jc w:val="center"/>
              <w:rPr>
                <w:lang w:val="en-US"/>
              </w:rPr>
            </w:pPr>
            <w:r>
              <w:rPr>
                <w:lang w:val="en-US"/>
              </w:rPr>
              <w:t>47.5</w:t>
            </w:r>
          </w:p>
        </w:tc>
        <w:tc>
          <w:tcPr>
            <w:tcW w:w="1701" w:type="dxa"/>
          </w:tcPr>
          <w:p w:rsidR="00B9359B" w:rsidRDefault="009A5268">
            <w:pPr>
              <w:pStyle w:val="Tabletext"/>
              <w:framePr w:hSpace="181" w:wrap="notBeside" w:vAnchor="text" w:hAnchor="text" w:xAlign="center" w:y="1"/>
              <w:spacing w:before="50" w:after="50"/>
              <w:jc w:val="center"/>
              <w:rPr>
                <w:lang w:val="en-US"/>
              </w:rPr>
            </w:pPr>
            <w:r>
              <w:rPr>
                <w:lang w:val="en-US"/>
              </w:rPr>
              <w:t>74</w:t>
            </w:r>
          </w:p>
        </w:tc>
      </w:tr>
      <w:tr w:rsidR="00B9359B">
        <w:tc>
          <w:tcPr>
            <w:tcW w:w="2608" w:type="dxa"/>
          </w:tcPr>
          <w:p w:rsidR="00B9359B" w:rsidRDefault="009A5268">
            <w:pPr>
              <w:pStyle w:val="Tabletext"/>
              <w:framePr w:hSpace="181" w:wrap="notBeside" w:vAnchor="text" w:hAnchor="text" w:xAlign="center" w:y="1"/>
              <w:spacing w:before="50" w:after="50"/>
              <w:jc w:val="left"/>
              <w:rPr>
                <w:lang w:val="en-US"/>
              </w:rPr>
            </w:pPr>
            <w:r>
              <w:rPr>
                <w:lang w:val="en-US"/>
              </w:rPr>
              <w:t>Antenna gain (dBi)</w:t>
            </w:r>
          </w:p>
        </w:tc>
        <w:tc>
          <w:tcPr>
            <w:tcW w:w="1701" w:type="dxa"/>
          </w:tcPr>
          <w:p w:rsidR="00B9359B" w:rsidRDefault="009A5268">
            <w:pPr>
              <w:pStyle w:val="Tabletext"/>
              <w:framePr w:hSpace="181" w:wrap="notBeside" w:vAnchor="text" w:hAnchor="text" w:xAlign="center" w:y="1"/>
              <w:spacing w:before="50" w:after="50"/>
              <w:jc w:val="center"/>
              <w:rPr>
                <w:lang w:val="en-US"/>
              </w:rPr>
            </w:pPr>
            <w:r>
              <w:rPr>
                <w:lang w:val="en-US"/>
              </w:rPr>
              <w:t>26.9</w:t>
            </w:r>
          </w:p>
        </w:tc>
        <w:tc>
          <w:tcPr>
            <w:tcW w:w="1701" w:type="dxa"/>
          </w:tcPr>
          <w:p w:rsidR="00B9359B" w:rsidRDefault="009A5268">
            <w:pPr>
              <w:pStyle w:val="Tabletext"/>
              <w:framePr w:hSpace="181" w:wrap="notBeside" w:vAnchor="text" w:hAnchor="text" w:xAlign="center" w:y="1"/>
              <w:spacing w:before="50" w:after="50"/>
              <w:jc w:val="center"/>
              <w:rPr>
                <w:lang w:val="en-US"/>
              </w:rPr>
            </w:pPr>
            <w:r>
              <w:rPr>
                <w:lang w:val="en-US"/>
              </w:rPr>
              <w:t>35.7</w:t>
            </w:r>
          </w:p>
        </w:tc>
        <w:tc>
          <w:tcPr>
            <w:tcW w:w="1701" w:type="dxa"/>
          </w:tcPr>
          <w:p w:rsidR="00B9359B" w:rsidRDefault="009A5268">
            <w:pPr>
              <w:pStyle w:val="Tabletext"/>
              <w:framePr w:hSpace="181" w:wrap="notBeside" w:vAnchor="text" w:hAnchor="text" w:xAlign="center" w:y="1"/>
              <w:spacing w:before="50" w:after="50"/>
              <w:jc w:val="center"/>
              <w:rPr>
                <w:lang w:val="en-US"/>
              </w:rPr>
            </w:pPr>
            <w:r>
              <w:rPr>
                <w:lang w:val="en-US"/>
              </w:rPr>
              <w:t>28.9</w:t>
            </w:r>
          </w:p>
        </w:tc>
        <w:tc>
          <w:tcPr>
            <w:tcW w:w="1701" w:type="dxa"/>
          </w:tcPr>
          <w:p w:rsidR="00B9359B" w:rsidRDefault="009A5268">
            <w:pPr>
              <w:pStyle w:val="Tabletext"/>
              <w:framePr w:hSpace="181" w:wrap="notBeside" w:vAnchor="text" w:hAnchor="text" w:xAlign="center" w:y="1"/>
              <w:spacing w:before="50" w:after="50"/>
              <w:jc w:val="center"/>
              <w:rPr>
                <w:lang w:val="en-US"/>
              </w:rPr>
            </w:pPr>
            <w:r>
              <w:rPr>
                <w:lang w:val="en-US"/>
              </w:rPr>
              <w:t>55</w:t>
            </w:r>
          </w:p>
        </w:tc>
      </w:tr>
    </w:tbl>
    <w:p w:rsidR="00B9359B" w:rsidRDefault="00B9359B">
      <w:pPr>
        <w:pStyle w:val="Tablefin"/>
        <w:spacing w:before="0"/>
      </w:pPr>
    </w:p>
    <w:p w:rsidR="00B9359B" w:rsidRDefault="009A5268">
      <w:pPr>
        <w:pStyle w:val="Heading1"/>
        <w:rPr>
          <w:lang w:val="en-US"/>
        </w:rPr>
      </w:pPr>
      <w:bookmarkStart w:id="310" w:name="_Toc51045710"/>
      <w:r>
        <w:rPr>
          <w:lang w:val="en-US"/>
        </w:rPr>
        <w:br w:type="page"/>
        <w:t>3</w:t>
      </w:r>
      <w:r>
        <w:rPr>
          <w:lang w:val="en-US"/>
        </w:rPr>
        <w:tab/>
        <w:t>Compatibility threshold</w:t>
      </w:r>
      <w:bookmarkEnd w:id="310"/>
    </w:p>
    <w:p w:rsidR="00B9359B" w:rsidRDefault="009A5268">
      <w:pPr>
        <w:rPr>
          <w:lang w:val="en-US"/>
        </w:rPr>
      </w:pPr>
      <w:r>
        <w:rPr>
          <w:lang w:val="en-US"/>
        </w:rPr>
        <w:t xml:space="preserve">There are two criteria for the 21.2-21.4 GHz band. First there is a power threshold of </w:t>
      </w:r>
      <w:r>
        <w:rPr>
          <w:rFonts w:ascii="Symbol" w:hAnsi="Symbol"/>
          <w:lang w:val="en-US"/>
        </w:rPr>
        <w:noBreakHyphen/>
      </w:r>
      <w:r>
        <w:rPr>
          <w:lang w:val="en-US"/>
        </w:rPr>
        <w:t>163 dBW in 100 MHz. This is a maximum interference level from all sources. Secondly the availability criterion is 99% of all measurement cells or 1% loss of measurement pixels.</w:t>
      </w:r>
    </w:p>
    <w:p w:rsidR="00B9359B" w:rsidRDefault="009A5268">
      <w:pPr>
        <w:rPr>
          <w:lang w:val="en-US"/>
        </w:rPr>
      </w:pPr>
      <w:r>
        <w:rPr>
          <w:lang w:val="en-US"/>
        </w:rPr>
        <w:t>Interference is potentially received from several sources arising from multiple services simulta</w:t>
      </w:r>
      <w:r>
        <w:rPr>
          <w:lang w:val="en-US"/>
        </w:rPr>
        <w:softHyphen/>
        <w:t>neously. The value listed in Recommendation ITU</w:t>
      </w:r>
      <w:r>
        <w:rPr>
          <w:lang w:val="en-US"/>
        </w:rPr>
        <w:noBreakHyphen/>
        <w:t>R SA.1029 (for a specific band) is the maximum allowable interference level for the passive sensor.</w:t>
      </w:r>
    </w:p>
    <w:p w:rsidR="00B9359B" w:rsidRDefault="009A5268">
      <w:pPr>
        <w:rPr>
          <w:b/>
          <w:lang w:val="en-US"/>
        </w:rPr>
      </w:pPr>
      <w:r>
        <w:rPr>
          <w:lang w:val="en-US"/>
        </w:rPr>
        <w:t>This Annex provides an analysis of the interference generated by a single active service. Therefore further work is needed to address the impact of multiple active services above and below the passive band.</w:t>
      </w:r>
    </w:p>
    <w:p w:rsidR="00B9359B" w:rsidRDefault="009A5268">
      <w:pPr>
        <w:pStyle w:val="Heading1"/>
        <w:rPr>
          <w:lang w:val="en-US"/>
        </w:rPr>
      </w:pPr>
      <w:bookmarkStart w:id="311" w:name="_Toc51045711"/>
      <w:r>
        <w:rPr>
          <w:lang w:val="en-US"/>
        </w:rPr>
        <w:t>4</w:t>
      </w:r>
      <w:r>
        <w:rPr>
          <w:lang w:val="en-US"/>
        </w:rPr>
        <w:tab/>
        <w:t>Interference assessment</w:t>
      </w:r>
      <w:bookmarkEnd w:id="311"/>
    </w:p>
    <w:p w:rsidR="00B9359B" w:rsidRDefault="009A5268">
      <w:pPr>
        <w:pStyle w:val="Heading2"/>
        <w:rPr>
          <w:lang w:val="en-US"/>
        </w:rPr>
      </w:pPr>
      <w:bookmarkStart w:id="312" w:name="_Toc51045712"/>
      <w:r>
        <w:rPr>
          <w:lang w:val="en-US"/>
        </w:rPr>
        <w:t>4.1</w:t>
      </w:r>
      <w:r>
        <w:rPr>
          <w:lang w:val="en-US"/>
        </w:rPr>
        <w:tab/>
        <w:t>Methodology used to assess interference level</w:t>
      </w:r>
      <w:bookmarkEnd w:id="312"/>
    </w:p>
    <w:p w:rsidR="00B9359B" w:rsidRDefault="009A5268">
      <w:pPr>
        <w:rPr>
          <w:b/>
          <w:lang w:val="en-US"/>
        </w:rPr>
      </w:pPr>
      <w:r>
        <w:rPr>
          <w:lang w:val="en-US"/>
        </w:rPr>
        <w:t>The interference level of unwanted emissions is calculated for each FSS satellite in § 4.2.2.</w:t>
      </w:r>
    </w:p>
    <w:p w:rsidR="00B9359B" w:rsidRDefault="009A5268">
      <w:pPr>
        <w:pStyle w:val="Heading3"/>
        <w:rPr>
          <w:lang w:val="en-US"/>
        </w:rPr>
      </w:pPr>
      <w:bookmarkStart w:id="313" w:name="_Toc51045713"/>
      <w:r>
        <w:rPr>
          <w:lang w:val="en-US"/>
        </w:rPr>
        <w:t>4.1.1</w:t>
      </w:r>
      <w:r>
        <w:rPr>
          <w:lang w:val="en-US"/>
        </w:rPr>
        <w:tab/>
        <w:t>Use of the mask presented in Recommendation ITU-R SM.1541 for determination of OoB emissions</w:t>
      </w:r>
      <w:bookmarkEnd w:id="313"/>
    </w:p>
    <w:p w:rsidR="00B9359B" w:rsidRDefault="009A5268">
      <w:pPr>
        <w:rPr>
          <w:lang w:val="en-US"/>
        </w:rPr>
      </w:pPr>
      <w:r>
        <w:rPr>
          <w:lang w:val="en-US"/>
        </w:rPr>
        <w:t>Annex 5 of Recommendation ITU-R SM.1541 specifies a generic mask for OoB emissions for FSS earth and space stations. It is of the form:</w:t>
      </w:r>
    </w:p>
    <w:p w:rsidR="00B9359B" w:rsidRDefault="009A5268">
      <w:pPr>
        <w:pStyle w:val="Equation"/>
        <w:jc w:val="center"/>
        <w:rPr>
          <w:lang w:val="en-US"/>
        </w:rPr>
      </w:pPr>
      <w:r>
        <w:rPr>
          <w:position w:val="-28"/>
          <w:sz w:val="20"/>
          <w:lang w:val="fr-CH"/>
        </w:rPr>
        <w:object w:dxaOrig="1540" w:dyaOrig="680">
          <v:shape id="_x0000_i1061" type="#_x0000_t75" style="width:76.85pt;height:34.4pt" o:ole="" fillcolor="window">
            <v:imagedata r:id="rId44" o:title=""/>
          </v:shape>
          <o:OLEObject Type="Embed" ProgID="Equation.3" ShapeID="_x0000_i1061" DrawAspect="Content" ObjectID="_1629894569" r:id="rId60"/>
        </w:object>
      </w:r>
      <w:r>
        <w:rPr>
          <w:lang w:val="en-US"/>
        </w:rPr>
        <w:t>      dBsd</w:t>
      </w:r>
    </w:p>
    <w:p w:rsidR="00B9359B" w:rsidRDefault="009A5268">
      <w:pPr>
        <w:spacing w:before="240"/>
        <w:rPr>
          <w:lang w:val="en-US"/>
        </w:rPr>
      </w:pPr>
      <w:r>
        <w:rPr>
          <w:lang w:val="en-US"/>
        </w:rPr>
        <w:t xml:space="preserve">where </w:t>
      </w:r>
      <w:r>
        <w:rPr>
          <w:i/>
          <w:iCs/>
          <w:lang w:val="en-US"/>
        </w:rPr>
        <w:t>F</w:t>
      </w:r>
      <w:r>
        <w:rPr>
          <w:lang w:val="en-US"/>
        </w:rPr>
        <w:t xml:space="preserve"> is the frequency offset from the edge of the total assigned band, normalized as a percentage of the necessary bandwidth of the allocation or the lower transponder, whichever is least. The mask rolls off to the spurious boundary or to the point where it is equal to the RR Appendix 3 spurious limits (see Annex 5, Recommendation ITU-R SM.1541). It provides the minimum attenuation for OoB emissions relative to the maximum PSD in-band of the adjacent assigned band. The integration of this mask for power OoB is shown in Fig. 26. This Figure also includes the integral of a rectangular pulse and a raised cosine shaped pulse.</w:t>
      </w:r>
    </w:p>
    <w:p w:rsidR="00B9359B" w:rsidRDefault="009A5268">
      <w:pPr>
        <w:rPr>
          <w:lang w:val="en-US"/>
        </w:rPr>
      </w:pPr>
      <w:r>
        <w:rPr>
          <w:lang w:val="en-US"/>
        </w:rPr>
        <w:t>The integration above is the power from the specified percent of the necessary bandwidth out to infinity. However in cases where the necessary bandwidth of the emissions is broad, the passive sensor bandwidth is a small percentage of it. For a 500 MHz bandwidth, the passive sensor covers only 20% of its bandwidth. For the system with a 3</w:t>
      </w:r>
      <w:r>
        <w:rPr>
          <w:rFonts w:ascii="Tms Rmn" w:hAnsi="Tms Rmn"/>
          <w:sz w:val="12"/>
          <w:lang w:val="en-US"/>
        </w:rPr>
        <w:t> </w:t>
      </w:r>
      <w:r>
        <w:rPr>
          <w:lang w:val="en-US"/>
        </w:rPr>
        <w:t>200 MHz bandwidth the passive sensor is only 3% of the necessary bandwidth. The power in the passive sensor bandwidth is less than indicated on the Figure. To adjust for this the power can be adjusted. For the situation where the necessary bandwidth only is in the active band the passive band extends from the 50% point to the 70% point for the 500 MHz system and from the 50% point to the 53% point for the 3</w:t>
      </w:r>
      <w:r>
        <w:rPr>
          <w:rFonts w:ascii="Tms Rmn" w:hAnsi="Tms Rmn"/>
          <w:sz w:val="12"/>
          <w:lang w:val="en-US"/>
        </w:rPr>
        <w:t> </w:t>
      </w:r>
      <w:r>
        <w:rPr>
          <w:lang w:val="en-US"/>
        </w:rPr>
        <w:t>200 MHz system. For these cases the powers are as shown in Table 28.</w:t>
      </w:r>
    </w:p>
    <w:p w:rsidR="00B9359B" w:rsidRDefault="009A5268">
      <w:pPr>
        <w:pStyle w:val="FigureNo"/>
        <w:rPr>
          <w:lang w:val="en-US"/>
        </w:rPr>
      </w:pPr>
      <w:r>
        <w:rPr>
          <w:lang w:val="en-US"/>
        </w:rPr>
        <w:br w:type="page"/>
      </w:r>
      <w:r>
        <w:rPr>
          <w:lang w:val="en-US"/>
        </w:rPr>
        <w:object w:dxaOrig="6538" w:dyaOrig="5890">
          <v:shape id="_x0000_i1062" type="#_x0000_t75" style="width:326.7pt;height:294.45pt" o:ole="">
            <v:imagedata r:id="rId61" o:title=""/>
          </v:shape>
          <o:OLEObject Type="Embed" ProgID="Designer.Drawing.7" ShapeID="_x0000_i1062" DrawAspect="Content" ObjectID="_1629894570" r:id="rId62"/>
        </w:object>
      </w:r>
    </w:p>
    <w:p w:rsidR="00B9359B" w:rsidRDefault="00B9359B">
      <w:pPr>
        <w:rPr>
          <w:lang w:val="en-US"/>
        </w:rPr>
      </w:pPr>
    </w:p>
    <w:p w:rsidR="00B9359B" w:rsidRDefault="009A5268">
      <w:pPr>
        <w:pStyle w:val="TableNo"/>
        <w:rPr>
          <w:lang w:val="en-US"/>
        </w:rPr>
      </w:pPr>
      <w:r>
        <w:rPr>
          <w:lang w:val="en-US"/>
        </w:rPr>
        <w:t>TABLE  28</w:t>
      </w:r>
    </w:p>
    <w:p w:rsidR="00B9359B" w:rsidRDefault="009A5268">
      <w:pPr>
        <w:pStyle w:val="Tabletitle"/>
        <w:rPr>
          <w:lang w:val="en-US"/>
        </w:rPr>
      </w:pPr>
      <w:r>
        <w:rPr>
          <w:lang w:val="en-US"/>
        </w:rPr>
        <w:t>Relative power in a passive sensor bandwidth</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410"/>
        <w:gridCol w:w="2410"/>
        <w:gridCol w:w="2410"/>
        <w:gridCol w:w="2410"/>
      </w:tblGrid>
      <w:tr w:rsidR="00B9359B">
        <w:tc>
          <w:tcPr>
            <w:tcW w:w="2410" w:type="dxa"/>
            <w:vAlign w:val="center"/>
          </w:tcPr>
          <w:p w:rsidR="00B9359B" w:rsidRDefault="009A5268">
            <w:pPr>
              <w:pStyle w:val="Tablehead"/>
              <w:framePr w:hSpace="181" w:wrap="notBeside" w:vAnchor="text" w:hAnchor="text" w:xAlign="center" w:y="1"/>
              <w:rPr>
                <w:lang w:val="en-US"/>
              </w:rPr>
            </w:pPr>
            <w:r>
              <w:rPr>
                <w:lang w:val="en-US"/>
              </w:rPr>
              <w:t>Necessary bandwidth</w:t>
            </w:r>
            <w:r>
              <w:rPr>
                <w:lang w:val="en-US"/>
              </w:rPr>
              <w:br/>
              <w:t>(MHz)</w:t>
            </w:r>
          </w:p>
        </w:tc>
        <w:tc>
          <w:tcPr>
            <w:tcW w:w="2410" w:type="dxa"/>
            <w:vAlign w:val="center"/>
          </w:tcPr>
          <w:p w:rsidR="00B9359B" w:rsidRDefault="009A5268">
            <w:pPr>
              <w:pStyle w:val="Tablehead"/>
              <w:framePr w:hSpace="181" w:wrap="notBeside" w:vAnchor="text" w:hAnchor="text" w:xAlign="center" w:y="1"/>
              <w:rPr>
                <w:lang w:val="en-US"/>
              </w:rPr>
            </w:pPr>
            <w:r>
              <w:rPr>
                <w:lang w:val="en-US"/>
              </w:rPr>
              <w:t>Spectral mask from Recommendation</w:t>
            </w:r>
            <w:r>
              <w:rPr>
                <w:lang w:val="en-US"/>
              </w:rPr>
              <w:br/>
              <w:t>ITU-R SM.1541</w:t>
            </w:r>
            <w:r>
              <w:rPr>
                <w:lang w:val="en-US"/>
              </w:rPr>
              <w:br/>
              <w:t>(dB)</w:t>
            </w:r>
          </w:p>
        </w:tc>
        <w:tc>
          <w:tcPr>
            <w:tcW w:w="2410" w:type="dxa"/>
            <w:vAlign w:val="center"/>
          </w:tcPr>
          <w:p w:rsidR="00B9359B" w:rsidRDefault="009A5268">
            <w:pPr>
              <w:pStyle w:val="Tablehead"/>
              <w:framePr w:hSpace="181" w:wrap="notBeside" w:vAnchor="text" w:hAnchor="text" w:xAlign="center" w:y="1"/>
              <w:rPr>
                <w:lang w:val="es-ES"/>
              </w:rPr>
            </w:pPr>
            <w:r>
              <w:rPr>
                <w:lang w:val="es-ES"/>
              </w:rPr>
              <w:t>Rectangular pulse</w:t>
            </w:r>
            <w:r>
              <w:rPr>
                <w:lang w:val="es-ES"/>
              </w:rPr>
              <w:br/>
              <w:t>(dB)</w:t>
            </w:r>
          </w:p>
        </w:tc>
        <w:tc>
          <w:tcPr>
            <w:tcW w:w="2410" w:type="dxa"/>
            <w:vAlign w:val="center"/>
          </w:tcPr>
          <w:p w:rsidR="00B9359B" w:rsidRDefault="009A5268">
            <w:pPr>
              <w:pStyle w:val="Tablehead"/>
              <w:framePr w:hSpace="181" w:wrap="notBeside" w:vAnchor="text" w:hAnchor="text" w:xAlign="center" w:y="1"/>
              <w:rPr>
                <w:lang w:val="en-US"/>
              </w:rPr>
            </w:pPr>
            <w:r>
              <w:rPr>
                <w:lang w:val="en-US"/>
              </w:rPr>
              <w:t>Raised cosine pulse</w:t>
            </w:r>
            <w:r>
              <w:rPr>
                <w:lang w:val="en-US"/>
              </w:rPr>
              <w:br/>
              <w:t>(dB)</w:t>
            </w:r>
          </w:p>
        </w:tc>
      </w:tr>
      <w:tr w:rsidR="00B9359B">
        <w:tc>
          <w:tcPr>
            <w:tcW w:w="2410" w:type="dxa"/>
          </w:tcPr>
          <w:p w:rsidR="00B9359B" w:rsidRDefault="009A5268">
            <w:pPr>
              <w:pStyle w:val="Tabletext"/>
              <w:framePr w:hSpace="181" w:wrap="notBeside" w:vAnchor="text" w:hAnchor="text" w:xAlign="center" w:y="1"/>
              <w:spacing w:before="60" w:after="60"/>
              <w:jc w:val="center"/>
              <w:rPr>
                <w:lang w:val="en-US"/>
              </w:rPr>
            </w:pPr>
            <w:r>
              <w:rPr>
                <w:lang w:val="en-US"/>
              </w:rPr>
              <w:t>125</w:t>
            </w:r>
          </w:p>
        </w:tc>
        <w:tc>
          <w:tcPr>
            <w:tcW w:w="2410" w:type="dxa"/>
          </w:tcPr>
          <w:p w:rsidR="00B9359B" w:rsidRDefault="009A5268">
            <w:pPr>
              <w:pStyle w:val="Tabletext"/>
              <w:framePr w:hSpace="181" w:wrap="notBeside" w:vAnchor="text" w:hAnchor="text" w:xAlign="center" w:y="1"/>
              <w:spacing w:before="60" w:after="60"/>
              <w:jc w:val="center"/>
              <w:rPr>
                <w:lang w:val="en-US"/>
              </w:rPr>
            </w:pPr>
            <w:r>
              <w:sym w:font="Symbol" w:char="F02D"/>
            </w:r>
            <w:r>
              <w:rPr>
                <w:lang w:val="en-US"/>
              </w:rPr>
              <w:t>9.1</w:t>
            </w:r>
          </w:p>
        </w:tc>
        <w:tc>
          <w:tcPr>
            <w:tcW w:w="2410" w:type="dxa"/>
          </w:tcPr>
          <w:p w:rsidR="00B9359B" w:rsidRDefault="009A5268">
            <w:pPr>
              <w:pStyle w:val="Tabletext"/>
              <w:framePr w:hSpace="181" w:wrap="notBeside" w:vAnchor="text" w:hAnchor="text" w:xAlign="center" w:y="1"/>
              <w:spacing w:before="60" w:after="60"/>
              <w:jc w:val="center"/>
              <w:rPr>
                <w:lang w:val="en-US"/>
              </w:rPr>
            </w:pPr>
            <w:r>
              <w:sym w:font="Symbol" w:char="F02D"/>
            </w:r>
            <w:r>
              <w:rPr>
                <w:lang w:val="en-US"/>
              </w:rPr>
              <w:t>15.4</w:t>
            </w:r>
          </w:p>
        </w:tc>
        <w:tc>
          <w:tcPr>
            <w:tcW w:w="2410" w:type="dxa"/>
          </w:tcPr>
          <w:p w:rsidR="00B9359B" w:rsidRDefault="009A5268">
            <w:pPr>
              <w:pStyle w:val="Tabletext"/>
              <w:framePr w:hSpace="181" w:wrap="notBeside" w:vAnchor="text" w:hAnchor="text" w:xAlign="center" w:y="1"/>
              <w:spacing w:before="60" w:after="60"/>
              <w:jc w:val="center"/>
              <w:rPr>
                <w:lang w:val="en-US"/>
              </w:rPr>
            </w:pPr>
            <w:r>
              <w:sym w:font="Symbol" w:char="F02D"/>
            </w:r>
            <w:r>
              <w:rPr>
                <w:lang w:val="en-US"/>
              </w:rPr>
              <w:t>13.7</w:t>
            </w:r>
          </w:p>
        </w:tc>
      </w:tr>
      <w:tr w:rsidR="00B9359B">
        <w:tc>
          <w:tcPr>
            <w:tcW w:w="2410" w:type="dxa"/>
          </w:tcPr>
          <w:p w:rsidR="00B9359B" w:rsidRDefault="009A5268">
            <w:pPr>
              <w:pStyle w:val="Tabletext"/>
              <w:framePr w:hSpace="181" w:wrap="notBeside" w:vAnchor="text" w:hAnchor="text" w:xAlign="center" w:y="1"/>
              <w:spacing w:before="60" w:after="60"/>
              <w:jc w:val="center"/>
              <w:rPr>
                <w:lang w:val="en-US"/>
              </w:rPr>
            </w:pPr>
            <w:r>
              <w:rPr>
                <w:lang w:val="en-US"/>
              </w:rPr>
              <w:t>500</w:t>
            </w:r>
          </w:p>
        </w:tc>
        <w:tc>
          <w:tcPr>
            <w:tcW w:w="2410" w:type="dxa"/>
          </w:tcPr>
          <w:p w:rsidR="00B9359B" w:rsidRDefault="009A5268">
            <w:pPr>
              <w:pStyle w:val="Tabletext"/>
              <w:framePr w:hSpace="181" w:wrap="notBeside" w:vAnchor="text" w:hAnchor="text" w:xAlign="center" w:y="1"/>
              <w:spacing w:before="60" w:after="60"/>
              <w:jc w:val="center"/>
              <w:rPr>
                <w:lang w:val="en-US"/>
              </w:rPr>
            </w:pPr>
            <w:r>
              <w:sym w:font="Symbol" w:char="F02D"/>
            </w:r>
            <w:r>
              <w:rPr>
                <w:lang w:val="en-US"/>
              </w:rPr>
              <w:t>10.8</w:t>
            </w:r>
          </w:p>
        </w:tc>
        <w:tc>
          <w:tcPr>
            <w:tcW w:w="2410" w:type="dxa"/>
          </w:tcPr>
          <w:p w:rsidR="00B9359B" w:rsidRDefault="009A5268">
            <w:pPr>
              <w:pStyle w:val="Tabletext"/>
              <w:framePr w:hSpace="181" w:wrap="notBeside" w:vAnchor="text" w:hAnchor="text" w:xAlign="center" w:y="1"/>
              <w:spacing w:before="60" w:after="60"/>
              <w:jc w:val="center"/>
              <w:rPr>
                <w:lang w:val="en-US"/>
              </w:rPr>
            </w:pPr>
            <w:r>
              <w:sym w:font="Symbol" w:char="F02D"/>
            </w:r>
            <w:r>
              <w:rPr>
                <w:lang w:val="en-US"/>
              </w:rPr>
              <w:t>20.5</w:t>
            </w:r>
          </w:p>
        </w:tc>
        <w:tc>
          <w:tcPr>
            <w:tcW w:w="2410" w:type="dxa"/>
          </w:tcPr>
          <w:p w:rsidR="00B9359B" w:rsidRDefault="009A5268">
            <w:pPr>
              <w:pStyle w:val="Tabletext"/>
              <w:framePr w:hSpace="181" w:wrap="notBeside" w:vAnchor="text" w:hAnchor="text" w:xAlign="center" w:y="1"/>
              <w:spacing w:before="60" w:after="60"/>
              <w:jc w:val="center"/>
              <w:rPr>
                <w:lang w:val="en-US"/>
              </w:rPr>
            </w:pPr>
            <w:r>
              <w:sym w:font="Symbol" w:char="F02D"/>
            </w:r>
            <w:r>
              <w:rPr>
                <w:lang w:val="en-US"/>
              </w:rPr>
              <w:t>14.4</w:t>
            </w:r>
          </w:p>
        </w:tc>
      </w:tr>
      <w:tr w:rsidR="00B9359B">
        <w:tc>
          <w:tcPr>
            <w:tcW w:w="2410" w:type="dxa"/>
          </w:tcPr>
          <w:p w:rsidR="00B9359B" w:rsidRDefault="009A5268">
            <w:pPr>
              <w:pStyle w:val="Tabletext"/>
              <w:framePr w:hSpace="181" w:wrap="notBeside" w:vAnchor="text" w:hAnchor="text" w:xAlign="center" w:y="1"/>
              <w:spacing w:before="60" w:after="60"/>
              <w:jc w:val="center"/>
              <w:rPr>
                <w:lang w:val="en-US"/>
              </w:rPr>
            </w:pPr>
            <w:r>
              <w:rPr>
                <w:lang w:val="en-US"/>
              </w:rPr>
              <w:t>3 200</w:t>
            </w:r>
          </w:p>
        </w:tc>
        <w:tc>
          <w:tcPr>
            <w:tcW w:w="2410" w:type="dxa"/>
          </w:tcPr>
          <w:p w:rsidR="00B9359B" w:rsidRDefault="009A5268">
            <w:pPr>
              <w:pStyle w:val="Tabletext"/>
              <w:framePr w:hSpace="181" w:wrap="notBeside" w:vAnchor="text" w:hAnchor="text" w:xAlign="center" w:y="1"/>
              <w:spacing w:before="60" w:after="60"/>
              <w:jc w:val="center"/>
              <w:rPr>
                <w:lang w:val="en-US"/>
              </w:rPr>
            </w:pPr>
            <w:r>
              <w:sym w:font="Symbol" w:char="F02D"/>
            </w:r>
            <w:r>
              <w:rPr>
                <w:lang w:val="en-US"/>
              </w:rPr>
              <w:t>16.7</w:t>
            </w:r>
          </w:p>
        </w:tc>
        <w:tc>
          <w:tcPr>
            <w:tcW w:w="2410" w:type="dxa"/>
          </w:tcPr>
          <w:p w:rsidR="00B9359B" w:rsidRDefault="009A5268">
            <w:pPr>
              <w:pStyle w:val="Tabletext"/>
              <w:framePr w:hSpace="181" w:wrap="notBeside" w:vAnchor="text" w:hAnchor="text" w:xAlign="center" w:y="1"/>
              <w:spacing w:before="60" w:after="60"/>
              <w:jc w:val="center"/>
              <w:rPr>
                <w:lang w:val="en-US"/>
              </w:rPr>
            </w:pPr>
            <w:r>
              <w:sym w:font="Symbol" w:char="F02D"/>
            </w:r>
            <w:r>
              <w:rPr>
                <w:lang w:val="en-US"/>
              </w:rPr>
              <w:t>44.4</w:t>
            </w:r>
          </w:p>
        </w:tc>
        <w:tc>
          <w:tcPr>
            <w:tcW w:w="2410" w:type="dxa"/>
          </w:tcPr>
          <w:p w:rsidR="00B9359B" w:rsidRDefault="009A5268">
            <w:pPr>
              <w:pStyle w:val="Tabletext"/>
              <w:framePr w:hSpace="181" w:wrap="notBeside" w:vAnchor="text" w:hAnchor="text" w:xAlign="center" w:y="1"/>
              <w:spacing w:before="60" w:after="60"/>
              <w:jc w:val="center"/>
              <w:rPr>
                <w:lang w:val="en-US"/>
              </w:rPr>
            </w:pPr>
            <w:r>
              <w:sym w:font="Symbol" w:char="F02D"/>
            </w:r>
            <w:r>
              <w:rPr>
                <w:lang w:val="en-US"/>
              </w:rPr>
              <w:t>21.8</w:t>
            </w:r>
          </w:p>
        </w:tc>
      </w:tr>
    </w:tbl>
    <w:p w:rsidR="00B9359B" w:rsidRDefault="00B9359B">
      <w:pPr>
        <w:pStyle w:val="Tablefin"/>
      </w:pPr>
    </w:p>
    <w:p w:rsidR="00B9359B" w:rsidRDefault="00B9359B">
      <w:pPr>
        <w:rPr>
          <w:lang w:val="en-GB"/>
        </w:rPr>
      </w:pPr>
    </w:p>
    <w:p w:rsidR="00B9359B" w:rsidRDefault="009A5268">
      <w:pPr>
        <w:pStyle w:val="Heading3"/>
        <w:rPr>
          <w:lang w:val="en-US"/>
        </w:rPr>
      </w:pPr>
      <w:bookmarkStart w:id="314" w:name="_Toc51045714"/>
      <w:r>
        <w:rPr>
          <w:lang w:val="en-US"/>
        </w:rPr>
        <w:t>4.1.2</w:t>
      </w:r>
      <w:r>
        <w:rPr>
          <w:lang w:val="en-US"/>
        </w:rPr>
        <w:tab/>
        <w:t>Assumption that the occupied bandwidth does not extend beyond the space service band</w:t>
      </w:r>
      <w:bookmarkEnd w:id="314"/>
    </w:p>
    <w:p w:rsidR="00B9359B" w:rsidRDefault="009A5268">
      <w:pPr>
        <w:rPr>
          <w:lang w:val="en-US"/>
        </w:rPr>
      </w:pPr>
      <w:r>
        <w:rPr>
          <w:lang w:val="en-US"/>
        </w:rPr>
        <w:t xml:space="preserve">If an unwanted emission power level of </w:t>
      </w:r>
      <w:r>
        <w:rPr>
          <w:i/>
          <w:lang w:val="en-US"/>
        </w:rPr>
        <w:t>P </w:t>
      </w:r>
      <w:r>
        <w:rPr>
          <w:iCs/>
          <w:lang w:val="en-US"/>
        </w:rPr>
        <w:t>– </w:t>
      </w:r>
      <w:r>
        <w:rPr>
          <w:lang w:val="en-US"/>
        </w:rPr>
        <w:t>23 dB does not cause excessive interference, a potential interference mitigation solution is to keep the occupied bandwidth within the allocated band. (See RR No. 1.153.)</w:t>
      </w:r>
    </w:p>
    <w:p w:rsidR="00B9359B" w:rsidRDefault="009A5268">
      <w:pPr>
        <w:pStyle w:val="Heading3"/>
        <w:rPr>
          <w:lang w:val="en-US"/>
        </w:rPr>
      </w:pPr>
      <w:bookmarkStart w:id="315" w:name="_Toc51045715"/>
      <w:r>
        <w:rPr>
          <w:lang w:val="en-US"/>
        </w:rPr>
        <w:t>4.1.3</w:t>
      </w:r>
      <w:r>
        <w:rPr>
          <w:lang w:val="en-US"/>
        </w:rPr>
        <w:tab/>
        <w:t>Interference threshold</w:t>
      </w:r>
      <w:bookmarkEnd w:id="315"/>
    </w:p>
    <w:p w:rsidR="00B9359B" w:rsidRDefault="009A5268">
      <w:pPr>
        <w:rPr>
          <w:lang w:val="en-US"/>
        </w:rPr>
      </w:pPr>
      <w:r>
        <w:rPr>
          <w:lang w:val="en-US"/>
        </w:rPr>
        <w:t xml:space="preserve">The passive service interference threshold from Recommendation ITU-R SA.1029 is </w:t>
      </w:r>
      <w:r>
        <w:rPr>
          <w:rFonts w:ascii="Symbol" w:hAnsi="Symbol"/>
          <w:lang w:val="en-US"/>
        </w:rPr>
        <w:noBreakHyphen/>
      </w:r>
      <w:r>
        <w:rPr>
          <w:lang w:val="en-US"/>
        </w:rPr>
        <w:t>163 dBW in 100 MHz for sensors operating near 20 GHz.</w:t>
      </w:r>
    </w:p>
    <w:p w:rsidR="00B9359B" w:rsidRDefault="009A5268">
      <w:pPr>
        <w:pStyle w:val="Heading2"/>
        <w:rPr>
          <w:lang w:val="en-US"/>
        </w:rPr>
      </w:pPr>
      <w:bookmarkStart w:id="316" w:name="_Toc51045716"/>
      <w:r>
        <w:rPr>
          <w:lang w:val="en-US"/>
        </w:rPr>
        <w:br w:type="page"/>
        <w:t>4.2</w:t>
      </w:r>
      <w:r>
        <w:rPr>
          <w:lang w:val="en-US"/>
        </w:rPr>
        <w:tab/>
        <w:t>Calculation of interference level</w:t>
      </w:r>
      <w:bookmarkEnd w:id="316"/>
    </w:p>
    <w:p w:rsidR="00B9359B" w:rsidRDefault="009A5268">
      <w:pPr>
        <w:pStyle w:val="Heading3"/>
        <w:rPr>
          <w:lang w:val="en-US"/>
        </w:rPr>
      </w:pPr>
      <w:bookmarkStart w:id="317" w:name="_Toc51045717"/>
      <w:r>
        <w:rPr>
          <w:lang w:val="en-US"/>
        </w:rPr>
        <w:t>4.2.1</w:t>
      </w:r>
      <w:r>
        <w:rPr>
          <w:lang w:val="en-US"/>
        </w:rPr>
        <w:tab/>
        <w:t>Direct interference path</w:t>
      </w:r>
      <w:bookmarkEnd w:id="317"/>
    </w:p>
    <w:p w:rsidR="00B9359B" w:rsidRDefault="009A5268">
      <w:pPr>
        <w:rPr>
          <w:lang w:val="en-US"/>
        </w:rPr>
      </w:pPr>
      <w:r>
        <w:rPr>
          <w:lang w:val="en-US"/>
        </w:rPr>
        <w:t>An assessment of the levels of unwanted emissions produced by FSS satellites into EESS receivers via a direct radio path from the FSS transmitter via the backlobe of the EESS sensor antenna is provided in Table 29 for GSO FSS systems and Table 30 for non-GSO FSS systems. These calculations indicate the level amount of spectral attenuation, if any, that would be required if the emissions were co</w:t>
      </w:r>
      <w:r>
        <w:rPr>
          <w:lang w:val="en-US"/>
        </w:rPr>
        <w:noBreakHyphen/>
        <w:t>channel.</w:t>
      </w:r>
    </w:p>
    <w:p w:rsidR="00B9359B" w:rsidRDefault="009A5268">
      <w:pPr>
        <w:pStyle w:val="TableNo"/>
        <w:rPr>
          <w:lang w:val="en-US"/>
        </w:rPr>
      </w:pPr>
      <w:r>
        <w:rPr>
          <w:lang w:val="en-US"/>
        </w:rPr>
        <w:t>TABLE  29</w:t>
      </w:r>
    </w:p>
    <w:p w:rsidR="00B9359B" w:rsidRDefault="009A5268">
      <w:pPr>
        <w:pStyle w:val="Tabletitle"/>
        <w:rPr>
          <w:lang w:val="en-US"/>
        </w:rPr>
      </w:pPr>
      <w:r>
        <w:rPr>
          <w:lang w:val="en-US"/>
        </w:rPr>
        <w:t>Interference power levels from GSO FSS satellite networks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1021"/>
        <w:gridCol w:w="1021"/>
        <w:gridCol w:w="1021"/>
        <w:gridCol w:w="1021"/>
      </w:tblGrid>
      <w:tr w:rsidR="00B9359B">
        <w:trPr>
          <w:trHeight w:val="495"/>
        </w:trPr>
        <w:tc>
          <w:tcPr>
            <w:tcW w:w="4536" w:type="dxa"/>
            <w:vAlign w:val="center"/>
          </w:tcPr>
          <w:p w:rsidR="00B9359B" w:rsidRDefault="009A5268">
            <w:pPr>
              <w:pStyle w:val="Tabletext"/>
              <w:framePr w:hSpace="181" w:wrap="notBeside" w:vAnchor="text" w:hAnchor="text" w:xAlign="center" w:y="1"/>
              <w:spacing w:before="60" w:after="60"/>
              <w:ind w:left="57"/>
              <w:jc w:val="left"/>
              <w:rPr>
                <w:rFonts w:eastAsia="Arial Unicode MS"/>
                <w:b/>
                <w:bCs/>
                <w:lang w:val="en-US"/>
              </w:rPr>
            </w:pPr>
            <w:r>
              <w:rPr>
                <w:lang w:val="en-US"/>
              </w:rPr>
              <w:t>FSS satellite network</w:t>
            </w:r>
          </w:p>
        </w:tc>
        <w:tc>
          <w:tcPr>
            <w:tcW w:w="1021" w:type="dxa"/>
            <w:vAlign w:val="center"/>
          </w:tcPr>
          <w:p w:rsidR="00B9359B" w:rsidRDefault="009A5268">
            <w:pPr>
              <w:pStyle w:val="Tablehead"/>
              <w:framePr w:hSpace="181" w:wrap="notBeside" w:vAnchor="text" w:hAnchor="text" w:xAlign="center" w:y="1"/>
              <w:spacing w:before="120" w:after="120"/>
              <w:rPr>
                <w:rFonts w:eastAsia="Arial Unicode MS"/>
                <w:lang w:val="en-US"/>
              </w:rPr>
            </w:pPr>
            <w:r>
              <w:rPr>
                <w:lang w:val="en-US"/>
              </w:rPr>
              <w:t>GSO-20</w:t>
            </w:r>
          </w:p>
        </w:tc>
        <w:tc>
          <w:tcPr>
            <w:tcW w:w="1021" w:type="dxa"/>
            <w:vAlign w:val="center"/>
          </w:tcPr>
          <w:p w:rsidR="00B9359B" w:rsidRDefault="009A5268">
            <w:pPr>
              <w:pStyle w:val="Tablehead"/>
              <w:framePr w:hSpace="181" w:wrap="notBeside" w:vAnchor="text" w:hAnchor="text" w:xAlign="center" w:y="1"/>
              <w:spacing w:before="120" w:after="120"/>
              <w:rPr>
                <w:rFonts w:eastAsia="Arial Unicode MS"/>
                <w:lang w:val="en-US"/>
              </w:rPr>
            </w:pPr>
            <w:r>
              <w:rPr>
                <w:lang w:val="en-US"/>
              </w:rPr>
              <w:t>GSO-30</w:t>
            </w:r>
          </w:p>
        </w:tc>
        <w:tc>
          <w:tcPr>
            <w:tcW w:w="1021" w:type="dxa"/>
            <w:vAlign w:val="center"/>
          </w:tcPr>
          <w:p w:rsidR="00B9359B" w:rsidRDefault="009A5268">
            <w:pPr>
              <w:pStyle w:val="Tablehead"/>
              <w:framePr w:hSpace="181" w:wrap="notBeside" w:vAnchor="text" w:hAnchor="text" w:xAlign="center" w:y="1"/>
              <w:spacing w:before="120" w:after="120"/>
              <w:rPr>
                <w:rFonts w:eastAsia="Arial Unicode MS"/>
                <w:lang w:val="en-US"/>
              </w:rPr>
            </w:pPr>
            <w:r>
              <w:rPr>
                <w:lang w:val="en-US"/>
              </w:rPr>
              <w:t>GSO-F</w:t>
            </w:r>
          </w:p>
        </w:tc>
        <w:tc>
          <w:tcPr>
            <w:tcW w:w="1021" w:type="dxa"/>
            <w:vAlign w:val="center"/>
          </w:tcPr>
          <w:p w:rsidR="00B9359B" w:rsidRDefault="009A5268">
            <w:pPr>
              <w:pStyle w:val="Tablehead"/>
              <w:framePr w:hSpace="181" w:wrap="notBeside" w:vAnchor="text" w:hAnchor="text" w:xAlign="center" w:y="1"/>
              <w:spacing w:before="120" w:after="120"/>
              <w:rPr>
                <w:rFonts w:eastAsia="Arial Unicode MS"/>
                <w:lang w:val="en-US"/>
              </w:rPr>
            </w:pPr>
            <w:r>
              <w:rPr>
                <w:lang w:val="en-US"/>
              </w:rPr>
              <w:t>GSO-13</w:t>
            </w:r>
          </w:p>
        </w:tc>
      </w:tr>
      <w:tr w:rsidR="00B9359B">
        <w:trPr>
          <w:trHeight w:val="255"/>
        </w:trPr>
        <w:tc>
          <w:tcPr>
            <w:tcW w:w="4536" w:type="dxa"/>
            <w:vAlign w:val="center"/>
          </w:tcPr>
          <w:p w:rsidR="00B9359B" w:rsidRDefault="009A5268">
            <w:pPr>
              <w:pStyle w:val="Tabletext"/>
              <w:framePr w:hSpace="181" w:wrap="notBeside" w:vAnchor="text" w:hAnchor="text" w:xAlign="center" w:y="1"/>
              <w:spacing w:before="60" w:after="60"/>
              <w:ind w:left="57"/>
              <w:jc w:val="left"/>
              <w:rPr>
                <w:rFonts w:eastAsia="Arial Unicode MS"/>
                <w:lang w:val="en-US"/>
              </w:rPr>
            </w:pPr>
            <w:r>
              <w:rPr>
                <w:lang w:val="en-US"/>
              </w:rPr>
              <w:t>FSS altitude (km)</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35</w:t>
            </w:r>
            <w:r>
              <w:rPr>
                <w:rFonts w:ascii="Tms Rmn" w:hAnsi="Tms Rmn"/>
                <w:sz w:val="12"/>
                <w:lang w:val="en-US"/>
              </w:rPr>
              <w:t> </w:t>
            </w:r>
            <w:r>
              <w:rPr>
                <w:lang w:val="en-US"/>
              </w:rPr>
              <w:t>786</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35</w:t>
            </w:r>
            <w:r>
              <w:rPr>
                <w:rFonts w:ascii="Tms Rmn" w:hAnsi="Tms Rmn"/>
                <w:sz w:val="12"/>
                <w:lang w:val="en-US"/>
              </w:rPr>
              <w:t> </w:t>
            </w:r>
            <w:r>
              <w:rPr>
                <w:lang w:val="en-US"/>
              </w:rPr>
              <w:t>786</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35</w:t>
            </w:r>
            <w:r>
              <w:rPr>
                <w:rFonts w:ascii="Tms Rmn" w:hAnsi="Tms Rmn"/>
                <w:sz w:val="12"/>
                <w:lang w:val="en-US"/>
              </w:rPr>
              <w:t> </w:t>
            </w:r>
            <w:r>
              <w:rPr>
                <w:lang w:val="en-US"/>
              </w:rPr>
              <w:t>786</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35</w:t>
            </w:r>
            <w:r>
              <w:rPr>
                <w:rFonts w:ascii="Tms Rmn" w:hAnsi="Tms Rmn"/>
                <w:sz w:val="12"/>
                <w:lang w:val="en-US"/>
              </w:rPr>
              <w:t> </w:t>
            </w:r>
            <w:r>
              <w:rPr>
                <w:lang w:val="en-US"/>
              </w:rPr>
              <w:t>786</w:t>
            </w:r>
          </w:p>
        </w:tc>
      </w:tr>
      <w:tr w:rsidR="00B9359B">
        <w:trPr>
          <w:trHeight w:val="255"/>
        </w:trPr>
        <w:tc>
          <w:tcPr>
            <w:tcW w:w="4536" w:type="dxa"/>
            <w:vAlign w:val="center"/>
          </w:tcPr>
          <w:p w:rsidR="00B9359B" w:rsidRDefault="009A5268">
            <w:pPr>
              <w:pStyle w:val="Tabletext"/>
              <w:framePr w:hSpace="181" w:wrap="notBeside" w:vAnchor="text" w:hAnchor="text" w:xAlign="center" w:y="1"/>
              <w:spacing w:before="60" w:after="60"/>
              <w:ind w:left="57"/>
              <w:jc w:val="left"/>
              <w:rPr>
                <w:rFonts w:eastAsia="Arial Unicode MS"/>
                <w:lang w:val="en-US"/>
              </w:rPr>
            </w:pPr>
            <w:r>
              <w:rPr>
                <w:lang w:val="en-US"/>
              </w:rPr>
              <w:t>EESS altitude (km)</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850</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850</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850</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850</w:t>
            </w:r>
          </w:p>
        </w:tc>
      </w:tr>
      <w:tr w:rsidR="00B9359B">
        <w:trPr>
          <w:trHeight w:val="255"/>
        </w:trPr>
        <w:tc>
          <w:tcPr>
            <w:tcW w:w="4536" w:type="dxa"/>
            <w:vAlign w:val="center"/>
          </w:tcPr>
          <w:p w:rsidR="00B9359B" w:rsidRDefault="009A5268">
            <w:pPr>
              <w:pStyle w:val="Tabletext"/>
              <w:framePr w:hSpace="181" w:wrap="notBeside" w:vAnchor="text" w:hAnchor="text" w:xAlign="center" w:y="1"/>
              <w:spacing w:before="60" w:after="60"/>
              <w:ind w:left="57"/>
              <w:jc w:val="left"/>
              <w:rPr>
                <w:rFonts w:eastAsia="Arial Unicode MS"/>
                <w:lang w:val="en-US"/>
              </w:rPr>
            </w:pPr>
            <w:r>
              <w:rPr>
                <w:lang w:val="en-US"/>
              </w:rPr>
              <w:t>Separation distance (km)</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34</w:t>
            </w:r>
            <w:r>
              <w:rPr>
                <w:rFonts w:ascii="Tms Rmn" w:hAnsi="Tms Rmn"/>
                <w:sz w:val="12"/>
                <w:lang w:val="en-US"/>
              </w:rPr>
              <w:t> </w:t>
            </w:r>
            <w:r>
              <w:rPr>
                <w:lang w:val="en-US"/>
              </w:rPr>
              <w:t>936</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34</w:t>
            </w:r>
            <w:r>
              <w:rPr>
                <w:rFonts w:ascii="Tms Rmn" w:hAnsi="Tms Rmn"/>
                <w:sz w:val="12"/>
                <w:lang w:val="en-US"/>
              </w:rPr>
              <w:t> </w:t>
            </w:r>
            <w:r>
              <w:rPr>
                <w:lang w:val="en-US"/>
              </w:rPr>
              <w:t>936</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34</w:t>
            </w:r>
            <w:r>
              <w:rPr>
                <w:rFonts w:ascii="Tms Rmn" w:hAnsi="Tms Rmn"/>
                <w:sz w:val="12"/>
                <w:lang w:val="en-US"/>
              </w:rPr>
              <w:t> </w:t>
            </w:r>
            <w:r>
              <w:rPr>
                <w:lang w:val="en-US"/>
              </w:rPr>
              <w:t>936</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34</w:t>
            </w:r>
            <w:r>
              <w:rPr>
                <w:rFonts w:ascii="Tms Rmn" w:hAnsi="Tms Rmn"/>
                <w:sz w:val="12"/>
                <w:lang w:val="en-US"/>
              </w:rPr>
              <w:t> </w:t>
            </w:r>
            <w:r>
              <w:rPr>
                <w:lang w:val="en-US"/>
              </w:rPr>
              <w:t>936</w:t>
            </w:r>
          </w:p>
        </w:tc>
      </w:tr>
      <w:tr w:rsidR="00B9359B">
        <w:trPr>
          <w:trHeight w:val="255"/>
        </w:trPr>
        <w:tc>
          <w:tcPr>
            <w:tcW w:w="4536" w:type="dxa"/>
            <w:vAlign w:val="center"/>
          </w:tcPr>
          <w:p w:rsidR="00B9359B" w:rsidRDefault="009A5268">
            <w:pPr>
              <w:pStyle w:val="Tabletext"/>
              <w:framePr w:hSpace="181" w:wrap="notBeside" w:vAnchor="text" w:hAnchor="text" w:xAlign="center" w:y="1"/>
              <w:spacing w:before="60" w:after="60"/>
              <w:ind w:left="57"/>
              <w:jc w:val="left"/>
              <w:rPr>
                <w:rFonts w:eastAsia="Arial Unicode MS"/>
                <w:lang w:val="en-US"/>
              </w:rPr>
            </w:pPr>
            <w:r>
              <w:rPr>
                <w:lang w:val="en-US"/>
              </w:rPr>
              <w:t>FSS transmit power (dBW)</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16</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19</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13</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13</w:t>
            </w:r>
          </w:p>
        </w:tc>
      </w:tr>
      <w:tr w:rsidR="00B9359B">
        <w:trPr>
          <w:trHeight w:val="255"/>
        </w:trPr>
        <w:tc>
          <w:tcPr>
            <w:tcW w:w="4536" w:type="dxa"/>
            <w:vAlign w:val="center"/>
          </w:tcPr>
          <w:p w:rsidR="00B9359B" w:rsidRDefault="009A5268">
            <w:pPr>
              <w:pStyle w:val="Tabletext"/>
              <w:framePr w:hSpace="181" w:wrap="notBeside" w:vAnchor="text" w:hAnchor="text" w:xAlign="center" w:y="1"/>
              <w:spacing w:before="60" w:after="60"/>
              <w:ind w:left="57"/>
              <w:jc w:val="left"/>
              <w:rPr>
                <w:rFonts w:eastAsia="Arial Unicode MS"/>
                <w:lang w:val="en-US"/>
              </w:rPr>
            </w:pPr>
            <w:r>
              <w:rPr>
                <w:lang w:val="en-US"/>
              </w:rPr>
              <w:t>FSS antenna gain (dBi)</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40.9</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55.0</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49.0</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46.5</w:t>
            </w:r>
          </w:p>
        </w:tc>
      </w:tr>
      <w:tr w:rsidR="00B9359B">
        <w:trPr>
          <w:trHeight w:val="255"/>
        </w:trPr>
        <w:tc>
          <w:tcPr>
            <w:tcW w:w="4536" w:type="dxa"/>
            <w:vAlign w:val="center"/>
          </w:tcPr>
          <w:p w:rsidR="00B9359B" w:rsidRPr="00B45148" w:rsidRDefault="009A5268">
            <w:pPr>
              <w:pStyle w:val="Tabletext"/>
              <w:framePr w:hSpace="181" w:wrap="notBeside" w:vAnchor="text" w:hAnchor="text" w:xAlign="center" w:y="1"/>
              <w:spacing w:before="60" w:after="60"/>
              <w:ind w:left="57"/>
              <w:jc w:val="left"/>
              <w:rPr>
                <w:rFonts w:eastAsia="Arial Unicode MS"/>
              </w:rPr>
            </w:pPr>
            <w:r w:rsidRPr="00B45148">
              <w:t>FSS e.i.r.p. (dBW)</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57</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74</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61.8</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59.5</w:t>
            </w:r>
          </w:p>
        </w:tc>
      </w:tr>
      <w:tr w:rsidR="00B9359B">
        <w:trPr>
          <w:trHeight w:val="255"/>
        </w:trPr>
        <w:tc>
          <w:tcPr>
            <w:tcW w:w="4536" w:type="dxa"/>
            <w:vAlign w:val="center"/>
          </w:tcPr>
          <w:p w:rsidR="00B9359B" w:rsidRDefault="009A5268">
            <w:pPr>
              <w:pStyle w:val="Tabletext"/>
              <w:framePr w:hSpace="181" w:wrap="notBeside" w:vAnchor="text" w:hAnchor="text" w:xAlign="center" w:y="1"/>
              <w:spacing w:before="60" w:after="60"/>
              <w:ind w:left="57"/>
              <w:jc w:val="left"/>
              <w:rPr>
                <w:rFonts w:eastAsia="Arial Unicode MS"/>
                <w:lang w:val="en-US"/>
              </w:rPr>
            </w:pPr>
            <w:r>
              <w:rPr>
                <w:lang w:val="en-US"/>
              </w:rPr>
              <w:t>FSS bandwidth (MHz)</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1.8</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3 200</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125</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81</w:t>
            </w:r>
          </w:p>
        </w:tc>
      </w:tr>
      <w:tr w:rsidR="00B9359B">
        <w:trPr>
          <w:trHeight w:val="255"/>
        </w:trPr>
        <w:tc>
          <w:tcPr>
            <w:tcW w:w="4536" w:type="dxa"/>
            <w:vAlign w:val="center"/>
          </w:tcPr>
          <w:p w:rsidR="00B9359B" w:rsidRDefault="009A5268">
            <w:pPr>
              <w:pStyle w:val="Tabletext"/>
              <w:framePr w:hSpace="181" w:wrap="notBeside" w:vAnchor="text" w:hAnchor="text" w:xAlign="center" w:y="1"/>
              <w:spacing w:before="60" w:after="60"/>
              <w:ind w:left="57"/>
              <w:jc w:val="left"/>
              <w:rPr>
                <w:rFonts w:eastAsia="Arial Unicode MS"/>
                <w:lang w:val="en-US"/>
              </w:rPr>
            </w:pPr>
            <w:r>
              <w:rPr>
                <w:lang w:val="en-US"/>
              </w:rPr>
              <w:t>EESS bandwidth (MHz)</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100</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100</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100</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100</w:t>
            </w:r>
          </w:p>
        </w:tc>
      </w:tr>
      <w:tr w:rsidR="00B9359B">
        <w:trPr>
          <w:trHeight w:val="255"/>
        </w:trPr>
        <w:tc>
          <w:tcPr>
            <w:tcW w:w="4536" w:type="dxa"/>
            <w:vAlign w:val="center"/>
          </w:tcPr>
          <w:p w:rsidR="00B9359B" w:rsidRDefault="009A5268">
            <w:pPr>
              <w:pStyle w:val="Tabletext"/>
              <w:framePr w:hSpace="181" w:wrap="notBeside" w:vAnchor="text" w:hAnchor="text" w:xAlign="center" w:y="1"/>
              <w:spacing w:before="60" w:after="60"/>
              <w:ind w:left="57"/>
              <w:jc w:val="left"/>
              <w:rPr>
                <w:rFonts w:eastAsia="Arial Unicode MS"/>
                <w:lang w:val="en-US"/>
              </w:rPr>
            </w:pPr>
            <w:r>
              <w:rPr>
                <w:lang w:val="en-US"/>
              </w:rPr>
              <w:t>e.i.r.p. in EESS bandwidth (dBW)</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74.4</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58.9</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60.8</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60.4</w:t>
            </w:r>
          </w:p>
        </w:tc>
      </w:tr>
      <w:tr w:rsidR="00B9359B">
        <w:trPr>
          <w:trHeight w:val="255"/>
        </w:trPr>
        <w:tc>
          <w:tcPr>
            <w:tcW w:w="4536" w:type="dxa"/>
            <w:vAlign w:val="center"/>
          </w:tcPr>
          <w:p w:rsidR="00B9359B" w:rsidRDefault="009A5268">
            <w:pPr>
              <w:pStyle w:val="Tabletext"/>
              <w:framePr w:hSpace="181" w:wrap="notBeside" w:vAnchor="text" w:hAnchor="text" w:xAlign="center" w:y="1"/>
              <w:spacing w:before="60" w:after="60"/>
              <w:ind w:left="57"/>
              <w:jc w:val="left"/>
              <w:rPr>
                <w:rFonts w:eastAsia="Arial Unicode MS"/>
                <w:lang w:val="en-US"/>
              </w:rPr>
            </w:pPr>
            <w:r>
              <w:rPr>
                <w:lang w:val="en-US"/>
              </w:rPr>
              <w:t>EESS backlobe antenna gain (dBi)</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sym w:font="Symbol" w:char="F02D"/>
            </w:r>
            <w:r>
              <w:rPr>
                <w:lang w:val="en-US"/>
              </w:rPr>
              <w:t>10</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sym w:font="Symbol" w:char="F02D"/>
            </w:r>
            <w:r>
              <w:rPr>
                <w:lang w:val="en-US"/>
              </w:rPr>
              <w:t>10</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sym w:font="Symbol" w:char="F02D"/>
            </w:r>
            <w:r>
              <w:rPr>
                <w:lang w:val="en-US"/>
              </w:rPr>
              <w:t>10</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sym w:font="Symbol" w:char="F02D"/>
            </w:r>
            <w:r>
              <w:rPr>
                <w:lang w:val="en-US"/>
              </w:rPr>
              <w:t>10</w:t>
            </w:r>
          </w:p>
        </w:tc>
      </w:tr>
      <w:tr w:rsidR="00B9359B">
        <w:trPr>
          <w:trHeight w:val="255"/>
        </w:trPr>
        <w:tc>
          <w:tcPr>
            <w:tcW w:w="4536" w:type="dxa"/>
            <w:vAlign w:val="center"/>
          </w:tcPr>
          <w:p w:rsidR="00B9359B" w:rsidRDefault="009A5268">
            <w:pPr>
              <w:pStyle w:val="Tabletext"/>
              <w:framePr w:hSpace="181" w:wrap="notBeside" w:vAnchor="text" w:hAnchor="text" w:xAlign="center" w:y="1"/>
              <w:spacing w:before="60" w:after="60"/>
              <w:ind w:left="57"/>
              <w:jc w:val="left"/>
              <w:rPr>
                <w:rFonts w:eastAsia="Arial Unicode MS"/>
                <w:lang w:val="en-US"/>
              </w:rPr>
            </w:pPr>
            <w:r>
              <w:rPr>
                <w:lang w:val="en-US"/>
              </w:rPr>
              <w:t>Free space loss at 23.6 GHz (dB)</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210.8</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210.8</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210.8</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210.8</w:t>
            </w:r>
          </w:p>
        </w:tc>
      </w:tr>
      <w:tr w:rsidR="00B9359B">
        <w:trPr>
          <w:trHeight w:val="255"/>
        </w:trPr>
        <w:tc>
          <w:tcPr>
            <w:tcW w:w="4536" w:type="dxa"/>
            <w:vAlign w:val="center"/>
          </w:tcPr>
          <w:p w:rsidR="00B9359B" w:rsidRDefault="009A5268">
            <w:pPr>
              <w:pStyle w:val="Tabletext"/>
              <w:framePr w:hSpace="181" w:wrap="notBeside" w:vAnchor="text" w:hAnchor="text" w:xAlign="center" w:y="1"/>
              <w:spacing w:before="60" w:after="60"/>
              <w:ind w:left="57"/>
              <w:jc w:val="left"/>
              <w:rPr>
                <w:rFonts w:eastAsia="Arial Unicode MS"/>
                <w:lang w:val="en-US"/>
              </w:rPr>
            </w:pPr>
            <w:r>
              <w:rPr>
                <w:lang w:val="en-US"/>
              </w:rPr>
              <w:t>Co-channel interference level (dBW)</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sym w:font="Symbol" w:char="F02D"/>
            </w:r>
            <w:r>
              <w:rPr>
                <w:lang w:val="en-US"/>
              </w:rPr>
              <w:t>146.3</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sym w:font="Symbol" w:char="F02D"/>
            </w:r>
            <w:r>
              <w:rPr>
                <w:lang w:val="en-US"/>
              </w:rPr>
              <w:t>161.8</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sym w:font="Symbol" w:char="F02D"/>
            </w:r>
            <w:r>
              <w:rPr>
                <w:lang w:val="en-US"/>
              </w:rPr>
              <w:t>159.9</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sym w:font="Symbol" w:char="F02D"/>
            </w:r>
            <w:r>
              <w:rPr>
                <w:lang w:val="en-US"/>
              </w:rPr>
              <w:t>160.4</w:t>
            </w:r>
          </w:p>
        </w:tc>
      </w:tr>
      <w:tr w:rsidR="00B9359B">
        <w:trPr>
          <w:trHeight w:val="255"/>
        </w:trPr>
        <w:tc>
          <w:tcPr>
            <w:tcW w:w="4536" w:type="dxa"/>
            <w:vAlign w:val="center"/>
          </w:tcPr>
          <w:p w:rsidR="00B9359B" w:rsidRDefault="009A5268">
            <w:pPr>
              <w:pStyle w:val="Tabletext"/>
              <w:framePr w:hSpace="181" w:wrap="notBeside" w:vAnchor="text" w:hAnchor="text" w:xAlign="center" w:y="1"/>
              <w:spacing w:before="60" w:after="60"/>
              <w:ind w:left="57"/>
              <w:jc w:val="left"/>
              <w:rPr>
                <w:rFonts w:eastAsia="Arial Unicode MS"/>
                <w:lang w:val="en-US"/>
              </w:rPr>
            </w:pPr>
            <w:r>
              <w:rPr>
                <w:lang w:val="en-US"/>
              </w:rPr>
              <w:t>EESS interference criterion (dBW)</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sym w:font="Symbol" w:char="F02D"/>
            </w:r>
            <w:r>
              <w:rPr>
                <w:lang w:val="en-US"/>
              </w:rPr>
              <w:t>163</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sym w:font="Symbol" w:char="F02D"/>
            </w:r>
            <w:r>
              <w:rPr>
                <w:lang w:val="en-US"/>
              </w:rPr>
              <w:t>163</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sym w:font="Symbol" w:char="F02D"/>
            </w:r>
            <w:r>
              <w:rPr>
                <w:lang w:val="en-US"/>
              </w:rPr>
              <w:t>163</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sym w:font="Symbol" w:char="F02D"/>
            </w:r>
            <w:r>
              <w:rPr>
                <w:lang w:val="en-US"/>
              </w:rPr>
              <w:t>163</w:t>
            </w:r>
          </w:p>
        </w:tc>
      </w:tr>
      <w:tr w:rsidR="00B9359B">
        <w:trPr>
          <w:trHeight w:val="510"/>
        </w:trPr>
        <w:tc>
          <w:tcPr>
            <w:tcW w:w="4536" w:type="dxa"/>
            <w:vAlign w:val="center"/>
          </w:tcPr>
          <w:p w:rsidR="00B9359B" w:rsidRDefault="009A5268">
            <w:pPr>
              <w:pStyle w:val="Tabletext"/>
              <w:framePr w:hSpace="181" w:wrap="notBeside" w:vAnchor="text" w:hAnchor="text" w:xAlign="center" w:y="1"/>
              <w:spacing w:before="60" w:after="60"/>
              <w:ind w:left="57"/>
              <w:jc w:val="left"/>
              <w:rPr>
                <w:rFonts w:eastAsia="Arial Unicode MS"/>
                <w:lang w:val="en-US"/>
              </w:rPr>
            </w:pPr>
            <w:r>
              <w:rPr>
                <w:lang w:val="en-US"/>
              </w:rPr>
              <w:t>Difference between interference level and EESS criterion (dB)</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sym w:font="Symbol" w:char="F02D"/>
            </w:r>
            <w:r>
              <w:rPr>
                <w:lang w:val="en-US"/>
              </w:rPr>
              <w:t>16.7</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sym w:font="Symbol" w:char="F02D"/>
            </w:r>
            <w:r>
              <w:rPr>
                <w:lang w:val="en-US"/>
              </w:rPr>
              <w:t>1.2</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sym w:font="Symbol" w:char="F02D"/>
            </w:r>
            <w:r>
              <w:rPr>
                <w:lang w:val="en-US"/>
              </w:rPr>
              <w:t>3.1</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sym w:font="Symbol" w:char="F02D"/>
            </w:r>
            <w:r>
              <w:rPr>
                <w:lang w:val="en-US"/>
              </w:rPr>
              <w:t>2.6</w:t>
            </w:r>
          </w:p>
        </w:tc>
      </w:tr>
    </w:tbl>
    <w:p w:rsidR="00B9359B" w:rsidRDefault="00B9359B">
      <w:pPr>
        <w:pStyle w:val="Tablefin"/>
      </w:pPr>
    </w:p>
    <w:p w:rsidR="00B9359B" w:rsidRDefault="009A5268">
      <w:pPr>
        <w:rPr>
          <w:lang w:val="en-US"/>
        </w:rPr>
      </w:pPr>
      <w:r>
        <w:rPr>
          <w:lang w:val="en-US"/>
        </w:rPr>
        <w:t>These calculations assume that the FSS satellite is directly above the EESS satellite and the unwanted emissions are received via the backlobe of the EESS sensor antenna, except in the case of LEO A and LEOSAT</w:t>
      </w:r>
      <w:r>
        <w:rPr>
          <w:lang w:val="en-US"/>
        </w:rPr>
        <w:noBreakHyphen/>
        <w:t>1 where the non-GSO satellites have a lower altitude than the EESS satellite. In these cases, a value of –10 dBi was assumed for the backlobe gain of the non-GSO satellite in the direction of the EESS directly above it. However, the effects of shielding by the body of the satellite were not taken into account in these calculations. Although the calculations for these two non</w:t>
      </w:r>
      <w:r>
        <w:rPr>
          <w:lang w:val="en-US"/>
        </w:rPr>
        <w:noBreakHyphen/>
        <w:t>GSO FSS satellites are based on the –10 dBi EESS sensor sidelobe gain, the possibility exists in these cases that the EESS main beam can be pointed at the non-GSO FSS satellite below it producing very high levels of interference in the EESS receiver for short periods of time.</w:t>
      </w:r>
    </w:p>
    <w:p w:rsidR="00B9359B" w:rsidRDefault="009A5268">
      <w:pPr>
        <w:pStyle w:val="TableNo"/>
        <w:rPr>
          <w:lang w:val="en-US"/>
        </w:rPr>
      </w:pPr>
      <w:r>
        <w:rPr>
          <w:lang w:val="en-US"/>
        </w:rPr>
        <w:br w:type="page"/>
        <w:t>TABLE  30</w:t>
      </w:r>
    </w:p>
    <w:p w:rsidR="00B9359B" w:rsidRDefault="009A5268">
      <w:pPr>
        <w:pStyle w:val="Tabletitle"/>
        <w:rPr>
          <w:lang w:val="en-US"/>
        </w:rPr>
      </w:pPr>
      <w:r>
        <w:rPr>
          <w:lang w:val="en-US"/>
        </w:rPr>
        <w:t>Interference power levels from non-GSO FSS satellite networks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964"/>
        <w:gridCol w:w="964"/>
        <w:gridCol w:w="1418"/>
        <w:gridCol w:w="1021"/>
        <w:gridCol w:w="1021"/>
      </w:tblGrid>
      <w:tr w:rsidR="00B9359B">
        <w:trPr>
          <w:trHeight w:val="255"/>
        </w:trPr>
        <w:tc>
          <w:tcPr>
            <w:tcW w:w="3402" w:type="dxa"/>
            <w:vAlign w:val="center"/>
          </w:tcPr>
          <w:p w:rsidR="00B9359B" w:rsidRDefault="009A5268">
            <w:pPr>
              <w:pStyle w:val="Tabletext"/>
              <w:framePr w:hSpace="181" w:wrap="notBeside" w:vAnchor="text" w:hAnchor="text" w:xAlign="center" w:y="1"/>
              <w:spacing w:before="60" w:after="60"/>
              <w:ind w:left="57"/>
              <w:jc w:val="left"/>
              <w:rPr>
                <w:rFonts w:eastAsia="Arial Unicode MS"/>
                <w:b/>
                <w:bCs/>
                <w:lang w:val="en-US"/>
              </w:rPr>
            </w:pPr>
            <w:r>
              <w:rPr>
                <w:lang w:val="en-US"/>
              </w:rPr>
              <w:t>FSS satellite network</w:t>
            </w:r>
          </w:p>
        </w:tc>
        <w:tc>
          <w:tcPr>
            <w:tcW w:w="964" w:type="dxa"/>
            <w:vAlign w:val="center"/>
          </w:tcPr>
          <w:p w:rsidR="00B9359B" w:rsidRDefault="009A5268">
            <w:pPr>
              <w:pStyle w:val="Tablehead"/>
              <w:framePr w:hSpace="181" w:wrap="notBeside" w:vAnchor="text" w:hAnchor="text" w:xAlign="center" w:y="1"/>
              <w:spacing w:before="120" w:after="120"/>
              <w:rPr>
                <w:rFonts w:eastAsia="Arial Unicode MS"/>
                <w:lang w:val="es-ES"/>
              </w:rPr>
            </w:pPr>
            <w:r>
              <w:rPr>
                <w:lang w:val="es-ES"/>
              </w:rPr>
              <w:t>LEO</w:t>
            </w:r>
            <w:r>
              <w:rPr>
                <w:sz w:val="16"/>
                <w:lang w:val="es-ES"/>
              </w:rPr>
              <w:t xml:space="preserve">  </w:t>
            </w:r>
            <w:r>
              <w:rPr>
                <w:lang w:val="es-ES"/>
              </w:rPr>
              <w:t>A</w:t>
            </w:r>
          </w:p>
        </w:tc>
        <w:tc>
          <w:tcPr>
            <w:tcW w:w="964" w:type="dxa"/>
            <w:vAlign w:val="center"/>
          </w:tcPr>
          <w:p w:rsidR="00B9359B" w:rsidRDefault="009A5268">
            <w:pPr>
              <w:pStyle w:val="Tablehead"/>
              <w:framePr w:hSpace="181" w:wrap="notBeside" w:vAnchor="text" w:hAnchor="text" w:xAlign="center" w:y="1"/>
              <w:spacing w:before="120" w:after="120"/>
              <w:rPr>
                <w:rFonts w:eastAsia="Arial Unicode MS"/>
                <w:lang w:val="es-ES"/>
              </w:rPr>
            </w:pPr>
            <w:r>
              <w:rPr>
                <w:lang w:val="es-ES"/>
              </w:rPr>
              <w:t>LEO</w:t>
            </w:r>
            <w:r>
              <w:rPr>
                <w:sz w:val="16"/>
                <w:lang w:val="es-ES"/>
              </w:rPr>
              <w:t xml:space="preserve">  </w:t>
            </w:r>
            <w:r>
              <w:rPr>
                <w:lang w:val="es-ES"/>
              </w:rPr>
              <w:t>B</w:t>
            </w:r>
          </w:p>
        </w:tc>
        <w:tc>
          <w:tcPr>
            <w:tcW w:w="1418" w:type="dxa"/>
            <w:vAlign w:val="center"/>
          </w:tcPr>
          <w:p w:rsidR="00B9359B" w:rsidRDefault="009A5268">
            <w:pPr>
              <w:pStyle w:val="Tablehead"/>
              <w:framePr w:hSpace="181" w:wrap="notBeside" w:vAnchor="text" w:hAnchor="text" w:xAlign="center" w:y="1"/>
              <w:spacing w:before="120" w:after="120"/>
              <w:rPr>
                <w:rFonts w:eastAsia="Arial Unicode MS"/>
                <w:lang w:val="es-ES"/>
              </w:rPr>
            </w:pPr>
            <w:r>
              <w:rPr>
                <w:lang w:val="es-ES"/>
              </w:rPr>
              <w:t>LEO</w:t>
            </w:r>
            <w:r>
              <w:rPr>
                <w:sz w:val="16"/>
                <w:lang w:val="es-ES"/>
              </w:rPr>
              <w:t xml:space="preserve">  </w:t>
            </w:r>
            <w:r>
              <w:rPr>
                <w:lang w:val="es-ES"/>
              </w:rPr>
              <w:t>SAT-1</w:t>
            </w:r>
          </w:p>
        </w:tc>
        <w:tc>
          <w:tcPr>
            <w:tcW w:w="2042" w:type="dxa"/>
            <w:gridSpan w:val="2"/>
            <w:vAlign w:val="center"/>
          </w:tcPr>
          <w:p w:rsidR="00B9359B" w:rsidRDefault="009A5268">
            <w:pPr>
              <w:pStyle w:val="Tablehead"/>
              <w:framePr w:hSpace="181" w:wrap="notBeside" w:vAnchor="text" w:hAnchor="text" w:xAlign="center" w:y="1"/>
              <w:spacing w:before="120" w:after="120"/>
              <w:rPr>
                <w:rFonts w:eastAsia="Arial Unicode MS"/>
                <w:lang w:val="es-ES"/>
              </w:rPr>
            </w:pPr>
            <w:r>
              <w:rPr>
                <w:lang w:val="es-ES"/>
              </w:rPr>
              <w:t>Quasi-GSO</w:t>
            </w:r>
            <w:r>
              <w:rPr>
                <w:sz w:val="16"/>
                <w:lang w:val="es-ES"/>
              </w:rPr>
              <w:t xml:space="preserve">  </w:t>
            </w:r>
            <w:r>
              <w:rPr>
                <w:lang w:val="es-ES"/>
              </w:rPr>
              <w:t>31</w:t>
            </w:r>
          </w:p>
        </w:tc>
      </w:tr>
      <w:tr w:rsidR="00B9359B">
        <w:trPr>
          <w:trHeight w:val="255"/>
        </w:trPr>
        <w:tc>
          <w:tcPr>
            <w:tcW w:w="3402" w:type="dxa"/>
            <w:vAlign w:val="center"/>
          </w:tcPr>
          <w:p w:rsidR="00B9359B" w:rsidRDefault="009A5268">
            <w:pPr>
              <w:pStyle w:val="Tabletext"/>
              <w:framePr w:hSpace="181" w:wrap="notBeside" w:vAnchor="text" w:hAnchor="text" w:xAlign="center" w:y="1"/>
              <w:spacing w:before="60" w:after="60"/>
              <w:ind w:left="57"/>
              <w:jc w:val="left"/>
              <w:rPr>
                <w:rFonts w:eastAsia="Arial Unicode MS"/>
                <w:lang w:val="en-US"/>
              </w:rPr>
            </w:pPr>
            <w:r>
              <w:rPr>
                <w:lang w:val="en-US"/>
              </w:rPr>
              <w:t>FSS altitude (km)</w:t>
            </w:r>
          </w:p>
        </w:tc>
        <w:tc>
          <w:tcPr>
            <w:tcW w:w="964"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780</w:t>
            </w:r>
          </w:p>
        </w:tc>
        <w:tc>
          <w:tcPr>
            <w:tcW w:w="964"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10</w:t>
            </w:r>
            <w:r>
              <w:rPr>
                <w:rFonts w:ascii="Tms Rmn" w:hAnsi="Tms Rmn"/>
                <w:sz w:val="12"/>
                <w:lang w:val="en-US"/>
              </w:rPr>
              <w:t> </w:t>
            </w:r>
            <w:r>
              <w:rPr>
                <w:lang w:val="en-US"/>
              </w:rPr>
              <w:t>355</w:t>
            </w:r>
          </w:p>
        </w:tc>
        <w:tc>
          <w:tcPr>
            <w:tcW w:w="1418"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700</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1</w:t>
            </w:r>
            <w:r>
              <w:rPr>
                <w:rFonts w:ascii="Tms Rmn" w:hAnsi="Tms Rmn"/>
                <w:sz w:val="12"/>
                <w:lang w:val="en-US"/>
              </w:rPr>
              <w:t> </w:t>
            </w:r>
            <w:r>
              <w:rPr>
                <w:lang w:val="en-US"/>
              </w:rPr>
              <w:t>000</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43</w:t>
            </w:r>
            <w:r>
              <w:rPr>
                <w:rFonts w:ascii="Tms Rmn" w:hAnsi="Tms Rmn"/>
                <w:sz w:val="12"/>
                <w:lang w:val="en-US"/>
              </w:rPr>
              <w:t> </w:t>
            </w:r>
            <w:r>
              <w:rPr>
                <w:lang w:val="en-US"/>
              </w:rPr>
              <w:t>000</w:t>
            </w:r>
          </w:p>
        </w:tc>
      </w:tr>
      <w:tr w:rsidR="00B9359B">
        <w:trPr>
          <w:trHeight w:val="255"/>
        </w:trPr>
        <w:tc>
          <w:tcPr>
            <w:tcW w:w="3402" w:type="dxa"/>
            <w:vAlign w:val="center"/>
          </w:tcPr>
          <w:p w:rsidR="00B9359B" w:rsidRDefault="009A5268">
            <w:pPr>
              <w:pStyle w:val="Tabletext"/>
              <w:framePr w:hSpace="181" w:wrap="notBeside" w:vAnchor="text" w:hAnchor="text" w:xAlign="center" w:y="1"/>
              <w:spacing w:before="60" w:after="60"/>
              <w:ind w:left="57"/>
              <w:jc w:val="left"/>
              <w:rPr>
                <w:rFonts w:eastAsia="Arial Unicode MS"/>
                <w:lang w:val="en-US"/>
              </w:rPr>
            </w:pPr>
            <w:r>
              <w:rPr>
                <w:lang w:val="en-US"/>
              </w:rPr>
              <w:t>EESS altitude (km)</w:t>
            </w:r>
          </w:p>
        </w:tc>
        <w:tc>
          <w:tcPr>
            <w:tcW w:w="964"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850</w:t>
            </w:r>
          </w:p>
        </w:tc>
        <w:tc>
          <w:tcPr>
            <w:tcW w:w="964"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850</w:t>
            </w:r>
          </w:p>
        </w:tc>
        <w:tc>
          <w:tcPr>
            <w:tcW w:w="1418"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850</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850</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850</w:t>
            </w:r>
          </w:p>
        </w:tc>
      </w:tr>
      <w:tr w:rsidR="00B9359B">
        <w:trPr>
          <w:trHeight w:val="255"/>
        </w:trPr>
        <w:tc>
          <w:tcPr>
            <w:tcW w:w="3402" w:type="dxa"/>
            <w:vAlign w:val="center"/>
          </w:tcPr>
          <w:p w:rsidR="00B9359B" w:rsidRDefault="009A5268">
            <w:pPr>
              <w:pStyle w:val="Tabletext"/>
              <w:framePr w:hSpace="181" w:wrap="notBeside" w:vAnchor="text" w:hAnchor="text" w:xAlign="center" w:y="1"/>
              <w:spacing w:before="60" w:after="60"/>
              <w:ind w:left="57"/>
              <w:jc w:val="left"/>
              <w:rPr>
                <w:rFonts w:eastAsia="Arial Unicode MS"/>
                <w:lang w:val="en-US"/>
              </w:rPr>
            </w:pPr>
            <w:r>
              <w:rPr>
                <w:lang w:val="en-US"/>
              </w:rPr>
              <w:t>Separation distance (km)</w:t>
            </w:r>
          </w:p>
        </w:tc>
        <w:tc>
          <w:tcPr>
            <w:tcW w:w="964"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70</w:t>
            </w:r>
            <w:r>
              <w:rPr>
                <w:vertAlign w:val="superscript"/>
                <w:lang w:val="en-US"/>
              </w:rPr>
              <w:t>(1)</w:t>
            </w:r>
          </w:p>
        </w:tc>
        <w:tc>
          <w:tcPr>
            <w:tcW w:w="964"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9</w:t>
            </w:r>
            <w:r>
              <w:rPr>
                <w:rFonts w:ascii="Tms Rmn" w:hAnsi="Tms Rmn"/>
                <w:sz w:val="12"/>
                <w:lang w:val="en-US"/>
              </w:rPr>
              <w:t> </w:t>
            </w:r>
            <w:r>
              <w:rPr>
                <w:lang w:val="en-US"/>
              </w:rPr>
              <w:t>505</w:t>
            </w:r>
          </w:p>
        </w:tc>
        <w:tc>
          <w:tcPr>
            <w:tcW w:w="1418"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150</w:t>
            </w:r>
            <w:r>
              <w:rPr>
                <w:vertAlign w:val="superscript"/>
                <w:lang w:val="en-US"/>
              </w:rPr>
              <w:t>(1)</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150</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42</w:t>
            </w:r>
            <w:r>
              <w:rPr>
                <w:rFonts w:ascii="Tms Rmn" w:hAnsi="Tms Rmn"/>
                <w:sz w:val="12"/>
                <w:lang w:val="en-US"/>
              </w:rPr>
              <w:t> </w:t>
            </w:r>
            <w:r>
              <w:rPr>
                <w:lang w:val="en-US"/>
              </w:rPr>
              <w:t>150</w:t>
            </w:r>
          </w:p>
        </w:tc>
      </w:tr>
      <w:tr w:rsidR="00B9359B">
        <w:trPr>
          <w:trHeight w:val="255"/>
        </w:trPr>
        <w:tc>
          <w:tcPr>
            <w:tcW w:w="3402" w:type="dxa"/>
            <w:vAlign w:val="center"/>
          </w:tcPr>
          <w:p w:rsidR="00B9359B" w:rsidRDefault="009A5268">
            <w:pPr>
              <w:pStyle w:val="Tabletext"/>
              <w:framePr w:hSpace="181" w:wrap="notBeside" w:vAnchor="text" w:hAnchor="text" w:xAlign="center" w:y="1"/>
              <w:spacing w:before="60" w:after="60"/>
              <w:ind w:left="57"/>
              <w:jc w:val="left"/>
              <w:rPr>
                <w:rFonts w:eastAsia="Arial Unicode MS"/>
                <w:lang w:val="en-US"/>
              </w:rPr>
            </w:pPr>
            <w:r>
              <w:rPr>
                <w:lang w:val="en-US"/>
              </w:rPr>
              <w:t>FSS transmit power (dBW)</w:t>
            </w:r>
          </w:p>
        </w:tc>
        <w:tc>
          <w:tcPr>
            <w:tcW w:w="964"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sym w:font="Symbol" w:char="F02D"/>
            </w:r>
            <w:r>
              <w:rPr>
                <w:lang w:val="en-US"/>
              </w:rPr>
              <w:t>12</w:t>
            </w:r>
          </w:p>
        </w:tc>
        <w:tc>
          <w:tcPr>
            <w:tcW w:w="964"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b/>
                <w:bCs/>
                <w:lang w:val="en-US"/>
              </w:rPr>
              <w:t>–</w:t>
            </w:r>
            <w:r>
              <w:rPr>
                <w:lang w:val="en-US"/>
              </w:rPr>
              <w:t>30</w:t>
            </w:r>
          </w:p>
        </w:tc>
        <w:tc>
          <w:tcPr>
            <w:tcW w:w="1418"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19</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19</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19</w:t>
            </w:r>
          </w:p>
        </w:tc>
      </w:tr>
      <w:tr w:rsidR="00B9359B">
        <w:trPr>
          <w:trHeight w:val="255"/>
        </w:trPr>
        <w:tc>
          <w:tcPr>
            <w:tcW w:w="3402" w:type="dxa"/>
            <w:vAlign w:val="center"/>
          </w:tcPr>
          <w:p w:rsidR="00B9359B" w:rsidRDefault="009A5268">
            <w:pPr>
              <w:pStyle w:val="Tabletext"/>
              <w:framePr w:hSpace="181" w:wrap="notBeside" w:vAnchor="text" w:hAnchor="text" w:xAlign="center" w:y="1"/>
              <w:spacing w:before="60" w:after="60"/>
              <w:ind w:left="57"/>
              <w:jc w:val="left"/>
              <w:rPr>
                <w:rFonts w:eastAsia="Arial Unicode MS"/>
                <w:lang w:val="en-US"/>
              </w:rPr>
            </w:pPr>
            <w:r>
              <w:rPr>
                <w:lang w:val="en-US"/>
              </w:rPr>
              <w:t>FSS antenna gain (dBi)</w:t>
            </w:r>
          </w:p>
        </w:tc>
        <w:tc>
          <w:tcPr>
            <w:tcW w:w="964"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sym w:font="Symbol" w:char="F02D"/>
            </w:r>
            <w:r>
              <w:rPr>
                <w:lang w:val="en-US"/>
              </w:rPr>
              <w:t>10.0</w:t>
            </w:r>
          </w:p>
        </w:tc>
        <w:tc>
          <w:tcPr>
            <w:tcW w:w="964"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35.7</w:t>
            </w:r>
          </w:p>
        </w:tc>
        <w:tc>
          <w:tcPr>
            <w:tcW w:w="1418"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sym w:font="Symbol" w:char="F02D"/>
            </w:r>
            <w:r>
              <w:rPr>
                <w:lang w:val="en-US"/>
              </w:rPr>
              <w:t>10.0</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55.0</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55.0</w:t>
            </w:r>
          </w:p>
        </w:tc>
      </w:tr>
      <w:tr w:rsidR="00B9359B">
        <w:trPr>
          <w:trHeight w:val="255"/>
        </w:trPr>
        <w:tc>
          <w:tcPr>
            <w:tcW w:w="3402" w:type="dxa"/>
            <w:vAlign w:val="center"/>
          </w:tcPr>
          <w:p w:rsidR="00B9359B" w:rsidRPr="00B45148" w:rsidRDefault="009A5268">
            <w:pPr>
              <w:pStyle w:val="Tabletext"/>
              <w:framePr w:hSpace="181" w:wrap="notBeside" w:vAnchor="text" w:hAnchor="text" w:xAlign="center" w:y="1"/>
              <w:spacing w:before="60" w:after="60"/>
              <w:ind w:left="57"/>
              <w:jc w:val="left"/>
              <w:rPr>
                <w:rFonts w:eastAsia="Arial Unicode MS"/>
              </w:rPr>
            </w:pPr>
            <w:r w:rsidRPr="00B45148">
              <w:t>FSS e.i.r.p. (dBW)</w:t>
            </w:r>
          </w:p>
        </w:tc>
        <w:tc>
          <w:tcPr>
            <w:tcW w:w="964"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15</w:t>
            </w:r>
          </w:p>
        </w:tc>
        <w:tc>
          <w:tcPr>
            <w:tcW w:w="964"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5.31</w:t>
            </w:r>
          </w:p>
        </w:tc>
        <w:tc>
          <w:tcPr>
            <w:tcW w:w="1418"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47.5</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74</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74</w:t>
            </w:r>
          </w:p>
        </w:tc>
      </w:tr>
      <w:tr w:rsidR="00B9359B">
        <w:trPr>
          <w:trHeight w:val="255"/>
        </w:trPr>
        <w:tc>
          <w:tcPr>
            <w:tcW w:w="3402" w:type="dxa"/>
            <w:vAlign w:val="center"/>
          </w:tcPr>
          <w:p w:rsidR="00B9359B" w:rsidRDefault="009A5268">
            <w:pPr>
              <w:pStyle w:val="Tabletext"/>
              <w:framePr w:hSpace="181" w:wrap="notBeside" w:vAnchor="text" w:hAnchor="text" w:xAlign="center" w:y="1"/>
              <w:spacing w:before="60" w:after="60"/>
              <w:ind w:left="57"/>
              <w:jc w:val="left"/>
              <w:rPr>
                <w:rFonts w:eastAsia="Arial Unicode MS"/>
                <w:lang w:val="en-US"/>
              </w:rPr>
            </w:pPr>
            <w:r>
              <w:rPr>
                <w:lang w:val="en-US"/>
              </w:rPr>
              <w:t>FSS bandwidth (MHz)</w:t>
            </w:r>
          </w:p>
        </w:tc>
        <w:tc>
          <w:tcPr>
            <w:tcW w:w="964"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4.37</w:t>
            </w:r>
          </w:p>
        </w:tc>
        <w:tc>
          <w:tcPr>
            <w:tcW w:w="964"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2.5</w:t>
            </w:r>
          </w:p>
        </w:tc>
        <w:tc>
          <w:tcPr>
            <w:tcW w:w="1418"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500</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3</w:t>
            </w:r>
            <w:r>
              <w:rPr>
                <w:rFonts w:ascii="Tms Rmn" w:hAnsi="Tms Rmn"/>
                <w:sz w:val="12"/>
                <w:lang w:val="en-US"/>
              </w:rPr>
              <w:t> </w:t>
            </w:r>
            <w:r>
              <w:rPr>
                <w:lang w:val="en-US"/>
              </w:rPr>
              <w:t>200</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3</w:t>
            </w:r>
            <w:r>
              <w:rPr>
                <w:rFonts w:ascii="Tms Rmn" w:hAnsi="Tms Rmn"/>
                <w:sz w:val="12"/>
                <w:lang w:val="en-US"/>
              </w:rPr>
              <w:t> </w:t>
            </w:r>
            <w:r>
              <w:rPr>
                <w:lang w:val="en-US"/>
              </w:rPr>
              <w:t>200</w:t>
            </w:r>
          </w:p>
        </w:tc>
      </w:tr>
      <w:tr w:rsidR="00B9359B">
        <w:trPr>
          <w:trHeight w:val="255"/>
        </w:trPr>
        <w:tc>
          <w:tcPr>
            <w:tcW w:w="3402" w:type="dxa"/>
            <w:vAlign w:val="center"/>
          </w:tcPr>
          <w:p w:rsidR="00B9359B" w:rsidRDefault="009A5268">
            <w:pPr>
              <w:pStyle w:val="Tabletext"/>
              <w:framePr w:hSpace="181" w:wrap="notBeside" w:vAnchor="text" w:hAnchor="text" w:xAlign="center" w:y="1"/>
              <w:spacing w:before="60" w:after="60"/>
              <w:ind w:left="57"/>
              <w:jc w:val="left"/>
              <w:rPr>
                <w:rFonts w:eastAsia="Arial Unicode MS"/>
                <w:lang w:val="en-US"/>
              </w:rPr>
            </w:pPr>
            <w:r>
              <w:rPr>
                <w:lang w:val="en-US"/>
              </w:rPr>
              <w:t>EESS bandwidth (MHz)</w:t>
            </w:r>
          </w:p>
        </w:tc>
        <w:tc>
          <w:tcPr>
            <w:tcW w:w="964"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100</w:t>
            </w:r>
          </w:p>
        </w:tc>
        <w:tc>
          <w:tcPr>
            <w:tcW w:w="964"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100</w:t>
            </w:r>
          </w:p>
        </w:tc>
        <w:tc>
          <w:tcPr>
            <w:tcW w:w="1418"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100</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100</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100</w:t>
            </w:r>
          </w:p>
        </w:tc>
      </w:tr>
      <w:tr w:rsidR="00B9359B">
        <w:trPr>
          <w:trHeight w:val="255"/>
        </w:trPr>
        <w:tc>
          <w:tcPr>
            <w:tcW w:w="3402" w:type="dxa"/>
            <w:vAlign w:val="center"/>
          </w:tcPr>
          <w:p w:rsidR="00B9359B" w:rsidRDefault="009A5268">
            <w:pPr>
              <w:pStyle w:val="Tabletext"/>
              <w:framePr w:hSpace="181" w:wrap="notBeside" w:vAnchor="text" w:hAnchor="text" w:xAlign="center" w:y="1"/>
              <w:spacing w:before="60" w:after="60"/>
              <w:ind w:left="57"/>
              <w:jc w:val="left"/>
              <w:rPr>
                <w:rFonts w:eastAsia="Arial Unicode MS"/>
                <w:lang w:val="en-US"/>
              </w:rPr>
            </w:pPr>
            <w:r>
              <w:rPr>
                <w:lang w:val="en-US"/>
              </w:rPr>
              <w:t>e.i.r.p. in EESS bandwidth (dBW)</w:t>
            </w:r>
          </w:p>
        </w:tc>
        <w:tc>
          <w:tcPr>
            <w:tcW w:w="964"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28.6</w:t>
            </w:r>
          </w:p>
        </w:tc>
        <w:tc>
          <w:tcPr>
            <w:tcW w:w="964"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21.3</w:t>
            </w:r>
          </w:p>
        </w:tc>
        <w:tc>
          <w:tcPr>
            <w:tcW w:w="1418"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40.5</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58.9</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58.9</w:t>
            </w:r>
          </w:p>
        </w:tc>
      </w:tr>
      <w:tr w:rsidR="00B9359B">
        <w:trPr>
          <w:trHeight w:val="255"/>
        </w:trPr>
        <w:tc>
          <w:tcPr>
            <w:tcW w:w="3402" w:type="dxa"/>
            <w:vAlign w:val="center"/>
          </w:tcPr>
          <w:p w:rsidR="00B9359B" w:rsidRDefault="009A5268">
            <w:pPr>
              <w:pStyle w:val="Tabletext"/>
              <w:framePr w:hSpace="181" w:wrap="notBeside" w:vAnchor="text" w:hAnchor="text" w:xAlign="center" w:y="1"/>
              <w:spacing w:before="60" w:after="60"/>
              <w:ind w:left="57"/>
              <w:jc w:val="left"/>
              <w:rPr>
                <w:rFonts w:eastAsia="Arial Unicode MS"/>
                <w:lang w:val="en-US"/>
              </w:rPr>
            </w:pPr>
            <w:r>
              <w:rPr>
                <w:lang w:val="en-US"/>
              </w:rPr>
              <w:t>EESS backlobe antenna gain (dBi)</w:t>
            </w:r>
          </w:p>
        </w:tc>
        <w:tc>
          <w:tcPr>
            <w:tcW w:w="964"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sym w:font="Symbol" w:char="F02D"/>
            </w:r>
            <w:r>
              <w:rPr>
                <w:lang w:val="en-US"/>
              </w:rPr>
              <w:t>10</w:t>
            </w:r>
          </w:p>
        </w:tc>
        <w:tc>
          <w:tcPr>
            <w:tcW w:w="964"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sym w:font="Symbol" w:char="F02D"/>
            </w:r>
            <w:r>
              <w:rPr>
                <w:lang w:val="en-US"/>
              </w:rPr>
              <w:t>10</w:t>
            </w:r>
          </w:p>
        </w:tc>
        <w:tc>
          <w:tcPr>
            <w:tcW w:w="1418"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sym w:font="Symbol" w:char="F02D"/>
            </w:r>
            <w:r>
              <w:rPr>
                <w:lang w:val="en-US"/>
              </w:rPr>
              <w:t>10</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sym w:font="Symbol" w:char="F02D"/>
            </w:r>
            <w:r>
              <w:rPr>
                <w:lang w:val="en-US"/>
              </w:rPr>
              <w:t>10</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sym w:font="Symbol" w:char="F02D"/>
            </w:r>
            <w:r>
              <w:rPr>
                <w:lang w:val="en-US"/>
              </w:rPr>
              <w:t>10</w:t>
            </w:r>
          </w:p>
        </w:tc>
      </w:tr>
      <w:tr w:rsidR="00B9359B">
        <w:trPr>
          <w:trHeight w:val="255"/>
        </w:trPr>
        <w:tc>
          <w:tcPr>
            <w:tcW w:w="3402" w:type="dxa"/>
            <w:vAlign w:val="center"/>
          </w:tcPr>
          <w:p w:rsidR="00B9359B" w:rsidRDefault="009A5268">
            <w:pPr>
              <w:pStyle w:val="Tabletext"/>
              <w:framePr w:hSpace="181" w:wrap="notBeside" w:vAnchor="text" w:hAnchor="text" w:xAlign="center" w:y="1"/>
              <w:spacing w:before="60" w:after="60"/>
              <w:ind w:left="57"/>
              <w:jc w:val="left"/>
              <w:rPr>
                <w:rFonts w:eastAsia="Arial Unicode MS"/>
                <w:lang w:val="en-US"/>
              </w:rPr>
            </w:pPr>
            <w:r>
              <w:rPr>
                <w:lang w:val="en-US"/>
              </w:rPr>
              <w:t>Free space loss at 23.6 GHz (dB)</w:t>
            </w:r>
          </w:p>
        </w:tc>
        <w:tc>
          <w:tcPr>
            <w:tcW w:w="964"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156.8</w:t>
            </w:r>
          </w:p>
        </w:tc>
        <w:tc>
          <w:tcPr>
            <w:tcW w:w="964"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199.5</w:t>
            </w:r>
          </w:p>
        </w:tc>
        <w:tc>
          <w:tcPr>
            <w:tcW w:w="1418"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163.4</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163.4</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212.4</w:t>
            </w:r>
          </w:p>
        </w:tc>
      </w:tr>
      <w:tr w:rsidR="00B9359B">
        <w:trPr>
          <w:trHeight w:val="255"/>
        </w:trPr>
        <w:tc>
          <w:tcPr>
            <w:tcW w:w="3402" w:type="dxa"/>
            <w:vAlign w:val="center"/>
          </w:tcPr>
          <w:p w:rsidR="00B9359B" w:rsidRDefault="009A5268">
            <w:pPr>
              <w:pStyle w:val="Tabletext"/>
              <w:framePr w:hSpace="181" w:wrap="notBeside" w:vAnchor="text" w:hAnchor="text" w:xAlign="center" w:y="1"/>
              <w:spacing w:before="60" w:after="60"/>
              <w:ind w:left="57"/>
              <w:jc w:val="left"/>
              <w:rPr>
                <w:rFonts w:eastAsia="Arial Unicode MS"/>
                <w:lang w:val="en-US"/>
              </w:rPr>
            </w:pPr>
            <w:r>
              <w:rPr>
                <w:lang w:val="en-US"/>
              </w:rPr>
              <w:t>Co-channel interference level (dBW)</w:t>
            </w:r>
          </w:p>
        </w:tc>
        <w:tc>
          <w:tcPr>
            <w:tcW w:w="964"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sym w:font="Symbol" w:char="F02D"/>
            </w:r>
            <w:r>
              <w:rPr>
                <w:lang w:val="en-US"/>
              </w:rPr>
              <w:t>138.2</w:t>
            </w:r>
          </w:p>
        </w:tc>
        <w:tc>
          <w:tcPr>
            <w:tcW w:w="964"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sym w:font="Symbol" w:char="F02D"/>
            </w:r>
            <w:r>
              <w:rPr>
                <w:lang w:val="en-US"/>
              </w:rPr>
              <w:t>188.1</w:t>
            </w:r>
          </w:p>
        </w:tc>
        <w:tc>
          <w:tcPr>
            <w:tcW w:w="1418"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sym w:font="Symbol" w:char="F02D"/>
            </w:r>
            <w:r>
              <w:rPr>
                <w:lang w:val="en-US"/>
              </w:rPr>
              <w:t>132.9</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sym w:font="Symbol" w:char="F02D"/>
            </w:r>
            <w:r>
              <w:rPr>
                <w:lang w:val="en-US"/>
              </w:rPr>
              <w:t>114.5</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sym w:font="Symbol" w:char="F02D"/>
            </w:r>
            <w:r>
              <w:rPr>
                <w:lang w:val="en-US"/>
              </w:rPr>
              <w:t>163.5</w:t>
            </w:r>
          </w:p>
        </w:tc>
      </w:tr>
      <w:tr w:rsidR="00B9359B">
        <w:trPr>
          <w:trHeight w:val="255"/>
        </w:trPr>
        <w:tc>
          <w:tcPr>
            <w:tcW w:w="3402" w:type="dxa"/>
            <w:vAlign w:val="center"/>
          </w:tcPr>
          <w:p w:rsidR="00B9359B" w:rsidRDefault="009A5268">
            <w:pPr>
              <w:pStyle w:val="Tabletext"/>
              <w:framePr w:hSpace="181" w:wrap="notBeside" w:vAnchor="text" w:hAnchor="text" w:xAlign="center" w:y="1"/>
              <w:spacing w:before="60" w:after="60"/>
              <w:ind w:left="57"/>
              <w:jc w:val="left"/>
              <w:rPr>
                <w:rFonts w:eastAsia="Arial Unicode MS"/>
                <w:lang w:val="en-US"/>
              </w:rPr>
            </w:pPr>
            <w:r>
              <w:rPr>
                <w:lang w:val="en-US"/>
              </w:rPr>
              <w:t>EESS interference criterion (dBW)</w:t>
            </w:r>
          </w:p>
        </w:tc>
        <w:tc>
          <w:tcPr>
            <w:tcW w:w="964"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sym w:font="Symbol" w:char="F02D"/>
            </w:r>
            <w:r>
              <w:rPr>
                <w:lang w:val="en-US"/>
              </w:rPr>
              <w:t>163</w:t>
            </w:r>
          </w:p>
        </w:tc>
        <w:tc>
          <w:tcPr>
            <w:tcW w:w="964"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sym w:font="Symbol" w:char="F02D"/>
            </w:r>
            <w:r>
              <w:rPr>
                <w:lang w:val="en-US"/>
              </w:rPr>
              <w:t>163</w:t>
            </w:r>
          </w:p>
        </w:tc>
        <w:tc>
          <w:tcPr>
            <w:tcW w:w="1418"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sym w:font="Symbol" w:char="F02D"/>
            </w:r>
            <w:r>
              <w:rPr>
                <w:lang w:val="en-US"/>
              </w:rPr>
              <w:t>163</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sym w:font="Symbol" w:char="F02D"/>
            </w:r>
            <w:r>
              <w:rPr>
                <w:lang w:val="en-US"/>
              </w:rPr>
              <w:t>163</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sym w:font="Symbol" w:char="F02D"/>
            </w:r>
            <w:r>
              <w:rPr>
                <w:lang w:val="en-US"/>
              </w:rPr>
              <w:t>163</w:t>
            </w:r>
          </w:p>
        </w:tc>
      </w:tr>
      <w:tr w:rsidR="00B9359B">
        <w:trPr>
          <w:trHeight w:val="495"/>
        </w:trPr>
        <w:tc>
          <w:tcPr>
            <w:tcW w:w="3402" w:type="dxa"/>
            <w:vAlign w:val="center"/>
          </w:tcPr>
          <w:p w:rsidR="00B9359B" w:rsidRDefault="009A5268">
            <w:pPr>
              <w:pStyle w:val="Tabletext"/>
              <w:framePr w:hSpace="181" w:wrap="notBeside" w:vAnchor="text" w:hAnchor="text" w:xAlign="center" w:y="1"/>
              <w:spacing w:before="60" w:after="60"/>
              <w:ind w:left="57"/>
              <w:jc w:val="left"/>
              <w:rPr>
                <w:rFonts w:eastAsia="Arial Unicode MS"/>
                <w:lang w:val="en-US"/>
              </w:rPr>
            </w:pPr>
            <w:r>
              <w:rPr>
                <w:lang w:val="en-US"/>
              </w:rPr>
              <w:t>Difference between interference level and EESS criterion (dB)</w:t>
            </w:r>
          </w:p>
        </w:tc>
        <w:tc>
          <w:tcPr>
            <w:tcW w:w="964"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sym w:font="Symbol" w:char="F02D"/>
            </w:r>
            <w:r>
              <w:rPr>
                <w:lang w:val="en-US"/>
              </w:rPr>
              <w:t>24.8</w:t>
            </w:r>
          </w:p>
        </w:tc>
        <w:tc>
          <w:tcPr>
            <w:tcW w:w="964"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25.1</w:t>
            </w:r>
          </w:p>
        </w:tc>
        <w:tc>
          <w:tcPr>
            <w:tcW w:w="1418"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sym w:font="Symbol" w:char="F02D"/>
            </w:r>
            <w:r>
              <w:rPr>
                <w:lang w:val="en-US"/>
              </w:rPr>
              <w:t>30.1</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sym w:font="Symbol" w:char="F02D"/>
            </w:r>
            <w:r>
              <w:rPr>
                <w:lang w:val="en-US"/>
              </w:rPr>
              <w:t>48.5</w:t>
            </w:r>
          </w:p>
        </w:tc>
        <w:tc>
          <w:tcPr>
            <w:tcW w:w="1021" w:type="dxa"/>
            <w:vAlign w:val="center"/>
          </w:tcPr>
          <w:p w:rsidR="00B9359B" w:rsidRDefault="009A5268">
            <w:pPr>
              <w:pStyle w:val="Tabletext"/>
              <w:framePr w:hSpace="181" w:wrap="notBeside" w:vAnchor="text" w:hAnchor="text" w:xAlign="center" w:y="1"/>
              <w:spacing w:before="60" w:after="60"/>
              <w:jc w:val="center"/>
              <w:rPr>
                <w:rFonts w:eastAsia="Arial Unicode MS"/>
                <w:lang w:val="en-US"/>
              </w:rPr>
            </w:pPr>
            <w:r>
              <w:rPr>
                <w:lang w:val="en-US"/>
              </w:rPr>
              <w:t>0.5</w:t>
            </w:r>
          </w:p>
        </w:tc>
      </w:tr>
      <w:tr w:rsidR="00B9359B" w:rsidRPr="00D35B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5"/>
        </w:trPr>
        <w:tc>
          <w:tcPr>
            <w:tcW w:w="1418" w:type="dxa"/>
            <w:gridSpan w:val="6"/>
            <w:vAlign w:val="center"/>
          </w:tcPr>
          <w:p w:rsidR="00B9359B" w:rsidRDefault="009A5268">
            <w:pPr>
              <w:pStyle w:val="Tablelegend"/>
              <w:framePr w:hSpace="181" w:wrap="notBeside" w:vAnchor="text" w:hAnchor="text" w:xAlign="center" w:y="1"/>
              <w:jc w:val="left"/>
              <w:rPr>
                <w:lang w:val="en-US"/>
              </w:rPr>
            </w:pPr>
            <w:r>
              <w:rPr>
                <w:vertAlign w:val="superscript"/>
                <w:lang w:val="en-US"/>
              </w:rPr>
              <w:t>(1)</w:t>
            </w:r>
            <w:r>
              <w:rPr>
                <w:lang w:val="en-US"/>
              </w:rPr>
              <w:tab/>
              <w:t>The non-GSO FSS satellite is below the EESS satellite in this case.</w:t>
            </w:r>
          </w:p>
        </w:tc>
      </w:tr>
    </w:tbl>
    <w:p w:rsidR="00B9359B" w:rsidRDefault="00B9359B">
      <w:pPr>
        <w:pStyle w:val="Tablefin"/>
      </w:pPr>
    </w:p>
    <w:p w:rsidR="00B9359B" w:rsidRDefault="00B9359B">
      <w:pPr>
        <w:rPr>
          <w:lang w:val="en-GB"/>
        </w:rPr>
      </w:pPr>
    </w:p>
    <w:p w:rsidR="00B9359B" w:rsidRDefault="009A5268">
      <w:pPr>
        <w:pStyle w:val="Heading3"/>
        <w:rPr>
          <w:lang w:val="en-US"/>
        </w:rPr>
      </w:pPr>
      <w:bookmarkStart w:id="318" w:name="_Toc51045718"/>
      <w:r>
        <w:rPr>
          <w:lang w:val="en-US"/>
        </w:rPr>
        <w:t>4.2.2</w:t>
      </w:r>
      <w:r>
        <w:rPr>
          <w:lang w:val="en-US"/>
        </w:rPr>
        <w:tab/>
        <w:t>Backscatter interference</w:t>
      </w:r>
      <w:bookmarkEnd w:id="318"/>
    </w:p>
    <w:p w:rsidR="00B9359B" w:rsidRDefault="009A5268">
      <w:pPr>
        <w:rPr>
          <w:lang w:val="en-US"/>
        </w:rPr>
      </w:pPr>
      <w:r>
        <w:rPr>
          <w:lang w:val="en-US"/>
        </w:rPr>
        <w:t>Another form of interference power into the passive service to be considered is the case where the OoB emissions of the FSS are scattered from the Earth’s surface upwards toward a nearby EESS sensor. For frequencies around 20 GHz, the scattered energy has a significant specular component. Hence, the maximum interference would occur when:</w:t>
      </w:r>
    </w:p>
    <w:p w:rsidR="00B9359B" w:rsidRDefault="009A5268">
      <w:pPr>
        <w:pStyle w:val="enumlev1"/>
        <w:rPr>
          <w:lang w:val="en-US"/>
        </w:rPr>
      </w:pPr>
      <w:r>
        <w:rPr>
          <w:lang w:val="en-US"/>
        </w:rPr>
        <w:t>–</w:t>
      </w:r>
      <w:r>
        <w:rPr>
          <w:lang w:val="en-US"/>
        </w:rPr>
        <w:tab/>
        <w:t>the sensor views a FSS coverage area;</w:t>
      </w:r>
    </w:p>
    <w:p w:rsidR="00B9359B" w:rsidRDefault="009A5268">
      <w:pPr>
        <w:pStyle w:val="enumlev1"/>
        <w:rPr>
          <w:lang w:val="en-US"/>
        </w:rPr>
      </w:pPr>
      <w:r>
        <w:rPr>
          <w:lang w:val="en-US"/>
        </w:rPr>
        <w:t>–</w:t>
      </w:r>
      <w:r>
        <w:rPr>
          <w:lang w:val="en-US"/>
        </w:rPr>
        <w:tab/>
        <w:t>the FSS satellite, the sensor, the Earth’s centre, and the intersection of the FSS and sensor beams all lie in the same plane;</w:t>
      </w:r>
    </w:p>
    <w:p w:rsidR="00B9359B" w:rsidRDefault="009A5268">
      <w:pPr>
        <w:pStyle w:val="enumlev1"/>
        <w:rPr>
          <w:lang w:val="en-US"/>
        </w:rPr>
      </w:pPr>
      <w:r>
        <w:rPr>
          <w:lang w:val="en-US"/>
        </w:rPr>
        <w:t>–</w:t>
      </w:r>
      <w:r>
        <w:rPr>
          <w:lang w:val="en-US"/>
        </w:rPr>
        <w:tab/>
        <w:t>the intersection of the FSS satellite and sensor beams lie between the FSS satellite and sensor nadirs; and</w:t>
      </w:r>
    </w:p>
    <w:p w:rsidR="00B9359B" w:rsidRDefault="009A5268">
      <w:pPr>
        <w:pStyle w:val="enumlev1"/>
        <w:rPr>
          <w:lang w:val="en-US"/>
        </w:rPr>
      </w:pPr>
      <w:r>
        <w:rPr>
          <w:lang w:val="en-US"/>
        </w:rPr>
        <w:t>–</w:t>
      </w:r>
      <w:r>
        <w:rPr>
          <w:lang w:val="en-US"/>
        </w:rPr>
        <w:tab/>
        <w:t>the FSS satellite beam axis and the sensor beam axis intersect the Earth at the same angle.</w:t>
      </w:r>
    </w:p>
    <w:p w:rsidR="00B9359B" w:rsidRDefault="009A5268">
      <w:pPr>
        <w:rPr>
          <w:lang w:val="en-US"/>
        </w:rPr>
      </w:pPr>
      <w:r>
        <w:rPr>
          <w:lang w:val="en-US"/>
        </w:rPr>
        <w:t>Although models were constructed to evaluate the potential levels of unwanted FSS emissions into EESS receivers due to this back-scatter propagation mode, the accuracy of such models requires further review. (See technical Appendix to Annex 1.)</w:t>
      </w:r>
    </w:p>
    <w:p w:rsidR="00B9359B" w:rsidRDefault="009A5268">
      <w:pPr>
        <w:pStyle w:val="Heading2"/>
        <w:rPr>
          <w:lang w:val="en-US"/>
        </w:rPr>
      </w:pPr>
      <w:bookmarkStart w:id="319" w:name="_Toc51045719"/>
      <w:r>
        <w:rPr>
          <w:lang w:val="en-US"/>
        </w:rPr>
        <w:br w:type="page"/>
        <w:t>4.3</w:t>
      </w:r>
      <w:r>
        <w:rPr>
          <w:lang w:val="en-US"/>
        </w:rPr>
        <w:tab/>
        <w:t>Values achieved</w:t>
      </w:r>
      <w:bookmarkEnd w:id="319"/>
    </w:p>
    <w:p w:rsidR="00B9359B" w:rsidRDefault="009A5268">
      <w:pPr>
        <w:rPr>
          <w:lang w:val="en-US"/>
        </w:rPr>
      </w:pPr>
      <w:r>
        <w:rPr>
          <w:lang w:val="en-US"/>
        </w:rPr>
        <w:t>The discrepancy between the EESS interference protection criteria and the co-channel interference power for non-GSO satellites ranges from –</w:t>
      </w:r>
      <w:r>
        <w:rPr>
          <w:sz w:val="4"/>
          <w:lang w:val="en-US"/>
        </w:rPr>
        <w:t> </w:t>
      </w:r>
      <w:r>
        <w:rPr>
          <w:lang w:val="en-US"/>
        </w:rPr>
        <w:t xml:space="preserve">48.5 dB to no interference. The discrepancy between the EESS interference protection criteria and the co-channel interference power for GSO systems are in the </w:t>
      </w:r>
      <w:r>
        <w:rPr>
          <w:rFonts w:ascii="Symbol" w:hAnsi="Symbol"/>
          <w:lang w:val="en-US"/>
        </w:rPr>
        <w:noBreakHyphen/>
      </w:r>
      <w:r>
        <w:rPr>
          <w:lang w:val="en-US"/>
        </w:rPr>
        <w:t xml:space="preserve">1.2 to </w:t>
      </w:r>
      <w:r>
        <w:rPr>
          <w:rFonts w:ascii="Symbol" w:hAnsi="Symbol"/>
          <w:lang w:val="en-US"/>
        </w:rPr>
        <w:noBreakHyphen/>
      </w:r>
      <w:r>
        <w:rPr>
          <w:lang w:val="en-US"/>
        </w:rPr>
        <w:t>16.7 dB range.</w:t>
      </w:r>
    </w:p>
    <w:p w:rsidR="00B9359B" w:rsidRDefault="009A5268">
      <w:pPr>
        <w:rPr>
          <w:lang w:val="en-US"/>
        </w:rPr>
      </w:pPr>
      <w:r>
        <w:rPr>
          <w:lang w:val="en-US"/>
        </w:rPr>
        <w:t>The levels of unwanted emissions falling within the EESS bandwidth can be reduced by the application of the OoB emission masks described in § 4.1.1 or by keeping the occupied bandwidth within the allocated band as described in § 4.1.2.</w:t>
      </w:r>
    </w:p>
    <w:p w:rsidR="00B9359B" w:rsidRPr="00B45148" w:rsidRDefault="009A5268">
      <w:pPr>
        <w:pStyle w:val="Heading1"/>
        <w:rPr>
          <w:lang w:val="en-US"/>
        </w:rPr>
      </w:pPr>
      <w:bookmarkStart w:id="320" w:name="_Toc51045720"/>
      <w:r w:rsidRPr="00B45148">
        <w:rPr>
          <w:lang w:val="en-US"/>
        </w:rPr>
        <w:t>5</w:t>
      </w:r>
      <w:r w:rsidRPr="00B45148">
        <w:rPr>
          <w:lang w:val="en-US"/>
        </w:rPr>
        <w:tab/>
        <w:t>Mitigation techniques</w:t>
      </w:r>
      <w:bookmarkEnd w:id="320"/>
    </w:p>
    <w:p w:rsidR="00B9359B" w:rsidRPr="00B45148" w:rsidRDefault="009A5268">
      <w:pPr>
        <w:pStyle w:val="Heading2"/>
        <w:rPr>
          <w:lang w:val="en-US"/>
        </w:rPr>
      </w:pPr>
      <w:bookmarkStart w:id="321" w:name="_Toc51045721"/>
      <w:r w:rsidRPr="00B45148">
        <w:rPr>
          <w:lang w:val="en-US"/>
        </w:rPr>
        <w:t>5.1</w:t>
      </w:r>
      <w:r w:rsidRPr="00B45148">
        <w:rPr>
          <w:lang w:val="en-US"/>
        </w:rPr>
        <w:tab/>
        <w:t>EESS (passive)</w:t>
      </w:r>
      <w:bookmarkEnd w:id="321"/>
    </w:p>
    <w:p w:rsidR="00B9359B" w:rsidRDefault="009A5268">
      <w:pPr>
        <w:rPr>
          <w:lang w:val="en-US"/>
        </w:rPr>
      </w:pPr>
      <w:r>
        <w:rPr>
          <w:lang w:val="en-US"/>
        </w:rPr>
        <w:t>The passive service is not providing any interference to other services therefore it cannot apply any mitigation techniques to reduce interference. The only mitigation technique for the passive services is the sacrifice of data quality and availability. However this band is one of four bands that are so sensitive and critical for weather forecasting that any compromise in the quality and reliability of the data resulting from excessive OoB emissions could jeopardize public safety during dangerous weather conditions (e.g. flooding, storms).</w:t>
      </w:r>
    </w:p>
    <w:p w:rsidR="00B9359B" w:rsidRDefault="009A5268">
      <w:pPr>
        <w:pStyle w:val="Heading2"/>
        <w:rPr>
          <w:lang w:val="en-US"/>
        </w:rPr>
      </w:pPr>
      <w:bookmarkStart w:id="322" w:name="_Toc51045722"/>
      <w:r>
        <w:rPr>
          <w:lang w:val="en-US"/>
        </w:rPr>
        <w:t>5.2</w:t>
      </w:r>
      <w:r>
        <w:rPr>
          <w:lang w:val="en-US"/>
        </w:rPr>
        <w:tab/>
        <w:t>FSS and MSS</w:t>
      </w:r>
      <w:bookmarkEnd w:id="322"/>
    </w:p>
    <w:p w:rsidR="00B9359B" w:rsidRDefault="009A5268">
      <w:pPr>
        <w:pStyle w:val="enumlev1"/>
        <w:rPr>
          <w:lang w:val="en-US"/>
        </w:rPr>
      </w:pPr>
      <w:r>
        <w:rPr>
          <w:lang w:val="en-US"/>
        </w:rPr>
        <w:t>–</w:t>
      </w:r>
      <w:r>
        <w:rPr>
          <w:lang w:val="en-US"/>
        </w:rPr>
        <w:tab/>
        <w:t>Guardbands – This is an offset of the closest channel from the allocation band edge.</w:t>
      </w:r>
    </w:p>
    <w:p w:rsidR="00B9359B" w:rsidRDefault="009A5268">
      <w:pPr>
        <w:pStyle w:val="enumlev1"/>
        <w:rPr>
          <w:sz w:val="28"/>
          <w:lang w:val="en-US"/>
        </w:rPr>
      </w:pPr>
      <w:r>
        <w:rPr>
          <w:lang w:val="en-US"/>
        </w:rPr>
        <w:t>–</w:t>
      </w:r>
      <w:r>
        <w:rPr>
          <w:lang w:val="en-US"/>
        </w:rPr>
        <w:tab/>
        <w:t>Reduced spectral emissions through the use of more efficient modulation techniques and filtering. Note in Fig. 26 that the raised cosine pulse waveform has far less interference potential than the rectangular pulse or the spectral mask.</w:t>
      </w:r>
    </w:p>
    <w:p w:rsidR="00B9359B" w:rsidRDefault="009A5268">
      <w:pPr>
        <w:pStyle w:val="enumlev1"/>
        <w:rPr>
          <w:sz w:val="28"/>
          <w:lang w:val="en-US"/>
        </w:rPr>
      </w:pPr>
      <w:r>
        <w:rPr>
          <w:lang w:val="en-US"/>
        </w:rPr>
        <w:t>–</w:t>
      </w:r>
      <w:r>
        <w:rPr>
          <w:lang w:val="en-US"/>
        </w:rPr>
        <w:tab/>
        <w:t>Revision of the recommended mask to conform more closely to the actual spectrum and provide a limit for the passive service to guarantee no interference.</w:t>
      </w:r>
    </w:p>
    <w:p w:rsidR="00B9359B" w:rsidRDefault="009A5268">
      <w:pPr>
        <w:pStyle w:val="Heading2"/>
        <w:rPr>
          <w:lang w:val="en-US"/>
        </w:rPr>
      </w:pPr>
      <w:bookmarkStart w:id="323" w:name="_Toc51045723"/>
      <w:r>
        <w:rPr>
          <w:lang w:val="en-US"/>
        </w:rPr>
        <w:t>5.3</w:t>
      </w:r>
      <w:r>
        <w:rPr>
          <w:lang w:val="en-US"/>
        </w:rPr>
        <w:tab/>
        <w:t>Potential impact</w:t>
      </w:r>
      <w:bookmarkEnd w:id="323"/>
    </w:p>
    <w:p w:rsidR="00B9359B" w:rsidRDefault="009A5268">
      <w:pPr>
        <w:pStyle w:val="Heading3"/>
        <w:rPr>
          <w:lang w:val="en-US"/>
        </w:rPr>
      </w:pPr>
      <w:bookmarkStart w:id="324" w:name="_Toc51045724"/>
      <w:r>
        <w:rPr>
          <w:lang w:val="en-US"/>
        </w:rPr>
        <w:t>5.3.1</w:t>
      </w:r>
      <w:r>
        <w:rPr>
          <w:lang w:val="en-US"/>
        </w:rPr>
        <w:tab/>
        <w:t>EESS (passive)</w:t>
      </w:r>
      <w:bookmarkEnd w:id="324"/>
    </w:p>
    <w:p w:rsidR="00B9359B" w:rsidRDefault="009A5268">
      <w:pPr>
        <w:rPr>
          <w:lang w:val="en-US"/>
        </w:rPr>
      </w:pPr>
      <w:r>
        <w:rPr>
          <w:lang w:val="en-US"/>
        </w:rPr>
        <w:t>The loss of this data due to excess OoB emissions would be considered irrevocable and permanent since RF contamination almost never gets better, only worse. This data is so critical to weather and climate forecasting that it cannot be compromised without some impact on public safety.</w:t>
      </w:r>
    </w:p>
    <w:p w:rsidR="00B9359B" w:rsidRDefault="009A5268">
      <w:pPr>
        <w:pStyle w:val="Heading3"/>
        <w:rPr>
          <w:lang w:val="en-US"/>
        </w:rPr>
      </w:pPr>
      <w:bookmarkStart w:id="325" w:name="_Toc51045725"/>
      <w:r>
        <w:rPr>
          <w:lang w:val="en-US"/>
        </w:rPr>
        <w:t>5.3.2</w:t>
      </w:r>
      <w:r>
        <w:rPr>
          <w:lang w:val="en-US"/>
        </w:rPr>
        <w:tab/>
        <w:t>FSS and MSS</w:t>
      </w:r>
      <w:bookmarkEnd w:id="325"/>
    </w:p>
    <w:p w:rsidR="00B9359B" w:rsidRDefault="009A5268">
      <w:pPr>
        <w:rPr>
          <w:lang w:val="en-US"/>
        </w:rPr>
      </w:pPr>
      <w:r>
        <w:rPr>
          <w:lang w:val="en-US"/>
        </w:rPr>
        <w:t>Mitigation techniques for systems that are currently in use may not be practical. Improvement of the spectral efficiency or the use of guardbands may come at a cost in equipment or channel capacity, but may also have the effect of improving the efficiency and channel capacity. The ultimate impact is likely to be financial in the extra cost of doing business and reduced customer services.</w:t>
      </w:r>
    </w:p>
    <w:p w:rsidR="00B9359B" w:rsidRDefault="009A5268">
      <w:pPr>
        <w:pStyle w:val="Heading1"/>
        <w:rPr>
          <w:lang w:val="en-US"/>
        </w:rPr>
      </w:pPr>
      <w:bookmarkStart w:id="326" w:name="_Toc51045726"/>
      <w:r>
        <w:rPr>
          <w:lang w:val="en-US"/>
        </w:rPr>
        <w:br w:type="page"/>
        <w:t>6</w:t>
      </w:r>
      <w:r>
        <w:rPr>
          <w:lang w:val="en-US"/>
        </w:rPr>
        <w:tab/>
        <w:t>Results of studies</w:t>
      </w:r>
      <w:bookmarkEnd w:id="326"/>
    </w:p>
    <w:p w:rsidR="00B9359B" w:rsidRDefault="009A5268">
      <w:pPr>
        <w:pStyle w:val="Heading2"/>
        <w:rPr>
          <w:lang w:val="en-US"/>
        </w:rPr>
      </w:pPr>
      <w:bookmarkStart w:id="327" w:name="_Toc51045727"/>
      <w:r>
        <w:rPr>
          <w:lang w:val="en-US"/>
        </w:rPr>
        <w:t>6.1</w:t>
      </w:r>
      <w:r>
        <w:rPr>
          <w:lang w:val="en-US"/>
        </w:rPr>
        <w:tab/>
        <w:t>Summary</w:t>
      </w:r>
      <w:bookmarkEnd w:id="327"/>
    </w:p>
    <w:p w:rsidR="00B9359B" w:rsidRDefault="009A5268">
      <w:pPr>
        <w:rPr>
          <w:lang w:val="en-US"/>
        </w:rPr>
      </w:pPr>
      <w:r>
        <w:rPr>
          <w:lang w:val="en-US"/>
        </w:rPr>
        <w:t>This study addressed compatibility between EESS (passive) in the 21.2</w:t>
      </w:r>
      <w:r>
        <w:rPr>
          <w:lang w:val="en-US"/>
        </w:rPr>
        <w:noBreakHyphen/>
        <w:t>21.4 GHz band and both MSS and FSS (space-to-Earth) in the 20.2</w:t>
      </w:r>
      <w:r>
        <w:rPr>
          <w:lang w:val="en-US"/>
        </w:rPr>
        <w:noBreakHyphen/>
        <w:t>21.2 GHz band. The characteristics of the mobile and fixed systems in the band 21.2</w:t>
      </w:r>
      <w:r>
        <w:rPr>
          <w:lang w:val="en-US"/>
        </w:rPr>
        <w:noBreakHyphen/>
        <w:t>22 GHz are not available. Further studies are required.</w:t>
      </w:r>
    </w:p>
    <w:p w:rsidR="00B9359B" w:rsidRDefault="009A5268">
      <w:pPr>
        <w:pStyle w:val="Heading2"/>
        <w:rPr>
          <w:lang w:val="en-US"/>
        </w:rPr>
      </w:pPr>
      <w:bookmarkStart w:id="328" w:name="_Toc51045728"/>
      <w:r>
        <w:rPr>
          <w:lang w:val="en-US"/>
        </w:rPr>
        <w:t>6.2</w:t>
      </w:r>
      <w:r>
        <w:rPr>
          <w:lang w:val="en-US"/>
        </w:rPr>
        <w:tab/>
        <w:t>Conclusions</w:t>
      </w:r>
      <w:bookmarkEnd w:id="328"/>
    </w:p>
    <w:p w:rsidR="00B9359B" w:rsidRDefault="009A5268">
      <w:pPr>
        <w:rPr>
          <w:lang w:val="en-US"/>
        </w:rPr>
      </w:pPr>
      <w:r>
        <w:rPr>
          <w:lang w:val="en-US"/>
        </w:rPr>
        <w:t>Based on this compatibility analysis, assuming that an appropriate OoB emission mask is applied or that the FSS occupied bandwidth is contained wholly within the FSS allocated band, it appears that compatibility can be achieved in all but two cases involving non-GSO FSS satellites. Dynamic analysis of these two cases to determine the EESS availability may resolve the compatibility issue in these cases.</w:t>
      </w:r>
    </w:p>
    <w:p w:rsidR="00B9359B" w:rsidRDefault="00B9359B">
      <w:pPr>
        <w:rPr>
          <w:lang w:val="en-US"/>
        </w:rPr>
      </w:pPr>
    </w:p>
    <w:p w:rsidR="00B9359B" w:rsidRDefault="00B9359B">
      <w:pPr>
        <w:rPr>
          <w:lang w:val="en-US"/>
        </w:rPr>
      </w:pPr>
    </w:p>
    <w:p w:rsidR="00B9359B" w:rsidRDefault="009A5268">
      <w:pPr>
        <w:pStyle w:val="AnnexNoTitle"/>
        <w:rPr>
          <w:lang w:val="en-US"/>
        </w:rPr>
      </w:pPr>
      <w:r>
        <w:rPr>
          <w:lang w:val="en-US"/>
        </w:rPr>
        <w:t>Annex 12</w:t>
      </w:r>
      <w:r>
        <w:rPr>
          <w:b w:val="0"/>
          <w:lang w:val="en-US"/>
        </w:rPr>
        <w:br/>
      </w:r>
      <w:r>
        <w:rPr>
          <w:b w:val="0"/>
          <w:lang w:val="en-US"/>
        </w:rPr>
        <w:br/>
      </w:r>
      <w:r>
        <w:rPr>
          <w:lang w:val="en-US"/>
        </w:rPr>
        <w:t>Compatibility analysis between RAS systems operating in the</w:t>
      </w:r>
      <w:r>
        <w:rPr>
          <w:lang w:val="en-US"/>
        </w:rPr>
        <w:br/>
        <w:t>22.21-22.5 GHz band and BSS (space-to-Earth) systems</w:t>
      </w:r>
      <w:r>
        <w:rPr>
          <w:lang w:val="en-US"/>
        </w:rPr>
        <w:br/>
        <w:t>operating in the 21.4-22 GHz band</w:t>
      </w:r>
    </w:p>
    <w:p w:rsidR="00B9359B" w:rsidRDefault="009A5268">
      <w:pPr>
        <w:pStyle w:val="Heading1"/>
        <w:rPr>
          <w:lang w:val="en-US"/>
        </w:rPr>
      </w:pPr>
      <w:bookmarkStart w:id="329" w:name="_Toc51045729"/>
      <w:r>
        <w:rPr>
          <w:lang w:val="en-US"/>
        </w:rPr>
        <w:t>1</w:t>
      </w:r>
      <w:r>
        <w:rPr>
          <w:lang w:val="en-US"/>
        </w:rPr>
        <w:tab/>
        <w:t>Radio astronomy</w:t>
      </w:r>
      <w:bookmarkEnd w:id="329"/>
    </w:p>
    <w:p w:rsidR="00B9359B" w:rsidRDefault="009A5268">
      <w:pPr>
        <w:pStyle w:val="Heading2"/>
        <w:rPr>
          <w:lang w:val="en-US"/>
        </w:rPr>
      </w:pPr>
      <w:bookmarkStart w:id="330" w:name="_Toc51045730"/>
      <w:r>
        <w:rPr>
          <w:lang w:val="en-US"/>
        </w:rPr>
        <w:t>1.1</w:t>
      </w:r>
      <w:r>
        <w:rPr>
          <w:lang w:val="en-US"/>
        </w:rPr>
        <w:tab/>
        <w:t>Allocated band</w:t>
      </w:r>
      <w:bookmarkEnd w:id="330"/>
    </w:p>
    <w:p w:rsidR="00B9359B" w:rsidRDefault="009A5268">
      <w:pPr>
        <w:rPr>
          <w:lang w:val="en-US"/>
        </w:rPr>
      </w:pPr>
      <w:r>
        <w:rPr>
          <w:lang w:val="en-US"/>
        </w:rPr>
        <w:t>The 22.21-22.5 GHz band is allocated on a primary basis to the RAS.</w:t>
      </w:r>
    </w:p>
    <w:p w:rsidR="00B9359B" w:rsidRDefault="009A5268">
      <w:pPr>
        <w:rPr>
          <w:lang w:val="en-US"/>
        </w:rPr>
      </w:pPr>
      <w:r>
        <w:rPr>
          <w:bCs/>
          <w:lang w:val="en-US"/>
        </w:rPr>
        <w:t xml:space="preserve">RR No. 5.149 </w:t>
      </w:r>
      <w:r>
        <w:rPr>
          <w:lang w:val="en-US"/>
        </w:rPr>
        <w:t>states that in this band “In making assignments to stations of other services ... administrations are urged to take all practicable steps to protect the radio astronomy service from harmful interference”.</w:t>
      </w:r>
    </w:p>
    <w:p w:rsidR="00B9359B" w:rsidRDefault="009A5268">
      <w:pPr>
        <w:pStyle w:val="Heading2"/>
        <w:rPr>
          <w:lang w:val="en-US"/>
        </w:rPr>
      </w:pPr>
      <w:bookmarkStart w:id="331" w:name="_Toc51045731"/>
      <w:r>
        <w:rPr>
          <w:lang w:val="en-US"/>
        </w:rPr>
        <w:t>1.2</w:t>
      </w:r>
      <w:r>
        <w:rPr>
          <w:lang w:val="en-US"/>
        </w:rPr>
        <w:tab/>
        <w:t>Type of observations</w:t>
      </w:r>
      <w:bookmarkEnd w:id="331"/>
    </w:p>
    <w:p w:rsidR="00B9359B" w:rsidRDefault="009A5268">
      <w:pPr>
        <w:rPr>
          <w:lang w:val="en-US"/>
        </w:rPr>
      </w:pPr>
      <w:r>
        <w:rPr>
          <w:lang w:val="en-US"/>
        </w:rPr>
        <w:t>The frequency band is used by the RAS for both continuum observations as well as spectroscopic line observations of the water molecule, whose spectroscopic band in this frequency range is one of the most important for radio astronomy (see Recommendation ITU-R RA.314, Table 31 and the List of Important Spectral Lines of the International Astronomical Union).</w:t>
      </w:r>
    </w:p>
    <w:p w:rsidR="00B9359B" w:rsidRDefault="009A5268">
      <w:pPr>
        <w:rPr>
          <w:lang w:val="en-US"/>
        </w:rPr>
      </w:pPr>
      <w:r>
        <w:rPr>
          <w:lang w:val="en-US"/>
        </w:rPr>
        <w:t>The water molecule transitions in this band are observed using both single-dish and VLBI techniques.</w:t>
      </w:r>
    </w:p>
    <w:p w:rsidR="00B9359B" w:rsidRDefault="009A5268">
      <w:pPr>
        <w:pStyle w:val="Heading2"/>
        <w:rPr>
          <w:lang w:val="en-US"/>
        </w:rPr>
      </w:pPr>
      <w:bookmarkStart w:id="332" w:name="_Toc51045732"/>
      <w:r>
        <w:rPr>
          <w:lang w:val="en-US"/>
        </w:rPr>
        <w:br w:type="page"/>
        <w:t>1.3</w:t>
      </w:r>
      <w:r>
        <w:rPr>
          <w:lang w:val="en-US"/>
        </w:rPr>
        <w:tab/>
        <w:t>Required protection criteria</w:t>
      </w:r>
      <w:bookmarkEnd w:id="332"/>
    </w:p>
    <w:p w:rsidR="00B9359B" w:rsidRDefault="009A5268">
      <w:pPr>
        <w:rPr>
          <w:lang w:val="en-US"/>
        </w:rPr>
      </w:pPr>
      <w:r>
        <w:rPr>
          <w:lang w:val="en-US"/>
        </w:rPr>
        <w:t>Recommendation ITU-R</w:t>
      </w:r>
      <w:r>
        <w:rPr>
          <w:b/>
          <w:lang w:val="en-US"/>
        </w:rPr>
        <w:t xml:space="preserve"> </w:t>
      </w:r>
      <w:r>
        <w:rPr>
          <w:lang w:val="en-US"/>
        </w:rPr>
        <w:t>RA.769 specifies the protection criteria for radio astronomical observations and gives threshold levels of detrimental interference for primary radio astronomy bands.</w:t>
      </w:r>
    </w:p>
    <w:p w:rsidR="00B9359B" w:rsidRDefault="009A5268">
      <w:pPr>
        <w:rPr>
          <w:spacing w:val="-2"/>
          <w:lang w:val="en-US" w:eastAsia="ja-JP"/>
        </w:rPr>
      </w:pPr>
      <w:r>
        <w:rPr>
          <w:spacing w:val="-2"/>
          <w:lang w:val="en-US"/>
        </w:rPr>
        <w:t xml:space="preserve">For the 22.21-22.5 GHz band, the pfd threshold limit given in </w:t>
      </w:r>
      <w:r>
        <w:rPr>
          <w:lang w:val="en-US"/>
        </w:rPr>
        <w:t>Recommendation ITU</w:t>
      </w:r>
      <w:r>
        <w:rPr>
          <w:lang w:val="en-US"/>
        </w:rPr>
        <w:noBreakHyphen/>
        <w:t>R</w:t>
      </w:r>
      <w:r>
        <w:rPr>
          <w:b/>
          <w:lang w:val="en-US"/>
        </w:rPr>
        <w:t xml:space="preserve"> </w:t>
      </w:r>
      <w:r>
        <w:rPr>
          <w:lang w:val="en-US"/>
        </w:rPr>
        <w:t xml:space="preserve">RA.769 for </w:t>
      </w:r>
      <w:r>
        <w:rPr>
          <w:spacing w:val="-2"/>
          <w:lang w:val="en-US"/>
        </w:rPr>
        <w:t>single-dish line observations</w:t>
      </w:r>
      <w:r>
        <w:rPr>
          <w:lang w:val="en-US"/>
        </w:rPr>
        <w:t xml:space="preserve"> made using a channel bandwidth (one of the spectrometer channels) of 250 kHz is </w:t>
      </w:r>
      <w:r>
        <w:rPr>
          <w:rFonts w:ascii="Symbol" w:hAnsi="Symbol"/>
          <w:lang w:val="en-US"/>
        </w:rPr>
        <w:noBreakHyphen/>
      </w:r>
      <w:r>
        <w:rPr>
          <w:lang w:val="en-US"/>
        </w:rPr>
        <w:t>162 dB(W/m</w:t>
      </w:r>
      <w:r>
        <w:rPr>
          <w:vertAlign w:val="superscript"/>
          <w:lang w:val="en-US"/>
        </w:rPr>
        <w:t>2</w:t>
      </w:r>
      <w:r>
        <w:rPr>
          <w:rFonts w:ascii="Times" w:hAnsi="Times"/>
          <w:spacing w:val="-2"/>
          <w:lang w:val="en-US"/>
        </w:rPr>
        <w:t>)</w:t>
      </w:r>
      <w:r>
        <w:rPr>
          <w:lang w:val="en-US"/>
        </w:rPr>
        <w:t xml:space="preserve">. A pfd threshold limit of </w:t>
      </w:r>
      <w:r>
        <w:rPr>
          <w:rFonts w:ascii="Symbol" w:hAnsi="Symbol"/>
          <w:lang w:val="en-US"/>
        </w:rPr>
        <w:noBreakHyphen/>
      </w:r>
      <w:r>
        <w:rPr>
          <w:lang w:val="en-US"/>
        </w:rPr>
        <w:t>146 dB(W/m</w:t>
      </w:r>
      <w:r>
        <w:rPr>
          <w:vertAlign w:val="superscript"/>
          <w:lang w:val="en-US"/>
        </w:rPr>
        <w:t>2</w:t>
      </w:r>
      <w:r>
        <w:rPr>
          <w:rFonts w:ascii="Times" w:hAnsi="Times"/>
          <w:spacing w:val="-2"/>
          <w:lang w:val="en-US"/>
        </w:rPr>
        <w:t>)</w:t>
      </w:r>
      <w:r>
        <w:rPr>
          <w:lang w:val="en-US"/>
        </w:rPr>
        <w:t xml:space="preserve"> is defined for </w:t>
      </w:r>
      <w:r>
        <w:rPr>
          <w:spacing w:val="-2"/>
          <w:lang w:val="en-US"/>
        </w:rPr>
        <w:t>single-dish continuum observations in this band, made using the entire 290 MHz bandwidth</w:t>
      </w:r>
      <w:r>
        <w:rPr>
          <w:rFonts w:hint="eastAsia"/>
          <w:spacing w:val="-2"/>
          <w:lang w:val="en-US" w:eastAsia="ja-JP"/>
        </w:rPr>
        <w:t>.</w:t>
      </w:r>
    </w:p>
    <w:p w:rsidR="00B9359B" w:rsidRDefault="009A5268">
      <w:pPr>
        <w:rPr>
          <w:spacing w:val="-2"/>
          <w:lang w:val="en-US" w:eastAsia="ja-JP"/>
        </w:rPr>
      </w:pPr>
      <w:r>
        <w:rPr>
          <w:lang w:val="en-US"/>
        </w:rPr>
        <w:t xml:space="preserve">VLBI observations, where signals from widely separated antennas are recorded and correlated after the observations, are much less susceptible to interference. This is reflected in the threshold pfd level for VLBI observations in this band, </w:t>
      </w:r>
      <w:r>
        <w:rPr>
          <w:rFonts w:ascii="Symbol" w:hAnsi="Symbol"/>
          <w:lang w:val="en-US"/>
        </w:rPr>
        <w:noBreakHyphen/>
      </w:r>
      <w:r>
        <w:rPr>
          <w:lang w:val="en-US"/>
        </w:rPr>
        <w:t>128 </w:t>
      </w:r>
      <w:r>
        <w:rPr>
          <w:snapToGrid w:val="0"/>
          <w:lang w:val="en-US"/>
        </w:rPr>
        <w:t>dB(W/m</w:t>
      </w:r>
      <w:r>
        <w:rPr>
          <w:vertAlign w:val="superscript"/>
          <w:lang w:val="en-US"/>
        </w:rPr>
        <w:t>2</w:t>
      </w:r>
      <w:r>
        <w:rPr>
          <w:rFonts w:ascii="Times" w:hAnsi="Times"/>
          <w:spacing w:val="-2"/>
          <w:lang w:val="en-US"/>
        </w:rPr>
        <w:t>), for a bandwidth of 250 kHz.</w:t>
      </w:r>
    </w:p>
    <w:p w:rsidR="00B9359B" w:rsidRDefault="009A5268">
      <w:pPr>
        <w:rPr>
          <w:lang w:val="en-US"/>
        </w:rPr>
      </w:pPr>
      <w:r>
        <w:rPr>
          <w:lang w:val="en-US"/>
        </w:rPr>
        <w:t>For detrimental interference from non-GSO systems, the protection criteria and the relevant methodologies are described in Recommendations ITU-R RA.769 and ITU-R RA.1513, as well as in Recommendation ITU-R S.1586 for FSS systems and in Recommendation ITU</w:t>
      </w:r>
      <w:r>
        <w:rPr>
          <w:lang w:val="en-US"/>
        </w:rPr>
        <w:noBreakHyphen/>
        <w:t>R M.1583 for MSS and RNSS systems.</w:t>
      </w:r>
    </w:p>
    <w:p w:rsidR="00B9359B" w:rsidRDefault="009A5268">
      <w:pPr>
        <w:rPr>
          <w:lang w:val="en-US"/>
        </w:rPr>
      </w:pPr>
      <w:r>
        <w:rPr>
          <w:lang w:val="en-US"/>
        </w:rPr>
        <w:t>The thresholds of detrimental interference levels to the RAS as defined and calculated in the Recommendation ITU-R RA.769 are protection criteria above which radio astronomical data are degraded and may be eventually obliterated. In principle, under rather idealised circumstances, if these levels are very slightly exceeded then it may be possible to compensate at the radio astronomy observatory by increased observing time. In doing so, the channel capacity of the telescope is reduced, with a corresponding reduction in scientific throughput. If the level of interference, under the assumptions of Recommendation ITU</w:t>
      </w:r>
      <w:r>
        <w:rPr>
          <w:lang w:val="en-US"/>
        </w:rPr>
        <w:noBreakHyphen/>
        <w:t>R RA.769 (e.g. antenna performance, etc.), becomes 10 dB or more above the Recommendation ITU</w:t>
      </w:r>
      <w:r>
        <w:rPr>
          <w:lang w:val="en-US"/>
        </w:rPr>
        <w:noBreakHyphen/>
        <w:t>R RA.769 definition, then increased observing time will no longer be effective in ensuring that valid scientific data are provided to the scientist. The radio astronomy station will be unable to operate in the affected frequency band, and its ability to provide service will have been lost if no appropriate mitigation techniques can be applied.</w:t>
      </w:r>
    </w:p>
    <w:p w:rsidR="00B9359B" w:rsidRDefault="009A5268">
      <w:pPr>
        <w:pStyle w:val="Heading2"/>
        <w:rPr>
          <w:lang w:val="en-US"/>
        </w:rPr>
      </w:pPr>
      <w:bookmarkStart w:id="333" w:name="_Toc51045733"/>
      <w:r>
        <w:rPr>
          <w:lang w:val="en-US"/>
        </w:rPr>
        <w:t>1.4</w:t>
      </w:r>
      <w:r>
        <w:rPr>
          <w:lang w:val="en-US"/>
        </w:rPr>
        <w:tab/>
        <w:t>Operational characteristics</w:t>
      </w:r>
      <w:bookmarkEnd w:id="333"/>
    </w:p>
    <w:p w:rsidR="00B9359B" w:rsidRDefault="009A5268">
      <w:pPr>
        <w:rPr>
          <w:snapToGrid w:val="0"/>
          <w:lang w:val="en-US"/>
        </w:rPr>
      </w:pPr>
      <w:r>
        <w:rPr>
          <w:snapToGrid w:val="0"/>
          <w:lang w:val="en-US"/>
        </w:rPr>
        <w:t>Observations in the 22.21-22.5 GHz band are carried out at a number of radio astronomy sites in numerous countries, worldwide. They may be of continuum emissions, spectral lines, or VLBI experiments. Observations in this band are sometimes conducted on targets of opportunity, e.g. on objects such as comets. VLBI spectral line observations are also frequently conducted in this band.</w:t>
      </w:r>
    </w:p>
    <w:p w:rsidR="00B9359B" w:rsidRDefault="009A5268">
      <w:pPr>
        <w:rPr>
          <w:lang w:val="en-US"/>
        </w:rPr>
      </w:pPr>
      <w:r>
        <w:rPr>
          <w:lang w:val="en-US"/>
        </w:rPr>
        <w:t>Spectral line observations are made using multichannel spectrometers that can integrate simultaneously the power in many (typically 256 to 4</w:t>
      </w:r>
      <w:r>
        <w:rPr>
          <w:rFonts w:ascii="Tms Rmn" w:hAnsi="Tms Rmn"/>
          <w:sz w:val="12"/>
          <w:lang w:val="en-US"/>
        </w:rPr>
        <w:t> </w:t>
      </w:r>
      <w:r>
        <w:rPr>
          <w:lang w:val="en-US"/>
        </w:rPr>
        <w:t>096) frequency channels distributed across the band. The number of channels and their individual bandwidths are chosen to adequately sample the spectrum of the net emission from the sources in the antenna beam.</w:t>
      </w:r>
    </w:p>
    <w:p w:rsidR="00B9359B" w:rsidRDefault="009A5268">
      <w:pPr>
        <w:rPr>
          <w:lang w:val="en-US"/>
        </w:rPr>
      </w:pPr>
      <w:r>
        <w:rPr>
          <w:lang w:val="en-US"/>
        </w:rPr>
        <w:br w:type="page"/>
        <w:t>In general, observations are made differentially. In the case of continuum emissions, a map may be made of the area of sky containing the source, and the background emission subtracted, measurements are made of the power coming from the direction from the source (on-source) and at one or more nearby positions in the sky (off-source). By subtracting the off-source values from the on-source values, the emission originating in the source is separated from other contributions to the receiver output.</w:t>
      </w:r>
    </w:p>
    <w:p w:rsidR="00B9359B" w:rsidRDefault="009A5268">
      <w:pPr>
        <w:rPr>
          <w:lang w:val="en-US"/>
        </w:rPr>
      </w:pPr>
      <w:r>
        <w:rPr>
          <w:lang w:val="en-US"/>
        </w:rPr>
        <w:t>In the case of spectral line observations, spectra are recorded at frequency ranges including the line emissions of interest (the line spectra), and then at a frequency that is offset from the line emissions, or at the same frequency but at a nearby position in the sky (the reference spectra). By subtracting the reference spectra from the line spectra, unwanted noise contributions and other contaminants can be removed from the data.</w:t>
      </w:r>
    </w:p>
    <w:p w:rsidR="00B9359B" w:rsidRDefault="009A5268">
      <w:pPr>
        <w:rPr>
          <w:lang w:val="en-US"/>
        </w:rPr>
      </w:pPr>
      <w:r>
        <w:rPr>
          <w:lang w:val="en-US"/>
        </w:rPr>
        <w:t xml:space="preserve">Extended areas of radio emission are mapped by recording the emission from a grid of points covering the region of interest. Both continuum and spectral line observations may be made. In the case of single antenna radio telescopes, each grid point observation is an indication of the total power (in the continuum case) or the emission spectrum (in the spectral line case) coming from that position in the sky; the spacing between the grid points should not be more than half the antenna beamwidth. When observations are made using a synthesis radio telescope, where the area to be mapped exceeds the instantaneous mapping field, the grid points should not be further apart than half the beamwidth of one of the radio telescope antennas. </w:t>
      </w:r>
    </w:p>
    <w:p w:rsidR="00B9359B" w:rsidRDefault="009A5268">
      <w:pPr>
        <w:rPr>
          <w:snapToGrid w:val="0"/>
          <w:lang w:val="en-US"/>
        </w:rPr>
      </w:pPr>
      <w:r>
        <w:rPr>
          <w:snapToGrid w:val="0"/>
          <w:lang w:val="en-US"/>
        </w:rPr>
        <w:t>VLBI observations are made by down-converting the signals to a baseband, digitizing them without rectification, and recording them on tape or other storage media, along with precise timing signals. The data are then taken to a VLBI data processing centre, where the signals are synchronized and correlated. Consequently, the full impact of interference might not be known until the observing period is over and the data has been processed.</w:t>
      </w:r>
    </w:p>
    <w:p w:rsidR="00B9359B" w:rsidRDefault="009A5268">
      <w:pPr>
        <w:pStyle w:val="Heading1"/>
        <w:rPr>
          <w:lang w:val="en-US"/>
        </w:rPr>
      </w:pPr>
      <w:bookmarkStart w:id="334" w:name="_Toc51045734"/>
      <w:r>
        <w:rPr>
          <w:lang w:val="en-US"/>
        </w:rPr>
        <w:t>2</w:t>
      </w:r>
      <w:r>
        <w:rPr>
          <w:lang w:val="en-US"/>
        </w:rPr>
        <w:tab/>
        <w:t>BSS</w:t>
      </w:r>
      <w:bookmarkEnd w:id="334"/>
    </w:p>
    <w:p w:rsidR="00B9359B" w:rsidRDefault="009A5268">
      <w:pPr>
        <w:pStyle w:val="Heading2"/>
        <w:rPr>
          <w:lang w:val="en-US"/>
        </w:rPr>
      </w:pPr>
      <w:bookmarkStart w:id="335" w:name="_Toc51045735"/>
      <w:r>
        <w:rPr>
          <w:lang w:val="en-US"/>
        </w:rPr>
        <w:t>2.1</w:t>
      </w:r>
      <w:r>
        <w:rPr>
          <w:lang w:val="en-US"/>
        </w:rPr>
        <w:tab/>
        <w:t>Allocated transmit band</w:t>
      </w:r>
      <w:bookmarkEnd w:id="335"/>
    </w:p>
    <w:p w:rsidR="00B9359B" w:rsidRDefault="009A5268">
      <w:pPr>
        <w:rPr>
          <w:lang w:val="en-US"/>
        </w:rPr>
      </w:pPr>
      <w:r>
        <w:rPr>
          <w:lang w:val="en-US"/>
        </w:rPr>
        <w:t>The frequency range of the active service allocation is from 21.4 to 22 GHz.</w:t>
      </w:r>
    </w:p>
    <w:p w:rsidR="00B9359B" w:rsidRDefault="009A5268">
      <w:pPr>
        <w:pStyle w:val="Heading2"/>
        <w:rPr>
          <w:lang w:val="en-US"/>
        </w:rPr>
      </w:pPr>
      <w:bookmarkStart w:id="336" w:name="_Toc51045736"/>
      <w:r>
        <w:rPr>
          <w:lang w:val="en-US"/>
        </w:rPr>
        <w:t>2.2</w:t>
      </w:r>
      <w:r>
        <w:rPr>
          <w:lang w:val="en-US"/>
        </w:rPr>
        <w:tab/>
        <w:t>Service</w:t>
      </w:r>
      <w:bookmarkEnd w:id="336"/>
    </w:p>
    <w:p w:rsidR="00B9359B" w:rsidRDefault="009A5268">
      <w:pPr>
        <w:rPr>
          <w:lang w:val="en-US"/>
        </w:rPr>
      </w:pPr>
      <w:r>
        <w:rPr>
          <w:lang w:val="en-US"/>
        </w:rPr>
        <w:t>WARC-92 has reallocated the band 21.4</w:t>
      </w:r>
      <w:r>
        <w:rPr>
          <w:lang w:val="en-US"/>
        </w:rPr>
        <w:noBreakHyphen/>
        <w:t>22.0 GHz in Regions 1 and 3 to the BSS high definition digital television (HDTV) service to be implemented after 1 April 2007. This band has been identified for the development of a future allotment plan.</w:t>
      </w:r>
    </w:p>
    <w:p w:rsidR="00B9359B" w:rsidRDefault="009A5268">
      <w:pPr>
        <w:pStyle w:val="Heading2"/>
        <w:rPr>
          <w:lang w:val="en-US"/>
        </w:rPr>
      </w:pPr>
      <w:bookmarkStart w:id="337" w:name="_Toc51045737"/>
      <w:r>
        <w:rPr>
          <w:lang w:val="en-US"/>
        </w:rPr>
        <w:t>2.3</w:t>
      </w:r>
      <w:r>
        <w:rPr>
          <w:lang w:val="en-US"/>
        </w:rPr>
        <w:tab/>
        <w:t>Levels based on regulatory provision</w:t>
      </w:r>
      <w:bookmarkEnd w:id="337"/>
    </w:p>
    <w:p w:rsidR="00B9359B" w:rsidRDefault="009A5268">
      <w:pPr>
        <w:rPr>
          <w:lang w:val="en-US"/>
        </w:rPr>
      </w:pPr>
      <w:r>
        <w:rPr>
          <w:lang w:val="en-US"/>
        </w:rPr>
        <w:t xml:space="preserve">Annex to Resolution </w:t>
      </w:r>
      <w:r>
        <w:rPr>
          <w:bCs/>
          <w:lang w:val="en-US"/>
        </w:rPr>
        <w:t xml:space="preserve">525 (WARC-92), </w:t>
      </w:r>
      <w:r>
        <w:rPr>
          <w:lang w:val="en-US"/>
        </w:rPr>
        <w:t>Section III – Interim procedure relating to operational BSS (HDTV) systems introduced before 1 April 2007.</w:t>
      </w:r>
    </w:p>
    <w:p w:rsidR="00B9359B" w:rsidRDefault="009A5268">
      <w:pPr>
        <w:rPr>
          <w:lang w:val="en-US"/>
        </w:rPr>
      </w:pPr>
      <w:r>
        <w:rPr>
          <w:lang w:val="en-US"/>
        </w:rPr>
        <w:br w:type="page"/>
        <w:t>For the purpose of introducing operational BSS (HDTV) systems in the band 21.4</w:t>
      </w:r>
      <w:r>
        <w:rPr>
          <w:lang w:val="en-US"/>
        </w:rPr>
        <w:noBreakHyphen/>
        <w:t>22.0 GHz in Regions 1 and 3 before 1 April 2007, the procedure contained in Resolution 33 (WARC-79) shall be applied if the pfd at the Earth’s surface produced by emissions from a space station, on the territory of any other country, exceeds:</w:t>
      </w:r>
    </w:p>
    <w:p w:rsidR="00B9359B" w:rsidRDefault="009A5268">
      <w:pPr>
        <w:pStyle w:val="enumlev1"/>
        <w:rPr>
          <w:lang w:val="en-US"/>
        </w:rPr>
      </w:pPr>
      <w:r>
        <w:rPr>
          <w:lang w:val="en-US"/>
        </w:rPr>
        <w:t>–</w:t>
      </w:r>
      <w:r>
        <w:rPr>
          <w:lang w:val="en-US"/>
        </w:rPr>
        <w:tab/>
      </w:r>
      <w:r>
        <w:sym w:font="Symbol" w:char="F02D"/>
      </w:r>
      <w:r>
        <w:rPr>
          <w:lang w:val="en-US"/>
        </w:rPr>
        <w:t>115 dB(W/m</w:t>
      </w:r>
      <w:r>
        <w:rPr>
          <w:vertAlign w:val="superscript"/>
          <w:lang w:val="en-US"/>
        </w:rPr>
        <w:t>2</w:t>
      </w:r>
      <w:r>
        <w:rPr>
          <w:rFonts w:ascii="Times" w:hAnsi="Times"/>
          <w:spacing w:val="-2"/>
          <w:lang w:val="en-US"/>
        </w:rPr>
        <w:t>)</w:t>
      </w:r>
      <w:r>
        <w:rPr>
          <w:lang w:val="en-US"/>
        </w:rPr>
        <w:t xml:space="preserve"> in any 1 MHz band for angles of arrival between 0</w:t>
      </w:r>
      <w:r>
        <w:rPr>
          <w:rFonts w:ascii="Symbol" w:hAnsi="Symbol"/>
          <w:lang w:val="en-US"/>
        </w:rPr>
        <w:t></w:t>
      </w:r>
      <w:r>
        <w:rPr>
          <w:lang w:val="en-US"/>
        </w:rPr>
        <w:t xml:space="preserve"> and 5</w:t>
      </w:r>
      <w:r>
        <w:rPr>
          <w:rFonts w:ascii="Symbol" w:hAnsi="Symbol"/>
          <w:lang w:val="en-US"/>
        </w:rPr>
        <w:t></w:t>
      </w:r>
      <w:r>
        <w:rPr>
          <w:lang w:val="en-US"/>
        </w:rPr>
        <w:t xml:space="preserve"> above the horizontal plane; or</w:t>
      </w:r>
    </w:p>
    <w:p w:rsidR="00B9359B" w:rsidRDefault="009A5268">
      <w:pPr>
        <w:pStyle w:val="enumlev1"/>
        <w:rPr>
          <w:lang w:val="en-US"/>
        </w:rPr>
      </w:pPr>
      <w:r>
        <w:rPr>
          <w:lang w:val="en-US"/>
        </w:rPr>
        <w:t>–</w:t>
      </w:r>
      <w:r>
        <w:rPr>
          <w:lang w:val="en-US"/>
        </w:rPr>
        <w:tab/>
      </w:r>
      <w:r>
        <w:sym w:font="Symbol" w:char="F02D"/>
      </w:r>
      <w:r>
        <w:rPr>
          <w:lang w:val="en-US"/>
        </w:rPr>
        <w:t>105 dB(W/m</w:t>
      </w:r>
      <w:r>
        <w:rPr>
          <w:vertAlign w:val="superscript"/>
          <w:lang w:val="en-US"/>
        </w:rPr>
        <w:t>2</w:t>
      </w:r>
      <w:r>
        <w:rPr>
          <w:rFonts w:ascii="Times" w:hAnsi="Times"/>
          <w:spacing w:val="-2"/>
          <w:lang w:val="en-US"/>
        </w:rPr>
        <w:t>)</w:t>
      </w:r>
      <w:r>
        <w:rPr>
          <w:lang w:val="en-US"/>
        </w:rPr>
        <w:t xml:space="preserve"> in any 1 MHz band for angles of arrival between 25</w:t>
      </w:r>
      <w:r>
        <w:rPr>
          <w:rFonts w:ascii="Symbol" w:hAnsi="Symbol"/>
          <w:lang w:val="en-US"/>
        </w:rPr>
        <w:t></w:t>
      </w:r>
      <w:r>
        <w:rPr>
          <w:lang w:val="en-US"/>
        </w:rPr>
        <w:t xml:space="preserve"> and 90</w:t>
      </w:r>
      <w:r>
        <w:rPr>
          <w:rFonts w:ascii="Symbol" w:hAnsi="Symbol"/>
          <w:lang w:val="en-US"/>
        </w:rPr>
        <w:t></w:t>
      </w:r>
      <w:r>
        <w:rPr>
          <w:lang w:val="en-US"/>
        </w:rPr>
        <w:t xml:space="preserve"> above the horizontal plane; or</w:t>
      </w:r>
    </w:p>
    <w:p w:rsidR="00B9359B" w:rsidRDefault="009A5268">
      <w:pPr>
        <w:pStyle w:val="enumlev1"/>
        <w:rPr>
          <w:lang w:val="en-US"/>
        </w:rPr>
      </w:pPr>
      <w:r>
        <w:rPr>
          <w:lang w:val="en-US"/>
        </w:rPr>
        <w:t>–</w:t>
      </w:r>
      <w:r>
        <w:rPr>
          <w:lang w:val="en-US"/>
        </w:rPr>
        <w:tab/>
        <w:t>values to be derived by linear interpolation between these limits for angles of arrival between 5</w:t>
      </w:r>
      <w:r>
        <w:rPr>
          <w:rFonts w:ascii="Symbol" w:hAnsi="Symbol"/>
          <w:lang w:val="en-US"/>
        </w:rPr>
        <w:t></w:t>
      </w:r>
      <w:r>
        <w:rPr>
          <w:lang w:val="en-US"/>
        </w:rPr>
        <w:t xml:space="preserve"> and 25</w:t>
      </w:r>
      <w:r>
        <w:rPr>
          <w:rFonts w:ascii="Symbol" w:hAnsi="Symbol"/>
          <w:lang w:val="en-US"/>
        </w:rPr>
        <w:t></w:t>
      </w:r>
      <w:r>
        <w:rPr>
          <w:lang w:val="en-US"/>
        </w:rPr>
        <w:t xml:space="preserve"> above the horizontal plane.</w:t>
      </w:r>
    </w:p>
    <w:p w:rsidR="00B9359B" w:rsidRDefault="009A5268">
      <w:pPr>
        <w:rPr>
          <w:lang w:val="en-US"/>
        </w:rPr>
      </w:pPr>
      <w:r>
        <w:rPr>
          <w:lang w:val="en-US"/>
        </w:rPr>
        <w:t xml:space="preserve">Annex to Resolution </w:t>
      </w:r>
      <w:r>
        <w:rPr>
          <w:bCs/>
          <w:lang w:val="en-US"/>
        </w:rPr>
        <w:t>525 (WARC-92)</w:t>
      </w:r>
      <w:r>
        <w:rPr>
          <w:lang w:val="en-US"/>
        </w:rPr>
        <w:t xml:space="preserve"> Section IV – Interim procedure relating to BSS (HDTV) systems introduced after 1 April 2007.</w:t>
      </w:r>
    </w:p>
    <w:p w:rsidR="00B9359B" w:rsidRDefault="009A5268">
      <w:pPr>
        <w:rPr>
          <w:lang w:val="en-US"/>
        </w:rPr>
      </w:pPr>
      <w:r>
        <w:rPr>
          <w:lang w:val="en-US"/>
        </w:rPr>
        <w:t>For the purpose of introducing and operating BSS (HDTV) systems in the band 21.4-22.0 GHz in Regions 1 and 3 after 1 April 2007, and before a future conference has taken decisions on definitive procedure, the procedure in Sections B (Coordination procedure between space stations in the broadcasting-satellite service and space systems of other administrations) and C (Notification, examination and recording in the Master Register of assignments to space stations in the broadcasting-satellite service dealt with under this resolution) of Resolution </w:t>
      </w:r>
      <w:r>
        <w:rPr>
          <w:bCs/>
          <w:lang w:val="en-US"/>
        </w:rPr>
        <w:t>33</w:t>
      </w:r>
      <w:r>
        <w:rPr>
          <w:lang w:val="en-US"/>
        </w:rPr>
        <w:t xml:space="preserve"> (Rev.WRC</w:t>
      </w:r>
      <w:r>
        <w:rPr>
          <w:lang w:val="en-US"/>
        </w:rPr>
        <w:noBreakHyphen/>
        <w:t>97) shall be applied.</w:t>
      </w:r>
    </w:p>
    <w:p w:rsidR="00B9359B" w:rsidRDefault="009A5268">
      <w:pPr>
        <w:pStyle w:val="Heading2"/>
        <w:rPr>
          <w:lang w:val="en-US"/>
        </w:rPr>
      </w:pPr>
      <w:bookmarkStart w:id="338" w:name="_Toc51045738"/>
      <w:r>
        <w:rPr>
          <w:lang w:val="en-US"/>
        </w:rPr>
        <w:t>2.4</w:t>
      </w:r>
      <w:r>
        <w:rPr>
          <w:lang w:val="en-US"/>
        </w:rPr>
        <w:tab/>
        <w:t>Transmitter characteristics</w:t>
      </w:r>
      <w:bookmarkEnd w:id="338"/>
    </w:p>
    <w:p w:rsidR="00B9359B" w:rsidRDefault="009A5268">
      <w:pPr>
        <w:rPr>
          <w:lang w:val="en-US"/>
        </w:rPr>
      </w:pPr>
      <w:r>
        <w:rPr>
          <w:lang w:val="en-US"/>
        </w:rPr>
        <w:t>The following assumptions were made:</w:t>
      </w:r>
    </w:p>
    <w:p w:rsidR="00B9359B" w:rsidRDefault="009A5268">
      <w:pPr>
        <w:pStyle w:val="enumlev1"/>
        <w:rPr>
          <w:lang w:val="en-US"/>
        </w:rPr>
      </w:pPr>
      <w:r>
        <w:rPr>
          <w:lang w:val="en-US"/>
        </w:rPr>
        <w:t>–</w:t>
      </w:r>
      <w:r>
        <w:rPr>
          <w:lang w:val="en-US"/>
        </w:rPr>
        <w:tab/>
        <w:t>the antenna gain of the BSS system is the same in the BSS and in the RAS band;</w:t>
      </w:r>
    </w:p>
    <w:p w:rsidR="00B9359B" w:rsidRDefault="009A5268">
      <w:pPr>
        <w:pStyle w:val="enumlev1"/>
        <w:rPr>
          <w:lang w:val="en-US"/>
        </w:rPr>
      </w:pPr>
      <w:r>
        <w:rPr>
          <w:lang w:val="en-US"/>
        </w:rPr>
        <w:t>–</w:t>
      </w:r>
      <w:r>
        <w:rPr>
          <w:lang w:val="en-US"/>
        </w:rPr>
        <w:tab/>
        <w:t>maximum spfd/pfd levels are used for the unwanted emissions from BSS systems falling into the radio astronomy band.</w:t>
      </w:r>
    </w:p>
    <w:p w:rsidR="00B9359B" w:rsidRDefault="009A5268">
      <w:pPr>
        <w:rPr>
          <w:lang w:val="en-US"/>
        </w:rPr>
      </w:pPr>
      <w:r>
        <w:rPr>
          <w:lang w:val="en-US"/>
        </w:rPr>
        <w:t>These represent worst-case assumptions that could be refined through further studies.</w:t>
      </w:r>
    </w:p>
    <w:p w:rsidR="00B9359B" w:rsidRDefault="009A5268">
      <w:pPr>
        <w:rPr>
          <w:lang w:val="en-US"/>
        </w:rPr>
      </w:pPr>
      <w:r>
        <w:rPr>
          <w:lang w:val="en-US"/>
        </w:rPr>
        <w:t>In addition, this study was based on a single BSS system only because of lack of information for other systems by the time of this study. These characteristics could be refined through further studies.</w:t>
      </w:r>
    </w:p>
    <w:p w:rsidR="00B9359B" w:rsidRDefault="009A5268">
      <w:pPr>
        <w:pStyle w:val="Heading2"/>
        <w:rPr>
          <w:lang w:val="en-US"/>
        </w:rPr>
      </w:pPr>
      <w:bookmarkStart w:id="339" w:name="_Toc51045739"/>
      <w:r>
        <w:rPr>
          <w:lang w:val="en-US"/>
        </w:rPr>
        <w:t>2.5</w:t>
      </w:r>
      <w:r>
        <w:rPr>
          <w:lang w:val="en-US"/>
        </w:rPr>
        <w:tab/>
        <w:t>Operational characteristics</w:t>
      </w:r>
      <w:bookmarkEnd w:id="339"/>
    </w:p>
    <w:p w:rsidR="00B9359B" w:rsidRDefault="009A5268">
      <w:pPr>
        <w:rPr>
          <w:lang w:val="en-US"/>
        </w:rPr>
      </w:pPr>
      <w:r>
        <w:rPr>
          <w:lang w:val="en-US"/>
        </w:rPr>
        <w:t>This Annex only addresses the case of GSO systems. The case of non-GSO systems would have to be further studied.</w:t>
      </w:r>
    </w:p>
    <w:p w:rsidR="00B9359B" w:rsidRDefault="009A5268">
      <w:pPr>
        <w:pStyle w:val="Heading2"/>
        <w:rPr>
          <w:lang w:val="en-US"/>
        </w:rPr>
      </w:pPr>
      <w:bookmarkStart w:id="340" w:name="_Toc51045740"/>
      <w:r>
        <w:rPr>
          <w:lang w:val="en-US"/>
        </w:rPr>
        <w:t>2.6</w:t>
      </w:r>
      <w:r>
        <w:rPr>
          <w:lang w:val="en-US"/>
        </w:rPr>
        <w:tab/>
        <w:t>In-band transmit level</w:t>
      </w:r>
      <w:bookmarkEnd w:id="340"/>
    </w:p>
    <w:p w:rsidR="00B9359B" w:rsidRDefault="009A5268">
      <w:pPr>
        <w:rPr>
          <w:lang w:val="en-US"/>
        </w:rPr>
      </w:pPr>
      <w:r>
        <w:rPr>
          <w:lang w:val="en-US"/>
        </w:rPr>
        <w:t>See § 2.3.</w:t>
      </w:r>
    </w:p>
    <w:p w:rsidR="00B9359B" w:rsidRDefault="009A5268">
      <w:pPr>
        <w:pStyle w:val="Heading1"/>
        <w:rPr>
          <w:lang w:val="en-US"/>
        </w:rPr>
      </w:pPr>
      <w:bookmarkStart w:id="341" w:name="_Toc51045741"/>
      <w:r>
        <w:rPr>
          <w:lang w:val="en-US"/>
        </w:rPr>
        <w:br w:type="page"/>
        <w:t>3</w:t>
      </w:r>
      <w:r>
        <w:rPr>
          <w:lang w:val="en-US"/>
        </w:rPr>
        <w:tab/>
        <w:t>Compatibility threshold</w:t>
      </w:r>
      <w:bookmarkEnd w:id="341"/>
    </w:p>
    <w:p w:rsidR="00B9359B" w:rsidRDefault="009A5268">
      <w:pPr>
        <w:rPr>
          <w:lang w:val="en-US"/>
        </w:rPr>
      </w:pPr>
      <w:r>
        <w:rPr>
          <w:lang w:val="en-US"/>
        </w:rPr>
        <w:t>See § 1.3.</w:t>
      </w:r>
    </w:p>
    <w:p w:rsidR="00B9359B" w:rsidRDefault="009A5268">
      <w:pPr>
        <w:pStyle w:val="Heading1"/>
        <w:rPr>
          <w:i/>
          <w:lang w:val="en-US"/>
        </w:rPr>
      </w:pPr>
      <w:bookmarkStart w:id="342" w:name="_Toc51045742"/>
      <w:r>
        <w:rPr>
          <w:lang w:val="en-US"/>
        </w:rPr>
        <w:t>4</w:t>
      </w:r>
      <w:r>
        <w:rPr>
          <w:lang w:val="en-US"/>
        </w:rPr>
        <w:tab/>
        <w:t>Interference assessment</w:t>
      </w:r>
      <w:bookmarkEnd w:id="342"/>
    </w:p>
    <w:p w:rsidR="00B9359B" w:rsidRDefault="009A5268">
      <w:pPr>
        <w:pStyle w:val="Heading2"/>
        <w:rPr>
          <w:lang w:val="en-US"/>
        </w:rPr>
      </w:pPr>
      <w:bookmarkStart w:id="343" w:name="_Toc51045743"/>
      <w:r>
        <w:rPr>
          <w:lang w:val="en-US"/>
        </w:rPr>
        <w:t>4.1</w:t>
      </w:r>
      <w:r>
        <w:rPr>
          <w:lang w:val="en-US"/>
        </w:rPr>
        <w:tab/>
        <w:t>Methodology used to assess the interference level</w:t>
      </w:r>
      <w:bookmarkEnd w:id="343"/>
    </w:p>
    <w:p w:rsidR="00B9359B" w:rsidRDefault="009A5268">
      <w:pPr>
        <w:rPr>
          <w:lang w:val="en-US"/>
        </w:rPr>
      </w:pPr>
      <w:r>
        <w:rPr>
          <w:lang w:val="en-US"/>
        </w:rPr>
        <w:t>See § 2.4.</w:t>
      </w:r>
    </w:p>
    <w:p w:rsidR="00B9359B" w:rsidRDefault="009A5268">
      <w:pPr>
        <w:pStyle w:val="Heading2"/>
        <w:rPr>
          <w:lang w:val="en-US"/>
        </w:rPr>
      </w:pPr>
      <w:bookmarkStart w:id="344" w:name="_Toc51045744"/>
      <w:r>
        <w:rPr>
          <w:lang w:val="en-US"/>
        </w:rPr>
        <w:t>4.2</w:t>
      </w:r>
      <w:r>
        <w:rPr>
          <w:lang w:val="en-US"/>
        </w:rPr>
        <w:tab/>
        <w:t>Calculation of interference level</w:t>
      </w:r>
      <w:bookmarkEnd w:id="344"/>
    </w:p>
    <w:p w:rsidR="00B9359B" w:rsidRDefault="009A5268">
      <w:pPr>
        <w:rPr>
          <w:lang w:val="en-US"/>
        </w:rPr>
      </w:pPr>
      <w:r>
        <w:rPr>
          <w:lang w:val="en-US"/>
        </w:rPr>
        <w:t>Maximum levels of unwanted emissions from considered BSS systems operating in the band 21.4-22 GHz and falling into the 22.21-22.5 GHz radio astronomy band are given in Table 31.</w:t>
      </w:r>
    </w:p>
    <w:p w:rsidR="00B9359B" w:rsidRDefault="009A5268">
      <w:pPr>
        <w:pStyle w:val="TableNo"/>
        <w:rPr>
          <w:lang w:val="en-US"/>
        </w:rPr>
      </w:pPr>
      <w:r>
        <w:rPr>
          <w:lang w:val="en-US"/>
        </w:rPr>
        <w:t>TABLE  31</w:t>
      </w:r>
    </w:p>
    <w:p w:rsidR="00B9359B" w:rsidRDefault="009A5268">
      <w:pPr>
        <w:pStyle w:val="Tabletitle"/>
        <w:rPr>
          <w:lang w:val="en-US"/>
        </w:rPr>
      </w:pPr>
      <w:r>
        <w:rPr>
          <w:lang w:val="en-US"/>
        </w:rPr>
        <w:t>Maximum levels of unwanted emissions from BSS systems</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098"/>
        <w:gridCol w:w="3742"/>
        <w:gridCol w:w="3742"/>
      </w:tblGrid>
      <w:tr w:rsidR="00B9359B" w:rsidRPr="00D35B94">
        <w:trPr>
          <w:cantSplit/>
        </w:trPr>
        <w:tc>
          <w:tcPr>
            <w:tcW w:w="2098" w:type="dxa"/>
            <w:vAlign w:val="center"/>
          </w:tcPr>
          <w:p w:rsidR="00B9359B" w:rsidRDefault="009A5268">
            <w:pPr>
              <w:pStyle w:val="Tablehead"/>
              <w:framePr w:hSpace="181" w:wrap="notBeside" w:vAnchor="text" w:hAnchor="text" w:xAlign="center" w:y="1"/>
              <w:spacing w:before="120" w:after="120"/>
              <w:rPr>
                <w:lang w:val="en-US"/>
              </w:rPr>
            </w:pPr>
            <w:r>
              <w:rPr>
                <w:lang w:val="en-US"/>
              </w:rPr>
              <w:t>Band</w:t>
            </w:r>
            <w:r>
              <w:rPr>
                <w:lang w:val="en-US"/>
              </w:rPr>
              <w:br/>
              <w:t>(GHz)</w:t>
            </w:r>
          </w:p>
        </w:tc>
        <w:tc>
          <w:tcPr>
            <w:tcW w:w="3742" w:type="dxa"/>
            <w:vAlign w:val="center"/>
          </w:tcPr>
          <w:p w:rsidR="00B9359B" w:rsidRDefault="009A5268">
            <w:pPr>
              <w:pStyle w:val="Tablehead"/>
              <w:framePr w:hSpace="181" w:wrap="notBeside" w:vAnchor="text" w:hAnchor="text" w:xAlign="center" w:y="1"/>
              <w:spacing w:before="120" w:after="120"/>
              <w:rPr>
                <w:lang w:val="en-US"/>
              </w:rPr>
            </w:pPr>
            <w:r>
              <w:rPr>
                <w:lang w:val="en-US"/>
              </w:rPr>
              <w:t>Maximum unwanted narrow-band emission spfd level</w:t>
            </w:r>
            <w:r>
              <w:rPr>
                <w:lang w:val="en-US"/>
              </w:rPr>
              <w:br/>
              <w:t>(dB(W/(m</w:t>
            </w:r>
            <w:r>
              <w:rPr>
                <w:vertAlign w:val="superscript"/>
                <w:lang w:val="en-US"/>
              </w:rPr>
              <w:t>2</w:t>
            </w:r>
            <w:r>
              <w:rPr>
                <w:lang w:val="en-US"/>
              </w:rPr>
              <w:t xml:space="preserve"> · Hz)))</w:t>
            </w:r>
          </w:p>
        </w:tc>
        <w:tc>
          <w:tcPr>
            <w:tcW w:w="3742" w:type="dxa"/>
            <w:vAlign w:val="center"/>
          </w:tcPr>
          <w:p w:rsidR="00B9359B" w:rsidRDefault="009A5268">
            <w:pPr>
              <w:pStyle w:val="Tablehead"/>
              <w:framePr w:hSpace="181" w:wrap="notBeside" w:vAnchor="text" w:hAnchor="text" w:xAlign="center" w:y="1"/>
              <w:spacing w:before="120" w:after="120"/>
              <w:rPr>
                <w:lang w:val="en-US"/>
              </w:rPr>
            </w:pPr>
            <w:r>
              <w:rPr>
                <w:lang w:val="en-US"/>
              </w:rPr>
              <w:t xml:space="preserve">Maximum unwanted wideband </w:t>
            </w:r>
            <w:r>
              <w:rPr>
                <w:lang w:val="en-US"/>
              </w:rPr>
              <w:br/>
              <w:t>emission pfd level</w:t>
            </w:r>
            <w:r>
              <w:rPr>
                <w:lang w:val="en-US"/>
              </w:rPr>
              <w:br/>
              <w:t>(dB(W/(m</w:t>
            </w:r>
            <w:r>
              <w:rPr>
                <w:vertAlign w:val="superscript"/>
                <w:lang w:val="en-US"/>
              </w:rPr>
              <w:t>2</w:t>
            </w:r>
            <w:r>
              <w:rPr>
                <w:lang w:val="en-US"/>
              </w:rPr>
              <w:t xml:space="preserve"> · 290 MHz)))</w:t>
            </w:r>
          </w:p>
        </w:tc>
      </w:tr>
      <w:tr w:rsidR="00B9359B">
        <w:trPr>
          <w:cantSplit/>
        </w:trPr>
        <w:tc>
          <w:tcPr>
            <w:tcW w:w="2098" w:type="dxa"/>
          </w:tcPr>
          <w:p w:rsidR="00B9359B" w:rsidRDefault="009A5268">
            <w:pPr>
              <w:pStyle w:val="Tabletext"/>
              <w:framePr w:hSpace="181" w:wrap="notBeside" w:vAnchor="text" w:hAnchor="text" w:xAlign="center" w:y="1"/>
              <w:spacing w:before="100" w:after="100"/>
              <w:jc w:val="center"/>
              <w:rPr>
                <w:lang w:val="en-US"/>
              </w:rPr>
            </w:pPr>
            <w:r>
              <w:rPr>
                <w:lang w:val="en-US"/>
              </w:rPr>
              <w:t>22.21</w:t>
            </w:r>
            <w:r>
              <w:rPr>
                <w:lang w:val="en-US"/>
              </w:rPr>
              <w:noBreakHyphen/>
              <w:t>22.5</w:t>
            </w:r>
          </w:p>
        </w:tc>
        <w:tc>
          <w:tcPr>
            <w:tcW w:w="3742" w:type="dxa"/>
          </w:tcPr>
          <w:p w:rsidR="00B9359B" w:rsidRDefault="009A5268">
            <w:pPr>
              <w:pStyle w:val="Tabletext"/>
              <w:framePr w:hSpace="181" w:wrap="notBeside" w:vAnchor="text" w:hAnchor="text" w:xAlign="center" w:y="1"/>
              <w:spacing w:before="100" w:after="100"/>
              <w:jc w:val="center"/>
              <w:rPr>
                <w:lang w:val="en-US"/>
              </w:rPr>
            </w:pPr>
            <w:r>
              <w:sym w:font="Symbol" w:char="F02D"/>
            </w:r>
            <w:r>
              <w:rPr>
                <w:lang w:val="en-US"/>
              </w:rPr>
              <w:t>199</w:t>
            </w:r>
          </w:p>
        </w:tc>
        <w:tc>
          <w:tcPr>
            <w:tcW w:w="3742" w:type="dxa"/>
          </w:tcPr>
          <w:p w:rsidR="00B9359B" w:rsidRDefault="009A5268">
            <w:pPr>
              <w:pStyle w:val="Tabletext"/>
              <w:framePr w:hSpace="181" w:wrap="notBeside" w:vAnchor="text" w:hAnchor="text" w:xAlign="center" w:y="1"/>
              <w:spacing w:before="100" w:after="100"/>
              <w:jc w:val="center"/>
              <w:rPr>
                <w:lang w:val="en-US"/>
              </w:rPr>
            </w:pPr>
            <w:r>
              <w:sym w:font="Symbol" w:char="F02D"/>
            </w:r>
            <w:r>
              <w:rPr>
                <w:lang w:val="en-US"/>
              </w:rPr>
              <w:t>145</w:t>
            </w:r>
          </w:p>
        </w:tc>
      </w:tr>
    </w:tbl>
    <w:p w:rsidR="00B9359B" w:rsidRDefault="00B9359B">
      <w:pPr>
        <w:pStyle w:val="Tablefin"/>
      </w:pPr>
    </w:p>
    <w:p w:rsidR="00B9359B" w:rsidRDefault="009A5268">
      <w:pPr>
        <w:pStyle w:val="Heading2"/>
        <w:rPr>
          <w:i/>
          <w:lang w:val="en-US"/>
        </w:rPr>
      </w:pPr>
      <w:bookmarkStart w:id="345" w:name="_Toc51045745"/>
      <w:r>
        <w:rPr>
          <w:lang w:val="en-US"/>
        </w:rPr>
        <w:t>4.3</w:t>
      </w:r>
      <w:r>
        <w:rPr>
          <w:lang w:val="en-US"/>
        </w:rPr>
        <w:tab/>
        <w:t>Values achieved</w:t>
      </w:r>
      <w:bookmarkEnd w:id="345"/>
    </w:p>
    <w:p w:rsidR="00B9359B" w:rsidRDefault="009A5268">
      <w:pPr>
        <w:rPr>
          <w:lang w:val="en-US"/>
        </w:rPr>
      </w:pPr>
      <w:r>
        <w:rPr>
          <w:lang w:val="en-US"/>
        </w:rPr>
        <w:t>A comparison between the threshold pfd levels for the protection of the RAS in the 22.21-22.5 GHz band, as given in Recommendation ITU-R RA.769 (see § 1.3) and the unwanted emission levels produced by BSS systems provided in Table 31 lead to the results given in Table 32. Negative values in Table 32 indicate that the protection criteria for the RAS have not been met, by the listed margin in dB.</w:t>
      </w:r>
    </w:p>
    <w:p w:rsidR="00B9359B" w:rsidRDefault="009A5268">
      <w:pPr>
        <w:pStyle w:val="TableNo"/>
        <w:rPr>
          <w:lang w:val="en-US"/>
        </w:rPr>
      </w:pPr>
      <w:r>
        <w:rPr>
          <w:lang w:val="en-US"/>
        </w:rPr>
        <w:t>TABLE  32</w:t>
      </w:r>
    </w:p>
    <w:p w:rsidR="00B9359B" w:rsidRDefault="009A5268">
      <w:pPr>
        <w:pStyle w:val="Tabletitle"/>
        <w:rPr>
          <w:color w:val="000000"/>
          <w:lang w:val="en-US"/>
        </w:rPr>
      </w:pPr>
      <w:r>
        <w:rPr>
          <w:color w:val="000000"/>
          <w:lang w:val="en-US"/>
        </w:rPr>
        <w:t>Discrepancy between Recommendation ITU-R RA.769 RAS threshold pfd levels</w:t>
      </w:r>
      <w:r>
        <w:rPr>
          <w:color w:val="000000"/>
          <w:lang w:val="en-US"/>
        </w:rPr>
        <w:br/>
        <w:t>and BSS unwanted emission levels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74"/>
        <w:gridCol w:w="1755"/>
        <w:gridCol w:w="1755"/>
        <w:gridCol w:w="1755"/>
      </w:tblGrid>
      <w:tr w:rsidR="00B9359B">
        <w:trPr>
          <w:cantSplit/>
        </w:trPr>
        <w:tc>
          <w:tcPr>
            <w:tcW w:w="4536" w:type="dxa"/>
            <w:vAlign w:val="center"/>
          </w:tcPr>
          <w:p w:rsidR="00B9359B" w:rsidRDefault="009A5268">
            <w:pPr>
              <w:pStyle w:val="Tablehead"/>
              <w:framePr w:hSpace="181" w:wrap="notBeside" w:vAnchor="text" w:hAnchor="text" w:xAlign="center" w:y="1"/>
              <w:spacing w:before="120" w:after="120"/>
              <w:rPr>
                <w:lang w:val="en-US"/>
              </w:rPr>
            </w:pPr>
            <w:r>
              <w:rPr>
                <w:lang w:val="en-US"/>
              </w:rPr>
              <w:t>Type of observation</w:t>
            </w:r>
          </w:p>
        </w:tc>
        <w:tc>
          <w:tcPr>
            <w:tcW w:w="1814" w:type="dxa"/>
            <w:vAlign w:val="center"/>
          </w:tcPr>
          <w:p w:rsidR="00B9359B" w:rsidRDefault="009A5268">
            <w:pPr>
              <w:pStyle w:val="Tablehead"/>
              <w:framePr w:hSpace="181" w:wrap="notBeside" w:vAnchor="text" w:hAnchor="text" w:xAlign="center" w:y="1"/>
              <w:spacing w:before="120" w:after="120"/>
              <w:rPr>
                <w:lang w:val="en-US"/>
              </w:rPr>
            </w:pPr>
            <w:r>
              <w:rPr>
                <w:lang w:val="en-US"/>
              </w:rPr>
              <w:t>Continuum observations</w:t>
            </w:r>
          </w:p>
        </w:tc>
        <w:tc>
          <w:tcPr>
            <w:tcW w:w="1814" w:type="dxa"/>
            <w:vAlign w:val="center"/>
          </w:tcPr>
          <w:p w:rsidR="00B9359B" w:rsidRDefault="009A5268">
            <w:pPr>
              <w:pStyle w:val="Tablehead"/>
              <w:framePr w:hSpace="181" w:wrap="notBeside" w:vAnchor="text" w:hAnchor="text" w:xAlign="center" w:y="1"/>
              <w:spacing w:before="120" w:after="120"/>
              <w:rPr>
                <w:lang w:val="en-US"/>
              </w:rPr>
            </w:pPr>
            <w:r>
              <w:rPr>
                <w:lang w:val="en-US"/>
              </w:rPr>
              <w:t>Spectral line observations</w:t>
            </w:r>
          </w:p>
        </w:tc>
        <w:tc>
          <w:tcPr>
            <w:tcW w:w="1814" w:type="dxa"/>
            <w:vAlign w:val="center"/>
          </w:tcPr>
          <w:p w:rsidR="00B9359B" w:rsidRDefault="009A5268">
            <w:pPr>
              <w:pStyle w:val="Tablehead"/>
              <w:framePr w:hSpace="181" w:wrap="notBeside" w:vAnchor="text" w:hAnchor="text" w:xAlign="center" w:y="1"/>
              <w:spacing w:before="120" w:after="120"/>
              <w:rPr>
                <w:lang w:val="en-US"/>
              </w:rPr>
            </w:pPr>
            <w:r>
              <w:rPr>
                <w:lang w:val="en-US"/>
              </w:rPr>
              <w:t>VLBI observations</w:t>
            </w:r>
          </w:p>
        </w:tc>
      </w:tr>
      <w:tr w:rsidR="00B9359B">
        <w:trPr>
          <w:cantSplit/>
        </w:trPr>
        <w:tc>
          <w:tcPr>
            <w:tcW w:w="4536" w:type="dxa"/>
          </w:tcPr>
          <w:p w:rsidR="00B9359B" w:rsidRDefault="009A5268">
            <w:pPr>
              <w:pStyle w:val="Tabletext"/>
              <w:framePr w:hSpace="181" w:wrap="notBeside" w:vAnchor="text" w:hAnchor="text" w:xAlign="center" w:y="1"/>
              <w:spacing w:before="100" w:after="100"/>
              <w:jc w:val="left"/>
              <w:rPr>
                <w:lang w:val="en-US"/>
              </w:rPr>
            </w:pPr>
            <w:r>
              <w:rPr>
                <w:lang w:val="en-US"/>
              </w:rPr>
              <w:t>Discrepancy between Recommendation ITU</w:t>
            </w:r>
            <w:r>
              <w:rPr>
                <w:lang w:val="en-US"/>
              </w:rPr>
              <w:noBreakHyphen/>
              <w:t>R RA.769 RAS threshold pfd levels and BSS unwanted emission levels (dB)</w:t>
            </w:r>
          </w:p>
        </w:tc>
        <w:tc>
          <w:tcPr>
            <w:tcW w:w="1814" w:type="dxa"/>
            <w:vAlign w:val="center"/>
          </w:tcPr>
          <w:p w:rsidR="00B9359B" w:rsidRDefault="009A5268">
            <w:pPr>
              <w:pStyle w:val="Tabletext"/>
              <w:framePr w:hSpace="181" w:wrap="notBeside" w:vAnchor="text" w:hAnchor="text" w:xAlign="center" w:y="1"/>
              <w:spacing w:before="100" w:after="100"/>
              <w:jc w:val="center"/>
              <w:rPr>
                <w:lang w:val="en-US"/>
              </w:rPr>
            </w:pPr>
            <w:r>
              <w:sym w:font="Symbol" w:char="F02D"/>
            </w:r>
            <w:r>
              <w:rPr>
                <w:lang w:val="en-US"/>
              </w:rPr>
              <w:t>1</w:t>
            </w:r>
          </w:p>
        </w:tc>
        <w:tc>
          <w:tcPr>
            <w:tcW w:w="1814" w:type="dxa"/>
            <w:vAlign w:val="center"/>
          </w:tcPr>
          <w:p w:rsidR="00B9359B" w:rsidRDefault="009A5268">
            <w:pPr>
              <w:pStyle w:val="Tabletext"/>
              <w:framePr w:hSpace="181" w:wrap="notBeside" w:vAnchor="text" w:hAnchor="text" w:xAlign="center" w:y="1"/>
              <w:spacing w:before="100" w:after="100"/>
              <w:jc w:val="center"/>
              <w:rPr>
                <w:lang w:val="en-US"/>
              </w:rPr>
            </w:pPr>
            <w:r>
              <w:sym w:font="Symbol" w:char="F02D"/>
            </w:r>
            <w:r>
              <w:rPr>
                <w:lang w:val="en-US"/>
              </w:rPr>
              <w:t>17</w:t>
            </w:r>
          </w:p>
        </w:tc>
        <w:tc>
          <w:tcPr>
            <w:tcW w:w="1814" w:type="dxa"/>
            <w:vAlign w:val="center"/>
          </w:tcPr>
          <w:p w:rsidR="00B9359B" w:rsidRDefault="009A5268">
            <w:pPr>
              <w:pStyle w:val="Tabletext"/>
              <w:framePr w:hSpace="181" w:wrap="notBeside" w:vAnchor="text" w:hAnchor="text" w:xAlign="center" w:y="1"/>
              <w:spacing w:before="100" w:after="100"/>
              <w:jc w:val="center"/>
              <w:rPr>
                <w:lang w:val="en-US"/>
              </w:rPr>
            </w:pPr>
            <w:r>
              <w:rPr>
                <w:rFonts w:ascii="Symbol" w:hAnsi="Symbol"/>
                <w:lang w:val="en-US"/>
              </w:rPr>
              <w:t></w:t>
            </w:r>
            <w:r>
              <w:rPr>
                <w:lang w:val="en-US"/>
              </w:rPr>
              <w:t>15</w:t>
            </w:r>
          </w:p>
        </w:tc>
      </w:tr>
    </w:tbl>
    <w:p w:rsidR="00B9359B" w:rsidRDefault="00B9359B">
      <w:pPr>
        <w:pStyle w:val="Tablefin"/>
      </w:pPr>
    </w:p>
    <w:p w:rsidR="00B9359B" w:rsidRDefault="009A5268">
      <w:pPr>
        <w:rPr>
          <w:lang w:val="en-US"/>
        </w:rPr>
      </w:pPr>
      <w:r>
        <w:rPr>
          <w:lang w:val="en-US"/>
        </w:rPr>
        <w:br w:type="page"/>
        <w:t>From this calculation it follows that for single-dish continuum and single-dish spectral line observations, the threshold levels of Recommendation ITU-R RA.769 are not met, by margins of 1 dB and 17 dB respectively. In the case of single-dish spectral line observations, such a shortfall would effectively preclude any useful observations in the band. It should be noted however, that the estimated levels for the unwanted emissions from BSS systems are maximum spfd values.</w:t>
      </w:r>
    </w:p>
    <w:p w:rsidR="00B9359B" w:rsidRDefault="009A5268">
      <w:pPr>
        <w:rPr>
          <w:lang w:val="en-US"/>
        </w:rPr>
      </w:pPr>
      <w:r>
        <w:rPr>
          <w:lang w:val="en-US"/>
        </w:rPr>
        <w:t>If a more realistic calculations were to be made, including for example filter rejection, intermodu</w:t>
      </w:r>
      <w:r>
        <w:rPr>
          <w:lang w:val="en-US"/>
        </w:rPr>
        <w:softHyphen/>
        <w:t>lation product rejection and the actual gains of the transmitter amplifiers in the radio astronomy band, and taking atmospheric absorption into account, the discrepancy would diminish, at least to where the protection criteria for VLBI and single-dish continuum observations would be met.</w:t>
      </w:r>
    </w:p>
    <w:p w:rsidR="00B9359B" w:rsidRDefault="009A5268">
      <w:pPr>
        <w:pStyle w:val="Heading1"/>
        <w:rPr>
          <w:lang w:val="en-US"/>
        </w:rPr>
      </w:pPr>
      <w:bookmarkStart w:id="346" w:name="_Toc51045746"/>
      <w:r>
        <w:rPr>
          <w:lang w:val="en-US"/>
        </w:rPr>
        <w:t>5</w:t>
      </w:r>
      <w:r>
        <w:rPr>
          <w:lang w:val="en-US"/>
        </w:rPr>
        <w:tab/>
        <w:t>Mitigation methods</w:t>
      </w:r>
      <w:bookmarkEnd w:id="346"/>
    </w:p>
    <w:p w:rsidR="00B9359B" w:rsidRDefault="009A5268">
      <w:pPr>
        <w:pStyle w:val="Heading2"/>
        <w:rPr>
          <w:lang w:val="en-US"/>
        </w:rPr>
      </w:pPr>
      <w:bookmarkStart w:id="347" w:name="_Toc51045747"/>
      <w:r>
        <w:rPr>
          <w:lang w:val="en-US"/>
        </w:rPr>
        <w:t>5.1</w:t>
      </w:r>
      <w:r>
        <w:rPr>
          <w:lang w:val="en-US"/>
        </w:rPr>
        <w:tab/>
        <w:t>RAS</w:t>
      </w:r>
      <w:bookmarkEnd w:id="347"/>
    </w:p>
    <w:p w:rsidR="00B9359B" w:rsidRDefault="009A5268">
      <w:pPr>
        <w:rPr>
          <w:snapToGrid w:val="0"/>
          <w:lang w:val="en-US"/>
        </w:rPr>
      </w:pPr>
      <w:r>
        <w:rPr>
          <w:snapToGrid w:val="0"/>
          <w:lang w:val="en-US"/>
        </w:rPr>
        <w:t>There are various methods, including those described below, which might be considered to reduce unwanted emissions from the satellite transmitters at a radio telescope.</w:t>
      </w:r>
    </w:p>
    <w:p w:rsidR="00B9359B" w:rsidRDefault="009A5268">
      <w:pPr>
        <w:pStyle w:val="enumlev1"/>
        <w:ind w:left="0" w:firstLine="0"/>
        <w:rPr>
          <w:lang w:val="en-US"/>
        </w:rPr>
      </w:pPr>
      <w:r>
        <w:rPr>
          <w:i/>
          <w:lang w:val="en-US"/>
        </w:rPr>
        <w:t>Antenna sidelobe performance</w:t>
      </w:r>
      <w:r>
        <w:rPr>
          <w:lang w:val="en-US"/>
        </w:rPr>
        <w:t xml:space="preserve">:  The aperture illumination of radio telescopes is usually optimized for </w:t>
      </w:r>
      <w:r>
        <w:rPr>
          <w:i/>
          <w:iCs/>
          <w:lang w:val="en-US"/>
        </w:rPr>
        <w:t>G</w:t>
      </w:r>
      <w:r>
        <w:rPr>
          <w:lang w:val="en-US"/>
        </w:rPr>
        <w:t>/</w:t>
      </w:r>
      <w:r>
        <w:rPr>
          <w:i/>
          <w:iCs/>
          <w:lang w:val="en-US"/>
        </w:rPr>
        <w:t>T</w:t>
      </w:r>
      <w:r>
        <w:rPr>
          <w:lang w:val="en-US"/>
        </w:rPr>
        <w:t xml:space="preserve">, i.e. telescope gain divided by system temperature. This is to maximize the </w:t>
      </w:r>
      <w:r>
        <w:rPr>
          <w:i/>
          <w:iCs/>
          <w:lang w:val="en-US"/>
        </w:rPr>
        <w:t>S</w:t>
      </w:r>
      <w:r>
        <w:rPr>
          <w:lang w:val="en-US"/>
        </w:rPr>
        <w:t>/</w:t>
      </w:r>
      <w:r>
        <w:rPr>
          <w:i/>
          <w:iCs/>
          <w:lang w:val="en-US"/>
        </w:rPr>
        <w:t>N</w:t>
      </w:r>
      <w:r>
        <w:rPr>
          <w:lang w:val="en-US"/>
        </w:rPr>
        <w:t xml:space="preserve"> for point sources. A key element of this approach is to reduce ground radiation entering through far sidelobes. Inevitably this leads to some corresponding increase in the levels of near sidelobes. Experience has shown that the majority of radio telescopes meets the envelope sidelobe mask given in Recommendation ITU</w:t>
      </w:r>
      <w:r>
        <w:rPr>
          <w:lang w:val="en-US"/>
        </w:rPr>
        <w:noBreakHyphen/>
        <w:t>R SA.509 over most directions.</w:t>
      </w:r>
    </w:p>
    <w:p w:rsidR="00B9359B" w:rsidRDefault="009A5268">
      <w:pPr>
        <w:pStyle w:val="enumlev1"/>
        <w:ind w:left="0" w:firstLine="0"/>
        <w:rPr>
          <w:lang w:val="en-US"/>
        </w:rPr>
      </w:pPr>
      <w:r>
        <w:rPr>
          <w:i/>
          <w:lang w:val="en-US"/>
        </w:rPr>
        <w:t>Blanking in time and/or frequency</w:t>
      </w:r>
      <w:r>
        <w:rPr>
          <w:lang w:val="en-US"/>
        </w:rPr>
        <w:t>: This technique may be applied in cases where interference into the radio astronomy frequency band can be fully and unambiguously identified in time and/or frequency.</w:t>
      </w:r>
    </w:p>
    <w:p w:rsidR="00B9359B" w:rsidRDefault="009A5268">
      <w:pPr>
        <w:pStyle w:val="Heading2"/>
        <w:rPr>
          <w:lang w:val="en-US"/>
        </w:rPr>
      </w:pPr>
      <w:bookmarkStart w:id="348" w:name="_Toc51045748"/>
      <w:r>
        <w:rPr>
          <w:lang w:val="en-US"/>
        </w:rPr>
        <w:t>5.2</w:t>
      </w:r>
      <w:r>
        <w:rPr>
          <w:lang w:val="en-US"/>
        </w:rPr>
        <w:tab/>
        <w:t>BSS</w:t>
      </w:r>
      <w:bookmarkEnd w:id="348"/>
    </w:p>
    <w:p w:rsidR="00B9359B" w:rsidRDefault="009A5268">
      <w:pPr>
        <w:rPr>
          <w:lang w:val="en-US"/>
        </w:rPr>
      </w:pPr>
      <w:r>
        <w:rPr>
          <w:lang w:val="en-US"/>
        </w:rPr>
        <w:t>Filters: This would involve the active system implementing additional RF filtering.</w:t>
      </w:r>
    </w:p>
    <w:p w:rsidR="00B9359B" w:rsidRDefault="009A5268">
      <w:pPr>
        <w:pStyle w:val="Heading2"/>
        <w:rPr>
          <w:lang w:val="en-US"/>
        </w:rPr>
      </w:pPr>
      <w:bookmarkStart w:id="349" w:name="_Toc51045749"/>
      <w:r>
        <w:rPr>
          <w:lang w:val="en-US"/>
        </w:rPr>
        <w:t>5.3</w:t>
      </w:r>
      <w:r>
        <w:rPr>
          <w:lang w:val="en-US"/>
        </w:rPr>
        <w:tab/>
        <w:t>Potential impact</w:t>
      </w:r>
      <w:bookmarkEnd w:id="349"/>
    </w:p>
    <w:p w:rsidR="00B9359B" w:rsidRDefault="009A5268">
      <w:pPr>
        <w:pStyle w:val="Heading3"/>
        <w:rPr>
          <w:lang w:val="en-US"/>
        </w:rPr>
      </w:pPr>
      <w:bookmarkStart w:id="350" w:name="_Toc51045750"/>
      <w:r>
        <w:rPr>
          <w:lang w:val="en-US"/>
        </w:rPr>
        <w:t>5.3.1</w:t>
      </w:r>
      <w:r>
        <w:rPr>
          <w:lang w:val="en-US"/>
        </w:rPr>
        <w:tab/>
        <w:t>RAS</w:t>
      </w:r>
      <w:bookmarkEnd w:id="350"/>
    </w:p>
    <w:p w:rsidR="00B9359B" w:rsidRDefault="009A5268">
      <w:pPr>
        <w:rPr>
          <w:lang w:val="en-US"/>
        </w:rPr>
      </w:pPr>
      <w:r>
        <w:rPr>
          <w:i/>
          <w:lang w:val="en-US"/>
        </w:rPr>
        <w:t>Antenna sidelobe performance</w:t>
      </w:r>
      <w:r>
        <w:rPr>
          <w:lang w:val="en-US"/>
        </w:rPr>
        <w:t>:  Attempts to decrease the sensitivity of the radio astronomy antenna to unwanted emissions coming from space stations are likely to increase the sensitivity of the radio astronomy telescope to ground radiation, and possibly reduce its main beam gain. Both of these effects will reduce the telescope’s channel capacity of and thus lead to an increase of the total required integration time.</w:t>
      </w:r>
    </w:p>
    <w:p w:rsidR="00B9359B" w:rsidRDefault="009A5268">
      <w:pPr>
        <w:rPr>
          <w:lang w:val="en-US"/>
        </w:rPr>
      </w:pPr>
      <w:r>
        <w:rPr>
          <w:i/>
          <w:lang w:val="en-US"/>
        </w:rPr>
        <w:t>Blanking in time and/or frequency</w:t>
      </w:r>
      <w:r>
        <w:rPr>
          <w:lang w:val="en-US"/>
        </w:rPr>
        <w:t>:  Blanking involves a risk of compromising the integrity of the data and may lead to errors in their scientific interpretation. Blanking also causes a concomitant increase in the total integration time required to make the observation, this is equivalent to a loss in the channel capacity of the telescope.</w:t>
      </w:r>
    </w:p>
    <w:p w:rsidR="00B9359B" w:rsidRDefault="009A5268">
      <w:pPr>
        <w:pStyle w:val="Heading3"/>
        <w:rPr>
          <w:lang w:val="en-US"/>
        </w:rPr>
      </w:pPr>
      <w:bookmarkStart w:id="351" w:name="_Toc51045751"/>
      <w:r>
        <w:rPr>
          <w:lang w:val="en-US"/>
        </w:rPr>
        <w:t>5.3.2</w:t>
      </w:r>
      <w:r>
        <w:rPr>
          <w:lang w:val="en-US"/>
        </w:rPr>
        <w:tab/>
        <w:t>BSS</w:t>
      </w:r>
      <w:bookmarkEnd w:id="351"/>
    </w:p>
    <w:p w:rsidR="00B9359B" w:rsidRDefault="009A5268">
      <w:pPr>
        <w:rPr>
          <w:lang w:val="en-US"/>
        </w:rPr>
      </w:pPr>
      <w:r>
        <w:rPr>
          <w:lang w:val="en-US"/>
        </w:rPr>
        <w:t xml:space="preserve">For multi-beam satellite systems planned for operation in the frequency range of interest, the number of beams in the multi-beam system, or number of elements, multiplies the cost and weight implications of additional RF filtering in the phased-array antenna system. This is due to the fact </w:t>
      </w:r>
      <w:r>
        <w:rPr>
          <w:lang w:val="en-US"/>
        </w:rPr>
        <w:br w:type="page"/>
        <w:t>that in a multi-beam system the output amplifiers are generally not shared between beams, and so would have to be filtered separately. In a phased array type system the final stage of amplification takes place at the various elements of the array, each of which would have to be filtered separately. In this way the number of beams or number of elements in the phased array multiplies the weight impact of an individual filter in the system. The filter insertion loss could impact system capacity.</w:t>
      </w:r>
    </w:p>
    <w:p w:rsidR="00B9359B" w:rsidRDefault="009A5268">
      <w:pPr>
        <w:pStyle w:val="Heading1"/>
        <w:rPr>
          <w:lang w:val="en-US"/>
        </w:rPr>
      </w:pPr>
      <w:bookmarkStart w:id="352" w:name="_Toc51045752"/>
      <w:r>
        <w:rPr>
          <w:lang w:val="en-US"/>
        </w:rPr>
        <w:t>6</w:t>
      </w:r>
      <w:r>
        <w:rPr>
          <w:lang w:val="en-US"/>
        </w:rPr>
        <w:tab/>
        <w:t>Results of studies</w:t>
      </w:r>
      <w:bookmarkEnd w:id="352"/>
    </w:p>
    <w:p w:rsidR="00B9359B" w:rsidRDefault="009A5268">
      <w:pPr>
        <w:pStyle w:val="Heading2"/>
        <w:rPr>
          <w:lang w:val="en-US"/>
        </w:rPr>
      </w:pPr>
      <w:bookmarkStart w:id="353" w:name="_Toc51045753"/>
      <w:r>
        <w:rPr>
          <w:lang w:val="en-US"/>
        </w:rPr>
        <w:t>6.1</w:t>
      </w:r>
      <w:r>
        <w:rPr>
          <w:lang w:val="en-US"/>
        </w:rPr>
        <w:tab/>
        <w:t>Summary</w:t>
      </w:r>
      <w:bookmarkEnd w:id="353"/>
    </w:p>
    <w:p w:rsidR="00B9359B" w:rsidRDefault="009A5268">
      <w:pPr>
        <w:rPr>
          <w:lang w:val="en-US"/>
        </w:rPr>
      </w:pPr>
      <w:r>
        <w:rPr>
          <w:lang w:val="en-US"/>
        </w:rPr>
        <w:t>The calculation suggests that the protection criteria discussed in § 1.3 are met for VLBI observations, nearly met for single-dish continuum observations, and not met for spectral line observations. However, this is a worst-case calculation. Refinement of the calculation could lead to significant improvements in those margins. Since the short-fall in meeting the protection criteria for single-dish, continuum observations in only 1 dB in this worst case, which is already within reasonable measurement tolerances, any improvement would lead to the criteria for single-dish continuum observations being met. This consideration is reflected in the conclusions.</w:t>
      </w:r>
    </w:p>
    <w:p w:rsidR="00B9359B" w:rsidRDefault="009A5268">
      <w:pPr>
        <w:pStyle w:val="Heading2"/>
        <w:rPr>
          <w:lang w:val="en-US"/>
        </w:rPr>
      </w:pPr>
      <w:bookmarkStart w:id="354" w:name="_Toc51045754"/>
      <w:r>
        <w:rPr>
          <w:lang w:val="en-US"/>
        </w:rPr>
        <w:t>6.2</w:t>
      </w:r>
      <w:r>
        <w:rPr>
          <w:lang w:val="en-US"/>
        </w:rPr>
        <w:tab/>
        <w:t>Conclusion</w:t>
      </w:r>
      <w:bookmarkEnd w:id="354"/>
    </w:p>
    <w:p w:rsidR="00B9359B" w:rsidRDefault="009A5268">
      <w:pPr>
        <w:rPr>
          <w:lang w:val="en-US"/>
        </w:rPr>
      </w:pPr>
      <w:r>
        <w:rPr>
          <w:lang w:val="en-US"/>
        </w:rPr>
        <w:t>The protection criteria are met for VLBI and single-dish continuum observations, but not for single</w:t>
      </w:r>
      <w:r>
        <w:rPr>
          <w:lang w:val="en-US"/>
        </w:rPr>
        <w:noBreakHyphen/>
        <w:t>dish spectral line observations.</w:t>
      </w:r>
    </w:p>
    <w:p w:rsidR="00B9359B" w:rsidRDefault="00B9359B">
      <w:pPr>
        <w:rPr>
          <w:lang w:val="en-US"/>
        </w:rPr>
      </w:pPr>
    </w:p>
    <w:p w:rsidR="00B9359B" w:rsidRDefault="00B9359B">
      <w:pPr>
        <w:rPr>
          <w:lang w:val="en-US"/>
        </w:rPr>
      </w:pPr>
    </w:p>
    <w:p w:rsidR="00B9359B" w:rsidRDefault="009A5268">
      <w:pPr>
        <w:pStyle w:val="AnnexNoTitle"/>
        <w:rPr>
          <w:lang w:val="en-US"/>
        </w:rPr>
      </w:pPr>
      <w:r>
        <w:rPr>
          <w:lang w:val="en-US"/>
        </w:rPr>
        <w:t>Annex 13</w:t>
      </w:r>
      <w:r>
        <w:rPr>
          <w:lang w:val="en-US"/>
        </w:rPr>
        <w:br/>
      </w:r>
      <w:r>
        <w:rPr>
          <w:lang w:val="en-US"/>
        </w:rPr>
        <w:br/>
        <w:t>Compatibility analysis between the EESS (passive) in the 23.6-24 GHz band</w:t>
      </w:r>
      <w:r>
        <w:rPr>
          <w:lang w:val="en-US"/>
        </w:rPr>
        <w:br/>
        <w:t>and the ISS in the 22.55-23.55 GHz band</w:t>
      </w:r>
    </w:p>
    <w:p w:rsidR="00B9359B" w:rsidRDefault="009A5268">
      <w:pPr>
        <w:pStyle w:val="Heading1"/>
        <w:rPr>
          <w:lang w:val="en-US"/>
        </w:rPr>
      </w:pPr>
      <w:bookmarkStart w:id="355" w:name="_Toc51045755"/>
      <w:r>
        <w:rPr>
          <w:lang w:val="en-US"/>
        </w:rPr>
        <w:t>1</w:t>
      </w:r>
      <w:r>
        <w:rPr>
          <w:lang w:val="en-US"/>
        </w:rPr>
        <w:tab/>
        <w:t>EESS (passive)</w:t>
      </w:r>
      <w:bookmarkEnd w:id="355"/>
    </w:p>
    <w:p w:rsidR="00B9359B" w:rsidRDefault="009A5268">
      <w:pPr>
        <w:pStyle w:val="Heading2"/>
        <w:rPr>
          <w:lang w:val="en-US"/>
        </w:rPr>
      </w:pPr>
      <w:bookmarkStart w:id="356" w:name="_Toc51045756"/>
      <w:r>
        <w:rPr>
          <w:lang w:val="en-US"/>
        </w:rPr>
        <w:t>1.1</w:t>
      </w:r>
      <w:r>
        <w:rPr>
          <w:lang w:val="en-US"/>
        </w:rPr>
        <w:tab/>
        <w:t>Allocated band</w:t>
      </w:r>
      <w:bookmarkEnd w:id="356"/>
    </w:p>
    <w:p w:rsidR="00B9359B" w:rsidRDefault="009A5268">
      <w:pPr>
        <w:rPr>
          <w:lang w:val="en-US"/>
        </w:rPr>
      </w:pPr>
      <w:r>
        <w:rPr>
          <w:lang w:val="en-US"/>
        </w:rPr>
        <w:t>The band 23.6-24 GHz is allocated to the EESS (passive), RAS and SRS (passive). It should be noted that the band 23.6-24 GHz is covered by RR No. 5.340. The allocations adjacent to the 23.6-24 GHz passive band are shown in Table 33.</w:t>
      </w:r>
    </w:p>
    <w:p w:rsidR="00B9359B" w:rsidRDefault="009A5268">
      <w:pPr>
        <w:pStyle w:val="Heading2"/>
        <w:rPr>
          <w:lang w:val="en-US"/>
        </w:rPr>
      </w:pPr>
      <w:bookmarkStart w:id="357" w:name="_Toc51045757"/>
      <w:r>
        <w:rPr>
          <w:lang w:val="en-US"/>
        </w:rPr>
        <w:t>1.2</w:t>
      </w:r>
      <w:r>
        <w:rPr>
          <w:lang w:val="en-US"/>
        </w:rPr>
        <w:tab/>
        <w:t>Application</w:t>
      </w:r>
      <w:bookmarkEnd w:id="357"/>
    </w:p>
    <w:p w:rsidR="00B9359B" w:rsidRDefault="009A5268">
      <w:pPr>
        <w:rPr>
          <w:lang w:val="en-US"/>
        </w:rPr>
      </w:pPr>
      <w:r>
        <w:rPr>
          <w:lang w:val="en-US"/>
        </w:rPr>
        <w:t>Passive measurements around frequencies 23.8 GHz (total water vapour content), 31.5 GHz (window channel) and 90 GHz (liquid water) provide auxiliary data which play a predominant role in the retrieval process of temperature measurements performed in the O</w:t>
      </w:r>
      <w:r>
        <w:rPr>
          <w:vertAlign w:val="subscript"/>
          <w:lang w:val="en-US"/>
        </w:rPr>
        <w:t>2</w:t>
      </w:r>
      <w:r>
        <w:rPr>
          <w:lang w:val="en-US"/>
        </w:rPr>
        <w:t xml:space="preserve"> absorption spectrum. These auxiliary measurements must have radiometric and geometric performances and availability criteria consistent with those of the temperature measurements.</w:t>
      </w:r>
    </w:p>
    <w:p w:rsidR="00B9359B" w:rsidRDefault="009A5268">
      <w:pPr>
        <w:pStyle w:val="TableNo"/>
        <w:rPr>
          <w:lang w:val="en-US"/>
        </w:rPr>
      </w:pPr>
      <w:r>
        <w:rPr>
          <w:lang w:val="en-US"/>
        </w:rPr>
        <w:br w:type="page"/>
        <w:t>TABLE  33</w:t>
      </w:r>
    </w:p>
    <w:p w:rsidR="00B9359B" w:rsidRDefault="009A5268">
      <w:pPr>
        <w:pStyle w:val="Tabletitle"/>
        <w:rPr>
          <w:lang w:val="en-US"/>
        </w:rPr>
      </w:pPr>
      <w:r>
        <w:rPr>
          <w:lang w:val="en-US"/>
        </w:rPr>
        <w:t>Adjacent band allocations</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4"/>
        <w:gridCol w:w="1735"/>
        <w:gridCol w:w="8"/>
        <w:gridCol w:w="3113"/>
        <w:gridCol w:w="2551"/>
        <w:gridCol w:w="8"/>
      </w:tblGrid>
      <w:tr w:rsidR="00B9359B" w:rsidRPr="00D35B94">
        <w:trPr>
          <w:gridAfter w:val="1"/>
          <w:wAfter w:w="8" w:type="dxa"/>
        </w:trPr>
        <w:tc>
          <w:tcPr>
            <w:tcW w:w="3971" w:type="dxa"/>
            <w:gridSpan w:val="2"/>
            <w:vAlign w:val="center"/>
          </w:tcPr>
          <w:p w:rsidR="00B9359B" w:rsidRDefault="009A5268">
            <w:pPr>
              <w:pStyle w:val="Tablehead"/>
              <w:framePr w:hSpace="181" w:wrap="notBeside" w:vAnchor="text" w:hAnchor="text" w:xAlign="center" w:y="1"/>
              <w:rPr>
                <w:lang w:val="en-US"/>
              </w:rPr>
            </w:pPr>
            <w:r>
              <w:rPr>
                <w:lang w:val="en-US"/>
              </w:rPr>
              <w:t>Services in lower allocated bands</w:t>
            </w:r>
          </w:p>
        </w:tc>
        <w:tc>
          <w:tcPr>
            <w:tcW w:w="3118" w:type="dxa"/>
            <w:gridSpan w:val="2"/>
            <w:vAlign w:val="center"/>
          </w:tcPr>
          <w:p w:rsidR="00B9359B" w:rsidRDefault="009A5268">
            <w:pPr>
              <w:pStyle w:val="Tablehead"/>
              <w:framePr w:hSpace="181" w:wrap="notBeside" w:vAnchor="text" w:hAnchor="text" w:xAlign="center" w:y="1"/>
              <w:rPr>
                <w:lang w:val="en-US"/>
              </w:rPr>
            </w:pPr>
            <w:r>
              <w:rPr>
                <w:lang w:val="en-US"/>
              </w:rPr>
              <w:t>Passive band</w:t>
            </w:r>
          </w:p>
        </w:tc>
        <w:tc>
          <w:tcPr>
            <w:tcW w:w="2552" w:type="dxa"/>
            <w:vAlign w:val="center"/>
          </w:tcPr>
          <w:p w:rsidR="00B9359B" w:rsidRDefault="009A5268">
            <w:pPr>
              <w:pStyle w:val="Tablehead"/>
              <w:framePr w:hSpace="181" w:wrap="notBeside" w:vAnchor="text" w:hAnchor="text" w:xAlign="center" w:y="1"/>
              <w:rPr>
                <w:lang w:val="en-US"/>
              </w:rPr>
            </w:pPr>
            <w:r>
              <w:rPr>
                <w:lang w:val="en-US"/>
              </w:rPr>
              <w:t xml:space="preserve">Services in upper </w:t>
            </w:r>
            <w:r>
              <w:rPr>
                <w:lang w:val="en-US"/>
              </w:rPr>
              <w:br/>
              <w:t>allocated band</w:t>
            </w:r>
          </w:p>
        </w:tc>
      </w:tr>
      <w:tr w:rsidR="00B9359B">
        <w:tc>
          <w:tcPr>
            <w:tcW w:w="2235" w:type="dxa"/>
            <w:tcBorders>
              <w:top w:val="single" w:sz="6" w:space="0" w:color="auto"/>
              <w:left w:val="single" w:sz="6" w:space="0" w:color="auto"/>
              <w:bottom w:val="single" w:sz="6" w:space="0" w:color="auto"/>
              <w:right w:val="single" w:sz="6" w:space="0" w:color="auto"/>
            </w:tcBorders>
          </w:tcPr>
          <w:p w:rsidR="00B9359B" w:rsidRDefault="009A5268">
            <w:pPr>
              <w:pStyle w:val="Tablehead"/>
              <w:framePr w:hSpace="181" w:wrap="notBeside" w:vAnchor="text" w:hAnchor="text" w:xAlign="center" w:y="1"/>
              <w:tabs>
                <w:tab w:val="clear" w:pos="1701"/>
                <w:tab w:val="left" w:pos="1656"/>
              </w:tabs>
              <w:ind w:left="-45"/>
              <w:rPr>
                <w:lang w:val="en-US"/>
              </w:rPr>
            </w:pPr>
            <w:r>
              <w:rPr>
                <w:lang w:val="en-US"/>
              </w:rPr>
              <w:t>22.55</w:t>
            </w:r>
            <w:r>
              <w:rPr>
                <w:lang w:val="en-US"/>
              </w:rPr>
              <w:noBreakHyphen/>
              <w:t>23.55 GHz</w:t>
            </w:r>
          </w:p>
        </w:tc>
        <w:tc>
          <w:tcPr>
            <w:tcW w:w="1744" w:type="dxa"/>
            <w:gridSpan w:val="2"/>
            <w:tcBorders>
              <w:top w:val="single" w:sz="6" w:space="0" w:color="auto"/>
              <w:left w:val="single" w:sz="6" w:space="0" w:color="auto"/>
              <w:bottom w:val="single" w:sz="6" w:space="0" w:color="auto"/>
              <w:right w:val="single" w:sz="6" w:space="0" w:color="auto"/>
            </w:tcBorders>
          </w:tcPr>
          <w:p w:rsidR="00B9359B" w:rsidRDefault="009A5268">
            <w:pPr>
              <w:pStyle w:val="Tablehead"/>
              <w:framePr w:hSpace="181" w:wrap="notBeside" w:vAnchor="text" w:hAnchor="text" w:xAlign="center" w:y="1"/>
              <w:rPr>
                <w:lang w:val="en-US"/>
              </w:rPr>
            </w:pPr>
            <w:r>
              <w:rPr>
                <w:lang w:val="en-US"/>
              </w:rPr>
              <w:t>23.55</w:t>
            </w:r>
            <w:r>
              <w:rPr>
                <w:lang w:val="en-US"/>
              </w:rPr>
              <w:noBreakHyphen/>
              <w:t>23.6 GHz</w:t>
            </w:r>
          </w:p>
        </w:tc>
        <w:tc>
          <w:tcPr>
            <w:tcW w:w="3114" w:type="dxa"/>
            <w:tcBorders>
              <w:top w:val="single" w:sz="6" w:space="0" w:color="auto"/>
              <w:left w:val="single" w:sz="6" w:space="0" w:color="auto"/>
              <w:bottom w:val="single" w:sz="6" w:space="0" w:color="auto"/>
              <w:right w:val="single" w:sz="6" w:space="0" w:color="auto"/>
            </w:tcBorders>
          </w:tcPr>
          <w:p w:rsidR="00B9359B" w:rsidRDefault="009A5268">
            <w:pPr>
              <w:pStyle w:val="Tablehead"/>
              <w:framePr w:hSpace="181" w:wrap="notBeside" w:vAnchor="text" w:hAnchor="text" w:xAlign="center" w:y="1"/>
              <w:rPr>
                <w:lang w:val="en-US"/>
              </w:rPr>
            </w:pPr>
            <w:r>
              <w:rPr>
                <w:lang w:val="en-US"/>
              </w:rPr>
              <w:t>23.6</w:t>
            </w:r>
            <w:r>
              <w:rPr>
                <w:lang w:val="en-US"/>
              </w:rPr>
              <w:noBreakHyphen/>
              <w:t>24 GHz</w:t>
            </w:r>
          </w:p>
        </w:tc>
        <w:tc>
          <w:tcPr>
            <w:tcW w:w="2556" w:type="dxa"/>
            <w:gridSpan w:val="2"/>
            <w:tcBorders>
              <w:top w:val="single" w:sz="6" w:space="0" w:color="auto"/>
              <w:left w:val="single" w:sz="6" w:space="0" w:color="auto"/>
              <w:bottom w:val="single" w:sz="6" w:space="0" w:color="auto"/>
              <w:right w:val="single" w:sz="6" w:space="0" w:color="auto"/>
            </w:tcBorders>
          </w:tcPr>
          <w:p w:rsidR="00B9359B" w:rsidRDefault="009A5268">
            <w:pPr>
              <w:pStyle w:val="Tablehead"/>
              <w:framePr w:hSpace="181" w:wrap="notBeside" w:vAnchor="text" w:hAnchor="text" w:xAlign="center" w:y="1"/>
              <w:rPr>
                <w:lang w:val="en-US"/>
              </w:rPr>
            </w:pPr>
            <w:r>
              <w:rPr>
                <w:lang w:val="en-US"/>
              </w:rPr>
              <w:t>24</w:t>
            </w:r>
            <w:r>
              <w:rPr>
                <w:lang w:val="en-US"/>
              </w:rPr>
              <w:noBreakHyphen/>
              <w:t>24.05 GHz</w:t>
            </w:r>
          </w:p>
        </w:tc>
      </w:tr>
      <w:tr w:rsidR="00B9359B">
        <w:tc>
          <w:tcPr>
            <w:tcW w:w="2235" w:type="dxa"/>
            <w:tcBorders>
              <w:top w:val="single" w:sz="6" w:space="0" w:color="auto"/>
              <w:bottom w:val="single" w:sz="6" w:space="0" w:color="auto"/>
            </w:tcBorders>
          </w:tcPr>
          <w:p w:rsidR="00B9359B" w:rsidRDefault="009A5268">
            <w:pPr>
              <w:pStyle w:val="Tabletext"/>
              <w:framePr w:hSpace="181" w:wrap="notBeside" w:vAnchor="text" w:hAnchor="text" w:xAlign="center" w:y="1"/>
              <w:spacing w:before="60" w:after="60"/>
              <w:rPr>
                <w:lang w:val="en-US"/>
              </w:rPr>
            </w:pPr>
            <w:r>
              <w:rPr>
                <w:lang w:val="en-US"/>
              </w:rPr>
              <w:t>FIXED</w:t>
            </w:r>
          </w:p>
          <w:p w:rsidR="00B9359B" w:rsidRDefault="009A5268">
            <w:pPr>
              <w:pStyle w:val="Tabletext"/>
              <w:framePr w:hSpace="181" w:wrap="notBeside" w:vAnchor="text" w:hAnchor="text" w:xAlign="center" w:y="1"/>
              <w:spacing w:before="60" w:after="60"/>
              <w:rPr>
                <w:lang w:val="en-US"/>
              </w:rPr>
            </w:pPr>
            <w:r>
              <w:rPr>
                <w:lang w:val="en-US"/>
              </w:rPr>
              <w:t>INTER-SATELLITE</w:t>
            </w:r>
          </w:p>
          <w:p w:rsidR="00B9359B" w:rsidRDefault="009A5268">
            <w:pPr>
              <w:pStyle w:val="Tabletext"/>
              <w:framePr w:hSpace="181" w:wrap="notBeside" w:vAnchor="text" w:hAnchor="text" w:xAlign="center" w:y="1"/>
              <w:spacing w:before="60" w:after="60"/>
              <w:rPr>
                <w:lang w:val="en-US"/>
              </w:rPr>
            </w:pPr>
            <w:r>
              <w:rPr>
                <w:lang w:val="en-US"/>
              </w:rPr>
              <w:t>MOBILE</w:t>
            </w:r>
          </w:p>
          <w:p w:rsidR="00B9359B" w:rsidRDefault="009A5268">
            <w:pPr>
              <w:pStyle w:val="Tabletext"/>
              <w:framePr w:hSpace="181" w:wrap="notBeside" w:vAnchor="text" w:hAnchor="text" w:xAlign="center" w:y="1"/>
              <w:spacing w:before="60" w:after="60"/>
              <w:rPr>
                <w:lang w:val="en-US"/>
              </w:rPr>
            </w:pPr>
            <w:r>
              <w:rPr>
                <w:lang w:val="en-US"/>
              </w:rPr>
              <w:br/>
              <w:t>5.149</w:t>
            </w:r>
          </w:p>
        </w:tc>
        <w:tc>
          <w:tcPr>
            <w:tcW w:w="1744" w:type="dxa"/>
            <w:gridSpan w:val="2"/>
            <w:tcBorders>
              <w:top w:val="single" w:sz="6" w:space="0" w:color="auto"/>
              <w:bottom w:val="single" w:sz="6" w:space="0" w:color="auto"/>
            </w:tcBorders>
          </w:tcPr>
          <w:p w:rsidR="00B9359B" w:rsidRDefault="009A5268">
            <w:pPr>
              <w:pStyle w:val="Tabletext"/>
              <w:framePr w:hSpace="181" w:wrap="notBeside" w:vAnchor="text" w:hAnchor="text" w:xAlign="center" w:y="1"/>
              <w:spacing w:before="60" w:after="60"/>
              <w:rPr>
                <w:lang w:val="en-US"/>
              </w:rPr>
            </w:pPr>
            <w:r>
              <w:rPr>
                <w:lang w:val="en-US"/>
              </w:rPr>
              <w:t>FIXED</w:t>
            </w:r>
          </w:p>
          <w:p w:rsidR="00B9359B" w:rsidRDefault="009A5268">
            <w:pPr>
              <w:pStyle w:val="Tabletext"/>
              <w:framePr w:hSpace="181" w:wrap="notBeside" w:vAnchor="text" w:hAnchor="text" w:xAlign="center" w:y="1"/>
              <w:spacing w:before="60" w:after="60"/>
              <w:rPr>
                <w:lang w:val="en-US"/>
              </w:rPr>
            </w:pPr>
            <w:r>
              <w:rPr>
                <w:lang w:val="en-US"/>
              </w:rPr>
              <w:t>MOBILE</w:t>
            </w:r>
          </w:p>
        </w:tc>
        <w:tc>
          <w:tcPr>
            <w:tcW w:w="3114" w:type="dxa"/>
            <w:tcBorders>
              <w:top w:val="single" w:sz="6" w:space="0" w:color="auto"/>
              <w:bottom w:val="single" w:sz="6" w:space="0" w:color="auto"/>
            </w:tcBorders>
          </w:tcPr>
          <w:p w:rsidR="00B9359B" w:rsidRDefault="009A5268">
            <w:pPr>
              <w:pStyle w:val="Tabletext"/>
              <w:framePr w:hSpace="181" w:wrap="notBeside" w:vAnchor="text" w:hAnchor="text" w:xAlign="center" w:y="1"/>
              <w:spacing w:before="60" w:after="60"/>
              <w:jc w:val="left"/>
              <w:rPr>
                <w:lang w:val="en-US"/>
              </w:rPr>
            </w:pPr>
            <w:r>
              <w:rPr>
                <w:lang w:val="en-US"/>
              </w:rPr>
              <w:t>EARTH  EXPLORATION-SATELLITE (passive)</w:t>
            </w:r>
          </w:p>
          <w:p w:rsidR="00B9359B" w:rsidRDefault="009A5268">
            <w:pPr>
              <w:pStyle w:val="Tabletext"/>
              <w:framePr w:hSpace="181" w:wrap="notBeside" w:vAnchor="text" w:hAnchor="text" w:xAlign="center" w:y="1"/>
              <w:spacing w:before="60" w:after="60"/>
              <w:rPr>
                <w:lang w:val="en-US"/>
              </w:rPr>
            </w:pPr>
            <w:r>
              <w:rPr>
                <w:lang w:val="en-US"/>
              </w:rPr>
              <w:t>RADIO  ASTRONOMY</w:t>
            </w:r>
          </w:p>
          <w:p w:rsidR="00B9359B" w:rsidRDefault="009A5268">
            <w:pPr>
              <w:pStyle w:val="Tabletext"/>
              <w:framePr w:hSpace="181" w:wrap="notBeside" w:vAnchor="text" w:hAnchor="text" w:xAlign="center" w:y="1"/>
              <w:spacing w:before="60" w:after="60"/>
              <w:rPr>
                <w:lang w:val="en-US"/>
              </w:rPr>
            </w:pPr>
            <w:r>
              <w:rPr>
                <w:lang w:val="en-US"/>
              </w:rPr>
              <w:t>SPACE  RESEARCH (passive)</w:t>
            </w:r>
          </w:p>
          <w:p w:rsidR="00B9359B" w:rsidRDefault="009A5268">
            <w:pPr>
              <w:pStyle w:val="Tabletext"/>
              <w:framePr w:hSpace="181" w:wrap="notBeside" w:vAnchor="text" w:hAnchor="text" w:xAlign="center" w:y="1"/>
              <w:spacing w:before="60" w:after="60"/>
            </w:pPr>
            <w:r>
              <w:t>5.340</w:t>
            </w:r>
          </w:p>
        </w:tc>
        <w:tc>
          <w:tcPr>
            <w:tcW w:w="2556" w:type="dxa"/>
            <w:gridSpan w:val="2"/>
            <w:tcBorders>
              <w:top w:val="single" w:sz="6" w:space="0" w:color="auto"/>
              <w:bottom w:val="single" w:sz="6" w:space="0" w:color="auto"/>
            </w:tcBorders>
          </w:tcPr>
          <w:p w:rsidR="00B9359B" w:rsidRDefault="009A5268">
            <w:pPr>
              <w:pStyle w:val="Tabletext"/>
              <w:framePr w:hSpace="181" w:wrap="notBeside" w:vAnchor="text" w:hAnchor="text" w:xAlign="center" w:y="1"/>
              <w:spacing w:before="60" w:after="60"/>
            </w:pPr>
            <w:r>
              <w:t>AMATEUR</w:t>
            </w:r>
          </w:p>
          <w:p w:rsidR="00B9359B" w:rsidRDefault="009A5268">
            <w:pPr>
              <w:pStyle w:val="Tabletext"/>
              <w:framePr w:hSpace="181" w:wrap="notBeside" w:vAnchor="text" w:hAnchor="text" w:xAlign="center" w:y="1"/>
              <w:spacing w:before="60" w:after="60"/>
              <w:jc w:val="left"/>
            </w:pPr>
            <w:r>
              <w:t>AMATEUR-SATELLITE</w:t>
            </w:r>
          </w:p>
          <w:p w:rsidR="00B9359B" w:rsidRDefault="009A5268">
            <w:pPr>
              <w:pStyle w:val="Tabletext"/>
              <w:framePr w:hSpace="181" w:wrap="notBeside" w:vAnchor="text" w:hAnchor="text" w:xAlign="center" w:y="1"/>
              <w:spacing w:before="60" w:after="60"/>
            </w:pPr>
            <w:r>
              <w:br/>
            </w:r>
          </w:p>
          <w:p w:rsidR="00B9359B" w:rsidRDefault="009A5268">
            <w:pPr>
              <w:pStyle w:val="Tabletext"/>
              <w:framePr w:hSpace="181" w:wrap="notBeside" w:vAnchor="text" w:hAnchor="text" w:xAlign="center" w:y="1"/>
              <w:spacing w:before="60" w:after="60"/>
            </w:pPr>
            <w:r>
              <w:t>5.150</w:t>
            </w:r>
          </w:p>
        </w:tc>
      </w:tr>
      <w:tr w:rsidR="00B9359B" w:rsidRPr="00D35B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649" w:type="dxa"/>
            <w:gridSpan w:val="6"/>
          </w:tcPr>
          <w:p w:rsidR="00B9359B" w:rsidRDefault="009A5268">
            <w:pPr>
              <w:pStyle w:val="Tablelegend"/>
              <w:framePr w:hSpace="181" w:wrap="notBeside" w:vAnchor="text" w:hAnchor="text" w:xAlign="center" w:y="1"/>
              <w:rPr>
                <w:lang w:val="en-US"/>
              </w:rPr>
            </w:pPr>
            <w:r>
              <w:rPr>
                <w:lang w:val="en-US"/>
              </w:rPr>
              <w:t>NOTE 1 – The Inter-satellite allocation could be used for GSO and non-GSO systems.</w:t>
            </w:r>
          </w:p>
        </w:tc>
      </w:tr>
    </w:tbl>
    <w:p w:rsidR="00B9359B" w:rsidRDefault="00B9359B">
      <w:pPr>
        <w:pStyle w:val="Tablefin"/>
        <w:rPr>
          <w:lang w:val="en-US"/>
        </w:rPr>
      </w:pPr>
    </w:p>
    <w:p w:rsidR="00B9359B" w:rsidRDefault="009A5268">
      <w:pPr>
        <w:pStyle w:val="Heading2"/>
        <w:rPr>
          <w:lang w:val="en-US"/>
        </w:rPr>
      </w:pPr>
      <w:bookmarkStart w:id="358" w:name="_Toc51045758"/>
      <w:r>
        <w:rPr>
          <w:lang w:val="en-US"/>
        </w:rPr>
        <w:t>1.3</w:t>
      </w:r>
      <w:r>
        <w:rPr>
          <w:lang w:val="en-US"/>
        </w:rPr>
        <w:tab/>
        <w:t>Required protection criteria</w:t>
      </w:r>
      <w:bookmarkEnd w:id="358"/>
    </w:p>
    <w:p w:rsidR="00B9359B" w:rsidRDefault="009A5268">
      <w:pPr>
        <w:rPr>
          <w:lang w:val="en-US"/>
        </w:rPr>
      </w:pPr>
      <w:r>
        <w:rPr>
          <w:lang w:val="en-US"/>
        </w:rPr>
        <w:t>The following three Recommendations below establish the interference criteria for passive sensors:</w:t>
      </w:r>
    </w:p>
    <w:p w:rsidR="00B9359B" w:rsidRDefault="009A5268">
      <w:pPr>
        <w:pStyle w:val="enumlev1"/>
        <w:tabs>
          <w:tab w:val="clear" w:pos="794"/>
          <w:tab w:val="clear" w:pos="1191"/>
          <w:tab w:val="clear" w:pos="1588"/>
          <w:tab w:val="clear" w:pos="1985"/>
          <w:tab w:val="left" w:pos="3515"/>
        </w:tabs>
        <w:ind w:left="3515" w:hanging="3515"/>
        <w:rPr>
          <w:lang w:val="en-US"/>
        </w:rPr>
      </w:pPr>
      <w:r>
        <w:rPr>
          <w:lang w:val="en-US"/>
        </w:rPr>
        <w:t>Recommendation ITU-R SA.515 –</w:t>
      </w:r>
      <w:r>
        <w:rPr>
          <w:lang w:val="en-US"/>
        </w:rPr>
        <w:tab/>
        <w:t>Frequency bands and bandwidths used for satellite passive sensing.</w:t>
      </w:r>
    </w:p>
    <w:p w:rsidR="00B9359B" w:rsidRDefault="009A5268">
      <w:pPr>
        <w:pStyle w:val="enumlev1"/>
        <w:tabs>
          <w:tab w:val="clear" w:pos="794"/>
          <w:tab w:val="clear" w:pos="1191"/>
          <w:tab w:val="clear" w:pos="1588"/>
          <w:tab w:val="clear" w:pos="1985"/>
          <w:tab w:val="left" w:pos="3515"/>
        </w:tabs>
        <w:ind w:left="3515" w:hanging="3515"/>
        <w:rPr>
          <w:lang w:val="en-US"/>
        </w:rPr>
      </w:pPr>
      <w:r>
        <w:rPr>
          <w:lang w:val="en-US"/>
        </w:rPr>
        <w:t>Recommendation ITU-R SA.1028 –</w:t>
      </w:r>
      <w:r>
        <w:rPr>
          <w:lang w:val="en-US"/>
        </w:rPr>
        <w:tab/>
        <w:t>Performance criteria for satellite passive remote sensing.</w:t>
      </w:r>
    </w:p>
    <w:p w:rsidR="00B9359B" w:rsidRDefault="009A5268">
      <w:pPr>
        <w:pStyle w:val="enumlev1"/>
        <w:tabs>
          <w:tab w:val="clear" w:pos="794"/>
          <w:tab w:val="clear" w:pos="1191"/>
          <w:tab w:val="clear" w:pos="1588"/>
          <w:tab w:val="clear" w:pos="1985"/>
          <w:tab w:val="left" w:pos="3515"/>
        </w:tabs>
        <w:ind w:left="3515" w:hanging="3515"/>
        <w:rPr>
          <w:lang w:val="en-US"/>
        </w:rPr>
      </w:pPr>
      <w:r>
        <w:rPr>
          <w:lang w:val="en-US"/>
        </w:rPr>
        <w:t>Recommendation ITU-R SA.1029 –</w:t>
      </w:r>
      <w:r>
        <w:rPr>
          <w:lang w:val="en-US"/>
        </w:rPr>
        <w:tab/>
        <w:t>Interference criteria for satellite passive remote sensing.</w:t>
      </w:r>
    </w:p>
    <w:p w:rsidR="00B9359B" w:rsidRDefault="009A5268">
      <w:pPr>
        <w:rPr>
          <w:lang w:val="en-US"/>
        </w:rPr>
      </w:pPr>
      <w:r>
        <w:rPr>
          <w:lang w:val="en-US"/>
        </w:rPr>
        <w:t>The criteria, which are applicable to measurements, are the following:</w:t>
      </w:r>
    </w:p>
    <w:p w:rsidR="00B9359B" w:rsidRDefault="009A5268">
      <w:pPr>
        <w:pStyle w:val="enumlev1"/>
        <w:rPr>
          <w:lang w:val="en-US"/>
        </w:rPr>
      </w:pPr>
      <w:r>
        <w:rPr>
          <w:lang w:val="en-US"/>
        </w:rPr>
        <w:t>–</w:t>
      </w:r>
      <w:r>
        <w:rPr>
          <w:lang w:val="en-US"/>
        </w:rPr>
        <w:tab/>
        <w:t>the first criteria is the maximum interfering power received by the EESS sensor from all potentially interfering sources. The interference threshold is –163 dBW in a reference bandwidth of 100 MHz;</w:t>
      </w:r>
    </w:p>
    <w:p w:rsidR="00B9359B" w:rsidRDefault="009A5268">
      <w:pPr>
        <w:pStyle w:val="enumlev1"/>
        <w:rPr>
          <w:lang w:val="en-US"/>
        </w:rPr>
      </w:pPr>
      <w:r>
        <w:rPr>
          <w:lang w:val="en-US"/>
        </w:rPr>
        <w:t>–</w:t>
      </w:r>
      <w:r>
        <w:rPr>
          <w:lang w:val="en-US"/>
        </w:rPr>
        <w:tab/>
        <w:t>the second one is the maximum tolerable proportion of measurement cells lost due to interference.</w:t>
      </w:r>
    </w:p>
    <w:p w:rsidR="00B9359B" w:rsidRDefault="009A5268">
      <w:pPr>
        <w:rPr>
          <w:lang w:val="en-US"/>
        </w:rPr>
      </w:pPr>
      <w:r>
        <w:rPr>
          <w:lang w:val="en-US"/>
        </w:rPr>
        <w:t>For conically scanned instruments, the proportion of measurement cells lost due to the threshold being exceeded must not exceed 5% in cases where the interference events are random, and 1% when the interference events are systematic. Since the ISS is not random, the 1% criteria applies.</w:t>
      </w:r>
    </w:p>
    <w:p w:rsidR="00B9359B" w:rsidRDefault="009A5268">
      <w:pPr>
        <w:rPr>
          <w:lang w:val="en-US"/>
        </w:rPr>
      </w:pPr>
      <w:r>
        <w:rPr>
          <w:lang w:val="en-US"/>
        </w:rPr>
        <w:t>For nadir sounders used for three-dimensional measurements of atmospheric temperature or gas concentration, the proportion of measurement cells lost due to interference must not exceed 0.01%. This frequency of occurrence limit is valid for mechanically scanned and push-broom nadir sounders.</w:t>
      </w:r>
    </w:p>
    <w:p w:rsidR="00B9359B" w:rsidRDefault="009A5268">
      <w:pPr>
        <w:pStyle w:val="Heading2"/>
        <w:rPr>
          <w:lang w:val="en-US"/>
        </w:rPr>
      </w:pPr>
      <w:bookmarkStart w:id="359" w:name="_Toc51045759"/>
      <w:r>
        <w:rPr>
          <w:lang w:val="en-US"/>
        </w:rPr>
        <w:t>1.4</w:t>
      </w:r>
      <w:r>
        <w:rPr>
          <w:lang w:val="en-US"/>
        </w:rPr>
        <w:tab/>
        <w:t>Operational characteristics</w:t>
      </w:r>
      <w:bookmarkEnd w:id="359"/>
    </w:p>
    <w:p w:rsidR="00B9359B" w:rsidRDefault="009A5268">
      <w:pPr>
        <w:pStyle w:val="Heading3"/>
        <w:rPr>
          <w:lang w:val="en-US"/>
        </w:rPr>
      </w:pPr>
      <w:bookmarkStart w:id="360" w:name="_Toc51045760"/>
      <w:r>
        <w:rPr>
          <w:lang w:val="en-US"/>
        </w:rPr>
        <w:t>1.4.1</w:t>
      </w:r>
      <w:r>
        <w:rPr>
          <w:lang w:val="en-US"/>
        </w:rPr>
        <w:tab/>
        <w:t>Conically scanned instruments</w:t>
      </w:r>
      <w:bookmarkEnd w:id="360"/>
    </w:p>
    <w:p w:rsidR="00B9359B" w:rsidRDefault="009A5268">
      <w:pPr>
        <w:rPr>
          <w:lang w:val="en-US"/>
        </w:rPr>
      </w:pPr>
      <w:r>
        <w:rPr>
          <w:lang w:val="en-US"/>
        </w:rPr>
        <w:t>Main characteristics of typical mechanically scanned sensors are given in Table 34.</w:t>
      </w:r>
    </w:p>
    <w:p w:rsidR="00B9359B" w:rsidRDefault="009A5268">
      <w:pPr>
        <w:pStyle w:val="TableNo"/>
        <w:rPr>
          <w:lang w:val="en-US"/>
        </w:rPr>
      </w:pPr>
      <w:r>
        <w:rPr>
          <w:lang w:val="en-US"/>
        </w:rPr>
        <w:br w:type="page"/>
        <w:t>TABLE  34</w:t>
      </w:r>
    </w:p>
    <w:p w:rsidR="00B9359B" w:rsidRDefault="009A5268">
      <w:pPr>
        <w:pStyle w:val="Tabletitle"/>
        <w:rPr>
          <w:lang w:val="en-US"/>
        </w:rPr>
      </w:pPr>
      <w:r>
        <w:rPr>
          <w:lang w:val="en-US"/>
        </w:rPr>
        <w:t>Typical characteristics of conically scanned sensors</w:t>
      </w:r>
    </w:p>
    <w:tbl>
      <w:tblPr>
        <w:tblW w:w="0" w:type="auto"/>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A0" w:firstRow="1" w:lastRow="0" w:firstColumn="1" w:lastColumn="0" w:noHBand="0" w:noVBand="0"/>
      </w:tblPr>
      <w:tblGrid>
        <w:gridCol w:w="3402"/>
        <w:gridCol w:w="2098"/>
        <w:gridCol w:w="2098"/>
        <w:gridCol w:w="2098"/>
      </w:tblGrid>
      <w:tr w:rsidR="00B9359B">
        <w:trPr>
          <w:trHeight w:val="53"/>
        </w:trPr>
        <w:tc>
          <w:tcPr>
            <w:tcW w:w="3402" w:type="dxa"/>
          </w:tcPr>
          <w:p w:rsidR="00B9359B" w:rsidRDefault="009A5268">
            <w:pPr>
              <w:pStyle w:val="Tablehead"/>
              <w:framePr w:hSpace="181" w:wrap="notBeside" w:vAnchor="text" w:hAnchor="text" w:xAlign="center" w:y="1"/>
              <w:rPr>
                <w:lang w:val="es-ES"/>
              </w:rPr>
            </w:pPr>
            <w:r>
              <w:rPr>
                <w:lang w:val="es-ES"/>
              </w:rPr>
              <w:t>Channel 23.6</w:t>
            </w:r>
            <w:r>
              <w:rPr>
                <w:lang w:val="es-ES"/>
              </w:rPr>
              <w:noBreakHyphen/>
              <w:t>24 GHz</w:t>
            </w:r>
          </w:p>
        </w:tc>
        <w:tc>
          <w:tcPr>
            <w:tcW w:w="2098" w:type="dxa"/>
          </w:tcPr>
          <w:p w:rsidR="00B9359B" w:rsidRDefault="009A5268">
            <w:pPr>
              <w:pStyle w:val="Tablehead"/>
              <w:framePr w:hSpace="181" w:wrap="notBeside" w:vAnchor="text" w:hAnchor="text" w:xAlign="center" w:y="1"/>
              <w:rPr>
                <w:lang w:val="es-ES"/>
              </w:rPr>
            </w:pPr>
            <w:r>
              <w:rPr>
                <w:lang w:val="es-ES"/>
              </w:rPr>
              <w:t>MEGHA-TROPIC</w:t>
            </w:r>
          </w:p>
        </w:tc>
        <w:tc>
          <w:tcPr>
            <w:tcW w:w="2098" w:type="dxa"/>
          </w:tcPr>
          <w:p w:rsidR="00B9359B" w:rsidRDefault="009A5268">
            <w:pPr>
              <w:pStyle w:val="Tablehead"/>
              <w:framePr w:hSpace="181" w:wrap="notBeside" w:vAnchor="text" w:hAnchor="text" w:xAlign="center" w:y="1"/>
              <w:rPr>
                <w:lang w:val="es-ES"/>
              </w:rPr>
            </w:pPr>
            <w:r>
              <w:rPr>
                <w:lang w:val="es-ES"/>
              </w:rPr>
              <w:t>EOS-AMSR-E</w:t>
            </w:r>
          </w:p>
        </w:tc>
        <w:tc>
          <w:tcPr>
            <w:tcW w:w="2098" w:type="dxa"/>
          </w:tcPr>
          <w:p w:rsidR="00B9359B" w:rsidRDefault="009A5268">
            <w:pPr>
              <w:pStyle w:val="Tablehead"/>
              <w:framePr w:hSpace="181" w:wrap="notBeside" w:vAnchor="text" w:hAnchor="text" w:xAlign="center" w:y="1"/>
              <w:rPr>
                <w:lang w:val="es-ES"/>
              </w:rPr>
            </w:pPr>
            <w:r>
              <w:rPr>
                <w:rFonts w:hint="eastAsia"/>
                <w:lang w:val="es-ES"/>
              </w:rPr>
              <w:t>ADEOS-II</w:t>
            </w:r>
            <w:r>
              <w:rPr>
                <w:sz w:val="16"/>
                <w:lang w:val="es-ES"/>
              </w:rPr>
              <w:t xml:space="preserve">  </w:t>
            </w:r>
            <w:r>
              <w:rPr>
                <w:rFonts w:hint="eastAsia"/>
                <w:lang w:val="es-ES"/>
              </w:rPr>
              <w:t>AMSR</w:t>
            </w:r>
          </w:p>
        </w:tc>
      </w:tr>
      <w:tr w:rsidR="00B9359B">
        <w:tc>
          <w:tcPr>
            <w:tcW w:w="3402" w:type="dxa"/>
          </w:tcPr>
          <w:p w:rsidR="00B9359B" w:rsidRDefault="009A5268">
            <w:pPr>
              <w:pStyle w:val="Tabletext"/>
              <w:framePr w:hSpace="181" w:wrap="notBeside" w:vAnchor="text" w:hAnchor="text" w:xAlign="center" w:y="1"/>
              <w:spacing w:before="50" w:after="50"/>
              <w:jc w:val="left"/>
              <w:rPr>
                <w:lang w:val="en-US"/>
              </w:rPr>
            </w:pPr>
            <w:r>
              <w:rPr>
                <w:lang w:val="en-US"/>
              </w:rPr>
              <w:t>Channel bandwidth (MHz)</w:t>
            </w:r>
          </w:p>
        </w:tc>
        <w:tc>
          <w:tcPr>
            <w:tcW w:w="2098" w:type="dxa"/>
          </w:tcPr>
          <w:p w:rsidR="00B9359B" w:rsidRDefault="009A5268">
            <w:pPr>
              <w:pStyle w:val="Tabletext"/>
              <w:framePr w:hSpace="181" w:wrap="notBeside" w:vAnchor="text" w:hAnchor="text" w:xAlign="center" w:y="1"/>
              <w:spacing w:before="50" w:after="50"/>
              <w:jc w:val="center"/>
              <w:rPr>
                <w:lang w:val="en-US"/>
              </w:rPr>
            </w:pPr>
            <w:r>
              <w:rPr>
                <w:lang w:val="en-US"/>
              </w:rPr>
              <w:t>400</w:t>
            </w:r>
          </w:p>
        </w:tc>
        <w:tc>
          <w:tcPr>
            <w:tcW w:w="2098" w:type="dxa"/>
          </w:tcPr>
          <w:p w:rsidR="00B9359B" w:rsidRDefault="009A5268">
            <w:pPr>
              <w:pStyle w:val="Tabletext"/>
              <w:framePr w:hSpace="181" w:wrap="notBeside" w:vAnchor="text" w:hAnchor="text" w:xAlign="center" w:y="1"/>
              <w:spacing w:before="50" w:after="50"/>
              <w:jc w:val="center"/>
              <w:rPr>
                <w:lang w:val="en-US"/>
              </w:rPr>
            </w:pPr>
            <w:r>
              <w:rPr>
                <w:lang w:val="en-US"/>
              </w:rPr>
              <w:t>400</w:t>
            </w:r>
          </w:p>
        </w:tc>
        <w:tc>
          <w:tcPr>
            <w:tcW w:w="2098" w:type="dxa"/>
          </w:tcPr>
          <w:p w:rsidR="00B9359B" w:rsidRDefault="009A5268">
            <w:pPr>
              <w:pStyle w:val="Tabletext"/>
              <w:framePr w:hSpace="181" w:wrap="notBeside" w:vAnchor="text" w:hAnchor="text" w:xAlign="center" w:y="1"/>
              <w:spacing w:before="50" w:after="50"/>
              <w:jc w:val="center"/>
              <w:rPr>
                <w:lang w:val="en-US"/>
              </w:rPr>
            </w:pPr>
            <w:r>
              <w:rPr>
                <w:rFonts w:hint="eastAsia"/>
                <w:lang w:val="en-US"/>
              </w:rPr>
              <w:t>400</w:t>
            </w:r>
          </w:p>
        </w:tc>
      </w:tr>
      <w:tr w:rsidR="00B9359B">
        <w:tc>
          <w:tcPr>
            <w:tcW w:w="3402" w:type="dxa"/>
          </w:tcPr>
          <w:p w:rsidR="00B9359B" w:rsidRDefault="009A5268">
            <w:pPr>
              <w:pStyle w:val="Tabletext"/>
              <w:framePr w:hSpace="181" w:wrap="notBeside" w:vAnchor="text" w:hAnchor="text" w:xAlign="center" w:y="1"/>
              <w:spacing w:before="50" w:after="50"/>
              <w:jc w:val="left"/>
              <w:rPr>
                <w:lang w:val="en-US"/>
              </w:rPr>
            </w:pPr>
            <w:r>
              <w:rPr>
                <w:lang w:val="en-US"/>
              </w:rPr>
              <w:t>Pixel size across track (km)</w:t>
            </w:r>
          </w:p>
        </w:tc>
        <w:tc>
          <w:tcPr>
            <w:tcW w:w="2098" w:type="dxa"/>
          </w:tcPr>
          <w:p w:rsidR="00B9359B" w:rsidRDefault="009A5268">
            <w:pPr>
              <w:pStyle w:val="Tabletext"/>
              <w:framePr w:hSpace="181" w:wrap="notBeside" w:vAnchor="text" w:hAnchor="text" w:xAlign="center" w:y="1"/>
              <w:spacing w:before="50" w:after="50"/>
              <w:jc w:val="center"/>
              <w:rPr>
                <w:lang w:val="en-US"/>
              </w:rPr>
            </w:pPr>
            <w:r>
              <w:rPr>
                <w:lang w:val="en-US"/>
              </w:rPr>
              <w:t>35.4</w:t>
            </w:r>
          </w:p>
        </w:tc>
        <w:tc>
          <w:tcPr>
            <w:tcW w:w="2098" w:type="dxa"/>
          </w:tcPr>
          <w:p w:rsidR="00B9359B" w:rsidRDefault="009A5268">
            <w:pPr>
              <w:pStyle w:val="Tabletext"/>
              <w:framePr w:hSpace="181" w:wrap="notBeside" w:vAnchor="text" w:hAnchor="text" w:xAlign="center" w:y="1"/>
              <w:spacing w:before="50" w:after="50"/>
              <w:jc w:val="center"/>
              <w:rPr>
                <w:lang w:val="en-US"/>
              </w:rPr>
            </w:pPr>
            <w:r>
              <w:rPr>
                <w:lang w:val="en-US"/>
              </w:rPr>
              <w:t>17.6</w:t>
            </w:r>
          </w:p>
        </w:tc>
        <w:tc>
          <w:tcPr>
            <w:tcW w:w="2098" w:type="dxa"/>
          </w:tcPr>
          <w:p w:rsidR="00B9359B" w:rsidRDefault="009A5268">
            <w:pPr>
              <w:pStyle w:val="Tabletext"/>
              <w:framePr w:hSpace="181" w:wrap="notBeside" w:vAnchor="text" w:hAnchor="text" w:xAlign="center" w:y="1"/>
              <w:spacing w:before="50" w:after="50"/>
              <w:jc w:val="center"/>
              <w:rPr>
                <w:lang w:val="en-US"/>
              </w:rPr>
            </w:pPr>
            <w:r>
              <w:rPr>
                <w:rFonts w:hint="eastAsia"/>
                <w:lang w:val="en-US"/>
              </w:rPr>
              <w:t>16.6</w:t>
            </w:r>
          </w:p>
        </w:tc>
      </w:tr>
      <w:tr w:rsidR="00B9359B">
        <w:tc>
          <w:tcPr>
            <w:tcW w:w="3402" w:type="dxa"/>
          </w:tcPr>
          <w:p w:rsidR="00B9359B" w:rsidRDefault="009A5268">
            <w:pPr>
              <w:pStyle w:val="Tabletext"/>
              <w:framePr w:hSpace="181" w:wrap="notBeside" w:vAnchor="text" w:hAnchor="text" w:xAlign="center" w:y="1"/>
              <w:spacing w:before="50" w:after="50"/>
              <w:jc w:val="left"/>
              <w:rPr>
                <w:lang w:val="en-US"/>
              </w:rPr>
            </w:pPr>
            <w:r>
              <w:rPr>
                <w:lang w:val="en-US"/>
              </w:rPr>
              <w:t>Beam efficiency (%)</w:t>
            </w:r>
          </w:p>
        </w:tc>
        <w:tc>
          <w:tcPr>
            <w:tcW w:w="2098" w:type="dxa"/>
          </w:tcPr>
          <w:p w:rsidR="00B9359B" w:rsidRDefault="009A5268">
            <w:pPr>
              <w:pStyle w:val="Tabletext"/>
              <w:framePr w:hSpace="181" w:wrap="notBeside" w:vAnchor="text" w:hAnchor="text" w:xAlign="center" w:y="1"/>
              <w:spacing w:before="50" w:after="50"/>
              <w:jc w:val="center"/>
              <w:rPr>
                <w:lang w:val="en-US"/>
              </w:rPr>
            </w:pPr>
            <w:r>
              <w:rPr>
                <w:lang w:val="en-US"/>
              </w:rPr>
              <w:t>96</w:t>
            </w:r>
          </w:p>
        </w:tc>
        <w:tc>
          <w:tcPr>
            <w:tcW w:w="2098" w:type="dxa"/>
          </w:tcPr>
          <w:p w:rsidR="00B9359B" w:rsidRDefault="009A5268">
            <w:pPr>
              <w:pStyle w:val="Tabletext"/>
              <w:framePr w:hSpace="181" w:wrap="notBeside" w:vAnchor="text" w:hAnchor="text" w:xAlign="center" w:y="1"/>
              <w:spacing w:before="50" w:after="50"/>
              <w:jc w:val="center"/>
              <w:rPr>
                <w:lang w:val="en-US"/>
              </w:rPr>
            </w:pPr>
            <w:r>
              <w:rPr>
                <w:lang w:val="en-US"/>
              </w:rPr>
              <w:t>97</w:t>
            </w:r>
          </w:p>
        </w:tc>
        <w:tc>
          <w:tcPr>
            <w:tcW w:w="2098" w:type="dxa"/>
          </w:tcPr>
          <w:p w:rsidR="00B9359B" w:rsidRDefault="009A5268">
            <w:pPr>
              <w:pStyle w:val="Tabletext"/>
              <w:framePr w:hSpace="181" w:wrap="notBeside" w:vAnchor="text" w:hAnchor="text" w:xAlign="center" w:y="1"/>
              <w:spacing w:before="50" w:after="50"/>
              <w:jc w:val="center"/>
              <w:rPr>
                <w:lang w:val="en-US"/>
              </w:rPr>
            </w:pPr>
            <w:r>
              <w:rPr>
                <w:rFonts w:hint="eastAsia"/>
                <w:lang w:val="en-US"/>
              </w:rPr>
              <w:t>96</w:t>
            </w:r>
          </w:p>
        </w:tc>
      </w:tr>
      <w:tr w:rsidR="00B9359B">
        <w:tc>
          <w:tcPr>
            <w:tcW w:w="3402" w:type="dxa"/>
          </w:tcPr>
          <w:p w:rsidR="00B9359B" w:rsidRDefault="009A5268">
            <w:pPr>
              <w:pStyle w:val="Tabletext"/>
              <w:framePr w:hSpace="181" w:wrap="notBeside" w:vAnchor="text" w:hAnchor="text" w:xAlign="center" w:y="1"/>
              <w:spacing w:before="50" w:after="50"/>
              <w:jc w:val="left"/>
              <w:rPr>
                <w:lang w:val="en-US"/>
              </w:rPr>
            </w:pPr>
            <w:r>
              <w:rPr>
                <w:lang w:val="en-US"/>
              </w:rPr>
              <w:t xml:space="preserve">Incidence angle </w:t>
            </w:r>
            <w:r>
              <w:rPr>
                <w:i/>
                <w:iCs/>
                <w:lang w:val="en-US"/>
              </w:rPr>
              <w:t>i</w:t>
            </w:r>
            <w:r>
              <w:rPr>
                <w:lang w:val="en-US"/>
              </w:rPr>
              <w:t xml:space="preserve"> at footprint centre (degrees)</w:t>
            </w:r>
          </w:p>
        </w:tc>
        <w:tc>
          <w:tcPr>
            <w:tcW w:w="2098" w:type="dxa"/>
          </w:tcPr>
          <w:p w:rsidR="00B9359B" w:rsidRDefault="009A5268">
            <w:pPr>
              <w:pStyle w:val="Tabletext"/>
              <w:framePr w:hSpace="181" w:wrap="notBeside" w:vAnchor="text" w:hAnchor="text" w:xAlign="center" w:y="1"/>
              <w:spacing w:before="50" w:after="50"/>
              <w:jc w:val="center"/>
              <w:rPr>
                <w:lang w:val="en-US"/>
              </w:rPr>
            </w:pPr>
            <w:r>
              <w:rPr>
                <w:lang w:val="en-US"/>
              </w:rPr>
              <w:t>52.3</w:t>
            </w:r>
          </w:p>
        </w:tc>
        <w:tc>
          <w:tcPr>
            <w:tcW w:w="2098" w:type="dxa"/>
          </w:tcPr>
          <w:p w:rsidR="00B9359B" w:rsidRDefault="009A5268">
            <w:pPr>
              <w:pStyle w:val="Tabletext"/>
              <w:framePr w:hSpace="181" w:wrap="notBeside" w:vAnchor="text" w:hAnchor="text" w:xAlign="center" w:y="1"/>
              <w:spacing w:before="50" w:after="50"/>
              <w:jc w:val="center"/>
              <w:rPr>
                <w:lang w:val="en-US"/>
              </w:rPr>
            </w:pPr>
            <w:r>
              <w:rPr>
                <w:lang w:val="en-US"/>
              </w:rPr>
              <w:t>55</w:t>
            </w:r>
          </w:p>
        </w:tc>
        <w:tc>
          <w:tcPr>
            <w:tcW w:w="2098" w:type="dxa"/>
          </w:tcPr>
          <w:p w:rsidR="00B9359B" w:rsidRDefault="009A5268">
            <w:pPr>
              <w:pStyle w:val="Tabletext"/>
              <w:framePr w:hSpace="181" w:wrap="notBeside" w:vAnchor="text" w:hAnchor="text" w:xAlign="center" w:y="1"/>
              <w:spacing w:before="50" w:after="50"/>
              <w:jc w:val="center"/>
              <w:rPr>
                <w:lang w:val="en-US"/>
              </w:rPr>
            </w:pPr>
            <w:r>
              <w:rPr>
                <w:rFonts w:hint="eastAsia"/>
                <w:lang w:val="en-US"/>
              </w:rPr>
              <w:t>55</w:t>
            </w:r>
          </w:p>
        </w:tc>
      </w:tr>
      <w:tr w:rsidR="00B9359B">
        <w:tc>
          <w:tcPr>
            <w:tcW w:w="3402" w:type="dxa"/>
          </w:tcPr>
          <w:p w:rsidR="00B9359B" w:rsidRDefault="009A5268">
            <w:pPr>
              <w:pStyle w:val="Tabletext"/>
              <w:framePr w:hSpace="181" w:wrap="notBeside" w:vAnchor="text" w:hAnchor="text" w:xAlign="center" w:y="1"/>
              <w:spacing w:before="50" w:after="50"/>
              <w:jc w:val="left"/>
              <w:rPr>
                <w:lang w:val="en-US"/>
              </w:rPr>
            </w:pPr>
            <w:r>
              <w:rPr>
                <w:lang w:val="en-US"/>
              </w:rPr>
              <w:t>Altitude of the satellite (km)</w:t>
            </w:r>
          </w:p>
        </w:tc>
        <w:tc>
          <w:tcPr>
            <w:tcW w:w="2098" w:type="dxa"/>
          </w:tcPr>
          <w:p w:rsidR="00B9359B" w:rsidRDefault="009A5268">
            <w:pPr>
              <w:pStyle w:val="Tabletext"/>
              <w:framePr w:hSpace="181" w:wrap="notBeside" w:vAnchor="text" w:hAnchor="text" w:xAlign="center" w:y="1"/>
              <w:spacing w:before="50" w:after="50"/>
              <w:jc w:val="center"/>
              <w:rPr>
                <w:lang w:val="en-US"/>
              </w:rPr>
            </w:pPr>
            <w:r>
              <w:rPr>
                <w:lang w:val="en-US"/>
              </w:rPr>
              <w:t>817</w:t>
            </w:r>
          </w:p>
        </w:tc>
        <w:tc>
          <w:tcPr>
            <w:tcW w:w="2098" w:type="dxa"/>
          </w:tcPr>
          <w:p w:rsidR="00B9359B" w:rsidRDefault="009A5268">
            <w:pPr>
              <w:pStyle w:val="Tabletext"/>
              <w:framePr w:hSpace="181" w:wrap="notBeside" w:vAnchor="text" w:hAnchor="text" w:xAlign="center" w:y="1"/>
              <w:spacing w:before="50" w:after="50"/>
              <w:jc w:val="center"/>
              <w:rPr>
                <w:lang w:val="en-US"/>
              </w:rPr>
            </w:pPr>
            <w:r>
              <w:rPr>
                <w:lang w:val="en-US"/>
              </w:rPr>
              <w:t>705</w:t>
            </w:r>
          </w:p>
        </w:tc>
        <w:tc>
          <w:tcPr>
            <w:tcW w:w="2098" w:type="dxa"/>
          </w:tcPr>
          <w:p w:rsidR="00B9359B" w:rsidRDefault="009A5268">
            <w:pPr>
              <w:pStyle w:val="Tabletext"/>
              <w:framePr w:hSpace="181" w:wrap="notBeside" w:vAnchor="text" w:hAnchor="text" w:xAlign="center" w:y="1"/>
              <w:spacing w:before="50" w:after="50"/>
              <w:jc w:val="center"/>
              <w:rPr>
                <w:lang w:val="en-US"/>
              </w:rPr>
            </w:pPr>
            <w:r>
              <w:rPr>
                <w:rFonts w:hint="eastAsia"/>
                <w:lang w:val="en-US"/>
              </w:rPr>
              <w:t>803</w:t>
            </w:r>
          </w:p>
        </w:tc>
      </w:tr>
      <w:tr w:rsidR="00B9359B">
        <w:tc>
          <w:tcPr>
            <w:tcW w:w="3402" w:type="dxa"/>
          </w:tcPr>
          <w:p w:rsidR="00B9359B" w:rsidRDefault="009A5268">
            <w:pPr>
              <w:pStyle w:val="Tabletext"/>
              <w:framePr w:hSpace="181" w:wrap="notBeside" w:vAnchor="text" w:hAnchor="text" w:xAlign="center" w:y="1"/>
              <w:spacing w:before="50" w:after="50"/>
              <w:jc w:val="left"/>
              <w:rPr>
                <w:lang w:val="en-US"/>
              </w:rPr>
            </w:pPr>
            <w:r>
              <w:rPr>
                <w:lang w:val="en-US"/>
              </w:rPr>
              <w:t>Maximum antenna gain (dBi)</w:t>
            </w:r>
          </w:p>
        </w:tc>
        <w:tc>
          <w:tcPr>
            <w:tcW w:w="2098" w:type="dxa"/>
          </w:tcPr>
          <w:p w:rsidR="00B9359B" w:rsidRDefault="009A5268">
            <w:pPr>
              <w:pStyle w:val="Tabletext"/>
              <w:framePr w:hSpace="181" w:wrap="notBeside" w:vAnchor="text" w:hAnchor="text" w:xAlign="center" w:y="1"/>
              <w:spacing w:before="50" w:after="50"/>
              <w:jc w:val="center"/>
              <w:rPr>
                <w:lang w:val="en-US"/>
              </w:rPr>
            </w:pPr>
            <w:r>
              <w:rPr>
                <w:lang w:val="en-US"/>
              </w:rPr>
              <w:t>40</w:t>
            </w:r>
          </w:p>
        </w:tc>
        <w:tc>
          <w:tcPr>
            <w:tcW w:w="2098" w:type="dxa"/>
          </w:tcPr>
          <w:p w:rsidR="00B9359B" w:rsidRDefault="009A5268">
            <w:pPr>
              <w:pStyle w:val="Tabletext"/>
              <w:framePr w:hSpace="181" w:wrap="notBeside" w:vAnchor="text" w:hAnchor="text" w:xAlign="center" w:y="1"/>
              <w:spacing w:before="50" w:after="50"/>
              <w:jc w:val="center"/>
              <w:rPr>
                <w:lang w:val="en-US"/>
              </w:rPr>
            </w:pPr>
            <w:r>
              <w:rPr>
                <w:lang w:val="en-US"/>
              </w:rPr>
              <w:t xml:space="preserve">46 </w:t>
            </w:r>
          </w:p>
        </w:tc>
        <w:tc>
          <w:tcPr>
            <w:tcW w:w="2098" w:type="dxa"/>
          </w:tcPr>
          <w:p w:rsidR="00B9359B" w:rsidRDefault="009A5268">
            <w:pPr>
              <w:pStyle w:val="Tabletext"/>
              <w:framePr w:hSpace="181" w:wrap="notBeside" w:vAnchor="text" w:hAnchor="text" w:xAlign="center" w:y="1"/>
              <w:spacing w:before="50" w:after="50"/>
              <w:jc w:val="center"/>
              <w:rPr>
                <w:lang w:val="en-US"/>
              </w:rPr>
            </w:pPr>
            <w:r>
              <w:rPr>
                <w:rFonts w:hint="eastAsia"/>
                <w:lang w:val="en-US"/>
              </w:rPr>
              <w:t>48</w:t>
            </w:r>
          </w:p>
        </w:tc>
      </w:tr>
      <w:tr w:rsidR="00B9359B">
        <w:tc>
          <w:tcPr>
            <w:tcW w:w="3402" w:type="dxa"/>
          </w:tcPr>
          <w:p w:rsidR="00B9359B" w:rsidRDefault="009A5268">
            <w:pPr>
              <w:pStyle w:val="Tabletext"/>
              <w:framePr w:hSpace="181" w:wrap="notBeside" w:vAnchor="text" w:hAnchor="text" w:xAlign="center" w:y="1"/>
              <w:spacing w:before="50" w:after="50"/>
              <w:jc w:val="left"/>
              <w:rPr>
                <w:lang w:val="en-US"/>
              </w:rPr>
            </w:pPr>
            <w:r>
              <w:rPr>
                <w:lang w:val="en-US"/>
              </w:rPr>
              <w:t>Reflector diameter</w:t>
            </w:r>
          </w:p>
        </w:tc>
        <w:tc>
          <w:tcPr>
            <w:tcW w:w="2098" w:type="dxa"/>
          </w:tcPr>
          <w:p w:rsidR="00B9359B" w:rsidRDefault="009A5268">
            <w:pPr>
              <w:pStyle w:val="Tabletext"/>
              <w:framePr w:hSpace="181" w:wrap="notBeside" w:vAnchor="text" w:hAnchor="text" w:xAlign="center" w:y="1"/>
              <w:spacing w:before="50" w:after="50"/>
              <w:jc w:val="center"/>
              <w:rPr>
                <w:lang w:val="en-US"/>
              </w:rPr>
            </w:pPr>
            <w:r>
              <w:rPr>
                <w:lang w:val="en-US"/>
              </w:rPr>
              <w:t>650 mm</w:t>
            </w:r>
          </w:p>
        </w:tc>
        <w:tc>
          <w:tcPr>
            <w:tcW w:w="2098" w:type="dxa"/>
          </w:tcPr>
          <w:p w:rsidR="00B9359B" w:rsidRDefault="009A5268">
            <w:pPr>
              <w:pStyle w:val="Tabletext"/>
              <w:framePr w:hSpace="181" w:wrap="notBeside" w:vAnchor="text" w:hAnchor="text" w:xAlign="center" w:y="1"/>
              <w:spacing w:before="50" w:after="50"/>
              <w:jc w:val="center"/>
              <w:rPr>
                <w:lang w:val="en-US"/>
              </w:rPr>
            </w:pPr>
            <w:r>
              <w:rPr>
                <w:lang w:val="en-US"/>
              </w:rPr>
              <w:t>1.6 m</w:t>
            </w:r>
          </w:p>
        </w:tc>
        <w:tc>
          <w:tcPr>
            <w:tcW w:w="2098" w:type="dxa"/>
          </w:tcPr>
          <w:p w:rsidR="00B9359B" w:rsidRDefault="009A5268">
            <w:pPr>
              <w:pStyle w:val="Tabletext"/>
              <w:framePr w:hSpace="181" w:wrap="notBeside" w:vAnchor="text" w:hAnchor="text" w:xAlign="center" w:y="1"/>
              <w:spacing w:before="50" w:after="50"/>
              <w:jc w:val="center"/>
              <w:rPr>
                <w:lang w:val="en-US"/>
              </w:rPr>
            </w:pPr>
            <w:r>
              <w:rPr>
                <w:rFonts w:hint="eastAsia"/>
                <w:lang w:val="en-US"/>
              </w:rPr>
              <w:t>2.0 m</w:t>
            </w:r>
          </w:p>
        </w:tc>
      </w:tr>
      <w:tr w:rsidR="00B9359B">
        <w:tc>
          <w:tcPr>
            <w:tcW w:w="3402" w:type="dxa"/>
          </w:tcPr>
          <w:p w:rsidR="00B9359B" w:rsidRDefault="009A5268">
            <w:pPr>
              <w:pStyle w:val="Tabletext"/>
              <w:framePr w:hSpace="181" w:wrap="notBeside" w:vAnchor="text" w:hAnchor="text" w:xAlign="center" w:y="1"/>
              <w:spacing w:before="50" w:after="50"/>
              <w:jc w:val="left"/>
              <w:rPr>
                <w:lang w:val="en-US"/>
              </w:rPr>
            </w:pPr>
            <w:r>
              <w:rPr>
                <w:lang w:val="en-US"/>
              </w:rPr>
              <w:t xml:space="preserve">Half power antenna beamwidth </w:t>
            </w:r>
            <w:r>
              <w:rPr>
                <w:rFonts w:ascii="Symbol" w:hAnsi="Symbol"/>
              </w:rPr>
              <w:t></w:t>
            </w:r>
            <w:r>
              <w:rPr>
                <w:vertAlign w:val="subscript"/>
                <w:lang w:val="en-US"/>
              </w:rPr>
              <w:t>3 dB</w:t>
            </w:r>
            <w:r>
              <w:rPr>
                <w:lang w:val="en-US"/>
              </w:rPr>
              <w:t xml:space="preserve"> (degrees)</w:t>
            </w:r>
          </w:p>
        </w:tc>
        <w:tc>
          <w:tcPr>
            <w:tcW w:w="2098" w:type="dxa"/>
          </w:tcPr>
          <w:p w:rsidR="00B9359B" w:rsidRDefault="009A5268">
            <w:pPr>
              <w:pStyle w:val="Tabletext"/>
              <w:framePr w:hSpace="181" w:wrap="notBeside" w:vAnchor="text" w:hAnchor="text" w:xAlign="center" w:y="1"/>
              <w:spacing w:before="50" w:after="50"/>
              <w:jc w:val="center"/>
              <w:rPr>
                <w:lang w:val="en-US"/>
              </w:rPr>
            </w:pPr>
            <w:r>
              <w:rPr>
                <w:lang w:val="en-US"/>
              </w:rPr>
              <w:t>1.65</w:t>
            </w:r>
          </w:p>
        </w:tc>
        <w:tc>
          <w:tcPr>
            <w:tcW w:w="2098" w:type="dxa"/>
          </w:tcPr>
          <w:p w:rsidR="00B9359B" w:rsidRDefault="009A5268">
            <w:pPr>
              <w:pStyle w:val="Tabletext"/>
              <w:framePr w:hSpace="181" w:wrap="notBeside" w:vAnchor="text" w:hAnchor="text" w:xAlign="center" w:y="1"/>
              <w:spacing w:before="50" w:after="50"/>
              <w:jc w:val="center"/>
              <w:rPr>
                <w:lang w:val="en-US"/>
              </w:rPr>
            </w:pPr>
            <w:r>
              <w:rPr>
                <w:lang w:val="en-US"/>
              </w:rPr>
              <w:t>0.9</w:t>
            </w:r>
          </w:p>
        </w:tc>
        <w:tc>
          <w:tcPr>
            <w:tcW w:w="2098" w:type="dxa"/>
          </w:tcPr>
          <w:p w:rsidR="00B9359B" w:rsidRDefault="009A5268">
            <w:pPr>
              <w:pStyle w:val="Tabletext"/>
              <w:framePr w:hSpace="181" w:wrap="notBeside" w:vAnchor="text" w:hAnchor="text" w:xAlign="center" w:y="1"/>
              <w:spacing w:before="50" w:after="50"/>
              <w:jc w:val="center"/>
              <w:rPr>
                <w:lang w:val="en-US"/>
              </w:rPr>
            </w:pPr>
            <w:r>
              <w:rPr>
                <w:rFonts w:hint="eastAsia"/>
                <w:lang w:val="en-US"/>
              </w:rPr>
              <w:t>0.75</w:t>
            </w:r>
          </w:p>
        </w:tc>
      </w:tr>
    </w:tbl>
    <w:p w:rsidR="00B9359B" w:rsidRDefault="00B9359B">
      <w:pPr>
        <w:pStyle w:val="Tablefin"/>
      </w:pPr>
    </w:p>
    <w:p w:rsidR="00B9359B" w:rsidRDefault="009A5268">
      <w:pPr>
        <w:rPr>
          <w:lang w:val="en-US"/>
        </w:rPr>
      </w:pPr>
      <w:r>
        <w:rPr>
          <w:lang w:val="en-US"/>
        </w:rPr>
        <w:t>The pixel size across track is computed from the –3 dB contour of the antenna pattern taking into account the satellite altitude and the incidence angle of the beam boresight.</w:t>
      </w:r>
    </w:p>
    <w:p w:rsidR="00B9359B" w:rsidRDefault="009A5268">
      <w:pPr>
        <w:rPr>
          <w:lang w:val="en-US"/>
        </w:rPr>
      </w:pPr>
      <w:r>
        <w:rPr>
          <w:lang w:val="en-US"/>
        </w:rPr>
        <w:t xml:space="preserve">It is important to note that those kinds of EESS sensors are not nadir pointing satellites, but EESS sensors having a conical scan configuration centred on the nadir direction. It is important for the interpretation of surface measurements to maintain a constant ground incidence angle along the entire scan lines. The geometry of conically scanned instruments is described in Fig. 27. The rotation speed of the instrument (and not the satellite) is </w:t>
      </w:r>
      <w:r>
        <w:rPr>
          <w:i/>
          <w:iCs/>
          <w:lang w:val="en-US"/>
        </w:rPr>
        <w:t>w</w:t>
      </w:r>
      <w:r>
        <w:rPr>
          <w:lang w:val="en-US"/>
        </w:rPr>
        <w:t> </w:t>
      </w:r>
      <w:r>
        <w:rPr>
          <w:rFonts w:ascii="Symbol" w:hAnsi="Symbol"/>
          <w:lang w:val="en-US"/>
        </w:rPr>
        <w:t></w:t>
      </w:r>
      <w:r>
        <w:rPr>
          <w:lang w:val="en-US"/>
        </w:rPr>
        <w:t> 20 r.p.m. for MEGHA</w:t>
      </w:r>
      <w:r>
        <w:rPr>
          <w:lang w:val="en-US"/>
        </w:rPr>
        <w:noBreakHyphen/>
        <w:t>TROPIC and 40 r.p.m. for EOS AMSR</w:t>
      </w:r>
      <w:r>
        <w:rPr>
          <w:lang w:val="en-US"/>
        </w:rPr>
        <w:noBreakHyphen/>
        <w:t>E.</w:t>
      </w:r>
    </w:p>
    <w:p w:rsidR="00B9359B" w:rsidRDefault="009A5268">
      <w:pPr>
        <w:rPr>
          <w:lang w:val="en-US"/>
        </w:rPr>
      </w:pPr>
      <w:r>
        <w:rPr>
          <w:lang w:val="en-US"/>
        </w:rPr>
        <w:t>The configuration of conically scanned sensors is presented in Fig. 27.</w:t>
      </w:r>
    </w:p>
    <w:p w:rsidR="00B9359B" w:rsidRDefault="009A5268">
      <w:pPr>
        <w:spacing w:after="120"/>
        <w:rPr>
          <w:lang w:val="en-US"/>
        </w:rPr>
      </w:pPr>
      <w:r>
        <w:rPr>
          <w:lang w:val="en-US"/>
        </w:rPr>
        <w:t>The typical geometry characteristics of this kind of instruments are based on the following for an altitude of about 850 km:</w:t>
      </w:r>
    </w:p>
    <w:p w:rsidR="00B9359B" w:rsidRDefault="009A5268">
      <w:pPr>
        <w:pStyle w:val="enumlev1"/>
        <w:rPr>
          <w:lang w:val="en-US"/>
        </w:rPr>
      </w:pPr>
      <w:r>
        <w:rPr>
          <w:lang w:val="en-US"/>
        </w:rPr>
        <w:t>–</w:t>
      </w:r>
      <w:r>
        <w:rPr>
          <w:lang w:val="en-US"/>
        </w:rPr>
        <w:tab/>
        <w:t xml:space="preserve">the ground incidence angle </w:t>
      </w:r>
      <w:r>
        <w:rPr>
          <w:i/>
          <w:iCs/>
          <w:lang w:val="en-US"/>
        </w:rPr>
        <w:t>i</w:t>
      </w:r>
      <w:r>
        <w:rPr>
          <w:lang w:val="en-US"/>
        </w:rPr>
        <w:t xml:space="preserve"> at footprint centre is around 50</w:t>
      </w:r>
      <w:r>
        <w:rPr>
          <w:rFonts w:ascii="Symbol" w:hAnsi="Symbol"/>
          <w:lang w:val="en-US"/>
        </w:rPr>
        <w:t></w:t>
      </w:r>
      <w:r>
        <w:rPr>
          <w:lang w:val="en-US"/>
        </w:rPr>
        <w:t>;</w:t>
      </w:r>
    </w:p>
    <w:p w:rsidR="00B9359B" w:rsidRDefault="009A5268">
      <w:pPr>
        <w:pStyle w:val="enumlev1"/>
        <w:rPr>
          <w:lang w:val="en-US"/>
        </w:rPr>
      </w:pPr>
      <w:r>
        <w:rPr>
          <w:lang w:val="en-US"/>
        </w:rPr>
        <w:t>–</w:t>
      </w:r>
      <w:r>
        <w:rPr>
          <w:lang w:val="en-US"/>
        </w:rPr>
        <w:tab/>
        <w:t xml:space="preserve">the EESS offset angle to the nadir or half cone angle </w:t>
      </w:r>
      <w:r>
        <w:rPr>
          <w:rFonts w:ascii="Symbol" w:hAnsi="Symbol"/>
        </w:rPr>
        <w:t></w:t>
      </w:r>
      <w:r>
        <w:rPr>
          <w:lang w:val="en-US"/>
        </w:rPr>
        <w:t xml:space="preserve"> to the nadir direction is about 44</w:t>
      </w:r>
      <w:r>
        <w:rPr>
          <w:rFonts w:ascii="Symbol" w:hAnsi="Symbol"/>
          <w:lang w:val="en-US"/>
        </w:rPr>
        <w:t></w:t>
      </w:r>
      <w:r>
        <w:rPr>
          <w:lang w:val="en-US"/>
        </w:rPr>
        <w:t>;</w:t>
      </w:r>
    </w:p>
    <w:p w:rsidR="00B9359B" w:rsidRDefault="009A5268">
      <w:pPr>
        <w:pStyle w:val="enumlev1"/>
        <w:rPr>
          <w:lang w:val="en-US"/>
        </w:rPr>
      </w:pPr>
      <w:r>
        <w:rPr>
          <w:lang w:val="en-US"/>
        </w:rPr>
        <w:t>–</w:t>
      </w:r>
      <w:r>
        <w:rPr>
          <w:lang w:val="en-US"/>
        </w:rPr>
        <w:tab/>
        <w:t>the useful swath is about 1</w:t>
      </w:r>
      <w:r>
        <w:rPr>
          <w:rFonts w:ascii="Tms Rmn" w:hAnsi="Tms Rmn"/>
          <w:sz w:val="12"/>
          <w:lang w:val="en-US"/>
        </w:rPr>
        <w:t> </w:t>
      </w:r>
      <w:r>
        <w:rPr>
          <w:lang w:val="en-US"/>
        </w:rPr>
        <w:t>600 km; and</w:t>
      </w:r>
    </w:p>
    <w:p w:rsidR="00B9359B" w:rsidRDefault="009A5268">
      <w:pPr>
        <w:pStyle w:val="enumlev1"/>
        <w:rPr>
          <w:lang w:val="en-US"/>
        </w:rPr>
      </w:pPr>
      <w:r>
        <w:rPr>
          <w:lang w:val="en-US"/>
        </w:rPr>
        <w:t>–</w:t>
      </w:r>
      <w:r>
        <w:rPr>
          <w:lang w:val="en-US"/>
        </w:rPr>
        <w:tab/>
        <w:t>the scanning period is chosen in order to ensure full coverage and optimum integration time (radiometric resolution).</w:t>
      </w:r>
    </w:p>
    <w:p w:rsidR="00B9359B" w:rsidRDefault="009A5268">
      <w:pPr>
        <w:spacing w:after="120"/>
        <w:rPr>
          <w:lang w:val="en-US"/>
        </w:rPr>
      </w:pPr>
      <w:r>
        <w:rPr>
          <w:lang w:val="en-US"/>
        </w:rPr>
        <w:t>Figures 28 and 29 show the relative antenna gain pattern referred to the maximum gain of the MEGHA</w:t>
      </w:r>
      <w:r>
        <w:rPr>
          <w:lang w:val="en-US"/>
        </w:rPr>
        <w:noBreakHyphen/>
        <w:t>TROPIC satellite and of the EOS AMSR</w:t>
      </w:r>
      <w:r>
        <w:rPr>
          <w:lang w:val="en-US"/>
        </w:rPr>
        <w:noBreakHyphen/>
        <w:t>E, respectively.</w:t>
      </w:r>
    </w:p>
    <w:p w:rsidR="00B9359B" w:rsidRDefault="009A5268">
      <w:pPr>
        <w:pStyle w:val="Heading3"/>
        <w:rPr>
          <w:lang w:val="en-US"/>
        </w:rPr>
      </w:pPr>
      <w:bookmarkStart w:id="361" w:name="_Toc51045761"/>
      <w:r>
        <w:rPr>
          <w:lang w:val="en-US"/>
        </w:rPr>
        <w:t>1.4.2</w:t>
      </w:r>
      <w:r>
        <w:rPr>
          <w:lang w:val="en-US"/>
        </w:rPr>
        <w:tab/>
        <w:t>Operational characteristics of nadir instruments</w:t>
      </w:r>
      <w:bookmarkEnd w:id="361"/>
    </w:p>
    <w:p w:rsidR="00B9359B" w:rsidRDefault="009A5268">
      <w:pPr>
        <w:spacing w:after="120"/>
        <w:rPr>
          <w:lang w:val="en-US"/>
        </w:rPr>
      </w:pPr>
      <w:r>
        <w:rPr>
          <w:lang w:val="en-US"/>
        </w:rPr>
        <w:t>The nadir passive sensors retained for this analysis are the AMSU, a mechanically scanned instrument cross-track around nadir direction, and the push-broom vertical sounder. The push-broom is a purely static instrument with no moving parts. The major feature of the push</w:t>
      </w:r>
      <w:r>
        <w:rPr>
          <w:lang w:val="en-US"/>
        </w:rPr>
        <w:noBreakHyphen/>
        <w:t xml:space="preserve">broom is that all pixels in a scan-line are acquired simultaneously, and not sequentially as for mechanically scanned sensors (i.e. AMSU type), enabling to significantly increase the integration time and the </w:t>
      </w:r>
      <w:r>
        <w:rPr>
          <w:lang w:val="en-US"/>
        </w:rPr>
        <w:br w:type="page"/>
        <w:t>achievable radiometric resolution. The push-broom incorporates one fixed data acquisition antenna pointing in direction of nadir and one dedicated cold space calibration antenna. In the AMSU case, calibration is implemented once per scan revolution by the main antenna when looking in the cold space direction. The main characteristics of these sensors are given in Table 35.</w:t>
      </w:r>
    </w:p>
    <w:p w:rsidR="00B9359B" w:rsidRDefault="009A5268">
      <w:pPr>
        <w:pStyle w:val="FigureNo"/>
        <w:spacing w:before="240"/>
      </w:pPr>
      <w:r>
        <w:object w:dxaOrig="7974" w:dyaOrig="6970">
          <v:shape id="_x0000_i1063" type="#_x0000_t75" style="width:399.2pt;height:348.7pt" o:ole="">
            <v:imagedata r:id="rId63" o:title=""/>
          </v:shape>
          <o:OLEObject Type="Embed" ProgID="Designer.Drawing.7" ShapeID="_x0000_i1063" DrawAspect="Content" ObjectID="_1629894571" r:id="rId64"/>
        </w:object>
      </w:r>
    </w:p>
    <w:p w:rsidR="00B9359B" w:rsidRDefault="009A5268">
      <w:pPr>
        <w:pStyle w:val="FigureNo"/>
        <w:spacing w:before="360" w:after="0"/>
      </w:pPr>
      <w:r>
        <w:object w:dxaOrig="5929" w:dyaOrig="4925">
          <v:shape id="_x0000_i1064" type="#_x0000_t75" style="width:296.6pt;height:246.1pt" o:ole="">
            <v:imagedata r:id="rId65" o:title=""/>
          </v:shape>
          <o:OLEObject Type="Embed" ProgID="Designer.Drawing.7" ShapeID="_x0000_i1064" DrawAspect="Content" ObjectID="_1629894572" r:id="rId66"/>
        </w:object>
      </w:r>
    </w:p>
    <w:p w:rsidR="00B9359B" w:rsidRDefault="009A5268">
      <w:pPr>
        <w:pStyle w:val="FigureNo"/>
      </w:pPr>
      <w:r>
        <w:br w:type="page"/>
      </w:r>
      <w:r w:rsidR="00AB52AF">
        <w:pict>
          <v:shape id="_x0000_i1065" type="#_x0000_t75" style="width:296.6pt;height:246.65pt">
            <v:imagedata r:id="rId67" o:title=""/>
          </v:shape>
        </w:pict>
      </w:r>
    </w:p>
    <w:p w:rsidR="00B9359B" w:rsidRDefault="00B9359B">
      <w:pPr>
        <w:rPr>
          <w:lang w:val="en-US"/>
        </w:rPr>
      </w:pPr>
    </w:p>
    <w:p w:rsidR="00B9359B" w:rsidRDefault="00B9359B">
      <w:pPr>
        <w:rPr>
          <w:lang w:val="en-US"/>
        </w:rPr>
      </w:pPr>
    </w:p>
    <w:p w:rsidR="00B9359B" w:rsidRDefault="009A5268">
      <w:pPr>
        <w:pStyle w:val="TableNo"/>
        <w:rPr>
          <w:lang w:val="en-US"/>
        </w:rPr>
      </w:pPr>
      <w:r>
        <w:rPr>
          <w:lang w:val="en-US"/>
        </w:rPr>
        <w:t>TABLE  35</w:t>
      </w:r>
    </w:p>
    <w:p w:rsidR="00B9359B" w:rsidRDefault="009A5268">
      <w:pPr>
        <w:pStyle w:val="Tabletitle"/>
        <w:rPr>
          <w:lang w:val="en-US"/>
        </w:rPr>
      </w:pPr>
      <w:r>
        <w:rPr>
          <w:lang w:val="en-US"/>
        </w:rPr>
        <w:t>Nadir sensors’ characteristics</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5273"/>
        <w:gridCol w:w="2211"/>
        <w:gridCol w:w="2211"/>
      </w:tblGrid>
      <w:tr w:rsidR="00B9359B">
        <w:trPr>
          <w:trHeight w:val="320"/>
        </w:trPr>
        <w:tc>
          <w:tcPr>
            <w:tcW w:w="5273" w:type="dxa"/>
          </w:tcPr>
          <w:p w:rsidR="00B9359B" w:rsidRDefault="009A5268">
            <w:pPr>
              <w:pStyle w:val="Tablehead"/>
              <w:framePr w:hSpace="181" w:wrap="notBeside" w:vAnchor="text" w:hAnchor="text" w:xAlign="center" w:y="1"/>
              <w:rPr>
                <w:lang w:val="en-US"/>
              </w:rPr>
            </w:pPr>
            <w:r>
              <w:rPr>
                <w:lang w:val="en-US"/>
              </w:rPr>
              <w:t>Parameters</w:t>
            </w:r>
          </w:p>
        </w:tc>
        <w:tc>
          <w:tcPr>
            <w:tcW w:w="2211" w:type="dxa"/>
          </w:tcPr>
          <w:p w:rsidR="00B9359B" w:rsidRDefault="009A5268">
            <w:pPr>
              <w:pStyle w:val="Tablehead"/>
              <w:framePr w:hSpace="181" w:wrap="notBeside" w:vAnchor="text" w:hAnchor="text" w:xAlign="center" w:y="1"/>
              <w:rPr>
                <w:lang w:val="en-US"/>
              </w:rPr>
            </w:pPr>
            <w:r>
              <w:rPr>
                <w:lang w:val="en-US"/>
              </w:rPr>
              <w:t>AMSU</w:t>
            </w:r>
          </w:p>
        </w:tc>
        <w:tc>
          <w:tcPr>
            <w:tcW w:w="2211" w:type="dxa"/>
          </w:tcPr>
          <w:p w:rsidR="00B9359B" w:rsidRDefault="009A5268">
            <w:pPr>
              <w:pStyle w:val="Tablehead"/>
              <w:framePr w:hSpace="181" w:wrap="notBeside" w:vAnchor="text" w:hAnchor="text" w:xAlign="center" w:y="1"/>
              <w:rPr>
                <w:lang w:val="en-US"/>
              </w:rPr>
            </w:pPr>
            <w:r>
              <w:rPr>
                <w:lang w:val="en-US"/>
              </w:rPr>
              <w:t>Push-broom</w:t>
            </w:r>
          </w:p>
        </w:tc>
      </w:tr>
      <w:tr w:rsidR="00B9359B">
        <w:tc>
          <w:tcPr>
            <w:tcW w:w="5273" w:type="dxa"/>
          </w:tcPr>
          <w:p w:rsidR="00B9359B" w:rsidRDefault="009A5268">
            <w:pPr>
              <w:pStyle w:val="Tabletext"/>
              <w:framePr w:hSpace="181" w:wrap="notBeside" w:vAnchor="text" w:hAnchor="text" w:xAlign="center" w:y="1"/>
              <w:spacing w:before="50" w:after="50"/>
              <w:rPr>
                <w:lang w:val="en-US"/>
              </w:rPr>
            </w:pPr>
            <w:r>
              <w:rPr>
                <w:lang w:val="en-US"/>
              </w:rPr>
              <w:t>Main antenna gain (dBi)</w:t>
            </w:r>
          </w:p>
        </w:tc>
        <w:tc>
          <w:tcPr>
            <w:tcW w:w="2211" w:type="dxa"/>
          </w:tcPr>
          <w:p w:rsidR="00B9359B" w:rsidRDefault="009A5268">
            <w:pPr>
              <w:pStyle w:val="Tabletext"/>
              <w:framePr w:hSpace="181" w:wrap="notBeside" w:vAnchor="text" w:hAnchor="text" w:xAlign="center" w:y="1"/>
              <w:spacing w:before="50" w:after="50"/>
              <w:jc w:val="center"/>
              <w:rPr>
                <w:lang w:val="en-US"/>
              </w:rPr>
            </w:pPr>
            <w:r>
              <w:rPr>
                <w:lang w:val="en-US"/>
              </w:rPr>
              <w:t>36</w:t>
            </w:r>
          </w:p>
        </w:tc>
        <w:tc>
          <w:tcPr>
            <w:tcW w:w="2211" w:type="dxa"/>
          </w:tcPr>
          <w:p w:rsidR="00B9359B" w:rsidRDefault="009A5268">
            <w:pPr>
              <w:pStyle w:val="Tabletext"/>
              <w:framePr w:hSpace="181" w:wrap="notBeside" w:vAnchor="text" w:hAnchor="text" w:xAlign="center" w:y="1"/>
              <w:spacing w:before="50" w:after="50"/>
              <w:jc w:val="center"/>
              <w:rPr>
                <w:lang w:val="en-US"/>
              </w:rPr>
            </w:pPr>
            <w:r>
              <w:rPr>
                <w:lang w:val="en-US"/>
              </w:rPr>
              <w:t>45</w:t>
            </w:r>
          </w:p>
        </w:tc>
      </w:tr>
      <w:tr w:rsidR="00B9359B">
        <w:tc>
          <w:tcPr>
            <w:tcW w:w="5273" w:type="dxa"/>
          </w:tcPr>
          <w:p w:rsidR="00B9359B" w:rsidRDefault="009A5268">
            <w:pPr>
              <w:pStyle w:val="Tabletext"/>
              <w:framePr w:hSpace="181" w:wrap="notBeside" w:vAnchor="text" w:hAnchor="text" w:xAlign="center" w:y="1"/>
              <w:spacing w:before="50" w:after="50"/>
              <w:rPr>
                <w:lang w:val="en-US"/>
              </w:rPr>
            </w:pPr>
            <w:r>
              <w:rPr>
                <w:lang w:val="en-US"/>
              </w:rPr>
              <w:t>Antenna back lobe gain (dBi)</w:t>
            </w:r>
          </w:p>
        </w:tc>
        <w:tc>
          <w:tcPr>
            <w:tcW w:w="2211"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10</w:t>
            </w:r>
          </w:p>
        </w:tc>
        <w:tc>
          <w:tcPr>
            <w:tcW w:w="2211"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12</w:t>
            </w:r>
          </w:p>
        </w:tc>
      </w:tr>
      <w:tr w:rsidR="00B9359B">
        <w:tc>
          <w:tcPr>
            <w:tcW w:w="5273" w:type="dxa"/>
          </w:tcPr>
          <w:p w:rsidR="00B9359B" w:rsidRDefault="009A5268">
            <w:pPr>
              <w:pStyle w:val="Tabletext"/>
              <w:framePr w:hSpace="181" w:wrap="notBeside" w:vAnchor="text" w:hAnchor="text" w:xAlign="center" w:y="1"/>
              <w:spacing w:before="50" w:after="50"/>
              <w:rPr>
                <w:lang w:val="en-US"/>
              </w:rPr>
            </w:pPr>
            <w:r>
              <w:rPr>
                <w:lang w:val="en-US"/>
              </w:rPr>
              <w:t xml:space="preserve">IFOV at </w:t>
            </w:r>
            <w:r>
              <w:sym w:font="Symbol" w:char="F02D"/>
            </w:r>
            <w:r>
              <w:rPr>
                <w:lang w:val="en-US"/>
              </w:rPr>
              <w:t>3 dB (degrees)</w:t>
            </w:r>
          </w:p>
        </w:tc>
        <w:tc>
          <w:tcPr>
            <w:tcW w:w="2211" w:type="dxa"/>
          </w:tcPr>
          <w:p w:rsidR="00B9359B" w:rsidRDefault="009A5268">
            <w:pPr>
              <w:pStyle w:val="Tabletext"/>
              <w:framePr w:hSpace="181" w:wrap="notBeside" w:vAnchor="text" w:hAnchor="text" w:xAlign="center" w:y="1"/>
              <w:spacing w:before="50" w:after="50"/>
              <w:jc w:val="center"/>
              <w:rPr>
                <w:lang w:val="en-US"/>
              </w:rPr>
            </w:pPr>
            <w:r>
              <w:rPr>
                <w:lang w:val="en-US"/>
              </w:rPr>
              <w:t>3.3</w:t>
            </w:r>
          </w:p>
        </w:tc>
        <w:tc>
          <w:tcPr>
            <w:tcW w:w="2211" w:type="dxa"/>
          </w:tcPr>
          <w:p w:rsidR="00B9359B" w:rsidRDefault="009A5268">
            <w:pPr>
              <w:pStyle w:val="Tabletext"/>
              <w:framePr w:hSpace="181" w:wrap="notBeside" w:vAnchor="text" w:hAnchor="text" w:xAlign="center" w:y="1"/>
              <w:spacing w:before="50" w:after="50"/>
              <w:jc w:val="center"/>
              <w:rPr>
                <w:lang w:val="en-US"/>
              </w:rPr>
            </w:pPr>
            <w:r>
              <w:rPr>
                <w:lang w:val="en-US"/>
              </w:rPr>
              <w:t>1.1</w:t>
            </w:r>
          </w:p>
        </w:tc>
      </w:tr>
      <w:tr w:rsidR="00B9359B">
        <w:tc>
          <w:tcPr>
            <w:tcW w:w="5273" w:type="dxa"/>
          </w:tcPr>
          <w:p w:rsidR="00B9359B" w:rsidRDefault="009A5268">
            <w:pPr>
              <w:pStyle w:val="Tabletext"/>
              <w:framePr w:hSpace="181" w:wrap="notBeside" w:vAnchor="text" w:hAnchor="text" w:xAlign="center" w:y="1"/>
              <w:spacing w:before="50" w:after="50"/>
              <w:rPr>
                <w:lang w:val="en-US"/>
              </w:rPr>
            </w:pPr>
            <w:r>
              <w:rPr>
                <w:lang w:val="en-US"/>
              </w:rPr>
              <w:t>Total FOV cross/along-track (degrees)</w:t>
            </w:r>
          </w:p>
        </w:tc>
        <w:tc>
          <w:tcPr>
            <w:tcW w:w="2211" w:type="dxa"/>
          </w:tcPr>
          <w:p w:rsidR="00B9359B" w:rsidRDefault="009A5268">
            <w:pPr>
              <w:pStyle w:val="Tabletext"/>
              <w:framePr w:hSpace="181" w:wrap="notBeside" w:vAnchor="text" w:hAnchor="text" w:xAlign="center" w:y="1"/>
              <w:spacing w:before="50" w:after="50"/>
              <w:jc w:val="center"/>
              <w:rPr>
                <w:lang w:val="en-US"/>
              </w:rPr>
            </w:pPr>
            <w:r>
              <w:rPr>
                <w:lang w:val="en-US"/>
              </w:rPr>
              <w:t>100/3.3</w:t>
            </w:r>
          </w:p>
        </w:tc>
        <w:tc>
          <w:tcPr>
            <w:tcW w:w="2211" w:type="dxa"/>
          </w:tcPr>
          <w:p w:rsidR="00B9359B" w:rsidRDefault="009A5268">
            <w:pPr>
              <w:pStyle w:val="Tabletext"/>
              <w:framePr w:hSpace="181" w:wrap="notBeside" w:vAnchor="text" w:hAnchor="text" w:xAlign="center" w:y="1"/>
              <w:spacing w:before="50" w:after="50"/>
              <w:jc w:val="center"/>
              <w:rPr>
                <w:lang w:val="en-US"/>
              </w:rPr>
            </w:pPr>
            <w:r>
              <w:rPr>
                <w:lang w:val="en-US"/>
              </w:rPr>
              <w:t>100/1.1</w:t>
            </w:r>
          </w:p>
        </w:tc>
      </w:tr>
      <w:tr w:rsidR="00B9359B">
        <w:tc>
          <w:tcPr>
            <w:tcW w:w="5273" w:type="dxa"/>
          </w:tcPr>
          <w:p w:rsidR="00B9359B" w:rsidRDefault="009A5268">
            <w:pPr>
              <w:pStyle w:val="Tabletext"/>
              <w:framePr w:hSpace="181" w:wrap="notBeside" w:vAnchor="text" w:hAnchor="text" w:xAlign="center" w:y="1"/>
              <w:spacing w:before="50" w:after="50"/>
              <w:rPr>
                <w:lang w:val="en-US"/>
              </w:rPr>
            </w:pPr>
            <w:r>
              <w:rPr>
                <w:lang w:val="en-US"/>
              </w:rPr>
              <w:t>Pixel size (km)</w:t>
            </w:r>
          </w:p>
        </w:tc>
        <w:tc>
          <w:tcPr>
            <w:tcW w:w="2211" w:type="dxa"/>
          </w:tcPr>
          <w:p w:rsidR="00B9359B" w:rsidRDefault="009A5268">
            <w:pPr>
              <w:pStyle w:val="Tabletext"/>
              <w:framePr w:hSpace="181" w:wrap="notBeside" w:vAnchor="text" w:hAnchor="text" w:xAlign="center" w:y="1"/>
              <w:spacing w:before="50" w:after="50"/>
              <w:jc w:val="center"/>
              <w:rPr>
                <w:lang w:val="en-US"/>
              </w:rPr>
            </w:pPr>
            <w:r>
              <w:rPr>
                <w:lang w:val="en-US"/>
              </w:rPr>
              <w:t>45</w:t>
            </w:r>
          </w:p>
        </w:tc>
        <w:tc>
          <w:tcPr>
            <w:tcW w:w="2211" w:type="dxa"/>
          </w:tcPr>
          <w:p w:rsidR="00B9359B" w:rsidRDefault="009A5268">
            <w:pPr>
              <w:pStyle w:val="Tabletext"/>
              <w:framePr w:hSpace="181" w:wrap="notBeside" w:vAnchor="text" w:hAnchor="text" w:xAlign="center" w:y="1"/>
              <w:spacing w:before="50" w:after="50"/>
              <w:jc w:val="center"/>
              <w:rPr>
                <w:lang w:val="en-US"/>
              </w:rPr>
            </w:pPr>
            <w:r>
              <w:rPr>
                <w:lang w:val="en-US"/>
              </w:rPr>
              <w:t>16</w:t>
            </w:r>
          </w:p>
        </w:tc>
      </w:tr>
      <w:tr w:rsidR="00B9359B">
        <w:tc>
          <w:tcPr>
            <w:tcW w:w="5273" w:type="dxa"/>
          </w:tcPr>
          <w:p w:rsidR="00B9359B" w:rsidRDefault="009A5268">
            <w:pPr>
              <w:pStyle w:val="Tabletext"/>
              <w:framePr w:hSpace="181" w:wrap="notBeside" w:vAnchor="text" w:hAnchor="text" w:xAlign="center" w:y="1"/>
              <w:spacing w:before="50" w:after="50"/>
              <w:rPr>
                <w:lang w:val="en-US"/>
              </w:rPr>
            </w:pPr>
            <w:r>
              <w:rPr>
                <w:lang w:val="en-US"/>
              </w:rPr>
              <w:t>Number of pixels per line</w:t>
            </w:r>
          </w:p>
        </w:tc>
        <w:tc>
          <w:tcPr>
            <w:tcW w:w="2211" w:type="dxa"/>
          </w:tcPr>
          <w:p w:rsidR="00B9359B" w:rsidRDefault="009A5268">
            <w:pPr>
              <w:pStyle w:val="Tabletext"/>
              <w:framePr w:hSpace="181" w:wrap="notBeside" w:vAnchor="text" w:hAnchor="text" w:xAlign="center" w:y="1"/>
              <w:spacing w:before="50" w:after="50"/>
              <w:jc w:val="center"/>
              <w:rPr>
                <w:lang w:val="en-US"/>
              </w:rPr>
            </w:pPr>
            <w:r>
              <w:rPr>
                <w:lang w:val="en-US"/>
              </w:rPr>
              <w:t>30</w:t>
            </w:r>
          </w:p>
        </w:tc>
        <w:tc>
          <w:tcPr>
            <w:tcW w:w="2211" w:type="dxa"/>
          </w:tcPr>
          <w:p w:rsidR="00B9359B" w:rsidRDefault="009A5268">
            <w:pPr>
              <w:pStyle w:val="Tabletext"/>
              <w:framePr w:hSpace="181" w:wrap="notBeside" w:vAnchor="text" w:hAnchor="text" w:xAlign="center" w:y="1"/>
              <w:spacing w:before="50" w:after="50"/>
              <w:jc w:val="center"/>
              <w:rPr>
                <w:lang w:val="en-US"/>
              </w:rPr>
            </w:pPr>
            <w:r>
              <w:rPr>
                <w:lang w:val="en-US"/>
              </w:rPr>
              <w:t>90</w:t>
            </w:r>
          </w:p>
        </w:tc>
      </w:tr>
      <w:tr w:rsidR="00B9359B">
        <w:tc>
          <w:tcPr>
            <w:tcW w:w="5273" w:type="dxa"/>
          </w:tcPr>
          <w:p w:rsidR="00B9359B" w:rsidRDefault="009A5268">
            <w:pPr>
              <w:pStyle w:val="Tabletext"/>
              <w:framePr w:hSpace="181" w:wrap="notBeside" w:vAnchor="text" w:hAnchor="text" w:xAlign="center" w:y="1"/>
              <w:spacing w:before="50" w:after="50"/>
              <w:rPr>
                <w:lang w:val="en-US"/>
              </w:rPr>
            </w:pPr>
            <w:r>
              <w:rPr>
                <w:lang w:val="en-US"/>
              </w:rPr>
              <w:t>Radiometric resolution (K)</w:t>
            </w:r>
          </w:p>
        </w:tc>
        <w:tc>
          <w:tcPr>
            <w:tcW w:w="2211" w:type="dxa"/>
          </w:tcPr>
          <w:p w:rsidR="00B9359B" w:rsidRDefault="009A5268">
            <w:pPr>
              <w:pStyle w:val="Tabletext"/>
              <w:framePr w:hSpace="181" w:wrap="notBeside" w:vAnchor="text" w:hAnchor="text" w:xAlign="center" w:y="1"/>
              <w:spacing w:before="50" w:after="50"/>
              <w:jc w:val="center"/>
              <w:rPr>
                <w:lang w:val="en-US"/>
              </w:rPr>
            </w:pPr>
            <w:r>
              <w:rPr>
                <w:lang w:val="en-US"/>
              </w:rPr>
              <w:t>0.2</w:t>
            </w:r>
          </w:p>
        </w:tc>
        <w:tc>
          <w:tcPr>
            <w:tcW w:w="2211" w:type="dxa"/>
          </w:tcPr>
          <w:p w:rsidR="00B9359B" w:rsidRDefault="009A5268">
            <w:pPr>
              <w:pStyle w:val="Tabletext"/>
              <w:framePr w:hSpace="181" w:wrap="notBeside" w:vAnchor="text" w:hAnchor="text" w:xAlign="center" w:y="1"/>
              <w:spacing w:before="50" w:after="50"/>
              <w:jc w:val="center"/>
              <w:rPr>
                <w:lang w:val="en-US"/>
              </w:rPr>
            </w:pPr>
            <w:r>
              <w:rPr>
                <w:lang w:val="en-US"/>
              </w:rPr>
              <w:t>0.2</w:t>
            </w:r>
          </w:p>
        </w:tc>
      </w:tr>
      <w:tr w:rsidR="00B9359B">
        <w:tc>
          <w:tcPr>
            <w:tcW w:w="5273" w:type="dxa"/>
          </w:tcPr>
          <w:p w:rsidR="00B9359B" w:rsidRDefault="009A5268">
            <w:pPr>
              <w:pStyle w:val="Tabletext"/>
              <w:framePr w:hSpace="181" w:wrap="notBeside" w:vAnchor="text" w:hAnchor="text" w:xAlign="center" w:y="1"/>
              <w:spacing w:before="50" w:after="50"/>
              <w:rPr>
                <w:lang w:val="en-US"/>
              </w:rPr>
            </w:pPr>
            <w:r>
              <w:rPr>
                <w:lang w:val="en-US"/>
              </w:rPr>
              <w:t>Interference threshold density (dB(W/100 MHz))</w:t>
            </w:r>
          </w:p>
        </w:tc>
        <w:tc>
          <w:tcPr>
            <w:tcW w:w="2211"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163</w:t>
            </w:r>
          </w:p>
        </w:tc>
        <w:tc>
          <w:tcPr>
            <w:tcW w:w="2211"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163</w:t>
            </w:r>
          </w:p>
        </w:tc>
      </w:tr>
      <w:tr w:rsidR="00B9359B">
        <w:tc>
          <w:tcPr>
            <w:tcW w:w="5273" w:type="dxa"/>
          </w:tcPr>
          <w:p w:rsidR="00B9359B" w:rsidRDefault="009A5268">
            <w:pPr>
              <w:pStyle w:val="Tabletext"/>
              <w:framePr w:hSpace="181" w:wrap="notBeside" w:vAnchor="text" w:hAnchor="text" w:xAlign="center" w:y="1"/>
              <w:spacing w:before="50" w:after="50"/>
              <w:rPr>
                <w:lang w:val="en-US"/>
              </w:rPr>
            </w:pPr>
            <w:r>
              <w:rPr>
                <w:lang w:val="en-US"/>
              </w:rPr>
              <w:t>Sensor altitude (km)</w:t>
            </w:r>
          </w:p>
        </w:tc>
        <w:tc>
          <w:tcPr>
            <w:tcW w:w="2211" w:type="dxa"/>
          </w:tcPr>
          <w:p w:rsidR="00B9359B" w:rsidRDefault="009A5268">
            <w:pPr>
              <w:pStyle w:val="Tabletext"/>
              <w:framePr w:hSpace="181" w:wrap="notBeside" w:vAnchor="text" w:hAnchor="text" w:xAlign="center" w:y="1"/>
              <w:spacing w:before="50" w:after="50"/>
              <w:jc w:val="center"/>
              <w:rPr>
                <w:lang w:val="en-US"/>
              </w:rPr>
            </w:pPr>
            <w:r>
              <w:rPr>
                <w:lang w:val="en-US"/>
              </w:rPr>
              <w:t>850</w:t>
            </w:r>
          </w:p>
        </w:tc>
        <w:tc>
          <w:tcPr>
            <w:tcW w:w="2211" w:type="dxa"/>
          </w:tcPr>
          <w:p w:rsidR="00B9359B" w:rsidRDefault="009A5268">
            <w:pPr>
              <w:pStyle w:val="Tabletext"/>
              <w:framePr w:hSpace="181" w:wrap="notBeside" w:vAnchor="text" w:hAnchor="text" w:xAlign="center" w:y="1"/>
              <w:spacing w:before="50" w:after="50"/>
              <w:jc w:val="center"/>
              <w:rPr>
                <w:lang w:val="en-US"/>
              </w:rPr>
            </w:pPr>
            <w:r>
              <w:rPr>
                <w:lang w:val="en-US"/>
              </w:rPr>
              <w:t>850</w:t>
            </w:r>
          </w:p>
        </w:tc>
      </w:tr>
      <w:tr w:rsidR="00B9359B">
        <w:tc>
          <w:tcPr>
            <w:tcW w:w="5273" w:type="dxa"/>
          </w:tcPr>
          <w:p w:rsidR="00B9359B" w:rsidRDefault="009A5268">
            <w:pPr>
              <w:pStyle w:val="Tabletext"/>
              <w:framePr w:hSpace="181" w:wrap="notBeside" w:vAnchor="text" w:hAnchor="text" w:xAlign="center" w:y="1"/>
              <w:spacing w:before="50" w:after="50"/>
              <w:rPr>
                <w:lang w:val="en-US"/>
              </w:rPr>
            </w:pPr>
            <w:r>
              <w:rPr>
                <w:lang w:val="en-US"/>
              </w:rPr>
              <w:t>Cold calibration antenna gain (dBi)</w:t>
            </w:r>
          </w:p>
        </w:tc>
        <w:tc>
          <w:tcPr>
            <w:tcW w:w="2211" w:type="dxa"/>
          </w:tcPr>
          <w:p w:rsidR="00B9359B" w:rsidRDefault="009A5268">
            <w:pPr>
              <w:pStyle w:val="Tabletext"/>
              <w:framePr w:hSpace="181" w:wrap="notBeside" w:vAnchor="text" w:hAnchor="text" w:xAlign="center" w:y="1"/>
              <w:spacing w:before="50" w:after="50"/>
              <w:jc w:val="center"/>
              <w:rPr>
                <w:lang w:val="en-US"/>
              </w:rPr>
            </w:pPr>
            <w:r>
              <w:rPr>
                <w:lang w:val="en-US"/>
              </w:rPr>
              <w:t>36</w:t>
            </w:r>
          </w:p>
        </w:tc>
        <w:tc>
          <w:tcPr>
            <w:tcW w:w="2211" w:type="dxa"/>
          </w:tcPr>
          <w:p w:rsidR="00B9359B" w:rsidRDefault="009A5268">
            <w:pPr>
              <w:pStyle w:val="Tabletext"/>
              <w:framePr w:hSpace="181" w:wrap="notBeside" w:vAnchor="text" w:hAnchor="text" w:xAlign="center" w:y="1"/>
              <w:spacing w:before="50" w:after="50"/>
              <w:jc w:val="center"/>
              <w:rPr>
                <w:lang w:val="en-US"/>
              </w:rPr>
            </w:pPr>
            <w:r>
              <w:rPr>
                <w:lang w:val="en-US"/>
              </w:rPr>
              <w:t>35</w:t>
            </w:r>
          </w:p>
        </w:tc>
      </w:tr>
      <w:tr w:rsidR="00B9359B">
        <w:tc>
          <w:tcPr>
            <w:tcW w:w="5273" w:type="dxa"/>
            <w:tcBorders>
              <w:bottom w:val="single" w:sz="6" w:space="0" w:color="auto"/>
            </w:tcBorders>
          </w:tcPr>
          <w:p w:rsidR="00B9359B" w:rsidRDefault="009A5268">
            <w:pPr>
              <w:pStyle w:val="Tabletext"/>
              <w:framePr w:hSpace="181" w:wrap="notBeside" w:vAnchor="text" w:hAnchor="text" w:xAlign="center" w:y="1"/>
              <w:spacing w:before="50" w:after="50"/>
              <w:rPr>
                <w:lang w:val="en-US"/>
              </w:rPr>
            </w:pPr>
            <w:r>
              <w:rPr>
                <w:lang w:val="en-US"/>
              </w:rPr>
              <w:t>Cold calibration angle (degrees re. satellite track)</w:t>
            </w:r>
          </w:p>
        </w:tc>
        <w:tc>
          <w:tcPr>
            <w:tcW w:w="2211" w:type="dxa"/>
            <w:tcBorders>
              <w:bottom w:val="single" w:sz="6" w:space="0" w:color="auto"/>
            </w:tcBorders>
          </w:tcPr>
          <w:p w:rsidR="00B9359B" w:rsidRDefault="009A5268">
            <w:pPr>
              <w:pStyle w:val="Tabletext"/>
              <w:framePr w:hSpace="181" w:wrap="notBeside" w:vAnchor="text" w:hAnchor="text" w:xAlign="center" w:y="1"/>
              <w:spacing w:before="50" w:after="50"/>
              <w:jc w:val="center"/>
              <w:rPr>
                <w:lang w:val="en-US"/>
              </w:rPr>
            </w:pPr>
            <w:r>
              <w:rPr>
                <w:lang w:val="en-US"/>
              </w:rPr>
              <w:t>90</w:t>
            </w:r>
          </w:p>
        </w:tc>
        <w:tc>
          <w:tcPr>
            <w:tcW w:w="2211" w:type="dxa"/>
            <w:tcBorders>
              <w:bottom w:val="single" w:sz="6" w:space="0" w:color="auto"/>
            </w:tcBorders>
          </w:tcPr>
          <w:p w:rsidR="00B9359B" w:rsidRDefault="009A5268">
            <w:pPr>
              <w:pStyle w:val="Tabletext"/>
              <w:framePr w:hSpace="181" w:wrap="notBeside" w:vAnchor="text" w:hAnchor="text" w:xAlign="center" w:y="1"/>
              <w:spacing w:before="50" w:after="50"/>
              <w:jc w:val="center"/>
              <w:rPr>
                <w:lang w:val="en-US"/>
              </w:rPr>
            </w:pPr>
            <w:r>
              <w:rPr>
                <w:lang w:val="en-US"/>
              </w:rPr>
              <w:t>90</w:t>
            </w:r>
          </w:p>
        </w:tc>
      </w:tr>
      <w:tr w:rsidR="00B9359B">
        <w:tc>
          <w:tcPr>
            <w:tcW w:w="5273" w:type="dxa"/>
            <w:tcBorders>
              <w:top w:val="single" w:sz="6" w:space="0" w:color="auto"/>
              <w:bottom w:val="single" w:sz="6" w:space="0" w:color="auto"/>
            </w:tcBorders>
          </w:tcPr>
          <w:p w:rsidR="00B9359B" w:rsidRDefault="009A5268">
            <w:pPr>
              <w:pStyle w:val="Tabletext"/>
              <w:framePr w:hSpace="181" w:wrap="notBeside" w:vAnchor="text" w:hAnchor="text" w:xAlign="center" w:y="1"/>
              <w:spacing w:before="50" w:after="50"/>
              <w:rPr>
                <w:lang w:val="en-US"/>
              </w:rPr>
            </w:pPr>
            <w:r>
              <w:rPr>
                <w:lang w:val="en-US"/>
              </w:rPr>
              <w:t>Cold calibration angle (degrees re. nadir direction)</w:t>
            </w:r>
          </w:p>
        </w:tc>
        <w:tc>
          <w:tcPr>
            <w:tcW w:w="2211" w:type="dxa"/>
            <w:tcBorders>
              <w:top w:val="single" w:sz="6" w:space="0" w:color="auto"/>
              <w:bottom w:val="single" w:sz="6" w:space="0" w:color="auto"/>
            </w:tcBorders>
          </w:tcPr>
          <w:p w:rsidR="00B9359B" w:rsidRDefault="009A5268">
            <w:pPr>
              <w:pStyle w:val="Tabletext"/>
              <w:framePr w:hSpace="181" w:wrap="notBeside" w:vAnchor="text" w:hAnchor="text" w:xAlign="center" w:y="1"/>
              <w:spacing w:before="50" w:after="50"/>
              <w:jc w:val="center"/>
              <w:rPr>
                <w:lang w:val="en-US"/>
              </w:rPr>
            </w:pPr>
            <w:r>
              <w:rPr>
                <w:lang w:val="en-US"/>
              </w:rPr>
              <w:t>83</w:t>
            </w:r>
          </w:p>
        </w:tc>
        <w:tc>
          <w:tcPr>
            <w:tcW w:w="2211" w:type="dxa"/>
            <w:tcBorders>
              <w:top w:val="single" w:sz="6" w:space="0" w:color="auto"/>
              <w:bottom w:val="single" w:sz="6" w:space="0" w:color="auto"/>
            </w:tcBorders>
          </w:tcPr>
          <w:p w:rsidR="00B9359B" w:rsidRDefault="009A5268">
            <w:pPr>
              <w:pStyle w:val="Tabletext"/>
              <w:framePr w:hSpace="181" w:wrap="notBeside" w:vAnchor="text" w:hAnchor="text" w:xAlign="center" w:y="1"/>
              <w:spacing w:before="50" w:after="50"/>
              <w:jc w:val="center"/>
              <w:rPr>
                <w:lang w:val="en-US"/>
              </w:rPr>
            </w:pPr>
            <w:r>
              <w:rPr>
                <w:lang w:val="en-US"/>
              </w:rPr>
              <w:t>83</w:t>
            </w:r>
          </w:p>
        </w:tc>
      </w:tr>
      <w:tr w:rsidR="00B9359B">
        <w:tc>
          <w:tcPr>
            <w:tcW w:w="5273" w:type="dxa"/>
            <w:tcBorders>
              <w:top w:val="single" w:sz="6" w:space="0" w:color="auto"/>
              <w:bottom w:val="single" w:sz="6" w:space="0" w:color="auto"/>
            </w:tcBorders>
          </w:tcPr>
          <w:p w:rsidR="00B9359B" w:rsidRDefault="009A5268">
            <w:pPr>
              <w:pStyle w:val="Tabletext"/>
              <w:framePr w:hSpace="181" w:wrap="notBeside" w:vAnchor="text" w:hAnchor="text" w:xAlign="center" w:y="1"/>
              <w:spacing w:before="50" w:after="50"/>
              <w:rPr>
                <w:lang w:val="en-US"/>
              </w:rPr>
            </w:pPr>
            <w:r>
              <w:rPr>
                <w:lang w:val="en-US"/>
              </w:rPr>
              <w:t>Type of scan</w:t>
            </w:r>
          </w:p>
        </w:tc>
        <w:tc>
          <w:tcPr>
            <w:tcW w:w="2211" w:type="dxa"/>
            <w:tcBorders>
              <w:top w:val="single" w:sz="6" w:space="0" w:color="auto"/>
              <w:bottom w:val="single" w:sz="6" w:space="0" w:color="auto"/>
            </w:tcBorders>
          </w:tcPr>
          <w:p w:rsidR="00B9359B" w:rsidRDefault="009A5268">
            <w:pPr>
              <w:pStyle w:val="Tabletext"/>
              <w:framePr w:hSpace="181" w:wrap="notBeside" w:vAnchor="text" w:hAnchor="text" w:xAlign="center" w:y="1"/>
              <w:spacing w:before="50" w:after="50"/>
              <w:jc w:val="center"/>
              <w:rPr>
                <w:lang w:val="en-US"/>
              </w:rPr>
            </w:pPr>
            <w:r>
              <w:rPr>
                <w:lang w:val="en-US"/>
              </w:rPr>
              <w:t>Mechanical</w:t>
            </w:r>
          </w:p>
        </w:tc>
        <w:tc>
          <w:tcPr>
            <w:tcW w:w="2211" w:type="dxa"/>
            <w:tcBorders>
              <w:top w:val="single" w:sz="6" w:space="0" w:color="auto"/>
              <w:bottom w:val="single" w:sz="6" w:space="0" w:color="auto"/>
            </w:tcBorders>
          </w:tcPr>
          <w:p w:rsidR="00B9359B" w:rsidRDefault="009A5268">
            <w:pPr>
              <w:pStyle w:val="Tabletext"/>
              <w:framePr w:hSpace="181" w:wrap="notBeside" w:vAnchor="text" w:hAnchor="text" w:xAlign="center" w:y="1"/>
              <w:spacing w:before="50" w:after="50"/>
              <w:jc w:val="center"/>
              <w:rPr>
                <w:lang w:val="en-US"/>
              </w:rPr>
            </w:pPr>
            <w:r>
              <w:rPr>
                <w:lang w:val="en-US"/>
              </w:rPr>
              <w:t>Electronic</w:t>
            </w:r>
          </w:p>
        </w:tc>
      </w:tr>
      <w:tr w:rsidR="00B9359B" w:rsidRPr="00D35B94">
        <w:trPr>
          <w:cantSplit/>
        </w:trPr>
        <w:tc>
          <w:tcPr>
            <w:tcW w:w="9695" w:type="dxa"/>
            <w:gridSpan w:val="3"/>
            <w:tcBorders>
              <w:top w:val="single" w:sz="6" w:space="0" w:color="auto"/>
              <w:left w:val="nil"/>
              <w:bottom w:val="nil"/>
              <w:right w:val="nil"/>
            </w:tcBorders>
          </w:tcPr>
          <w:p w:rsidR="00B9359B" w:rsidRDefault="009A5268">
            <w:pPr>
              <w:pStyle w:val="Tablelegend"/>
              <w:framePr w:hSpace="181" w:wrap="notBeside" w:vAnchor="text" w:hAnchor="text" w:xAlign="center" w:y="1"/>
              <w:ind w:left="369" w:right="0"/>
              <w:rPr>
                <w:lang w:val="en-US"/>
              </w:rPr>
            </w:pPr>
            <w:r>
              <w:rPr>
                <w:lang w:val="en-US"/>
              </w:rPr>
              <w:t>FOV: field of view</w:t>
            </w:r>
          </w:p>
          <w:p w:rsidR="00B9359B" w:rsidRDefault="009A5268">
            <w:pPr>
              <w:pStyle w:val="Tablelegend"/>
              <w:framePr w:hSpace="181" w:wrap="notBeside" w:vAnchor="text" w:hAnchor="text" w:xAlign="center" w:y="1"/>
              <w:ind w:left="369" w:right="0"/>
              <w:rPr>
                <w:lang w:val="en-US"/>
              </w:rPr>
            </w:pPr>
            <w:r>
              <w:rPr>
                <w:lang w:val="en-US"/>
              </w:rPr>
              <w:t>re: referred to</w:t>
            </w:r>
          </w:p>
        </w:tc>
      </w:tr>
    </w:tbl>
    <w:p w:rsidR="00B9359B" w:rsidRDefault="00B9359B">
      <w:pPr>
        <w:pStyle w:val="Tablefin"/>
      </w:pPr>
    </w:p>
    <w:p w:rsidR="00B9359B" w:rsidRDefault="00B9359B">
      <w:pPr>
        <w:rPr>
          <w:lang w:val="en-GB"/>
        </w:rPr>
      </w:pPr>
    </w:p>
    <w:p w:rsidR="00B9359B" w:rsidRDefault="009A5268">
      <w:pPr>
        <w:rPr>
          <w:lang w:val="en-US"/>
        </w:rPr>
      </w:pPr>
      <w:r>
        <w:rPr>
          <w:lang w:val="en-US"/>
        </w:rPr>
        <w:br w:type="page"/>
        <w:t>The orbital configuration for these sensors are illustrated in Figs. 30 and 31.</w:t>
      </w:r>
    </w:p>
    <w:p w:rsidR="00B9359B" w:rsidRDefault="009A5268">
      <w:pPr>
        <w:pStyle w:val="FigureNo"/>
      </w:pPr>
      <w:r>
        <w:object w:dxaOrig="7307" w:dyaOrig="6346">
          <v:shape id="_x0000_i1066" type="#_x0000_t75" style="width:365.35pt;height:317.55pt" o:ole="">
            <v:imagedata r:id="rId68" o:title=""/>
          </v:shape>
          <o:OLEObject Type="Embed" ProgID="Designer.Drawing.7" ShapeID="_x0000_i1066" DrawAspect="Content" ObjectID="_1629894573" r:id="rId69"/>
        </w:object>
      </w:r>
    </w:p>
    <w:p w:rsidR="00B9359B" w:rsidRDefault="009A5268">
      <w:pPr>
        <w:pStyle w:val="FigureNo"/>
      </w:pPr>
      <w:r>
        <w:object w:dxaOrig="7479" w:dyaOrig="5861">
          <v:shape id="_x0000_i1067" type="#_x0000_t75" style="width:374.5pt;height:292.85pt" o:ole="">
            <v:imagedata r:id="rId70" o:title=""/>
          </v:shape>
          <o:OLEObject Type="Embed" ProgID="Designer.Drawing.7" ShapeID="_x0000_i1067" DrawAspect="Content" ObjectID="_1629894574" r:id="rId71"/>
        </w:object>
      </w:r>
    </w:p>
    <w:p w:rsidR="00B9359B" w:rsidRDefault="009A5268">
      <w:pPr>
        <w:pStyle w:val="Heading1"/>
        <w:rPr>
          <w:lang w:val="en-US"/>
        </w:rPr>
      </w:pPr>
      <w:bookmarkStart w:id="362" w:name="_Toc51045762"/>
      <w:r>
        <w:rPr>
          <w:lang w:val="en-US"/>
        </w:rPr>
        <w:br w:type="page"/>
        <w:t>2</w:t>
      </w:r>
      <w:r>
        <w:rPr>
          <w:lang w:val="en-US"/>
        </w:rPr>
        <w:tab/>
        <w:t>ISS</w:t>
      </w:r>
      <w:bookmarkEnd w:id="362"/>
    </w:p>
    <w:p w:rsidR="00B9359B" w:rsidRDefault="009A5268">
      <w:pPr>
        <w:pStyle w:val="Heading2"/>
        <w:rPr>
          <w:lang w:val="en-US"/>
        </w:rPr>
      </w:pPr>
      <w:bookmarkStart w:id="363" w:name="_Toc51045763"/>
      <w:r>
        <w:rPr>
          <w:lang w:val="en-US"/>
        </w:rPr>
        <w:t>2.1</w:t>
      </w:r>
      <w:r>
        <w:rPr>
          <w:lang w:val="en-US"/>
        </w:rPr>
        <w:tab/>
        <w:t>Allocated transmit band</w:t>
      </w:r>
      <w:bookmarkEnd w:id="363"/>
      <w:r>
        <w:rPr>
          <w:lang w:val="en-US"/>
        </w:rPr>
        <w:t xml:space="preserve"> </w:t>
      </w:r>
    </w:p>
    <w:p w:rsidR="00B9359B" w:rsidRDefault="009A5268">
      <w:pPr>
        <w:rPr>
          <w:lang w:val="en-US"/>
        </w:rPr>
      </w:pPr>
      <w:r>
        <w:rPr>
          <w:lang w:val="en-US"/>
        </w:rPr>
        <w:t>The transmit band considered is the 22.55-23.55 GHz band (see Table 33).</w:t>
      </w:r>
    </w:p>
    <w:p w:rsidR="00B9359B" w:rsidRDefault="009A5268">
      <w:pPr>
        <w:pStyle w:val="Heading2"/>
        <w:rPr>
          <w:lang w:val="en-US"/>
        </w:rPr>
      </w:pPr>
      <w:bookmarkStart w:id="364" w:name="_Toc51045764"/>
      <w:r>
        <w:rPr>
          <w:lang w:val="en-US"/>
        </w:rPr>
        <w:t>2.2</w:t>
      </w:r>
      <w:r>
        <w:rPr>
          <w:lang w:val="en-US"/>
        </w:rPr>
        <w:tab/>
        <w:t>Application</w:t>
      </w:r>
      <w:bookmarkEnd w:id="364"/>
    </w:p>
    <w:p w:rsidR="00B9359B" w:rsidRDefault="009A5268">
      <w:pPr>
        <w:rPr>
          <w:lang w:val="en-US"/>
        </w:rPr>
      </w:pPr>
      <w:r>
        <w:rPr>
          <w:lang w:val="en-US"/>
        </w:rPr>
        <w:t>The active service under consideration in this analysis is the ISS. Recommendation ITU</w:t>
      </w:r>
      <w:r>
        <w:rPr>
          <w:lang w:val="en-US"/>
        </w:rPr>
        <w:noBreakHyphen/>
        <w:t>R S.1328 contains satellite system characteristics to be considered in frequency sharing analyses between GSO and non-GSO satellite systems in the FSS including feeder links for the MSS. However, this Recommendation does not contain information on inter-satellite links.</w:t>
      </w:r>
    </w:p>
    <w:p w:rsidR="00B9359B" w:rsidRDefault="009A5268">
      <w:pPr>
        <w:pStyle w:val="Heading2"/>
        <w:rPr>
          <w:lang w:val="en-US"/>
        </w:rPr>
      </w:pPr>
      <w:bookmarkStart w:id="365" w:name="_Toc51045765"/>
      <w:r>
        <w:rPr>
          <w:lang w:val="en-US"/>
        </w:rPr>
        <w:t>2.3</w:t>
      </w:r>
      <w:r>
        <w:rPr>
          <w:lang w:val="en-US"/>
        </w:rPr>
        <w:tab/>
        <w:t>Levels based on spectral representation</w:t>
      </w:r>
      <w:bookmarkEnd w:id="365"/>
    </w:p>
    <w:p w:rsidR="00B9359B" w:rsidRDefault="009A5268">
      <w:pPr>
        <w:rPr>
          <w:lang w:val="en-US"/>
        </w:rPr>
      </w:pPr>
      <w:r>
        <w:rPr>
          <w:lang w:val="en-US"/>
        </w:rPr>
        <w:t>This Annex uses the “raised cosine” spectral representation which is described in Annex 1.</w:t>
      </w:r>
    </w:p>
    <w:p w:rsidR="00B9359B" w:rsidRDefault="009A5268">
      <w:pPr>
        <w:rPr>
          <w:lang w:val="en-US"/>
        </w:rPr>
      </w:pPr>
      <w:r>
        <w:rPr>
          <w:lang w:val="en-US"/>
        </w:rPr>
        <w:t>This spectral representation is intended for band-by-band studies and is provisional, pending further review within the ITU-R. It represents in a very general way the typical mean power distribution through the OoB and spurious domains in an adjacent or nearby allocation.</w:t>
      </w:r>
    </w:p>
    <w:p w:rsidR="00B9359B" w:rsidRDefault="009A5268">
      <w:pPr>
        <w:pStyle w:val="Heading2"/>
        <w:rPr>
          <w:lang w:val="en-US"/>
        </w:rPr>
      </w:pPr>
      <w:bookmarkStart w:id="366" w:name="_Toc51045766"/>
      <w:r>
        <w:rPr>
          <w:lang w:val="en-US"/>
        </w:rPr>
        <w:t>2.4</w:t>
      </w:r>
      <w:r>
        <w:rPr>
          <w:lang w:val="en-US"/>
        </w:rPr>
        <w:tab/>
        <w:t>Transmitter characteristics</w:t>
      </w:r>
      <w:bookmarkEnd w:id="366"/>
    </w:p>
    <w:p w:rsidR="00B9359B" w:rsidRDefault="009A5268">
      <w:pPr>
        <w:pStyle w:val="Heading3"/>
        <w:rPr>
          <w:lang w:val="en-US"/>
        </w:rPr>
      </w:pPr>
      <w:bookmarkStart w:id="367" w:name="_Toc51045767"/>
      <w:r>
        <w:rPr>
          <w:lang w:val="en-US"/>
        </w:rPr>
        <w:t>2.4.1</w:t>
      </w:r>
      <w:r>
        <w:rPr>
          <w:lang w:val="en-US"/>
        </w:rPr>
        <w:tab/>
        <w:t>Non-GSO satellite network Hib-Leo 2</w:t>
      </w:r>
      <w:bookmarkEnd w:id="367"/>
    </w:p>
    <w:p w:rsidR="00B9359B" w:rsidRDefault="009A5268">
      <w:pPr>
        <w:rPr>
          <w:lang w:val="en-US"/>
        </w:rPr>
      </w:pPr>
      <w:r>
        <w:rPr>
          <w:lang w:val="en-US"/>
        </w:rPr>
        <w:t>This system is retained for the compatibility study with conically scanned sensors. The present study, which is based on a worst-case analysis, is purely static and does not consider temporal aspects. However, it will be completed with a dynamic analysis, on the basis on a real constellation. The only known constellation is for the time being the Hib-Leo 2 system. The major characteristics of this system are presented in Table 36.</w:t>
      </w:r>
    </w:p>
    <w:p w:rsidR="00B9359B" w:rsidRDefault="009A5268">
      <w:pPr>
        <w:pStyle w:val="TableNo"/>
        <w:rPr>
          <w:lang w:val="en-US"/>
        </w:rPr>
      </w:pPr>
      <w:r>
        <w:rPr>
          <w:lang w:val="en-US"/>
        </w:rPr>
        <w:t>TABLE  36</w:t>
      </w:r>
    </w:p>
    <w:p w:rsidR="00B9359B" w:rsidRDefault="009A5268">
      <w:pPr>
        <w:pStyle w:val="Tabletitle"/>
        <w:rPr>
          <w:lang w:val="en-US"/>
        </w:rPr>
      </w:pPr>
      <w:r>
        <w:rPr>
          <w:lang w:val="en-US"/>
        </w:rPr>
        <w:t>Hib-Leo 2 system specifications</w:t>
      </w:r>
    </w:p>
    <w:tbl>
      <w:tblPr>
        <w:tblW w:w="0" w:type="auto"/>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A0" w:firstRow="1" w:lastRow="0" w:firstColumn="1" w:lastColumn="0" w:noHBand="0" w:noVBand="0"/>
      </w:tblPr>
      <w:tblGrid>
        <w:gridCol w:w="3827"/>
        <w:gridCol w:w="5812"/>
      </w:tblGrid>
      <w:tr w:rsidR="00B9359B">
        <w:tc>
          <w:tcPr>
            <w:tcW w:w="3827" w:type="dxa"/>
          </w:tcPr>
          <w:p w:rsidR="00B9359B" w:rsidRDefault="009A5268">
            <w:pPr>
              <w:pStyle w:val="Tablehead"/>
              <w:framePr w:hSpace="181" w:wrap="notBeside" w:vAnchor="text" w:hAnchor="text" w:xAlign="center" w:y="1"/>
              <w:rPr>
                <w:lang w:val="en-US"/>
              </w:rPr>
            </w:pPr>
            <w:r>
              <w:rPr>
                <w:lang w:val="en-US"/>
              </w:rPr>
              <w:t>System parameter</w:t>
            </w:r>
          </w:p>
        </w:tc>
        <w:tc>
          <w:tcPr>
            <w:tcW w:w="5812" w:type="dxa"/>
          </w:tcPr>
          <w:p w:rsidR="00B9359B" w:rsidRDefault="009A5268">
            <w:pPr>
              <w:pStyle w:val="Tablehead"/>
              <w:framePr w:hSpace="181" w:wrap="notBeside" w:vAnchor="text" w:hAnchor="text" w:xAlign="center" w:y="1"/>
              <w:rPr>
                <w:lang w:val="en-US"/>
              </w:rPr>
            </w:pPr>
            <w:r>
              <w:rPr>
                <w:lang w:val="en-US"/>
              </w:rPr>
              <w:t>Value</w:t>
            </w:r>
          </w:p>
        </w:tc>
      </w:tr>
      <w:tr w:rsidR="00B9359B">
        <w:tc>
          <w:tcPr>
            <w:tcW w:w="3827" w:type="dxa"/>
          </w:tcPr>
          <w:p w:rsidR="00B9359B" w:rsidRDefault="009A5268">
            <w:pPr>
              <w:pStyle w:val="Tabletext"/>
              <w:framePr w:hSpace="181" w:wrap="notBeside" w:vAnchor="text" w:hAnchor="text" w:xAlign="center" w:y="1"/>
              <w:spacing w:before="50" w:after="50"/>
              <w:rPr>
                <w:lang w:val="en-US"/>
              </w:rPr>
            </w:pPr>
            <w:r>
              <w:rPr>
                <w:lang w:val="en-US"/>
              </w:rPr>
              <w:t>Number of satellite planes</w:t>
            </w:r>
          </w:p>
        </w:tc>
        <w:tc>
          <w:tcPr>
            <w:tcW w:w="5812" w:type="dxa"/>
          </w:tcPr>
          <w:p w:rsidR="00B9359B" w:rsidRDefault="009A5268">
            <w:pPr>
              <w:pStyle w:val="Tabletext"/>
              <w:framePr w:hSpace="181" w:wrap="notBeside" w:vAnchor="text" w:hAnchor="text" w:xAlign="center" w:y="1"/>
              <w:spacing w:before="50" w:after="50"/>
              <w:jc w:val="center"/>
              <w:rPr>
                <w:lang w:val="en-US"/>
              </w:rPr>
            </w:pPr>
            <w:r>
              <w:rPr>
                <w:lang w:val="en-US"/>
              </w:rPr>
              <w:t>6</w:t>
            </w:r>
          </w:p>
        </w:tc>
      </w:tr>
      <w:tr w:rsidR="00B9359B">
        <w:tc>
          <w:tcPr>
            <w:tcW w:w="3827" w:type="dxa"/>
          </w:tcPr>
          <w:p w:rsidR="00B9359B" w:rsidRDefault="009A5268">
            <w:pPr>
              <w:pStyle w:val="Tabletext"/>
              <w:framePr w:hSpace="181" w:wrap="notBeside" w:vAnchor="text" w:hAnchor="text" w:xAlign="center" w:y="1"/>
              <w:spacing w:before="50" w:after="50"/>
              <w:rPr>
                <w:lang w:val="en-US"/>
              </w:rPr>
            </w:pPr>
            <w:r>
              <w:rPr>
                <w:lang w:val="en-US"/>
              </w:rPr>
              <w:t>Number of satellites per plane</w:t>
            </w:r>
          </w:p>
        </w:tc>
        <w:tc>
          <w:tcPr>
            <w:tcW w:w="5812" w:type="dxa"/>
          </w:tcPr>
          <w:p w:rsidR="00B9359B" w:rsidRDefault="009A5268">
            <w:pPr>
              <w:pStyle w:val="Tabletext"/>
              <w:framePr w:hSpace="181" w:wrap="notBeside" w:vAnchor="text" w:hAnchor="text" w:xAlign="center" w:y="1"/>
              <w:spacing w:before="50" w:after="50"/>
              <w:jc w:val="center"/>
              <w:rPr>
                <w:lang w:val="en-US"/>
              </w:rPr>
            </w:pPr>
            <w:r>
              <w:rPr>
                <w:lang w:val="en-US"/>
              </w:rPr>
              <w:t>11</w:t>
            </w:r>
          </w:p>
        </w:tc>
      </w:tr>
      <w:tr w:rsidR="00B9359B">
        <w:tc>
          <w:tcPr>
            <w:tcW w:w="3827" w:type="dxa"/>
          </w:tcPr>
          <w:p w:rsidR="00B9359B" w:rsidRDefault="009A5268">
            <w:pPr>
              <w:pStyle w:val="Tabletext"/>
              <w:framePr w:hSpace="181" w:wrap="notBeside" w:vAnchor="text" w:hAnchor="text" w:xAlign="center" w:y="1"/>
              <w:spacing w:before="50" w:after="50"/>
              <w:rPr>
                <w:lang w:val="en-US"/>
              </w:rPr>
            </w:pPr>
            <w:r>
              <w:rPr>
                <w:lang w:val="en-US"/>
              </w:rPr>
              <w:t>Nominal altitude</w:t>
            </w:r>
          </w:p>
        </w:tc>
        <w:tc>
          <w:tcPr>
            <w:tcW w:w="5812" w:type="dxa"/>
          </w:tcPr>
          <w:p w:rsidR="00B9359B" w:rsidRDefault="009A5268">
            <w:pPr>
              <w:pStyle w:val="Tabletext"/>
              <w:framePr w:hSpace="181" w:wrap="notBeside" w:vAnchor="text" w:hAnchor="text" w:xAlign="center" w:y="1"/>
              <w:spacing w:before="50" w:after="50"/>
              <w:jc w:val="center"/>
              <w:rPr>
                <w:lang w:val="en-US"/>
              </w:rPr>
            </w:pPr>
            <w:r>
              <w:rPr>
                <w:lang w:val="en-US"/>
              </w:rPr>
              <w:t>780</w:t>
            </w:r>
          </w:p>
        </w:tc>
      </w:tr>
      <w:tr w:rsidR="00B9359B" w:rsidRPr="00D35B94">
        <w:tc>
          <w:tcPr>
            <w:tcW w:w="3827" w:type="dxa"/>
          </w:tcPr>
          <w:p w:rsidR="00B9359B" w:rsidRDefault="009A5268">
            <w:pPr>
              <w:pStyle w:val="Tabletext"/>
              <w:framePr w:hSpace="181" w:wrap="notBeside" w:vAnchor="text" w:hAnchor="text" w:xAlign="center" w:y="1"/>
              <w:spacing w:before="50" w:after="50"/>
              <w:rPr>
                <w:lang w:val="en-US"/>
              </w:rPr>
            </w:pPr>
            <w:r>
              <w:rPr>
                <w:lang w:val="en-US"/>
              </w:rPr>
              <w:t>Orbit type</w:t>
            </w:r>
          </w:p>
        </w:tc>
        <w:tc>
          <w:tcPr>
            <w:tcW w:w="5812" w:type="dxa"/>
          </w:tcPr>
          <w:p w:rsidR="00B9359B" w:rsidRDefault="009A5268">
            <w:pPr>
              <w:pStyle w:val="Tabletext"/>
              <w:framePr w:hSpace="181" w:wrap="notBeside" w:vAnchor="text" w:hAnchor="text" w:xAlign="center" w:y="1"/>
              <w:spacing w:before="50" w:after="50"/>
              <w:jc w:val="center"/>
              <w:rPr>
                <w:lang w:val="en-US"/>
              </w:rPr>
            </w:pPr>
            <w:r>
              <w:rPr>
                <w:lang w:val="en-US"/>
              </w:rPr>
              <w:t>Circular polar (inclination angle of 86.5</w:t>
            </w:r>
            <w:r>
              <w:rPr>
                <w:rFonts w:ascii="Symbol" w:hAnsi="Symbol"/>
                <w:lang w:val="en-US"/>
              </w:rPr>
              <w:t></w:t>
            </w:r>
            <w:r>
              <w:rPr>
                <w:lang w:val="en-US"/>
              </w:rPr>
              <w:t>)</w:t>
            </w:r>
          </w:p>
        </w:tc>
      </w:tr>
      <w:tr w:rsidR="00B9359B" w:rsidRPr="00D35B94">
        <w:tc>
          <w:tcPr>
            <w:tcW w:w="3827" w:type="dxa"/>
          </w:tcPr>
          <w:p w:rsidR="00B9359B" w:rsidRDefault="009A5268">
            <w:pPr>
              <w:pStyle w:val="Tabletext"/>
              <w:framePr w:hSpace="181" w:wrap="notBeside" w:vAnchor="text" w:hAnchor="text" w:xAlign="center" w:y="1"/>
              <w:spacing w:before="50" w:after="50"/>
              <w:rPr>
                <w:lang w:val="en-US"/>
              </w:rPr>
            </w:pPr>
            <w:r>
              <w:rPr>
                <w:lang w:val="en-US"/>
              </w:rPr>
              <w:t>Necessary bandwidth</w:t>
            </w:r>
          </w:p>
        </w:tc>
        <w:tc>
          <w:tcPr>
            <w:tcW w:w="5812" w:type="dxa"/>
          </w:tcPr>
          <w:p w:rsidR="00B9359B" w:rsidRDefault="009A5268">
            <w:pPr>
              <w:pStyle w:val="Tabletext"/>
              <w:framePr w:hSpace="181" w:wrap="notBeside" w:vAnchor="text" w:hAnchor="text" w:xAlign="center" w:y="1"/>
              <w:spacing w:before="50" w:after="50"/>
              <w:jc w:val="center"/>
              <w:rPr>
                <w:lang w:val="en-US"/>
              </w:rPr>
            </w:pPr>
            <w:r>
              <w:rPr>
                <w:lang w:val="en-US"/>
              </w:rPr>
              <w:t xml:space="preserve">8 </w:t>
            </w:r>
            <w:r>
              <w:rPr>
                <w:rFonts w:ascii="Symbol" w:hAnsi="Symbol"/>
              </w:rPr>
              <w:t></w:t>
            </w:r>
            <w:r>
              <w:rPr>
                <w:lang w:val="en-US"/>
              </w:rPr>
              <w:t xml:space="preserve"> 19 MHz channels (total bandwidth 194 MHz)</w:t>
            </w:r>
          </w:p>
        </w:tc>
      </w:tr>
      <w:tr w:rsidR="00B9359B" w:rsidRPr="00D35B94">
        <w:tc>
          <w:tcPr>
            <w:tcW w:w="3827" w:type="dxa"/>
          </w:tcPr>
          <w:p w:rsidR="00B9359B" w:rsidRDefault="009A5268">
            <w:pPr>
              <w:pStyle w:val="Tabletext"/>
              <w:framePr w:hSpace="181" w:wrap="notBeside" w:vAnchor="text" w:hAnchor="text" w:xAlign="center" w:y="1"/>
              <w:spacing w:before="50" w:after="50"/>
              <w:rPr>
                <w:lang w:val="en-US"/>
              </w:rPr>
            </w:pPr>
            <w:r>
              <w:rPr>
                <w:lang w:val="en-US"/>
              </w:rPr>
              <w:t>Peak power</w:t>
            </w:r>
          </w:p>
        </w:tc>
        <w:tc>
          <w:tcPr>
            <w:tcW w:w="5812" w:type="dxa"/>
          </w:tcPr>
          <w:p w:rsidR="00B9359B" w:rsidRDefault="009A5268">
            <w:pPr>
              <w:pStyle w:val="Tabletext"/>
              <w:framePr w:hSpace="181" w:wrap="notBeside" w:vAnchor="text" w:hAnchor="text" w:xAlign="center" w:y="1"/>
              <w:spacing w:before="50" w:after="50"/>
              <w:jc w:val="center"/>
              <w:rPr>
                <w:lang w:val="en-US"/>
              </w:rPr>
            </w:pPr>
            <w:r>
              <w:rPr>
                <w:lang w:val="en-US"/>
              </w:rPr>
              <w:t>3.5 dBW for the total 8 links</w:t>
            </w:r>
          </w:p>
        </w:tc>
      </w:tr>
      <w:tr w:rsidR="00B9359B">
        <w:tc>
          <w:tcPr>
            <w:tcW w:w="3827" w:type="dxa"/>
          </w:tcPr>
          <w:p w:rsidR="00B9359B" w:rsidRDefault="009A5268">
            <w:pPr>
              <w:pStyle w:val="Tabletext"/>
              <w:framePr w:hSpace="181" w:wrap="notBeside" w:vAnchor="text" w:hAnchor="text" w:xAlign="center" w:y="1"/>
              <w:spacing w:before="50" w:after="50"/>
              <w:rPr>
                <w:lang w:val="en-US"/>
              </w:rPr>
            </w:pPr>
            <w:r>
              <w:rPr>
                <w:lang w:val="en-US"/>
              </w:rPr>
              <w:t>Antenna gain</w:t>
            </w:r>
          </w:p>
        </w:tc>
        <w:tc>
          <w:tcPr>
            <w:tcW w:w="5812" w:type="dxa"/>
          </w:tcPr>
          <w:p w:rsidR="00B9359B" w:rsidRDefault="009A5268">
            <w:pPr>
              <w:pStyle w:val="Tabletext"/>
              <w:framePr w:hSpace="181" w:wrap="notBeside" w:vAnchor="text" w:hAnchor="text" w:xAlign="center" w:y="1"/>
              <w:spacing w:before="50" w:after="50"/>
              <w:jc w:val="center"/>
              <w:rPr>
                <w:lang w:val="en-US"/>
              </w:rPr>
            </w:pPr>
            <w:r>
              <w:rPr>
                <w:lang w:val="en-US"/>
              </w:rPr>
              <w:t>36.7 dBi</w:t>
            </w:r>
          </w:p>
        </w:tc>
      </w:tr>
    </w:tbl>
    <w:p w:rsidR="00B9359B" w:rsidRDefault="00B9359B">
      <w:pPr>
        <w:pStyle w:val="Tablefin"/>
      </w:pPr>
    </w:p>
    <w:p w:rsidR="00B9359B" w:rsidRDefault="009A5268">
      <w:pPr>
        <w:rPr>
          <w:lang w:val="en-US"/>
        </w:rPr>
      </w:pPr>
      <w:r>
        <w:rPr>
          <w:lang w:val="en-US"/>
        </w:rPr>
        <w:br w:type="page"/>
        <w:t>Recommendation ITU-R S.672 is applicable for the inter-satellite link antenna. The antenna pattern is presented in Fig. 32.</w:t>
      </w:r>
    </w:p>
    <w:p w:rsidR="00B9359B" w:rsidRDefault="009A5268">
      <w:pPr>
        <w:pStyle w:val="FigureNo"/>
      </w:pPr>
      <w:r>
        <w:object w:dxaOrig="6581" w:dyaOrig="4931">
          <v:shape id="_x0000_i1068" type="#_x0000_t75" style="width:328.85pt;height:246.65pt" o:ole="">
            <v:imagedata r:id="rId72" o:title=""/>
          </v:shape>
          <o:OLEObject Type="Embed" ProgID="Designer.Drawing.7" ShapeID="_x0000_i1068" DrawAspect="Content" ObjectID="_1629894575" r:id="rId73"/>
        </w:object>
      </w:r>
    </w:p>
    <w:p w:rsidR="00B9359B" w:rsidRDefault="009A5268">
      <w:pPr>
        <w:pStyle w:val="Heading3"/>
        <w:rPr>
          <w:lang w:val="en-US"/>
        </w:rPr>
      </w:pPr>
      <w:bookmarkStart w:id="368" w:name="_Toc51045768"/>
      <w:r>
        <w:rPr>
          <w:lang w:val="en-US"/>
        </w:rPr>
        <w:t>2.4.2</w:t>
      </w:r>
      <w:r>
        <w:rPr>
          <w:lang w:val="en-US"/>
        </w:rPr>
        <w:tab/>
        <w:t>Parametric characteristics of inter-satellite links</w:t>
      </w:r>
      <w:bookmarkEnd w:id="368"/>
    </w:p>
    <w:p w:rsidR="00B9359B" w:rsidRDefault="009A5268">
      <w:pPr>
        <w:spacing w:after="120"/>
        <w:rPr>
          <w:lang w:val="en-US"/>
        </w:rPr>
      </w:pPr>
      <w:r>
        <w:rPr>
          <w:lang w:val="en-US"/>
        </w:rPr>
        <w:t>Technical characteristics of ISS systems considered for the analysis of nadir instruments are given in Table 37. They have been based on the following assumptions in order to assess the influence of various configuration parameters:</w:t>
      </w:r>
    </w:p>
    <w:p w:rsidR="00B9359B" w:rsidRDefault="009A5268">
      <w:pPr>
        <w:pStyle w:val="enumlev1"/>
        <w:rPr>
          <w:lang w:val="en-US"/>
        </w:rPr>
      </w:pPr>
      <w:r>
        <w:rPr>
          <w:lang w:val="en-US"/>
        </w:rPr>
        <w:t>–</w:t>
      </w:r>
      <w:r>
        <w:rPr>
          <w:lang w:val="en-US"/>
        </w:rPr>
        <w:tab/>
        <w:t>low, circular polar orbiting systems (LEO-1 to LEO-4) are considered covering altitudes ranging from 700 to 1</w:t>
      </w:r>
      <w:r>
        <w:rPr>
          <w:rFonts w:ascii="Tms Rmn" w:hAnsi="Tms Rmn"/>
          <w:sz w:val="12"/>
          <w:lang w:val="en-US"/>
        </w:rPr>
        <w:t> </w:t>
      </w:r>
      <w:r>
        <w:rPr>
          <w:lang w:val="en-US"/>
        </w:rPr>
        <w:t>000 km, and a system in GSO;</w:t>
      </w:r>
    </w:p>
    <w:p w:rsidR="00B9359B" w:rsidRDefault="009A5268">
      <w:pPr>
        <w:pStyle w:val="enumlev1"/>
        <w:rPr>
          <w:lang w:val="en-US"/>
        </w:rPr>
      </w:pPr>
      <w:r>
        <w:rPr>
          <w:lang w:val="en-US"/>
        </w:rPr>
        <w:t>–</w:t>
      </w:r>
      <w:r>
        <w:rPr>
          <w:lang w:val="en-US"/>
        </w:rPr>
        <w:tab/>
        <w:t>the transmission characteristics based on Hib-Leo 2 that is currently operating inter-satellite links in this frequency band, are retained and adapted for LEO and GEO systems;</w:t>
      </w:r>
    </w:p>
    <w:p w:rsidR="00B9359B" w:rsidRDefault="009A5268">
      <w:pPr>
        <w:pStyle w:val="enumlev1"/>
        <w:rPr>
          <w:lang w:val="en-US"/>
        </w:rPr>
      </w:pPr>
      <w:r>
        <w:rPr>
          <w:lang w:val="en-US"/>
        </w:rPr>
        <w:t>–</w:t>
      </w:r>
      <w:r>
        <w:rPr>
          <w:lang w:val="en-US"/>
        </w:rPr>
        <w:tab/>
        <w:t xml:space="preserve">for the necessary bandwidth three values are considered: 200 MHz (8 channels), 100 MHz (4 channels) and 50 MHz (2 channels) and a total peak power of 3.5 dBW, 0.5 dBW and </w:t>
      </w:r>
      <w:r>
        <w:rPr>
          <w:rFonts w:ascii="Symbol" w:hAnsi="Symbol"/>
          <w:lang w:val="en-US"/>
        </w:rPr>
        <w:noBreakHyphen/>
      </w:r>
      <w:r>
        <w:rPr>
          <w:lang w:val="en-US"/>
        </w:rPr>
        <w:t>2.5 dBW was assumed respectively;</w:t>
      </w:r>
    </w:p>
    <w:p w:rsidR="00B9359B" w:rsidRDefault="009A5268">
      <w:pPr>
        <w:pStyle w:val="enumlev1"/>
        <w:rPr>
          <w:lang w:val="en-US"/>
        </w:rPr>
      </w:pPr>
      <w:r>
        <w:rPr>
          <w:lang w:val="en-US"/>
        </w:rPr>
        <w:t>–</w:t>
      </w:r>
      <w:r>
        <w:rPr>
          <w:lang w:val="en-US"/>
        </w:rPr>
        <w:tab/>
        <w:t>an antenna gain of 36.7 dBi was assumed for the lowest system (LEO-1); the antenna gains (receive and transmit) for other scenarios are adjusted to compensate for the increased length of the links, considering links such that their minimum altitude is at 200 km above Earth’s surface (1</w:t>
      </w:r>
      <w:r>
        <w:rPr>
          <w:rFonts w:ascii="Tms Rmn" w:hAnsi="Tms Rmn"/>
          <w:sz w:val="12"/>
          <w:lang w:val="en-US"/>
        </w:rPr>
        <w:t> </w:t>
      </w:r>
      <w:r>
        <w:rPr>
          <w:lang w:val="en-US"/>
        </w:rPr>
        <w:t>000 km in the case of the GEO system);</w:t>
      </w:r>
    </w:p>
    <w:p w:rsidR="00B9359B" w:rsidRDefault="009A5268">
      <w:pPr>
        <w:pStyle w:val="enumlev1"/>
        <w:rPr>
          <w:lang w:val="en-US"/>
        </w:rPr>
      </w:pPr>
      <w:r>
        <w:rPr>
          <w:lang w:val="en-US"/>
        </w:rPr>
        <w:t>–</w:t>
      </w:r>
      <w:r>
        <w:rPr>
          <w:lang w:val="en-US"/>
        </w:rPr>
        <w:tab/>
        <w:t>these characteristics should be updated and the analysis should be re-iterated, whenever those of real existing or planned systems are available.</w:t>
      </w:r>
    </w:p>
    <w:p w:rsidR="00B9359B" w:rsidRDefault="009A5268">
      <w:pPr>
        <w:rPr>
          <w:lang w:val="en-US"/>
        </w:rPr>
      </w:pPr>
      <w:r>
        <w:rPr>
          <w:lang w:val="en-US"/>
        </w:rPr>
        <w:t>It is further considered that the upper edge of the necessary bandwidth coincides with the upper limit of the frequency band allocated. Therefore, a minimum guardband of 50 MHz is provided by the allocation to the fixed and mobile services between the ISS and the EESS allocations.</w:t>
      </w:r>
    </w:p>
    <w:p w:rsidR="00B9359B" w:rsidRDefault="009A5268">
      <w:pPr>
        <w:pStyle w:val="TableNo"/>
        <w:rPr>
          <w:lang w:val="en-US"/>
        </w:rPr>
      </w:pPr>
      <w:r>
        <w:rPr>
          <w:lang w:val="en-US"/>
        </w:rPr>
        <w:br w:type="page"/>
        <w:t>TABLE  37</w:t>
      </w:r>
    </w:p>
    <w:p w:rsidR="00B9359B" w:rsidRDefault="009A5268">
      <w:pPr>
        <w:pStyle w:val="Tabletitle"/>
        <w:rPr>
          <w:lang w:val="en-US"/>
        </w:rPr>
      </w:pPr>
      <w:r>
        <w:rPr>
          <w:lang w:val="en-US"/>
        </w:rPr>
        <w:t>Parametric inter-satellite link characteristics</w:t>
      </w:r>
    </w:p>
    <w:tbl>
      <w:tblPr>
        <w:tblW w:w="963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869"/>
        <w:gridCol w:w="954"/>
        <w:gridCol w:w="954"/>
        <w:gridCol w:w="954"/>
        <w:gridCol w:w="954"/>
        <w:gridCol w:w="954"/>
      </w:tblGrid>
      <w:tr w:rsidR="00B9359B">
        <w:trPr>
          <w:cantSplit/>
        </w:trPr>
        <w:tc>
          <w:tcPr>
            <w:tcW w:w="4869" w:type="dxa"/>
            <w:vMerge w:val="restart"/>
            <w:tcBorders>
              <w:top w:val="single" w:sz="4" w:space="0" w:color="auto"/>
              <w:right w:val="single" w:sz="4" w:space="0" w:color="auto"/>
            </w:tcBorders>
            <w:vAlign w:val="center"/>
          </w:tcPr>
          <w:p w:rsidR="00B9359B" w:rsidRDefault="009A5268">
            <w:pPr>
              <w:pStyle w:val="Tablehead"/>
              <w:framePr w:hSpace="181" w:wrap="notBeside" w:vAnchor="text" w:hAnchor="text" w:xAlign="center" w:y="1"/>
              <w:rPr>
                <w:lang w:val="en-US"/>
              </w:rPr>
            </w:pPr>
            <w:r>
              <w:rPr>
                <w:lang w:val="en-US"/>
              </w:rPr>
              <w:t>System parameters</w:t>
            </w:r>
          </w:p>
        </w:tc>
        <w:tc>
          <w:tcPr>
            <w:tcW w:w="4770" w:type="dxa"/>
            <w:gridSpan w:val="5"/>
            <w:tcBorders>
              <w:top w:val="single" w:sz="4" w:space="0" w:color="auto"/>
              <w:left w:val="single" w:sz="4" w:space="0" w:color="auto"/>
              <w:bottom w:val="single" w:sz="4" w:space="0" w:color="auto"/>
            </w:tcBorders>
          </w:tcPr>
          <w:p w:rsidR="00B9359B" w:rsidRDefault="009A5268">
            <w:pPr>
              <w:pStyle w:val="Tablehead"/>
              <w:framePr w:hSpace="181" w:wrap="notBeside" w:vAnchor="text" w:hAnchor="text" w:xAlign="center" w:y="1"/>
              <w:rPr>
                <w:lang w:val="en-US"/>
              </w:rPr>
            </w:pPr>
            <w:r>
              <w:rPr>
                <w:lang w:val="en-US"/>
              </w:rPr>
              <w:t>Values</w:t>
            </w:r>
          </w:p>
        </w:tc>
      </w:tr>
      <w:tr w:rsidR="00B9359B">
        <w:trPr>
          <w:cantSplit/>
        </w:trPr>
        <w:tc>
          <w:tcPr>
            <w:tcW w:w="4869" w:type="dxa"/>
            <w:vMerge/>
            <w:tcBorders>
              <w:bottom w:val="single" w:sz="4" w:space="0" w:color="auto"/>
              <w:right w:val="single" w:sz="4" w:space="0" w:color="auto"/>
            </w:tcBorders>
          </w:tcPr>
          <w:p w:rsidR="00B9359B" w:rsidRDefault="00B9359B">
            <w:pPr>
              <w:pStyle w:val="Tablehead"/>
              <w:framePr w:hSpace="181" w:wrap="notBeside" w:vAnchor="text" w:hAnchor="text" w:xAlign="center" w:y="1"/>
              <w:rPr>
                <w:lang w:val="en-US"/>
              </w:rPr>
            </w:pPr>
          </w:p>
        </w:tc>
        <w:tc>
          <w:tcPr>
            <w:tcW w:w="954" w:type="dxa"/>
            <w:tcBorders>
              <w:top w:val="single" w:sz="4" w:space="0" w:color="auto"/>
              <w:left w:val="single" w:sz="4" w:space="0" w:color="auto"/>
              <w:bottom w:val="single" w:sz="4" w:space="0" w:color="auto"/>
              <w:right w:val="single" w:sz="4" w:space="0" w:color="auto"/>
            </w:tcBorders>
          </w:tcPr>
          <w:p w:rsidR="00B9359B" w:rsidRDefault="009A5268">
            <w:pPr>
              <w:pStyle w:val="Tablehead"/>
              <w:framePr w:hSpace="181" w:wrap="notBeside" w:vAnchor="text" w:hAnchor="text" w:xAlign="center" w:y="1"/>
              <w:ind w:left="-57" w:right="-57"/>
              <w:rPr>
                <w:lang w:val="es-ES"/>
              </w:rPr>
            </w:pPr>
            <w:r>
              <w:rPr>
                <w:lang w:val="es-ES"/>
              </w:rPr>
              <w:t>LEO-1</w:t>
            </w:r>
          </w:p>
        </w:tc>
        <w:tc>
          <w:tcPr>
            <w:tcW w:w="954" w:type="dxa"/>
            <w:tcBorders>
              <w:top w:val="single" w:sz="4" w:space="0" w:color="auto"/>
              <w:left w:val="single" w:sz="4" w:space="0" w:color="auto"/>
              <w:bottom w:val="single" w:sz="4" w:space="0" w:color="auto"/>
              <w:right w:val="single" w:sz="4" w:space="0" w:color="auto"/>
            </w:tcBorders>
          </w:tcPr>
          <w:p w:rsidR="00B9359B" w:rsidRDefault="009A5268">
            <w:pPr>
              <w:pStyle w:val="Tablehead"/>
              <w:framePr w:hSpace="181" w:wrap="notBeside" w:vAnchor="text" w:hAnchor="text" w:xAlign="center" w:y="1"/>
              <w:ind w:left="-57" w:right="-57"/>
              <w:rPr>
                <w:lang w:val="es-ES"/>
              </w:rPr>
            </w:pPr>
            <w:r>
              <w:rPr>
                <w:lang w:val="es-ES"/>
              </w:rPr>
              <w:t>LEO-2</w:t>
            </w:r>
          </w:p>
        </w:tc>
        <w:tc>
          <w:tcPr>
            <w:tcW w:w="954" w:type="dxa"/>
            <w:tcBorders>
              <w:top w:val="single" w:sz="4" w:space="0" w:color="auto"/>
              <w:left w:val="single" w:sz="4" w:space="0" w:color="auto"/>
              <w:bottom w:val="single" w:sz="4" w:space="0" w:color="auto"/>
              <w:right w:val="single" w:sz="4" w:space="0" w:color="auto"/>
            </w:tcBorders>
          </w:tcPr>
          <w:p w:rsidR="00B9359B" w:rsidRDefault="009A5268">
            <w:pPr>
              <w:pStyle w:val="Tablehead"/>
              <w:framePr w:hSpace="181" w:wrap="notBeside" w:vAnchor="text" w:hAnchor="text" w:xAlign="center" w:y="1"/>
              <w:ind w:left="-57" w:right="-57"/>
              <w:rPr>
                <w:lang w:val="es-ES"/>
              </w:rPr>
            </w:pPr>
            <w:r>
              <w:rPr>
                <w:lang w:val="es-ES"/>
              </w:rPr>
              <w:t>LEO-3</w:t>
            </w:r>
          </w:p>
        </w:tc>
        <w:tc>
          <w:tcPr>
            <w:tcW w:w="954" w:type="dxa"/>
            <w:tcBorders>
              <w:top w:val="single" w:sz="4" w:space="0" w:color="auto"/>
              <w:left w:val="single" w:sz="4" w:space="0" w:color="auto"/>
              <w:bottom w:val="single" w:sz="4" w:space="0" w:color="auto"/>
              <w:right w:val="single" w:sz="4" w:space="0" w:color="auto"/>
            </w:tcBorders>
          </w:tcPr>
          <w:p w:rsidR="00B9359B" w:rsidRDefault="009A5268">
            <w:pPr>
              <w:pStyle w:val="Tablehead"/>
              <w:framePr w:hSpace="181" w:wrap="notBeside" w:vAnchor="text" w:hAnchor="text" w:xAlign="center" w:y="1"/>
              <w:ind w:left="-57" w:right="-57"/>
              <w:rPr>
                <w:lang w:val="es-ES"/>
              </w:rPr>
            </w:pPr>
            <w:r>
              <w:rPr>
                <w:lang w:val="es-ES"/>
              </w:rPr>
              <w:t>LEO-4</w:t>
            </w:r>
          </w:p>
        </w:tc>
        <w:tc>
          <w:tcPr>
            <w:tcW w:w="954" w:type="dxa"/>
            <w:tcBorders>
              <w:top w:val="single" w:sz="4" w:space="0" w:color="auto"/>
              <w:left w:val="single" w:sz="4" w:space="0" w:color="auto"/>
              <w:bottom w:val="single" w:sz="4" w:space="0" w:color="auto"/>
            </w:tcBorders>
          </w:tcPr>
          <w:p w:rsidR="00B9359B" w:rsidRDefault="009A5268">
            <w:pPr>
              <w:pStyle w:val="Tablehead"/>
              <w:framePr w:hSpace="181" w:wrap="notBeside" w:vAnchor="text" w:hAnchor="text" w:xAlign="center" w:y="1"/>
              <w:ind w:left="-57" w:right="-57"/>
              <w:rPr>
                <w:lang w:val="es-ES"/>
              </w:rPr>
            </w:pPr>
            <w:r>
              <w:rPr>
                <w:lang w:val="es-ES"/>
              </w:rPr>
              <w:t>GEO</w:t>
            </w:r>
          </w:p>
        </w:tc>
      </w:tr>
      <w:tr w:rsidR="00B9359B">
        <w:tc>
          <w:tcPr>
            <w:tcW w:w="4869" w:type="dxa"/>
            <w:tcBorders>
              <w:top w:val="single" w:sz="4" w:space="0" w:color="auto"/>
              <w:bottom w:val="single" w:sz="4" w:space="0" w:color="auto"/>
              <w:right w:val="single" w:sz="4" w:space="0" w:color="auto"/>
            </w:tcBorders>
          </w:tcPr>
          <w:p w:rsidR="00B9359B" w:rsidRDefault="009A5268">
            <w:pPr>
              <w:pStyle w:val="Tabletext"/>
              <w:framePr w:hSpace="181" w:wrap="notBeside" w:vAnchor="text" w:hAnchor="text" w:xAlign="center" w:y="1"/>
              <w:spacing w:before="50" w:after="50"/>
              <w:ind w:right="-138"/>
              <w:jc w:val="left"/>
              <w:rPr>
                <w:lang w:val="es-ES"/>
              </w:rPr>
            </w:pPr>
            <w:r>
              <w:rPr>
                <w:lang w:val="es-ES"/>
              </w:rPr>
              <w:t>Nominal altitude (km)</w:t>
            </w:r>
          </w:p>
        </w:tc>
        <w:tc>
          <w:tcPr>
            <w:tcW w:w="954" w:type="dxa"/>
            <w:tcBorders>
              <w:top w:val="single" w:sz="4" w:space="0" w:color="auto"/>
              <w:left w:val="single" w:sz="4" w:space="0" w:color="auto"/>
              <w:bottom w:val="single" w:sz="4" w:space="0" w:color="auto"/>
              <w:right w:val="single" w:sz="4" w:space="0" w:color="auto"/>
            </w:tcBorders>
          </w:tcPr>
          <w:p w:rsidR="00B9359B" w:rsidRDefault="009A5268">
            <w:pPr>
              <w:pStyle w:val="Tabletext"/>
              <w:framePr w:hSpace="181" w:wrap="notBeside" w:vAnchor="text" w:hAnchor="text" w:xAlign="center" w:y="1"/>
              <w:spacing w:before="50" w:after="50"/>
              <w:ind w:left="-57" w:right="-57"/>
              <w:jc w:val="center"/>
              <w:rPr>
                <w:lang w:val="en-US"/>
              </w:rPr>
            </w:pPr>
            <w:r>
              <w:rPr>
                <w:lang w:val="en-US"/>
              </w:rPr>
              <w:t>700</w:t>
            </w:r>
          </w:p>
        </w:tc>
        <w:tc>
          <w:tcPr>
            <w:tcW w:w="954" w:type="dxa"/>
            <w:tcBorders>
              <w:top w:val="single" w:sz="4" w:space="0" w:color="auto"/>
              <w:left w:val="single" w:sz="4" w:space="0" w:color="auto"/>
              <w:bottom w:val="single" w:sz="4" w:space="0" w:color="auto"/>
              <w:right w:val="single" w:sz="4" w:space="0" w:color="auto"/>
            </w:tcBorders>
          </w:tcPr>
          <w:p w:rsidR="00B9359B" w:rsidRDefault="009A5268">
            <w:pPr>
              <w:pStyle w:val="Tabletext"/>
              <w:framePr w:hSpace="181" w:wrap="notBeside" w:vAnchor="text" w:hAnchor="text" w:xAlign="center" w:y="1"/>
              <w:spacing w:before="50" w:after="50"/>
              <w:ind w:left="-57" w:right="-57"/>
              <w:jc w:val="center"/>
              <w:rPr>
                <w:lang w:val="en-US"/>
              </w:rPr>
            </w:pPr>
            <w:r>
              <w:rPr>
                <w:lang w:val="en-US"/>
              </w:rPr>
              <w:t>800</w:t>
            </w:r>
          </w:p>
        </w:tc>
        <w:tc>
          <w:tcPr>
            <w:tcW w:w="954" w:type="dxa"/>
            <w:tcBorders>
              <w:top w:val="single" w:sz="4" w:space="0" w:color="auto"/>
              <w:left w:val="single" w:sz="4" w:space="0" w:color="auto"/>
              <w:bottom w:val="single" w:sz="4" w:space="0" w:color="auto"/>
              <w:right w:val="single" w:sz="4" w:space="0" w:color="auto"/>
            </w:tcBorders>
          </w:tcPr>
          <w:p w:rsidR="00B9359B" w:rsidRDefault="009A5268">
            <w:pPr>
              <w:pStyle w:val="Tabletext"/>
              <w:framePr w:hSpace="181" w:wrap="notBeside" w:vAnchor="text" w:hAnchor="text" w:xAlign="center" w:y="1"/>
              <w:spacing w:before="50" w:after="50"/>
              <w:ind w:left="-57" w:right="-57"/>
              <w:jc w:val="center"/>
              <w:rPr>
                <w:lang w:val="en-US"/>
              </w:rPr>
            </w:pPr>
            <w:r>
              <w:rPr>
                <w:lang w:val="en-US"/>
              </w:rPr>
              <w:t>900</w:t>
            </w:r>
          </w:p>
        </w:tc>
        <w:tc>
          <w:tcPr>
            <w:tcW w:w="954" w:type="dxa"/>
            <w:tcBorders>
              <w:top w:val="single" w:sz="4" w:space="0" w:color="auto"/>
              <w:left w:val="single" w:sz="4" w:space="0" w:color="auto"/>
              <w:bottom w:val="single" w:sz="4" w:space="0" w:color="auto"/>
              <w:right w:val="single" w:sz="4" w:space="0" w:color="auto"/>
            </w:tcBorders>
          </w:tcPr>
          <w:p w:rsidR="00B9359B" w:rsidRDefault="009A5268">
            <w:pPr>
              <w:pStyle w:val="Tabletext"/>
              <w:framePr w:hSpace="181" w:wrap="notBeside" w:vAnchor="text" w:hAnchor="text" w:xAlign="center" w:y="1"/>
              <w:spacing w:before="50" w:after="50"/>
              <w:ind w:left="-57" w:right="-57"/>
              <w:jc w:val="center"/>
              <w:rPr>
                <w:lang w:val="en-US"/>
              </w:rPr>
            </w:pPr>
            <w:r>
              <w:rPr>
                <w:lang w:val="en-US"/>
              </w:rPr>
              <w:t>1</w:t>
            </w:r>
            <w:r>
              <w:rPr>
                <w:rFonts w:ascii="Tms Rmn" w:hAnsi="Tms Rmn"/>
                <w:sz w:val="12"/>
                <w:lang w:val="en-US"/>
              </w:rPr>
              <w:t> </w:t>
            </w:r>
            <w:r>
              <w:rPr>
                <w:lang w:val="en-US"/>
              </w:rPr>
              <w:t>000</w:t>
            </w:r>
          </w:p>
        </w:tc>
        <w:tc>
          <w:tcPr>
            <w:tcW w:w="954" w:type="dxa"/>
            <w:tcBorders>
              <w:top w:val="single" w:sz="4" w:space="0" w:color="auto"/>
              <w:left w:val="single" w:sz="4" w:space="0" w:color="auto"/>
              <w:bottom w:val="single" w:sz="4" w:space="0" w:color="auto"/>
            </w:tcBorders>
          </w:tcPr>
          <w:p w:rsidR="00B9359B" w:rsidRDefault="009A5268">
            <w:pPr>
              <w:pStyle w:val="Tabletext"/>
              <w:framePr w:hSpace="181" w:wrap="notBeside" w:vAnchor="text" w:hAnchor="text" w:xAlign="center" w:y="1"/>
              <w:spacing w:before="50" w:after="50"/>
              <w:ind w:left="-57" w:right="-57"/>
              <w:jc w:val="center"/>
              <w:rPr>
                <w:lang w:val="en-US"/>
              </w:rPr>
            </w:pPr>
            <w:r>
              <w:rPr>
                <w:lang w:val="en-US"/>
              </w:rPr>
              <w:t>35</w:t>
            </w:r>
            <w:r>
              <w:rPr>
                <w:rFonts w:ascii="Tms Rmn" w:hAnsi="Tms Rmn"/>
                <w:sz w:val="12"/>
                <w:lang w:val="en-US"/>
              </w:rPr>
              <w:t> </w:t>
            </w:r>
            <w:r>
              <w:rPr>
                <w:lang w:val="en-US"/>
              </w:rPr>
              <w:t>900</w:t>
            </w:r>
          </w:p>
        </w:tc>
      </w:tr>
      <w:tr w:rsidR="00B9359B">
        <w:trPr>
          <w:cantSplit/>
        </w:trPr>
        <w:tc>
          <w:tcPr>
            <w:tcW w:w="4869" w:type="dxa"/>
            <w:tcBorders>
              <w:top w:val="single" w:sz="4" w:space="0" w:color="auto"/>
              <w:bottom w:val="single" w:sz="4" w:space="0" w:color="auto"/>
              <w:right w:val="single" w:sz="4" w:space="0" w:color="auto"/>
            </w:tcBorders>
          </w:tcPr>
          <w:p w:rsidR="00B9359B" w:rsidRDefault="009A5268">
            <w:pPr>
              <w:pStyle w:val="Tabletext"/>
              <w:framePr w:hSpace="181" w:wrap="notBeside" w:vAnchor="text" w:hAnchor="text" w:xAlign="center" w:y="1"/>
              <w:spacing w:before="50" w:after="50"/>
              <w:ind w:right="-138"/>
              <w:jc w:val="left"/>
              <w:rPr>
                <w:lang w:val="en-US"/>
              </w:rPr>
            </w:pPr>
            <w:r>
              <w:rPr>
                <w:lang w:val="en-US"/>
              </w:rPr>
              <w:t>Orbit type</w:t>
            </w:r>
          </w:p>
        </w:tc>
        <w:tc>
          <w:tcPr>
            <w:tcW w:w="3816" w:type="dxa"/>
            <w:gridSpan w:val="4"/>
            <w:tcBorders>
              <w:top w:val="single" w:sz="4" w:space="0" w:color="auto"/>
              <w:left w:val="single" w:sz="4" w:space="0" w:color="auto"/>
              <w:bottom w:val="single" w:sz="4" w:space="0" w:color="auto"/>
              <w:right w:val="single" w:sz="4" w:space="0" w:color="auto"/>
            </w:tcBorders>
          </w:tcPr>
          <w:p w:rsidR="00B9359B" w:rsidRDefault="009A5268">
            <w:pPr>
              <w:pStyle w:val="Tabletext"/>
              <w:framePr w:hSpace="181" w:wrap="notBeside" w:vAnchor="text" w:hAnchor="text" w:xAlign="center" w:y="1"/>
              <w:spacing w:before="50" w:after="50"/>
              <w:ind w:left="-57" w:right="-57"/>
              <w:jc w:val="center"/>
              <w:rPr>
                <w:lang w:val="en-US"/>
              </w:rPr>
            </w:pPr>
            <w:r>
              <w:rPr>
                <w:lang w:val="en-US"/>
              </w:rPr>
              <w:t>Circular polar</w:t>
            </w:r>
          </w:p>
        </w:tc>
        <w:tc>
          <w:tcPr>
            <w:tcW w:w="954" w:type="dxa"/>
            <w:tcBorders>
              <w:top w:val="single" w:sz="4" w:space="0" w:color="auto"/>
              <w:left w:val="single" w:sz="4" w:space="0" w:color="auto"/>
              <w:bottom w:val="single" w:sz="4" w:space="0" w:color="auto"/>
            </w:tcBorders>
          </w:tcPr>
          <w:p w:rsidR="00B9359B" w:rsidRDefault="009A5268">
            <w:pPr>
              <w:pStyle w:val="Tabletext"/>
              <w:framePr w:hSpace="181" w:wrap="notBeside" w:vAnchor="text" w:hAnchor="text" w:xAlign="center" w:y="1"/>
              <w:spacing w:before="50" w:after="50"/>
              <w:ind w:left="-57" w:right="-57"/>
              <w:jc w:val="center"/>
              <w:rPr>
                <w:lang w:val="en-US"/>
              </w:rPr>
            </w:pPr>
            <w:r>
              <w:rPr>
                <w:lang w:val="en-US"/>
              </w:rPr>
              <w:t>GSO</w:t>
            </w:r>
          </w:p>
        </w:tc>
      </w:tr>
      <w:tr w:rsidR="00B9359B">
        <w:trPr>
          <w:cantSplit/>
        </w:trPr>
        <w:tc>
          <w:tcPr>
            <w:tcW w:w="4869" w:type="dxa"/>
            <w:tcBorders>
              <w:top w:val="single" w:sz="4" w:space="0" w:color="auto"/>
              <w:bottom w:val="single" w:sz="4" w:space="0" w:color="auto"/>
              <w:right w:val="single" w:sz="4" w:space="0" w:color="auto"/>
            </w:tcBorders>
          </w:tcPr>
          <w:p w:rsidR="00B9359B" w:rsidRDefault="009A5268">
            <w:pPr>
              <w:pStyle w:val="Tabletext"/>
              <w:framePr w:hSpace="181" w:wrap="notBeside" w:vAnchor="text" w:hAnchor="text" w:xAlign="center" w:y="1"/>
              <w:spacing w:before="50" w:after="50"/>
              <w:ind w:right="-138"/>
              <w:jc w:val="left"/>
              <w:rPr>
                <w:lang w:val="en-US"/>
              </w:rPr>
            </w:pPr>
            <w:r>
              <w:rPr>
                <w:lang w:val="en-US"/>
              </w:rPr>
              <w:t xml:space="preserve">Necessary bandwidth (8 </w:t>
            </w:r>
            <w:r>
              <w:rPr>
                <w:rFonts w:ascii="Symbol" w:hAnsi="Symbol"/>
              </w:rPr>
              <w:t></w:t>
            </w:r>
            <w:r>
              <w:rPr>
                <w:lang w:val="en-US"/>
              </w:rPr>
              <w:t xml:space="preserve"> 25 MHz channels)</w:t>
            </w:r>
          </w:p>
        </w:tc>
        <w:tc>
          <w:tcPr>
            <w:tcW w:w="4770" w:type="dxa"/>
            <w:gridSpan w:val="5"/>
            <w:tcBorders>
              <w:top w:val="single" w:sz="4" w:space="0" w:color="auto"/>
              <w:left w:val="single" w:sz="4" w:space="0" w:color="auto"/>
              <w:bottom w:val="single" w:sz="4" w:space="0" w:color="auto"/>
            </w:tcBorders>
          </w:tcPr>
          <w:p w:rsidR="00B9359B" w:rsidRDefault="009A5268">
            <w:pPr>
              <w:pStyle w:val="Tabletext"/>
              <w:framePr w:hSpace="181" w:wrap="notBeside" w:vAnchor="text" w:hAnchor="text" w:xAlign="center" w:y="1"/>
              <w:spacing w:before="50" w:after="50"/>
              <w:ind w:left="-57" w:right="-57"/>
              <w:jc w:val="center"/>
              <w:rPr>
                <w:lang w:val="en-US"/>
              </w:rPr>
            </w:pPr>
            <w:r>
              <w:rPr>
                <w:lang w:val="en-US"/>
              </w:rPr>
              <w:t>200</w:t>
            </w:r>
          </w:p>
        </w:tc>
      </w:tr>
      <w:tr w:rsidR="00B9359B">
        <w:trPr>
          <w:cantSplit/>
        </w:trPr>
        <w:tc>
          <w:tcPr>
            <w:tcW w:w="4869" w:type="dxa"/>
            <w:tcBorders>
              <w:top w:val="single" w:sz="4" w:space="0" w:color="auto"/>
              <w:bottom w:val="single" w:sz="4" w:space="0" w:color="auto"/>
              <w:right w:val="single" w:sz="4" w:space="0" w:color="auto"/>
            </w:tcBorders>
          </w:tcPr>
          <w:p w:rsidR="00B9359B" w:rsidRDefault="009A5268">
            <w:pPr>
              <w:pStyle w:val="Tabletext"/>
              <w:framePr w:hSpace="181" w:wrap="notBeside" w:vAnchor="text" w:hAnchor="text" w:xAlign="center" w:y="1"/>
              <w:spacing w:before="50" w:after="50"/>
              <w:ind w:right="-138"/>
              <w:jc w:val="left"/>
              <w:rPr>
                <w:lang w:val="en-US"/>
              </w:rPr>
            </w:pPr>
            <w:r>
              <w:rPr>
                <w:lang w:val="en-US"/>
              </w:rPr>
              <w:t>Total peak power in necessary BW (dBW)</w:t>
            </w:r>
          </w:p>
        </w:tc>
        <w:tc>
          <w:tcPr>
            <w:tcW w:w="4770" w:type="dxa"/>
            <w:gridSpan w:val="5"/>
            <w:tcBorders>
              <w:top w:val="single" w:sz="4" w:space="0" w:color="auto"/>
              <w:left w:val="single" w:sz="4" w:space="0" w:color="auto"/>
              <w:bottom w:val="single" w:sz="4" w:space="0" w:color="auto"/>
            </w:tcBorders>
          </w:tcPr>
          <w:p w:rsidR="00B9359B" w:rsidRDefault="009A5268">
            <w:pPr>
              <w:pStyle w:val="Tabletext"/>
              <w:framePr w:hSpace="181" w:wrap="notBeside" w:vAnchor="text" w:hAnchor="text" w:xAlign="center" w:y="1"/>
              <w:spacing w:before="50" w:after="50"/>
              <w:ind w:left="-57" w:right="-57"/>
              <w:jc w:val="center"/>
              <w:rPr>
                <w:lang w:val="en-US"/>
              </w:rPr>
            </w:pPr>
            <w:r>
              <w:rPr>
                <w:lang w:val="en-US"/>
              </w:rPr>
              <w:t>3.5/0.5/–2.5</w:t>
            </w:r>
          </w:p>
        </w:tc>
      </w:tr>
      <w:tr w:rsidR="00B9359B">
        <w:trPr>
          <w:cantSplit/>
        </w:trPr>
        <w:tc>
          <w:tcPr>
            <w:tcW w:w="4869" w:type="dxa"/>
            <w:tcBorders>
              <w:top w:val="single" w:sz="4" w:space="0" w:color="auto"/>
              <w:bottom w:val="single" w:sz="4" w:space="0" w:color="auto"/>
              <w:right w:val="single" w:sz="4" w:space="0" w:color="auto"/>
            </w:tcBorders>
          </w:tcPr>
          <w:p w:rsidR="00B9359B" w:rsidRDefault="009A5268">
            <w:pPr>
              <w:pStyle w:val="Tabletext"/>
              <w:framePr w:hSpace="181" w:wrap="notBeside" w:vAnchor="text" w:hAnchor="text" w:xAlign="center" w:y="1"/>
              <w:spacing w:before="50" w:after="50"/>
              <w:ind w:right="-138"/>
              <w:jc w:val="left"/>
              <w:rPr>
                <w:lang w:val="en-US"/>
              </w:rPr>
            </w:pPr>
            <w:r>
              <w:rPr>
                <w:lang w:val="en-US"/>
              </w:rPr>
              <w:t>Maximum power density (dB(W/MHz))</w:t>
            </w:r>
          </w:p>
        </w:tc>
        <w:tc>
          <w:tcPr>
            <w:tcW w:w="4770" w:type="dxa"/>
            <w:gridSpan w:val="5"/>
            <w:tcBorders>
              <w:top w:val="single" w:sz="4" w:space="0" w:color="auto"/>
              <w:left w:val="single" w:sz="4" w:space="0" w:color="auto"/>
              <w:bottom w:val="single" w:sz="4" w:space="0" w:color="auto"/>
            </w:tcBorders>
          </w:tcPr>
          <w:p w:rsidR="00B9359B" w:rsidRDefault="009A5268">
            <w:pPr>
              <w:pStyle w:val="Tabletext"/>
              <w:framePr w:hSpace="181" w:wrap="notBeside" w:vAnchor="text" w:hAnchor="text" w:xAlign="center" w:y="1"/>
              <w:spacing w:before="50" w:after="50"/>
              <w:ind w:left="-57" w:right="-57"/>
              <w:jc w:val="center"/>
              <w:rPr>
                <w:lang w:val="en-US"/>
              </w:rPr>
            </w:pPr>
            <w:r>
              <w:sym w:font="Symbol" w:char="F02D"/>
            </w:r>
            <w:r>
              <w:rPr>
                <w:lang w:val="en-US"/>
              </w:rPr>
              <w:t>7.5</w:t>
            </w:r>
          </w:p>
        </w:tc>
      </w:tr>
      <w:tr w:rsidR="00B9359B">
        <w:tc>
          <w:tcPr>
            <w:tcW w:w="4869" w:type="dxa"/>
            <w:tcBorders>
              <w:top w:val="single" w:sz="4" w:space="0" w:color="auto"/>
              <w:bottom w:val="single" w:sz="4" w:space="0" w:color="auto"/>
              <w:right w:val="single" w:sz="4" w:space="0" w:color="auto"/>
            </w:tcBorders>
          </w:tcPr>
          <w:p w:rsidR="00B9359B" w:rsidRDefault="009A5268">
            <w:pPr>
              <w:pStyle w:val="Tabletext"/>
              <w:framePr w:hSpace="181" w:wrap="notBeside" w:vAnchor="text" w:hAnchor="text" w:xAlign="center" w:y="1"/>
              <w:spacing w:before="50" w:after="50"/>
              <w:ind w:right="-138"/>
              <w:jc w:val="left"/>
              <w:rPr>
                <w:lang w:val="en-US"/>
              </w:rPr>
            </w:pPr>
            <w:r>
              <w:rPr>
                <w:lang w:val="en-US"/>
              </w:rPr>
              <w:t>Antenna gain (dBi)</w:t>
            </w:r>
          </w:p>
        </w:tc>
        <w:tc>
          <w:tcPr>
            <w:tcW w:w="954" w:type="dxa"/>
            <w:tcBorders>
              <w:top w:val="single" w:sz="4" w:space="0" w:color="auto"/>
              <w:left w:val="single" w:sz="4" w:space="0" w:color="auto"/>
              <w:bottom w:val="single" w:sz="4" w:space="0" w:color="auto"/>
              <w:right w:val="single" w:sz="4" w:space="0" w:color="auto"/>
            </w:tcBorders>
          </w:tcPr>
          <w:p w:rsidR="00B9359B" w:rsidRDefault="009A5268">
            <w:pPr>
              <w:pStyle w:val="Tabletext"/>
              <w:framePr w:hSpace="181" w:wrap="notBeside" w:vAnchor="text" w:hAnchor="text" w:xAlign="center" w:y="1"/>
              <w:spacing w:before="50" w:after="50"/>
              <w:ind w:left="-57" w:right="-57"/>
              <w:jc w:val="center"/>
              <w:rPr>
                <w:lang w:val="en-US"/>
              </w:rPr>
            </w:pPr>
            <w:r>
              <w:rPr>
                <w:lang w:val="en-US"/>
              </w:rPr>
              <w:t>36.7</w:t>
            </w:r>
          </w:p>
        </w:tc>
        <w:tc>
          <w:tcPr>
            <w:tcW w:w="954" w:type="dxa"/>
            <w:tcBorders>
              <w:top w:val="single" w:sz="4" w:space="0" w:color="auto"/>
              <w:left w:val="single" w:sz="4" w:space="0" w:color="auto"/>
              <w:bottom w:val="single" w:sz="4" w:space="0" w:color="auto"/>
              <w:right w:val="single" w:sz="4" w:space="0" w:color="auto"/>
            </w:tcBorders>
          </w:tcPr>
          <w:p w:rsidR="00B9359B" w:rsidRDefault="009A5268">
            <w:pPr>
              <w:pStyle w:val="Tabletext"/>
              <w:framePr w:hSpace="181" w:wrap="notBeside" w:vAnchor="text" w:hAnchor="text" w:xAlign="center" w:y="1"/>
              <w:spacing w:before="50" w:after="50"/>
              <w:ind w:left="-57" w:right="-57"/>
              <w:jc w:val="center"/>
              <w:rPr>
                <w:lang w:val="en-US"/>
              </w:rPr>
            </w:pPr>
            <w:r>
              <w:rPr>
                <w:lang w:val="en-US"/>
              </w:rPr>
              <w:t>37.5</w:t>
            </w:r>
          </w:p>
        </w:tc>
        <w:tc>
          <w:tcPr>
            <w:tcW w:w="954" w:type="dxa"/>
            <w:tcBorders>
              <w:top w:val="single" w:sz="4" w:space="0" w:color="auto"/>
              <w:left w:val="single" w:sz="4" w:space="0" w:color="auto"/>
              <w:bottom w:val="single" w:sz="4" w:space="0" w:color="auto"/>
              <w:right w:val="single" w:sz="4" w:space="0" w:color="auto"/>
            </w:tcBorders>
          </w:tcPr>
          <w:p w:rsidR="00B9359B" w:rsidRDefault="009A5268">
            <w:pPr>
              <w:pStyle w:val="Tabletext"/>
              <w:framePr w:hSpace="181" w:wrap="notBeside" w:vAnchor="text" w:hAnchor="text" w:xAlign="center" w:y="1"/>
              <w:spacing w:before="50" w:after="50"/>
              <w:ind w:left="-57" w:right="-57"/>
              <w:jc w:val="center"/>
              <w:rPr>
                <w:lang w:val="en-US"/>
              </w:rPr>
            </w:pPr>
            <w:r>
              <w:rPr>
                <w:lang w:val="en-US"/>
              </w:rPr>
              <w:t>38.2</w:t>
            </w:r>
          </w:p>
        </w:tc>
        <w:tc>
          <w:tcPr>
            <w:tcW w:w="954" w:type="dxa"/>
            <w:tcBorders>
              <w:top w:val="single" w:sz="4" w:space="0" w:color="auto"/>
              <w:left w:val="single" w:sz="4" w:space="0" w:color="auto"/>
              <w:bottom w:val="single" w:sz="4" w:space="0" w:color="auto"/>
              <w:right w:val="single" w:sz="4" w:space="0" w:color="auto"/>
            </w:tcBorders>
          </w:tcPr>
          <w:p w:rsidR="00B9359B" w:rsidRDefault="009A5268">
            <w:pPr>
              <w:pStyle w:val="Tabletext"/>
              <w:framePr w:hSpace="181" w:wrap="notBeside" w:vAnchor="text" w:hAnchor="text" w:xAlign="center" w:y="1"/>
              <w:spacing w:before="50" w:after="50"/>
              <w:ind w:left="-57" w:right="-57"/>
              <w:jc w:val="center"/>
              <w:rPr>
                <w:lang w:val="en-US"/>
              </w:rPr>
            </w:pPr>
            <w:r>
              <w:rPr>
                <w:lang w:val="en-US"/>
              </w:rPr>
              <w:t>38.8</w:t>
            </w:r>
          </w:p>
        </w:tc>
        <w:tc>
          <w:tcPr>
            <w:tcW w:w="954" w:type="dxa"/>
            <w:tcBorders>
              <w:top w:val="single" w:sz="4" w:space="0" w:color="auto"/>
              <w:left w:val="single" w:sz="4" w:space="0" w:color="auto"/>
              <w:bottom w:val="single" w:sz="4" w:space="0" w:color="auto"/>
            </w:tcBorders>
          </w:tcPr>
          <w:p w:rsidR="00B9359B" w:rsidRDefault="009A5268">
            <w:pPr>
              <w:pStyle w:val="Tabletext"/>
              <w:framePr w:hSpace="181" w:wrap="notBeside" w:vAnchor="text" w:hAnchor="text" w:xAlign="center" w:y="1"/>
              <w:spacing w:before="50" w:after="50"/>
              <w:ind w:left="-57" w:right="-57"/>
              <w:jc w:val="center"/>
              <w:rPr>
                <w:lang w:val="en-US"/>
              </w:rPr>
            </w:pPr>
            <w:r>
              <w:rPr>
                <w:lang w:val="en-US"/>
              </w:rPr>
              <w:t>48.4</w:t>
            </w:r>
          </w:p>
        </w:tc>
      </w:tr>
      <w:tr w:rsidR="00B9359B">
        <w:tc>
          <w:tcPr>
            <w:tcW w:w="4869" w:type="dxa"/>
            <w:tcBorders>
              <w:top w:val="single" w:sz="4" w:space="0" w:color="auto"/>
              <w:bottom w:val="single" w:sz="4" w:space="0" w:color="auto"/>
              <w:right w:val="single" w:sz="4" w:space="0" w:color="auto"/>
            </w:tcBorders>
          </w:tcPr>
          <w:p w:rsidR="00B9359B" w:rsidRDefault="009A5268">
            <w:pPr>
              <w:pStyle w:val="Tabletext"/>
              <w:framePr w:hSpace="181" w:wrap="notBeside" w:vAnchor="text" w:hAnchor="text" w:xAlign="center" w:y="1"/>
              <w:spacing w:before="50" w:after="50"/>
              <w:ind w:right="-138"/>
              <w:jc w:val="left"/>
              <w:rPr>
                <w:lang w:val="en-US"/>
              </w:rPr>
            </w:pPr>
            <w:r>
              <w:rPr>
                <w:lang w:val="en-US"/>
              </w:rPr>
              <w:t>Antenna orientation at longest distance</w:t>
            </w:r>
            <w:r>
              <w:rPr>
                <w:lang w:val="en-US"/>
              </w:rPr>
              <w:br/>
              <w:t>(re. local nadir) (degrees)</w:t>
            </w:r>
          </w:p>
        </w:tc>
        <w:tc>
          <w:tcPr>
            <w:tcW w:w="954" w:type="dxa"/>
            <w:tcBorders>
              <w:top w:val="single" w:sz="4" w:space="0" w:color="auto"/>
              <w:left w:val="single" w:sz="4" w:space="0" w:color="auto"/>
              <w:bottom w:val="single" w:sz="4" w:space="0" w:color="auto"/>
              <w:right w:val="single" w:sz="4" w:space="0" w:color="auto"/>
            </w:tcBorders>
          </w:tcPr>
          <w:p w:rsidR="00B9359B" w:rsidRDefault="009A5268">
            <w:pPr>
              <w:pStyle w:val="Tabletext"/>
              <w:framePr w:hSpace="181" w:wrap="notBeside" w:vAnchor="text" w:hAnchor="text" w:xAlign="center" w:y="1"/>
              <w:spacing w:before="50" w:after="50"/>
              <w:ind w:left="-57" w:right="-57"/>
              <w:jc w:val="center"/>
              <w:rPr>
                <w:lang w:val="en-US"/>
              </w:rPr>
            </w:pPr>
            <w:r>
              <w:rPr>
                <w:lang w:val="en-US"/>
              </w:rPr>
              <w:t>68.34</w:t>
            </w:r>
          </w:p>
        </w:tc>
        <w:tc>
          <w:tcPr>
            <w:tcW w:w="954" w:type="dxa"/>
            <w:tcBorders>
              <w:top w:val="single" w:sz="4" w:space="0" w:color="auto"/>
              <w:left w:val="single" w:sz="4" w:space="0" w:color="auto"/>
              <w:bottom w:val="single" w:sz="4" w:space="0" w:color="auto"/>
              <w:right w:val="single" w:sz="4" w:space="0" w:color="auto"/>
            </w:tcBorders>
          </w:tcPr>
          <w:p w:rsidR="00B9359B" w:rsidRDefault="009A5268">
            <w:pPr>
              <w:pStyle w:val="Tabletext"/>
              <w:framePr w:hSpace="181" w:wrap="notBeside" w:vAnchor="text" w:hAnchor="text" w:xAlign="center" w:y="1"/>
              <w:spacing w:before="50" w:after="50"/>
              <w:ind w:left="-57" w:right="-57"/>
              <w:jc w:val="center"/>
              <w:rPr>
                <w:lang w:val="en-US"/>
              </w:rPr>
            </w:pPr>
            <w:r>
              <w:rPr>
                <w:lang w:val="en-US"/>
              </w:rPr>
              <w:t>66.41</w:t>
            </w:r>
          </w:p>
        </w:tc>
        <w:tc>
          <w:tcPr>
            <w:tcW w:w="954" w:type="dxa"/>
            <w:tcBorders>
              <w:top w:val="single" w:sz="4" w:space="0" w:color="auto"/>
              <w:left w:val="single" w:sz="4" w:space="0" w:color="auto"/>
              <w:bottom w:val="single" w:sz="4" w:space="0" w:color="auto"/>
              <w:right w:val="single" w:sz="4" w:space="0" w:color="auto"/>
            </w:tcBorders>
          </w:tcPr>
          <w:p w:rsidR="00B9359B" w:rsidRDefault="009A5268">
            <w:pPr>
              <w:pStyle w:val="Tabletext"/>
              <w:framePr w:hSpace="181" w:wrap="notBeside" w:vAnchor="text" w:hAnchor="text" w:xAlign="center" w:y="1"/>
              <w:spacing w:before="50" w:after="50"/>
              <w:ind w:left="-57" w:right="-57"/>
              <w:jc w:val="center"/>
              <w:rPr>
                <w:lang w:val="en-US"/>
              </w:rPr>
            </w:pPr>
            <w:r>
              <w:rPr>
                <w:lang w:val="en-US"/>
              </w:rPr>
              <w:t>64.66</w:t>
            </w:r>
          </w:p>
        </w:tc>
        <w:tc>
          <w:tcPr>
            <w:tcW w:w="954" w:type="dxa"/>
            <w:tcBorders>
              <w:top w:val="single" w:sz="4" w:space="0" w:color="auto"/>
              <w:left w:val="single" w:sz="4" w:space="0" w:color="auto"/>
              <w:bottom w:val="single" w:sz="4" w:space="0" w:color="auto"/>
              <w:right w:val="single" w:sz="4" w:space="0" w:color="auto"/>
            </w:tcBorders>
          </w:tcPr>
          <w:p w:rsidR="00B9359B" w:rsidRDefault="009A5268">
            <w:pPr>
              <w:pStyle w:val="Tabletext"/>
              <w:framePr w:hSpace="181" w:wrap="notBeside" w:vAnchor="text" w:hAnchor="text" w:xAlign="center" w:y="1"/>
              <w:spacing w:before="50" w:after="50"/>
              <w:ind w:left="-57" w:right="-57"/>
              <w:jc w:val="center"/>
              <w:rPr>
                <w:lang w:val="en-US"/>
              </w:rPr>
            </w:pPr>
            <w:r>
              <w:rPr>
                <w:lang w:val="en-US"/>
              </w:rPr>
              <w:t>63</w:t>
            </w:r>
          </w:p>
        </w:tc>
        <w:tc>
          <w:tcPr>
            <w:tcW w:w="954" w:type="dxa"/>
            <w:tcBorders>
              <w:top w:val="single" w:sz="4" w:space="0" w:color="auto"/>
              <w:left w:val="single" w:sz="4" w:space="0" w:color="auto"/>
              <w:bottom w:val="single" w:sz="4" w:space="0" w:color="auto"/>
            </w:tcBorders>
          </w:tcPr>
          <w:p w:rsidR="00B9359B" w:rsidRDefault="009A5268">
            <w:pPr>
              <w:pStyle w:val="Tabletext"/>
              <w:framePr w:hSpace="181" w:wrap="notBeside" w:vAnchor="text" w:hAnchor="text" w:xAlign="center" w:y="1"/>
              <w:spacing w:before="50" w:after="50"/>
              <w:ind w:left="-57" w:right="-57"/>
              <w:jc w:val="center"/>
              <w:rPr>
                <w:lang w:val="en-US"/>
              </w:rPr>
            </w:pPr>
            <w:r>
              <w:rPr>
                <w:lang w:val="en-US"/>
              </w:rPr>
              <w:t>10</w:t>
            </w:r>
          </w:p>
        </w:tc>
      </w:tr>
      <w:tr w:rsidR="00B9359B">
        <w:tc>
          <w:tcPr>
            <w:tcW w:w="4869" w:type="dxa"/>
            <w:tcBorders>
              <w:top w:val="single" w:sz="4" w:space="0" w:color="auto"/>
              <w:bottom w:val="single" w:sz="4" w:space="0" w:color="auto"/>
              <w:right w:val="single" w:sz="4" w:space="0" w:color="auto"/>
            </w:tcBorders>
          </w:tcPr>
          <w:p w:rsidR="00B9359B" w:rsidRDefault="009A5268">
            <w:pPr>
              <w:pStyle w:val="Tabletext"/>
              <w:framePr w:hSpace="181" w:wrap="notBeside" w:vAnchor="text" w:hAnchor="text" w:xAlign="center" w:y="1"/>
              <w:spacing w:before="50" w:after="50"/>
              <w:ind w:right="-138"/>
              <w:jc w:val="left"/>
              <w:rPr>
                <w:lang w:val="en-US"/>
              </w:rPr>
            </w:pPr>
            <w:r>
              <w:rPr>
                <w:lang w:val="en-US"/>
              </w:rPr>
              <w:t>Maximum link distance (km)</w:t>
            </w:r>
          </w:p>
        </w:tc>
        <w:tc>
          <w:tcPr>
            <w:tcW w:w="954" w:type="dxa"/>
            <w:tcBorders>
              <w:top w:val="single" w:sz="4" w:space="0" w:color="auto"/>
              <w:left w:val="single" w:sz="4" w:space="0" w:color="auto"/>
              <w:bottom w:val="single" w:sz="4" w:space="0" w:color="auto"/>
              <w:right w:val="single" w:sz="4" w:space="0" w:color="auto"/>
            </w:tcBorders>
          </w:tcPr>
          <w:p w:rsidR="00B9359B" w:rsidRDefault="009A5268">
            <w:pPr>
              <w:pStyle w:val="Tabletext"/>
              <w:framePr w:hSpace="181" w:wrap="notBeside" w:vAnchor="text" w:hAnchor="text" w:xAlign="center" w:y="1"/>
              <w:spacing w:before="50" w:after="50"/>
              <w:ind w:left="-57" w:right="-57"/>
              <w:jc w:val="center"/>
              <w:rPr>
                <w:lang w:val="en-US"/>
              </w:rPr>
            </w:pPr>
            <w:r>
              <w:rPr>
                <w:lang w:val="en-US"/>
              </w:rPr>
              <w:t>5</w:t>
            </w:r>
            <w:r>
              <w:rPr>
                <w:rFonts w:ascii="Tms Rmn" w:hAnsi="Tms Rmn"/>
                <w:sz w:val="12"/>
                <w:lang w:val="en-US"/>
              </w:rPr>
              <w:t> </w:t>
            </w:r>
            <w:r>
              <w:rPr>
                <w:lang w:val="en-US"/>
              </w:rPr>
              <w:t>226</w:t>
            </w:r>
          </w:p>
        </w:tc>
        <w:tc>
          <w:tcPr>
            <w:tcW w:w="954" w:type="dxa"/>
            <w:tcBorders>
              <w:top w:val="single" w:sz="4" w:space="0" w:color="auto"/>
              <w:left w:val="single" w:sz="4" w:space="0" w:color="auto"/>
              <w:bottom w:val="single" w:sz="4" w:space="0" w:color="auto"/>
              <w:right w:val="single" w:sz="4" w:space="0" w:color="auto"/>
            </w:tcBorders>
          </w:tcPr>
          <w:p w:rsidR="00B9359B" w:rsidRDefault="009A5268">
            <w:pPr>
              <w:pStyle w:val="Tabletext"/>
              <w:framePr w:hSpace="181" w:wrap="notBeside" w:vAnchor="text" w:hAnchor="text" w:xAlign="center" w:y="1"/>
              <w:spacing w:before="50" w:after="50"/>
              <w:ind w:left="-57" w:right="-57"/>
              <w:jc w:val="center"/>
              <w:rPr>
                <w:lang w:val="en-US"/>
              </w:rPr>
            </w:pPr>
            <w:r>
              <w:rPr>
                <w:lang w:val="en-US"/>
              </w:rPr>
              <w:t>5</w:t>
            </w:r>
            <w:r>
              <w:rPr>
                <w:rFonts w:ascii="Tms Rmn" w:hAnsi="Tms Rmn"/>
                <w:sz w:val="12"/>
                <w:lang w:val="en-US"/>
              </w:rPr>
              <w:t> </w:t>
            </w:r>
            <w:r>
              <w:rPr>
                <w:lang w:val="en-US"/>
              </w:rPr>
              <w:t>746</w:t>
            </w:r>
          </w:p>
        </w:tc>
        <w:tc>
          <w:tcPr>
            <w:tcW w:w="954" w:type="dxa"/>
            <w:tcBorders>
              <w:top w:val="single" w:sz="4" w:space="0" w:color="auto"/>
              <w:left w:val="single" w:sz="4" w:space="0" w:color="auto"/>
              <w:bottom w:val="single" w:sz="4" w:space="0" w:color="auto"/>
              <w:right w:val="single" w:sz="4" w:space="0" w:color="auto"/>
            </w:tcBorders>
          </w:tcPr>
          <w:p w:rsidR="00B9359B" w:rsidRDefault="009A5268">
            <w:pPr>
              <w:pStyle w:val="Tabletext"/>
              <w:framePr w:hSpace="181" w:wrap="notBeside" w:vAnchor="text" w:hAnchor="text" w:xAlign="center" w:y="1"/>
              <w:spacing w:before="50" w:after="50"/>
              <w:ind w:left="-57" w:right="-57"/>
              <w:jc w:val="center"/>
              <w:rPr>
                <w:lang w:val="en-US"/>
              </w:rPr>
            </w:pPr>
            <w:r>
              <w:rPr>
                <w:lang w:val="en-US"/>
              </w:rPr>
              <w:t>6</w:t>
            </w:r>
            <w:r>
              <w:rPr>
                <w:rFonts w:ascii="Tms Rmn" w:hAnsi="Tms Rmn"/>
                <w:sz w:val="12"/>
                <w:lang w:val="en-US"/>
              </w:rPr>
              <w:t> </w:t>
            </w:r>
            <w:r>
              <w:rPr>
                <w:lang w:val="en-US"/>
              </w:rPr>
              <w:t>229</w:t>
            </w:r>
          </w:p>
        </w:tc>
        <w:tc>
          <w:tcPr>
            <w:tcW w:w="954" w:type="dxa"/>
            <w:tcBorders>
              <w:top w:val="single" w:sz="4" w:space="0" w:color="auto"/>
              <w:left w:val="single" w:sz="4" w:space="0" w:color="auto"/>
              <w:bottom w:val="single" w:sz="4" w:space="0" w:color="auto"/>
              <w:right w:val="single" w:sz="4" w:space="0" w:color="auto"/>
            </w:tcBorders>
          </w:tcPr>
          <w:p w:rsidR="00B9359B" w:rsidRDefault="009A5268">
            <w:pPr>
              <w:pStyle w:val="Tabletext"/>
              <w:framePr w:hSpace="181" w:wrap="notBeside" w:vAnchor="text" w:hAnchor="text" w:xAlign="center" w:y="1"/>
              <w:spacing w:before="50" w:after="50"/>
              <w:ind w:left="-57" w:right="-57"/>
              <w:jc w:val="center"/>
              <w:rPr>
                <w:lang w:val="en-US"/>
              </w:rPr>
            </w:pPr>
            <w:r>
              <w:rPr>
                <w:lang w:val="en-US"/>
              </w:rPr>
              <w:t>6</w:t>
            </w:r>
            <w:r>
              <w:rPr>
                <w:rFonts w:ascii="Tms Rmn" w:hAnsi="Tms Rmn"/>
                <w:sz w:val="12"/>
                <w:lang w:val="en-US"/>
              </w:rPr>
              <w:t> </w:t>
            </w:r>
            <w:r>
              <w:rPr>
                <w:lang w:val="en-US"/>
              </w:rPr>
              <w:t>683</w:t>
            </w:r>
          </w:p>
        </w:tc>
        <w:tc>
          <w:tcPr>
            <w:tcW w:w="954" w:type="dxa"/>
            <w:tcBorders>
              <w:top w:val="single" w:sz="4" w:space="0" w:color="auto"/>
              <w:left w:val="single" w:sz="4" w:space="0" w:color="auto"/>
              <w:bottom w:val="single" w:sz="4" w:space="0" w:color="auto"/>
            </w:tcBorders>
          </w:tcPr>
          <w:p w:rsidR="00B9359B" w:rsidRDefault="009A5268">
            <w:pPr>
              <w:pStyle w:val="Tabletext"/>
              <w:framePr w:hSpace="181" w:wrap="notBeside" w:vAnchor="text" w:hAnchor="text" w:xAlign="center" w:y="1"/>
              <w:spacing w:before="50" w:after="50"/>
              <w:ind w:left="-57" w:right="-57"/>
              <w:jc w:val="center"/>
              <w:rPr>
                <w:lang w:val="en-US"/>
              </w:rPr>
            </w:pPr>
            <w:r>
              <w:rPr>
                <w:lang w:val="en-US"/>
              </w:rPr>
              <w:t>83</w:t>
            </w:r>
            <w:r>
              <w:rPr>
                <w:rFonts w:ascii="Tms Rmn" w:hAnsi="Tms Rmn"/>
                <w:sz w:val="12"/>
                <w:lang w:val="en-US"/>
              </w:rPr>
              <w:t> </w:t>
            </w:r>
            <w:r>
              <w:rPr>
                <w:lang w:val="en-US"/>
              </w:rPr>
              <w:t>460</w:t>
            </w:r>
          </w:p>
        </w:tc>
      </w:tr>
    </w:tbl>
    <w:p w:rsidR="00B9359B" w:rsidRDefault="00B9359B">
      <w:pPr>
        <w:pStyle w:val="Tablefin"/>
        <w:spacing w:before="0"/>
      </w:pPr>
    </w:p>
    <w:p w:rsidR="00B9359B" w:rsidRDefault="009A5268">
      <w:pPr>
        <w:pStyle w:val="Heading1"/>
        <w:rPr>
          <w:lang w:val="en-US"/>
        </w:rPr>
      </w:pPr>
      <w:bookmarkStart w:id="369" w:name="_Toc51045769"/>
      <w:r>
        <w:rPr>
          <w:lang w:val="en-US"/>
        </w:rPr>
        <w:t>3</w:t>
      </w:r>
      <w:r>
        <w:rPr>
          <w:lang w:val="en-US"/>
        </w:rPr>
        <w:tab/>
        <w:t>Compatibility threshold</w:t>
      </w:r>
      <w:bookmarkEnd w:id="369"/>
    </w:p>
    <w:p w:rsidR="00B9359B" w:rsidRDefault="009A5268">
      <w:pPr>
        <w:rPr>
          <w:lang w:val="en-US"/>
        </w:rPr>
      </w:pPr>
      <w:r>
        <w:rPr>
          <w:lang w:val="en-US"/>
        </w:rPr>
        <w:t>The interference threshold is –163 dBW in a 100 MHz reference bandwidth. The value listed in Recommendation ITU-R SA.1029 (for a specific band) is the maximum allowable interference level for the passive sensor.</w:t>
      </w:r>
    </w:p>
    <w:p w:rsidR="00B9359B" w:rsidRDefault="009A5268">
      <w:pPr>
        <w:rPr>
          <w:lang w:val="en-US"/>
        </w:rPr>
      </w:pPr>
      <w:r>
        <w:rPr>
          <w:lang w:val="en-US"/>
        </w:rPr>
        <w:t>This Annex provides an analysis of the interference generated by a single active service. Therefore further work is needed to address the impact of multiple active services above and below the passive band.</w:t>
      </w:r>
    </w:p>
    <w:p w:rsidR="00B9359B" w:rsidRDefault="009A5268">
      <w:pPr>
        <w:pStyle w:val="Heading1"/>
        <w:rPr>
          <w:lang w:val="en-US"/>
        </w:rPr>
      </w:pPr>
      <w:bookmarkStart w:id="370" w:name="_Toc51045770"/>
      <w:r>
        <w:rPr>
          <w:lang w:val="en-US"/>
        </w:rPr>
        <w:t>4</w:t>
      </w:r>
      <w:r>
        <w:rPr>
          <w:lang w:val="en-US"/>
        </w:rPr>
        <w:tab/>
        <w:t>Interference assessment</w:t>
      </w:r>
      <w:bookmarkEnd w:id="370"/>
    </w:p>
    <w:p w:rsidR="00B9359B" w:rsidRDefault="009A5268">
      <w:pPr>
        <w:pStyle w:val="Heading2"/>
        <w:spacing w:before="120" w:after="120"/>
        <w:rPr>
          <w:lang w:val="en-US"/>
        </w:rPr>
      </w:pPr>
      <w:bookmarkStart w:id="371" w:name="_Toc51045771"/>
      <w:r>
        <w:rPr>
          <w:lang w:val="en-US"/>
        </w:rPr>
        <w:t>4.1</w:t>
      </w:r>
      <w:r>
        <w:rPr>
          <w:lang w:val="en-US"/>
        </w:rPr>
        <w:tab/>
        <w:t>Methodology used to assess interference level</w:t>
      </w:r>
      <w:bookmarkEnd w:id="371"/>
    </w:p>
    <w:p w:rsidR="00B9359B" w:rsidRDefault="009A5268">
      <w:pPr>
        <w:rPr>
          <w:lang w:val="en-US"/>
        </w:rPr>
      </w:pPr>
      <w:r>
        <w:rPr>
          <w:lang w:val="en-US"/>
        </w:rPr>
        <w:t>This is a purely static analysis, which evaluates the worst case interference received from one unique satellite of the Hib</w:t>
      </w:r>
      <w:r>
        <w:rPr>
          <w:lang w:val="en-US"/>
        </w:rPr>
        <w:noBreakHyphen/>
        <w:t>Leo 2 constellation. The interference assessment is implemented in two steps.</w:t>
      </w:r>
    </w:p>
    <w:p w:rsidR="00B9359B" w:rsidRDefault="009A5268">
      <w:pPr>
        <w:rPr>
          <w:lang w:val="en-US"/>
        </w:rPr>
      </w:pPr>
      <w:r>
        <w:rPr>
          <w:bCs/>
          <w:lang w:val="en-US"/>
        </w:rPr>
        <w:t>As a first step, t</w:t>
      </w:r>
      <w:r>
        <w:rPr>
          <w:lang w:val="en-US"/>
        </w:rPr>
        <w:t>he power received by the passive sensor from the inter-satellite link is computed in various geometric configurations, under the assumption that the passive sensor and the inter-satellite links are co-frequency. In order to be consistent with the interference threshold which is referred to a 100 MHz reference bandwidth (see Recommendation ITU-R SA.1029), the analysis is performed in the lowest 100 MHz wide part of the EESS passive allocation (23.6-23.7 GHz), which is the closest to the ISS allocation. Therefore, assuming that the necessary bandwidth of the ISS is 200 MHz (see Table 37), only half of the total ISS power is received by the passive sensor in a 100 MHz reference bandwidth. This amount of power is then compared to the interference threshold of the passive sensor. The excess (if any) of the power received by the passive sensor over the interference threshold is the required attenuation of OoB emissions that must be achieved to protect the EESS.</w:t>
      </w:r>
    </w:p>
    <w:p w:rsidR="00B9359B" w:rsidRDefault="009A5268">
      <w:pPr>
        <w:rPr>
          <w:sz w:val="22"/>
          <w:lang w:val="en-US"/>
        </w:rPr>
      </w:pPr>
      <w:r>
        <w:rPr>
          <w:bCs/>
          <w:lang w:val="en-US"/>
        </w:rPr>
        <w:t xml:space="preserve">The second step </w:t>
      </w:r>
      <w:r>
        <w:rPr>
          <w:lang w:val="en-US"/>
        </w:rPr>
        <w:t xml:space="preserve">consists of using the OoB emission limits for space services contained in Annex 5 of Recommendation ITU-R SM.1541. The application of this Recommendation provides spectral attenuations in the 100 MHz lowermost part of the EESS allocation that will be compared to the </w:t>
      </w:r>
      <w:r>
        <w:rPr>
          <w:lang w:val="en-US"/>
        </w:rPr>
        <w:br w:type="page"/>
        <w:t>results of the first step. If the interference threshold is still exceeded, then methods for reducing the power in the passive band should be identified.</w:t>
      </w:r>
    </w:p>
    <w:p w:rsidR="00B9359B" w:rsidRDefault="009A5268">
      <w:pPr>
        <w:pStyle w:val="Heading2"/>
        <w:rPr>
          <w:lang w:val="en-US"/>
        </w:rPr>
      </w:pPr>
      <w:bookmarkStart w:id="372" w:name="_Toc51045772"/>
      <w:r>
        <w:rPr>
          <w:lang w:val="en-US"/>
        </w:rPr>
        <w:t>4.2</w:t>
      </w:r>
      <w:r>
        <w:rPr>
          <w:lang w:val="en-US"/>
        </w:rPr>
        <w:tab/>
        <w:t>Calculations of interference level for conically scanned passive sensor</w:t>
      </w:r>
      <w:bookmarkEnd w:id="372"/>
    </w:p>
    <w:p w:rsidR="00B9359B" w:rsidRDefault="009A5268">
      <w:pPr>
        <w:pStyle w:val="Heading3"/>
        <w:rPr>
          <w:lang w:val="en-US"/>
        </w:rPr>
      </w:pPr>
      <w:bookmarkStart w:id="373" w:name="_Toc51045773"/>
      <w:r>
        <w:rPr>
          <w:lang w:val="en-US"/>
        </w:rPr>
        <w:t>4.2.1</w:t>
      </w:r>
      <w:r>
        <w:rPr>
          <w:lang w:val="en-US"/>
        </w:rPr>
        <w:tab/>
        <w:t>ISS satellite is right above the passive sensor</w:t>
      </w:r>
      <w:bookmarkEnd w:id="373"/>
    </w:p>
    <w:p w:rsidR="00B9359B" w:rsidRDefault="009A5268">
      <w:pPr>
        <w:rPr>
          <w:lang w:val="en-US"/>
        </w:rPr>
      </w:pPr>
      <w:r>
        <w:rPr>
          <w:lang w:val="en-US"/>
        </w:rPr>
        <w:t>A very simple geometric situation is when the ISS satellite is right above the EESS sensor. In that situation, the antenna gain EESS sensor is much lower than the maximum. This case only occurs with the EOS AMSR</w:t>
      </w:r>
      <w:r>
        <w:rPr>
          <w:lang w:val="en-US"/>
        </w:rPr>
        <w:noBreakHyphen/>
        <w:t>E radiometer.</w:t>
      </w:r>
    </w:p>
    <w:p w:rsidR="00B9359B" w:rsidRDefault="009A5268">
      <w:pPr>
        <w:pStyle w:val="TableNo"/>
        <w:spacing w:before="200"/>
        <w:rPr>
          <w:lang w:val="en-US"/>
        </w:rPr>
      </w:pPr>
      <w:r>
        <w:rPr>
          <w:lang w:val="en-US"/>
        </w:rPr>
        <w:t>TABLE  38</w:t>
      </w:r>
    </w:p>
    <w:p w:rsidR="00B9359B" w:rsidRDefault="009A5268">
      <w:pPr>
        <w:pStyle w:val="Tabletitle"/>
        <w:rPr>
          <w:lang w:val="en-US"/>
        </w:rPr>
      </w:pPr>
      <w:r>
        <w:rPr>
          <w:lang w:val="en-US"/>
        </w:rPr>
        <w:t>Compatibility analysis between Hib-Leo 2 and EOS AMSR-E</w:t>
      </w:r>
    </w:p>
    <w:tbl>
      <w:tblPr>
        <w:tblW w:w="0" w:type="auto"/>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A0" w:firstRow="1" w:lastRow="0" w:firstColumn="1" w:lastColumn="0" w:noHBand="0" w:noVBand="0"/>
      </w:tblPr>
      <w:tblGrid>
        <w:gridCol w:w="6350"/>
        <w:gridCol w:w="3175"/>
      </w:tblGrid>
      <w:tr w:rsidR="00B9359B">
        <w:tc>
          <w:tcPr>
            <w:tcW w:w="6350" w:type="dxa"/>
          </w:tcPr>
          <w:p w:rsidR="00B9359B" w:rsidRDefault="009A5268">
            <w:pPr>
              <w:pStyle w:val="Tablehead"/>
              <w:framePr w:hSpace="181" w:wrap="notBeside" w:vAnchor="text" w:hAnchor="text" w:xAlign="center" w:y="1"/>
              <w:rPr>
                <w:lang w:val="en-US"/>
              </w:rPr>
            </w:pPr>
            <w:r>
              <w:rPr>
                <w:lang w:val="en-US"/>
              </w:rPr>
              <w:t>Parameters</w:t>
            </w:r>
          </w:p>
        </w:tc>
        <w:tc>
          <w:tcPr>
            <w:tcW w:w="3175" w:type="dxa"/>
          </w:tcPr>
          <w:p w:rsidR="00B9359B" w:rsidRDefault="009A5268">
            <w:pPr>
              <w:pStyle w:val="Tablehead"/>
              <w:framePr w:hSpace="181" w:wrap="notBeside" w:vAnchor="text" w:hAnchor="text" w:xAlign="center" w:y="1"/>
              <w:rPr>
                <w:lang w:val="en-US"/>
              </w:rPr>
            </w:pPr>
            <w:r>
              <w:rPr>
                <w:lang w:val="en-US"/>
              </w:rPr>
              <w:t>Value achieved</w:t>
            </w:r>
          </w:p>
        </w:tc>
      </w:tr>
      <w:tr w:rsidR="00B9359B">
        <w:tc>
          <w:tcPr>
            <w:tcW w:w="6350" w:type="dxa"/>
          </w:tcPr>
          <w:p w:rsidR="00B9359B" w:rsidRDefault="009A5268">
            <w:pPr>
              <w:pStyle w:val="Tabletext"/>
              <w:framePr w:hSpace="181" w:wrap="notBeside" w:vAnchor="text" w:hAnchor="text" w:xAlign="center" w:y="1"/>
              <w:rPr>
                <w:lang w:val="en-US"/>
              </w:rPr>
            </w:pPr>
            <w:r>
              <w:rPr>
                <w:lang w:val="en-US"/>
              </w:rPr>
              <w:t>ISS frequency range (GHz)</w:t>
            </w:r>
          </w:p>
        </w:tc>
        <w:tc>
          <w:tcPr>
            <w:tcW w:w="3175" w:type="dxa"/>
          </w:tcPr>
          <w:p w:rsidR="00B9359B" w:rsidRDefault="009A5268">
            <w:pPr>
              <w:pStyle w:val="Tabletext"/>
              <w:framePr w:hSpace="181" w:wrap="notBeside" w:vAnchor="text" w:hAnchor="text" w:xAlign="center" w:y="1"/>
              <w:jc w:val="center"/>
              <w:rPr>
                <w:lang w:val="en-US"/>
              </w:rPr>
            </w:pPr>
            <w:r>
              <w:rPr>
                <w:lang w:val="en-US"/>
              </w:rPr>
              <w:t>23.183-23.377</w:t>
            </w:r>
          </w:p>
        </w:tc>
      </w:tr>
      <w:tr w:rsidR="00B9359B">
        <w:tc>
          <w:tcPr>
            <w:tcW w:w="6350" w:type="dxa"/>
          </w:tcPr>
          <w:p w:rsidR="00B9359B" w:rsidRDefault="009A5268">
            <w:pPr>
              <w:pStyle w:val="Tabletext"/>
              <w:framePr w:hSpace="181" w:wrap="notBeside" w:vAnchor="text" w:hAnchor="text" w:xAlign="center" w:y="1"/>
              <w:rPr>
                <w:lang w:val="en-US"/>
              </w:rPr>
            </w:pPr>
            <w:r>
              <w:rPr>
                <w:lang w:val="en-US"/>
              </w:rPr>
              <w:t>e.i.r.p./carrier (dBW)</w:t>
            </w:r>
          </w:p>
        </w:tc>
        <w:tc>
          <w:tcPr>
            <w:tcW w:w="3175" w:type="dxa"/>
          </w:tcPr>
          <w:p w:rsidR="00B9359B" w:rsidRDefault="009A5268">
            <w:pPr>
              <w:pStyle w:val="Tabletext"/>
              <w:framePr w:hSpace="181" w:wrap="notBeside" w:vAnchor="text" w:hAnchor="text" w:xAlign="center" w:y="1"/>
              <w:jc w:val="center"/>
              <w:rPr>
                <w:lang w:val="en-US"/>
              </w:rPr>
            </w:pPr>
            <w:r>
              <w:rPr>
                <w:lang w:val="en-US"/>
              </w:rPr>
              <w:t>12.2</w:t>
            </w:r>
          </w:p>
        </w:tc>
      </w:tr>
      <w:tr w:rsidR="00B9359B">
        <w:tc>
          <w:tcPr>
            <w:tcW w:w="6350" w:type="dxa"/>
          </w:tcPr>
          <w:p w:rsidR="00B9359B" w:rsidRDefault="009A5268">
            <w:pPr>
              <w:pStyle w:val="Tabletext"/>
              <w:framePr w:hSpace="181" w:wrap="notBeside" w:vAnchor="text" w:hAnchor="text" w:xAlign="center" w:y="1"/>
              <w:rPr>
                <w:lang w:val="en-US"/>
              </w:rPr>
            </w:pPr>
            <w:r>
              <w:rPr>
                <w:lang w:val="en-US"/>
              </w:rPr>
              <w:t>Bandwidth (MHz)</w:t>
            </w:r>
          </w:p>
        </w:tc>
        <w:tc>
          <w:tcPr>
            <w:tcW w:w="3175" w:type="dxa"/>
          </w:tcPr>
          <w:p w:rsidR="00B9359B" w:rsidRDefault="009A5268">
            <w:pPr>
              <w:pStyle w:val="Tabletext"/>
              <w:framePr w:hSpace="181" w:wrap="notBeside" w:vAnchor="text" w:hAnchor="text" w:xAlign="center" w:y="1"/>
              <w:jc w:val="center"/>
              <w:rPr>
                <w:lang w:val="en-US"/>
              </w:rPr>
            </w:pPr>
            <w:r>
              <w:rPr>
                <w:lang w:val="en-US"/>
              </w:rPr>
              <w:t>194</w:t>
            </w:r>
          </w:p>
        </w:tc>
      </w:tr>
      <w:tr w:rsidR="00B9359B">
        <w:tc>
          <w:tcPr>
            <w:tcW w:w="6350" w:type="dxa"/>
          </w:tcPr>
          <w:p w:rsidR="00B9359B" w:rsidRDefault="009A5268">
            <w:pPr>
              <w:pStyle w:val="Tabletext"/>
              <w:framePr w:hSpace="181" w:wrap="notBeside" w:vAnchor="text" w:hAnchor="text" w:xAlign="center" w:y="1"/>
              <w:rPr>
                <w:lang w:val="en-US"/>
              </w:rPr>
            </w:pPr>
            <w:r>
              <w:rPr>
                <w:lang w:val="en-US"/>
              </w:rPr>
              <w:t>Distance ISS space station – EESS sensor (km)</w:t>
            </w:r>
          </w:p>
        </w:tc>
        <w:tc>
          <w:tcPr>
            <w:tcW w:w="3175" w:type="dxa"/>
          </w:tcPr>
          <w:p w:rsidR="00B9359B" w:rsidRDefault="009A5268">
            <w:pPr>
              <w:pStyle w:val="Tabletext"/>
              <w:framePr w:hSpace="181" w:wrap="notBeside" w:vAnchor="text" w:hAnchor="text" w:xAlign="center" w:y="1"/>
              <w:jc w:val="center"/>
              <w:rPr>
                <w:lang w:val="en-US"/>
              </w:rPr>
            </w:pPr>
            <w:r>
              <w:rPr>
                <w:lang w:val="en-US"/>
              </w:rPr>
              <w:t>75</w:t>
            </w:r>
          </w:p>
        </w:tc>
      </w:tr>
      <w:tr w:rsidR="00B9359B">
        <w:tc>
          <w:tcPr>
            <w:tcW w:w="6350" w:type="dxa"/>
          </w:tcPr>
          <w:p w:rsidR="00B9359B" w:rsidRDefault="009A5268">
            <w:pPr>
              <w:pStyle w:val="Tabletext"/>
              <w:framePr w:hSpace="181" w:wrap="notBeside" w:vAnchor="text" w:hAnchor="text" w:xAlign="center" w:y="1"/>
              <w:rPr>
                <w:lang w:val="en-US"/>
              </w:rPr>
            </w:pPr>
            <w:r>
              <w:rPr>
                <w:lang w:val="en-US"/>
              </w:rPr>
              <w:t>Space attenuation (dB)</w:t>
            </w:r>
          </w:p>
        </w:tc>
        <w:tc>
          <w:tcPr>
            <w:tcW w:w="3175" w:type="dxa"/>
          </w:tcPr>
          <w:p w:rsidR="00B9359B" w:rsidRDefault="009A5268">
            <w:pPr>
              <w:pStyle w:val="Tabletext"/>
              <w:framePr w:hSpace="181" w:wrap="notBeside" w:vAnchor="text" w:hAnchor="text" w:xAlign="center" w:y="1"/>
              <w:jc w:val="center"/>
              <w:rPr>
                <w:lang w:val="en-US"/>
              </w:rPr>
            </w:pPr>
            <w:r>
              <w:rPr>
                <w:lang w:val="en-US"/>
              </w:rPr>
              <w:t>157.5</w:t>
            </w:r>
          </w:p>
        </w:tc>
      </w:tr>
      <w:tr w:rsidR="00B9359B">
        <w:tc>
          <w:tcPr>
            <w:tcW w:w="6350" w:type="dxa"/>
          </w:tcPr>
          <w:p w:rsidR="00B9359B" w:rsidRDefault="009A5268">
            <w:pPr>
              <w:pStyle w:val="Tabletext"/>
              <w:framePr w:hSpace="181" w:wrap="notBeside" w:vAnchor="text" w:hAnchor="text" w:xAlign="center" w:y="1"/>
              <w:rPr>
                <w:lang w:val="en-US"/>
              </w:rPr>
            </w:pPr>
            <w:r>
              <w:rPr>
                <w:lang w:val="en-US"/>
              </w:rPr>
              <w:t>EESS antenna gain (dBi)</w:t>
            </w:r>
          </w:p>
        </w:tc>
        <w:tc>
          <w:tcPr>
            <w:tcW w:w="3175" w:type="dxa"/>
          </w:tcPr>
          <w:p w:rsidR="00B9359B" w:rsidRDefault="009A5268">
            <w:pPr>
              <w:pStyle w:val="Tabletext"/>
              <w:framePr w:hSpace="181" w:wrap="notBeside" w:vAnchor="text" w:hAnchor="text" w:xAlign="center" w:y="1"/>
              <w:jc w:val="center"/>
              <w:rPr>
                <w:lang w:val="en-US"/>
              </w:rPr>
            </w:pPr>
            <w:r>
              <w:sym w:font="Symbol" w:char="F02D"/>
            </w:r>
            <w:r>
              <w:rPr>
                <w:lang w:val="en-US"/>
              </w:rPr>
              <w:t>19</w:t>
            </w:r>
          </w:p>
        </w:tc>
      </w:tr>
      <w:tr w:rsidR="00B9359B">
        <w:tc>
          <w:tcPr>
            <w:tcW w:w="6350" w:type="dxa"/>
          </w:tcPr>
          <w:p w:rsidR="00B9359B" w:rsidRDefault="009A5268">
            <w:pPr>
              <w:pStyle w:val="Tabletext"/>
              <w:framePr w:hSpace="181" w:wrap="notBeside" w:vAnchor="text" w:hAnchor="text" w:xAlign="center" w:y="1"/>
              <w:rPr>
                <w:lang w:val="en-US"/>
              </w:rPr>
            </w:pPr>
            <w:r>
              <w:rPr>
                <w:lang w:val="en-US"/>
              </w:rPr>
              <w:t>Received power at the EESS in the above bandwidth (dBW)</w:t>
            </w:r>
          </w:p>
        </w:tc>
        <w:tc>
          <w:tcPr>
            <w:tcW w:w="3175" w:type="dxa"/>
          </w:tcPr>
          <w:p w:rsidR="00B9359B" w:rsidRDefault="009A5268">
            <w:pPr>
              <w:pStyle w:val="Tabletext"/>
              <w:framePr w:hSpace="181" w:wrap="notBeside" w:vAnchor="text" w:hAnchor="text" w:xAlign="center" w:y="1"/>
              <w:jc w:val="center"/>
              <w:rPr>
                <w:lang w:val="en-US"/>
              </w:rPr>
            </w:pPr>
            <w:r>
              <w:sym w:font="Symbol" w:char="F02D"/>
            </w:r>
            <w:r>
              <w:rPr>
                <w:lang w:val="en-US"/>
              </w:rPr>
              <w:t>164.3</w:t>
            </w:r>
          </w:p>
        </w:tc>
      </w:tr>
      <w:tr w:rsidR="00B9359B">
        <w:tc>
          <w:tcPr>
            <w:tcW w:w="6350" w:type="dxa"/>
          </w:tcPr>
          <w:p w:rsidR="00B9359B" w:rsidRDefault="009A5268">
            <w:pPr>
              <w:pStyle w:val="Tabletext"/>
              <w:framePr w:hSpace="181" w:wrap="notBeside" w:vAnchor="text" w:hAnchor="text" w:xAlign="center" w:y="1"/>
              <w:jc w:val="left"/>
              <w:rPr>
                <w:lang w:val="en-US"/>
              </w:rPr>
            </w:pPr>
            <w:r>
              <w:rPr>
                <w:lang w:val="en-US"/>
              </w:rPr>
              <w:t>Corresponding received power at the EESS in a bandwidth of 100 MHz (dBW)</w:t>
            </w:r>
          </w:p>
        </w:tc>
        <w:tc>
          <w:tcPr>
            <w:tcW w:w="3175" w:type="dxa"/>
          </w:tcPr>
          <w:p w:rsidR="00B9359B" w:rsidRDefault="009A5268">
            <w:pPr>
              <w:pStyle w:val="Tabletext"/>
              <w:framePr w:hSpace="181" w:wrap="notBeside" w:vAnchor="text" w:hAnchor="text" w:xAlign="center" w:y="1"/>
              <w:jc w:val="center"/>
              <w:rPr>
                <w:lang w:val="en-US"/>
              </w:rPr>
            </w:pPr>
            <w:r>
              <w:sym w:font="Symbol" w:char="F02D"/>
            </w:r>
            <w:r>
              <w:rPr>
                <w:lang w:val="en-US"/>
              </w:rPr>
              <w:t>167.2</w:t>
            </w:r>
          </w:p>
        </w:tc>
      </w:tr>
      <w:tr w:rsidR="00B9359B">
        <w:tc>
          <w:tcPr>
            <w:tcW w:w="6350" w:type="dxa"/>
          </w:tcPr>
          <w:p w:rsidR="00B9359B" w:rsidRDefault="009A5268">
            <w:pPr>
              <w:pStyle w:val="Tabletext"/>
              <w:framePr w:hSpace="181" w:wrap="notBeside" w:vAnchor="text" w:hAnchor="text" w:xAlign="center" w:y="1"/>
              <w:rPr>
                <w:lang w:val="en-US"/>
              </w:rPr>
            </w:pPr>
            <w:r>
              <w:rPr>
                <w:lang w:val="en-US"/>
              </w:rPr>
              <w:t>Interference threshold in a bandwidth of 100 MHz (dBW)</w:t>
            </w:r>
          </w:p>
        </w:tc>
        <w:tc>
          <w:tcPr>
            <w:tcW w:w="3175" w:type="dxa"/>
          </w:tcPr>
          <w:p w:rsidR="00B9359B" w:rsidRDefault="009A5268">
            <w:pPr>
              <w:pStyle w:val="Tabletext"/>
              <w:framePr w:hSpace="181" w:wrap="notBeside" w:vAnchor="text" w:hAnchor="text" w:xAlign="center" w:y="1"/>
              <w:jc w:val="center"/>
              <w:rPr>
                <w:lang w:val="en-US"/>
              </w:rPr>
            </w:pPr>
            <w:r>
              <w:sym w:font="Symbol" w:char="F02D"/>
            </w:r>
            <w:r>
              <w:rPr>
                <w:lang w:val="en-US"/>
              </w:rPr>
              <w:t>163</w:t>
            </w:r>
          </w:p>
        </w:tc>
      </w:tr>
      <w:tr w:rsidR="00B9359B">
        <w:tc>
          <w:tcPr>
            <w:tcW w:w="6350" w:type="dxa"/>
          </w:tcPr>
          <w:p w:rsidR="00B9359B" w:rsidRDefault="009A5268">
            <w:pPr>
              <w:pStyle w:val="Tabletext"/>
              <w:framePr w:hSpace="181" w:wrap="notBeside" w:vAnchor="text" w:hAnchor="text" w:xAlign="center" w:y="1"/>
              <w:rPr>
                <w:lang w:val="en-US"/>
              </w:rPr>
            </w:pPr>
            <w:r>
              <w:rPr>
                <w:lang w:val="en-US"/>
              </w:rPr>
              <w:t>Required spectral attenuation</w:t>
            </w:r>
          </w:p>
        </w:tc>
        <w:tc>
          <w:tcPr>
            <w:tcW w:w="3175" w:type="dxa"/>
          </w:tcPr>
          <w:p w:rsidR="00B9359B" w:rsidRDefault="009A5268">
            <w:pPr>
              <w:pStyle w:val="Tabletext"/>
              <w:framePr w:hSpace="181" w:wrap="notBeside" w:vAnchor="text" w:hAnchor="text" w:xAlign="center" w:y="1"/>
              <w:jc w:val="center"/>
              <w:rPr>
                <w:lang w:val="en-US"/>
              </w:rPr>
            </w:pPr>
            <w:r>
              <w:rPr>
                <w:lang w:val="en-US"/>
              </w:rPr>
              <w:t>0</w:t>
            </w:r>
          </w:p>
        </w:tc>
      </w:tr>
    </w:tbl>
    <w:p w:rsidR="00B9359B" w:rsidRDefault="00B9359B">
      <w:pPr>
        <w:pStyle w:val="Tablefin"/>
        <w:spacing w:before="0"/>
        <w:rPr>
          <w:sz w:val="6"/>
        </w:rPr>
      </w:pPr>
    </w:p>
    <w:p w:rsidR="00B9359B" w:rsidRDefault="009A5268">
      <w:pPr>
        <w:pStyle w:val="Heading3"/>
        <w:rPr>
          <w:lang w:val="en-US"/>
        </w:rPr>
      </w:pPr>
      <w:bookmarkStart w:id="374" w:name="_Toc51045774"/>
      <w:r>
        <w:rPr>
          <w:lang w:val="en-US"/>
        </w:rPr>
        <w:t>4.2.2</w:t>
      </w:r>
      <w:r>
        <w:rPr>
          <w:lang w:val="en-US"/>
        </w:rPr>
        <w:tab/>
        <w:t>ISS satellite is right below the passive sensor</w:t>
      </w:r>
      <w:bookmarkEnd w:id="374"/>
    </w:p>
    <w:p w:rsidR="00B9359B" w:rsidRDefault="009A5268">
      <w:pPr>
        <w:rPr>
          <w:lang w:val="en-US"/>
        </w:rPr>
      </w:pPr>
      <w:r>
        <w:rPr>
          <w:lang w:val="en-US"/>
        </w:rPr>
        <w:t>A very simple geometric situation is when the ISS satellite is right below the EESS sensor. In that situation, the antenna gain EESS sensor at its maximum. This case only occurs with the MEGHA</w:t>
      </w:r>
      <w:r>
        <w:rPr>
          <w:lang w:val="en-US"/>
        </w:rPr>
        <w:noBreakHyphen/>
        <w:t>TROPIC radiometer.</w:t>
      </w:r>
    </w:p>
    <w:p w:rsidR="00B9359B" w:rsidRDefault="009A5268">
      <w:pPr>
        <w:pStyle w:val="TableNo"/>
        <w:spacing w:before="200"/>
        <w:rPr>
          <w:lang w:val="en-US"/>
        </w:rPr>
      </w:pPr>
      <w:r>
        <w:rPr>
          <w:lang w:val="en-US"/>
        </w:rPr>
        <w:t>TABLE  39</w:t>
      </w:r>
    </w:p>
    <w:p w:rsidR="00B9359B" w:rsidRDefault="009A5268">
      <w:pPr>
        <w:pStyle w:val="Tabletitle"/>
        <w:rPr>
          <w:lang w:val="en-US"/>
        </w:rPr>
      </w:pPr>
      <w:r>
        <w:rPr>
          <w:lang w:val="en-US"/>
        </w:rPr>
        <w:t>Compatibility analysis between Hib-Leo 2 and MEGHA-TROPIC</w:t>
      </w:r>
    </w:p>
    <w:tbl>
      <w:tblPr>
        <w:tblW w:w="0" w:type="auto"/>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A0" w:firstRow="1" w:lastRow="0" w:firstColumn="1" w:lastColumn="0" w:noHBand="0" w:noVBand="0"/>
      </w:tblPr>
      <w:tblGrid>
        <w:gridCol w:w="6464"/>
        <w:gridCol w:w="3005"/>
      </w:tblGrid>
      <w:tr w:rsidR="00B9359B">
        <w:tc>
          <w:tcPr>
            <w:tcW w:w="6464" w:type="dxa"/>
          </w:tcPr>
          <w:p w:rsidR="00B9359B" w:rsidRDefault="009A5268">
            <w:pPr>
              <w:pStyle w:val="Tablehead"/>
              <w:framePr w:hSpace="181" w:wrap="notBeside" w:vAnchor="text" w:hAnchor="text" w:xAlign="center" w:y="1"/>
              <w:rPr>
                <w:lang w:val="es-ES"/>
              </w:rPr>
            </w:pPr>
            <w:r>
              <w:rPr>
                <w:lang w:val="es-ES"/>
              </w:rPr>
              <w:t>Parameters</w:t>
            </w:r>
          </w:p>
        </w:tc>
        <w:tc>
          <w:tcPr>
            <w:tcW w:w="3005" w:type="dxa"/>
          </w:tcPr>
          <w:p w:rsidR="00B9359B" w:rsidRDefault="009A5268">
            <w:pPr>
              <w:pStyle w:val="Tablehead"/>
              <w:framePr w:hSpace="181" w:wrap="notBeside" w:vAnchor="text" w:hAnchor="text" w:xAlign="center" w:y="1"/>
              <w:rPr>
                <w:lang w:val="es-ES"/>
              </w:rPr>
            </w:pPr>
            <w:r>
              <w:rPr>
                <w:lang w:val="es-ES"/>
              </w:rPr>
              <w:t>MEGHA-TROPIC</w:t>
            </w:r>
          </w:p>
        </w:tc>
      </w:tr>
      <w:tr w:rsidR="00B9359B">
        <w:tc>
          <w:tcPr>
            <w:tcW w:w="6464" w:type="dxa"/>
          </w:tcPr>
          <w:p w:rsidR="00B9359B" w:rsidRDefault="009A5268">
            <w:pPr>
              <w:pStyle w:val="Tabletext"/>
              <w:framePr w:hSpace="181" w:wrap="notBeside" w:vAnchor="text" w:hAnchor="text" w:xAlign="center" w:y="1"/>
              <w:rPr>
                <w:lang w:val="en-US"/>
              </w:rPr>
            </w:pPr>
            <w:r>
              <w:rPr>
                <w:lang w:val="en-US"/>
              </w:rPr>
              <w:t>ISS frequency range (GHz)</w:t>
            </w:r>
          </w:p>
        </w:tc>
        <w:tc>
          <w:tcPr>
            <w:tcW w:w="3005" w:type="dxa"/>
          </w:tcPr>
          <w:p w:rsidR="00B9359B" w:rsidRDefault="009A5268">
            <w:pPr>
              <w:pStyle w:val="Tabletext"/>
              <w:framePr w:hSpace="181" w:wrap="notBeside" w:vAnchor="text" w:hAnchor="text" w:xAlign="center" w:y="1"/>
              <w:jc w:val="center"/>
              <w:rPr>
                <w:lang w:val="en-US"/>
              </w:rPr>
            </w:pPr>
            <w:r>
              <w:rPr>
                <w:lang w:val="en-US"/>
              </w:rPr>
              <w:t>23.183-23.377</w:t>
            </w:r>
          </w:p>
        </w:tc>
      </w:tr>
      <w:tr w:rsidR="00B9359B">
        <w:tc>
          <w:tcPr>
            <w:tcW w:w="6464" w:type="dxa"/>
          </w:tcPr>
          <w:p w:rsidR="00B9359B" w:rsidRDefault="009A5268">
            <w:pPr>
              <w:pStyle w:val="Tabletext"/>
              <w:framePr w:hSpace="181" w:wrap="notBeside" w:vAnchor="text" w:hAnchor="text" w:xAlign="center" w:y="1"/>
              <w:rPr>
                <w:lang w:val="en-US"/>
              </w:rPr>
            </w:pPr>
            <w:r>
              <w:rPr>
                <w:lang w:val="en-US"/>
              </w:rPr>
              <w:t>e.i.r.p./carrier (dBW)</w:t>
            </w:r>
          </w:p>
        </w:tc>
        <w:tc>
          <w:tcPr>
            <w:tcW w:w="3005" w:type="dxa"/>
          </w:tcPr>
          <w:p w:rsidR="00B9359B" w:rsidRDefault="009A5268">
            <w:pPr>
              <w:pStyle w:val="Tabletext"/>
              <w:framePr w:hSpace="181" w:wrap="notBeside" w:vAnchor="text" w:hAnchor="text" w:xAlign="center" w:y="1"/>
              <w:jc w:val="center"/>
              <w:rPr>
                <w:lang w:val="en-US"/>
              </w:rPr>
            </w:pPr>
            <w:r>
              <w:rPr>
                <w:lang w:val="en-US"/>
              </w:rPr>
              <w:t>12.2</w:t>
            </w:r>
          </w:p>
        </w:tc>
      </w:tr>
      <w:tr w:rsidR="00B9359B">
        <w:tc>
          <w:tcPr>
            <w:tcW w:w="6464" w:type="dxa"/>
          </w:tcPr>
          <w:p w:rsidR="00B9359B" w:rsidRDefault="009A5268">
            <w:pPr>
              <w:pStyle w:val="Tabletext"/>
              <w:framePr w:hSpace="181" w:wrap="notBeside" w:vAnchor="text" w:hAnchor="text" w:xAlign="center" w:y="1"/>
              <w:rPr>
                <w:lang w:val="en-US"/>
              </w:rPr>
            </w:pPr>
            <w:r>
              <w:rPr>
                <w:lang w:val="en-US"/>
              </w:rPr>
              <w:t>Bandwidth (MHz)</w:t>
            </w:r>
          </w:p>
        </w:tc>
        <w:tc>
          <w:tcPr>
            <w:tcW w:w="3005" w:type="dxa"/>
          </w:tcPr>
          <w:p w:rsidR="00B9359B" w:rsidRDefault="009A5268">
            <w:pPr>
              <w:pStyle w:val="Tabletext"/>
              <w:framePr w:hSpace="181" w:wrap="notBeside" w:vAnchor="text" w:hAnchor="text" w:xAlign="center" w:y="1"/>
              <w:jc w:val="center"/>
              <w:rPr>
                <w:lang w:val="en-US"/>
              </w:rPr>
            </w:pPr>
            <w:r>
              <w:rPr>
                <w:lang w:val="en-US"/>
              </w:rPr>
              <w:t>194</w:t>
            </w:r>
          </w:p>
        </w:tc>
      </w:tr>
      <w:tr w:rsidR="00B9359B">
        <w:tc>
          <w:tcPr>
            <w:tcW w:w="6464" w:type="dxa"/>
          </w:tcPr>
          <w:p w:rsidR="00B9359B" w:rsidRDefault="009A5268">
            <w:pPr>
              <w:pStyle w:val="Tabletext"/>
              <w:framePr w:hSpace="181" w:wrap="notBeside" w:vAnchor="text" w:hAnchor="text" w:xAlign="center" w:y="1"/>
              <w:rPr>
                <w:lang w:val="en-US"/>
              </w:rPr>
            </w:pPr>
            <w:r>
              <w:rPr>
                <w:lang w:val="en-US"/>
              </w:rPr>
              <w:t>Distance ISS space station – EESS sensor (km)</w:t>
            </w:r>
          </w:p>
        </w:tc>
        <w:tc>
          <w:tcPr>
            <w:tcW w:w="3005" w:type="dxa"/>
          </w:tcPr>
          <w:p w:rsidR="00B9359B" w:rsidRDefault="009A5268">
            <w:pPr>
              <w:pStyle w:val="Tabletext"/>
              <w:framePr w:hSpace="181" w:wrap="notBeside" w:vAnchor="text" w:hAnchor="text" w:xAlign="center" w:y="1"/>
              <w:jc w:val="center"/>
              <w:rPr>
                <w:lang w:val="en-US"/>
              </w:rPr>
            </w:pPr>
            <w:r>
              <w:rPr>
                <w:lang w:val="en-US"/>
              </w:rPr>
              <w:t>56</w:t>
            </w:r>
          </w:p>
        </w:tc>
      </w:tr>
      <w:tr w:rsidR="00B9359B">
        <w:tc>
          <w:tcPr>
            <w:tcW w:w="6464" w:type="dxa"/>
          </w:tcPr>
          <w:p w:rsidR="00B9359B" w:rsidRDefault="009A5268">
            <w:pPr>
              <w:pStyle w:val="Tabletext"/>
              <w:framePr w:hSpace="181" w:wrap="notBeside" w:vAnchor="text" w:hAnchor="text" w:xAlign="center" w:y="1"/>
              <w:rPr>
                <w:lang w:val="en-US"/>
              </w:rPr>
            </w:pPr>
            <w:r>
              <w:rPr>
                <w:lang w:val="en-US"/>
              </w:rPr>
              <w:t>Space attenuation (dB)</w:t>
            </w:r>
          </w:p>
        </w:tc>
        <w:tc>
          <w:tcPr>
            <w:tcW w:w="3005" w:type="dxa"/>
          </w:tcPr>
          <w:p w:rsidR="00B9359B" w:rsidRDefault="009A5268">
            <w:pPr>
              <w:pStyle w:val="Tabletext"/>
              <w:framePr w:hSpace="181" w:wrap="notBeside" w:vAnchor="text" w:hAnchor="text" w:xAlign="center" w:y="1"/>
              <w:jc w:val="center"/>
              <w:rPr>
                <w:lang w:val="en-US"/>
              </w:rPr>
            </w:pPr>
            <w:r>
              <w:rPr>
                <w:lang w:val="en-US"/>
              </w:rPr>
              <w:t>154.7</w:t>
            </w:r>
          </w:p>
        </w:tc>
      </w:tr>
      <w:tr w:rsidR="00B9359B">
        <w:tc>
          <w:tcPr>
            <w:tcW w:w="6464" w:type="dxa"/>
          </w:tcPr>
          <w:p w:rsidR="00B9359B" w:rsidRDefault="009A5268">
            <w:pPr>
              <w:pStyle w:val="Tabletext"/>
              <w:framePr w:hSpace="181" w:wrap="notBeside" w:vAnchor="text" w:hAnchor="text" w:xAlign="center" w:y="1"/>
              <w:rPr>
                <w:lang w:val="en-US"/>
              </w:rPr>
            </w:pPr>
            <w:r>
              <w:rPr>
                <w:lang w:val="en-US"/>
              </w:rPr>
              <w:t>EESS antenna gain (dBi)</w:t>
            </w:r>
          </w:p>
        </w:tc>
        <w:tc>
          <w:tcPr>
            <w:tcW w:w="3005" w:type="dxa"/>
          </w:tcPr>
          <w:p w:rsidR="00B9359B" w:rsidRDefault="009A5268">
            <w:pPr>
              <w:pStyle w:val="Tabletext"/>
              <w:framePr w:hSpace="181" w:wrap="notBeside" w:vAnchor="text" w:hAnchor="text" w:xAlign="center" w:y="1"/>
              <w:jc w:val="center"/>
              <w:rPr>
                <w:lang w:val="en-US"/>
              </w:rPr>
            </w:pPr>
            <w:r>
              <w:rPr>
                <w:lang w:val="en-US"/>
              </w:rPr>
              <w:t>40</w:t>
            </w:r>
          </w:p>
        </w:tc>
      </w:tr>
      <w:tr w:rsidR="00B9359B">
        <w:tc>
          <w:tcPr>
            <w:tcW w:w="6464" w:type="dxa"/>
          </w:tcPr>
          <w:p w:rsidR="00B9359B" w:rsidRDefault="009A5268">
            <w:pPr>
              <w:pStyle w:val="Tabletext"/>
              <w:framePr w:hSpace="181" w:wrap="notBeside" w:vAnchor="text" w:hAnchor="text" w:xAlign="center" w:y="1"/>
              <w:rPr>
                <w:lang w:val="en-US"/>
              </w:rPr>
            </w:pPr>
            <w:r>
              <w:rPr>
                <w:lang w:val="en-US"/>
              </w:rPr>
              <w:t>Received power at the EESS (dB(W/MHz))</w:t>
            </w:r>
          </w:p>
        </w:tc>
        <w:tc>
          <w:tcPr>
            <w:tcW w:w="3005" w:type="dxa"/>
          </w:tcPr>
          <w:p w:rsidR="00B9359B" w:rsidRDefault="009A5268">
            <w:pPr>
              <w:pStyle w:val="Tabletext"/>
              <w:framePr w:hSpace="181" w:wrap="notBeside" w:vAnchor="text" w:hAnchor="text" w:xAlign="center" w:y="1"/>
              <w:jc w:val="center"/>
              <w:rPr>
                <w:lang w:val="en-US"/>
              </w:rPr>
            </w:pPr>
            <w:r>
              <w:rPr>
                <w:lang w:val="en-US"/>
              </w:rPr>
              <w:t>–125.4</w:t>
            </w:r>
          </w:p>
        </w:tc>
      </w:tr>
      <w:tr w:rsidR="00B9359B">
        <w:tc>
          <w:tcPr>
            <w:tcW w:w="6464" w:type="dxa"/>
          </w:tcPr>
          <w:p w:rsidR="00B9359B" w:rsidRDefault="009A5268">
            <w:pPr>
              <w:pStyle w:val="Tabletext"/>
              <w:framePr w:hSpace="181" w:wrap="notBeside" w:vAnchor="text" w:hAnchor="text" w:xAlign="center" w:y="1"/>
              <w:rPr>
                <w:lang w:val="en-US"/>
              </w:rPr>
            </w:pPr>
            <w:r>
              <w:rPr>
                <w:lang w:val="en-US"/>
              </w:rPr>
              <w:t>Received power at the EESS (dB(W/100 MHz))</w:t>
            </w:r>
          </w:p>
        </w:tc>
        <w:tc>
          <w:tcPr>
            <w:tcW w:w="3005" w:type="dxa"/>
          </w:tcPr>
          <w:p w:rsidR="00B9359B" w:rsidRDefault="009A5268">
            <w:pPr>
              <w:pStyle w:val="Tabletext"/>
              <w:framePr w:hSpace="181" w:wrap="notBeside" w:vAnchor="text" w:hAnchor="text" w:xAlign="center" w:y="1"/>
              <w:jc w:val="center"/>
              <w:rPr>
                <w:lang w:val="en-US"/>
              </w:rPr>
            </w:pPr>
            <w:r>
              <w:rPr>
                <w:lang w:val="en-US"/>
              </w:rPr>
              <w:t>–105.4</w:t>
            </w:r>
          </w:p>
        </w:tc>
      </w:tr>
      <w:tr w:rsidR="00B9359B">
        <w:tc>
          <w:tcPr>
            <w:tcW w:w="6464" w:type="dxa"/>
          </w:tcPr>
          <w:p w:rsidR="00B9359B" w:rsidRDefault="009A5268">
            <w:pPr>
              <w:pStyle w:val="Tabletext"/>
              <w:framePr w:hSpace="181" w:wrap="notBeside" w:vAnchor="text" w:hAnchor="text" w:xAlign="center" w:y="1"/>
              <w:rPr>
                <w:lang w:val="en-US"/>
              </w:rPr>
            </w:pPr>
            <w:r>
              <w:rPr>
                <w:lang w:val="en-US"/>
              </w:rPr>
              <w:t>Interference threshold in a bandwidth of 100 MHz (dBW)</w:t>
            </w:r>
          </w:p>
        </w:tc>
        <w:tc>
          <w:tcPr>
            <w:tcW w:w="3005" w:type="dxa"/>
          </w:tcPr>
          <w:p w:rsidR="00B9359B" w:rsidRDefault="009A5268">
            <w:pPr>
              <w:pStyle w:val="Tabletext"/>
              <w:framePr w:hSpace="181" w:wrap="notBeside" w:vAnchor="text" w:hAnchor="text" w:xAlign="center" w:y="1"/>
              <w:jc w:val="center"/>
              <w:rPr>
                <w:lang w:val="en-US"/>
              </w:rPr>
            </w:pPr>
            <w:r>
              <w:rPr>
                <w:lang w:val="en-US"/>
              </w:rPr>
              <w:t>–163</w:t>
            </w:r>
          </w:p>
        </w:tc>
      </w:tr>
      <w:tr w:rsidR="00B9359B">
        <w:tc>
          <w:tcPr>
            <w:tcW w:w="6464" w:type="dxa"/>
          </w:tcPr>
          <w:p w:rsidR="00B9359B" w:rsidRDefault="009A5268">
            <w:pPr>
              <w:pStyle w:val="Tabletext"/>
              <w:framePr w:hSpace="181" w:wrap="notBeside" w:vAnchor="text" w:hAnchor="text" w:xAlign="center" w:y="1"/>
              <w:rPr>
                <w:lang w:val="en-US"/>
              </w:rPr>
            </w:pPr>
            <w:r>
              <w:rPr>
                <w:lang w:val="en-US"/>
              </w:rPr>
              <w:t>Required spectral attenuation</w:t>
            </w:r>
          </w:p>
        </w:tc>
        <w:tc>
          <w:tcPr>
            <w:tcW w:w="3005" w:type="dxa"/>
          </w:tcPr>
          <w:p w:rsidR="00B9359B" w:rsidRDefault="009A5268">
            <w:pPr>
              <w:pStyle w:val="Tabletext"/>
              <w:framePr w:hSpace="181" w:wrap="notBeside" w:vAnchor="text" w:hAnchor="text" w:xAlign="center" w:y="1"/>
              <w:jc w:val="center"/>
              <w:rPr>
                <w:lang w:val="en-US"/>
              </w:rPr>
            </w:pPr>
            <w:r>
              <w:rPr>
                <w:lang w:val="en-US"/>
              </w:rPr>
              <w:t>57.6</w:t>
            </w:r>
          </w:p>
        </w:tc>
      </w:tr>
    </w:tbl>
    <w:p w:rsidR="00B9359B" w:rsidRDefault="00B9359B">
      <w:pPr>
        <w:pStyle w:val="Tablefin"/>
        <w:spacing w:before="0"/>
        <w:rPr>
          <w:sz w:val="6"/>
        </w:rPr>
      </w:pPr>
    </w:p>
    <w:p w:rsidR="00B9359B" w:rsidRDefault="009A5268">
      <w:pPr>
        <w:pStyle w:val="TableNo"/>
        <w:rPr>
          <w:lang w:val="en-US"/>
        </w:rPr>
      </w:pPr>
      <w:r>
        <w:rPr>
          <w:lang w:val="en-US"/>
        </w:rPr>
        <w:br w:type="page"/>
        <w:t>TABLE  40</w:t>
      </w:r>
    </w:p>
    <w:p w:rsidR="00B9359B" w:rsidRDefault="009A5268">
      <w:pPr>
        <w:pStyle w:val="Tabletitle"/>
        <w:rPr>
          <w:lang w:val="en-US"/>
        </w:rPr>
      </w:pPr>
      <w:r>
        <w:rPr>
          <w:rFonts w:hint="eastAsia"/>
          <w:lang w:val="en-US"/>
        </w:rPr>
        <w:t>Compatibility analysis between Hib</w:t>
      </w:r>
      <w:r>
        <w:rPr>
          <w:lang w:val="en-US"/>
        </w:rPr>
        <w:t>-</w:t>
      </w:r>
      <w:r>
        <w:rPr>
          <w:rFonts w:hint="eastAsia"/>
          <w:lang w:val="en-US"/>
        </w:rPr>
        <w:t>Leo</w:t>
      </w:r>
      <w:r>
        <w:rPr>
          <w:lang w:val="en-US"/>
        </w:rPr>
        <w:t xml:space="preserve"> </w:t>
      </w:r>
      <w:r>
        <w:rPr>
          <w:rFonts w:hint="eastAsia"/>
          <w:lang w:val="en-US"/>
        </w:rPr>
        <w:t>2 and ADEOS-II</w:t>
      </w:r>
      <w:r>
        <w:rPr>
          <w:rFonts w:hint="eastAsia"/>
          <w:sz w:val="16"/>
          <w:lang w:val="en-US"/>
        </w:rPr>
        <w:t xml:space="preserve"> </w:t>
      </w:r>
      <w:r>
        <w:rPr>
          <w:sz w:val="16"/>
          <w:lang w:val="en-US"/>
        </w:rPr>
        <w:t xml:space="preserve"> </w:t>
      </w:r>
      <w:r>
        <w:rPr>
          <w:rFonts w:hint="eastAsia"/>
          <w:lang w:val="en-US"/>
        </w:rPr>
        <w:t>AMSR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4"/>
        <w:gridCol w:w="3005"/>
      </w:tblGrid>
      <w:tr w:rsidR="00B9359B">
        <w:tc>
          <w:tcPr>
            <w:tcW w:w="6464" w:type="dxa"/>
          </w:tcPr>
          <w:p w:rsidR="00B9359B" w:rsidRDefault="009A5268">
            <w:pPr>
              <w:pStyle w:val="Tablehead"/>
              <w:framePr w:hSpace="181" w:wrap="notBeside" w:vAnchor="text" w:hAnchor="text" w:xAlign="center" w:y="1"/>
              <w:rPr>
                <w:lang w:val="en-US"/>
              </w:rPr>
            </w:pPr>
            <w:r>
              <w:rPr>
                <w:rFonts w:hint="eastAsia"/>
                <w:lang w:val="en-US"/>
              </w:rPr>
              <w:t>Parameter</w:t>
            </w:r>
            <w:r>
              <w:rPr>
                <w:lang w:val="en-US"/>
              </w:rPr>
              <w:t>s</w:t>
            </w:r>
          </w:p>
        </w:tc>
        <w:tc>
          <w:tcPr>
            <w:tcW w:w="3005" w:type="dxa"/>
          </w:tcPr>
          <w:p w:rsidR="00B9359B" w:rsidRDefault="009A5268">
            <w:pPr>
              <w:pStyle w:val="Tablehead"/>
              <w:framePr w:hSpace="181" w:wrap="notBeside" w:vAnchor="text" w:hAnchor="text" w:xAlign="center" w:y="1"/>
              <w:rPr>
                <w:lang w:val="es-ES"/>
              </w:rPr>
            </w:pPr>
            <w:r>
              <w:rPr>
                <w:rFonts w:hint="eastAsia"/>
                <w:lang w:val="es-ES"/>
              </w:rPr>
              <w:t>ADEOS-II</w:t>
            </w:r>
            <w:r>
              <w:rPr>
                <w:sz w:val="16"/>
                <w:lang w:val="es-ES"/>
              </w:rPr>
              <w:t>  </w:t>
            </w:r>
            <w:r>
              <w:rPr>
                <w:rFonts w:hint="eastAsia"/>
                <w:lang w:val="es-ES"/>
              </w:rPr>
              <w:t>AMSR</w:t>
            </w:r>
          </w:p>
        </w:tc>
      </w:tr>
      <w:tr w:rsidR="00B9359B">
        <w:tc>
          <w:tcPr>
            <w:tcW w:w="6464" w:type="dxa"/>
          </w:tcPr>
          <w:p w:rsidR="00B9359B" w:rsidRDefault="009A5268">
            <w:pPr>
              <w:pStyle w:val="Tabletext"/>
              <w:framePr w:hSpace="181" w:wrap="notBeside" w:vAnchor="text" w:hAnchor="text" w:xAlign="center" w:y="1"/>
              <w:spacing w:before="50" w:after="50"/>
              <w:rPr>
                <w:lang w:val="en-US"/>
              </w:rPr>
            </w:pPr>
            <w:r>
              <w:rPr>
                <w:rFonts w:hint="eastAsia"/>
                <w:lang w:val="en-US"/>
              </w:rPr>
              <w:t xml:space="preserve">ISS frequency range </w:t>
            </w:r>
            <w:r>
              <w:rPr>
                <w:lang w:val="en-US"/>
              </w:rPr>
              <w:t>(</w:t>
            </w:r>
            <w:r>
              <w:rPr>
                <w:rFonts w:hint="eastAsia"/>
                <w:lang w:val="en-US"/>
              </w:rPr>
              <w:t>GHz</w:t>
            </w:r>
            <w:r>
              <w:rPr>
                <w:lang w:val="en-US"/>
              </w:rPr>
              <w:t>)</w:t>
            </w:r>
          </w:p>
        </w:tc>
        <w:tc>
          <w:tcPr>
            <w:tcW w:w="3005" w:type="dxa"/>
          </w:tcPr>
          <w:p w:rsidR="00B9359B" w:rsidRDefault="009A5268">
            <w:pPr>
              <w:pStyle w:val="Tabletext"/>
              <w:framePr w:hSpace="181" w:wrap="notBeside" w:vAnchor="text" w:hAnchor="text" w:xAlign="center" w:y="1"/>
              <w:spacing w:before="50" w:after="50"/>
              <w:jc w:val="center"/>
              <w:rPr>
                <w:lang w:val="en-US"/>
              </w:rPr>
            </w:pPr>
            <w:r>
              <w:rPr>
                <w:rFonts w:hint="eastAsia"/>
                <w:lang w:val="en-US"/>
              </w:rPr>
              <w:t>23.183</w:t>
            </w:r>
            <w:r>
              <w:rPr>
                <w:lang w:val="en-US"/>
              </w:rPr>
              <w:noBreakHyphen/>
            </w:r>
            <w:r>
              <w:rPr>
                <w:rFonts w:hint="eastAsia"/>
                <w:lang w:val="en-US"/>
              </w:rPr>
              <w:t>23.377</w:t>
            </w:r>
          </w:p>
        </w:tc>
      </w:tr>
      <w:tr w:rsidR="00B9359B">
        <w:tc>
          <w:tcPr>
            <w:tcW w:w="6464" w:type="dxa"/>
          </w:tcPr>
          <w:p w:rsidR="00B9359B" w:rsidRDefault="009A5268">
            <w:pPr>
              <w:pStyle w:val="Tabletext"/>
              <w:framePr w:hSpace="181" w:wrap="notBeside" w:vAnchor="text" w:hAnchor="text" w:xAlign="center" w:y="1"/>
              <w:spacing w:before="50" w:after="50"/>
              <w:rPr>
                <w:lang w:val="en-US"/>
              </w:rPr>
            </w:pPr>
            <w:r>
              <w:rPr>
                <w:rFonts w:hint="eastAsia"/>
                <w:lang w:val="en-US"/>
              </w:rPr>
              <w:t xml:space="preserve">e.i.r.p./carrier </w:t>
            </w:r>
            <w:r>
              <w:rPr>
                <w:lang w:val="en-US"/>
              </w:rPr>
              <w:t>(d</w:t>
            </w:r>
            <w:r>
              <w:rPr>
                <w:rFonts w:hint="eastAsia"/>
                <w:lang w:val="en-US"/>
              </w:rPr>
              <w:t>BW</w:t>
            </w:r>
            <w:r>
              <w:rPr>
                <w:lang w:val="en-US"/>
              </w:rPr>
              <w:t>)</w:t>
            </w:r>
          </w:p>
        </w:tc>
        <w:tc>
          <w:tcPr>
            <w:tcW w:w="3005" w:type="dxa"/>
          </w:tcPr>
          <w:p w:rsidR="00B9359B" w:rsidRDefault="009A5268">
            <w:pPr>
              <w:pStyle w:val="Tabletext"/>
              <w:framePr w:hSpace="181" w:wrap="notBeside" w:vAnchor="text" w:hAnchor="text" w:xAlign="center" w:y="1"/>
              <w:spacing w:before="50" w:after="50"/>
              <w:jc w:val="center"/>
              <w:rPr>
                <w:lang w:val="en-US"/>
              </w:rPr>
            </w:pPr>
            <w:r>
              <w:rPr>
                <w:lang w:val="en-US"/>
              </w:rPr>
              <w:t>12.</w:t>
            </w:r>
            <w:r>
              <w:rPr>
                <w:rFonts w:hint="eastAsia"/>
                <w:lang w:val="en-US"/>
              </w:rPr>
              <w:t>2 (8 links activated)</w:t>
            </w:r>
          </w:p>
        </w:tc>
      </w:tr>
      <w:tr w:rsidR="00B9359B">
        <w:tc>
          <w:tcPr>
            <w:tcW w:w="6464" w:type="dxa"/>
          </w:tcPr>
          <w:p w:rsidR="00B9359B" w:rsidRDefault="009A5268">
            <w:pPr>
              <w:pStyle w:val="Tabletext"/>
              <w:framePr w:hSpace="181" w:wrap="notBeside" w:vAnchor="text" w:hAnchor="text" w:xAlign="center" w:y="1"/>
              <w:spacing w:before="50" w:after="50"/>
              <w:rPr>
                <w:lang w:val="en-US"/>
              </w:rPr>
            </w:pPr>
            <w:r>
              <w:rPr>
                <w:rFonts w:hint="eastAsia"/>
                <w:lang w:val="en-US"/>
              </w:rPr>
              <w:t xml:space="preserve">Bandwidth </w:t>
            </w:r>
            <w:r>
              <w:rPr>
                <w:lang w:val="en-US"/>
              </w:rPr>
              <w:t>(</w:t>
            </w:r>
            <w:r>
              <w:rPr>
                <w:rFonts w:hint="eastAsia"/>
                <w:lang w:val="en-US"/>
              </w:rPr>
              <w:t>MHz</w:t>
            </w:r>
            <w:r>
              <w:rPr>
                <w:lang w:val="en-US"/>
              </w:rPr>
              <w:t>)</w:t>
            </w:r>
          </w:p>
        </w:tc>
        <w:tc>
          <w:tcPr>
            <w:tcW w:w="3005" w:type="dxa"/>
          </w:tcPr>
          <w:p w:rsidR="00B9359B" w:rsidRDefault="009A5268">
            <w:pPr>
              <w:pStyle w:val="Tabletext"/>
              <w:framePr w:hSpace="181" w:wrap="notBeside" w:vAnchor="text" w:hAnchor="text" w:xAlign="center" w:y="1"/>
              <w:spacing w:before="50" w:after="50"/>
              <w:jc w:val="center"/>
              <w:rPr>
                <w:lang w:val="en-US"/>
              </w:rPr>
            </w:pPr>
            <w:r>
              <w:rPr>
                <w:rFonts w:hint="eastAsia"/>
                <w:lang w:val="en-US"/>
              </w:rPr>
              <w:t>194</w:t>
            </w:r>
          </w:p>
        </w:tc>
      </w:tr>
      <w:tr w:rsidR="00B9359B">
        <w:tc>
          <w:tcPr>
            <w:tcW w:w="6464" w:type="dxa"/>
          </w:tcPr>
          <w:p w:rsidR="00B9359B" w:rsidRDefault="009A5268">
            <w:pPr>
              <w:pStyle w:val="Tabletext"/>
              <w:framePr w:hSpace="181" w:wrap="notBeside" w:vAnchor="text" w:hAnchor="text" w:xAlign="center" w:y="1"/>
              <w:spacing w:before="50" w:after="50"/>
              <w:rPr>
                <w:lang w:val="en-US"/>
              </w:rPr>
            </w:pPr>
            <w:r>
              <w:rPr>
                <w:rFonts w:hint="eastAsia"/>
                <w:lang w:val="en-US"/>
              </w:rPr>
              <w:t xml:space="preserve">Distance ISS space station </w:t>
            </w:r>
            <w:r>
              <w:rPr>
                <w:lang w:val="en-US"/>
              </w:rPr>
              <w:t>–</w:t>
            </w:r>
            <w:r>
              <w:rPr>
                <w:rFonts w:hint="eastAsia"/>
                <w:lang w:val="en-US"/>
              </w:rPr>
              <w:t xml:space="preserve"> EESS sensor </w:t>
            </w:r>
            <w:r>
              <w:rPr>
                <w:lang w:val="en-US"/>
              </w:rPr>
              <w:t>(</w:t>
            </w:r>
            <w:r>
              <w:rPr>
                <w:rFonts w:hint="eastAsia"/>
                <w:lang w:val="en-US"/>
              </w:rPr>
              <w:t>km</w:t>
            </w:r>
            <w:r>
              <w:rPr>
                <w:lang w:val="en-US"/>
              </w:rPr>
              <w:t>)</w:t>
            </w:r>
          </w:p>
        </w:tc>
        <w:tc>
          <w:tcPr>
            <w:tcW w:w="3005" w:type="dxa"/>
          </w:tcPr>
          <w:p w:rsidR="00B9359B" w:rsidRDefault="009A5268">
            <w:pPr>
              <w:pStyle w:val="Tabletext"/>
              <w:framePr w:hSpace="181" w:wrap="notBeside" w:vAnchor="text" w:hAnchor="text" w:xAlign="center" w:y="1"/>
              <w:spacing w:before="50" w:after="50"/>
              <w:jc w:val="center"/>
              <w:rPr>
                <w:lang w:val="en-US"/>
              </w:rPr>
            </w:pPr>
            <w:r>
              <w:rPr>
                <w:rFonts w:hint="eastAsia"/>
                <w:lang w:val="en-US"/>
              </w:rPr>
              <w:t>36</w:t>
            </w:r>
          </w:p>
        </w:tc>
      </w:tr>
      <w:tr w:rsidR="00B9359B">
        <w:tc>
          <w:tcPr>
            <w:tcW w:w="6464" w:type="dxa"/>
          </w:tcPr>
          <w:p w:rsidR="00B9359B" w:rsidRDefault="009A5268">
            <w:pPr>
              <w:pStyle w:val="Tabletext"/>
              <w:framePr w:hSpace="181" w:wrap="notBeside" w:vAnchor="text" w:hAnchor="text" w:xAlign="center" w:y="1"/>
              <w:spacing w:before="50" w:after="50"/>
              <w:rPr>
                <w:lang w:val="en-US"/>
              </w:rPr>
            </w:pPr>
            <w:r>
              <w:rPr>
                <w:rFonts w:hint="eastAsia"/>
                <w:lang w:val="en-US"/>
              </w:rPr>
              <w:t xml:space="preserve">Space attenuation </w:t>
            </w:r>
            <w:r>
              <w:rPr>
                <w:lang w:val="en-US"/>
              </w:rPr>
              <w:t>(</w:t>
            </w:r>
            <w:r>
              <w:rPr>
                <w:rFonts w:hint="eastAsia"/>
                <w:lang w:val="en-US"/>
              </w:rPr>
              <w:t>dB</w:t>
            </w:r>
            <w:r>
              <w:rPr>
                <w:lang w:val="en-US"/>
              </w:rPr>
              <w:t>)</w:t>
            </w:r>
          </w:p>
        </w:tc>
        <w:tc>
          <w:tcPr>
            <w:tcW w:w="3005" w:type="dxa"/>
          </w:tcPr>
          <w:p w:rsidR="00B9359B" w:rsidRDefault="009A5268">
            <w:pPr>
              <w:pStyle w:val="Tabletext"/>
              <w:framePr w:hSpace="181" w:wrap="notBeside" w:vAnchor="text" w:hAnchor="text" w:xAlign="center" w:y="1"/>
              <w:spacing w:before="50" w:after="50"/>
              <w:jc w:val="center"/>
              <w:rPr>
                <w:lang w:val="en-US"/>
              </w:rPr>
            </w:pPr>
            <w:r>
              <w:rPr>
                <w:rFonts w:hint="eastAsia"/>
                <w:lang w:val="en-US"/>
              </w:rPr>
              <w:t>150.8</w:t>
            </w:r>
          </w:p>
        </w:tc>
      </w:tr>
      <w:tr w:rsidR="00B9359B">
        <w:tc>
          <w:tcPr>
            <w:tcW w:w="6464" w:type="dxa"/>
          </w:tcPr>
          <w:p w:rsidR="00B9359B" w:rsidRDefault="009A5268">
            <w:pPr>
              <w:pStyle w:val="Tabletext"/>
              <w:framePr w:hSpace="181" w:wrap="notBeside" w:vAnchor="text" w:hAnchor="text" w:xAlign="center" w:y="1"/>
              <w:spacing w:before="50" w:after="50"/>
              <w:rPr>
                <w:lang w:val="en-US"/>
              </w:rPr>
            </w:pPr>
            <w:r>
              <w:rPr>
                <w:rFonts w:hint="eastAsia"/>
                <w:lang w:val="en-US"/>
              </w:rPr>
              <w:t xml:space="preserve">EESS antenna gain </w:t>
            </w:r>
            <w:r>
              <w:rPr>
                <w:lang w:val="en-US"/>
              </w:rPr>
              <w:t>(</w:t>
            </w:r>
            <w:r>
              <w:rPr>
                <w:rFonts w:hint="eastAsia"/>
                <w:lang w:val="en-US"/>
              </w:rPr>
              <w:t>dB</w:t>
            </w:r>
            <w:r>
              <w:rPr>
                <w:lang w:val="en-US"/>
              </w:rPr>
              <w:t>i)</w:t>
            </w:r>
          </w:p>
        </w:tc>
        <w:tc>
          <w:tcPr>
            <w:tcW w:w="3005" w:type="dxa"/>
          </w:tcPr>
          <w:p w:rsidR="00B9359B" w:rsidRDefault="009A5268">
            <w:pPr>
              <w:pStyle w:val="Tabletext"/>
              <w:framePr w:hSpace="181" w:wrap="notBeside" w:vAnchor="text" w:hAnchor="text" w:xAlign="center" w:y="1"/>
              <w:spacing w:before="50" w:after="50"/>
              <w:jc w:val="center"/>
              <w:rPr>
                <w:lang w:val="en-US"/>
              </w:rPr>
            </w:pPr>
            <w:r>
              <w:rPr>
                <w:rFonts w:hint="eastAsia"/>
                <w:lang w:val="en-US"/>
              </w:rPr>
              <w:t>40</w:t>
            </w:r>
          </w:p>
        </w:tc>
      </w:tr>
      <w:tr w:rsidR="00B9359B">
        <w:tc>
          <w:tcPr>
            <w:tcW w:w="6464" w:type="dxa"/>
          </w:tcPr>
          <w:p w:rsidR="00B9359B" w:rsidRDefault="009A5268">
            <w:pPr>
              <w:pStyle w:val="Tabletext"/>
              <w:framePr w:hSpace="181" w:wrap="notBeside" w:vAnchor="text" w:hAnchor="text" w:xAlign="center" w:y="1"/>
              <w:spacing w:before="50" w:after="50"/>
              <w:rPr>
                <w:lang w:val="en-US"/>
              </w:rPr>
            </w:pPr>
            <w:r>
              <w:rPr>
                <w:rFonts w:hint="eastAsia"/>
                <w:lang w:val="en-US"/>
              </w:rPr>
              <w:t>Received power at the EESS (dB</w:t>
            </w:r>
            <w:r>
              <w:rPr>
                <w:lang w:val="en-US"/>
              </w:rPr>
              <w:t>(</w:t>
            </w:r>
            <w:r>
              <w:rPr>
                <w:rFonts w:hint="eastAsia"/>
                <w:lang w:val="en-US"/>
              </w:rPr>
              <w:t>W/MHz)</w:t>
            </w:r>
            <w:r>
              <w:rPr>
                <w:lang w:val="en-US"/>
              </w:rPr>
              <w:t>)</w:t>
            </w:r>
          </w:p>
        </w:tc>
        <w:tc>
          <w:tcPr>
            <w:tcW w:w="3005" w:type="dxa"/>
          </w:tcPr>
          <w:p w:rsidR="00B9359B" w:rsidRDefault="009A5268">
            <w:pPr>
              <w:pStyle w:val="Tabletext"/>
              <w:framePr w:hSpace="181" w:wrap="notBeside" w:vAnchor="text" w:hAnchor="text" w:xAlign="center" w:y="1"/>
              <w:spacing w:before="50" w:after="50"/>
              <w:jc w:val="center"/>
              <w:rPr>
                <w:lang w:val="en-US"/>
              </w:rPr>
            </w:pPr>
            <w:r>
              <w:rPr>
                <w:lang w:val="en-US"/>
              </w:rPr>
              <w:t>–</w:t>
            </w:r>
            <w:r>
              <w:rPr>
                <w:rFonts w:hint="eastAsia"/>
                <w:lang w:val="en-US"/>
              </w:rPr>
              <w:t>1</w:t>
            </w:r>
            <w:r>
              <w:rPr>
                <w:lang w:val="en-US"/>
              </w:rPr>
              <w:t>21</w:t>
            </w:r>
            <w:r>
              <w:rPr>
                <w:rFonts w:hint="eastAsia"/>
                <w:lang w:val="en-US"/>
              </w:rPr>
              <w:t>.5</w:t>
            </w:r>
          </w:p>
        </w:tc>
      </w:tr>
      <w:tr w:rsidR="00B9359B">
        <w:tc>
          <w:tcPr>
            <w:tcW w:w="6464" w:type="dxa"/>
          </w:tcPr>
          <w:p w:rsidR="00B9359B" w:rsidRDefault="009A5268">
            <w:pPr>
              <w:pStyle w:val="Tabletext"/>
              <w:framePr w:hSpace="181" w:wrap="notBeside" w:vAnchor="text" w:hAnchor="text" w:xAlign="center" w:y="1"/>
              <w:spacing w:before="50" w:after="50"/>
              <w:rPr>
                <w:lang w:val="en-US"/>
              </w:rPr>
            </w:pPr>
            <w:r>
              <w:rPr>
                <w:rFonts w:hint="eastAsia"/>
                <w:lang w:val="en-US"/>
              </w:rPr>
              <w:t>Received power at the EESS (dB</w:t>
            </w:r>
            <w:r>
              <w:rPr>
                <w:lang w:val="en-US"/>
              </w:rPr>
              <w:t>(</w:t>
            </w:r>
            <w:r>
              <w:rPr>
                <w:rFonts w:hint="eastAsia"/>
                <w:lang w:val="en-US"/>
              </w:rPr>
              <w:t>W/100</w:t>
            </w:r>
            <w:r>
              <w:rPr>
                <w:lang w:val="en-US"/>
              </w:rPr>
              <w:t xml:space="preserve"> </w:t>
            </w:r>
            <w:r>
              <w:rPr>
                <w:rFonts w:hint="eastAsia"/>
                <w:lang w:val="en-US"/>
              </w:rPr>
              <w:t>MHz)</w:t>
            </w:r>
            <w:r>
              <w:rPr>
                <w:lang w:val="en-US"/>
              </w:rPr>
              <w:t>)</w:t>
            </w:r>
          </w:p>
        </w:tc>
        <w:tc>
          <w:tcPr>
            <w:tcW w:w="3005" w:type="dxa"/>
          </w:tcPr>
          <w:p w:rsidR="00B9359B" w:rsidRDefault="009A5268">
            <w:pPr>
              <w:pStyle w:val="Tabletext"/>
              <w:framePr w:hSpace="181" w:wrap="notBeside" w:vAnchor="text" w:hAnchor="text" w:xAlign="center" w:y="1"/>
              <w:spacing w:before="50" w:after="50"/>
              <w:jc w:val="center"/>
              <w:rPr>
                <w:lang w:val="en-US"/>
              </w:rPr>
            </w:pPr>
            <w:r>
              <w:rPr>
                <w:lang w:val="en-US"/>
              </w:rPr>
              <w:t>–101</w:t>
            </w:r>
            <w:r>
              <w:rPr>
                <w:rFonts w:hint="eastAsia"/>
                <w:lang w:val="en-US"/>
              </w:rPr>
              <w:t>.5</w:t>
            </w:r>
          </w:p>
        </w:tc>
      </w:tr>
      <w:tr w:rsidR="00B9359B">
        <w:tc>
          <w:tcPr>
            <w:tcW w:w="6464" w:type="dxa"/>
          </w:tcPr>
          <w:p w:rsidR="00B9359B" w:rsidRDefault="009A5268">
            <w:pPr>
              <w:pStyle w:val="Tabletext"/>
              <w:framePr w:hSpace="181" w:wrap="notBeside" w:vAnchor="text" w:hAnchor="text" w:xAlign="center" w:y="1"/>
              <w:spacing w:before="50" w:after="50"/>
              <w:rPr>
                <w:lang w:val="en-US"/>
              </w:rPr>
            </w:pPr>
            <w:r>
              <w:rPr>
                <w:rFonts w:hint="eastAsia"/>
                <w:lang w:val="en-US"/>
              </w:rPr>
              <w:t xml:space="preserve">Interference threshold in a bandwidth of 100 MHz </w:t>
            </w:r>
            <w:r>
              <w:rPr>
                <w:lang w:val="en-US"/>
              </w:rPr>
              <w:t>(</w:t>
            </w:r>
            <w:r>
              <w:rPr>
                <w:rFonts w:hint="eastAsia"/>
                <w:lang w:val="en-US"/>
              </w:rPr>
              <w:t>dBW</w:t>
            </w:r>
            <w:r>
              <w:rPr>
                <w:lang w:val="en-US"/>
              </w:rPr>
              <w:t>)</w:t>
            </w:r>
          </w:p>
        </w:tc>
        <w:tc>
          <w:tcPr>
            <w:tcW w:w="3005" w:type="dxa"/>
          </w:tcPr>
          <w:p w:rsidR="00B9359B" w:rsidRDefault="009A5268">
            <w:pPr>
              <w:pStyle w:val="Tabletext"/>
              <w:framePr w:hSpace="181" w:wrap="notBeside" w:vAnchor="text" w:hAnchor="text" w:xAlign="center" w:y="1"/>
              <w:spacing w:before="50" w:after="50"/>
              <w:jc w:val="center"/>
              <w:rPr>
                <w:lang w:val="en-US"/>
              </w:rPr>
            </w:pPr>
            <w:r>
              <w:rPr>
                <w:lang w:val="en-US"/>
              </w:rPr>
              <w:t>–</w:t>
            </w:r>
            <w:r>
              <w:rPr>
                <w:rFonts w:hint="eastAsia"/>
                <w:lang w:val="en-US"/>
              </w:rPr>
              <w:t>163</w:t>
            </w:r>
          </w:p>
        </w:tc>
      </w:tr>
      <w:tr w:rsidR="00B9359B">
        <w:tc>
          <w:tcPr>
            <w:tcW w:w="6464" w:type="dxa"/>
          </w:tcPr>
          <w:p w:rsidR="00B9359B" w:rsidRDefault="009A5268">
            <w:pPr>
              <w:pStyle w:val="Tabletext"/>
              <w:framePr w:hSpace="181" w:wrap="notBeside" w:vAnchor="text" w:hAnchor="text" w:xAlign="center" w:y="1"/>
              <w:spacing w:before="50" w:after="50"/>
              <w:rPr>
                <w:lang w:val="en-US"/>
              </w:rPr>
            </w:pPr>
            <w:r>
              <w:rPr>
                <w:rFonts w:hint="eastAsia"/>
                <w:lang w:val="en-US"/>
              </w:rPr>
              <w:t>Required spectral attenuation</w:t>
            </w:r>
          </w:p>
        </w:tc>
        <w:tc>
          <w:tcPr>
            <w:tcW w:w="3005" w:type="dxa"/>
          </w:tcPr>
          <w:p w:rsidR="00B9359B" w:rsidRDefault="009A5268">
            <w:pPr>
              <w:pStyle w:val="Tabletext"/>
              <w:framePr w:hSpace="181" w:wrap="notBeside" w:vAnchor="text" w:hAnchor="text" w:xAlign="center" w:y="1"/>
              <w:spacing w:before="50" w:after="50"/>
              <w:jc w:val="center"/>
              <w:rPr>
                <w:lang w:val="en-US"/>
              </w:rPr>
            </w:pPr>
            <w:r>
              <w:rPr>
                <w:lang w:val="en-US"/>
              </w:rPr>
              <w:t>61</w:t>
            </w:r>
            <w:r>
              <w:rPr>
                <w:rFonts w:hint="eastAsia"/>
                <w:lang w:val="en-US"/>
              </w:rPr>
              <w:t>.5</w:t>
            </w:r>
          </w:p>
        </w:tc>
      </w:tr>
    </w:tbl>
    <w:p w:rsidR="00B9359B" w:rsidRDefault="00B9359B">
      <w:pPr>
        <w:pStyle w:val="Tablefin"/>
        <w:spacing w:before="0"/>
      </w:pPr>
    </w:p>
    <w:p w:rsidR="00B9359B" w:rsidRDefault="009A5268">
      <w:pPr>
        <w:pStyle w:val="Heading3"/>
        <w:rPr>
          <w:lang w:val="en-US"/>
        </w:rPr>
      </w:pPr>
      <w:bookmarkStart w:id="375" w:name="_Toc51045775"/>
      <w:r>
        <w:rPr>
          <w:lang w:val="en-US"/>
        </w:rPr>
        <w:t>4.2.3</w:t>
      </w:r>
      <w:r>
        <w:rPr>
          <w:lang w:val="en-US"/>
        </w:rPr>
        <w:tab/>
        <w:t>Calculations when the ISS satellite is at the limb of the EESS sensor</w:t>
      </w:r>
      <w:bookmarkEnd w:id="375"/>
    </w:p>
    <w:p w:rsidR="00B9359B" w:rsidRDefault="009A5268">
      <w:pPr>
        <w:rPr>
          <w:lang w:val="en-US"/>
        </w:rPr>
      </w:pPr>
      <w:r>
        <w:rPr>
          <w:lang w:val="en-US"/>
        </w:rPr>
        <w:t>A very simple geometric situation is when the ISS satellite is at the limb of the EESS sensor. In that situation, the antenna gain of the EESS sensor is also at a very low level, but the antenna ISS gain is near close to the maximum (a few degrees of angle from boresight).</w:t>
      </w:r>
    </w:p>
    <w:p w:rsidR="00B9359B" w:rsidRDefault="009A5268">
      <w:pPr>
        <w:rPr>
          <w:lang w:val="en-US"/>
        </w:rPr>
      </w:pPr>
      <w:r>
        <w:rPr>
          <w:lang w:val="en-US"/>
        </w:rPr>
        <w:t xml:space="preserve">No specific allowance has been made on the effect of the body of the satellite. </w:t>
      </w:r>
    </w:p>
    <w:p w:rsidR="00B9359B" w:rsidRDefault="009A5268">
      <w:pPr>
        <w:pStyle w:val="TableNo"/>
        <w:rPr>
          <w:lang w:val="en-US"/>
        </w:rPr>
      </w:pPr>
      <w:r>
        <w:rPr>
          <w:lang w:val="en-US"/>
        </w:rPr>
        <w:t>TABLE  41</w:t>
      </w:r>
    </w:p>
    <w:p w:rsidR="00B9359B" w:rsidRDefault="009A5268">
      <w:pPr>
        <w:pStyle w:val="Tabletitle"/>
        <w:rPr>
          <w:lang w:val="en-US"/>
        </w:rPr>
      </w:pPr>
      <w:r>
        <w:rPr>
          <w:lang w:val="en-US"/>
        </w:rPr>
        <w:t>Compatibility analysis between Hib-Leo 2 and MEGHA-TROPIC</w:t>
      </w:r>
    </w:p>
    <w:tbl>
      <w:tblPr>
        <w:tblW w:w="0" w:type="auto"/>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A0" w:firstRow="1" w:lastRow="0" w:firstColumn="1" w:lastColumn="0" w:noHBand="0" w:noVBand="0"/>
      </w:tblPr>
      <w:tblGrid>
        <w:gridCol w:w="6577"/>
        <w:gridCol w:w="3005"/>
      </w:tblGrid>
      <w:tr w:rsidR="00B9359B">
        <w:trPr>
          <w:cantSplit/>
        </w:trPr>
        <w:tc>
          <w:tcPr>
            <w:tcW w:w="6577" w:type="dxa"/>
          </w:tcPr>
          <w:p w:rsidR="00B9359B" w:rsidRDefault="009A5268">
            <w:pPr>
              <w:pStyle w:val="Tablehead"/>
              <w:framePr w:hSpace="181" w:wrap="notBeside" w:vAnchor="text" w:hAnchor="text" w:xAlign="center" w:y="1"/>
              <w:rPr>
                <w:lang w:val="en-US"/>
              </w:rPr>
            </w:pPr>
            <w:r>
              <w:rPr>
                <w:lang w:val="en-US"/>
              </w:rPr>
              <w:t>Parameters</w:t>
            </w:r>
          </w:p>
        </w:tc>
        <w:tc>
          <w:tcPr>
            <w:tcW w:w="3005" w:type="dxa"/>
          </w:tcPr>
          <w:p w:rsidR="00B9359B" w:rsidRDefault="009A5268">
            <w:pPr>
              <w:pStyle w:val="Tablehead"/>
              <w:framePr w:hSpace="181" w:wrap="notBeside" w:vAnchor="text" w:hAnchor="text" w:xAlign="center" w:y="1"/>
              <w:rPr>
                <w:lang w:val="en-US"/>
              </w:rPr>
            </w:pPr>
            <w:r>
              <w:rPr>
                <w:lang w:val="en-US"/>
              </w:rPr>
              <w:t>Value achieved</w:t>
            </w:r>
          </w:p>
        </w:tc>
      </w:tr>
      <w:tr w:rsidR="00B9359B">
        <w:trPr>
          <w:cantSplit/>
        </w:trPr>
        <w:tc>
          <w:tcPr>
            <w:tcW w:w="6577" w:type="dxa"/>
          </w:tcPr>
          <w:p w:rsidR="00B9359B" w:rsidRDefault="009A5268">
            <w:pPr>
              <w:pStyle w:val="Tabletext"/>
              <w:framePr w:hSpace="181" w:wrap="notBeside" w:vAnchor="text" w:hAnchor="text" w:xAlign="center" w:y="1"/>
              <w:spacing w:before="50" w:after="50"/>
              <w:rPr>
                <w:lang w:val="en-US"/>
              </w:rPr>
            </w:pPr>
            <w:r>
              <w:rPr>
                <w:lang w:val="en-US"/>
              </w:rPr>
              <w:t>ISS frequency range (GHz)</w:t>
            </w:r>
          </w:p>
        </w:tc>
        <w:tc>
          <w:tcPr>
            <w:tcW w:w="3005" w:type="dxa"/>
          </w:tcPr>
          <w:p w:rsidR="00B9359B" w:rsidRDefault="009A5268">
            <w:pPr>
              <w:pStyle w:val="Tabletext"/>
              <w:framePr w:hSpace="181" w:wrap="notBeside" w:vAnchor="text" w:hAnchor="text" w:xAlign="center" w:y="1"/>
              <w:spacing w:before="50" w:after="50"/>
              <w:jc w:val="center"/>
              <w:rPr>
                <w:lang w:val="en-US"/>
              </w:rPr>
            </w:pPr>
            <w:r>
              <w:rPr>
                <w:lang w:val="en-US"/>
              </w:rPr>
              <w:t>23.183-23.377</w:t>
            </w:r>
          </w:p>
        </w:tc>
      </w:tr>
      <w:tr w:rsidR="00B9359B">
        <w:trPr>
          <w:cantSplit/>
        </w:trPr>
        <w:tc>
          <w:tcPr>
            <w:tcW w:w="6577" w:type="dxa"/>
          </w:tcPr>
          <w:p w:rsidR="00B9359B" w:rsidRDefault="009A5268">
            <w:pPr>
              <w:pStyle w:val="Tabletext"/>
              <w:framePr w:hSpace="181" w:wrap="notBeside" w:vAnchor="text" w:hAnchor="text" w:xAlign="center" w:y="1"/>
              <w:spacing w:before="50" w:after="50"/>
              <w:rPr>
                <w:lang w:val="en-US"/>
              </w:rPr>
            </w:pPr>
            <w:r>
              <w:rPr>
                <w:lang w:val="en-US"/>
              </w:rPr>
              <w:t>Bandwidth (MHz)</w:t>
            </w:r>
          </w:p>
        </w:tc>
        <w:tc>
          <w:tcPr>
            <w:tcW w:w="3005" w:type="dxa"/>
          </w:tcPr>
          <w:p w:rsidR="00B9359B" w:rsidRDefault="009A5268">
            <w:pPr>
              <w:pStyle w:val="Tabletext"/>
              <w:framePr w:hSpace="181" w:wrap="notBeside" w:vAnchor="text" w:hAnchor="text" w:xAlign="center" w:y="1"/>
              <w:spacing w:before="50" w:after="50"/>
              <w:jc w:val="center"/>
              <w:rPr>
                <w:lang w:val="en-US"/>
              </w:rPr>
            </w:pPr>
            <w:r>
              <w:rPr>
                <w:lang w:val="en-US"/>
              </w:rPr>
              <w:t>194</w:t>
            </w:r>
          </w:p>
        </w:tc>
      </w:tr>
      <w:tr w:rsidR="00B9359B">
        <w:trPr>
          <w:cantSplit/>
        </w:trPr>
        <w:tc>
          <w:tcPr>
            <w:tcW w:w="6577" w:type="dxa"/>
          </w:tcPr>
          <w:p w:rsidR="00B9359B" w:rsidRDefault="009A5268">
            <w:pPr>
              <w:pStyle w:val="Tabletext"/>
              <w:framePr w:hSpace="181" w:wrap="notBeside" w:vAnchor="text" w:hAnchor="text" w:xAlign="center" w:y="1"/>
              <w:spacing w:before="50" w:after="50"/>
              <w:rPr>
                <w:lang w:val="en-US"/>
              </w:rPr>
            </w:pPr>
            <w:r>
              <w:rPr>
                <w:lang w:val="en-US"/>
              </w:rPr>
              <w:t>EESS off nadir angle</w:t>
            </w:r>
          </w:p>
        </w:tc>
        <w:tc>
          <w:tcPr>
            <w:tcW w:w="3005" w:type="dxa"/>
          </w:tcPr>
          <w:p w:rsidR="00B9359B" w:rsidRDefault="009A5268">
            <w:pPr>
              <w:pStyle w:val="Tabletext"/>
              <w:framePr w:hSpace="181" w:wrap="notBeside" w:vAnchor="text" w:hAnchor="text" w:xAlign="center" w:y="1"/>
              <w:spacing w:before="50" w:after="50"/>
              <w:jc w:val="center"/>
              <w:rPr>
                <w:lang w:val="en-US"/>
              </w:rPr>
            </w:pPr>
            <w:r>
              <w:rPr>
                <w:lang w:val="en-US"/>
              </w:rPr>
              <w:t>61.9</w:t>
            </w:r>
          </w:p>
        </w:tc>
      </w:tr>
      <w:tr w:rsidR="00B9359B">
        <w:trPr>
          <w:cantSplit/>
        </w:trPr>
        <w:tc>
          <w:tcPr>
            <w:tcW w:w="6577" w:type="dxa"/>
          </w:tcPr>
          <w:p w:rsidR="00B9359B" w:rsidRDefault="009A5268">
            <w:pPr>
              <w:pStyle w:val="Tabletext"/>
              <w:framePr w:hSpace="181" w:wrap="notBeside" w:vAnchor="text" w:hAnchor="text" w:xAlign="center" w:y="1"/>
              <w:spacing w:before="50" w:after="50"/>
              <w:rPr>
                <w:lang w:val="en-US"/>
              </w:rPr>
            </w:pPr>
            <w:r>
              <w:rPr>
                <w:lang w:val="en-US"/>
              </w:rPr>
              <w:t>ISS off nadir angle</w:t>
            </w:r>
          </w:p>
        </w:tc>
        <w:tc>
          <w:tcPr>
            <w:tcW w:w="3005" w:type="dxa"/>
          </w:tcPr>
          <w:p w:rsidR="00B9359B" w:rsidRDefault="009A5268">
            <w:pPr>
              <w:pStyle w:val="Tabletext"/>
              <w:framePr w:hSpace="181" w:wrap="notBeside" w:vAnchor="text" w:hAnchor="text" w:xAlign="center" w:y="1"/>
              <w:spacing w:before="50" w:after="50"/>
              <w:jc w:val="center"/>
              <w:rPr>
                <w:lang w:val="en-US"/>
              </w:rPr>
            </w:pPr>
            <w:r>
              <w:rPr>
                <w:lang w:val="en-US"/>
              </w:rPr>
              <w:t>62.4</w:t>
            </w:r>
          </w:p>
        </w:tc>
      </w:tr>
      <w:tr w:rsidR="00B9359B">
        <w:trPr>
          <w:cantSplit/>
        </w:trPr>
        <w:tc>
          <w:tcPr>
            <w:tcW w:w="6577" w:type="dxa"/>
          </w:tcPr>
          <w:p w:rsidR="00B9359B" w:rsidRDefault="009A5268">
            <w:pPr>
              <w:pStyle w:val="Tabletext"/>
              <w:framePr w:hSpace="181" w:wrap="notBeside" w:vAnchor="text" w:hAnchor="text" w:xAlign="center" w:y="1"/>
              <w:spacing w:before="50" w:after="50"/>
              <w:rPr>
                <w:lang w:val="en-US"/>
              </w:rPr>
            </w:pPr>
            <w:r>
              <w:rPr>
                <w:lang w:val="en-US"/>
              </w:rPr>
              <w:t>ISS e.i.r.p. (dBW)</w:t>
            </w:r>
          </w:p>
        </w:tc>
        <w:tc>
          <w:tcPr>
            <w:tcW w:w="3005" w:type="dxa"/>
          </w:tcPr>
          <w:p w:rsidR="00B9359B" w:rsidRDefault="009A5268">
            <w:pPr>
              <w:pStyle w:val="Tabletext"/>
              <w:framePr w:hSpace="181" w:wrap="notBeside" w:vAnchor="text" w:hAnchor="text" w:xAlign="center" w:y="1"/>
              <w:spacing w:before="50" w:after="50"/>
              <w:jc w:val="center"/>
              <w:rPr>
                <w:lang w:val="en-US"/>
              </w:rPr>
            </w:pPr>
            <w:r>
              <w:rPr>
                <w:lang w:val="en-US"/>
              </w:rPr>
              <w:t>18.2</w:t>
            </w:r>
          </w:p>
        </w:tc>
      </w:tr>
      <w:tr w:rsidR="00B9359B">
        <w:trPr>
          <w:cantSplit/>
          <w:trHeight w:val="53"/>
        </w:trPr>
        <w:tc>
          <w:tcPr>
            <w:tcW w:w="6577" w:type="dxa"/>
          </w:tcPr>
          <w:p w:rsidR="00B9359B" w:rsidRDefault="009A5268">
            <w:pPr>
              <w:pStyle w:val="Tabletext"/>
              <w:framePr w:hSpace="181" w:wrap="notBeside" w:vAnchor="text" w:hAnchor="text" w:xAlign="center" w:y="1"/>
              <w:spacing w:before="50" w:after="50"/>
              <w:rPr>
                <w:lang w:val="en-US"/>
              </w:rPr>
            </w:pPr>
            <w:r>
              <w:rPr>
                <w:lang w:val="en-US"/>
              </w:rPr>
              <w:t>Distance ISS space station – EESS sensor (km)</w:t>
            </w:r>
          </w:p>
        </w:tc>
        <w:tc>
          <w:tcPr>
            <w:tcW w:w="3005" w:type="dxa"/>
          </w:tcPr>
          <w:p w:rsidR="00B9359B" w:rsidRDefault="009A5268">
            <w:pPr>
              <w:pStyle w:val="Tabletext"/>
              <w:framePr w:hSpace="181" w:wrap="notBeside" w:vAnchor="text" w:hAnchor="text" w:xAlign="center" w:y="1"/>
              <w:spacing w:before="50" w:after="50"/>
              <w:jc w:val="center"/>
              <w:rPr>
                <w:lang w:val="en-US"/>
              </w:rPr>
            </w:pPr>
            <w:r>
              <w:rPr>
                <w:lang w:val="en-US"/>
              </w:rPr>
              <w:t>6 660</w:t>
            </w:r>
          </w:p>
        </w:tc>
      </w:tr>
      <w:tr w:rsidR="00B9359B">
        <w:trPr>
          <w:cantSplit/>
        </w:trPr>
        <w:tc>
          <w:tcPr>
            <w:tcW w:w="6577" w:type="dxa"/>
          </w:tcPr>
          <w:p w:rsidR="00B9359B" w:rsidRDefault="009A5268">
            <w:pPr>
              <w:pStyle w:val="Tabletext"/>
              <w:framePr w:hSpace="181" w:wrap="notBeside" w:vAnchor="text" w:hAnchor="text" w:xAlign="center" w:y="1"/>
              <w:spacing w:before="50" w:after="50"/>
              <w:rPr>
                <w:lang w:val="en-US"/>
              </w:rPr>
            </w:pPr>
            <w:r>
              <w:rPr>
                <w:lang w:val="en-US"/>
              </w:rPr>
              <w:t>Space attenuation (dB)</w:t>
            </w:r>
          </w:p>
        </w:tc>
        <w:tc>
          <w:tcPr>
            <w:tcW w:w="3005" w:type="dxa"/>
          </w:tcPr>
          <w:p w:rsidR="00B9359B" w:rsidRDefault="009A5268">
            <w:pPr>
              <w:pStyle w:val="Tabletext"/>
              <w:framePr w:hSpace="181" w:wrap="notBeside" w:vAnchor="text" w:hAnchor="text" w:xAlign="center" w:y="1"/>
              <w:spacing w:before="50" w:after="50"/>
              <w:jc w:val="center"/>
              <w:rPr>
                <w:lang w:val="en-US"/>
              </w:rPr>
            </w:pPr>
            <w:r>
              <w:rPr>
                <w:lang w:val="en-US"/>
              </w:rPr>
              <w:t>196.4</w:t>
            </w:r>
          </w:p>
        </w:tc>
      </w:tr>
      <w:tr w:rsidR="00B9359B">
        <w:trPr>
          <w:cantSplit/>
        </w:trPr>
        <w:tc>
          <w:tcPr>
            <w:tcW w:w="6577" w:type="dxa"/>
          </w:tcPr>
          <w:p w:rsidR="00B9359B" w:rsidRDefault="009A5268">
            <w:pPr>
              <w:pStyle w:val="Tabletext"/>
              <w:framePr w:hSpace="181" w:wrap="notBeside" w:vAnchor="text" w:hAnchor="text" w:xAlign="center" w:y="1"/>
              <w:spacing w:before="50" w:after="50"/>
              <w:rPr>
                <w:lang w:val="en-US"/>
              </w:rPr>
            </w:pPr>
            <w:r>
              <w:rPr>
                <w:lang w:val="en-US"/>
              </w:rPr>
              <w:t>EESS antenna gain (dBi)</w:t>
            </w:r>
          </w:p>
        </w:tc>
        <w:tc>
          <w:tcPr>
            <w:tcW w:w="3005" w:type="dxa"/>
          </w:tcPr>
          <w:p w:rsidR="00B9359B" w:rsidRDefault="009A5268">
            <w:pPr>
              <w:pStyle w:val="Tabletext"/>
              <w:framePr w:hSpace="181" w:wrap="notBeside" w:vAnchor="text" w:hAnchor="text" w:xAlign="center" w:y="1"/>
              <w:spacing w:before="50" w:after="50"/>
              <w:jc w:val="center"/>
              <w:rPr>
                <w:lang w:val="en-US"/>
              </w:rPr>
            </w:pPr>
            <w:r>
              <w:rPr>
                <w:lang w:val="en-US"/>
              </w:rPr>
              <w:t>–20</w:t>
            </w:r>
          </w:p>
        </w:tc>
      </w:tr>
      <w:tr w:rsidR="00B9359B">
        <w:trPr>
          <w:cantSplit/>
        </w:trPr>
        <w:tc>
          <w:tcPr>
            <w:tcW w:w="6577" w:type="dxa"/>
          </w:tcPr>
          <w:p w:rsidR="00B9359B" w:rsidRDefault="009A5268">
            <w:pPr>
              <w:pStyle w:val="Tabletext"/>
              <w:framePr w:hSpace="181" w:wrap="notBeside" w:vAnchor="text" w:hAnchor="text" w:xAlign="center" w:y="1"/>
              <w:spacing w:before="50" w:after="50"/>
              <w:rPr>
                <w:lang w:val="en-US"/>
              </w:rPr>
            </w:pPr>
            <w:r>
              <w:rPr>
                <w:lang w:val="en-US"/>
              </w:rPr>
              <w:t>Received power at the EESS within the above bandwidth (dBW)</w:t>
            </w:r>
          </w:p>
        </w:tc>
        <w:tc>
          <w:tcPr>
            <w:tcW w:w="3005" w:type="dxa"/>
          </w:tcPr>
          <w:p w:rsidR="00B9359B" w:rsidRDefault="009A5268">
            <w:pPr>
              <w:pStyle w:val="Tabletext"/>
              <w:framePr w:hSpace="181" w:wrap="notBeside" w:vAnchor="text" w:hAnchor="text" w:xAlign="center" w:y="1"/>
              <w:spacing w:before="50" w:after="50"/>
              <w:jc w:val="center"/>
              <w:rPr>
                <w:lang w:val="en-US"/>
              </w:rPr>
            </w:pPr>
            <w:r>
              <w:rPr>
                <w:lang w:val="en-US"/>
              </w:rPr>
              <w:t>–198.2</w:t>
            </w:r>
          </w:p>
        </w:tc>
      </w:tr>
      <w:tr w:rsidR="00B9359B">
        <w:trPr>
          <w:cantSplit/>
        </w:trPr>
        <w:tc>
          <w:tcPr>
            <w:tcW w:w="6577" w:type="dxa"/>
          </w:tcPr>
          <w:p w:rsidR="00B9359B" w:rsidRDefault="009A5268">
            <w:pPr>
              <w:pStyle w:val="Tabletext"/>
              <w:framePr w:hSpace="181" w:wrap="notBeside" w:vAnchor="text" w:hAnchor="text" w:xAlign="center" w:y="1"/>
              <w:spacing w:before="50" w:after="50"/>
              <w:jc w:val="left"/>
              <w:rPr>
                <w:lang w:val="en-US"/>
              </w:rPr>
            </w:pPr>
            <w:r>
              <w:rPr>
                <w:lang w:val="en-US"/>
              </w:rPr>
              <w:t>Corresponding received power at the EESS in a bandwidth of 100 MHz (dBW)</w:t>
            </w:r>
          </w:p>
        </w:tc>
        <w:tc>
          <w:tcPr>
            <w:tcW w:w="3005" w:type="dxa"/>
          </w:tcPr>
          <w:p w:rsidR="00B9359B" w:rsidRDefault="009A5268">
            <w:pPr>
              <w:pStyle w:val="Tabletext"/>
              <w:framePr w:hSpace="181" w:wrap="notBeside" w:vAnchor="text" w:hAnchor="text" w:xAlign="center" w:y="1"/>
              <w:spacing w:before="50" w:after="50"/>
              <w:jc w:val="center"/>
              <w:rPr>
                <w:lang w:val="en-US"/>
              </w:rPr>
            </w:pPr>
            <w:r>
              <w:rPr>
                <w:lang w:val="en-US"/>
              </w:rPr>
              <w:t>–201</w:t>
            </w:r>
          </w:p>
        </w:tc>
      </w:tr>
      <w:tr w:rsidR="00B9359B">
        <w:trPr>
          <w:cantSplit/>
        </w:trPr>
        <w:tc>
          <w:tcPr>
            <w:tcW w:w="6577" w:type="dxa"/>
          </w:tcPr>
          <w:p w:rsidR="00B9359B" w:rsidRDefault="009A5268">
            <w:pPr>
              <w:pStyle w:val="Tabletext"/>
              <w:framePr w:hSpace="181" w:wrap="notBeside" w:vAnchor="text" w:hAnchor="text" w:xAlign="center" w:y="1"/>
              <w:spacing w:before="50" w:after="50"/>
              <w:rPr>
                <w:lang w:val="en-US"/>
              </w:rPr>
            </w:pPr>
            <w:r>
              <w:rPr>
                <w:lang w:val="en-US"/>
              </w:rPr>
              <w:t>Interference threshold in a bandwidth of 100 MHz (dBW)</w:t>
            </w:r>
          </w:p>
        </w:tc>
        <w:tc>
          <w:tcPr>
            <w:tcW w:w="3005" w:type="dxa"/>
          </w:tcPr>
          <w:p w:rsidR="00B9359B" w:rsidRDefault="009A5268">
            <w:pPr>
              <w:pStyle w:val="Tabletext"/>
              <w:framePr w:hSpace="181" w:wrap="notBeside" w:vAnchor="text" w:hAnchor="text" w:xAlign="center" w:y="1"/>
              <w:spacing w:before="50" w:after="50"/>
              <w:jc w:val="center"/>
              <w:rPr>
                <w:lang w:val="en-US"/>
              </w:rPr>
            </w:pPr>
            <w:r>
              <w:rPr>
                <w:lang w:val="en-US"/>
              </w:rPr>
              <w:t>–163</w:t>
            </w:r>
          </w:p>
        </w:tc>
      </w:tr>
      <w:tr w:rsidR="00B9359B">
        <w:trPr>
          <w:cantSplit/>
        </w:trPr>
        <w:tc>
          <w:tcPr>
            <w:tcW w:w="6577" w:type="dxa"/>
          </w:tcPr>
          <w:p w:rsidR="00B9359B" w:rsidRDefault="009A5268">
            <w:pPr>
              <w:pStyle w:val="Tabletext"/>
              <w:framePr w:hSpace="181" w:wrap="notBeside" w:vAnchor="text" w:hAnchor="text" w:xAlign="center" w:y="1"/>
              <w:spacing w:before="50" w:after="50"/>
              <w:rPr>
                <w:lang w:val="en-US"/>
              </w:rPr>
            </w:pPr>
            <w:r>
              <w:rPr>
                <w:lang w:val="en-US"/>
              </w:rPr>
              <w:t>Required spectral attenuation</w:t>
            </w:r>
          </w:p>
        </w:tc>
        <w:tc>
          <w:tcPr>
            <w:tcW w:w="3005" w:type="dxa"/>
          </w:tcPr>
          <w:p w:rsidR="00B9359B" w:rsidRDefault="009A5268">
            <w:pPr>
              <w:pStyle w:val="Tabletext"/>
              <w:framePr w:hSpace="181" w:wrap="notBeside" w:vAnchor="text" w:hAnchor="text" w:xAlign="center" w:y="1"/>
              <w:spacing w:before="50" w:after="50"/>
              <w:jc w:val="center"/>
              <w:rPr>
                <w:lang w:val="en-US"/>
              </w:rPr>
            </w:pPr>
            <w:r>
              <w:rPr>
                <w:lang w:val="en-US"/>
              </w:rPr>
              <w:t>0</w:t>
            </w:r>
          </w:p>
        </w:tc>
      </w:tr>
    </w:tbl>
    <w:p w:rsidR="00B9359B" w:rsidRDefault="00B9359B">
      <w:pPr>
        <w:pStyle w:val="Tablefin"/>
        <w:spacing w:before="0"/>
      </w:pPr>
    </w:p>
    <w:p w:rsidR="00B9359B" w:rsidRDefault="009A5268">
      <w:pPr>
        <w:rPr>
          <w:lang w:val="en-US"/>
        </w:rPr>
      </w:pPr>
      <w:r>
        <w:rPr>
          <w:lang w:val="en-US"/>
        </w:rPr>
        <w:t>When the ISS satellite is seen at the limb by the EESS satellite, the integrated power in a 100 MHz reference bandwidth is below the interference threshold.</w:t>
      </w:r>
    </w:p>
    <w:p w:rsidR="00B9359B" w:rsidRDefault="009A5268">
      <w:pPr>
        <w:pStyle w:val="Heading2"/>
        <w:rPr>
          <w:lang w:val="en-US"/>
        </w:rPr>
      </w:pPr>
      <w:bookmarkStart w:id="376" w:name="_Toc51045776"/>
      <w:r>
        <w:rPr>
          <w:lang w:val="en-US"/>
        </w:rPr>
        <w:br w:type="page"/>
        <w:t>4.3</w:t>
      </w:r>
      <w:r>
        <w:rPr>
          <w:lang w:val="en-US"/>
        </w:rPr>
        <w:tab/>
        <w:t>Calculation of interference level for nadir passive sensor</w:t>
      </w:r>
      <w:bookmarkEnd w:id="376"/>
    </w:p>
    <w:p w:rsidR="00B9359B" w:rsidRDefault="009A5268">
      <w:pPr>
        <w:pStyle w:val="Heading3"/>
        <w:rPr>
          <w:lang w:val="en-US"/>
        </w:rPr>
      </w:pPr>
      <w:bookmarkStart w:id="377" w:name="_Toc51045777"/>
      <w:r>
        <w:rPr>
          <w:lang w:val="en-US"/>
        </w:rPr>
        <w:t>4.3.1</w:t>
      </w:r>
      <w:r>
        <w:rPr>
          <w:lang w:val="en-US"/>
        </w:rPr>
        <w:tab/>
        <w:t>Identification of the worst configurations</w:t>
      </w:r>
      <w:bookmarkEnd w:id="377"/>
    </w:p>
    <w:p w:rsidR="00B9359B" w:rsidRDefault="009A5268">
      <w:pPr>
        <w:rPr>
          <w:lang w:val="en-US"/>
        </w:rPr>
      </w:pPr>
      <w:r>
        <w:rPr>
          <w:lang w:val="en-US"/>
        </w:rPr>
        <w:t>Five geometric configurations involving the passive sensor in a 850 km circular sun-synchronous orbit, and one unique satellite of the ISS constellation in circular orbits of various altitudes that are described in Table 37 are analysed.</w:t>
      </w:r>
    </w:p>
    <w:p w:rsidR="00B9359B" w:rsidRDefault="009A5268">
      <w:pPr>
        <w:rPr>
          <w:lang w:val="en-US"/>
        </w:rPr>
      </w:pPr>
      <w:r>
        <w:rPr>
          <w:lang w:val="en-US"/>
        </w:rPr>
        <w:t>The nadir beam of the passive sensor (the data acquisition antenna) is considered as the worst case when ISS satellites are lower than the EESS satellite. Data acquisition and calibration modes are considered simultaneously.</w:t>
      </w:r>
    </w:p>
    <w:p w:rsidR="00B9359B" w:rsidRDefault="009A5268">
      <w:pPr>
        <w:rPr>
          <w:lang w:val="en-US"/>
        </w:rPr>
      </w:pPr>
      <w:r>
        <w:rPr>
          <w:lang w:val="en-US"/>
        </w:rPr>
        <w:t>Considering that the nadir sounder scanning and cold space calibration are implemented in a plane normal to the velocity vector of the Earth exploration-satellite which contains the main beams of the data acquisition antenna and of the calibration antenna, it is recognized that the worst potentially interfering conditions are met when the ISS links are implemented in this plane, because interference paths involving the main beams of the passive sensor and/or ISS antennas are then becoming possible. The geocentric distance between the EESS and the ISS satellites being a variable parameter, the present analysis explores such configurations to identify those, which cause interference.</w:t>
      </w:r>
    </w:p>
    <w:p w:rsidR="00B9359B" w:rsidRDefault="009A5268">
      <w:pPr>
        <w:rPr>
          <w:lang w:val="en-US"/>
        </w:rPr>
      </w:pPr>
      <w:r>
        <w:rPr>
          <w:lang w:val="en-US"/>
        </w:rPr>
        <w:t>The antenna model given in Recommendation ITU-R F.1245 is adopted to simulate the EESS and the ISS antennas.</w:t>
      </w:r>
    </w:p>
    <w:p w:rsidR="00B9359B" w:rsidRDefault="00B9359B">
      <w:pPr>
        <w:rPr>
          <w:lang w:val="en-US"/>
        </w:rPr>
      </w:pPr>
    </w:p>
    <w:p w:rsidR="00B9359B" w:rsidRDefault="009A5268">
      <w:pPr>
        <w:pStyle w:val="FigureNo"/>
      </w:pPr>
      <w:r>
        <w:object w:dxaOrig="7431" w:dyaOrig="5607">
          <v:shape id="_x0000_i1069" type="#_x0000_t75" style="width:371.3pt;height:279.4pt" o:ole="">
            <v:imagedata r:id="rId74" o:title=""/>
          </v:shape>
          <o:OLEObject Type="Embed" ProgID="Designer.Drawing.7" ShapeID="_x0000_i1069" DrawAspect="Content" ObjectID="_1629894576" r:id="rId75"/>
        </w:object>
      </w:r>
    </w:p>
    <w:p w:rsidR="00B9359B" w:rsidRDefault="00B9359B">
      <w:pPr>
        <w:rPr>
          <w:lang w:val="en-US"/>
        </w:rPr>
      </w:pPr>
    </w:p>
    <w:p w:rsidR="00B9359B" w:rsidRDefault="009A5268">
      <w:pPr>
        <w:rPr>
          <w:lang w:val="en-US"/>
        </w:rPr>
      </w:pPr>
      <w:r>
        <w:rPr>
          <w:lang w:val="en-US"/>
        </w:rPr>
        <w:br w:type="page"/>
        <w:t>It is noted that in case of similar EESS and ISS orbits (similar inclination, similar altitude) as it is the case for the two low orbiting ISS systems considered, their relative velocity may be low, enabling long-lasting potentially interfering situations to happen.</w:t>
      </w:r>
    </w:p>
    <w:p w:rsidR="00B9359B" w:rsidRDefault="009A5268">
      <w:pPr>
        <w:rPr>
          <w:lang w:val="en-US"/>
        </w:rPr>
      </w:pPr>
      <w:r>
        <w:rPr>
          <w:lang w:val="en-US"/>
        </w:rPr>
        <w:t>The results of the co-frequency link budgets for the sounding and for the cold space calibration are plotted in Figs. 34, 35, 36, 37 and 38 (push-broom case). These Figures are valid for 200 MHz and 100 MHz necessary bandwidth; they should be decreased by 3 dB in case of 50 MHz necessary bandwidth. They clearly indicate the geometric conditions, which create interference. They are also mostly applicable to the AMSU case.</w:t>
      </w:r>
    </w:p>
    <w:p w:rsidR="00B9359B" w:rsidRDefault="00B9359B">
      <w:pPr>
        <w:rPr>
          <w:lang w:val="en-US"/>
        </w:rPr>
      </w:pPr>
    </w:p>
    <w:p w:rsidR="00B9359B" w:rsidRDefault="00B9359B">
      <w:pPr>
        <w:rPr>
          <w:lang w:val="en-US"/>
        </w:rPr>
      </w:pPr>
    </w:p>
    <w:p w:rsidR="00B9359B" w:rsidRDefault="009A5268">
      <w:pPr>
        <w:pStyle w:val="FigureNo"/>
      </w:pPr>
      <w:r>
        <w:object w:dxaOrig="9385" w:dyaOrig="6764">
          <v:shape id="_x0000_i1070" type="#_x0000_t75" style="width:469.05pt;height:339.05pt" o:ole="">
            <v:imagedata r:id="rId76" o:title=""/>
          </v:shape>
          <o:OLEObject Type="Embed" ProgID="Designer.Drawing.7" ShapeID="_x0000_i1070" DrawAspect="Content" ObjectID="_1629894577" r:id="rId77"/>
        </w:object>
      </w:r>
    </w:p>
    <w:p w:rsidR="00B9359B" w:rsidRDefault="00B9359B"/>
    <w:p w:rsidR="00B9359B" w:rsidRDefault="00B9359B"/>
    <w:p w:rsidR="00B9359B" w:rsidRDefault="00B9359B"/>
    <w:p w:rsidR="00B9359B" w:rsidRDefault="00B9359B"/>
    <w:p w:rsidR="00B9359B" w:rsidRDefault="00B9359B"/>
    <w:p w:rsidR="00B9359B" w:rsidRDefault="009A5268">
      <w:pPr>
        <w:pStyle w:val="FigureNo"/>
      </w:pPr>
      <w:r>
        <w:br w:type="page"/>
      </w:r>
      <w:r>
        <w:object w:dxaOrig="9385" w:dyaOrig="6764">
          <v:shape id="_x0000_i1071" type="#_x0000_t75" style="width:469.05pt;height:339.05pt" o:ole="">
            <v:imagedata r:id="rId78" o:title=""/>
          </v:shape>
          <o:OLEObject Type="Embed" ProgID="Designer.Drawing.7" ShapeID="_x0000_i1071" DrawAspect="Content" ObjectID="_1629894578" r:id="rId79"/>
        </w:object>
      </w:r>
    </w:p>
    <w:p w:rsidR="00B9359B" w:rsidRDefault="009A5268">
      <w:pPr>
        <w:pStyle w:val="FigureNo"/>
        <w:spacing w:before="240"/>
      </w:pPr>
      <w:r>
        <w:object w:dxaOrig="9385" w:dyaOrig="6764">
          <v:shape id="_x0000_i1072" type="#_x0000_t75" style="width:469.05pt;height:339.05pt" o:ole="">
            <v:imagedata r:id="rId80" o:title=""/>
          </v:shape>
          <o:OLEObject Type="Embed" ProgID="Designer.Drawing.7" ShapeID="_x0000_i1072" DrawAspect="Content" ObjectID="_1629894579" r:id="rId81"/>
        </w:object>
      </w:r>
    </w:p>
    <w:p w:rsidR="00B9359B" w:rsidRDefault="009A5268">
      <w:pPr>
        <w:pStyle w:val="FigureNo"/>
      </w:pPr>
      <w:r>
        <w:br w:type="page"/>
      </w:r>
      <w:r>
        <w:object w:dxaOrig="9385" w:dyaOrig="6764">
          <v:shape id="_x0000_i1073" type="#_x0000_t75" style="width:469.05pt;height:339.05pt" o:ole="">
            <v:imagedata r:id="rId82" o:title=""/>
          </v:shape>
          <o:OLEObject Type="Embed" ProgID="Designer.Drawing.7" ShapeID="_x0000_i1073" DrawAspect="Content" ObjectID="_1629894580" r:id="rId83"/>
        </w:object>
      </w:r>
    </w:p>
    <w:p w:rsidR="00B9359B" w:rsidRDefault="009A5268">
      <w:pPr>
        <w:pStyle w:val="FigureNo"/>
        <w:spacing w:before="240"/>
      </w:pPr>
      <w:r>
        <w:object w:dxaOrig="9428" w:dyaOrig="6764">
          <v:shape id="_x0000_i1074" type="#_x0000_t75" style="width:471.2pt;height:339.05pt" o:ole="">
            <v:imagedata r:id="rId84" o:title=""/>
          </v:shape>
          <o:OLEObject Type="Embed" ProgID="Designer.Drawing.7" ShapeID="_x0000_i1074" DrawAspect="Content" ObjectID="_1629894581" r:id="rId85"/>
        </w:object>
      </w:r>
    </w:p>
    <w:p w:rsidR="00B9359B" w:rsidRDefault="009A5268">
      <w:pPr>
        <w:pStyle w:val="Heading3"/>
        <w:rPr>
          <w:lang w:val="en-US"/>
        </w:rPr>
      </w:pPr>
      <w:bookmarkStart w:id="378" w:name="_Toc51045778"/>
      <w:r>
        <w:rPr>
          <w:lang w:val="en-US"/>
        </w:rPr>
        <w:br w:type="page"/>
        <w:t>4.3.2</w:t>
      </w:r>
      <w:r>
        <w:rPr>
          <w:lang w:val="en-US"/>
        </w:rPr>
        <w:tab/>
        <w:t>Summary of co-frequency link budgets and comments</w:t>
      </w:r>
      <w:bookmarkEnd w:id="378"/>
    </w:p>
    <w:p w:rsidR="00B9359B" w:rsidRDefault="009A5268">
      <w:pPr>
        <w:rPr>
          <w:lang w:val="en-US"/>
        </w:rPr>
      </w:pPr>
      <w:r>
        <w:rPr>
          <w:lang w:val="en-US"/>
        </w:rPr>
        <w:t xml:space="preserve">The worst-case excesses of received power over the interference threshold (co-frequency link budgets) are summarized in Tables 42 and 43, for the data acquisition and for the cold space calibration modes, and for the five configurations analysed. All results were obtained in semi-static configurations involving interference from one unique satellite of the ISS constellation. Negative margins indicate that the interference threshold is exceeded. </w:t>
      </w:r>
    </w:p>
    <w:p w:rsidR="00B9359B" w:rsidRDefault="009A5268">
      <w:pPr>
        <w:pStyle w:val="TableNo"/>
        <w:rPr>
          <w:lang w:val="en-US"/>
        </w:rPr>
      </w:pPr>
      <w:r>
        <w:rPr>
          <w:lang w:val="en-US"/>
        </w:rPr>
        <w:t>TABLE  42</w:t>
      </w:r>
    </w:p>
    <w:p w:rsidR="00B9359B" w:rsidRDefault="009A5268">
      <w:pPr>
        <w:pStyle w:val="Tabletitle"/>
        <w:keepNext w:val="0"/>
        <w:tabs>
          <w:tab w:val="clear" w:pos="794"/>
          <w:tab w:val="clear" w:pos="1191"/>
          <w:tab w:val="clear" w:pos="1588"/>
          <w:tab w:val="clear" w:pos="1985"/>
        </w:tabs>
        <w:overflowPunct/>
        <w:autoSpaceDE/>
        <w:autoSpaceDN/>
        <w:adjustRightInd/>
        <w:textAlignment w:val="auto"/>
        <w:rPr>
          <w:lang w:val="en-US"/>
        </w:rPr>
      </w:pPr>
      <w:r>
        <w:rPr>
          <w:lang w:val="en-US"/>
        </w:rPr>
        <w:t>Worst-case margins referred to the interference threshold</w:t>
      </w:r>
      <w:r>
        <w:rPr>
          <w:lang w:val="en-US"/>
        </w:rPr>
        <w:br/>
        <w:t>(co-frequency assumption) (AMSU case)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94"/>
        <w:gridCol w:w="979"/>
        <w:gridCol w:w="1118"/>
        <w:gridCol w:w="980"/>
        <w:gridCol w:w="1118"/>
        <w:gridCol w:w="979"/>
        <w:gridCol w:w="1171"/>
      </w:tblGrid>
      <w:tr w:rsidR="00B9359B" w:rsidRPr="00D35B94">
        <w:trPr>
          <w:cantSplit/>
        </w:trPr>
        <w:tc>
          <w:tcPr>
            <w:tcW w:w="9639" w:type="dxa"/>
            <w:gridSpan w:val="7"/>
          </w:tcPr>
          <w:p w:rsidR="00B9359B" w:rsidRDefault="009A5268">
            <w:pPr>
              <w:pStyle w:val="Tablehead"/>
              <w:framePr w:hSpace="181" w:wrap="notBeside" w:vAnchor="text" w:hAnchor="text" w:xAlign="center" w:y="1"/>
              <w:rPr>
                <w:sz w:val="20"/>
                <w:lang w:val="en-US"/>
              </w:rPr>
            </w:pPr>
            <w:r>
              <w:rPr>
                <w:sz w:val="20"/>
                <w:lang w:val="en-US"/>
              </w:rPr>
              <w:t>Worst-case margins referred to sensor’s interference threshold – AMSU case (co-frequency assumption)</w:t>
            </w:r>
          </w:p>
        </w:tc>
      </w:tr>
      <w:tr w:rsidR="00B9359B">
        <w:trPr>
          <w:cantSplit/>
        </w:trPr>
        <w:tc>
          <w:tcPr>
            <w:tcW w:w="3294" w:type="dxa"/>
            <w:vMerge w:val="restart"/>
          </w:tcPr>
          <w:p w:rsidR="00B9359B" w:rsidRDefault="00B9359B">
            <w:pPr>
              <w:pStyle w:val="Tablehead"/>
              <w:framePr w:hSpace="181" w:wrap="notBeside" w:vAnchor="text" w:hAnchor="text" w:xAlign="center" w:y="1"/>
              <w:jc w:val="left"/>
              <w:rPr>
                <w:sz w:val="18"/>
                <w:lang w:val="en-US"/>
              </w:rPr>
            </w:pPr>
          </w:p>
        </w:tc>
        <w:tc>
          <w:tcPr>
            <w:tcW w:w="2097" w:type="dxa"/>
            <w:gridSpan w:val="2"/>
          </w:tcPr>
          <w:p w:rsidR="00B9359B" w:rsidRDefault="009A5268">
            <w:pPr>
              <w:pStyle w:val="Tablehead"/>
              <w:framePr w:hSpace="181" w:wrap="notBeside" w:vAnchor="text" w:hAnchor="text" w:xAlign="center" w:y="1"/>
              <w:rPr>
                <w:sz w:val="18"/>
                <w:lang w:val="en-US"/>
              </w:rPr>
            </w:pPr>
            <w:r>
              <w:rPr>
                <w:sz w:val="18"/>
                <w:lang w:val="en-US"/>
              </w:rPr>
              <w:t>LEO-1 (700 km)</w:t>
            </w:r>
          </w:p>
        </w:tc>
        <w:tc>
          <w:tcPr>
            <w:tcW w:w="2098" w:type="dxa"/>
            <w:gridSpan w:val="2"/>
          </w:tcPr>
          <w:p w:rsidR="00B9359B" w:rsidRDefault="009A5268">
            <w:pPr>
              <w:pStyle w:val="Tablehead"/>
              <w:framePr w:hSpace="181" w:wrap="notBeside" w:vAnchor="text" w:hAnchor="text" w:xAlign="center" w:y="1"/>
              <w:rPr>
                <w:sz w:val="18"/>
                <w:lang w:val="en-US"/>
              </w:rPr>
            </w:pPr>
            <w:r>
              <w:rPr>
                <w:sz w:val="18"/>
                <w:lang w:val="en-US"/>
              </w:rPr>
              <w:t>LEO-2 (800 km)</w:t>
            </w:r>
          </w:p>
        </w:tc>
        <w:tc>
          <w:tcPr>
            <w:tcW w:w="2150" w:type="dxa"/>
            <w:gridSpan w:val="2"/>
          </w:tcPr>
          <w:p w:rsidR="00B9359B" w:rsidRDefault="009A5268">
            <w:pPr>
              <w:pStyle w:val="Tablehead"/>
              <w:framePr w:hSpace="181" w:wrap="notBeside" w:vAnchor="text" w:hAnchor="text" w:xAlign="center" w:y="1"/>
              <w:rPr>
                <w:sz w:val="18"/>
                <w:lang w:val="en-US"/>
              </w:rPr>
            </w:pPr>
            <w:r>
              <w:rPr>
                <w:sz w:val="18"/>
                <w:lang w:val="en-US"/>
              </w:rPr>
              <w:t>LEO-3 (900 km)</w:t>
            </w:r>
          </w:p>
        </w:tc>
      </w:tr>
      <w:tr w:rsidR="00B9359B">
        <w:trPr>
          <w:cantSplit/>
        </w:trPr>
        <w:tc>
          <w:tcPr>
            <w:tcW w:w="3294" w:type="dxa"/>
            <w:vMerge/>
          </w:tcPr>
          <w:p w:rsidR="00B9359B" w:rsidRDefault="00B9359B">
            <w:pPr>
              <w:pStyle w:val="Tablehead"/>
              <w:framePr w:hSpace="181" w:wrap="notBeside" w:vAnchor="text" w:hAnchor="text" w:xAlign="center" w:y="1"/>
              <w:jc w:val="left"/>
              <w:rPr>
                <w:sz w:val="18"/>
                <w:lang w:val="en-US"/>
              </w:rPr>
            </w:pPr>
          </w:p>
        </w:tc>
        <w:tc>
          <w:tcPr>
            <w:tcW w:w="979" w:type="dxa"/>
          </w:tcPr>
          <w:p w:rsidR="00B9359B" w:rsidRDefault="009A5268">
            <w:pPr>
              <w:pStyle w:val="Tablehead"/>
              <w:framePr w:hSpace="181" w:wrap="notBeside" w:vAnchor="text" w:hAnchor="text" w:xAlign="center" w:y="1"/>
              <w:rPr>
                <w:sz w:val="18"/>
                <w:lang w:val="en-US"/>
              </w:rPr>
            </w:pPr>
            <w:r>
              <w:rPr>
                <w:sz w:val="18"/>
                <w:lang w:val="en-US"/>
              </w:rPr>
              <w:t>Sounding</w:t>
            </w:r>
          </w:p>
        </w:tc>
        <w:tc>
          <w:tcPr>
            <w:tcW w:w="1118" w:type="dxa"/>
          </w:tcPr>
          <w:p w:rsidR="00B9359B" w:rsidRDefault="009A5268">
            <w:pPr>
              <w:pStyle w:val="Tablehead"/>
              <w:framePr w:hSpace="181" w:wrap="notBeside" w:vAnchor="text" w:hAnchor="text" w:xAlign="center" w:y="1"/>
              <w:rPr>
                <w:sz w:val="18"/>
                <w:lang w:val="en-US"/>
              </w:rPr>
            </w:pPr>
            <w:r>
              <w:rPr>
                <w:sz w:val="18"/>
                <w:lang w:val="en-US"/>
              </w:rPr>
              <w:t>Calibration</w:t>
            </w:r>
          </w:p>
        </w:tc>
        <w:tc>
          <w:tcPr>
            <w:tcW w:w="980" w:type="dxa"/>
          </w:tcPr>
          <w:p w:rsidR="00B9359B" w:rsidRDefault="009A5268">
            <w:pPr>
              <w:pStyle w:val="Tablehead"/>
              <w:framePr w:hSpace="181" w:wrap="notBeside" w:vAnchor="text" w:hAnchor="text" w:xAlign="center" w:y="1"/>
              <w:rPr>
                <w:sz w:val="18"/>
                <w:lang w:val="en-US"/>
              </w:rPr>
            </w:pPr>
            <w:r>
              <w:rPr>
                <w:sz w:val="18"/>
                <w:lang w:val="en-US"/>
              </w:rPr>
              <w:t>Sounding</w:t>
            </w:r>
          </w:p>
        </w:tc>
        <w:tc>
          <w:tcPr>
            <w:tcW w:w="1118" w:type="dxa"/>
          </w:tcPr>
          <w:p w:rsidR="00B9359B" w:rsidRDefault="009A5268">
            <w:pPr>
              <w:pStyle w:val="Tablehead"/>
              <w:framePr w:hSpace="181" w:wrap="notBeside" w:vAnchor="text" w:hAnchor="text" w:xAlign="center" w:y="1"/>
              <w:rPr>
                <w:sz w:val="18"/>
                <w:lang w:val="en-US"/>
              </w:rPr>
            </w:pPr>
            <w:r>
              <w:rPr>
                <w:sz w:val="18"/>
                <w:lang w:val="en-US"/>
              </w:rPr>
              <w:t>Calibration</w:t>
            </w:r>
          </w:p>
        </w:tc>
        <w:tc>
          <w:tcPr>
            <w:tcW w:w="979" w:type="dxa"/>
          </w:tcPr>
          <w:p w:rsidR="00B9359B" w:rsidRDefault="009A5268">
            <w:pPr>
              <w:pStyle w:val="Tablehead"/>
              <w:framePr w:hSpace="181" w:wrap="notBeside" w:vAnchor="text" w:hAnchor="text" w:xAlign="center" w:y="1"/>
              <w:rPr>
                <w:sz w:val="18"/>
                <w:lang w:val="en-US"/>
              </w:rPr>
            </w:pPr>
            <w:r>
              <w:rPr>
                <w:sz w:val="18"/>
                <w:lang w:val="en-US"/>
              </w:rPr>
              <w:t>Sounding</w:t>
            </w:r>
          </w:p>
        </w:tc>
        <w:tc>
          <w:tcPr>
            <w:tcW w:w="1171" w:type="dxa"/>
          </w:tcPr>
          <w:p w:rsidR="00B9359B" w:rsidRDefault="009A5268">
            <w:pPr>
              <w:pStyle w:val="Tablehead"/>
              <w:framePr w:hSpace="181" w:wrap="notBeside" w:vAnchor="text" w:hAnchor="text" w:xAlign="center" w:y="1"/>
              <w:rPr>
                <w:sz w:val="18"/>
                <w:lang w:val="en-US"/>
              </w:rPr>
            </w:pPr>
            <w:r>
              <w:rPr>
                <w:sz w:val="18"/>
                <w:lang w:val="en-US"/>
              </w:rPr>
              <w:t>Calibration</w:t>
            </w:r>
          </w:p>
        </w:tc>
      </w:tr>
      <w:tr w:rsidR="00B9359B">
        <w:tc>
          <w:tcPr>
            <w:tcW w:w="3294" w:type="dxa"/>
          </w:tcPr>
          <w:p w:rsidR="00B9359B" w:rsidRDefault="009A5268">
            <w:pPr>
              <w:pStyle w:val="Tabletext"/>
              <w:framePr w:hSpace="181" w:wrap="notBeside" w:vAnchor="text" w:hAnchor="text" w:xAlign="center" w:y="1"/>
              <w:jc w:val="left"/>
              <w:rPr>
                <w:sz w:val="18"/>
                <w:lang w:val="en-US"/>
              </w:rPr>
            </w:pPr>
            <w:r>
              <w:rPr>
                <w:sz w:val="18"/>
                <w:lang w:val="en-US"/>
              </w:rPr>
              <w:t>Angular distance (degrees)</w:t>
            </w:r>
            <w:r>
              <w:rPr>
                <w:sz w:val="18"/>
                <w:lang w:val="en-US"/>
              </w:rPr>
              <w:br/>
              <w:t>Distance (km)</w:t>
            </w:r>
            <w:r>
              <w:rPr>
                <w:sz w:val="18"/>
                <w:lang w:val="en-US"/>
              </w:rPr>
              <w:br/>
              <w:t>Path-loss (dB)</w:t>
            </w:r>
            <w:r>
              <w:rPr>
                <w:sz w:val="18"/>
                <w:lang w:val="en-US"/>
              </w:rPr>
              <w:br/>
              <w:t>Sensor antenna gain (dBi)</w:t>
            </w:r>
            <w:r>
              <w:rPr>
                <w:sz w:val="18"/>
                <w:lang w:val="en-US"/>
              </w:rPr>
              <w:br/>
              <w:t>ISS antenna gain (dBi)</w:t>
            </w:r>
            <w:r>
              <w:rPr>
                <w:sz w:val="18"/>
                <w:lang w:val="en-US"/>
              </w:rPr>
              <w:br/>
              <w:t>ISS Tx power (dB(W/100 MHz))</w:t>
            </w:r>
            <w:r>
              <w:rPr>
                <w:sz w:val="18"/>
                <w:lang w:val="en-US"/>
              </w:rPr>
              <w:br/>
              <w:t>Received power (dB(W/100 MHz))</w:t>
            </w:r>
          </w:p>
        </w:tc>
        <w:tc>
          <w:tcPr>
            <w:tcW w:w="979"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sz w:val="18"/>
                <w:lang w:val="en-US"/>
              </w:rPr>
            </w:pPr>
            <w:r>
              <w:rPr>
                <w:sz w:val="18"/>
                <w:lang w:val="en-US"/>
              </w:rPr>
              <w:t>0.00</w:t>
            </w:r>
            <w:r>
              <w:rPr>
                <w:sz w:val="18"/>
                <w:lang w:val="en-US"/>
              </w:rPr>
              <w:br/>
              <w:t>150.00</w:t>
            </w:r>
            <w:r>
              <w:rPr>
                <w:sz w:val="18"/>
                <w:lang w:val="en-US"/>
              </w:rPr>
              <w:br/>
              <w:t>–163.50</w:t>
            </w:r>
            <w:r>
              <w:rPr>
                <w:sz w:val="18"/>
                <w:lang w:val="en-US"/>
              </w:rPr>
              <w:br/>
              <w:t>36.00</w:t>
            </w:r>
            <w:r>
              <w:rPr>
                <w:sz w:val="18"/>
                <w:lang w:val="en-US"/>
              </w:rPr>
              <w:br/>
              <w:t>–10.25</w:t>
            </w:r>
            <w:r>
              <w:rPr>
                <w:sz w:val="18"/>
                <w:lang w:val="en-US"/>
              </w:rPr>
              <w:br/>
              <w:t>0.50</w:t>
            </w:r>
            <w:r>
              <w:rPr>
                <w:sz w:val="18"/>
                <w:lang w:val="en-US"/>
              </w:rPr>
              <w:br/>
              <w:t>–137.25</w:t>
            </w:r>
          </w:p>
        </w:tc>
        <w:tc>
          <w:tcPr>
            <w:tcW w:w="111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91"/>
              </w:tabs>
              <w:jc w:val="left"/>
              <w:rPr>
                <w:sz w:val="18"/>
                <w:lang w:val="en-US"/>
              </w:rPr>
            </w:pPr>
            <w:r>
              <w:rPr>
                <w:sz w:val="18"/>
                <w:lang w:val="en-US"/>
              </w:rPr>
              <w:t>45.70</w:t>
            </w:r>
            <w:r>
              <w:rPr>
                <w:sz w:val="18"/>
                <w:lang w:val="en-US"/>
              </w:rPr>
              <w:br/>
              <w:t>5 557.00</w:t>
            </w:r>
            <w:r>
              <w:rPr>
                <w:sz w:val="18"/>
                <w:lang w:val="en-US"/>
              </w:rPr>
              <w:br/>
              <w:t>–194.87</w:t>
            </w:r>
            <w:r>
              <w:rPr>
                <w:sz w:val="18"/>
                <w:lang w:val="en-US"/>
              </w:rPr>
              <w:br/>
              <w:t>0.99</w:t>
            </w:r>
            <w:r>
              <w:rPr>
                <w:sz w:val="18"/>
                <w:lang w:val="en-US"/>
              </w:rPr>
              <w:br/>
              <w:t>36.59</w:t>
            </w:r>
            <w:r>
              <w:rPr>
                <w:sz w:val="18"/>
                <w:lang w:val="en-US"/>
              </w:rPr>
              <w:br/>
              <w:t>0.50</w:t>
            </w:r>
            <w:r>
              <w:rPr>
                <w:sz w:val="18"/>
                <w:lang w:val="en-US"/>
              </w:rPr>
              <w:br/>
              <w:t>–156.79</w:t>
            </w:r>
          </w:p>
        </w:tc>
        <w:tc>
          <w:tcPr>
            <w:tcW w:w="980"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4"/>
              </w:tabs>
              <w:rPr>
                <w:sz w:val="18"/>
                <w:lang w:val="en-US"/>
              </w:rPr>
            </w:pPr>
            <w:r>
              <w:rPr>
                <w:sz w:val="18"/>
                <w:lang w:val="en-US"/>
              </w:rPr>
              <w:t>0.00</w:t>
            </w:r>
            <w:r>
              <w:rPr>
                <w:sz w:val="18"/>
                <w:lang w:val="en-US"/>
              </w:rPr>
              <w:br/>
              <w:t>50.00</w:t>
            </w:r>
            <w:r>
              <w:rPr>
                <w:sz w:val="18"/>
                <w:lang w:val="en-US"/>
              </w:rPr>
              <w:br/>
              <w:t>–153.96</w:t>
            </w:r>
            <w:r>
              <w:rPr>
                <w:sz w:val="18"/>
                <w:lang w:val="en-US"/>
              </w:rPr>
              <w:br/>
              <w:t>36.00</w:t>
            </w:r>
            <w:r>
              <w:rPr>
                <w:sz w:val="18"/>
                <w:lang w:val="en-US"/>
              </w:rPr>
              <w:br/>
              <w:t>–10.45</w:t>
            </w:r>
            <w:r>
              <w:rPr>
                <w:sz w:val="18"/>
                <w:lang w:val="en-US"/>
              </w:rPr>
              <w:br/>
              <w:t>0.50</w:t>
            </w:r>
            <w:r>
              <w:rPr>
                <w:sz w:val="18"/>
                <w:lang w:val="en-US"/>
              </w:rPr>
              <w:br/>
              <w:t>–127.91</w:t>
            </w:r>
          </w:p>
        </w:tc>
        <w:tc>
          <w:tcPr>
            <w:tcW w:w="111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lang w:val="en-US"/>
              </w:rPr>
            </w:pPr>
            <w:r>
              <w:rPr>
                <w:sz w:val="18"/>
                <w:lang w:val="en-US"/>
              </w:rPr>
              <w:t>4.20</w:t>
            </w:r>
            <w:r>
              <w:rPr>
                <w:sz w:val="18"/>
                <w:lang w:val="en-US"/>
              </w:rPr>
              <w:br/>
              <w:t>530.25</w:t>
            </w:r>
            <w:r>
              <w:rPr>
                <w:sz w:val="18"/>
                <w:lang w:val="en-US"/>
              </w:rPr>
              <w:br/>
              <w:t>–174.47</w:t>
            </w:r>
            <w:r>
              <w:rPr>
                <w:sz w:val="18"/>
                <w:lang w:val="en-US"/>
              </w:rPr>
              <w:br/>
              <w:t>–</w:t>
            </w:r>
            <w:r>
              <w:rPr>
                <w:sz w:val="4"/>
                <w:lang w:val="en-US"/>
              </w:rPr>
              <w:t> </w:t>
            </w:r>
            <w:r>
              <w:rPr>
                <w:sz w:val="18"/>
                <w:lang w:val="en-US"/>
              </w:rPr>
              <w:t>4.19</w:t>
            </w:r>
            <w:r>
              <w:rPr>
                <w:sz w:val="18"/>
                <w:lang w:val="en-US"/>
              </w:rPr>
              <w:br/>
              <w:t>35.57</w:t>
            </w:r>
            <w:r>
              <w:rPr>
                <w:sz w:val="18"/>
                <w:lang w:val="en-US"/>
              </w:rPr>
              <w:br/>
              <w:t>0.50</w:t>
            </w:r>
            <w:r>
              <w:rPr>
                <w:sz w:val="18"/>
                <w:lang w:val="en-US"/>
              </w:rPr>
              <w:br/>
              <w:t>–142.59</w:t>
            </w:r>
          </w:p>
        </w:tc>
        <w:tc>
          <w:tcPr>
            <w:tcW w:w="979"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sz w:val="18"/>
                <w:lang w:val="en-US"/>
              </w:rPr>
            </w:pPr>
            <w:r>
              <w:rPr>
                <w:sz w:val="18"/>
                <w:lang w:val="en-US"/>
              </w:rPr>
              <w:t>0.90</w:t>
            </w:r>
            <w:r>
              <w:rPr>
                <w:sz w:val="18"/>
                <w:lang w:val="en-US"/>
              </w:rPr>
              <w:br/>
              <w:t>124.42</w:t>
            </w:r>
            <w:r>
              <w:rPr>
                <w:sz w:val="18"/>
                <w:lang w:val="en-US"/>
              </w:rPr>
              <w:br/>
              <w:t>–161.87</w:t>
            </w:r>
            <w:r>
              <w:rPr>
                <w:sz w:val="18"/>
                <w:lang w:val="en-US"/>
              </w:rPr>
              <w:br/>
              <w:t>–10.08</w:t>
            </w:r>
            <w:r>
              <w:rPr>
                <w:sz w:val="18"/>
                <w:lang w:val="en-US"/>
              </w:rPr>
              <w:br/>
              <w:t>34.22</w:t>
            </w:r>
            <w:r>
              <w:rPr>
                <w:sz w:val="18"/>
                <w:lang w:val="en-US"/>
              </w:rPr>
              <w:br/>
              <w:t>0.50</w:t>
            </w:r>
            <w:r>
              <w:rPr>
                <w:sz w:val="18"/>
                <w:lang w:val="en-US"/>
              </w:rPr>
              <w:br/>
              <w:t>–137.23</w:t>
            </w:r>
          </w:p>
        </w:tc>
        <w:tc>
          <w:tcPr>
            <w:tcW w:w="1171"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lang w:val="en-US"/>
              </w:rPr>
            </w:pPr>
            <w:r>
              <w:rPr>
                <w:sz w:val="18"/>
                <w:lang w:val="en-US"/>
              </w:rPr>
              <w:t>0.90</w:t>
            </w:r>
            <w:r>
              <w:rPr>
                <w:sz w:val="18"/>
                <w:lang w:val="en-US"/>
              </w:rPr>
              <w:br/>
              <w:t>124.42</w:t>
            </w:r>
            <w:r>
              <w:rPr>
                <w:sz w:val="18"/>
                <w:lang w:val="en-US"/>
              </w:rPr>
              <w:br/>
              <w:t>–161.87</w:t>
            </w:r>
            <w:r>
              <w:rPr>
                <w:sz w:val="18"/>
                <w:lang w:val="en-US"/>
              </w:rPr>
              <w:br/>
              <w:t>–5.09</w:t>
            </w:r>
            <w:r>
              <w:rPr>
                <w:sz w:val="18"/>
                <w:lang w:val="en-US"/>
              </w:rPr>
              <w:br/>
              <w:t>34.22</w:t>
            </w:r>
            <w:r>
              <w:rPr>
                <w:sz w:val="18"/>
                <w:lang w:val="en-US"/>
              </w:rPr>
              <w:br/>
              <w:t>0.50</w:t>
            </w:r>
            <w:r>
              <w:rPr>
                <w:sz w:val="18"/>
                <w:lang w:val="en-US"/>
              </w:rPr>
              <w:br/>
              <w:t>–132.24</w:t>
            </w:r>
          </w:p>
        </w:tc>
      </w:tr>
      <w:tr w:rsidR="00B9359B">
        <w:tc>
          <w:tcPr>
            <w:tcW w:w="3294" w:type="dxa"/>
          </w:tcPr>
          <w:p w:rsidR="00B9359B" w:rsidRDefault="009A5268">
            <w:pPr>
              <w:pStyle w:val="Tabletext"/>
              <w:framePr w:hSpace="181" w:wrap="notBeside" w:vAnchor="text" w:hAnchor="text" w:xAlign="center" w:y="1"/>
              <w:jc w:val="left"/>
              <w:rPr>
                <w:sz w:val="18"/>
                <w:lang w:val="en-US"/>
              </w:rPr>
            </w:pPr>
            <w:r>
              <w:rPr>
                <w:sz w:val="18"/>
                <w:lang w:val="en-US"/>
              </w:rPr>
              <w:t xml:space="preserve">Margin/threshold </w:t>
            </w:r>
            <w:r>
              <w:rPr>
                <w:i/>
                <w:iCs/>
                <w:sz w:val="18"/>
                <w:lang w:val="en-US"/>
              </w:rPr>
              <w:t>B</w:t>
            </w:r>
            <w:r>
              <w:rPr>
                <w:i/>
                <w:iCs/>
                <w:sz w:val="18"/>
                <w:vertAlign w:val="subscript"/>
                <w:lang w:val="en-US"/>
              </w:rPr>
              <w:t>N</w:t>
            </w:r>
            <w:r>
              <w:rPr>
                <w:sz w:val="18"/>
                <w:lang w:val="en-US"/>
              </w:rPr>
              <w:t xml:space="preserve"> </w:t>
            </w:r>
            <w:r>
              <w:rPr>
                <w:rFonts w:ascii="Symbol" w:hAnsi="Symbol"/>
                <w:sz w:val="18"/>
              </w:rPr>
              <w:t></w:t>
            </w:r>
            <w:r>
              <w:rPr>
                <w:sz w:val="18"/>
                <w:lang w:val="en-US"/>
              </w:rPr>
              <w:t xml:space="preserve"> 200/100 MHz (dB)</w:t>
            </w:r>
          </w:p>
        </w:tc>
        <w:tc>
          <w:tcPr>
            <w:tcW w:w="979"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1"/>
              </w:tabs>
              <w:rPr>
                <w:sz w:val="18"/>
                <w:lang w:val="en-US"/>
              </w:rPr>
            </w:pPr>
            <w:r>
              <w:rPr>
                <w:sz w:val="18"/>
                <w:lang w:val="en-US"/>
              </w:rPr>
              <w:t>–25.75</w:t>
            </w:r>
          </w:p>
        </w:tc>
        <w:tc>
          <w:tcPr>
            <w:tcW w:w="111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91"/>
              </w:tabs>
              <w:jc w:val="left"/>
              <w:rPr>
                <w:sz w:val="18"/>
                <w:lang w:val="en-US"/>
              </w:rPr>
            </w:pPr>
            <w:r>
              <w:rPr>
                <w:sz w:val="18"/>
                <w:lang w:val="en-US"/>
              </w:rPr>
              <w:t>–6.21</w:t>
            </w:r>
          </w:p>
        </w:tc>
        <w:tc>
          <w:tcPr>
            <w:tcW w:w="980"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4"/>
              </w:tabs>
              <w:rPr>
                <w:sz w:val="18"/>
                <w:lang w:val="en-US"/>
              </w:rPr>
            </w:pPr>
            <w:r>
              <w:rPr>
                <w:sz w:val="18"/>
                <w:lang w:val="en-US"/>
              </w:rPr>
              <w:t>–35.09</w:t>
            </w:r>
          </w:p>
        </w:tc>
        <w:tc>
          <w:tcPr>
            <w:tcW w:w="111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lang w:val="en-US"/>
              </w:rPr>
            </w:pPr>
            <w:r>
              <w:rPr>
                <w:sz w:val="18"/>
                <w:lang w:val="en-US"/>
              </w:rPr>
              <w:t>–20.41</w:t>
            </w:r>
          </w:p>
        </w:tc>
        <w:tc>
          <w:tcPr>
            <w:tcW w:w="979"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8"/>
                <w:lang w:val="en-US"/>
              </w:rPr>
            </w:pPr>
            <w:r>
              <w:rPr>
                <w:sz w:val="18"/>
                <w:lang w:val="en-US"/>
              </w:rPr>
              <w:t>–25.77</w:t>
            </w:r>
          </w:p>
        </w:tc>
        <w:tc>
          <w:tcPr>
            <w:tcW w:w="1171"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lang w:val="en-US"/>
              </w:rPr>
            </w:pPr>
            <w:r>
              <w:rPr>
                <w:sz w:val="18"/>
                <w:lang w:val="en-US"/>
              </w:rPr>
              <w:t>–30.76</w:t>
            </w:r>
          </w:p>
        </w:tc>
      </w:tr>
      <w:tr w:rsidR="00B9359B">
        <w:tc>
          <w:tcPr>
            <w:tcW w:w="3294" w:type="dxa"/>
          </w:tcPr>
          <w:p w:rsidR="00B9359B" w:rsidRDefault="009A5268">
            <w:pPr>
              <w:pStyle w:val="Tabletext"/>
              <w:framePr w:hSpace="181" w:wrap="notBeside" w:vAnchor="text" w:hAnchor="text" w:xAlign="center" w:y="1"/>
              <w:jc w:val="left"/>
              <w:rPr>
                <w:sz w:val="18"/>
                <w:lang w:val="en-US"/>
              </w:rPr>
            </w:pPr>
            <w:r>
              <w:rPr>
                <w:sz w:val="18"/>
                <w:lang w:val="en-US"/>
              </w:rPr>
              <w:t xml:space="preserve">Margin/threshold </w:t>
            </w:r>
            <w:r>
              <w:rPr>
                <w:i/>
                <w:iCs/>
                <w:sz w:val="18"/>
                <w:lang w:val="en-US"/>
              </w:rPr>
              <w:t>B</w:t>
            </w:r>
            <w:r>
              <w:rPr>
                <w:i/>
                <w:iCs/>
                <w:sz w:val="18"/>
                <w:vertAlign w:val="subscript"/>
                <w:lang w:val="en-US"/>
              </w:rPr>
              <w:t>N</w:t>
            </w:r>
            <w:r>
              <w:rPr>
                <w:sz w:val="18"/>
                <w:lang w:val="en-US"/>
              </w:rPr>
              <w:t xml:space="preserve"> </w:t>
            </w:r>
            <w:r>
              <w:rPr>
                <w:rFonts w:ascii="Symbol" w:hAnsi="Symbol"/>
                <w:sz w:val="18"/>
              </w:rPr>
              <w:t></w:t>
            </w:r>
            <w:r>
              <w:rPr>
                <w:sz w:val="18"/>
                <w:lang w:val="en-US"/>
              </w:rPr>
              <w:t xml:space="preserve"> 50 MHz (dB)</w:t>
            </w:r>
          </w:p>
        </w:tc>
        <w:tc>
          <w:tcPr>
            <w:tcW w:w="979"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1"/>
              </w:tabs>
              <w:rPr>
                <w:sz w:val="18"/>
                <w:lang w:val="en-US"/>
              </w:rPr>
            </w:pPr>
            <w:r>
              <w:rPr>
                <w:sz w:val="18"/>
                <w:lang w:val="en-US"/>
              </w:rPr>
              <w:t>–22.75</w:t>
            </w:r>
          </w:p>
        </w:tc>
        <w:tc>
          <w:tcPr>
            <w:tcW w:w="111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91"/>
              </w:tabs>
              <w:jc w:val="left"/>
              <w:rPr>
                <w:sz w:val="18"/>
                <w:lang w:val="en-US"/>
              </w:rPr>
            </w:pPr>
            <w:r>
              <w:rPr>
                <w:sz w:val="18"/>
                <w:lang w:val="en-US"/>
              </w:rPr>
              <w:t>–3.21</w:t>
            </w:r>
          </w:p>
        </w:tc>
        <w:tc>
          <w:tcPr>
            <w:tcW w:w="980"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4"/>
              </w:tabs>
              <w:rPr>
                <w:sz w:val="18"/>
                <w:lang w:val="en-US"/>
              </w:rPr>
            </w:pPr>
            <w:r>
              <w:rPr>
                <w:sz w:val="18"/>
                <w:lang w:val="en-US"/>
              </w:rPr>
              <w:t>–32.09</w:t>
            </w:r>
          </w:p>
        </w:tc>
        <w:tc>
          <w:tcPr>
            <w:tcW w:w="111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lang w:val="en-US"/>
              </w:rPr>
            </w:pPr>
            <w:r>
              <w:rPr>
                <w:sz w:val="18"/>
                <w:lang w:val="en-US"/>
              </w:rPr>
              <w:t>–17.41</w:t>
            </w:r>
          </w:p>
        </w:tc>
        <w:tc>
          <w:tcPr>
            <w:tcW w:w="979"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8"/>
                <w:lang w:val="en-US"/>
              </w:rPr>
            </w:pPr>
            <w:r>
              <w:rPr>
                <w:sz w:val="18"/>
                <w:lang w:val="en-US"/>
              </w:rPr>
              <w:t>–22.77</w:t>
            </w:r>
          </w:p>
        </w:tc>
        <w:tc>
          <w:tcPr>
            <w:tcW w:w="1171"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lang w:val="en-US"/>
              </w:rPr>
            </w:pPr>
            <w:r>
              <w:rPr>
                <w:sz w:val="18"/>
                <w:lang w:val="en-US"/>
              </w:rPr>
              <w:t>–27.75</w:t>
            </w:r>
          </w:p>
        </w:tc>
      </w:tr>
      <w:tr w:rsidR="00B9359B">
        <w:trPr>
          <w:cantSplit/>
        </w:trPr>
        <w:tc>
          <w:tcPr>
            <w:tcW w:w="3294" w:type="dxa"/>
            <w:vMerge w:val="restart"/>
          </w:tcPr>
          <w:p w:rsidR="00B9359B" w:rsidRDefault="00B9359B">
            <w:pPr>
              <w:pStyle w:val="Tabletext"/>
              <w:framePr w:hSpace="181" w:wrap="notBeside" w:vAnchor="text" w:hAnchor="text" w:xAlign="center" w:y="1"/>
              <w:spacing w:before="80" w:after="80"/>
              <w:jc w:val="left"/>
              <w:rPr>
                <w:sz w:val="18"/>
                <w:lang w:val="en-US"/>
              </w:rPr>
            </w:pPr>
          </w:p>
        </w:tc>
        <w:tc>
          <w:tcPr>
            <w:tcW w:w="2097" w:type="dxa"/>
            <w:gridSpan w:val="2"/>
          </w:tcPr>
          <w:p w:rsidR="00B9359B" w:rsidRDefault="009A5268">
            <w:pPr>
              <w:pStyle w:val="Tablehead"/>
              <w:framePr w:hSpace="181" w:wrap="notBeside" w:vAnchor="text" w:hAnchor="text" w:xAlign="center" w:y="1"/>
              <w:rPr>
                <w:sz w:val="18"/>
                <w:lang w:val="en-US"/>
              </w:rPr>
            </w:pPr>
            <w:r>
              <w:rPr>
                <w:sz w:val="18"/>
                <w:lang w:val="en-US"/>
              </w:rPr>
              <w:t>LEO-4 (1</w:t>
            </w:r>
            <w:r>
              <w:rPr>
                <w:rFonts w:ascii="Tms Rmn" w:hAnsi="Tms Rmn"/>
                <w:sz w:val="12"/>
                <w:lang w:val="en-US"/>
              </w:rPr>
              <w:t> </w:t>
            </w:r>
            <w:r>
              <w:rPr>
                <w:sz w:val="18"/>
                <w:lang w:val="en-US"/>
              </w:rPr>
              <w:t>000 km)</w:t>
            </w:r>
          </w:p>
        </w:tc>
        <w:tc>
          <w:tcPr>
            <w:tcW w:w="2098" w:type="dxa"/>
            <w:gridSpan w:val="2"/>
          </w:tcPr>
          <w:p w:rsidR="00B9359B" w:rsidRDefault="009A5268">
            <w:pPr>
              <w:pStyle w:val="Tablehead"/>
              <w:framePr w:hSpace="181" w:wrap="notBeside" w:vAnchor="text" w:hAnchor="text" w:xAlign="center" w:y="1"/>
              <w:rPr>
                <w:sz w:val="18"/>
                <w:lang w:val="en-US"/>
              </w:rPr>
            </w:pPr>
            <w:r>
              <w:rPr>
                <w:sz w:val="18"/>
                <w:lang w:val="en-US"/>
              </w:rPr>
              <w:t>LEO-5 (35</w:t>
            </w:r>
            <w:r>
              <w:rPr>
                <w:rFonts w:ascii="Tms Rmn" w:hAnsi="Tms Rmn"/>
                <w:sz w:val="12"/>
                <w:lang w:val="en-US"/>
              </w:rPr>
              <w:t> </w:t>
            </w:r>
            <w:r>
              <w:rPr>
                <w:sz w:val="18"/>
                <w:lang w:val="en-US"/>
              </w:rPr>
              <w:t>900 km)</w:t>
            </w:r>
          </w:p>
        </w:tc>
        <w:tc>
          <w:tcPr>
            <w:tcW w:w="2150" w:type="dxa"/>
            <w:gridSpan w:val="2"/>
            <w:vMerge w:val="restart"/>
          </w:tcPr>
          <w:p w:rsidR="00B9359B" w:rsidRDefault="00B9359B">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80" w:after="80"/>
              <w:rPr>
                <w:sz w:val="18"/>
                <w:lang w:val="en-US"/>
              </w:rPr>
            </w:pPr>
          </w:p>
        </w:tc>
      </w:tr>
      <w:tr w:rsidR="00B9359B">
        <w:trPr>
          <w:cantSplit/>
        </w:trPr>
        <w:tc>
          <w:tcPr>
            <w:tcW w:w="3294" w:type="dxa"/>
            <w:vMerge/>
          </w:tcPr>
          <w:p w:rsidR="00B9359B" w:rsidRDefault="00B9359B">
            <w:pPr>
              <w:pStyle w:val="Tabletext"/>
              <w:framePr w:hSpace="181" w:wrap="notBeside" w:vAnchor="text" w:hAnchor="text" w:xAlign="center" w:y="1"/>
              <w:spacing w:before="80" w:after="80"/>
              <w:jc w:val="left"/>
              <w:rPr>
                <w:sz w:val="18"/>
                <w:lang w:val="en-US"/>
              </w:rPr>
            </w:pPr>
          </w:p>
        </w:tc>
        <w:tc>
          <w:tcPr>
            <w:tcW w:w="979" w:type="dxa"/>
          </w:tcPr>
          <w:p w:rsidR="00B9359B" w:rsidRDefault="009A5268">
            <w:pPr>
              <w:pStyle w:val="Tablehead"/>
              <w:framePr w:hSpace="181" w:wrap="notBeside" w:vAnchor="text" w:hAnchor="text" w:xAlign="center" w:y="1"/>
              <w:rPr>
                <w:sz w:val="18"/>
                <w:lang w:val="en-US"/>
              </w:rPr>
            </w:pPr>
            <w:r>
              <w:rPr>
                <w:sz w:val="18"/>
                <w:lang w:val="en-US"/>
              </w:rPr>
              <w:t>Sounding</w:t>
            </w:r>
          </w:p>
        </w:tc>
        <w:tc>
          <w:tcPr>
            <w:tcW w:w="1118" w:type="dxa"/>
          </w:tcPr>
          <w:p w:rsidR="00B9359B" w:rsidRDefault="009A5268">
            <w:pPr>
              <w:pStyle w:val="Tablehead"/>
              <w:framePr w:hSpace="181" w:wrap="notBeside" w:vAnchor="text" w:hAnchor="text" w:xAlign="center" w:y="1"/>
              <w:rPr>
                <w:sz w:val="18"/>
                <w:lang w:val="en-US"/>
              </w:rPr>
            </w:pPr>
            <w:r>
              <w:rPr>
                <w:sz w:val="18"/>
                <w:lang w:val="en-US"/>
              </w:rPr>
              <w:t>Calibration</w:t>
            </w:r>
          </w:p>
        </w:tc>
        <w:tc>
          <w:tcPr>
            <w:tcW w:w="980" w:type="dxa"/>
          </w:tcPr>
          <w:p w:rsidR="00B9359B" w:rsidRDefault="009A5268">
            <w:pPr>
              <w:pStyle w:val="Tablehead"/>
              <w:framePr w:hSpace="181" w:wrap="notBeside" w:vAnchor="text" w:hAnchor="text" w:xAlign="center" w:y="1"/>
              <w:rPr>
                <w:sz w:val="18"/>
                <w:lang w:val="en-US"/>
              </w:rPr>
            </w:pPr>
            <w:r>
              <w:rPr>
                <w:sz w:val="18"/>
                <w:lang w:val="en-US"/>
              </w:rPr>
              <w:t>Sounding</w:t>
            </w:r>
          </w:p>
        </w:tc>
        <w:tc>
          <w:tcPr>
            <w:tcW w:w="1118" w:type="dxa"/>
          </w:tcPr>
          <w:p w:rsidR="00B9359B" w:rsidRDefault="009A5268">
            <w:pPr>
              <w:pStyle w:val="Tablehead"/>
              <w:framePr w:hSpace="181" w:wrap="notBeside" w:vAnchor="text" w:hAnchor="text" w:xAlign="center" w:y="1"/>
              <w:rPr>
                <w:sz w:val="18"/>
                <w:lang w:val="en-US"/>
              </w:rPr>
            </w:pPr>
            <w:r>
              <w:rPr>
                <w:sz w:val="18"/>
                <w:lang w:val="en-US"/>
              </w:rPr>
              <w:t>Calibration</w:t>
            </w:r>
          </w:p>
        </w:tc>
        <w:tc>
          <w:tcPr>
            <w:tcW w:w="2150" w:type="dxa"/>
            <w:gridSpan w:val="2"/>
            <w:vMerge/>
          </w:tcPr>
          <w:p w:rsidR="00B9359B" w:rsidRDefault="00B9359B">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80" w:after="80"/>
              <w:rPr>
                <w:sz w:val="18"/>
                <w:lang w:val="en-US"/>
              </w:rPr>
            </w:pPr>
          </w:p>
        </w:tc>
      </w:tr>
      <w:tr w:rsidR="00B9359B">
        <w:trPr>
          <w:cantSplit/>
        </w:trPr>
        <w:tc>
          <w:tcPr>
            <w:tcW w:w="3294" w:type="dxa"/>
          </w:tcPr>
          <w:p w:rsidR="00B9359B" w:rsidRDefault="009A5268">
            <w:pPr>
              <w:pStyle w:val="Tabletext"/>
              <w:framePr w:hSpace="181" w:wrap="notBeside" w:vAnchor="text" w:hAnchor="text" w:xAlign="center" w:y="1"/>
              <w:jc w:val="left"/>
              <w:rPr>
                <w:sz w:val="18"/>
                <w:lang w:val="en-US"/>
              </w:rPr>
            </w:pPr>
            <w:r>
              <w:rPr>
                <w:sz w:val="18"/>
                <w:lang w:val="en-US"/>
              </w:rPr>
              <w:t>Angular distance (degrees)</w:t>
            </w:r>
            <w:r>
              <w:rPr>
                <w:sz w:val="18"/>
                <w:lang w:val="en-US"/>
              </w:rPr>
              <w:br/>
              <w:t>Distance (km)</w:t>
            </w:r>
            <w:r>
              <w:rPr>
                <w:sz w:val="18"/>
                <w:lang w:val="en-US"/>
              </w:rPr>
              <w:br/>
              <w:t>Path-loss (dB)</w:t>
            </w:r>
            <w:r>
              <w:rPr>
                <w:sz w:val="18"/>
                <w:lang w:val="en-US"/>
              </w:rPr>
              <w:br/>
              <w:t>Sensor antenna gain (dBi)</w:t>
            </w:r>
            <w:r>
              <w:rPr>
                <w:sz w:val="18"/>
                <w:lang w:val="en-US"/>
              </w:rPr>
              <w:br/>
              <w:t>ISS antenna gain (dBi)</w:t>
            </w:r>
            <w:r>
              <w:rPr>
                <w:sz w:val="18"/>
                <w:lang w:val="en-US"/>
              </w:rPr>
              <w:br/>
              <w:t>ISS Tx power (dB(W/100 MHz))</w:t>
            </w:r>
            <w:r>
              <w:rPr>
                <w:sz w:val="18"/>
                <w:lang w:val="en-US"/>
              </w:rPr>
              <w:br/>
              <w:t>Received power (dB(W/100 MHz))</w:t>
            </w:r>
          </w:p>
        </w:tc>
        <w:tc>
          <w:tcPr>
            <w:tcW w:w="979"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sz w:val="18"/>
                <w:lang w:val="en-US"/>
              </w:rPr>
            </w:pPr>
            <w:r>
              <w:rPr>
                <w:sz w:val="18"/>
                <w:lang w:val="en-US"/>
              </w:rPr>
              <w:t>2.40</w:t>
            </w:r>
            <w:r>
              <w:rPr>
                <w:sz w:val="18"/>
                <w:lang w:val="en-US"/>
              </w:rPr>
              <w:br/>
              <w:t>340.67</w:t>
            </w:r>
            <w:r>
              <w:rPr>
                <w:sz w:val="18"/>
                <w:lang w:val="en-US"/>
              </w:rPr>
              <w:br/>
              <w:t>–170.62</w:t>
            </w:r>
            <w:r>
              <w:rPr>
                <w:sz w:val="18"/>
                <w:lang w:val="en-US"/>
              </w:rPr>
              <w:br/>
              <w:t>–10.08</w:t>
            </w:r>
            <w:r>
              <w:rPr>
                <w:sz w:val="18"/>
                <w:lang w:val="en-US"/>
              </w:rPr>
              <w:br/>
              <w:t>38.31</w:t>
            </w:r>
            <w:r>
              <w:rPr>
                <w:sz w:val="18"/>
                <w:lang w:val="en-US"/>
              </w:rPr>
              <w:br/>
              <w:t>0.50</w:t>
            </w:r>
            <w:r>
              <w:rPr>
                <w:sz w:val="18"/>
                <w:lang w:val="en-US"/>
              </w:rPr>
              <w:br/>
              <w:t>–141.89</w:t>
            </w:r>
          </w:p>
        </w:tc>
        <w:tc>
          <w:tcPr>
            <w:tcW w:w="111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lang w:val="en-US"/>
              </w:rPr>
            </w:pPr>
            <w:r>
              <w:rPr>
                <w:sz w:val="18"/>
                <w:lang w:val="en-US"/>
              </w:rPr>
              <w:t>2.40</w:t>
            </w:r>
            <w:r>
              <w:rPr>
                <w:sz w:val="18"/>
                <w:lang w:val="en-US"/>
              </w:rPr>
              <w:br/>
              <w:t>340.67</w:t>
            </w:r>
            <w:r>
              <w:rPr>
                <w:sz w:val="18"/>
                <w:lang w:val="en-US"/>
              </w:rPr>
              <w:br/>
              <w:t>–170.62</w:t>
            </w:r>
            <w:r>
              <w:rPr>
                <w:sz w:val="18"/>
                <w:lang w:val="en-US"/>
              </w:rPr>
              <w:br/>
              <w:t>–5.68</w:t>
            </w:r>
            <w:r>
              <w:rPr>
                <w:sz w:val="18"/>
                <w:lang w:val="en-US"/>
              </w:rPr>
              <w:br/>
              <w:t>38.31</w:t>
            </w:r>
            <w:r>
              <w:rPr>
                <w:sz w:val="18"/>
                <w:lang w:val="en-US"/>
              </w:rPr>
              <w:br/>
              <w:t>0.50</w:t>
            </w:r>
            <w:r>
              <w:rPr>
                <w:sz w:val="18"/>
                <w:lang w:val="en-US"/>
              </w:rPr>
              <w:br/>
              <w:t>–137.49</w:t>
            </w:r>
          </w:p>
        </w:tc>
        <w:tc>
          <w:tcPr>
            <w:tcW w:w="980"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06"/>
              </w:tabs>
              <w:jc w:val="left"/>
              <w:rPr>
                <w:sz w:val="18"/>
                <w:lang w:val="en-US"/>
              </w:rPr>
            </w:pPr>
            <w:r>
              <w:rPr>
                <w:sz w:val="18"/>
                <w:lang w:val="en-US"/>
              </w:rPr>
              <w:t>79.30</w:t>
            </w:r>
            <w:r>
              <w:rPr>
                <w:sz w:val="18"/>
                <w:lang w:val="en-US"/>
              </w:rPr>
              <w:br/>
              <w:t>41</w:t>
            </w:r>
            <w:r>
              <w:rPr>
                <w:rFonts w:ascii="Tms Rmn" w:hAnsi="Tms Rmn"/>
                <w:sz w:val="12"/>
                <w:lang w:val="en-US"/>
              </w:rPr>
              <w:t> </w:t>
            </w:r>
            <w:r>
              <w:rPr>
                <w:sz w:val="18"/>
                <w:lang w:val="en-US"/>
              </w:rPr>
              <w:t>547.55</w:t>
            </w:r>
            <w:r>
              <w:rPr>
                <w:sz w:val="18"/>
                <w:lang w:val="en-US"/>
              </w:rPr>
              <w:br/>
              <w:t>–212.35</w:t>
            </w:r>
            <w:r>
              <w:rPr>
                <w:sz w:val="18"/>
                <w:lang w:val="en-US"/>
              </w:rPr>
              <w:br/>
              <w:t>–10.08</w:t>
            </w:r>
            <w:r>
              <w:rPr>
                <w:sz w:val="18"/>
                <w:lang w:val="en-US"/>
              </w:rPr>
              <w:br/>
              <w:t>47.13</w:t>
            </w:r>
            <w:r>
              <w:rPr>
                <w:sz w:val="18"/>
                <w:lang w:val="en-US"/>
              </w:rPr>
              <w:br/>
              <w:t>0.50</w:t>
            </w:r>
            <w:r>
              <w:rPr>
                <w:sz w:val="18"/>
                <w:lang w:val="en-US"/>
              </w:rPr>
              <w:br/>
              <w:t>–174.80</w:t>
            </w:r>
          </w:p>
        </w:tc>
        <w:tc>
          <w:tcPr>
            <w:tcW w:w="111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06"/>
              </w:tabs>
              <w:jc w:val="left"/>
              <w:rPr>
                <w:sz w:val="18"/>
                <w:lang w:val="en-US"/>
              </w:rPr>
            </w:pPr>
            <w:r>
              <w:rPr>
                <w:sz w:val="18"/>
                <w:lang w:val="en-US"/>
              </w:rPr>
              <w:t>87.10</w:t>
            </w:r>
            <w:r>
              <w:rPr>
                <w:sz w:val="18"/>
                <w:lang w:val="en-US"/>
              </w:rPr>
              <w:br/>
              <w:t>42</w:t>
            </w:r>
            <w:r>
              <w:rPr>
                <w:rFonts w:ascii="Tms Rmn" w:hAnsi="Tms Rmn"/>
                <w:sz w:val="12"/>
                <w:lang w:val="en-US"/>
              </w:rPr>
              <w:t> </w:t>
            </w:r>
            <w:r>
              <w:rPr>
                <w:sz w:val="18"/>
                <w:lang w:val="en-US"/>
              </w:rPr>
              <w:t>529.43</w:t>
            </w:r>
            <w:r>
              <w:rPr>
                <w:sz w:val="18"/>
                <w:lang w:val="en-US"/>
              </w:rPr>
              <w:br/>
              <w:t>–212.55</w:t>
            </w:r>
            <w:r>
              <w:rPr>
                <w:sz w:val="18"/>
                <w:lang w:val="en-US"/>
              </w:rPr>
              <w:br/>
              <w:t>35.97</w:t>
            </w:r>
            <w:r>
              <w:rPr>
                <w:sz w:val="18"/>
                <w:lang w:val="en-US"/>
              </w:rPr>
              <w:br/>
              <w:t>46.13</w:t>
            </w:r>
            <w:r>
              <w:rPr>
                <w:sz w:val="18"/>
                <w:lang w:val="en-US"/>
              </w:rPr>
              <w:br/>
              <w:t>0.50</w:t>
            </w:r>
            <w:r>
              <w:rPr>
                <w:sz w:val="18"/>
                <w:lang w:val="en-US"/>
              </w:rPr>
              <w:br/>
              <w:t>–129.95</w:t>
            </w:r>
          </w:p>
        </w:tc>
        <w:tc>
          <w:tcPr>
            <w:tcW w:w="2150" w:type="dxa"/>
            <w:gridSpan w:val="2"/>
            <w:vMerge/>
          </w:tcPr>
          <w:p w:rsidR="00B9359B" w:rsidRDefault="00B9359B">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80" w:after="80"/>
              <w:rPr>
                <w:sz w:val="18"/>
                <w:lang w:val="en-US"/>
              </w:rPr>
            </w:pPr>
          </w:p>
        </w:tc>
      </w:tr>
      <w:tr w:rsidR="00B9359B">
        <w:trPr>
          <w:cantSplit/>
        </w:trPr>
        <w:tc>
          <w:tcPr>
            <w:tcW w:w="3294" w:type="dxa"/>
          </w:tcPr>
          <w:p w:rsidR="00B9359B" w:rsidRDefault="009A5268">
            <w:pPr>
              <w:pStyle w:val="Tabletext"/>
              <w:framePr w:hSpace="181" w:wrap="notBeside" w:vAnchor="text" w:hAnchor="text" w:xAlign="center" w:y="1"/>
              <w:jc w:val="left"/>
              <w:rPr>
                <w:sz w:val="18"/>
                <w:lang w:val="en-US"/>
              </w:rPr>
            </w:pPr>
            <w:r>
              <w:rPr>
                <w:sz w:val="18"/>
                <w:lang w:val="en-US"/>
              </w:rPr>
              <w:t xml:space="preserve">Margin/threshold </w:t>
            </w:r>
            <w:r>
              <w:rPr>
                <w:i/>
                <w:iCs/>
                <w:sz w:val="18"/>
                <w:lang w:val="en-US"/>
              </w:rPr>
              <w:t>B</w:t>
            </w:r>
            <w:r>
              <w:rPr>
                <w:i/>
                <w:iCs/>
                <w:sz w:val="18"/>
                <w:vertAlign w:val="subscript"/>
                <w:lang w:val="en-US"/>
              </w:rPr>
              <w:t>N</w:t>
            </w:r>
            <w:r>
              <w:rPr>
                <w:sz w:val="18"/>
                <w:lang w:val="en-US"/>
              </w:rPr>
              <w:t xml:space="preserve"> </w:t>
            </w:r>
            <w:r>
              <w:rPr>
                <w:rFonts w:ascii="Symbol" w:hAnsi="Symbol"/>
                <w:sz w:val="18"/>
              </w:rPr>
              <w:t></w:t>
            </w:r>
            <w:r>
              <w:rPr>
                <w:sz w:val="18"/>
                <w:lang w:val="en-US"/>
              </w:rPr>
              <w:t xml:space="preserve"> 200/100 MHz (dB)</w:t>
            </w:r>
          </w:p>
        </w:tc>
        <w:tc>
          <w:tcPr>
            <w:tcW w:w="979"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1"/>
              </w:tabs>
              <w:rPr>
                <w:sz w:val="18"/>
                <w:lang w:val="en-US"/>
              </w:rPr>
            </w:pPr>
            <w:r>
              <w:rPr>
                <w:sz w:val="18"/>
                <w:lang w:val="en-US"/>
              </w:rPr>
              <w:t>–21.11</w:t>
            </w:r>
          </w:p>
        </w:tc>
        <w:tc>
          <w:tcPr>
            <w:tcW w:w="111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lang w:val="en-US"/>
              </w:rPr>
            </w:pPr>
            <w:r>
              <w:rPr>
                <w:sz w:val="18"/>
                <w:lang w:val="en-US"/>
              </w:rPr>
              <w:t>–25.51</w:t>
            </w:r>
          </w:p>
        </w:tc>
        <w:tc>
          <w:tcPr>
            <w:tcW w:w="980"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4"/>
              </w:tabs>
              <w:rPr>
                <w:sz w:val="18"/>
                <w:lang w:val="en-US"/>
              </w:rPr>
            </w:pPr>
            <w:r>
              <w:rPr>
                <w:sz w:val="18"/>
                <w:lang w:val="en-US"/>
              </w:rPr>
              <w:t>11.80</w:t>
            </w:r>
          </w:p>
        </w:tc>
        <w:tc>
          <w:tcPr>
            <w:tcW w:w="111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lang w:val="en-US"/>
              </w:rPr>
            </w:pPr>
            <w:r>
              <w:rPr>
                <w:sz w:val="18"/>
                <w:lang w:val="en-US"/>
              </w:rPr>
              <w:t>–33.05</w:t>
            </w:r>
          </w:p>
        </w:tc>
        <w:tc>
          <w:tcPr>
            <w:tcW w:w="2150" w:type="dxa"/>
            <w:gridSpan w:val="2"/>
            <w:vMerge/>
          </w:tcPr>
          <w:p w:rsidR="00B9359B" w:rsidRDefault="00B9359B">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80" w:after="80"/>
              <w:rPr>
                <w:sz w:val="18"/>
                <w:lang w:val="en-US"/>
              </w:rPr>
            </w:pPr>
          </w:p>
        </w:tc>
      </w:tr>
      <w:tr w:rsidR="00B9359B">
        <w:trPr>
          <w:cantSplit/>
        </w:trPr>
        <w:tc>
          <w:tcPr>
            <w:tcW w:w="3294" w:type="dxa"/>
          </w:tcPr>
          <w:p w:rsidR="00B9359B" w:rsidRDefault="009A5268">
            <w:pPr>
              <w:pStyle w:val="Tabletext"/>
              <w:framePr w:hSpace="181" w:wrap="notBeside" w:vAnchor="text" w:hAnchor="text" w:xAlign="center" w:y="1"/>
              <w:jc w:val="left"/>
              <w:rPr>
                <w:sz w:val="18"/>
                <w:lang w:val="en-US"/>
              </w:rPr>
            </w:pPr>
            <w:r>
              <w:rPr>
                <w:sz w:val="18"/>
                <w:lang w:val="en-US"/>
              </w:rPr>
              <w:t xml:space="preserve">Margin/threshold </w:t>
            </w:r>
            <w:r>
              <w:rPr>
                <w:i/>
                <w:iCs/>
                <w:sz w:val="18"/>
                <w:lang w:val="en-US"/>
              </w:rPr>
              <w:t>B</w:t>
            </w:r>
            <w:r>
              <w:rPr>
                <w:i/>
                <w:iCs/>
                <w:sz w:val="18"/>
                <w:vertAlign w:val="subscript"/>
                <w:lang w:val="en-US"/>
              </w:rPr>
              <w:t>N</w:t>
            </w:r>
            <w:r>
              <w:rPr>
                <w:sz w:val="18"/>
                <w:lang w:val="en-US"/>
              </w:rPr>
              <w:t xml:space="preserve"> </w:t>
            </w:r>
            <w:r>
              <w:rPr>
                <w:rFonts w:ascii="Symbol" w:hAnsi="Symbol"/>
                <w:sz w:val="18"/>
              </w:rPr>
              <w:t></w:t>
            </w:r>
            <w:r>
              <w:rPr>
                <w:sz w:val="18"/>
                <w:lang w:val="en-US"/>
              </w:rPr>
              <w:t xml:space="preserve"> 50 MHz (dB)</w:t>
            </w:r>
          </w:p>
        </w:tc>
        <w:tc>
          <w:tcPr>
            <w:tcW w:w="979"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1"/>
              </w:tabs>
              <w:rPr>
                <w:sz w:val="18"/>
                <w:lang w:val="en-US"/>
              </w:rPr>
            </w:pPr>
            <w:r>
              <w:rPr>
                <w:sz w:val="18"/>
                <w:lang w:val="en-US"/>
              </w:rPr>
              <w:t>–18.11</w:t>
            </w:r>
          </w:p>
        </w:tc>
        <w:tc>
          <w:tcPr>
            <w:tcW w:w="111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lang w:val="en-US"/>
              </w:rPr>
            </w:pPr>
            <w:r>
              <w:rPr>
                <w:sz w:val="18"/>
                <w:lang w:val="en-US"/>
              </w:rPr>
              <w:t>–22.51</w:t>
            </w:r>
          </w:p>
        </w:tc>
        <w:tc>
          <w:tcPr>
            <w:tcW w:w="980"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4"/>
              </w:tabs>
              <w:rPr>
                <w:sz w:val="18"/>
                <w:lang w:val="en-US"/>
              </w:rPr>
            </w:pPr>
            <w:r>
              <w:rPr>
                <w:sz w:val="18"/>
                <w:lang w:val="en-US"/>
              </w:rPr>
              <w:t>14.80</w:t>
            </w:r>
          </w:p>
        </w:tc>
        <w:tc>
          <w:tcPr>
            <w:tcW w:w="111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lang w:val="en-US"/>
              </w:rPr>
            </w:pPr>
            <w:r>
              <w:rPr>
                <w:sz w:val="18"/>
                <w:lang w:val="en-US"/>
              </w:rPr>
              <w:t>–30.05</w:t>
            </w:r>
          </w:p>
        </w:tc>
        <w:tc>
          <w:tcPr>
            <w:tcW w:w="2150" w:type="dxa"/>
            <w:gridSpan w:val="2"/>
            <w:vMerge/>
          </w:tcPr>
          <w:p w:rsidR="00B9359B" w:rsidRDefault="00B9359B">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80" w:after="80"/>
              <w:rPr>
                <w:sz w:val="18"/>
                <w:lang w:val="en-US"/>
              </w:rPr>
            </w:pPr>
          </w:p>
        </w:tc>
      </w:tr>
    </w:tbl>
    <w:p w:rsidR="00B9359B" w:rsidRDefault="00B9359B">
      <w:pPr>
        <w:pStyle w:val="Tablefin"/>
        <w:rPr>
          <w:lang w:val="en-US"/>
        </w:rPr>
      </w:pPr>
    </w:p>
    <w:p w:rsidR="00B9359B" w:rsidRDefault="009A5268">
      <w:pPr>
        <w:rPr>
          <w:lang w:val="en-US"/>
        </w:rPr>
      </w:pPr>
      <w:r>
        <w:rPr>
          <w:lang w:val="en-US"/>
        </w:rPr>
        <w:t>In all configurations analysed, the interference threshold can be considerably exceeded.</w:t>
      </w:r>
    </w:p>
    <w:p w:rsidR="00B9359B" w:rsidRDefault="009A5268">
      <w:pPr>
        <w:rPr>
          <w:lang w:val="en-US"/>
        </w:rPr>
      </w:pPr>
      <w:r>
        <w:rPr>
          <w:lang w:val="en-US"/>
        </w:rPr>
        <w:t>Note that the unwanted power within the 100 MHz reference bandwidth is identical for 200 MHz and 100 MHz necessary bandwidth, because it is assumed that the power density within the necessary bandwidth is the same. The unwanted power is 3 dB lower in the case of a 50 MHz necessary bandwidth.</w:t>
      </w:r>
    </w:p>
    <w:p w:rsidR="00B9359B" w:rsidRDefault="009A5268">
      <w:pPr>
        <w:rPr>
          <w:lang w:val="en-US"/>
        </w:rPr>
      </w:pPr>
      <w:r>
        <w:rPr>
          <w:lang w:val="en-US"/>
        </w:rPr>
        <w:t>For the data acquisition antenna beam looking down to the Earth, interference occurs over relatively short ranges of geocentric distances, when ISS or EESS antennas are pointing in the direction of the other satellite. The worst</w:t>
      </w:r>
      <w:r>
        <w:rPr>
          <w:lang w:val="en-US"/>
        </w:rPr>
        <w:noBreakHyphen/>
        <w:t xml:space="preserve">case values are obtained when the passive sensor and the ISS satellite are at a short distance, and the ISS satellite lower than the passive sensor. It must be emphasized that </w:t>
      </w:r>
      <w:r>
        <w:rPr>
          <w:lang w:val="en-US"/>
        </w:rPr>
        <w:br w:type="page"/>
        <w:t>with such an important negative margins, many adjacent pixels in the line are likely to be also contaminated, although to a lesser extent (for instance about 20 pixels in case of a negative margin of –</w:t>
      </w:r>
      <w:r>
        <w:rPr>
          <w:sz w:val="4"/>
          <w:lang w:val="en-US"/>
        </w:rPr>
        <w:t> </w:t>
      </w:r>
      <w:r>
        <w:rPr>
          <w:lang w:val="en-US"/>
        </w:rPr>
        <w:t>40 dB). Dynamic analysis will be essential to determine the importance of the temporal dimension.</w:t>
      </w:r>
    </w:p>
    <w:p w:rsidR="00B9359B" w:rsidRDefault="009A5268">
      <w:pPr>
        <w:pStyle w:val="TableNo"/>
        <w:rPr>
          <w:lang w:val="en-US"/>
        </w:rPr>
      </w:pPr>
      <w:r>
        <w:rPr>
          <w:lang w:val="en-US"/>
        </w:rPr>
        <w:t>TABLE  43</w:t>
      </w:r>
    </w:p>
    <w:p w:rsidR="00B9359B" w:rsidRDefault="009A5268">
      <w:pPr>
        <w:pStyle w:val="Tabletitle"/>
        <w:rPr>
          <w:lang w:val="en-US"/>
        </w:rPr>
      </w:pPr>
      <w:r>
        <w:rPr>
          <w:lang w:val="en-US"/>
        </w:rPr>
        <w:t>Worst-case margins referred to the interference threshold</w:t>
      </w:r>
      <w:r>
        <w:rPr>
          <w:lang w:val="en-US"/>
        </w:rPr>
        <w:br/>
        <w:t>(co-frequency assumption) (push-broom case)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94"/>
        <w:gridCol w:w="974"/>
        <w:gridCol w:w="1112"/>
        <w:gridCol w:w="974"/>
        <w:gridCol w:w="1112"/>
        <w:gridCol w:w="981"/>
        <w:gridCol w:w="1192"/>
      </w:tblGrid>
      <w:tr w:rsidR="00B9359B" w:rsidRPr="00D35B94">
        <w:trPr>
          <w:cantSplit/>
        </w:trPr>
        <w:tc>
          <w:tcPr>
            <w:tcW w:w="9639" w:type="dxa"/>
            <w:gridSpan w:val="7"/>
          </w:tcPr>
          <w:p w:rsidR="00B9359B" w:rsidRDefault="009A5268">
            <w:pPr>
              <w:pStyle w:val="Tablehead"/>
              <w:framePr w:hSpace="181" w:wrap="notBeside" w:vAnchor="text" w:hAnchor="text" w:xAlign="center" w:y="1"/>
              <w:rPr>
                <w:sz w:val="20"/>
                <w:lang w:val="en-US"/>
              </w:rPr>
            </w:pPr>
            <w:r>
              <w:rPr>
                <w:sz w:val="20"/>
                <w:lang w:val="en-US"/>
              </w:rPr>
              <w:t>Worst-case margins referred to sensor’s interference threshold – Push-broom case (co-frequency assumption)</w:t>
            </w:r>
          </w:p>
        </w:tc>
      </w:tr>
      <w:tr w:rsidR="00B9359B">
        <w:trPr>
          <w:cantSplit/>
        </w:trPr>
        <w:tc>
          <w:tcPr>
            <w:tcW w:w="3294" w:type="dxa"/>
            <w:vMerge w:val="restart"/>
          </w:tcPr>
          <w:p w:rsidR="00B9359B" w:rsidRDefault="00B9359B">
            <w:pPr>
              <w:pStyle w:val="Tablehead"/>
              <w:framePr w:hSpace="181" w:wrap="notBeside" w:vAnchor="text" w:hAnchor="text" w:xAlign="center" w:y="1"/>
              <w:jc w:val="left"/>
              <w:rPr>
                <w:sz w:val="18"/>
                <w:lang w:val="en-US"/>
              </w:rPr>
            </w:pPr>
          </w:p>
        </w:tc>
        <w:tc>
          <w:tcPr>
            <w:tcW w:w="2086" w:type="dxa"/>
            <w:gridSpan w:val="2"/>
          </w:tcPr>
          <w:p w:rsidR="00B9359B" w:rsidRDefault="009A5268">
            <w:pPr>
              <w:pStyle w:val="Tablehead"/>
              <w:framePr w:hSpace="181" w:wrap="notBeside" w:vAnchor="text" w:hAnchor="text" w:xAlign="center" w:y="1"/>
              <w:rPr>
                <w:sz w:val="18"/>
                <w:lang w:val="en-US"/>
              </w:rPr>
            </w:pPr>
            <w:r>
              <w:rPr>
                <w:sz w:val="18"/>
                <w:lang w:val="en-US"/>
              </w:rPr>
              <w:t>LEO-1 (700 km)</w:t>
            </w:r>
          </w:p>
        </w:tc>
        <w:tc>
          <w:tcPr>
            <w:tcW w:w="2086" w:type="dxa"/>
            <w:gridSpan w:val="2"/>
          </w:tcPr>
          <w:p w:rsidR="00B9359B" w:rsidRDefault="009A5268">
            <w:pPr>
              <w:pStyle w:val="Tablehead"/>
              <w:framePr w:hSpace="181" w:wrap="notBeside" w:vAnchor="text" w:hAnchor="text" w:xAlign="center" w:y="1"/>
              <w:rPr>
                <w:sz w:val="18"/>
                <w:lang w:val="en-US"/>
              </w:rPr>
            </w:pPr>
            <w:r>
              <w:rPr>
                <w:sz w:val="18"/>
                <w:lang w:val="en-US"/>
              </w:rPr>
              <w:t>LEO-2 (800 km)</w:t>
            </w:r>
          </w:p>
        </w:tc>
        <w:tc>
          <w:tcPr>
            <w:tcW w:w="2173" w:type="dxa"/>
            <w:gridSpan w:val="2"/>
          </w:tcPr>
          <w:p w:rsidR="00B9359B" w:rsidRDefault="009A5268">
            <w:pPr>
              <w:pStyle w:val="Tablehead"/>
              <w:framePr w:hSpace="181" w:wrap="notBeside" w:vAnchor="text" w:hAnchor="text" w:xAlign="center" w:y="1"/>
              <w:rPr>
                <w:sz w:val="18"/>
                <w:lang w:val="en-US"/>
              </w:rPr>
            </w:pPr>
            <w:r>
              <w:rPr>
                <w:sz w:val="18"/>
                <w:lang w:val="en-US"/>
              </w:rPr>
              <w:t>LEO-3 (900 km)</w:t>
            </w:r>
          </w:p>
        </w:tc>
      </w:tr>
      <w:tr w:rsidR="00B9359B">
        <w:trPr>
          <w:cantSplit/>
        </w:trPr>
        <w:tc>
          <w:tcPr>
            <w:tcW w:w="3294" w:type="dxa"/>
            <w:vMerge/>
          </w:tcPr>
          <w:p w:rsidR="00B9359B" w:rsidRDefault="00B9359B">
            <w:pPr>
              <w:pStyle w:val="Tablehead"/>
              <w:framePr w:hSpace="181" w:wrap="notBeside" w:vAnchor="text" w:hAnchor="text" w:xAlign="center" w:y="1"/>
              <w:jc w:val="left"/>
              <w:rPr>
                <w:sz w:val="18"/>
                <w:lang w:val="en-US"/>
              </w:rPr>
            </w:pPr>
          </w:p>
        </w:tc>
        <w:tc>
          <w:tcPr>
            <w:tcW w:w="974" w:type="dxa"/>
          </w:tcPr>
          <w:p w:rsidR="00B9359B" w:rsidRDefault="009A5268">
            <w:pPr>
              <w:pStyle w:val="Tablehead"/>
              <w:framePr w:hSpace="181" w:wrap="notBeside" w:vAnchor="text" w:hAnchor="text" w:xAlign="center" w:y="1"/>
              <w:rPr>
                <w:sz w:val="18"/>
                <w:lang w:val="en-US"/>
              </w:rPr>
            </w:pPr>
            <w:r>
              <w:rPr>
                <w:sz w:val="18"/>
                <w:lang w:val="en-US"/>
              </w:rPr>
              <w:t>Sounding</w:t>
            </w:r>
          </w:p>
        </w:tc>
        <w:tc>
          <w:tcPr>
            <w:tcW w:w="1112" w:type="dxa"/>
          </w:tcPr>
          <w:p w:rsidR="00B9359B" w:rsidRDefault="009A5268">
            <w:pPr>
              <w:pStyle w:val="Tablehead"/>
              <w:framePr w:hSpace="181" w:wrap="notBeside" w:vAnchor="text" w:hAnchor="text" w:xAlign="center" w:y="1"/>
              <w:rPr>
                <w:sz w:val="18"/>
                <w:lang w:val="en-US"/>
              </w:rPr>
            </w:pPr>
            <w:r>
              <w:rPr>
                <w:sz w:val="18"/>
                <w:lang w:val="en-US"/>
              </w:rPr>
              <w:t>Calibration</w:t>
            </w:r>
          </w:p>
        </w:tc>
        <w:tc>
          <w:tcPr>
            <w:tcW w:w="974" w:type="dxa"/>
          </w:tcPr>
          <w:p w:rsidR="00B9359B" w:rsidRDefault="009A5268">
            <w:pPr>
              <w:pStyle w:val="Tablehead"/>
              <w:framePr w:hSpace="181" w:wrap="notBeside" w:vAnchor="text" w:hAnchor="text" w:xAlign="center" w:y="1"/>
              <w:rPr>
                <w:sz w:val="18"/>
                <w:lang w:val="en-US"/>
              </w:rPr>
            </w:pPr>
            <w:r>
              <w:rPr>
                <w:sz w:val="18"/>
                <w:lang w:val="en-US"/>
              </w:rPr>
              <w:t>Sounding</w:t>
            </w:r>
          </w:p>
        </w:tc>
        <w:tc>
          <w:tcPr>
            <w:tcW w:w="1112" w:type="dxa"/>
          </w:tcPr>
          <w:p w:rsidR="00B9359B" w:rsidRDefault="009A5268">
            <w:pPr>
              <w:pStyle w:val="Tablehead"/>
              <w:framePr w:hSpace="181" w:wrap="notBeside" w:vAnchor="text" w:hAnchor="text" w:xAlign="center" w:y="1"/>
              <w:rPr>
                <w:sz w:val="18"/>
                <w:lang w:val="en-US"/>
              </w:rPr>
            </w:pPr>
            <w:r>
              <w:rPr>
                <w:sz w:val="18"/>
                <w:lang w:val="en-US"/>
              </w:rPr>
              <w:t>Calibration</w:t>
            </w:r>
          </w:p>
        </w:tc>
        <w:tc>
          <w:tcPr>
            <w:tcW w:w="981" w:type="dxa"/>
          </w:tcPr>
          <w:p w:rsidR="00B9359B" w:rsidRDefault="009A5268">
            <w:pPr>
              <w:pStyle w:val="Tablehead"/>
              <w:framePr w:hSpace="181" w:wrap="notBeside" w:vAnchor="text" w:hAnchor="text" w:xAlign="center" w:y="1"/>
              <w:rPr>
                <w:sz w:val="18"/>
                <w:lang w:val="en-US"/>
              </w:rPr>
            </w:pPr>
            <w:r>
              <w:rPr>
                <w:sz w:val="18"/>
                <w:lang w:val="en-US"/>
              </w:rPr>
              <w:t>Sounding</w:t>
            </w:r>
          </w:p>
        </w:tc>
        <w:tc>
          <w:tcPr>
            <w:tcW w:w="1192" w:type="dxa"/>
          </w:tcPr>
          <w:p w:rsidR="00B9359B" w:rsidRDefault="009A5268">
            <w:pPr>
              <w:pStyle w:val="Tablehead"/>
              <w:framePr w:hSpace="181" w:wrap="notBeside" w:vAnchor="text" w:hAnchor="text" w:xAlign="center" w:y="1"/>
              <w:rPr>
                <w:sz w:val="18"/>
                <w:lang w:val="en-US"/>
              </w:rPr>
            </w:pPr>
            <w:r>
              <w:rPr>
                <w:sz w:val="18"/>
                <w:lang w:val="en-US"/>
              </w:rPr>
              <w:t>Calibration</w:t>
            </w:r>
          </w:p>
        </w:tc>
      </w:tr>
      <w:tr w:rsidR="00B9359B">
        <w:tc>
          <w:tcPr>
            <w:tcW w:w="3294" w:type="dxa"/>
          </w:tcPr>
          <w:p w:rsidR="00B9359B" w:rsidRDefault="009A5268">
            <w:pPr>
              <w:pStyle w:val="Tabletext"/>
              <w:framePr w:hSpace="181" w:wrap="notBeside" w:vAnchor="text" w:hAnchor="text" w:xAlign="center" w:y="1"/>
              <w:jc w:val="left"/>
              <w:rPr>
                <w:sz w:val="18"/>
                <w:lang w:val="en-US"/>
              </w:rPr>
            </w:pPr>
            <w:r>
              <w:rPr>
                <w:sz w:val="18"/>
                <w:lang w:val="en-US"/>
              </w:rPr>
              <w:t>Angular distance (degrees)</w:t>
            </w:r>
            <w:r>
              <w:rPr>
                <w:sz w:val="18"/>
                <w:lang w:val="en-US"/>
              </w:rPr>
              <w:br/>
              <w:t>Distance (km)</w:t>
            </w:r>
            <w:r>
              <w:rPr>
                <w:sz w:val="18"/>
                <w:lang w:val="en-US"/>
              </w:rPr>
              <w:br/>
              <w:t>Path-loss (dB)</w:t>
            </w:r>
            <w:r>
              <w:rPr>
                <w:sz w:val="18"/>
                <w:lang w:val="en-US"/>
              </w:rPr>
              <w:br/>
              <w:t>Sensor antenna gain (dBi)</w:t>
            </w:r>
            <w:r>
              <w:rPr>
                <w:sz w:val="18"/>
                <w:lang w:val="en-US"/>
              </w:rPr>
              <w:br/>
              <w:t>ISS antenna gain (dBi)</w:t>
            </w:r>
            <w:r>
              <w:rPr>
                <w:sz w:val="18"/>
                <w:lang w:val="en-US"/>
              </w:rPr>
              <w:br/>
              <w:t>ISS Tx power (dB(W/100 MHz))</w:t>
            </w:r>
            <w:r>
              <w:rPr>
                <w:sz w:val="18"/>
                <w:lang w:val="en-US"/>
              </w:rPr>
              <w:br/>
              <w:t>Received power (dB(W/100 MHz))</w:t>
            </w:r>
          </w:p>
        </w:tc>
        <w:tc>
          <w:tcPr>
            <w:tcW w:w="974"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sz w:val="18"/>
                <w:lang w:val="en-US"/>
              </w:rPr>
            </w:pPr>
            <w:r>
              <w:rPr>
                <w:sz w:val="18"/>
                <w:lang w:val="en-US"/>
              </w:rPr>
              <w:t>0.00</w:t>
            </w:r>
            <w:r>
              <w:rPr>
                <w:sz w:val="18"/>
                <w:lang w:val="en-US"/>
              </w:rPr>
              <w:br/>
              <w:t>150.00</w:t>
            </w:r>
            <w:r>
              <w:rPr>
                <w:sz w:val="18"/>
                <w:lang w:val="en-US"/>
              </w:rPr>
              <w:br/>
              <w:t>–163.50</w:t>
            </w:r>
            <w:r>
              <w:rPr>
                <w:sz w:val="18"/>
                <w:lang w:val="en-US"/>
              </w:rPr>
              <w:br/>
              <w:t>45.00</w:t>
            </w:r>
            <w:r>
              <w:rPr>
                <w:sz w:val="18"/>
                <w:lang w:val="en-US"/>
              </w:rPr>
              <w:br/>
              <w:t>–10.25</w:t>
            </w:r>
            <w:r>
              <w:rPr>
                <w:sz w:val="18"/>
                <w:lang w:val="en-US"/>
              </w:rPr>
              <w:br/>
              <w:t>0.50</w:t>
            </w:r>
            <w:r>
              <w:rPr>
                <w:sz w:val="18"/>
                <w:lang w:val="en-US"/>
              </w:rPr>
              <w:br/>
              <w:t>–128.25</w:t>
            </w:r>
          </w:p>
        </w:tc>
        <w:tc>
          <w:tcPr>
            <w:tcW w:w="1112"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lang w:val="en-US"/>
              </w:rPr>
            </w:pPr>
            <w:r>
              <w:rPr>
                <w:sz w:val="18"/>
                <w:lang w:val="en-US"/>
              </w:rPr>
              <w:t>45.70</w:t>
            </w:r>
            <w:r>
              <w:rPr>
                <w:sz w:val="18"/>
                <w:lang w:val="en-US"/>
              </w:rPr>
              <w:br/>
              <w:t>5</w:t>
            </w:r>
            <w:r>
              <w:rPr>
                <w:rFonts w:ascii="Tms Rmn" w:hAnsi="Tms Rmn"/>
                <w:sz w:val="12"/>
                <w:lang w:val="en-US"/>
              </w:rPr>
              <w:t> </w:t>
            </w:r>
            <w:r>
              <w:rPr>
                <w:sz w:val="18"/>
                <w:lang w:val="en-US"/>
              </w:rPr>
              <w:t>557.00</w:t>
            </w:r>
            <w:r>
              <w:rPr>
                <w:sz w:val="18"/>
                <w:lang w:val="en-US"/>
              </w:rPr>
              <w:br/>
              <w:t>–194.87</w:t>
            </w:r>
            <w:r>
              <w:rPr>
                <w:sz w:val="18"/>
                <w:lang w:val="en-US"/>
              </w:rPr>
              <w:br/>
              <w:t>1.24</w:t>
            </w:r>
            <w:r>
              <w:rPr>
                <w:sz w:val="18"/>
                <w:lang w:val="en-US"/>
              </w:rPr>
              <w:br/>
              <w:t>36.70</w:t>
            </w:r>
            <w:r>
              <w:rPr>
                <w:sz w:val="18"/>
                <w:lang w:val="en-US"/>
              </w:rPr>
              <w:br/>
              <w:t>0.50</w:t>
            </w:r>
            <w:r>
              <w:rPr>
                <w:sz w:val="18"/>
                <w:lang w:val="en-US"/>
              </w:rPr>
              <w:br/>
              <w:t>–156.43</w:t>
            </w:r>
          </w:p>
        </w:tc>
        <w:tc>
          <w:tcPr>
            <w:tcW w:w="974"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4"/>
              </w:tabs>
              <w:rPr>
                <w:sz w:val="18"/>
                <w:lang w:val="en-US"/>
              </w:rPr>
            </w:pPr>
            <w:r>
              <w:rPr>
                <w:sz w:val="18"/>
                <w:lang w:val="en-US"/>
              </w:rPr>
              <w:t>0.00</w:t>
            </w:r>
            <w:r>
              <w:rPr>
                <w:sz w:val="18"/>
                <w:lang w:val="en-US"/>
              </w:rPr>
              <w:br/>
              <w:t>50.00</w:t>
            </w:r>
            <w:r>
              <w:rPr>
                <w:sz w:val="18"/>
                <w:lang w:val="en-US"/>
              </w:rPr>
              <w:br/>
              <w:t>–153.96</w:t>
            </w:r>
            <w:r>
              <w:rPr>
                <w:sz w:val="18"/>
                <w:lang w:val="en-US"/>
              </w:rPr>
              <w:br/>
              <w:t>45.00</w:t>
            </w:r>
            <w:r>
              <w:rPr>
                <w:sz w:val="18"/>
                <w:lang w:val="en-US"/>
              </w:rPr>
              <w:br/>
              <w:t>–10.45</w:t>
            </w:r>
            <w:r>
              <w:rPr>
                <w:sz w:val="18"/>
                <w:lang w:val="en-US"/>
              </w:rPr>
              <w:br/>
              <w:t>0.50</w:t>
            </w:r>
            <w:r>
              <w:rPr>
                <w:sz w:val="18"/>
                <w:lang w:val="en-US"/>
              </w:rPr>
              <w:br/>
              <w:t>–118.91</w:t>
            </w:r>
          </w:p>
        </w:tc>
        <w:tc>
          <w:tcPr>
            <w:tcW w:w="1112"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lang w:val="en-US"/>
              </w:rPr>
            </w:pPr>
            <w:r>
              <w:rPr>
                <w:sz w:val="18"/>
                <w:lang w:val="en-US"/>
              </w:rPr>
              <w:t>45.70</w:t>
            </w:r>
            <w:r>
              <w:rPr>
                <w:sz w:val="18"/>
                <w:lang w:val="en-US"/>
              </w:rPr>
              <w:br/>
              <w:t>517.74</w:t>
            </w:r>
            <w:r>
              <w:rPr>
                <w:sz w:val="18"/>
                <w:lang w:val="en-US"/>
              </w:rPr>
              <w:br/>
              <w:t>–174.26</w:t>
            </w:r>
            <w:r>
              <w:rPr>
                <w:sz w:val="18"/>
                <w:lang w:val="en-US"/>
              </w:rPr>
              <w:br/>
              <w:t>–</w:t>
            </w:r>
            <w:r>
              <w:rPr>
                <w:sz w:val="4"/>
                <w:lang w:val="en-US"/>
              </w:rPr>
              <w:t> </w:t>
            </w:r>
            <w:r>
              <w:rPr>
                <w:sz w:val="18"/>
                <w:lang w:val="en-US"/>
              </w:rPr>
              <w:t>4.27</w:t>
            </w:r>
            <w:r>
              <w:rPr>
                <w:sz w:val="18"/>
                <w:lang w:val="en-US"/>
              </w:rPr>
              <w:br/>
              <w:t>34.54</w:t>
            </w:r>
            <w:r>
              <w:rPr>
                <w:sz w:val="18"/>
                <w:lang w:val="en-US"/>
              </w:rPr>
              <w:br/>
              <w:t>0.50</w:t>
            </w:r>
            <w:r>
              <w:rPr>
                <w:sz w:val="18"/>
                <w:lang w:val="en-US"/>
              </w:rPr>
              <w:br/>
              <w:t>–143.49</w:t>
            </w:r>
          </w:p>
        </w:tc>
        <w:tc>
          <w:tcPr>
            <w:tcW w:w="981"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lang w:val="en-US"/>
              </w:rPr>
            </w:pPr>
            <w:r>
              <w:rPr>
                <w:sz w:val="18"/>
                <w:lang w:val="en-US"/>
              </w:rPr>
              <w:t>0.90</w:t>
            </w:r>
            <w:r>
              <w:rPr>
                <w:sz w:val="18"/>
                <w:lang w:val="en-US"/>
              </w:rPr>
              <w:br/>
              <w:t>124.42</w:t>
            </w:r>
            <w:r>
              <w:rPr>
                <w:sz w:val="18"/>
                <w:lang w:val="en-US"/>
              </w:rPr>
              <w:br/>
              <w:t>–161.87</w:t>
            </w:r>
            <w:r>
              <w:rPr>
                <w:sz w:val="18"/>
                <w:lang w:val="en-US"/>
              </w:rPr>
              <w:br/>
              <w:t>–12.33</w:t>
            </w:r>
            <w:r>
              <w:rPr>
                <w:sz w:val="18"/>
                <w:lang w:val="en-US"/>
              </w:rPr>
              <w:br/>
              <w:t>34.22</w:t>
            </w:r>
            <w:r>
              <w:rPr>
                <w:sz w:val="18"/>
                <w:lang w:val="en-US"/>
              </w:rPr>
              <w:br/>
              <w:t>0.50</w:t>
            </w:r>
            <w:r>
              <w:rPr>
                <w:sz w:val="18"/>
                <w:lang w:val="en-US"/>
              </w:rPr>
              <w:br/>
              <w:t>–139.48</w:t>
            </w:r>
          </w:p>
        </w:tc>
        <w:tc>
          <w:tcPr>
            <w:tcW w:w="1192"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lang w:val="en-US"/>
              </w:rPr>
            </w:pPr>
            <w:r>
              <w:rPr>
                <w:sz w:val="18"/>
                <w:lang w:val="en-US"/>
              </w:rPr>
              <w:t>0.90</w:t>
            </w:r>
            <w:r>
              <w:rPr>
                <w:sz w:val="18"/>
                <w:lang w:val="en-US"/>
              </w:rPr>
              <w:br/>
              <w:t>124.42</w:t>
            </w:r>
            <w:r>
              <w:rPr>
                <w:sz w:val="18"/>
                <w:lang w:val="en-US"/>
              </w:rPr>
              <w:br/>
              <w:t>–161.87</w:t>
            </w:r>
            <w:r>
              <w:rPr>
                <w:sz w:val="18"/>
                <w:lang w:val="en-US"/>
              </w:rPr>
              <w:br/>
              <w:t>–</w:t>
            </w:r>
            <w:r>
              <w:rPr>
                <w:sz w:val="4"/>
                <w:lang w:val="en-US"/>
              </w:rPr>
              <w:t> </w:t>
            </w:r>
            <w:r>
              <w:rPr>
                <w:sz w:val="18"/>
                <w:lang w:val="en-US"/>
              </w:rPr>
              <w:t>4.84</w:t>
            </w:r>
            <w:r>
              <w:rPr>
                <w:sz w:val="18"/>
                <w:lang w:val="en-US"/>
              </w:rPr>
              <w:br/>
              <w:t>34.22</w:t>
            </w:r>
            <w:r>
              <w:rPr>
                <w:sz w:val="18"/>
                <w:lang w:val="en-US"/>
              </w:rPr>
              <w:br/>
              <w:t>0.50</w:t>
            </w:r>
            <w:r>
              <w:rPr>
                <w:sz w:val="18"/>
                <w:lang w:val="en-US"/>
              </w:rPr>
              <w:br/>
              <w:t>–131.99</w:t>
            </w:r>
          </w:p>
        </w:tc>
      </w:tr>
      <w:tr w:rsidR="00B9359B">
        <w:tc>
          <w:tcPr>
            <w:tcW w:w="3294" w:type="dxa"/>
          </w:tcPr>
          <w:p w:rsidR="00B9359B" w:rsidRDefault="009A5268">
            <w:pPr>
              <w:pStyle w:val="Tabletext"/>
              <w:framePr w:hSpace="181" w:wrap="notBeside" w:vAnchor="text" w:hAnchor="text" w:xAlign="center" w:y="1"/>
              <w:jc w:val="left"/>
              <w:rPr>
                <w:sz w:val="18"/>
                <w:lang w:val="en-US"/>
              </w:rPr>
            </w:pPr>
            <w:r>
              <w:rPr>
                <w:sz w:val="18"/>
                <w:lang w:val="en-US"/>
              </w:rPr>
              <w:t xml:space="preserve">Margin/threshold </w:t>
            </w:r>
            <w:r>
              <w:rPr>
                <w:i/>
                <w:iCs/>
                <w:sz w:val="18"/>
                <w:lang w:val="en-US"/>
              </w:rPr>
              <w:t>B</w:t>
            </w:r>
            <w:r>
              <w:rPr>
                <w:i/>
                <w:iCs/>
                <w:sz w:val="18"/>
                <w:vertAlign w:val="subscript"/>
                <w:lang w:val="en-US"/>
              </w:rPr>
              <w:t>N</w:t>
            </w:r>
            <w:r>
              <w:rPr>
                <w:sz w:val="18"/>
                <w:lang w:val="en-US"/>
              </w:rPr>
              <w:t xml:space="preserve"> </w:t>
            </w:r>
            <w:r>
              <w:rPr>
                <w:rFonts w:ascii="Symbol" w:hAnsi="Symbol"/>
                <w:sz w:val="18"/>
              </w:rPr>
              <w:t></w:t>
            </w:r>
            <w:r>
              <w:rPr>
                <w:sz w:val="18"/>
                <w:lang w:val="en-US"/>
              </w:rPr>
              <w:t xml:space="preserve"> 200/100 MHz (dB)</w:t>
            </w:r>
          </w:p>
        </w:tc>
        <w:tc>
          <w:tcPr>
            <w:tcW w:w="974"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sz w:val="18"/>
                <w:lang w:val="en-US"/>
              </w:rPr>
            </w:pPr>
            <w:r>
              <w:rPr>
                <w:sz w:val="18"/>
                <w:lang w:val="en-US"/>
              </w:rPr>
              <w:t>–34.75</w:t>
            </w:r>
          </w:p>
        </w:tc>
        <w:tc>
          <w:tcPr>
            <w:tcW w:w="1112"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lang w:val="en-US"/>
              </w:rPr>
            </w:pPr>
            <w:r>
              <w:rPr>
                <w:sz w:val="18"/>
                <w:lang w:val="en-US"/>
              </w:rPr>
              <w:t>–6.57</w:t>
            </w:r>
          </w:p>
        </w:tc>
        <w:tc>
          <w:tcPr>
            <w:tcW w:w="974"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4"/>
              </w:tabs>
              <w:rPr>
                <w:sz w:val="18"/>
                <w:lang w:val="en-US"/>
              </w:rPr>
            </w:pPr>
            <w:r>
              <w:rPr>
                <w:sz w:val="18"/>
                <w:lang w:val="en-US"/>
              </w:rPr>
              <w:t>–</w:t>
            </w:r>
            <w:r>
              <w:rPr>
                <w:sz w:val="4"/>
                <w:lang w:val="en-US"/>
              </w:rPr>
              <w:t> </w:t>
            </w:r>
            <w:r>
              <w:rPr>
                <w:sz w:val="18"/>
                <w:lang w:val="en-US"/>
              </w:rPr>
              <w:t>44.09</w:t>
            </w:r>
          </w:p>
        </w:tc>
        <w:tc>
          <w:tcPr>
            <w:tcW w:w="1112"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lang w:val="en-US"/>
              </w:rPr>
            </w:pPr>
            <w:r>
              <w:rPr>
                <w:sz w:val="18"/>
                <w:lang w:val="en-US"/>
              </w:rPr>
              <w:t>–19.51</w:t>
            </w:r>
          </w:p>
        </w:tc>
        <w:tc>
          <w:tcPr>
            <w:tcW w:w="981"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lang w:val="en-US"/>
              </w:rPr>
            </w:pPr>
            <w:r>
              <w:rPr>
                <w:sz w:val="18"/>
                <w:lang w:val="en-US"/>
              </w:rPr>
              <w:t>–23.52</w:t>
            </w:r>
          </w:p>
        </w:tc>
        <w:tc>
          <w:tcPr>
            <w:tcW w:w="1192"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lang w:val="en-US"/>
              </w:rPr>
            </w:pPr>
            <w:r>
              <w:rPr>
                <w:sz w:val="18"/>
                <w:lang w:val="en-US"/>
              </w:rPr>
              <w:t>–31.01</w:t>
            </w:r>
          </w:p>
        </w:tc>
      </w:tr>
      <w:tr w:rsidR="00B9359B">
        <w:tc>
          <w:tcPr>
            <w:tcW w:w="3294" w:type="dxa"/>
          </w:tcPr>
          <w:p w:rsidR="00B9359B" w:rsidRDefault="009A5268">
            <w:pPr>
              <w:pStyle w:val="Tabletext"/>
              <w:framePr w:hSpace="181" w:wrap="notBeside" w:vAnchor="text" w:hAnchor="text" w:xAlign="center" w:y="1"/>
              <w:jc w:val="left"/>
              <w:rPr>
                <w:sz w:val="18"/>
                <w:lang w:val="en-US"/>
              </w:rPr>
            </w:pPr>
            <w:r>
              <w:rPr>
                <w:sz w:val="18"/>
                <w:lang w:val="en-US"/>
              </w:rPr>
              <w:t xml:space="preserve">Margin/threshold </w:t>
            </w:r>
            <w:r>
              <w:rPr>
                <w:i/>
                <w:iCs/>
                <w:sz w:val="18"/>
                <w:lang w:val="en-US"/>
              </w:rPr>
              <w:t>B</w:t>
            </w:r>
            <w:r>
              <w:rPr>
                <w:i/>
                <w:iCs/>
                <w:sz w:val="18"/>
                <w:vertAlign w:val="subscript"/>
                <w:lang w:val="en-US"/>
              </w:rPr>
              <w:t>N</w:t>
            </w:r>
            <w:r>
              <w:rPr>
                <w:sz w:val="18"/>
                <w:lang w:val="en-US"/>
              </w:rPr>
              <w:t xml:space="preserve"> </w:t>
            </w:r>
            <w:r>
              <w:rPr>
                <w:rFonts w:ascii="Symbol" w:hAnsi="Symbol"/>
                <w:sz w:val="18"/>
              </w:rPr>
              <w:t></w:t>
            </w:r>
            <w:r>
              <w:rPr>
                <w:sz w:val="18"/>
                <w:lang w:val="en-US"/>
              </w:rPr>
              <w:t xml:space="preserve"> 50 MHz (dB)</w:t>
            </w:r>
          </w:p>
        </w:tc>
        <w:tc>
          <w:tcPr>
            <w:tcW w:w="974"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sz w:val="18"/>
                <w:lang w:val="en-US"/>
              </w:rPr>
            </w:pPr>
            <w:r>
              <w:rPr>
                <w:sz w:val="18"/>
                <w:lang w:val="en-US"/>
              </w:rPr>
              <w:t>–31.75</w:t>
            </w:r>
          </w:p>
        </w:tc>
        <w:tc>
          <w:tcPr>
            <w:tcW w:w="1112"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lang w:val="en-US"/>
              </w:rPr>
            </w:pPr>
            <w:r>
              <w:rPr>
                <w:sz w:val="18"/>
                <w:lang w:val="en-US"/>
              </w:rPr>
              <w:t>–3.57</w:t>
            </w:r>
          </w:p>
        </w:tc>
        <w:tc>
          <w:tcPr>
            <w:tcW w:w="974"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4"/>
              </w:tabs>
              <w:rPr>
                <w:sz w:val="18"/>
                <w:lang w:val="en-US"/>
              </w:rPr>
            </w:pPr>
            <w:r>
              <w:rPr>
                <w:sz w:val="18"/>
                <w:lang w:val="en-US"/>
              </w:rPr>
              <w:t>–</w:t>
            </w:r>
            <w:r>
              <w:rPr>
                <w:sz w:val="4"/>
                <w:lang w:val="en-US"/>
              </w:rPr>
              <w:t> </w:t>
            </w:r>
            <w:r>
              <w:rPr>
                <w:sz w:val="18"/>
                <w:lang w:val="en-US"/>
              </w:rPr>
              <w:t>41.09</w:t>
            </w:r>
          </w:p>
        </w:tc>
        <w:tc>
          <w:tcPr>
            <w:tcW w:w="1112"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lang w:val="en-US"/>
              </w:rPr>
            </w:pPr>
            <w:r>
              <w:rPr>
                <w:sz w:val="18"/>
                <w:lang w:val="en-US"/>
              </w:rPr>
              <w:t>–16.51</w:t>
            </w:r>
          </w:p>
        </w:tc>
        <w:tc>
          <w:tcPr>
            <w:tcW w:w="981"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lang w:val="en-US"/>
              </w:rPr>
            </w:pPr>
            <w:r>
              <w:rPr>
                <w:sz w:val="18"/>
                <w:lang w:val="en-US"/>
              </w:rPr>
              <w:t>–20.52</w:t>
            </w:r>
          </w:p>
        </w:tc>
        <w:tc>
          <w:tcPr>
            <w:tcW w:w="1192"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lang w:val="en-US"/>
              </w:rPr>
            </w:pPr>
            <w:r>
              <w:rPr>
                <w:sz w:val="18"/>
                <w:lang w:val="en-US"/>
              </w:rPr>
              <w:t>–28.01</w:t>
            </w:r>
          </w:p>
        </w:tc>
      </w:tr>
      <w:tr w:rsidR="00B9359B">
        <w:trPr>
          <w:cantSplit/>
        </w:trPr>
        <w:tc>
          <w:tcPr>
            <w:tcW w:w="3294" w:type="dxa"/>
            <w:vMerge w:val="restart"/>
          </w:tcPr>
          <w:p w:rsidR="00B9359B" w:rsidRDefault="00B9359B">
            <w:pPr>
              <w:pStyle w:val="Tabletext"/>
              <w:framePr w:hSpace="181" w:wrap="notBeside" w:vAnchor="text" w:hAnchor="text" w:xAlign="center" w:y="1"/>
              <w:spacing w:before="80" w:after="80"/>
              <w:jc w:val="left"/>
              <w:rPr>
                <w:sz w:val="18"/>
                <w:lang w:val="en-US"/>
              </w:rPr>
            </w:pPr>
          </w:p>
        </w:tc>
        <w:tc>
          <w:tcPr>
            <w:tcW w:w="2086" w:type="dxa"/>
            <w:gridSpan w:val="2"/>
          </w:tcPr>
          <w:p w:rsidR="00B9359B" w:rsidRDefault="009A5268">
            <w:pPr>
              <w:pStyle w:val="Tablehead"/>
              <w:framePr w:hSpace="181" w:wrap="notBeside" w:vAnchor="text" w:hAnchor="text" w:xAlign="center" w:y="1"/>
              <w:rPr>
                <w:sz w:val="18"/>
                <w:lang w:val="en-US"/>
              </w:rPr>
            </w:pPr>
            <w:r>
              <w:rPr>
                <w:sz w:val="18"/>
                <w:lang w:val="en-US"/>
              </w:rPr>
              <w:t>LEO-4 (1</w:t>
            </w:r>
            <w:r>
              <w:rPr>
                <w:rFonts w:ascii="Tms Rmn" w:hAnsi="Tms Rmn"/>
                <w:sz w:val="12"/>
                <w:lang w:val="en-US"/>
              </w:rPr>
              <w:t> </w:t>
            </w:r>
            <w:r>
              <w:rPr>
                <w:sz w:val="18"/>
                <w:lang w:val="en-US"/>
              </w:rPr>
              <w:t>000 km)</w:t>
            </w:r>
          </w:p>
        </w:tc>
        <w:tc>
          <w:tcPr>
            <w:tcW w:w="2086" w:type="dxa"/>
            <w:gridSpan w:val="2"/>
          </w:tcPr>
          <w:p w:rsidR="00B9359B" w:rsidRDefault="009A5268">
            <w:pPr>
              <w:pStyle w:val="Tablehead"/>
              <w:framePr w:hSpace="181" w:wrap="notBeside" w:vAnchor="text" w:hAnchor="text" w:xAlign="center" w:y="1"/>
              <w:rPr>
                <w:sz w:val="18"/>
                <w:lang w:val="en-US"/>
              </w:rPr>
            </w:pPr>
            <w:r>
              <w:rPr>
                <w:sz w:val="18"/>
                <w:lang w:val="en-US"/>
              </w:rPr>
              <w:t>LEO-5 (35</w:t>
            </w:r>
            <w:r>
              <w:rPr>
                <w:rFonts w:ascii="Tms Rmn" w:hAnsi="Tms Rmn"/>
                <w:sz w:val="12"/>
                <w:lang w:val="en-US"/>
              </w:rPr>
              <w:t> </w:t>
            </w:r>
            <w:r>
              <w:rPr>
                <w:sz w:val="18"/>
                <w:lang w:val="en-US"/>
              </w:rPr>
              <w:t>900 km)</w:t>
            </w:r>
          </w:p>
        </w:tc>
        <w:tc>
          <w:tcPr>
            <w:tcW w:w="2173" w:type="dxa"/>
            <w:gridSpan w:val="2"/>
            <w:vMerge w:val="restart"/>
          </w:tcPr>
          <w:p w:rsidR="00B9359B" w:rsidRDefault="00B9359B">
            <w:pPr>
              <w:pStyle w:val="Tablehead"/>
              <w:framePr w:hSpace="181" w:wrap="notBeside" w:vAnchor="text" w:hAnchor="text" w:xAlign="center" w:y="1"/>
              <w:rPr>
                <w:sz w:val="18"/>
                <w:lang w:val="en-US"/>
              </w:rPr>
            </w:pPr>
          </w:p>
        </w:tc>
      </w:tr>
      <w:tr w:rsidR="00B9359B">
        <w:trPr>
          <w:cantSplit/>
        </w:trPr>
        <w:tc>
          <w:tcPr>
            <w:tcW w:w="3294" w:type="dxa"/>
            <w:vMerge/>
          </w:tcPr>
          <w:p w:rsidR="00B9359B" w:rsidRDefault="00B9359B">
            <w:pPr>
              <w:pStyle w:val="Tabletext"/>
              <w:framePr w:hSpace="181" w:wrap="notBeside" w:vAnchor="text" w:hAnchor="text" w:xAlign="center" w:y="1"/>
              <w:spacing w:before="80" w:after="80"/>
              <w:jc w:val="left"/>
              <w:rPr>
                <w:sz w:val="18"/>
                <w:lang w:val="en-US"/>
              </w:rPr>
            </w:pPr>
          </w:p>
        </w:tc>
        <w:tc>
          <w:tcPr>
            <w:tcW w:w="974" w:type="dxa"/>
          </w:tcPr>
          <w:p w:rsidR="00B9359B" w:rsidRDefault="009A5268">
            <w:pPr>
              <w:pStyle w:val="Tablehead"/>
              <w:framePr w:hSpace="181" w:wrap="notBeside" w:vAnchor="text" w:hAnchor="text" w:xAlign="center" w:y="1"/>
              <w:rPr>
                <w:sz w:val="18"/>
                <w:lang w:val="en-US"/>
              </w:rPr>
            </w:pPr>
            <w:r>
              <w:rPr>
                <w:sz w:val="18"/>
                <w:lang w:val="en-US"/>
              </w:rPr>
              <w:t>Sounding</w:t>
            </w:r>
          </w:p>
        </w:tc>
        <w:tc>
          <w:tcPr>
            <w:tcW w:w="1112" w:type="dxa"/>
          </w:tcPr>
          <w:p w:rsidR="00B9359B" w:rsidRDefault="009A5268">
            <w:pPr>
              <w:pStyle w:val="Tablehead"/>
              <w:framePr w:hSpace="181" w:wrap="notBeside" w:vAnchor="text" w:hAnchor="text" w:xAlign="center" w:y="1"/>
              <w:rPr>
                <w:sz w:val="18"/>
                <w:lang w:val="en-US"/>
              </w:rPr>
            </w:pPr>
            <w:r>
              <w:rPr>
                <w:sz w:val="18"/>
                <w:lang w:val="en-US"/>
              </w:rPr>
              <w:t>Calibration</w:t>
            </w:r>
          </w:p>
        </w:tc>
        <w:tc>
          <w:tcPr>
            <w:tcW w:w="974" w:type="dxa"/>
          </w:tcPr>
          <w:p w:rsidR="00B9359B" w:rsidRDefault="009A5268">
            <w:pPr>
              <w:pStyle w:val="Tablehead"/>
              <w:framePr w:hSpace="181" w:wrap="notBeside" w:vAnchor="text" w:hAnchor="text" w:xAlign="center" w:y="1"/>
              <w:rPr>
                <w:sz w:val="18"/>
                <w:lang w:val="en-US"/>
              </w:rPr>
            </w:pPr>
            <w:r>
              <w:rPr>
                <w:sz w:val="18"/>
                <w:lang w:val="en-US"/>
              </w:rPr>
              <w:t>Sounding</w:t>
            </w:r>
          </w:p>
        </w:tc>
        <w:tc>
          <w:tcPr>
            <w:tcW w:w="1112" w:type="dxa"/>
          </w:tcPr>
          <w:p w:rsidR="00B9359B" w:rsidRDefault="009A5268">
            <w:pPr>
              <w:pStyle w:val="Tablehead"/>
              <w:framePr w:hSpace="181" w:wrap="notBeside" w:vAnchor="text" w:hAnchor="text" w:xAlign="center" w:y="1"/>
              <w:rPr>
                <w:sz w:val="18"/>
                <w:lang w:val="en-US"/>
              </w:rPr>
            </w:pPr>
            <w:r>
              <w:rPr>
                <w:sz w:val="18"/>
                <w:lang w:val="en-US"/>
              </w:rPr>
              <w:t>Calibration</w:t>
            </w:r>
          </w:p>
        </w:tc>
        <w:tc>
          <w:tcPr>
            <w:tcW w:w="2173" w:type="dxa"/>
            <w:gridSpan w:val="2"/>
            <w:vMerge/>
          </w:tcPr>
          <w:p w:rsidR="00B9359B" w:rsidRDefault="00B9359B">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80" w:after="80"/>
              <w:rPr>
                <w:sz w:val="18"/>
                <w:lang w:val="en-US"/>
              </w:rPr>
            </w:pPr>
          </w:p>
        </w:tc>
      </w:tr>
      <w:tr w:rsidR="00B9359B">
        <w:trPr>
          <w:cantSplit/>
        </w:trPr>
        <w:tc>
          <w:tcPr>
            <w:tcW w:w="3294" w:type="dxa"/>
          </w:tcPr>
          <w:p w:rsidR="00B9359B" w:rsidRDefault="009A5268">
            <w:pPr>
              <w:pStyle w:val="Tabletext"/>
              <w:framePr w:hSpace="181" w:wrap="notBeside" w:vAnchor="text" w:hAnchor="text" w:xAlign="center" w:y="1"/>
              <w:jc w:val="left"/>
              <w:rPr>
                <w:sz w:val="18"/>
                <w:lang w:val="en-US"/>
              </w:rPr>
            </w:pPr>
            <w:r>
              <w:rPr>
                <w:sz w:val="18"/>
                <w:lang w:val="en-US"/>
              </w:rPr>
              <w:t>Angular distance (degrees)</w:t>
            </w:r>
            <w:r>
              <w:rPr>
                <w:sz w:val="18"/>
                <w:lang w:val="en-US"/>
              </w:rPr>
              <w:br/>
              <w:t>Distance (km)</w:t>
            </w:r>
            <w:r>
              <w:rPr>
                <w:sz w:val="18"/>
                <w:lang w:val="en-US"/>
              </w:rPr>
              <w:br/>
              <w:t>Path-loss (dB)</w:t>
            </w:r>
            <w:r>
              <w:rPr>
                <w:sz w:val="18"/>
                <w:lang w:val="en-US"/>
              </w:rPr>
              <w:br/>
              <w:t>Sensor antenna gain (dBi)</w:t>
            </w:r>
            <w:r>
              <w:rPr>
                <w:sz w:val="18"/>
                <w:lang w:val="en-US"/>
              </w:rPr>
              <w:br/>
              <w:t>ISS antenna gain (dBi)</w:t>
            </w:r>
            <w:r>
              <w:rPr>
                <w:sz w:val="18"/>
                <w:lang w:val="en-US"/>
              </w:rPr>
              <w:br/>
              <w:t>ISS Tx power (dB(W/100 MHz))</w:t>
            </w:r>
            <w:r>
              <w:rPr>
                <w:sz w:val="18"/>
                <w:lang w:val="en-US"/>
              </w:rPr>
              <w:br/>
              <w:t>Received power (dB(W/100 MHz))</w:t>
            </w:r>
          </w:p>
        </w:tc>
        <w:tc>
          <w:tcPr>
            <w:tcW w:w="974"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sz w:val="18"/>
                <w:lang w:val="en-US"/>
              </w:rPr>
            </w:pPr>
            <w:r>
              <w:rPr>
                <w:sz w:val="18"/>
                <w:lang w:val="en-US"/>
              </w:rPr>
              <w:t>2.40</w:t>
            </w:r>
            <w:r>
              <w:rPr>
                <w:sz w:val="18"/>
                <w:lang w:val="en-US"/>
              </w:rPr>
              <w:br/>
              <w:t>340.67</w:t>
            </w:r>
            <w:r>
              <w:rPr>
                <w:sz w:val="18"/>
                <w:lang w:val="en-US"/>
              </w:rPr>
              <w:br/>
              <w:t>–170.62</w:t>
            </w:r>
            <w:r>
              <w:rPr>
                <w:sz w:val="18"/>
                <w:lang w:val="en-US"/>
              </w:rPr>
              <w:br/>
              <w:t>–12.33</w:t>
            </w:r>
            <w:r>
              <w:rPr>
                <w:sz w:val="18"/>
                <w:lang w:val="en-US"/>
              </w:rPr>
              <w:br/>
              <w:t>38.31</w:t>
            </w:r>
            <w:r>
              <w:rPr>
                <w:sz w:val="18"/>
                <w:lang w:val="en-US"/>
              </w:rPr>
              <w:br/>
              <w:t>0.50</w:t>
            </w:r>
            <w:r>
              <w:rPr>
                <w:sz w:val="18"/>
                <w:lang w:val="en-US"/>
              </w:rPr>
              <w:br/>
              <w:t>–144.14</w:t>
            </w:r>
          </w:p>
        </w:tc>
        <w:tc>
          <w:tcPr>
            <w:tcW w:w="1112"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lang w:val="en-US"/>
              </w:rPr>
            </w:pPr>
            <w:r>
              <w:rPr>
                <w:sz w:val="18"/>
                <w:lang w:val="en-US"/>
              </w:rPr>
              <w:t>2.40</w:t>
            </w:r>
            <w:r>
              <w:rPr>
                <w:sz w:val="18"/>
                <w:lang w:val="en-US"/>
              </w:rPr>
              <w:br/>
              <w:t>340.67</w:t>
            </w:r>
            <w:r>
              <w:rPr>
                <w:sz w:val="18"/>
                <w:lang w:val="en-US"/>
              </w:rPr>
              <w:br/>
              <w:t>–170.62</w:t>
            </w:r>
            <w:r>
              <w:rPr>
                <w:sz w:val="18"/>
                <w:lang w:val="en-US"/>
              </w:rPr>
              <w:br/>
              <w:t>–5.43</w:t>
            </w:r>
            <w:r>
              <w:rPr>
                <w:sz w:val="18"/>
                <w:lang w:val="en-US"/>
              </w:rPr>
              <w:br/>
              <w:t>38.31</w:t>
            </w:r>
            <w:r>
              <w:rPr>
                <w:sz w:val="18"/>
                <w:lang w:val="en-US"/>
              </w:rPr>
              <w:br/>
              <w:t>0.50</w:t>
            </w:r>
            <w:r>
              <w:rPr>
                <w:sz w:val="18"/>
                <w:lang w:val="en-US"/>
              </w:rPr>
              <w:br/>
              <w:t>–137.24</w:t>
            </w:r>
          </w:p>
        </w:tc>
        <w:tc>
          <w:tcPr>
            <w:tcW w:w="974"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7"/>
              </w:tabs>
              <w:rPr>
                <w:sz w:val="18"/>
                <w:lang w:val="en-US"/>
              </w:rPr>
            </w:pPr>
            <w:r>
              <w:rPr>
                <w:sz w:val="18"/>
                <w:lang w:val="en-US"/>
              </w:rPr>
              <w:t>87.10</w:t>
            </w:r>
            <w:r>
              <w:rPr>
                <w:sz w:val="18"/>
                <w:lang w:val="en-US"/>
              </w:rPr>
              <w:br/>
              <w:t>42</w:t>
            </w:r>
            <w:r>
              <w:rPr>
                <w:rFonts w:ascii="Tms Rmn" w:hAnsi="Tms Rmn"/>
                <w:sz w:val="12"/>
                <w:lang w:val="en-US"/>
              </w:rPr>
              <w:t> </w:t>
            </w:r>
            <w:r>
              <w:rPr>
                <w:sz w:val="18"/>
                <w:lang w:val="en-US"/>
              </w:rPr>
              <w:t>529.43</w:t>
            </w:r>
            <w:r>
              <w:rPr>
                <w:sz w:val="18"/>
                <w:lang w:val="en-US"/>
              </w:rPr>
              <w:br/>
              <w:t>–212.55</w:t>
            </w:r>
            <w:r>
              <w:rPr>
                <w:sz w:val="18"/>
                <w:lang w:val="en-US"/>
              </w:rPr>
              <w:br/>
              <w:t>–12.33</w:t>
            </w:r>
            <w:r>
              <w:rPr>
                <w:sz w:val="18"/>
                <w:lang w:val="en-US"/>
              </w:rPr>
              <w:br/>
              <w:t>46.13</w:t>
            </w:r>
            <w:r>
              <w:rPr>
                <w:sz w:val="18"/>
                <w:lang w:val="en-US"/>
              </w:rPr>
              <w:br/>
              <w:t>0.50</w:t>
            </w:r>
            <w:r>
              <w:rPr>
                <w:sz w:val="18"/>
                <w:lang w:val="en-US"/>
              </w:rPr>
              <w:br/>
              <w:t>–178.25</w:t>
            </w:r>
          </w:p>
        </w:tc>
        <w:tc>
          <w:tcPr>
            <w:tcW w:w="1112"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7"/>
              </w:tabs>
              <w:rPr>
                <w:sz w:val="18"/>
                <w:lang w:val="en-US"/>
              </w:rPr>
            </w:pPr>
            <w:r>
              <w:rPr>
                <w:sz w:val="18"/>
                <w:lang w:val="en-US"/>
              </w:rPr>
              <w:t>87.10</w:t>
            </w:r>
            <w:r>
              <w:rPr>
                <w:sz w:val="18"/>
                <w:lang w:val="en-US"/>
              </w:rPr>
              <w:br/>
              <w:t>42</w:t>
            </w:r>
            <w:r>
              <w:rPr>
                <w:rFonts w:ascii="Tms Rmn" w:hAnsi="Tms Rmn"/>
                <w:sz w:val="12"/>
                <w:lang w:val="en-US"/>
              </w:rPr>
              <w:t> </w:t>
            </w:r>
            <w:r>
              <w:rPr>
                <w:sz w:val="18"/>
                <w:lang w:val="en-US"/>
              </w:rPr>
              <w:t>529.43</w:t>
            </w:r>
            <w:r>
              <w:rPr>
                <w:sz w:val="18"/>
                <w:lang w:val="en-US"/>
              </w:rPr>
              <w:br/>
              <w:t>–212.55</w:t>
            </w:r>
            <w:r>
              <w:rPr>
                <w:sz w:val="18"/>
                <w:lang w:val="en-US"/>
              </w:rPr>
              <w:br/>
              <w:t>34.98</w:t>
            </w:r>
            <w:r>
              <w:rPr>
                <w:sz w:val="18"/>
                <w:lang w:val="en-US"/>
              </w:rPr>
              <w:br/>
              <w:t>46.13</w:t>
            </w:r>
            <w:r>
              <w:rPr>
                <w:sz w:val="18"/>
                <w:lang w:val="en-US"/>
              </w:rPr>
              <w:br/>
              <w:t>0.50</w:t>
            </w:r>
            <w:r>
              <w:rPr>
                <w:sz w:val="18"/>
                <w:lang w:val="en-US"/>
              </w:rPr>
              <w:br/>
              <w:t>–130.94</w:t>
            </w:r>
          </w:p>
        </w:tc>
        <w:tc>
          <w:tcPr>
            <w:tcW w:w="2173" w:type="dxa"/>
            <w:gridSpan w:val="2"/>
            <w:vMerge/>
          </w:tcPr>
          <w:p w:rsidR="00B9359B" w:rsidRDefault="00B9359B">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80" w:after="80"/>
              <w:rPr>
                <w:sz w:val="18"/>
                <w:lang w:val="en-US"/>
              </w:rPr>
            </w:pPr>
          </w:p>
        </w:tc>
      </w:tr>
      <w:tr w:rsidR="00B9359B">
        <w:trPr>
          <w:cantSplit/>
        </w:trPr>
        <w:tc>
          <w:tcPr>
            <w:tcW w:w="3294" w:type="dxa"/>
          </w:tcPr>
          <w:p w:rsidR="00B9359B" w:rsidRDefault="009A5268">
            <w:pPr>
              <w:pStyle w:val="Tabletext"/>
              <w:framePr w:hSpace="181" w:wrap="notBeside" w:vAnchor="text" w:hAnchor="text" w:xAlign="center" w:y="1"/>
              <w:jc w:val="left"/>
              <w:rPr>
                <w:sz w:val="18"/>
                <w:lang w:val="en-US"/>
              </w:rPr>
            </w:pPr>
            <w:r>
              <w:rPr>
                <w:sz w:val="18"/>
                <w:lang w:val="en-US"/>
              </w:rPr>
              <w:t xml:space="preserve">Margin/threshold </w:t>
            </w:r>
            <w:r>
              <w:rPr>
                <w:i/>
                <w:iCs/>
                <w:sz w:val="18"/>
                <w:lang w:val="en-US"/>
              </w:rPr>
              <w:t>B</w:t>
            </w:r>
            <w:r>
              <w:rPr>
                <w:i/>
                <w:iCs/>
                <w:sz w:val="18"/>
                <w:vertAlign w:val="subscript"/>
                <w:lang w:val="en-US"/>
              </w:rPr>
              <w:t>N</w:t>
            </w:r>
            <w:r>
              <w:rPr>
                <w:sz w:val="18"/>
                <w:lang w:val="en-US"/>
              </w:rPr>
              <w:t xml:space="preserve"> </w:t>
            </w:r>
            <w:r>
              <w:rPr>
                <w:rFonts w:ascii="Symbol" w:hAnsi="Symbol"/>
                <w:sz w:val="18"/>
              </w:rPr>
              <w:t></w:t>
            </w:r>
            <w:r>
              <w:rPr>
                <w:sz w:val="18"/>
                <w:lang w:val="en-US"/>
              </w:rPr>
              <w:t xml:space="preserve"> 200/100 MHz (dB)</w:t>
            </w:r>
          </w:p>
        </w:tc>
        <w:tc>
          <w:tcPr>
            <w:tcW w:w="974"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sz w:val="18"/>
                <w:lang w:val="en-US"/>
              </w:rPr>
            </w:pPr>
            <w:r>
              <w:rPr>
                <w:sz w:val="18"/>
                <w:lang w:val="en-US"/>
              </w:rPr>
              <w:t>–18.86</w:t>
            </w:r>
          </w:p>
        </w:tc>
        <w:tc>
          <w:tcPr>
            <w:tcW w:w="1112"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lang w:val="en-US"/>
              </w:rPr>
            </w:pPr>
            <w:r>
              <w:rPr>
                <w:sz w:val="18"/>
                <w:lang w:val="en-US"/>
              </w:rPr>
              <w:t>–25.76</w:t>
            </w:r>
          </w:p>
        </w:tc>
        <w:tc>
          <w:tcPr>
            <w:tcW w:w="974"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7"/>
              </w:tabs>
              <w:rPr>
                <w:sz w:val="18"/>
                <w:lang w:val="en-US"/>
              </w:rPr>
            </w:pPr>
            <w:r>
              <w:rPr>
                <w:sz w:val="18"/>
                <w:lang w:val="en-US"/>
              </w:rPr>
              <w:t>15.25</w:t>
            </w:r>
          </w:p>
        </w:tc>
        <w:tc>
          <w:tcPr>
            <w:tcW w:w="1112"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7"/>
              </w:tabs>
              <w:rPr>
                <w:sz w:val="18"/>
                <w:lang w:val="en-US"/>
              </w:rPr>
            </w:pPr>
            <w:r>
              <w:rPr>
                <w:sz w:val="18"/>
                <w:lang w:val="en-US"/>
              </w:rPr>
              <w:t>–32.06</w:t>
            </w:r>
          </w:p>
        </w:tc>
        <w:tc>
          <w:tcPr>
            <w:tcW w:w="2173" w:type="dxa"/>
            <w:gridSpan w:val="2"/>
            <w:vMerge/>
          </w:tcPr>
          <w:p w:rsidR="00B9359B" w:rsidRDefault="00B9359B">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80" w:after="80"/>
              <w:rPr>
                <w:sz w:val="18"/>
                <w:lang w:val="en-US"/>
              </w:rPr>
            </w:pPr>
          </w:p>
        </w:tc>
      </w:tr>
      <w:tr w:rsidR="00B9359B">
        <w:trPr>
          <w:cantSplit/>
        </w:trPr>
        <w:tc>
          <w:tcPr>
            <w:tcW w:w="3294" w:type="dxa"/>
          </w:tcPr>
          <w:p w:rsidR="00B9359B" w:rsidRDefault="009A5268">
            <w:pPr>
              <w:pStyle w:val="Tabletext"/>
              <w:framePr w:hSpace="181" w:wrap="notBeside" w:vAnchor="text" w:hAnchor="text" w:xAlign="center" w:y="1"/>
              <w:jc w:val="left"/>
              <w:rPr>
                <w:sz w:val="18"/>
                <w:lang w:val="en-US"/>
              </w:rPr>
            </w:pPr>
            <w:r>
              <w:rPr>
                <w:sz w:val="18"/>
                <w:lang w:val="en-US"/>
              </w:rPr>
              <w:t xml:space="preserve">Margin/threshold </w:t>
            </w:r>
            <w:r>
              <w:rPr>
                <w:i/>
                <w:iCs/>
                <w:sz w:val="18"/>
                <w:lang w:val="en-US"/>
              </w:rPr>
              <w:t>B</w:t>
            </w:r>
            <w:r>
              <w:rPr>
                <w:i/>
                <w:iCs/>
                <w:sz w:val="18"/>
                <w:vertAlign w:val="subscript"/>
                <w:lang w:val="en-US"/>
              </w:rPr>
              <w:t>N</w:t>
            </w:r>
            <w:r>
              <w:rPr>
                <w:sz w:val="18"/>
                <w:lang w:val="en-US"/>
              </w:rPr>
              <w:t xml:space="preserve"> </w:t>
            </w:r>
            <w:r>
              <w:rPr>
                <w:rFonts w:ascii="Symbol" w:hAnsi="Symbol"/>
                <w:sz w:val="18"/>
              </w:rPr>
              <w:t></w:t>
            </w:r>
            <w:r>
              <w:rPr>
                <w:sz w:val="18"/>
                <w:lang w:val="en-US"/>
              </w:rPr>
              <w:t xml:space="preserve"> 50 MHz (dB)</w:t>
            </w:r>
          </w:p>
        </w:tc>
        <w:tc>
          <w:tcPr>
            <w:tcW w:w="974"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sz w:val="18"/>
                <w:lang w:val="en-US"/>
              </w:rPr>
            </w:pPr>
            <w:r>
              <w:rPr>
                <w:sz w:val="18"/>
                <w:lang w:val="en-US"/>
              </w:rPr>
              <w:t>–15.86</w:t>
            </w:r>
          </w:p>
        </w:tc>
        <w:tc>
          <w:tcPr>
            <w:tcW w:w="1112"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lang w:val="en-US"/>
              </w:rPr>
            </w:pPr>
            <w:r>
              <w:rPr>
                <w:sz w:val="18"/>
                <w:lang w:val="en-US"/>
              </w:rPr>
              <w:t>–22.76</w:t>
            </w:r>
          </w:p>
        </w:tc>
        <w:tc>
          <w:tcPr>
            <w:tcW w:w="974"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7"/>
              </w:tabs>
              <w:rPr>
                <w:sz w:val="18"/>
                <w:lang w:val="en-US"/>
              </w:rPr>
            </w:pPr>
            <w:r>
              <w:rPr>
                <w:sz w:val="18"/>
                <w:lang w:val="en-US"/>
              </w:rPr>
              <w:t>18.25</w:t>
            </w:r>
          </w:p>
        </w:tc>
        <w:tc>
          <w:tcPr>
            <w:tcW w:w="1112"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7"/>
              </w:tabs>
              <w:rPr>
                <w:sz w:val="18"/>
                <w:lang w:val="en-US"/>
              </w:rPr>
            </w:pPr>
            <w:r>
              <w:rPr>
                <w:sz w:val="18"/>
                <w:lang w:val="en-US"/>
              </w:rPr>
              <w:t>–29.06</w:t>
            </w:r>
          </w:p>
        </w:tc>
        <w:tc>
          <w:tcPr>
            <w:tcW w:w="2173" w:type="dxa"/>
            <w:gridSpan w:val="2"/>
            <w:vMerge/>
          </w:tcPr>
          <w:p w:rsidR="00B9359B" w:rsidRDefault="00B9359B">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80" w:after="80"/>
              <w:rPr>
                <w:sz w:val="18"/>
                <w:lang w:val="en-US"/>
              </w:rPr>
            </w:pPr>
          </w:p>
        </w:tc>
      </w:tr>
    </w:tbl>
    <w:p w:rsidR="00B9359B" w:rsidRDefault="00B9359B">
      <w:pPr>
        <w:pStyle w:val="Tablefin"/>
      </w:pPr>
    </w:p>
    <w:p w:rsidR="00B9359B" w:rsidRDefault="009A5268">
      <w:pPr>
        <w:rPr>
          <w:lang w:val="en-US"/>
        </w:rPr>
      </w:pPr>
      <w:r>
        <w:rPr>
          <w:lang w:val="en-US"/>
        </w:rPr>
        <w:t>For the cold space calibration mode, interference threshold is significantly exceeded over a wide range of geocentric distances. The cold space calibration mode is more vulnerable to emissions from ISS systems due to the specific orientation of the dedicated calibration antenna, in the direction of ISS orbits. Note that if calibration is contaminated by interference, the data acquired are also totally invalidated.</w:t>
      </w:r>
    </w:p>
    <w:p w:rsidR="00B9359B" w:rsidRDefault="009A5268">
      <w:pPr>
        <w:spacing w:after="120"/>
        <w:rPr>
          <w:lang w:val="en-US"/>
        </w:rPr>
      </w:pPr>
      <w:r>
        <w:rPr>
          <w:lang w:val="en-US"/>
        </w:rPr>
        <w:t>Interference produced by the GSO system depends strongly on the length of the link and on the orientation of the ISS antenna. Under the hypothesis adopted, there is no interference if the centre of the link is at an altitude higher than 8</w:t>
      </w:r>
      <w:r>
        <w:rPr>
          <w:rFonts w:ascii="Tms Rmn" w:hAnsi="Tms Rmn"/>
          <w:sz w:val="12"/>
          <w:lang w:val="en-US"/>
        </w:rPr>
        <w:t> </w:t>
      </w:r>
      <w:r>
        <w:rPr>
          <w:lang w:val="en-US"/>
        </w:rPr>
        <w:t>000 km above the Earth’s surface.</w:t>
      </w:r>
    </w:p>
    <w:p w:rsidR="00B9359B" w:rsidRDefault="009A5268">
      <w:pPr>
        <w:spacing w:after="120"/>
        <w:rPr>
          <w:lang w:val="en-US"/>
        </w:rPr>
      </w:pPr>
      <w:r>
        <w:rPr>
          <w:lang w:val="en-US"/>
        </w:rPr>
        <w:t>It must be emphasized that depending on the orbit of the ISS, the geometric conditions which generate interference may be met during a considerable time. Clearly a dynamic simulation will be necessary to evaluate the relative importance of interfering configurations over a certain period of time.</w:t>
      </w:r>
    </w:p>
    <w:p w:rsidR="00B9359B" w:rsidRDefault="009A5268">
      <w:pPr>
        <w:pStyle w:val="Heading2"/>
        <w:rPr>
          <w:lang w:val="en-US"/>
        </w:rPr>
      </w:pPr>
      <w:bookmarkStart w:id="379" w:name="_Toc51045779"/>
      <w:r>
        <w:rPr>
          <w:lang w:val="en-US"/>
        </w:rPr>
        <w:br w:type="page"/>
        <w:t>4.4</w:t>
      </w:r>
      <w:r>
        <w:rPr>
          <w:lang w:val="en-US"/>
        </w:rPr>
        <w:tab/>
        <w:t>Dynamic interference analysis</w:t>
      </w:r>
      <w:bookmarkEnd w:id="379"/>
    </w:p>
    <w:p w:rsidR="00B9359B" w:rsidRDefault="009A5268">
      <w:pPr>
        <w:rPr>
          <w:noProof/>
          <w:lang w:val="en-US"/>
        </w:rPr>
      </w:pPr>
      <w:r>
        <w:rPr>
          <w:noProof/>
          <w:lang w:val="en-US"/>
        </w:rPr>
        <w:t xml:space="preserve">In addition to the above static and semi-static cases, a dynamic analysis is necessary in order to take into consideration the percentage of time when the interference occurs. As indicated above, the threshold of </w:t>
      </w:r>
      <w:r>
        <w:rPr>
          <w:noProof/>
        </w:rPr>
        <w:sym w:font="Symbol" w:char="F02D"/>
      </w:r>
      <w:r>
        <w:rPr>
          <w:noProof/>
          <w:lang w:val="en-US"/>
        </w:rPr>
        <w:t>163 dBW must not be exceeded no more than 0.01% of time in a bandwidth of 100 MHz.</w:t>
      </w:r>
    </w:p>
    <w:p w:rsidR="00B9359B" w:rsidRDefault="009A5268">
      <w:pPr>
        <w:rPr>
          <w:noProof/>
          <w:lang w:val="en-US"/>
        </w:rPr>
      </w:pPr>
      <w:r>
        <w:rPr>
          <w:noProof/>
          <w:lang w:val="en-US"/>
        </w:rPr>
        <w:t>Simulations were conducted to determine the probability of interference using a time increment (sampling) of 5 s in order to get accurate results. Simulations stopped when the cumulative distribution function becomes stable. Furthermore, it has to be noted that all these simulations presented hereunder only deal with the nadir sounder “push-broom” satellite, because the above static and semi-static cases have shown that it is the worst case.</w:t>
      </w:r>
    </w:p>
    <w:p w:rsidR="00B9359B" w:rsidRDefault="009A5268">
      <w:pPr>
        <w:pStyle w:val="Heading3"/>
        <w:rPr>
          <w:lang w:val="en-US"/>
        </w:rPr>
      </w:pPr>
      <w:bookmarkStart w:id="380" w:name="_Toc51045780"/>
      <w:r>
        <w:rPr>
          <w:lang w:val="en-US"/>
        </w:rPr>
        <w:t>4.4.1</w:t>
      </w:r>
      <w:r>
        <w:rPr>
          <w:lang w:val="en-US"/>
        </w:rPr>
        <w:tab/>
        <w:t>Modelling of the push-broom antenna</w:t>
      </w:r>
      <w:bookmarkEnd w:id="380"/>
    </w:p>
    <w:p w:rsidR="00B9359B" w:rsidRDefault="009A5268">
      <w:pPr>
        <w:rPr>
          <w:lang w:val="en-US"/>
        </w:rPr>
      </w:pPr>
      <w:r>
        <w:rPr>
          <w:lang w:val="en-US"/>
        </w:rPr>
        <w:t xml:space="preserve">As explained above, the push-broom antenna is able to see a whole line of pixels located around the nadir at </w:t>
      </w:r>
      <w:r>
        <w:rPr>
          <w:rFonts w:ascii="Symbol" w:hAnsi="Symbol"/>
        </w:rPr>
        <w:sym w:font="Symbol" w:char="F0B1"/>
      </w:r>
      <w:r>
        <w:rPr>
          <w:lang w:val="en-US"/>
        </w:rPr>
        <w:t> 50</w:t>
      </w:r>
      <w:r>
        <w:rPr>
          <w:rFonts w:ascii="Symbol" w:hAnsi="Symbol"/>
          <w:lang w:val="en-US"/>
        </w:rPr>
        <w:t></w:t>
      </w:r>
      <w:r>
        <w:rPr>
          <w:lang w:val="en-US"/>
        </w:rPr>
        <w:t xml:space="preserve"> for the azimuth, and in </w:t>
      </w:r>
      <w:r>
        <w:rPr>
          <w:rFonts w:ascii="Symbol" w:hAnsi="Symbol"/>
        </w:rPr>
        <w:sym w:font="Symbol" w:char="F0B1"/>
      </w:r>
      <w:r>
        <w:rPr>
          <w:lang w:val="en-US"/>
        </w:rPr>
        <w:t> 0.55</w:t>
      </w:r>
      <w:r>
        <w:rPr>
          <w:rFonts w:ascii="Symbol" w:hAnsi="Symbol"/>
          <w:lang w:val="en-US"/>
        </w:rPr>
        <w:t></w:t>
      </w:r>
      <w:r>
        <w:rPr>
          <w:lang w:val="en-US"/>
        </w:rPr>
        <w:t xml:space="preserve"> for the elevation. The maximum antenna gain is 45 dBi, and as usual for radiometer antennas, there is a steep decrease to the side lobe level of </w:t>
      </w:r>
      <w:r>
        <w:rPr>
          <w:rFonts w:ascii="Symbol" w:hAnsi="Symbol"/>
          <w:lang w:val="en-US"/>
        </w:rPr>
        <w:noBreakHyphen/>
      </w:r>
      <w:r>
        <w:rPr>
          <w:lang w:val="en-US"/>
        </w:rPr>
        <w:t>12 dBi. Figure 39 shows the antenna pattern according to the azimuth off</w:t>
      </w:r>
      <w:r>
        <w:rPr>
          <w:lang w:val="en-US"/>
        </w:rPr>
        <w:noBreakHyphen/>
        <w:t>axis angle.</w:t>
      </w:r>
    </w:p>
    <w:p w:rsidR="00B9359B" w:rsidRDefault="009A5268">
      <w:pPr>
        <w:pStyle w:val="FigureNo"/>
      </w:pPr>
      <w:r>
        <w:object w:dxaOrig="4825" w:dyaOrig="2943">
          <v:shape id="_x0000_i1075" type="#_x0000_t75" style="width:241.25pt;height:147.2pt" o:ole="">
            <v:imagedata r:id="rId86" o:title=""/>
          </v:shape>
          <o:OLEObject Type="Embed" ProgID="Designer.Drawing.7" ShapeID="_x0000_i1075" DrawAspect="Content" ObjectID="_1629894582" r:id="rId87"/>
        </w:object>
      </w:r>
    </w:p>
    <w:p w:rsidR="00B9359B" w:rsidRDefault="009A5268">
      <w:pPr>
        <w:pStyle w:val="Heading3"/>
        <w:rPr>
          <w:lang w:val="en-US"/>
        </w:rPr>
      </w:pPr>
      <w:bookmarkStart w:id="381" w:name="_Toc51045781"/>
      <w:r>
        <w:rPr>
          <w:lang w:val="en-US"/>
        </w:rPr>
        <w:t>4.4.2</w:t>
      </w:r>
      <w:r>
        <w:rPr>
          <w:lang w:val="en-US"/>
        </w:rPr>
        <w:tab/>
        <w:t>Dynamic calculations with Hib</w:t>
      </w:r>
      <w:r>
        <w:rPr>
          <w:lang w:val="en-US"/>
        </w:rPr>
        <w:noBreakHyphen/>
        <w:t>Leo 2 system</w:t>
      </w:r>
      <w:bookmarkEnd w:id="381"/>
    </w:p>
    <w:p w:rsidR="00B9359B" w:rsidRDefault="009A5268">
      <w:pPr>
        <w:rPr>
          <w:lang w:val="en-US"/>
        </w:rPr>
      </w:pPr>
      <w:r>
        <w:rPr>
          <w:lang w:val="en-US"/>
        </w:rPr>
        <w:t>The simulation which has been conducted, is based upon a simple assumption: each satellite tries to communicate with the nearest 4 within the constellation. The use of the full bandwidth is assumed, and the 8 links on each satellite are supposed to be in use (4 links to transmit and 4 links to receive).</w:t>
      </w:r>
    </w:p>
    <w:p w:rsidR="00B9359B" w:rsidRDefault="009A5268">
      <w:pPr>
        <w:pStyle w:val="TableNo"/>
        <w:rPr>
          <w:lang w:val="en-US"/>
        </w:rPr>
      </w:pPr>
      <w:r>
        <w:rPr>
          <w:lang w:val="en-US"/>
        </w:rPr>
        <w:t>TABLE  44</w:t>
      </w:r>
    </w:p>
    <w:p w:rsidR="00B9359B" w:rsidRDefault="009A5268">
      <w:pPr>
        <w:pStyle w:val="Tabletitle"/>
        <w:rPr>
          <w:lang w:val="en-US"/>
        </w:rPr>
      </w:pPr>
      <w:r>
        <w:rPr>
          <w:lang w:val="en-US"/>
        </w:rPr>
        <w:t>Dynamic analysis between the inter-satellite links of the non-GSO</w:t>
      </w:r>
      <w:r>
        <w:rPr>
          <w:lang w:val="en-US"/>
        </w:rPr>
        <w:br/>
        <w:t>system Hib</w:t>
      </w:r>
      <w:r>
        <w:rPr>
          <w:lang w:val="en-US"/>
        </w:rPr>
        <w:noBreakHyphen/>
        <w:t>Leo 2 and one EESS sensor push-broom type</w:t>
      </w:r>
    </w:p>
    <w:tbl>
      <w:tblPr>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130"/>
        <w:gridCol w:w="787"/>
        <w:gridCol w:w="787"/>
        <w:gridCol w:w="787"/>
        <w:gridCol w:w="787"/>
        <w:gridCol w:w="787"/>
        <w:gridCol w:w="787"/>
        <w:gridCol w:w="787"/>
      </w:tblGrid>
      <w:tr w:rsidR="00B9359B">
        <w:tc>
          <w:tcPr>
            <w:tcW w:w="4181" w:type="dxa"/>
            <w:vAlign w:val="center"/>
          </w:tcPr>
          <w:p w:rsidR="00B9359B" w:rsidRDefault="009A5268">
            <w:pPr>
              <w:pStyle w:val="Tabletext"/>
              <w:framePr w:hSpace="181" w:wrap="notBeside" w:vAnchor="text" w:hAnchor="text" w:xAlign="center" w:y="1"/>
              <w:spacing w:before="100" w:after="100"/>
              <w:rPr>
                <w:lang w:val="en-US"/>
              </w:rPr>
            </w:pPr>
            <w:r>
              <w:rPr>
                <w:lang w:val="en-US"/>
              </w:rPr>
              <w:t>Cumulative distribution (%)</w:t>
            </w:r>
          </w:p>
        </w:tc>
        <w:tc>
          <w:tcPr>
            <w:tcW w:w="794"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100</w:t>
            </w:r>
          </w:p>
        </w:tc>
        <w:tc>
          <w:tcPr>
            <w:tcW w:w="794"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23.2</w:t>
            </w:r>
          </w:p>
        </w:tc>
        <w:tc>
          <w:tcPr>
            <w:tcW w:w="794"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10</w:t>
            </w:r>
          </w:p>
        </w:tc>
        <w:tc>
          <w:tcPr>
            <w:tcW w:w="794"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1</w:t>
            </w:r>
          </w:p>
        </w:tc>
        <w:tc>
          <w:tcPr>
            <w:tcW w:w="794"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0.1</w:t>
            </w:r>
          </w:p>
        </w:tc>
        <w:tc>
          <w:tcPr>
            <w:tcW w:w="794"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0.01</w:t>
            </w:r>
          </w:p>
        </w:tc>
        <w:tc>
          <w:tcPr>
            <w:tcW w:w="794"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0.008</w:t>
            </w:r>
          </w:p>
        </w:tc>
      </w:tr>
      <w:tr w:rsidR="00B9359B">
        <w:tc>
          <w:tcPr>
            <w:tcW w:w="4181" w:type="dxa"/>
            <w:vAlign w:val="center"/>
          </w:tcPr>
          <w:p w:rsidR="00B9359B" w:rsidRDefault="009A5268">
            <w:pPr>
              <w:pStyle w:val="Tabletext"/>
              <w:framePr w:hSpace="181" w:wrap="notBeside" w:vAnchor="text" w:hAnchor="text" w:xAlign="center" w:y="1"/>
              <w:spacing w:before="100" w:after="100"/>
              <w:jc w:val="left"/>
              <w:rPr>
                <w:lang w:val="en-US"/>
              </w:rPr>
            </w:pPr>
            <w:r>
              <w:rPr>
                <w:lang w:val="en-US"/>
              </w:rPr>
              <w:t>Push-broom: corresponding interference power received by EESS (dBW)</w:t>
            </w:r>
            <w:r>
              <w:rPr>
                <w:lang w:val="en-US"/>
              </w:rPr>
              <w:br/>
              <w:t>(194 MHz bandwidth)</w:t>
            </w:r>
          </w:p>
        </w:tc>
        <w:tc>
          <w:tcPr>
            <w:tcW w:w="794" w:type="dxa"/>
            <w:vAlign w:val="center"/>
          </w:tcPr>
          <w:p w:rsidR="00B9359B" w:rsidRDefault="009A5268">
            <w:pPr>
              <w:pStyle w:val="Tabletext"/>
              <w:framePr w:hSpace="181" w:wrap="notBeside" w:vAnchor="text" w:hAnchor="text" w:xAlign="center" w:y="1"/>
              <w:spacing w:before="100" w:after="100"/>
              <w:jc w:val="center"/>
              <w:rPr>
                <w:lang w:val="en-US"/>
              </w:rPr>
            </w:pPr>
            <w:r>
              <w:sym w:font="Symbol" w:char="F02D"/>
            </w:r>
            <w:r>
              <w:rPr>
                <w:lang w:val="en-US"/>
              </w:rPr>
              <w:t>177</w:t>
            </w:r>
          </w:p>
        </w:tc>
        <w:tc>
          <w:tcPr>
            <w:tcW w:w="794" w:type="dxa"/>
            <w:vAlign w:val="center"/>
          </w:tcPr>
          <w:p w:rsidR="00B9359B" w:rsidRDefault="009A5268">
            <w:pPr>
              <w:pStyle w:val="Tabletext"/>
              <w:framePr w:hSpace="181" w:wrap="notBeside" w:vAnchor="text" w:hAnchor="text" w:xAlign="center" w:y="1"/>
              <w:spacing w:before="100" w:after="100"/>
              <w:jc w:val="center"/>
              <w:rPr>
                <w:lang w:val="en-US"/>
              </w:rPr>
            </w:pPr>
            <w:r>
              <w:sym w:font="Symbol" w:char="F02D"/>
            </w:r>
            <w:r>
              <w:rPr>
                <w:lang w:val="en-US"/>
              </w:rPr>
              <w:t>163</w:t>
            </w:r>
          </w:p>
        </w:tc>
        <w:tc>
          <w:tcPr>
            <w:tcW w:w="794" w:type="dxa"/>
            <w:vAlign w:val="center"/>
          </w:tcPr>
          <w:p w:rsidR="00B9359B" w:rsidRDefault="009A5268">
            <w:pPr>
              <w:pStyle w:val="Tabletext"/>
              <w:framePr w:hSpace="181" w:wrap="notBeside" w:vAnchor="text" w:hAnchor="text" w:xAlign="center" w:y="1"/>
              <w:spacing w:before="100" w:after="100"/>
              <w:jc w:val="center"/>
              <w:rPr>
                <w:lang w:val="en-US"/>
              </w:rPr>
            </w:pPr>
            <w:r>
              <w:sym w:font="Symbol" w:char="F02D"/>
            </w:r>
            <w:r>
              <w:rPr>
                <w:lang w:val="en-US"/>
              </w:rPr>
              <w:t>160</w:t>
            </w:r>
          </w:p>
        </w:tc>
        <w:tc>
          <w:tcPr>
            <w:tcW w:w="794" w:type="dxa"/>
            <w:vAlign w:val="center"/>
          </w:tcPr>
          <w:p w:rsidR="00B9359B" w:rsidRDefault="009A5268">
            <w:pPr>
              <w:pStyle w:val="Tabletext"/>
              <w:framePr w:hSpace="181" w:wrap="notBeside" w:vAnchor="text" w:hAnchor="text" w:xAlign="center" w:y="1"/>
              <w:spacing w:before="100" w:after="100"/>
              <w:jc w:val="center"/>
              <w:rPr>
                <w:lang w:val="en-US"/>
              </w:rPr>
            </w:pPr>
            <w:r>
              <w:sym w:font="Symbol" w:char="F02D"/>
            </w:r>
            <w:r>
              <w:rPr>
                <w:lang w:val="en-US"/>
              </w:rPr>
              <w:t>154</w:t>
            </w:r>
          </w:p>
        </w:tc>
        <w:tc>
          <w:tcPr>
            <w:tcW w:w="794" w:type="dxa"/>
            <w:vAlign w:val="center"/>
          </w:tcPr>
          <w:p w:rsidR="00B9359B" w:rsidRDefault="009A5268">
            <w:pPr>
              <w:pStyle w:val="Tabletext"/>
              <w:framePr w:hSpace="181" w:wrap="notBeside" w:vAnchor="text" w:hAnchor="text" w:xAlign="center" w:y="1"/>
              <w:spacing w:before="100" w:after="100"/>
              <w:jc w:val="center"/>
              <w:rPr>
                <w:lang w:val="en-US"/>
              </w:rPr>
            </w:pPr>
            <w:r>
              <w:sym w:font="Symbol" w:char="F02D"/>
            </w:r>
            <w:r>
              <w:rPr>
                <w:lang w:val="en-US"/>
              </w:rPr>
              <w:t>146</w:t>
            </w:r>
          </w:p>
        </w:tc>
        <w:tc>
          <w:tcPr>
            <w:tcW w:w="794" w:type="dxa"/>
            <w:vAlign w:val="center"/>
          </w:tcPr>
          <w:p w:rsidR="00B9359B" w:rsidRDefault="009A5268">
            <w:pPr>
              <w:pStyle w:val="Tabletext"/>
              <w:framePr w:hSpace="181" w:wrap="notBeside" w:vAnchor="text" w:hAnchor="text" w:xAlign="center" w:y="1"/>
              <w:spacing w:before="100" w:after="100"/>
              <w:jc w:val="center"/>
              <w:rPr>
                <w:lang w:val="en-US"/>
              </w:rPr>
            </w:pPr>
            <w:r>
              <w:sym w:font="Symbol" w:char="F02D"/>
            </w:r>
            <w:r>
              <w:rPr>
                <w:lang w:val="en-US"/>
              </w:rPr>
              <w:t>105</w:t>
            </w:r>
          </w:p>
        </w:tc>
        <w:tc>
          <w:tcPr>
            <w:tcW w:w="794" w:type="dxa"/>
            <w:vAlign w:val="center"/>
          </w:tcPr>
          <w:p w:rsidR="00B9359B" w:rsidRDefault="009A5268">
            <w:pPr>
              <w:pStyle w:val="Tabletext"/>
              <w:framePr w:hSpace="181" w:wrap="notBeside" w:vAnchor="text" w:hAnchor="text" w:xAlign="center" w:y="1"/>
              <w:spacing w:before="100" w:after="100"/>
              <w:jc w:val="center"/>
              <w:rPr>
                <w:lang w:val="en-US"/>
              </w:rPr>
            </w:pPr>
            <w:r>
              <w:sym w:font="Symbol" w:char="F02D"/>
            </w:r>
            <w:r>
              <w:rPr>
                <w:lang w:val="en-US"/>
              </w:rPr>
              <w:t>102</w:t>
            </w:r>
          </w:p>
        </w:tc>
      </w:tr>
    </w:tbl>
    <w:p w:rsidR="00B9359B" w:rsidRDefault="00B9359B">
      <w:pPr>
        <w:pStyle w:val="Tablefin"/>
        <w:spacing w:before="0"/>
      </w:pPr>
    </w:p>
    <w:p w:rsidR="00B9359B" w:rsidRDefault="009A5268">
      <w:pPr>
        <w:rPr>
          <w:lang w:val="en-US"/>
        </w:rPr>
      </w:pPr>
      <w:r>
        <w:rPr>
          <w:lang w:val="en-US"/>
        </w:rPr>
        <w:br w:type="page"/>
        <w:t>According to Table 44, there is a risk that the EESS satellite experiences interference when the inter-satellites links are in operation (or the percentage of data interfered is above the acceptable one). Taking into account the relative bandwidth, the required spectral attenuation is 55.1 dB for Hib</w:t>
      </w:r>
      <w:r>
        <w:rPr>
          <w:lang w:val="en-US"/>
        </w:rPr>
        <w:noBreakHyphen/>
        <w:t>Leo 2.</w:t>
      </w:r>
    </w:p>
    <w:p w:rsidR="00B9359B" w:rsidRDefault="009A5268">
      <w:pPr>
        <w:pStyle w:val="Heading2"/>
        <w:rPr>
          <w:lang w:val="en-US"/>
        </w:rPr>
      </w:pPr>
      <w:bookmarkStart w:id="382" w:name="_Toc51045782"/>
      <w:r>
        <w:rPr>
          <w:lang w:val="en-US"/>
        </w:rPr>
        <w:t>4.5</w:t>
      </w:r>
      <w:r>
        <w:rPr>
          <w:lang w:val="en-US"/>
        </w:rPr>
        <w:tab/>
        <w:t>Application of OoB mask to the ISS transmission</w:t>
      </w:r>
      <w:bookmarkEnd w:id="382"/>
    </w:p>
    <w:p w:rsidR="00B9359B" w:rsidRDefault="009A5268">
      <w:pPr>
        <w:rPr>
          <w:lang w:val="en-US"/>
        </w:rPr>
      </w:pPr>
      <w:r>
        <w:rPr>
          <w:lang w:val="en-US"/>
        </w:rPr>
        <w:t>Considering now that the ISS systems are transmitting in their own frequency band, the rejection of their transmitter power within the neighbouring EESS (passive) allocated band should be sufficient to avoid harmful interference, for instance 61 dB for the MEGHA-TROPIC sensor (see Table 39) and up to 35 dB for the push-broom sensor (see Table 41).</w:t>
      </w:r>
    </w:p>
    <w:p w:rsidR="00B9359B" w:rsidRDefault="009A5268">
      <w:pPr>
        <w:rPr>
          <w:lang w:val="en-US"/>
        </w:rPr>
      </w:pPr>
      <w:r>
        <w:rPr>
          <w:lang w:val="en-US"/>
        </w:rPr>
        <w:t>Figure 40 represents the power falling within the EESS allocation, depending on guardband. To cover the varying characteristics of the ISS emissions, the sliding integration is performed for three values of the passive band, expressed in terms of percentage of the ISS necessary bandwidth (1</w:t>
      </w:r>
      <w:r>
        <w:rPr>
          <w:rFonts w:ascii="Tms Rmn" w:hAnsi="Tms Rmn"/>
          <w:sz w:val="12"/>
          <w:lang w:val="en-US"/>
        </w:rPr>
        <w:t> </w:t>
      </w:r>
      <w:r>
        <w:rPr>
          <w:lang w:val="en-US"/>
        </w:rPr>
        <w:t>000%, 100% and 50%). There is only a minor difference between the three curves.</w:t>
      </w:r>
    </w:p>
    <w:p w:rsidR="00B9359B" w:rsidRDefault="009A5268">
      <w:pPr>
        <w:rPr>
          <w:lang w:val="en-US"/>
        </w:rPr>
      </w:pPr>
      <w:r>
        <w:rPr>
          <w:lang w:val="en-US"/>
        </w:rPr>
        <w:t>Note that, in Fig. 40, the frequency offset is taken from the centre of the necessary bandwidth. Therefore the minimum frequency offset is half the necessary bandwidth, i.e. 50%. This curve will be used to determine the minimum separation between the centre of the necessary bandwidth and the lower limit of the EESS allocated band, which is required to protect the passive sensor from unwanted FSS emissions.</w:t>
      </w:r>
    </w:p>
    <w:p w:rsidR="00B9359B" w:rsidRDefault="009A5268">
      <w:pPr>
        <w:pStyle w:val="FigureNo"/>
        <w:rPr>
          <w:lang w:val="en-US"/>
        </w:rPr>
      </w:pPr>
      <w:r>
        <w:rPr>
          <w:lang w:val="en-US"/>
        </w:rPr>
        <w:object w:dxaOrig="8535" w:dyaOrig="7494">
          <v:shape id="_x0000_i1076" type="#_x0000_t75" style="width:426.65pt;height:375.05pt" o:ole="">
            <v:imagedata r:id="rId88" o:title=""/>
          </v:shape>
          <o:OLEObject Type="Embed" ProgID="Designer.Drawing.7" ShapeID="_x0000_i1076" DrawAspect="Content" ObjectID="_1629894583" r:id="rId89"/>
        </w:object>
      </w:r>
    </w:p>
    <w:p w:rsidR="00B9359B" w:rsidRDefault="009A5268">
      <w:pPr>
        <w:rPr>
          <w:lang w:val="en-US"/>
        </w:rPr>
      </w:pPr>
      <w:r>
        <w:rPr>
          <w:lang w:val="en-US"/>
        </w:rPr>
        <w:br w:type="page"/>
        <w:t>Furthermore, a 50 MHz separation is provided by the fixed and mobile allocation between the ISS and the EESS allocated bands, in the 23.55-23.6 GHz band. Therefore the minimum frequency separation between the centre of the necessary bandwidth which is the reference in the mask, is </w:t>
      </w:r>
      <w:r>
        <w:rPr>
          <w:i/>
          <w:iCs/>
          <w:lang w:val="en-US"/>
        </w:rPr>
        <w:t>B</w:t>
      </w:r>
      <w:r>
        <w:rPr>
          <w:i/>
          <w:iCs/>
          <w:vertAlign w:val="subscript"/>
          <w:lang w:val="en-US"/>
        </w:rPr>
        <w:t>N</w:t>
      </w:r>
      <w:r>
        <w:rPr>
          <w:lang w:val="en-US"/>
        </w:rPr>
        <w:t>/2 </w:t>
      </w:r>
      <w:r>
        <w:rPr>
          <w:rFonts w:ascii="Symbol" w:hAnsi="Symbol"/>
          <w:lang w:val="en-US"/>
        </w:rPr>
        <w:t></w:t>
      </w:r>
      <w:r>
        <w:rPr>
          <w:lang w:val="en-US"/>
        </w:rPr>
        <w:t> 50 MHz. Therefore, the required additional guardband is:</w:t>
      </w:r>
    </w:p>
    <w:p w:rsidR="00B9359B" w:rsidRDefault="009A5268">
      <w:pPr>
        <w:pStyle w:val="Equation"/>
        <w:jc w:val="center"/>
        <w:rPr>
          <w:lang w:val="en-US"/>
        </w:rPr>
      </w:pPr>
      <w:r>
        <w:rPr>
          <w:lang w:val="en-US"/>
        </w:rPr>
        <w:t xml:space="preserve">Offset from centre </w:t>
      </w:r>
      <w:r>
        <w:rPr>
          <w:i/>
          <w:iCs/>
          <w:lang w:val="en-US"/>
        </w:rPr>
        <w:t>B</w:t>
      </w:r>
      <w:r>
        <w:rPr>
          <w:i/>
          <w:iCs/>
          <w:vertAlign w:val="subscript"/>
          <w:lang w:val="en-US"/>
        </w:rPr>
        <w:t>N</w:t>
      </w:r>
      <w:r>
        <w:rPr>
          <w:lang w:val="en-US"/>
        </w:rPr>
        <w:t> – (</w:t>
      </w:r>
      <w:r>
        <w:rPr>
          <w:i/>
          <w:iCs/>
          <w:lang w:val="en-US"/>
        </w:rPr>
        <w:t>B</w:t>
      </w:r>
      <w:r>
        <w:rPr>
          <w:i/>
          <w:iCs/>
          <w:vertAlign w:val="subscript"/>
          <w:lang w:val="en-US"/>
        </w:rPr>
        <w:t>N</w:t>
      </w:r>
      <w:r>
        <w:rPr>
          <w:lang w:val="en-US"/>
        </w:rPr>
        <w:t xml:space="preserve"> /2 </w:t>
      </w:r>
      <w:r>
        <w:rPr>
          <w:rFonts w:ascii="Symbol" w:hAnsi="Symbol"/>
        </w:rPr>
        <w:t></w:t>
      </w:r>
      <w:r>
        <w:rPr>
          <w:lang w:val="en-US"/>
        </w:rPr>
        <w:t> 50 MHz)</w:t>
      </w:r>
    </w:p>
    <w:p w:rsidR="00B9359B" w:rsidRDefault="009A5268">
      <w:pPr>
        <w:pStyle w:val="Heading3"/>
        <w:rPr>
          <w:lang w:val="en-US"/>
        </w:rPr>
      </w:pPr>
      <w:bookmarkStart w:id="383" w:name="_Toc51045783"/>
      <w:r>
        <w:rPr>
          <w:lang w:val="en-US"/>
        </w:rPr>
        <w:t>4.5.1</w:t>
      </w:r>
      <w:r>
        <w:rPr>
          <w:lang w:val="en-US"/>
        </w:rPr>
        <w:tab/>
        <w:t>Conically scanned sensor</w:t>
      </w:r>
      <w:bookmarkEnd w:id="383"/>
    </w:p>
    <w:p w:rsidR="00B9359B" w:rsidRDefault="009A5268">
      <w:pPr>
        <w:rPr>
          <w:lang w:val="en-US"/>
        </w:rPr>
      </w:pPr>
      <w:r>
        <w:rPr>
          <w:lang w:val="en-US"/>
        </w:rPr>
        <w:t>On the basis of the results presented in Tables 38 and 39, Tables 45 and 46 present the minimum frequency offset that is required to protect the passive sensor from interference generated by the Hib</w:t>
      </w:r>
      <w:r>
        <w:rPr>
          <w:lang w:val="en-US"/>
        </w:rPr>
        <w:noBreakHyphen/>
        <w:t>Leo 2 system.</w:t>
      </w:r>
    </w:p>
    <w:p w:rsidR="00B9359B" w:rsidRDefault="009A5268">
      <w:pPr>
        <w:pStyle w:val="TableNo"/>
        <w:rPr>
          <w:lang w:val="en-US"/>
        </w:rPr>
      </w:pPr>
      <w:r>
        <w:rPr>
          <w:lang w:val="en-US"/>
        </w:rPr>
        <w:t>TABLE  45</w:t>
      </w:r>
    </w:p>
    <w:p w:rsidR="00B9359B" w:rsidRDefault="009A5268">
      <w:pPr>
        <w:pStyle w:val="Tabletitle"/>
        <w:rPr>
          <w:lang w:val="en-US"/>
        </w:rPr>
      </w:pPr>
      <w:r>
        <w:rPr>
          <w:lang w:val="en-US"/>
        </w:rPr>
        <w:t xml:space="preserve">Summary of necessary guardbands to protect </w:t>
      </w:r>
      <w:r>
        <w:rPr>
          <w:lang w:val="en-US"/>
        </w:rPr>
        <w:br/>
        <w:t>AMSR-E from Hib-Leo 2 links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109" w:type="dxa"/>
        </w:tblCellMar>
        <w:tblLook w:val="0000" w:firstRow="0" w:lastRow="0" w:firstColumn="0" w:lastColumn="0" w:noHBand="0" w:noVBand="0"/>
      </w:tblPr>
      <w:tblGrid>
        <w:gridCol w:w="4763"/>
        <w:gridCol w:w="2155"/>
      </w:tblGrid>
      <w:tr w:rsidR="00B9359B">
        <w:tc>
          <w:tcPr>
            <w:tcW w:w="4763" w:type="dxa"/>
          </w:tcPr>
          <w:p w:rsidR="00B9359B" w:rsidRDefault="00B9359B">
            <w:pPr>
              <w:pStyle w:val="Tablehead"/>
              <w:framePr w:hSpace="181" w:wrap="notBeside" w:vAnchor="text" w:hAnchor="text" w:xAlign="center" w:y="1"/>
              <w:spacing w:before="120" w:after="120"/>
              <w:rPr>
                <w:lang w:val="en-US"/>
              </w:rPr>
            </w:pPr>
          </w:p>
        </w:tc>
        <w:tc>
          <w:tcPr>
            <w:tcW w:w="2155" w:type="dxa"/>
          </w:tcPr>
          <w:p w:rsidR="00B9359B" w:rsidRDefault="009A5268">
            <w:pPr>
              <w:pStyle w:val="Tablehead"/>
              <w:framePr w:hSpace="181" w:wrap="notBeside" w:vAnchor="text" w:hAnchor="text" w:xAlign="center" w:y="1"/>
              <w:spacing w:before="120" w:after="120"/>
              <w:rPr>
                <w:lang w:val="en-US"/>
              </w:rPr>
            </w:pPr>
            <w:r>
              <w:rPr>
                <w:lang w:val="en-US"/>
              </w:rPr>
              <w:t>Hib-Leo2</w:t>
            </w:r>
          </w:p>
        </w:tc>
      </w:tr>
      <w:tr w:rsidR="00B9359B">
        <w:tc>
          <w:tcPr>
            <w:tcW w:w="4763" w:type="dxa"/>
          </w:tcPr>
          <w:p w:rsidR="00B9359B" w:rsidRDefault="009A5268">
            <w:pPr>
              <w:pStyle w:val="Tabletext"/>
              <w:framePr w:hSpace="181" w:wrap="notBeside" w:vAnchor="text" w:hAnchor="text" w:xAlign="center" w:y="1"/>
              <w:spacing w:before="60" w:after="60"/>
              <w:rPr>
                <w:lang w:val="en-US"/>
              </w:rPr>
            </w:pPr>
            <w:r>
              <w:rPr>
                <w:lang w:val="en-US"/>
              </w:rPr>
              <w:t>Required power rejection (dB)</w:t>
            </w:r>
          </w:p>
        </w:tc>
        <w:tc>
          <w:tcPr>
            <w:tcW w:w="2155" w:type="dxa"/>
          </w:tcPr>
          <w:p w:rsidR="00B9359B" w:rsidRDefault="009A5268">
            <w:pPr>
              <w:pStyle w:val="Tabletext"/>
              <w:framePr w:hSpace="181" w:wrap="notBeside" w:vAnchor="text" w:hAnchor="text" w:xAlign="center" w:y="1"/>
              <w:spacing w:before="60" w:after="60"/>
              <w:jc w:val="center"/>
              <w:rPr>
                <w:lang w:val="en-US"/>
              </w:rPr>
            </w:pPr>
            <w:r>
              <w:rPr>
                <w:lang w:val="en-US"/>
              </w:rPr>
              <w:t>0</w:t>
            </w:r>
          </w:p>
        </w:tc>
      </w:tr>
      <w:tr w:rsidR="00B9359B">
        <w:tc>
          <w:tcPr>
            <w:tcW w:w="4763" w:type="dxa"/>
          </w:tcPr>
          <w:p w:rsidR="00B9359B" w:rsidRDefault="009A5268">
            <w:pPr>
              <w:pStyle w:val="Tabletext"/>
              <w:framePr w:hSpace="181" w:wrap="notBeside" w:vAnchor="text" w:hAnchor="text" w:xAlign="center" w:y="1"/>
              <w:spacing w:before="60" w:after="60"/>
              <w:rPr>
                <w:lang w:val="en-US"/>
              </w:rPr>
            </w:pPr>
            <w:r>
              <w:rPr>
                <w:lang w:val="en-US"/>
              </w:rPr>
              <w:t>Necessary bandwidth (MHz)</w:t>
            </w:r>
          </w:p>
        </w:tc>
        <w:tc>
          <w:tcPr>
            <w:tcW w:w="2155" w:type="dxa"/>
          </w:tcPr>
          <w:p w:rsidR="00B9359B" w:rsidRDefault="009A5268">
            <w:pPr>
              <w:pStyle w:val="Tabletext"/>
              <w:framePr w:hSpace="181" w:wrap="notBeside" w:vAnchor="text" w:hAnchor="text" w:xAlign="center" w:y="1"/>
              <w:spacing w:before="60" w:after="60"/>
              <w:jc w:val="center"/>
              <w:rPr>
                <w:lang w:val="en-US"/>
              </w:rPr>
            </w:pPr>
            <w:r>
              <w:rPr>
                <w:lang w:val="en-US"/>
              </w:rPr>
              <w:t>200</w:t>
            </w:r>
          </w:p>
        </w:tc>
      </w:tr>
      <w:tr w:rsidR="00B9359B">
        <w:tc>
          <w:tcPr>
            <w:tcW w:w="4763" w:type="dxa"/>
          </w:tcPr>
          <w:p w:rsidR="00B9359B" w:rsidRDefault="009A5268">
            <w:pPr>
              <w:pStyle w:val="Tabletext"/>
              <w:framePr w:hSpace="181" w:wrap="notBeside" w:vAnchor="text" w:hAnchor="text" w:xAlign="center" w:y="1"/>
              <w:spacing w:before="60" w:after="60"/>
              <w:rPr>
                <w:lang w:val="en-US"/>
              </w:rPr>
            </w:pPr>
            <w:r>
              <w:rPr>
                <w:lang w:val="en-US"/>
              </w:rPr>
              <w:t xml:space="preserve">Passive band (% </w:t>
            </w:r>
            <w:r>
              <w:rPr>
                <w:i/>
                <w:iCs/>
                <w:lang w:val="en-US"/>
              </w:rPr>
              <w:t>B</w:t>
            </w:r>
            <w:r>
              <w:rPr>
                <w:i/>
                <w:iCs/>
                <w:vertAlign w:val="subscript"/>
                <w:lang w:val="en-US"/>
              </w:rPr>
              <w:t>N</w:t>
            </w:r>
            <w:r>
              <w:rPr>
                <w:lang w:val="en-US"/>
              </w:rPr>
              <w:t>)</w:t>
            </w:r>
          </w:p>
        </w:tc>
        <w:tc>
          <w:tcPr>
            <w:tcW w:w="2155" w:type="dxa"/>
          </w:tcPr>
          <w:p w:rsidR="00B9359B" w:rsidRDefault="009A5268">
            <w:pPr>
              <w:pStyle w:val="Tabletext"/>
              <w:framePr w:hSpace="181" w:wrap="notBeside" w:vAnchor="text" w:hAnchor="text" w:xAlign="center" w:y="1"/>
              <w:spacing w:before="60" w:after="60"/>
              <w:jc w:val="center"/>
              <w:rPr>
                <w:lang w:val="en-US"/>
              </w:rPr>
            </w:pPr>
            <w:r>
              <w:rPr>
                <w:lang w:val="en-US"/>
              </w:rPr>
              <w:t>200</w:t>
            </w:r>
          </w:p>
        </w:tc>
      </w:tr>
      <w:tr w:rsidR="00B9359B">
        <w:tc>
          <w:tcPr>
            <w:tcW w:w="4763" w:type="dxa"/>
          </w:tcPr>
          <w:p w:rsidR="00B9359B" w:rsidRDefault="009A5268">
            <w:pPr>
              <w:pStyle w:val="Tabletext"/>
              <w:framePr w:hSpace="181" w:wrap="notBeside" w:vAnchor="text" w:hAnchor="text" w:xAlign="center" w:y="1"/>
              <w:spacing w:before="60" w:after="60"/>
              <w:rPr>
                <w:lang w:val="en-US"/>
              </w:rPr>
            </w:pPr>
            <w:r>
              <w:rPr>
                <w:lang w:val="en-US"/>
              </w:rPr>
              <w:t xml:space="preserve">Offset from centre </w:t>
            </w:r>
            <w:r>
              <w:rPr>
                <w:i/>
                <w:iCs/>
                <w:lang w:val="en-US"/>
              </w:rPr>
              <w:t>B</w:t>
            </w:r>
            <w:r>
              <w:rPr>
                <w:i/>
                <w:iCs/>
                <w:vertAlign w:val="subscript"/>
                <w:lang w:val="en-US"/>
              </w:rPr>
              <w:t>N</w:t>
            </w:r>
            <w:r>
              <w:rPr>
                <w:lang w:val="en-US"/>
              </w:rPr>
              <w:t xml:space="preserve"> (% </w:t>
            </w:r>
            <w:r>
              <w:rPr>
                <w:i/>
                <w:iCs/>
                <w:lang w:val="en-US"/>
              </w:rPr>
              <w:t>B</w:t>
            </w:r>
            <w:r>
              <w:rPr>
                <w:i/>
                <w:iCs/>
                <w:vertAlign w:val="subscript"/>
                <w:lang w:val="en-US"/>
              </w:rPr>
              <w:t>N</w:t>
            </w:r>
            <w:r>
              <w:rPr>
                <w:lang w:val="en-US"/>
              </w:rPr>
              <w:t>)</w:t>
            </w:r>
          </w:p>
        </w:tc>
        <w:tc>
          <w:tcPr>
            <w:tcW w:w="2155" w:type="dxa"/>
          </w:tcPr>
          <w:p w:rsidR="00B9359B" w:rsidRDefault="009A5268">
            <w:pPr>
              <w:pStyle w:val="Tabletext"/>
              <w:framePr w:hSpace="181" w:wrap="notBeside" w:vAnchor="text" w:hAnchor="text" w:xAlign="center" w:y="1"/>
              <w:spacing w:before="60" w:after="60"/>
              <w:jc w:val="center"/>
              <w:rPr>
                <w:lang w:val="en-US"/>
              </w:rPr>
            </w:pPr>
            <w:r>
              <w:rPr>
                <w:lang w:val="en-US"/>
              </w:rPr>
              <w:t>50</w:t>
            </w:r>
          </w:p>
        </w:tc>
      </w:tr>
      <w:tr w:rsidR="00B9359B">
        <w:tc>
          <w:tcPr>
            <w:tcW w:w="4763" w:type="dxa"/>
          </w:tcPr>
          <w:p w:rsidR="00B9359B" w:rsidRDefault="009A5268">
            <w:pPr>
              <w:pStyle w:val="Tabletext"/>
              <w:framePr w:hSpace="181" w:wrap="notBeside" w:vAnchor="text" w:hAnchor="text" w:xAlign="center" w:y="1"/>
              <w:spacing w:before="60" w:after="60"/>
              <w:rPr>
                <w:lang w:val="en-US"/>
              </w:rPr>
            </w:pPr>
            <w:r>
              <w:rPr>
                <w:lang w:val="en-US"/>
              </w:rPr>
              <w:t xml:space="preserve">Offset from centre </w:t>
            </w:r>
            <w:r>
              <w:rPr>
                <w:i/>
                <w:iCs/>
                <w:lang w:val="en-US"/>
              </w:rPr>
              <w:t>B</w:t>
            </w:r>
            <w:r>
              <w:rPr>
                <w:i/>
                <w:iCs/>
                <w:vertAlign w:val="subscript"/>
                <w:lang w:val="en-US"/>
              </w:rPr>
              <w:t>N</w:t>
            </w:r>
            <w:r>
              <w:rPr>
                <w:lang w:val="en-US"/>
              </w:rPr>
              <w:t xml:space="preserve"> (MHz)</w:t>
            </w:r>
          </w:p>
        </w:tc>
        <w:tc>
          <w:tcPr>
            <w:tcW w:w="2155" w:type="dxa"/>
          </w:tcPr>
          <w:p w:rsidR="00B9359B" w:rsidRDefault="009A5268">
            <w:pPr>
              <w:pStyle w:val="Tabletext"/>
              <w:framePr w:hSpace="181" w:wrap="notBeside" w:vAnchor="text" w:hAnchor="text" w:xAlign="center" w:y="1"/>
              <w:spacing w:before="60" w:after="60"/>
              <w:jc w:val="center"/>
              <w:rPr>
                <w:lang w:val="en-US"/>
              </w:rPr>
            </w:pPr>
            <w:r>
              <w:rPr>
                <w:lang w:val="en-US"/>
              </w:rPr>
              <w:t>100</w:t>
            </w:r>
          </w:p>
        </w:tc>
      </w:tr>
      <w:tr w:rsidR="00B9359B">
        <w:tc>
          <w:tcPr>
            <w:tcW w:w="4763" w:type="dxa"/>
          </w:tcPr>
          <w:p w:rsidR="00B9359B" w:rsidRDefault="009A5268">
            <w:pPr>
              <w:pStyle w:val="Tabletext"/>
              <w:framePr w:hSpace="181" w:wrap="notBeside" w:vAnchor="text" w:hAnchor="text" w:xAlign="center" w:y="1"/>
              <w:spacing w:before="60" w:after="60"/>
              <w:rPr>
                <w:lang w:val="en-US"/>
              </w:rPr>
            </w:pPr>
            <w:r>
              <w:rPr>
                <w:lang w:val="en-US"/>
              </w:rPr>
              <w:t>Required additional guardband (MHz)</w:t>
            </w:r>
          </w:p>
        </w:tc>
        <w:tc>
          <w:tcPr>
            <w:tcW w:w="2155" w:type="dxa"/>
          </w:tcPr>
          <w:p w:rsidR="00B9359B" w:rsidRDefault="009A5268">
            <w:pPr>
              <w:pStyle w:val="Tabletext"/>
              <w:framePr w:hSpace="181" w:wrap="notBeside" w:vAnchor="text" w:hAnchor="text" w:xAlign="center" w:y="1"/>
              <w:spacing w:before="60" w:after="60"/>
              <w:jc w:val="center"/>
              <w:rPr>
                <w:lang w:val="en-US"/>
              </w:rPr>
            </w:pPr>
            <w:r>
              <w:rPr>
                <w:lang w:val="en-US"/>
              </w:rPr>
              <w:t>0</w:t>
            </w:r>
          </w:p>
        </w:tc>
      </w:tr>
    </w:tbl>
    <w:p w:rsidR="00B9359B" w:rsidRDefault="00B9359B">
      <w:pPr>
        <w:pStyle w:val="Tablefin"/>
      </w:pPr>
    </w:p>
    <w:p w:rsidR="00B9359B" w:rsidRDefault="009A5268">
      <w:pPr>
        <w:pStyle w:val="TableNo"/>
        <w:rPr>
          <w:lang w:val="en-US"/>
        </w:rPr>
      </w:pPr>
      <w:r>
        <w:rPr>
          <w:lang w:val="en-US"/>
        </w:rPr>
        <w:t>TABLE  46</w:t>
      </w:r>
    </w:p>
    <w:p w:rsidR="00B9359B" w:rsidRDefault="009A5268">
      <w:pPr>
        <w:pStyle w:val="Tabletitle"/>
        <w:rPr>
          <w:lang w:val="en-US"/>
        </w:rPr>
      </w:pPr>
      <w:r>
        <w:rPr>
          <w:lang w:val="en-US"/>
        </w:rPr>
        <w:t>Summary of necessary guardbands to protect</w:t>
      </w:r>
      <w:r>
        <w:rPr>
          <w:lang w:val="en-US"/>
        </w:rPr>
        <w:br/>
        <w:t>MEGHA-TROPIC from Hib-Leo 2 links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63"/>
        <w:gridCol w:w="2155"/>
      </w:tblGrid>
      <w:tr w:rsidR="00B9359B">
        <w:tc>
          <w:tcPr>
            <w:tcW w:w="4763" w:type="dxa"/>
          </w:tcPr>
          <w:p w:rsidR="00B9359B" w:rsidRDefault="00B9359B">
            <w:pPr>
              <w:pStyle w:val="Tablehead"/>
              <w:framePr w:hSpace="181" w:wrap="notBeside" w:vAnchor="text" w:hAnchor="text" w:xAlign="center" w:y="1"/>
              <w:spacing w:before="120" w:after="120"/>
              <w:rPr>
                <w:lang w:val="en-US"/>
              </w:rPr>
            </w:pPr>
          </w:p>
        </w:tc>
        <w:tc>
          <w:tcPr>
            <w:tcW w:w="2155" w:type="dxa"/>
          </w:tcPr>
          <w:p w:rsidR="00B9359B" w:rsidRDefault="009A5268">
            <w:pPr>
              <w:pStyle w:val="Tablehead"/>
              <w:framePr w:hSpace="181" w:wrap="notBeside" w:vAnchor="text" w:hAnchor="text" w:xAlign="center" w:y="1"/>
              <w:spacing w:before="120" w:after="120"/>
              <w:rPr>
                <w:lang w:val="en-US"/>
              </w:rPr>
            </w:pPr>
            <w:r>
              <w:rPr>
                <w:lang w:val="en-US"/>
              </w:rPr>
              <w:t>Hib-Leo 2</w:t>
            </w:r>
          </w:p>
        </w:tc>
      </w:tr>
      <w:tr w:rsidR="00B9359B">
        <w:tc>
          <w:tcPr>
            <w:tcW w:w="4763" w:type="dxa"/>
          </w:tcPr>
          <w:p w:rsidR="00B9359B" w:rsidRDefault="009A5268">
            <w:pPr>
              <w:pStyle w:val="Tabletext"/>
              <w:framePr w:hSpace="181" w:wrap="notBeside" w:vAnchor="text" w:hAnchor="text" w:xAlign="center" w:y="1"/>
              <w:spacing w:before="60" w:after="60"/>
              <w:rPr>
                <w:lang w:val="en-US"/>
              </w:rPr>
            </w:pPr>
            <w:r>
              <w:rPr>
                <w:lang w:val="en-US"/>
              </w:rPr>
              <w:t>Required power rejection (dB)</w:t>
            </w:r>
          </w:p>
        </w:tc>
        <w:tc>
          <w:tcPr>
            <w:tcW w:w="2155" w:type="dxa"/>
          </w:tcPr>
          <w:p w:rsidR="00B9359B" w:rsidRDefault="009A5268">
            <w:pPr>
              <w:pStyle w:val="Tabletext"/>
              <w:framePr w:hSpace="181" w:wrap="notBeside" w:vAnchor="text" w:hAnchor="text" w:xAlign="center" w:y="1"/>
              <w:spacing w:before="60" w:after="60"/>
              <w:jc w:val="center"/>
              <w:rPr>
                <w:lang w:val="en-US"/>
              </w:rPr>
            </w:pPr>
            <w:r>
              <w:rPr>
                <w:lang w:val="en-US"/>
              </w:rPr>
              <w:t>57.6</w:t>
            </w:r>
          </w:p>
        </w:tc>
      </w:tr>
      <w:tr w:rsidR="00B9359B">
        <w:tc>
          <w:tcPr>
            <w:tcW w:w="4763" w:type="dxa"/>
          </w:tcPr>
          <w:p w:rsidR="00B9359B" w:rsidRDefault="009A5268">
            <w:pPr>
              <w:pStyle w:val="Tabletext"/>
              <w:framePr w:hSpace="181" w:wrap="notBeside" w:vAnchor="text" w:hAnchor="text" w:xAlign="center" w:y="1"/>
              <w:spacing w:before="60" w:after="60"/>
              <w:rPr>
                <w:lang w:val="en-US"/>
              </w:rPr>
            </w:pPr>
            <w:r>
              <w:rPr>
                <w:lang w:val="en-US"/>
              </w:rPr>
              <w:t>Necessary bandwidth (MHz)</w:t>
            </w:r>
          </w:p>
        </w:tc>
        <w:tc>
          <w:tcPr>
            <w:tcW w:w="2155" w:type="dxa"/>
          </w:tcPr>
          <w:p w:rsidR="00B9359B" w:rsidRDefault="009A5268">
            <w:pPr>
              <w:pStyle w:val="Tabletext"/>
              <w:framePr w:hSpace="181" w:wrap="notBeside" w:vAnchor="text" w:hAnchor="text" w:xAlign="center" w:y="1"/>
              <w:spacing w:before="60" w:after="60"/>
              <w:jc w:val="center"/>
              <w:rPr>
                <w:lang w:val="en-US"/>
              </w:rPr>
            </w:pPr>
            <w:r>
              <w:rPr>
                <w:lang w:val="en-US"/>
              </w:rPr>
              <w:t>200</w:t>
            </w:r>
          </w:p>
        </w:tc>
      </w:tr>
      <w:tr w:rsidR="00B9359B">
        <w:tc>
          <w:tcPr>
            <w:tcW w:w="4763" w:type="dxa"/>
          </w:tcPr>
          <w:p w:rsidR="00B9359B" w:rsidRDefault="009A5268">
            <w:pPr>
              <w:pStyle w:val="Tabletext"/>
              <w:framePr w:hSpace="181" w:wrap="notBeside" w:vAnchor="text" w:hAnchor="text" w:xAlign="center" w:y="1"/>
              <w:spacing w:before="60" w:after="60"/>
              <w:rPr>
                <w:lang w:val="en-US"/>
              </w:rPr>
            </w:pPr>
            <w:r>
              <w:rPr>
                <w:lang w:val="en-US"/>
              </w:rPr>
              <w:t xml:space="preserve">Passive band (% </w:t>
            </w:r>
            <w:r>
              <w:rPr>
                <w:i/>
                <w:iCs/>
                <w:lang w:val="en-US"/>
              </w:rPr>
              <w:t>B</w:t>
            </w:r>
            <w:r>
              <w:rPr>
                <w:i/>
                <w:iCs/>
                <w:vertAlign w:val="subscript"/>
                <w:lang w:val="en-US"/>
              </w:rPr>
              <w:t>N</w:t>
            </w:r>
            <w:r>
              <w:rPr>
                <w:lang w:val="en-US"/>
              </w:rPr>
              <w:t>)</w:t>
            </w:r>
          </w:p>
        </w:tc>
        <w:tc>
          <w:tcPr>
            <w:tcW w:w="2155" w:type="dxa"/>
          </w:tcPr>
          <w:p w:rsidR="00B9359B" w:rsidRDefault="009A5268">
            <w:pPr>
              <w:pStyle w:val="Tabletext"/>
              <w:framePr w:hSpace="181" w:wrap="notBeside" w:vAnchor="text" w:hAnchor="text" w:xAlign="center" w:y="1"/>
              <w:spacing w:before="60" w:after="60"/>
              <w:jc w:val="center"/>
              <w:rPr>
                <w:lang w:val="en-US"/>
              </w:rPr>
            </w:pPr>
            <w:r>
              <w:rPr>
                <w:lang w:val="en-US"/>
              </w:rPr>
              <w:t>200</w:t>
            </w:r>
          </w:p>
        </w:tc>
      </w:tr>
      <w:tr w:rsidR="00B9359B">
        <w:tc>
          <w:tcPr>
            <w:tcW w:w="4763" w:type="dxa"/>
          </w:tcPr>
          <w:p w:rsidR="00B9359B" w:rsidRDefault="009A5268">
            <w:pPr>
              <w:pStyle w:val="Tabletext"/>
              <w:framePr w:hSpace="181" w:wrap="notBeside" w:vAnchor="text" w:hAnchor="text" w:xAlign="center" w:y="1"/>
              <w:spacing w:before="60" w:after="60"/>
              <w:rPr>
                <w:lang w:val="en-US"/>
              </w:rPr>
            </w:pPr>
            <w:r>
              <w:rPr>
                <w:lang w:val="en-US"/>
              </w:rPr>
              <w:t xml:space="preserve">Offset from centre </w:t>
            </w:r>
            <w:r>
              <w:rPr>
                <w:i/>
                <w:iCs/>
                <w:lang w:val="en-US"/>
              </w:rPr>
              <w:t>B</w:t>
            </w:r>
            <w:r>
              <w:rPr>
                <w:i/>
                <w:iCs/>
                <w:vertAlign w:val="subscript"/>
                <w:lang w:val="en-US"/>
              </w:rPr>
              <w:t>N</w:t>
            </w:r>
            <w:r>
              <w:rPr>
                <w:lang w:val="en-US"/>
              </w:rPr>
              <w:t xml:space="preserve"> (% </w:t>
            </w:r>
            <w:r>
              <w:rPr>
                <w:i/>
                <w:iCs/>
                <w:lang w:val="en-US"/>
              </w:rPr>
              <w:t>B</w:t>
            </w:r>
            <w:r>
              <w:rPr>
                <w:i/>
                <w:iCs/>
                <w:vertAlign w:val="subscript"/>
                <w:lang w:val="en-US"/>
              </w:rPr>
              <w:t>N</w:t>
            </w:r>
            <w:r>
              <w:rPr>
                <w:lang w:val="en-US"/>
              </w:rPr>
              <w:t>)</w:t>
            </w:r>
          </w:p>
        </w:tc>
        <w:tc>
          <w:tcPr>
            <w:tcW w:w="2155" w:type="dxa"/>
          </w:tcPr>
          <w:p w:rsidR="00B9359B" w:rsidRDefault="009A5268">
            <w:pPr>
              <w:pStyle w:val="Tabletext"/>
              <w:framePr w:hSpace="181" w:wrap="notBeside" w:vAnchor="text" w:hAnchor="text" w:xAlign="center" w:y="1"/>
              <w:spacing w:before="60" w:after="60"/>
              <w:jc w:val="center"/>
              <w:rPr>
                <w:lang w:val="en-US"/>
              </w:rPr>
            </w:pPr>
            <w:r>
              <w:rPr>
                <w:lang w:val="en-US"/>
              </w:rPr>
              <w:t>250</w:t>
            </w:r>
          </w:p>
        </w:tc>
      </w:tr>
      <w:tr w:rsidR="00B9359B">
        <w:tc>
          <w:tcPr>
            <w:tcW w:w="4763" w:type="dxa"/>
          </w:tcPr>
          <w:p w:rsidR="00B9359B" w:rsidRDefault="009A5268">
            <w:pPr>
              <w:pStyle w:val="Tabletext"/>
              <w:framePr w:hSpace="181" w:wrap="notBeside" w:vAnchor="text" w:hAnchor="text" w:xAlign="center" w:y="1"/>
              <w:spacing w:before="60" w:after="60"/>
              <w:rPr>
                <w:lang w:val="en-US"/>
              </w:rPr>
            </w:pPr>
            <w:r>
              <w:rPr>
                <w:lang w:val="en-US"/>
              </w:rPr>
              <w:t xml:space="preserve">Offset from centre </w:t>
            </w:r>
            <w:r>
              <w:rPr>
                <w:i/>
                <w:iCs/>
                <w:lang w:val="en-US"/>
              </w:rPr>
              <w:t>B</w:t>
            </w:r>
            <w:r>
              <w:rPr>
                <w:i/>
                <w:iCs/>
                <w:vertAlign w:val="subscript"/>
                <w:lang w:val="en-US"/>
              </w:rPr>
              <w:t>N</w:t>
            </w:r>
            <w:r>
              <w:rPr>
                <w:lang w:val="en-US"/>
              </w:rPr>
              <w:t xml:space="preserve"> (MHz)</w:t>
            </w:r>
          </w:p>
        </w:tc>
        <w:tc>
          <w:tcPr>
            <w:tcW w:w="2155" w:type="dxa"/>
          </w:tcPr>
          <w:p w:rsidR="00B9359B" w:rsidRDefault="009A5268">
            <w:pPr>
              <w:pStyle w:val="Tabletext"/>
              <w:framePr w:hSpace="181" w:wrap="notBeside" w:vAnchor="text" w:hAnchor="text" w:xAlign="center" w:y="1"/>
              <w:spacing w:before="60" w:after="60"/>
              <w:jc w:val="center"/>
              <w:rPr>
                <w:lang w:val="en-US"/>
              </w:rPr>
            </w:pPr>
            <w:r>
              <w:rPr>
                <w:lang w:val="en-US"/>
              </w:rPr>
              <w:t>500</w:t>
            </w:r>
          </w:p>
        </w:tc>
      </w:tr>
      <w:tr w:rsidR="00B9359B">
        <w:tc>
          <w:tcPr>
            <w:tcW w:w="4763" w:type="dxa"/>
          </w:tcPr>
          <w:p w:rsidR="00B9359B" w:rsidRDefault="009A5268">
            <w:pPr>
              <w:pStyle w:val="Tabletext"/>
              <w:framePr w:hSpace="181" w:wrap="notBeside" w:vAnchor="text" w:hAnchor="text" w:xAlign="center" w:y="1"/>
              <w:spacing w:before="60" w:after="60"/>
              <w:rPr>
                <w:lang w:val="en-US"/>
              </w:rPr>
            </w:pPr>
            <w:r>
              <w:rPr>
                <w:lang w:val="en-US"/>
              </w:rPr>
              <w:t>Required additional guardband (MHz)</w:t>
            </w:r>
          </w:p>
        </w:tc>
        <w:tc>
          <w:tcPr>
            <w:tcW w:w="2155" w:type="dxa"/>
          </w:tcPr>
          <w:p w:rsidR="00B9359B" w:rsidRDefault="009A5268">
            <w:pPr>
              <w:pStyle w:val="Tabletext"/>
              <w:framePr w:hSpace="181" w:wrap="notBeside" w:vAnchor="text" w:hAnchor="text" w:xAlign="center" w:y="1"/>
              <w:spacing w:before="60" w:after="60"/>
              <w:jc w:val="center"/>
              <w:rPr>
                <w:lang w:val="en-US"/>
              </w:rPr>
            </w:pPr>
            <w:r>
              <w:rPr>
                <w:lang w:val="en-US"/>
              </w:rPr>
              <w:t>350</w:t>
            </w:r>
          </w:p>
        </w:tc>
      </w:tr>
    </w:tbl>
    <w:p w:rsidR="00B9359B" w:rsidRDefault="00B9359B">
      <w:pPr>
        <w:pStyle w:val="Tablefin"/>
      </w:pPr>
    </w:p>
    <w:p w:rsidR="00B9359B" w:rsidRDefault="009A5268">
      <w:pPr>
        <w:pStyle w:val="TableNo"/>
        <w:rPr>
          <w:lang w:val="en-US"/>
        </w:rPr>
      </w:pPr>
      <w:r>
        <w:rPr>
          <w:lang w:val="en-US"/>
        </w:rPr>
        <w:br w:type="page"/>
        <w:t>TABLE  47</w:t>
      </w:r>
    </w:p>
    <w:p w:rsidR="00B9359B" w:rsidRDefault="009A5268">
      <w:pPr>
        <w:pStyle w:val="Tabletitle"/>
        <w:rPr>
          <w:lang w:val="en-US"/>
        </w:rPr>
      </w:pPr>
      <w:r>
        <w:rPr>
          <w:lang w:val="en-US"/>
        </w:rPr>
        <w:t xml:space="preserve">Summary of necessary guardbands to protect </w:t>
      </w:r>
      <w:r>
        <w:rPr>
          <w:lang w:val="en-US"/>
        </w:rPr>
        <w:br/>
        <w:t>ADEOS-II</w:t>
      </w:r>
      <w:r>
        <w:rPr>
          <w:sz w:val="16"/>
          <w:lang w:val="en-US"/>
        </w:rPr>
        <w:t>  </w:t>
      </w:r>
      <w:r>
        <w:rPr>
          <w:lang w:val="en-US"/>
        </w:rPr>
        <w:t>AMSR from Hib-Leo 2 links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63"/>
        <w:gridCol w:w="2155"/>
      </w:tblGrid>
      <w:tr w:rsidR="00B9359B">
        <w:tc>
          <w:tcPr>
            <w:tcW w:w="4763" w:type="dxa"/>
          </w:tcPr>
          <w:p w:rsidR="00B9359B" w:rsidRDefault="00B9359B">
            <w:pPr>
              <w:pStyle w:val="Tablehead"/>
              <w:framePr w:hSpace="181" w:wrap="notBeside" w:vAnchor="text" w:hAnchor="text" w:xAlign="center" w:y="1"/>
              <w:rPr>
                <w:lang w:val="en-US"/>
              </w:rPr>
            </w:pPr>
          </w:p>
        </w:tc>
        <w:tc>
          <w:tcPr>
            <w:tcW w:w="2155" w:type="dxa"/>
          </w:tcPr>
          <w:p w:rsidR="00B9359B" w:rsidRDefault="009A5268">
            <w:pPr>
              <w:pStyle w:val="Tablehead"/>
              <w:framePr w:hSpace="181" w:wrap="notBeside" w:vAnchor="text" w:hAnchor="text" w:xAlign="center" w:y="1"/>
              <w:rPr>
                <w:lang w:val="en-US"/>
              </w:rPr>
            </w:pPr>
            <w:r>
              <w:rPr>
                <w:lang w:val="en-US"/>
              </w:rPr>
              <w:t>Hib</w:t>
            </w:r>
            <w:r>
              <w:rPr>
                <w:lang w:val="en-US"/>
              </w:rPr>
              <w:noBreakHyphen/>
              <w:t>Leo 2</w:t>
            </w:r>
          </w:p>
        </w:tc>
      </w:tr>
      <w:tr w:rsidR="00B9359B">
        <w:tc>
          <w:tcPr>
            <w:tcW w:w="4763" w:type="dxa"/>
          </w:tcPr>
          <w:p w:rsidR="00B9359B" w:rsidRDefault="009A5268">
            <w:pPr>
              <w:pStyle w:val="Tabletext"/>
              <w:framePr w:hSpace="181" w:wrap="notBeside" w:vAnchor="text" w:hAnchor="text" w:xAlign="center" w:y="1"/>
              <w:rPr>
                <w:lang w:val="en-US"/>
              </w:rPr>
            </w:pPr>
            <w:r>
              <w:rPr>
                <w:lang w:val="en-US"/>
              </w:rPr>
              <w:t>Required power rejection (dB)</w:t>
            </w:r>
          </w:p>
        </w:tc>
        <w:tc>
          <w:tcPr>
            <w:tcW w:w="2155" w:type="dxa"/>
          </w:tcPr>
          <w:p w:rsidR="00B9359B" w:rsidRDefault="009A5268">
            <w:pPr>
              <w:pStyle w:val="Tabletext"/>
              <w:framePr w:hSpace="181" w:wrap="notBeside" w:vAnchor="text" w:hAnchor="text" w:xAlign="center" w:y="1"/>
              <w:jc w:val="center"/>
              <w:rPr>
                <w:lang w:val="en-US"/>
              </w:rPr>
            </w:pPr>
            <w:r>
              <w:rPr>
                <w:lang w:val="en-US"/>
              </w:rPr>
              <w:t>61.5</w:t>
            </w:r>
          </w:p>
        </w:tc>
      </w:tr>
      <w:tr w:rsidR="00B9359B">
        <w:tc>
          <w:tcPr>
            <w:tcW w:w="4763" w:type="dxa"/>
          </w:tcPr>
          <w:p w:rsidR="00B9359B" w:rsidRDefault="009A5268">
            <w:pPr>
              <w:pStyle w:val="Tabletext"/>
              <w:framePr w:hSpace="181" w:wrap="notBeside" w:vAnchor="text" w:hAnchor="text" w:xAlign="center" w:y="1"/>
              <w:rPr>
                <w:lang w:val="en-US"/>
              </w:rPr>
            </w:pPr>
            <w:r>
              <w:rPr>
                <w:lang w:val="en-US"/>
              </w:rPr>
              <w:t>Necessary bandwidth (MHz)</w:t>
            </w:r>
          </w:p>
        </w:tc>
        <w:tc>
          <w:tcPr>
            <w:tcW w:w="2155" w:type="dxa"/>
          </w:tcPr>
          <w:p w:rsidR="00B9359B" w:rsidRDefault="009A5268">
            <w:pPr>
              <w:pStyle w:val="Tabletext"/>
              <w:framePr w:hSpace="181" w:wrap="notBeside" w:vAnchor="text" w:hAnchor="text" w:xAlign="center" w:y="1"/>
              <w:jc w:val="center"/>
              <w:rPr>
                <w:lang w:val="en-US"/>
              </w:rPr>
            </w:pPr>
            <w:r>
              <w:rPr>
                <w:lang w:val="en-US"/>
              </w:rPr>
              <w:t>200</w:t>
            </w:r>
          </w:p>
        </w:tc>
      </w:tr>
      <w:tr w:rsidR="00B9359B">
        <w:tc>
          <w:tcPr>
            <w:tcW w:w="4763" w:type="dxa"/>
          </w:tcPr>
          <w:p w:rsidR="00B9359B" w:rsidRDefault="009A5268">
            <w:pPr>
              <w:pStyle w:val="Tabletext"/>
              <w:framePr w:hSpace="181" w:wrap="notBeside" w:vAnchor="text" w:hAnchor="text" w:xAlign="center" w:y="1"/>
              <w:rPr>
                <w:lang w:val="en-US"/>
              </w:rPr>
            </w:pPr>
            <w:r>
              <w:rPr>
                <w:lang w:val="en-US"/>
              </w:rPr>
              <w:t xml:space="preserve">Passive band (% </w:t>
            </w:r>
            <w:r>
              <w:rPr>
                <w:i/>
                <w:iCs/>
                <w:lang w:val="en-US"/>
              </w:rPr>
              <w:t>B</w:t>
            </w:r>
            <w:r>
              <w:rPr>
                <w:i/>
                <w:iCs/>
                <w:vertAlign w:val="subscript"/>
                <w:lang w:val="en-US"/>
              </w:rPr>
              <w:t>N</w:t>
            </w:r>
            <w:r>
              <w:rPr>
                <w:lang w:val="en-US"/>
              </w:rPr>
              <w:t>)</w:t>
            </w:r>
          </w:p>
        </w:tc>
        <w:tc>
          <w:tcPr>
            <w:tcW w:w="2155" w:type="dxa"/>
          </w:tcPr>
          <w:p w:rsidR="00B9359B" w:rsidRDefault="009A5268">
            <w:pPr>
              <w:pStyle w:val="Tabletext"/>
              <w:framePr w:hSpace="181" w:wrap="notBeside" w:vAnchor="text" w:hAnchor="text" w:xAlign="center" w:y="1"/>
              <w:jc w:val="center"/>
              <w:rPr>
                <w:lang w:val="en-US"/>
              </w:rPr>
            </w:pPr>
            <w:r>
              <w:rPr>
                <w:lang w:val="en-US"/>
              </w:rPr>
              <w:t>200</w:t>
            </w:r>
          </w:p>
        </w:tc>
      </w:tr>
      <w:tr w:rsidR="00B9359B">
        <w:tc>
          <w:tcPr>
            <w:tcW w:w="4763" w:type="dxa"/>
          </w:tcPr>
          <w:p w:rsidR="00B9359B" w:rsidRDefault="009A5268">
            <w:pPr>
              <w:pStyle w:val="Tabletext"/>
              <w:framePr w:hSpace="181" w:wrap="notBeside" w:vAnchor="text" w:hAnchor="text" w:xAlign="center" w:y="1"/>
              <w:rPr>
                <w:lang w:val="en-US"/>
              </w:rPr>
            </w:pPr>
            <w:r>
              <w:rPr>
                <w:lang w:val="en-US"/>
              </w:rPr>
              <w:t xml:space="preserve">Offset from centre </w:t>
            </w:r>
            <w:r>
              <w:rPr>
                <w:i/>
                <w:iCs/>
                <w:lang w:val="en-US"/>
              </w:rPr>
              <w:t>B</w:t>
            </w:r>
            <w:r>
              <w:rPr>
                <w:i/>
                <w:iCs/>
                <w:vertAlign w:val="subscript"/>
                <w:lang w:val="en-US"/>
              </w:rPr>
              <w:t>N</w:t>
            </w:r>
            <w:r>
              <w:rPr>
                <w:lang w:val="en-US"/>
              </w:rPr>
              <w:t xml:space="preserve"> (% </w:t>
            </w:r>
            <w:r>
              <w:rPr>
                <w:i/>
                <w:iCs/>
                <w:lang w:val="en-US"/>
              </w:rPr>
              <w:t>B</w:t>
            </w:r>
            <w:r>
              <w:rPr>
                <w:i/>
                <w:iCs/>
                <w:vertAlign w:val="subscript"/>
                <w:lang w:val="en-US"/>
              </w:rPr>
              <w:t>N</w:t>
            </w:r>
            <w:r>
              <w:rPr>
                <w:lang w:val="en-US"/>
              </w:rPr>
              <w:t>)</w:t>
            </w:r>
          </w:p>
        </w:tc>
        <w:tc>
          <w:tcPr>
            <w:tcW w:w="2155" w:type="dxa"/>
          </w:tcPr>
          <w:p w:rsidR="00B9359B" w:rsidRDefault="009A5268">
            <w:pPr>
              <w:pStyle w:val="Tabletext"/>
              <w:framePr w:hSpace="181" w:wrap="notBeside" w:vAnchor="text" w:hAnchor="text" w:xAlign="center" w:y="1"/>
              <w:jc w:val="center"/>
              <w:rPr>
                <w:lang w:val="en-US"/>
              </w:rPr>
            </w:pPr>
            <w:r>
              <w:rPr>
                <w:lang w:val="en-US"/>
              </w:rPr>
              <w:t>275</w:t>
            </w:r>
          </w:p>
        </w:tc>
      </w:tr>
      <w:tr w:rsidR="00B9359B">
        <w:tc>
          <w:tcPr>
            <w:tcW w:w="4763" w:type="dxa"/>
          </w:tcPr>
          <w:p w:rsidR="00B9359B" w:rsidRDefault="009A5268">
            <w:pPr>
              <w:pStyle w:val="Tabletext"/>
              <w:framePr w:hSpace="181" w:wrap="notBeside" w:vAnchor="text" w:hAnchor="text" w:xAlign="center" w:y="1"/>
              <w:rPr>
                <w:lang w:val="en-US"/>
              </w:rPr>
            </w:pPr>
            <w:r>
              <w:rPr>
                <w:lang w:val="en-US"/>
              </w:rPr>
              <w:t xml:space="preserve">Offset from centre </w:t>
            </w:r>
            <w:r>
              <w:rPr>
                <w:i/>
                <w:iCs/>
                <w:lang w:val="en-US"/>
              </w:rPr>
              <w:t>B</w:t>
            </w:r>
            <w:r>
              <w:rPr>
                <w:i/>
                <w:iCs/>
                <w:vertAlign w:val="subscript"/>
                <w:lang w:val="en-US"/>
              </w:rPr>
              <w:t>N</w:t>
            </w:r>
            <w:r>
              <w:rPr>
                <w:lang w:val="en-US"/>
              </w:rPr>
              <w:t xml:space="preserve"> (MHz)</w:t>
            </w:r>
          </w:p>
        </w:tc>
        <w:tc>
          <w:tcPr>
            <w:tcW w:w="2155" w:type="dxa"/>
          </w:tcPr>
          <w:p w:rsidR="00B9359B" w:rsidRDefault="009A5268">
            <w:pPr>
              <w:pStyle w:val="Tabletext"/>
              <w:framePr w:hSpace="181" w:wrap="notBeside" w:vAnchor="text" w:hAnchor="text" w:xAlign="center" w:y="1"/>
              <w:jc w:val="center"/>
              <w:rPr>
                <w:lang w:val="en-US"/>
              </w:rPr>
            </w:pPr>
            <w:r>
              <w:rPr>
                <w:lang w:val="en-US"/>
              </w:rPr>
              <w:t>550</w:t>
            </w:r>
          </w:p>
        </w:tc>
      </w:tr>
      <w:tr w:rsidR="00B9359B">
        <w:tc>
          <w:tcPr>
            <w:tcW w:w="4763" w:type="dxa"/>
          </w:tcPr>
          <w:p w:rsidR="00B9359B" w:rsidRDefault="009A5268">
            <w:pPr>
              <w:pStyle w:val="Tabletext"/>
              <w:framePr w:hSpace="181" w:wrap="notBeside" w:vAnchor="text" w:hAnchor="text" w:xAlign="center" w:y="1"/>
              <w:rPr>
                <w:lang w:val="en-US"/>
              </w:rPr>
            </w:pPr>
            <w:r>
              <w:rPr>
                <w:lang w:val="en-US"/>
              </w:rPr>
              <w:t>Required additional guardband (MHz)</w:t>
            </w:r>
          </w:p>
        </w:tc>
        <w:tc>
          <w:tcPr>
            <w:tcW w:w="2155" w:type="dxa"/>
          </w:tcPr>
          <w:p w:rsidR="00B9359B" w:rsidRDefault="009A5268">
            <w:pPr>
              <w:pStyle w:val="Tabletext"/>
              <w:framePr w:hSpace="181" w:wrap="notBeside" w:vAnchor="text" w:hAnchor="text" w:xAlign="center" w:y="1"/>
              <w:jc w:val="center"/>
              <w:rPr>
                <w:lang w:val="en-US"/>
              </w:rPr>
            </w:pPr>
            <w:r>
              <w:rPr>
                <w:lang w:val="en-US"/>
              </w:rPr>
              <w:t>400</w:t>
            </w:r>
          </w:p>
        </w:tc>
      </w:tr>
    </w:tbl>
    <w:p w:rsidR="00B9359B" w:rsidRDefault="00B9359B">
      <w:pPr>
        <w:pStyle w:val="Tablefin"/>
        <w:spacing w:before="0"/>
      </w:pPr>
    </w:p>
    <w:p w:rsidR="00B9359B" w:rsidRDefault="009A5268">
      <w:pPr>
        <w:pStyle w:val="Heading3"/>
        <w:rPr>
          <w:lang w:val="en-US"/>
        </w:rPr>
      </w:pPr>
      <w:bookmarkStart w:id="384" w:name="_Toc51045784"/>
      <w:r>
        <w:rPr>
          <w:lang w:val="en-US"/>
        </w:rPr>
        <w:t>4.5.2</w:t>
      </w:r>
      <w:r>
        <w:rPr>
          <w:lang w:val="en-US"/>
        </w:rPr>
        <w:tab/>
        <w:t>Nadir sensors</w:t>
      </w:r>
      <w:bookmarkEnd w:id="384"/>
    </w:p>
    <w:p w:rsidR="00B9359B" w:rsidRDefault="009A5268">
      <w:pPr>
        <w:rPr>
          <w:lang w:val="en-US"/>
        </w:rPr>
      </w:pPr>
      <w:r>
        <w:rPr>
          <w:lang w:val="en-US"/>
        </w:rPr>
        <w:t>On the basis of the results presented in Tables 42 and 43, Tables 48 to 50 and 51 to 53 present the minimum frequency offset that is required to protect the passive sensor from interference generated by the hypothetical systems presented in Table 37. In each case, the worst of the two configurations, sounding or calibration, was selected to determine the minimum required frequency offset.</w:t>
      </w:r>
    </w:p>
    <w:p w:rsidR="00B9359B" w:rsidRDefault="009A5268">
      <w:pPr>
        <w:pStyle w:val="TableNo"/>
        <w:rPr>
          <w:lang w:val="en-US"/>
        </w:rPr>
      </w:pPr>
      <w:r>
        <w:rPr>
          <w:lang w:val="en-US"/>
        </w:rPr>
        <w:t>TABLE  48</w:t>
      </w:r>
    </w:p>
    <w:p w:rsidR="00B9359B" w:rsidRDefault="009A5268">
      <w:pPr>
        <w:pStyle w:val="Tabletitle"/>
        <w:rPr>
          <w:lang w:val="en-US"/>
        </w:rPr>
      </w:pPr>
      <w:r>
        <w:rPr>
          <w:lang w:val="en-US"/>
        </w:rPr>
        <w:t>Summary of necessary guardbands to protect AMSU-A from ISS links</w:t>
      </w:r>
      <w:r>
        <w:rPr>
          <w:lang w:val="en-US"/>
        </w:rPr>
        <w:br/>
        <w:t>(200 MHz necessary bandwidth)</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5"/>
        <w:gridCol w:w="1158"/>
        <w:gridCol w:w="1159"/>
        <w:gridCol w:w="1159"/>
        <w:gridCol w:w="1159"/>
        <w:gridCol w:w="1159"/>
      </w:tblGrid>
      <w:tr w:rsidR="00B9359B">
        <w:tc>
          <w:tcPr>
            <w:tcW w:w="3765" w:type="dxa"/>
          </w:tcPr>
          <w:p w:rsidR="00B9359B" w:rsidRDefault="00B9359B">
            <w:pPr>
              <w:pStyle w:val="Tablehead"/>
              <w:framePr w:hSpace="181" w:wrap="notBeside" w:vAnchor="text" w:hAnchor="text" w:xAlign="center" w:y="1"/>
              <w:rPr>
                <w:lang w:val="en-US"/>
              </w:rPr>
            </w:pPr>
          </w:p>
        </w:tc>
        <w:tc>
          <w:tcPr>
            <w:tcW w:w="1134" w:type="dxa"/>
          </w:tcPr>
          <w:p w:rsidR="00B9359B" w:rsidRDefault="009A5268">
            <w:pPr>
              <w:pStyle w:val="Tablehead"/>
              <w:framePr w:hSpace="181" w:wrap="notBeside" w:vAnchor="text" w:hAnchor="text" w:xAlign="center" w:y="1"/>
              <w:rPr>
                <w:lang w:val="es-ES"/>
              </w:rPr>
            </w:pPr>
            <w:r>
              <w:rPr>
                <w:lang w:val="es-ES"/>
              </w:rPr>
              <w:t>LEO-1</w:t>
            </w:r>
          </w:p>
        </w:tc>
        <w:tc>
          <w:tcPr>
            <w:tcW w:w="1134" w:type="dxa"/>
          </w:tcPr>
          <w:p w:rsidR="00B9359B" w:rsidRDefault="009A5268">
            <w:pPr>
              <w:pStyle w:val="Tablehead"/>
              <w:framePr w:hSpace="181" w:wrap="notBeside" w:vAnchor="text" w:hAnchor="text" w:xAlign="center" w:y="1"/>
              <w:rPr>
                <w:lang w:val="es-ES"/>
              </w:rPr>
            </w:pPr>
            <w:r>
              <w:rPr>
                <w:lang w:val="es-ES"/>
              </w:rPr>
              <w:t>LEO-2</w:t>
            </w:r>
          </w:p>
        </w:tc>
        <w:tc>
          <w:tcPr>
            <w:tcW w:w="1134" w:type="dxa"/>
          </w:tcPr>
          <w:p w:rsidR="00B9359B" w:rsidRDefault="009A5268">
            <w:pPr>
              <w:pStyle w:val="Tablehead"/>
              <w:framePr w:hSpace="181" w:wrap="notBeside" w:vAnchor="text" w:hAnchor="text" w:xAlign="center" w:y="1"/>
              <w:rPr>
                <w:lang w:val="es-ES"/>
              </w:rPr>
            </w:pPr>
            <w:r>
              <w:rPr>
                <w:lang w:val="es-ES"/>
              </w:rPr>
              <w:t>LEO-3</w:t>
            </w:r>
          </w:p>
        </w:tc>
        <w:tc>
          <w:tcPr>
            <w:tcW w:w="1134" w:type="dxa"/>
          </w:tcPr>
          <w:p w:rsidR="00B9359B" w:rsidRDefault="009A5268">
            <w:pPr>
              <w:pStyle w:val="Tablehead"/>
              <w:framePr w:hSpace="181" w:wrap="notBeside" w:vAnchor="text" w:hAnchor="text" w:xAlign="center" w:y="1"/>
              <w:rPr>
                <w:lang w:val="en-US"/>
              </w:rPr>
            </w:pPr>
            <w:r>
              <w:rPr>
                <w:lang w:val="en-US"/>
              </w:rPr>
              <w:t>LEO-4</w:t>
            </w:r>
          </w:p>
        </w:tc>
        <w:tc>
          <w:tcPr>
            <w:tcW w:w="1134" w:type="dxa"/>
          </w:tcPr>
          <w:p w:rsidR="00B9359B" w:rsidRDefault="009A5268">
            <w:pPr>
              <w:pStyle w:val="Tablehead"/>
              <w:framePr w:hSpace="181" w:wrap="notBeside" w:vAnchor="text" w:hAnchor="text" w:xAlign="center" w:y="1"/>
              <w:rPr>
                <w:lang w:val="en-US"/>
              </w:rPr>
            </w:pPr>
            <w:r>
              <w:rPr>
                <w:lang w:val="en-US"/>
              </w:rPr>
              <w:t>GEO</w:t>
            </w:r>
          </w:p>
        </w:tc>
      </w:tr>
      <w:tr w:rsidR="00B9359B">
        <w:tc>
          <w:tcPr>
            <w:tcW w:w="3765" w:type="dxa"/>
            <w:tcMar>
              <w:left w:w="85" w:type="dxa"/>
              <w:right w:w="85" w:type="dxa"/>
            </w:tcMar>
          </w:tcPr>
          <w:p w:rsidR="00B9359B" w:rsidRDefault="009A5268">
            <w:pPr>
              <w:pStyle w:val="Tabletext"/>
              <w:framePr w:hSpace="181" w:wrap="notBeside" w:vAnchor="text" w:hAnchor="text" w:xAlign="center" w:y="1"/>
              <w:spacing w:before="60" w:after="60"/>
              <w:jc w:val="left"/>
              <w:rPr>
                <w:lang w:val="en-US"/>
              </w:rPr>
            </w:pPr>
            <w:r>
              <w:rPr>
                <w:lang w:val="en-US"/>
              </w:rPr>
              <w:t>Required power rejection (dB)</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25.75</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35.09</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30.76</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25.51</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33.05</w:t>
            </w:r>
          </w:p>
        </w:tc>
      </w:tr>
      <w:tr w:rsidR="00B9359B">
        <w:tc>
          <w:tcPr>
            <w:tcW w:w="3765" w:type="dxa"/>
            <w:tcMar>
              <w:left w:w="85" w:type="dxa"/>
              <w:right w:w="85" w:type="dxa"/>
            </w:tcMar>
          </w:tcPr>
          <w:p w:rsidR="00B9359B" w:rsidRDefault="009A5268">
            <w:pPr>
              <w:pStyle w:val="Tabletext"/>
              <w:framePr w:hSpace="181" w:wrap="notBeside" w:vAnchor="text" w:hAnchor="text" w:xAlign="center" w:y="1"/>
              <w:spacing w:before="60" w:after="60"/>
              <w:jc w:val="left"/>
              <w:rPr>
                <w:lang w:val="en-US"/>
              </w:rPr>
            </w:pPr>
            <w:r>
              <w:rPr>
                <w:lang w:val="en-US"/>
              </w:rPr>
              <w:t>Necessary bandwidth (MHz)</w:t>
            </w:r>
          </w:p>
        </w:tc>
        <w:tc>
          <w:tcPr>
            <w:tcW w:w="1134" w:type="dxa"/>
            <w:gridSpan w:val="5"/>
          </w:tcPr>
          <w:p w:rsidR="00B9359B" w:rsidRDefault="009A5268">
            <w:pPr>
              <w:pStyle w:val="Tabletext"/>
              <w:framePr w:hSpace="181" w:wrap="notBeside" w:vAnchor="text" w:hAnchor="text" w:xAlign="center" w:y="1"/>
              <w:spacing w:before="60" w:after="60"/>
              <w:jc w:val="center"/>
              <w:rPr>
                <w:lang w:val="en-US"/>
              </w:rPr>
            </w:pPr>
            <w:r>
              <w:rPr>
                <w:lang w:val="en-US"/>
              </w:rPr>
              <w:t>200</w:t>
            </w:r>
          </w:p>
        </w:tc>
      </w:tr>
      <w:tr w:rsidR="00B9359B">
        <w:tc>
          <w:tcPr>
            <w:tcW w:w="3765" w:type="dxa"/>
            <w:tcMar>
              <w:left w:w="85" w:type="dxa"/>
              <w:right w:w="85" w:type="dxa"/>
            </w:tcMar>
          </w:tcPr>
          <w:p w:rsidR="00B9359B" w:rsidRDefault="009A5268">
            <w:pPr>
              <w:pStyle w:val="Tabletext"/>
              <w:framePr w:hSpace="181" w:wrap="notBeside" w:vAnchor="text" w:hAnchor="text" w:xAlign="center" w:y="1"/>
              <w:spacing w:before="60" w:after="60"/>
              <w:jc w:val="left"/>
              <w:rPr>
                <w:lang w:val="en-US"/>
              </w:rPr>
            </w:pPr>
            <w:r>
              <w:rPr>
                <w:lang w:val="en-US"/>
              </w:rPr>
              <w:t xml:space="preserve">Passive band (% </w:t>
            </w:r>
            <w:r>
              <w:rPr>
                <w:i/>
                <w:iCs/>
                <w:lang w:val="en-US"/>
              </w:rPr>
              <w:t>B</w:t>
            </w:r>
            <w:r>
              <w:rPr>
                <w:i/>
                <w:iCs/>
                <w:vertAlign w:val="subscript"/>
                <w:lang w:val="en-US"/>
              </w:rPr>
              <w:t>N</w:t>
            </w:r>
            <w:r>
              <w:rPr>
                <w:lang w:val="en-US"/>
              </w:rPr>
              <w:t>)</w:t>
            </w:r>
          </w:p>
        </w:tc>
        <w:tc>
          <w:tcPr>
            <w:tcW w:w="1134" w:type="dxa"/>
            <w:gridSpan w:val="5"/>
          </w:tcPr>
          <w:p w:rsidR="00B9359B" w:rsidRDefault="009A5268">
            <w:pPr>
              <w:pStyle w:val="Tabletext"/>
              <w:framePr w:hSpace="181" w:wrap="notBeside" w:vAnchor="text" w:hAnchor="text" w:xAlign="center" w:y="1"/>
              <w:spacing w:before="60" w:after="60"/>
              <w:jc w:val="center"/>
              <w:rPr>
                <w:lang w:val="en-US"/>
              </w:rPr>
            </w:pPr>
            <w:r>
              <w:rPr>
                <w:lang w:val="en-US"/>
              </w:rPr>
              <w:t>200</w:t>
            </w:r>
          </w:p>
        </w:tc>
      </w:tr>
      <w:tr w:rsidR="00B9359B">
        <w:tc>
          <w:tcPr>
            <w:tcW w:w="3765" w:type="dxa"/>
            <w:tcMar>
              <w:left w:w="85" w:type="dxa"/>
              <w:right w:w="85" w:type="dxa"/>
            </w:tcMar>
          </w:tcPr>
          <w:p w:rsidR="00B9359B" w:rsidRDefault="009A5268">
            <w:pPr>
              <w:pStyle w:val="Tabletext"/>
              <w:framePr w:hSpace="181" w:wrap="notBeside" w:vAnchor="text" w:hAnchor="text" w:xAlign="center" w:y="1"/>
              <w:spacing w:before="60" w:after="60"/>
              <w:jc w:val="left"/>
              <w:rPr>
                <w:lang w:val="en-US"/>
              </w:rPr>
            </w:pPr>
            <w:r>
              <w:rPr>
                <w:lang w:val="en-US"/>
              </w:rPr>
              <w:t xml:space="preserve">Offset from centre </w:t>
            </w:r>
            <w:r>
              <w:rPr>
                <w:i/>
                <w:iCs/>
                <w:lang w:val="en-US"/>
              </w:rPr>
              <w:t>B</w:t>
            </w:r>
            <w:r>
              <w:rPr>
                <w:i/>
                <w:iCs/>
                <w:vertAlign w:val="subscript"/>
                <w:lang w:val="en-US"/>
              </w:rPr>
              <w:t>N</w:t>
            </w:r>
            <w:r>
              <w:rPr>
                <w:lang w:val="en-US"/>
              </w:rPr>
              <w:t xml:space="preserve"> (% </w:t>
            </w:r>
            <w:r>
              <w:rPr>
                <w:i/>
                <w:iCs/>
                <w:lang w:val="en-US"/>
              </w:rPr>
              <w:t>B</w:t>
            </w:r>
            <w:r>
              <w:rPr>
                <w:i/>
                <w:iCs/>
                <w:vertAlign w:val="subscript"/>
                <w:lang w:val="en-US"/>
              </w:rPr>
              <w:t>N</w:t>
            </w:r>
            <w:r>
              <w:rPr>
                <w:lang w:val="en-US"/>
              </w:rPr>
              <w:t>)</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76</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92</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84</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76</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87</w:t>
            </w:r>
          </w:p>
        </w:tc>
      </w:tr>
      <w:tr w:rsidR="00B9359B">
        <w:tc>
          <w:tcPr>
            <w:tcW w:w="3765" w:type="dxa"/>
            <w:tcMar>
              <w:left w:w="85" w:type="dxa"/>
              <w:right w:w="85" w:type="dxa"/>
            </w:tcMar>
          </w:tcPr>
          <w:p w:rsidR="00B9359B" w:rsidRDefault="009A5268">
            <w:pPr>
              <w:pStyle w:val="Tabletext"/>
              <w:framePr w:hSpace="181" w:wrap="notBeside" w:vAnchor="text" w:hAnchor="text" w:xAlign="center" w:y="1"/>
              <w:spacing w:before="60" w:after="60"/>
              <w:jc w:val="left"/>
              <w:rPr>
                <w:lang w:val="en-US"/>
              </w:rPr>
            </w:pPr>
            <w:r>
              <w:rPr>
                <w:lang w:val="en-US"/>
              </w:rPr>
              <w:t xml:space="preserve">Offset from centre </w:t>
            </w:r>
            <w:r>
              <w:rPr>
                <w:i/>
                <w:iCs/>
                <w:lang w:val="en-US"/>
              </w:rPr>
              <w:t>B</w:t>
            </w:r>
            <w:r>
              <w:rPr>
                <w:i/>
                <w:iCs/>
                <w:vertAlign w:val="subscript"/>
                <w:lang w:val="en-US"/>
              </w:rPr>
              <w:t>N</w:t>
            </w:r>
            <w:r>
              <w:rPr>
                <w:lang w:val="en-US"/>
              </w:rPr>
              <w:t xml:space="preserve"> (MHz)</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152</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184</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168</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152</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174</w:t>
            </w:r>
          </w:p>
        </w:tc>
      </w:tr>
      <w:tr w:rsidR="00B9359B">
        <w:tc>
          <w:tcPr>
            <w:tcW w:w="3765" w:type="dxa"/>
            <w:tcMar>
              <w:left w:w="85" w:type="dxa"/>
              <w:right w:w="85" w:type="dxa"/>
            </w:tcMar>
          </w:tcPr>
          <w:p w:rsidR="00B9359B" w:rsidRDefault="009A5268">
            <w:pPr>
              <w:pStyle w:val="Tabletext"/>
              <w:framePr w:hSpace="181" w:wrap="notBeside" w:vAnchor="text" w:hAnchor="text" w:xAlign="center" w:y="1"/>
              <w:spacing w:before="60" w:after="60"/>
              <w:jc w:val="left"/>
              <w:rPr>
                <w:lang w:val="en-US"/>
              </w:rPr>
            </w:pPr>
            <w:r>
              <w:rPr>
                <w:lang w:val="en-US"/>
              </w:rPr>
              <w:t>Required additional guardband (MHz)</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2</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34</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18</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2</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14</w:t>
            </w:r>
          </w:p>
        </w:tc>
      </w:tr>
    </w:tbl>
    <w:p w:rsidR="00B9359B" w:rsidRDefault="00B9359B">
      <w:pPr>
        <w:pStyle w:val="Tablefin"/>
        <w:spacing w:before="0"/>
      </w:pPr>
    </w:p>
    <w:p w:rsidR="00B9359B" w:rsidRDefault="009A5268">
      <w:pPr>
        <w:pStyle w:val="TableNo"/>
        <w:rPr>
          <w:lang w:val="en-US"/>
        </w:rPr>
      </w:pPr>
      <w:r>
        <w:rPr>
          <w:lang w:val="en-US"/>
        </w:rPr>
        <w:t>TABLE  49</w:t>
      </w:r>
    </w:p>
    <w:p w:rsidR="00B9359B" w:rsidRDefault="009A5268">
      <w:pPr>
        <w:pStyle w:val="Tabletitle"/>
        <w:rPr>
          <w:lang w:val="en-US"/>
        </w:rPr>
      </w:pPr>
      <w:r>
        <w:rPr>
          <w:lang w:val="en-US"/>
        </w:rPr>
        <w:t>Summary of necessary guardbands to protect AMSU-A from ISS links</w:t>
      </w:r>
      <w:r>
        <w:rPr>
          <w:color w:val="FF0000"/>
          <w:lang w:val="en-US"/>
        </w:rPr>
        <w:br/>
      </w:r>
      <w:r>
        <w:rPr>
          <w:lang w:val="en-US"/>
        </w:rPr>
        <w:t>(100 MHz necessary bandwidth)</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5"/>
        <w:gridCol w:w="1158"/>
        <w:gridCol w:w="1159"/>
        <w:gridCol w:w="1159"/>
        <w:gridCol w:w="1159"/>
        <w:gridCol w:w="1159"/>
      </w:tblGrid>
      <w:tr w:rsidR="00B9359B">
        <w:tc>
          <w:tcPr>
            <w:tcW w:w="3765" w:type="dxa"/>
            <w:tcMar>
              <w:left w:w="85" w:type="dxa"/>
              <w:right w:w="85" w:type="dxa"/>
            </w:tcMar>
          </w:tcPr>
          <w:p w:rsidR="00B9359B" w:rsidRDefault="00B9359B">
            <w:pPr>
              <w:pStyle w:val="Tabletext"/>
              <w:framePr w:hSpace="181" w:wrap="notBeside" w:vAnchor="text" w:hAnchor="text" w:xAlign="center" w:y="1"/>
              <w:rPr>
                <w:lang w:val="en-US"/>
              </w:rPr>
            </w:pPr>
          </w:p>
        </w:tc>
        <w:tc>
          <w:tcPr>
            <w:tcW w:w="1134" w:type="dxa"/>
          </w:tcPr>
          <w:p w:rsidR="00B9359B" w:rsidRDefault="009A5268">
            <w:pPr>
              <w:pStyle w:val="Tablehead"/>
              <w:framePr w:hSpace="181" w:wrap="notBeside" w:vAnchor="text" w:hAnchor="text" w:xAlign="center" w:y="1"/>
              <w:rPr>
                <w:lang w:val="es-ES"/>
              </w:rPr>
            </w:pPr>
            <w:r>
              <w:rPr>
                <w:lang w:val="es-ES"/>
              </w:rPr>
              <w:t>LEO-1</w:t>
            </w:r>
          </w:p>
        </w:tc>
        <w:tc>
          <w:tcPr>
            <w:tcW w:w="1134" w:type="dxa"/>
          </w:tcPr>
          <w:p w:rsidR="00B9359B" w:rsidRDefault="009A5268">
            <w:pPr>
              <w:pStyle w:val="Tablehead"/>
              <w:framePr w:hSpace="181" w:wrap="notBeside" w:vAnchor="text" w:hAnchor="text" w:xAlign="center" w:y="1"/>
              <w:rPr>
                <w:lang w:val="es-ES"/>
              </w:rPr>
            </w:pPr>
            <w:r>
              <w:rPr>
                <w:lang w:val="es-ES"/>
              </w:rPr>
              <w:t>LEO-2</w:t>
            </w:r>
          </w:p>
        </w:tc>
        <w:tc>
          <w:tcPr>
            <w:tcW w:w="1134" w:type="dxa"/>
          </w:tcPr>
          <w:p w:rsidR="00B9359B" w:rsidRDefault="009A5268">
            <w:pPr>
              <w:pStyle w:val="Tablehead"/>
              <w:framePr w:hSpace="181" w:wrap="notBeside" w:vAnchor="text" w:hAnchor="text" w:xAlign="center" w:y="1"/>
              <w:rPr>
                <w:lang w:val="es-ES"/>
              </w:rPr>
            </w:pPr>
            <w:r>
              <w:rPr>
                <w:lang w:val="es-ES"/>
              </w:rPr>
              <w:t>LEO-3</w:t>
            </w:r>
          </w:p>
        </w:tc>
        <w:tc>
          <w:tcPr>
            <w:tcW w:w="1134" w:type="dxa"/>
          </w:tcPr>
          <w:p w:rsidR="00B9359B" w:rsidRDefault="009A5268">
            <w:pPr>
              <w:pStyle w:val="Tablehead"/>
              <w:framePr w:hSpace="181" w:wrap="notBeside" w:vAnchor="text" w:hAnchor="text" w:xAlign="center" w:y="1"/>
              <w:rPr>
                <w:lang w:val="en-US"/>
              </w:rPr>
            </w:pPr>
            <w:r>
              <w:rPr>
                <w:lang w:val="en-US"/>
              </w:rPr>
              <w:t>LEO-4</w:t>
            </w:r>
          </w:p>
        </w:tc>
        <w:tc>
          <w:tcPr>
            <w:tcW w:w="1134" w:type="dxa"/>
          </w:tcPr>
          <w:p w:rsidR="00B9359B" w:rsidRDefault="009A5268">
            <w:pPr>
              <w:pStyle w:val="Tablehead"/>
              <w:framePr w:hSpace="181" w:wrap="notBeside" w:vAnchor="text" w:hAnchor="text" w:xAlign="center" w:y="1"/>
              <w:rPr>
                <w:lang w:val="en-US"/>
              </w:rPr>
            </w:pPr>
            <w:r>
              <w:rPr>
                <w:lang w:val="en-US"/>
              </w:rPr>
              <w:t>GEO</w:t>
            </w:r>
          </w:p>
        </w:tc>
      </w:tr>
      <w:tr w:rsidR="00B9359B">
        <w:tc>
          <w:tcPr>
            <w:tcW w:w="3765" w:type="dxa"/>
            <w:tcMar>
              <w:left w:w="85" w:type="dxa"/>
              <w:right w:w="85" w:type="dxa"/>
            </w:tcMar>
          </w:tcPr>
          <w:p w:rsidR="00B9359B" w:rsidRDefault="009A5268">
            <w:pPr>
              <w:pStyle w:val="Tabletext"/>
              <w:framePr w:hSpace="181" w:wrap="notBeside" w:vAnchor="text" w:hAnchor="text" w:xAlign="center" w:y="1"/>
              <w:spacing w:before="60" w:after="60"/>
              <w:rPr>
                <w:lang w:val="en-US"/>
              </w:rPr>
            </w:pPr>
            <w:r>
              <w:rPr>
                <w:lang w:val="en-US"/>
              </w:rPr>
              <w:t>Required power rejection (dB)</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25.75</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35.09</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30.76</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25.51</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33.05</w:t>
            </w:r>
          </w:p>
        </w:tc>
      </w:tr>
      <w:tr w:rsidR="00B9359B">
        <w:tc>
          <w:tcPr>
            <w:tcW w:w="3765" w:type="dxa"/>
            <w:tcMar>
              <w:left w:w="85" w:type="dxa"/>
              <w:right w:w="85" w:type="dxa"/>
            </w:tcMar>
          </w:tcPr>
          <w:p w:rsidR="00B9359B" w:rsidRDefault="009A5268">
            <w:pPr>
              <w:pStyle w:val="Tabletext"/>
              <w:framePr w:hSpace="181" w:wrap="notBeside" w:vAnchor="text" w:hAnchor="text" w:xAlign="center" w:y="1"/>
              <w:spacing w:before="60" w:after="60"/>
              <w:rPr>
                <w:lang w:val="en-US"/>
              </w:rPr>
            </w:pPr>
            <w:r>
              <w:rPr>
                <w:lang w:val="en-US"/>
              </w:rPr>
              <w:t>Necessary bandwidth (MHz)</w:t>
            </w:r>
          </w:p>
        </w:tc>
        <w:tc>
          <w:tcPr>
            <w:tcW w:w="1134" w:type="dxa"/>
            <w:gridSpan w:val="5"/>
          </w:tcPr>
          <w:p w:rsidR="00B9359B" w:rsidRDefault="009A5268">
            <w:pPr>
              <w:pStyle w:val="Tabletext"/>
              <w:framePr w:hSpace="181" w:wrap="notBeside" w:vAnchor="text" w:hAnchor="text" w:xAlign="center" w:y="1"/>
              <w:spacing w:before="60" w:after="60"/>
              <w:jc w:val="center"/>
              <w:rPr>
                <w:lang w:val="en-US"/>
              </w:rPr>
            </w:pPr>
            <w:r>
              <w:rPr>
                <w:lang w:val="en-US"/>
              </w:rPr>
              <w:t>100</w:t>
            </w:r>
          </w:p>
        </w:tc>
      </w:tr>
      <w:tr w:rsidR="00B9359B">
        <w:tc>
          <w:tcPr>
            <w:tcW w:w="3765" w:type="dxa"/>
            <w:tcMar>
              <w:left w:w="85" w:type="dxa"/>
              <w:right w:w="85" w:type="dxa"/>
            </w:tcMar>
          </w:tcPr>
          <w:p w:rsidR="00B9359B" w:rsidRDefault="009A5268">
            <w:pPr>
              <w:pStyle w:val="Tabletext"/>
              <w:framePr w:hSpace="181" w:wrap="notBeside" w:vAnchor="text" w:hAnchor="text" w:xAlign="center" w:y="1"/>
              <w:spacing w:before="60" w:after="60"/>
              <w:rPr>
                <w:lang w:val="en-US"/>
              </w:rPr>
            </w:pPr>
            <w:r>
              <w:rPr>
                <w:lang w:val="en-US"/>
              </w:rPr>
              <w:t xml:space="preserve">Passive band (% </w:t>
            </w:r>
            <w:r>
              <w:rPr>
                <w:i/>
                <w:iCs/>
                <w:lang w:val="en-US"/>
              </w:rPr>
              <w:t>B</w:t>
            </w:r>
            <w:r>
              <w:rPr>
                <w:i/>
                <w:iCs/>
                <w:vertAlign w:val="subscript"/>
                <w:lang w:val="en-US"/>
              </w:rPr>
              <w:t>N</w:t>
            </w:r>
            <w:r>
              <w:rPr>
                <w:lang w:val="en-US"/>
              </w:rPr>
              <w:t>)</w:t>
            </w:r>
          </w:p>
        </w:tc>
        <w:tc>
          <w:tcPr>
            <w:tcW w:w="1134" w:type="dxa"/>
            <w:gridSpan w:val="5"/>
          </w:tcPr>
          <w:p w:rsidR="00B9359B" w:rsidRDefault="009A5268">
            <w:pPr>
              <w:pStyle w:val="Tabletext"/>
              <w:framePr w:hSpace="181" w:wrap="notBeside" w:vAnchor="text" w:hAnchor="text" w:xAlign="center" w:y="1"/>
              <w:spacing w:before="60" w:after="60"/>
              <w:jc w:val="center"/>
              <w:rPr>
                <w:lang w:val="en-US"/>
              </w:rPr>
            </w:pPr>
            <w:r>
              <w:rPr>
                <w:lang w:val="en-US"/>
              </w:rPr>
              <w:t>400</w:t>
            </w:r>
          </w:p>
        </w:tc>
      </w:tr>
      <w:tr w:rsidR="00B9359B">
        <w:tc>
          <w:tcPr>
            <w:tcW w:w="3765" w:type="dxa"/>
            <w:tcMar>
              <w:left w:w="85" w:type="dxa"/>
              <w:right w:w="85" w:type="dxa"/>
            </w:tcMar>
          </w:tcPr>
          <w:p w:rsidR="00B9359B" w:rsidRDefault="009A5268">
            <w:pPr>
              <w:pStyle w:val="Tabletext"/>
              <w:framePr w:hSpace="181" w:wrap="notBeside" w:vAnchor="text" w:hAnchor="text" w:xAlign="center" w:y="1"/>
              <w:spacing w:before="60" w:after="60"/>
              <w:rPr>
                <w:lang w:val="en-US"/>
              </w:rPr>
            </w:pPr>
            <w:r>
              <w:rPr>
                <w:lang w:val="en-US"/>
              </w:rPr>
              <w:t xml:space="preserve">Offset from centre </w:t>
            </w:r>
            <w:r>
              <w:rPr>
                <w:i/>
                <w:iCs/>
                <w:lang w:val="en-US"/>
              </w:rPr>
              <w:t>B</w:t>
            </w:r>
            <w:r>
              <w:rPr>
                <w:i/>
                <w:iCs/>
                <w:vertAlign w:val="subscript"/>
                <w:lang w:val="en-US"/>
              </w:rPr>
              <w:t>N</w:t>
            </w:r>
            <w:r>
              <w:rPr>
                <w:lang w:val="en-US"/>
              </w:rPr>
              <w:t xml:space="preserve"> (% </w:t>
            </w:r>
            <w:r>
              <w:rPr>
                <w:i/>
                <w:iCs/>
                <w:lang w:val="en-US"/>
              </w:rPr>
              <w:t>B</w:t>
            </w:r>
            <w:r>
              <w:rPr>
                <w:i/>
                <w:iCs/>
                <w:vertAlign w:val="subscript"/>
                <w:lang w:val="en-US"/>
              </w:rPr>
              <w:t>N</w:t>
            </w:r>
            <w:r>
              <w:rPr>
                <w:lang w:val="en-US"/>
              </w:rPr>
              <w:t>)</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76</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92</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84</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76</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87</w:t>
            </w:r>
          </w:p>
        </w:tc>
      </w:tr>
      <w:tr w:rsidR="00B9359B">
        <w:tc>
          <w:tcPr>
            <w:tcW w:w="3765" w:type="dxa"/>
            <w:tcMar>
              <w:left w:w="85" w:type="dxa"/>
              <w:right w:w="85" w:type="dxa"/>
            </w:tcMar>
          </w:tcPr>
          <w:p w:rsidR="00B9359B" w:rsidRDefault="009A5268">
            <w:pPr>
              <w:pStyle w:val="Tabletext"/>
              <w:framePr w:hSpace="181" w:wrap="notBeside" w:vAnchor="text" w:hAnchor="text" w:xAlign="center" w:y="1"/>
              <w:spacing w:before="60" w:after="60"/>
              <w:rPr>
                <w:lang w:val="en-US"/>
              </w:rPr>
            </w:pPr>
            <w:r>
              <w:rPr>
                <w:lang w:val="en-US"/>
              </w:rPr>
              <w:t xml:space="preserve">Offset from centre </w:t>
            </w:r>
            <w:r>
              <w:rPr>
                <w:i/>
                <w:iCs/>
                <w:lang w:val="en-US"/>
              </w:rPr>
              <w:t>B</w:t>
            </w:r>
            <w:r>
              <w:rPr>
                <w:i/>
                <w:iCs/>
                <w:vertAlign w:val="subscript"/>
                <w:lang w:val="en-US"/>
              </w:rPr>
              <w:t>N</w:t>
            </w:r>
            <w:r>
              <w:rPr>
                <w:lang w:val="en-US"/>
              </w:rPr>
              <w:t xml:space="preserve"> (MHz)</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76</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92</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84</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76</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87</w:t>
            </w:r>
          </w:p>
        </w:tc>
      </w:tr>
      <w:tr w:rsidR="00B9359B">
        <w:tc>
          <w:tcPr>
            <w:tcW w:w="3765" w:type="dxa"/>
            <w:tcMar>
              <w:left w:w="85" w:type="dxa"/>
              <w:right w:w="85" w:type="dxa"/>
            </w:tcMar>
          </w:tcPr>
          <w:p w:rsidR="00B9359B" w:rsidRDefault="009A5268">
            <w:pPr>
              <w:pStyle w:val="Tabletext"/>
              <w:framePr w:hSpace="181" w:wrap="notBeside" w:vAnchor="text" w:hAnchor="text" w:xAlign="center" w:y="1"/>
              <w:spacing w:before="60" w:after="60"/>
              <w:rPr>
                <w:lang w:val="en-US"/>
              </w:rPr>
            </w:pPr>
            <w:r>
              <w:rPr>
                <w:lang w:val="en-US"/>
              </w:rPr>
              <w:t>Required additional guardband (MHz)</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0</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0</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0</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0</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0</w:t>
            </w:r>
          </w:p>
        </w:tc>
      </w:tr>
    </w:tbl>
    <w:p w:rsidR="00B9359B" w:rsidRDefault="00B9359B">
      <w:pPr>
        <w:pStyle w:val="Tablefin"/>
        <w:spacing w:before="0"/>
      </w:pPr>
    </w:p>
    <w:p w:rsidR="00B9359B" w:rsidRDefault="009A5268">
      <w:pPr>
        <w:pStyle w:val="TableNo"/>
        <w:rPr>
          <w:lang w:val="en-US"/>
        </w:rPr>
      </w:pPr>
      <w:r>
        <w:rPr>
          <w:lang w:val="en-US"/>
        </w:rPr>
        <w:br w:type="page"/>
        <w:t>TABLE  50</w:t>
      </w:r>
    </w:p>
    <w:p w:rsidR="00B9359B" w:rsidRDefault="009A5268">
      <w:pPr>
        <w:pStyle w:val="Tabletitle"/>
        <w:rPr>
          <w:lang w:val="en-US"/>
        </w:rPr>
      </w:pPr>
      <w:r>
        <w:rPr>
          <w:lang w:val="en-US"/>
        </w:rPr>
        <w:t>Summary of necessary guardbands to protect AMSU-A from ISS links</w:t>
      </w:r>
      <w:r>
        <w:rPr>
          <w:lang w:val="en-US"/>
        </w:rPr>
        <w:br/>
        <w:t>(50 MHz necessary bandwidth)</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5"/>
        <w:gridCol w:w="1158"/>
        <w:gridCol w:w="1159"/>
        <w:gridCol w:w="1159"/>
        <w:gridCol w:w="1159"/>
        <w:gridCol w:w="1159"/>
      </w:tblGrid>
      <w:tr w:rsidR="00B9359B">
        <w:tc>
          <w:tcPr>
            <w:tcW w:w="3765" w:type="dxa"/>
            <w:tcMar>
              <w:left w:w="85" w:type="dxa"/>
              <w:right w:w="85" w:type="dxa"/>
            </w:tcMar>
          </w:tcPr>
          <w:p w:rsidR="00B9359B" w:rsidRDefault="00B9359B">
            <w:pPr>
              <w:pStyle w:val="Tabletext"/>
              <w:framePr w:hSpace="181" w:wrap="notBeside" w:vAnchor="text" w:hAnchor="text" w:xAlign="center" w:y="1"/>
              <w:rPr>
                <w:lang w:val="en-US"/>
              </w:rPr>
            </w:pPr>
          </w:p>
        </w:tc>
        <w:tc>
          <w:tcPr>
            <w:tcW w:w="1134" w:type="dxa"/>
          </w:tcPr>
          <w:p w:rsidR="00B9359B" w:rsidRDefault="009A5268">
            <w:pPr>
              <w:pStyle w:val="Tablehead"/>
              <w:framePr w:hSpace="181" w:wrap="notBeside" w:vAnchor="text" w:hAnchor="text" w:xAlign="center" w:y="1"/>
              <w:rPr>
                <w:lang w:val="es-ES"/>
              </w:rPr>
            </w:pPr>
            <w:r>
              <w:rPr>
                <w:lang w:val="es-ES"/>
              </w:rPr>
              <w:t>LEO-1</w:t>
            </w:r>
          </w:p>
        </w:tc>
        <w:tc>
          <w:tcPr>
            <w:tcW w:w="1134" w:type="dxa"/>
          </w:tcPr>
          <w:p w:rsidR="00B9359B" w:rsidRDefault="009A5268">
            <w:pPr>
              <w:pStyle w:val="Tablehead"/>
              <w:framePr w:hSpace="181" w:wrap="notBeside" w:vAnchor="text" w:hAnchor="text" w:xAlign="center" w:y="1"/>
              <w:rPr>
                <w:lang w:val="es-ES"/>
              </w:rPr>
            </w:pPr>
            <w:r>
              <w:rPr>
                <w:lang w:val="es-ES"/>
              </w:rPr>
              <w:t>LEO-2</w:t>
            </w:r>
          </w:p>
        </w:tc>
        <w:tc>
          <w:tcPr>
            <w:tcW w:w="1134" w:type="dxa"/>
          </w:tcPr>
          <w:p w:rsidR="00B9359B" w:rsidRDefault="009A5268">
            <w:pPr>
              <w:pStyle w:val="Tablehead"/>
              <w:framePr w:hSpace="181" w:wrap="notBeside" w:vAnchor="text" w:hAnchor="text" w:xAlign="center" w:y="1"/>
              <w:rPr>
                <w:lang w:val="es-ES"/>
              </w:rPr>
            </w:pPr>
            <w:r>
              <w:rPr>
                <w:lang w:val="es-ES"/>
              </w:rPr>
              <w:t>LEO-3</w:t>
            </w:r>
          </w:p>
        </w:tc>
        <w:tc>
          <w:tcPr>
            <w:tcW w:w="1134" w:type="dxa"/>
          </w:tcPr>
          <w:p w:rsidR="00B9359B" w:rsidRDefault="009A5268">
            <w:pPr>
              <w:pStyle w:val="Tablehead"/>
              <w:framePr w:hSpace="181" w:wrap="notBeside" w:vAnchor="text" w:hAnchor="text" w:xAlign="center" w:y="1"/>
              <w:rPr>
                <w:lang w:val="en-US"/>
              </w:rPr>
            </w:pPr>
            <w:r>
              <w:rPr>
                <w:lang w:val="en-US"/>
              </w:rPr>
              <w:t>LEO-4</w:t>
            </w:r>
          </w:p>
        </w:tc>
        <w:tc>
          <w:tcPr>
            <w:tcW w:w="1134" w:type="dxa"/>
          </w:tcPr>
          <w:p w:rsidR="00B9359B" w:rsidRDefault="009A5268">
            <w:pPr>
              <w:pStyle w:val="Tablehead"/>
              <w:framePr w:hSpace="181" w:wrap="notBeside" w:vAnchor="text" w:hAnchor="text" w:xAlign="center" w:y="1"/>
              <w:rPr>
                <w:lang w:val="en-US"/>
              </w:rPr>
            </w:pPr>
            <w:r>
              <w:rPr>
                <w:lang w:val="en-US"/>
              </w:rPr>
              <w:t>GEO</w:t>
            </w:r>
          </w:p>
        </w:tc>
      </w:tr>
      <w:tr w:rsidR="00B9359B">
        <w:tc>
          <w:tcPr>
            <w:tcW w:w="3765" w:type="dxa"/>
            <w:tcMar>
              <w:left w:w="85" w:type="dxa"/>
              <w:right w:w="85" w:type="dxa"/>
            </w:tcMar>
          </w:tcPr>
          <w:p w:rsidR="00B9359B" w:rsidRDefault="009A5268">
            <w:pPr>
              <w:pStyle w:val="Tabletext"/>
              <w:framePr w:hSpace="181" w:wrap="notBeside" w:vAnchor="text" w:hAnchor="text" w:xAlign="center" w:y="1"/>
              <w:spacing w:before="60" w:after="60"/>
              <w:rPr>
                <w:lang w:val="en-US"/>
              </w:rPr>
            </w:pPr>
            <w:r>
              <w:rPr>
                <w:lang w:val="en-US"/>
              </w:rPr>
              <w:t>Required power rejection (dB)</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22.75</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32.09</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27.76</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22.51</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30.05</w:t>
            </w:r>
          </w:p>
        </w:tc>
      </w:tr>
      <w:tr w:rsidR="00B9359B">
        <w:tc>
          <w:tcPr>
            <w:tcW w:w="3765" w:type="dxa"/>
            <w:tcMar>
              <w:left w:w="85" w:type="dxa"/>
              <w:right w:w="85" w:type="dxa"/>
            </w:tcMar>
          </w:tcPr>
          <w:p w:rsidR="00B9359B" w:rsidRDefault="009A5268">
            <w:pPr>
              <w:pStyle w:val="Tabletext"/>
              <w:framePr w:hSpace="181" w:wrap="notBeside" w:vAnchor="text" w:hAnchor="text" w:xAlign="center" w:y="1"/>
              <w:spacing w:before="60" w:after="60"/>
              <w:rPr>
                <w:lang w:val="en-US"/>
              </w:rPr>
            </w:pPr>
            <w:r>
              <w:rPr>
                <w:lang w:val="en-US"/>
              </w:rPr>
              <w:t>Necessary bandwidth (MHz)</w:t>
            </w:r>
          </w:p>
        </w:tc>
        <w:tc>
          <w:tcPr>
            <w:tcW w:w="1134" w:type="dxa"/>
            <w:gridSpan w:val="5"/>
          </w:tcPr>
          <w:p w:rsidR="00B9359B" w:rsidRDefault="009A5268">
            <w:pPr>
              <w:pStyle w:val="Tabletext"/>
              <w:framePr w:hSpace="181" w:wrap="notBeside" w:vAnchor="text" w:hAnchor="text" w:xAlign="center" w:y="1"/>
              <w:spacing w:before="60" w:after="60"/>
              <w:jc w:val="center"/>
              <w:rPr>
                <w:lang w:val="en-US"/>
              </w:rPr>
            </w:pPr>
            <w:r>
              <w:rPr>
                <w:lang w:val="en-US"/>
              </w:rPr>
              <w:t>50</w:t>
            </w:r>
          </w:p>
        </w:tc>
      </w:tr>
      <w:tr w:rsidR="00B9359B">
        <w:tc>
          <w:tcPr>
            <w:tcW w:w="3765" w:type="dxa"/>
            <w:tcMar>
              <w:left w:w="85" w:type="dxa"/>
              <w:right w:w="85" w:type="dxa"/>
            </w:tcMar>
          </w:tcPr>
          <w:p w:rsidR="00B9359B" w:rsidRDefault="009A5268">
            <w:pPr>
              <w:pStyle w:val="Tabletext"/>
              <w:framePr w:hSpace="181" w:wrap="notBeside" w:vAnchor="text" w:hAnchor="text" w:xAlign="center" w:y="1"/>
              <w:spacing w:before="60" w:after="60"/>
              <w:rPr>
                <w:lang w:val="en-US"/>
              </w:rPr>
            </w:pPr>
            <w:r>
              <w:rPr>
                <w:lang w:val="en-US"/>
              </w:rPr>
              <w:t xml:space="preserve">Passive band (% </w:t>
            </w:r>
            <w:r>
              <w:rPr>
                <w:i/>
                <w:iCs/>
                <w:lang w:val="en-US"/>
              </w:rPr>
              <w:t>B</w:t>
            </w:r>
            <w:r>
              <w:rPr>
                <w:i/>
                <w:iCs/>
                <w:vertAlign w:val="subscript"/>
                <w:lang w:val="en-US"/>
              </w:rPr>
              <w:t>N</w:t>
            </w:r>
            <w:r>
              <w:rPr>
                <w:lang w:val="en-US"/>
              </w:rPr>
              <w:t>)</w:t>
            </w:r>
          </w:p>
        </w:tc>
        <w:tc>
          <w:tcPr>
            <w:tcW w:w="1134" w:type="dxa"/>
            <w:gridSpan w:val="5"/>
          </w:tcPr>
          <w:p w:rsidR="00B9359B" w:rsidRDefault="009A5268">
            <w:pPr>
              <w:pStyle w:val="Tabletext"/>
              <w:framePr w:hSpace="181" w:wrap="notBeside" w:vAnchor="text" w:hAnchor="text" w:xAlign="center" w:y="1"/>
              <w:spacing w:before="60" w:after="60"/>
              <w:jc w:val="center"/>
              <w:rPr>
                <w:lang w:val="en-US"/>
              </w:rPr>
            </w:pPr>
            <w:r>
              <w:rPr>
                <w:lang w:val="en-US"/>
              </w:rPr>
              <w:t>800</w:t>
            </w:r>
          </w:p>
        </w:tc>
      </w:tr>
      <w:tr w:rsidR="00B9359B">
        <w:tc>
          <w:tcPr>
            <w:tcW w:w="3765" w:type="dxa"/>
            <w:tcMar>
              <w:left w:w="85" w:type="dxa"/>
              <w:right w:w="85" w:type="dxa"/>
            </w:tcMar>
          </w:tcPr>
          <w:p w:rsidR="00B9359B" w:rsidRDefault="009A5268">
            <w:pPr>
              <w:pStyle w:val="Tabletext"/>
              <w:framePr w:hSpace="181" w:wrap="notBeside" w:vAnchor="text" w:hAnchor="text" w:xAlign="center" w:y="1"/>
              <w:spacing w:before="60" w:after="60"/>
              <w:rPr>
                <w:lang w:val="en-US"/>
              </w:rPr>
            </w:pPr>
            <w:r>
              <w:rPr>
                <w:lang w:val="en-US"/>
              </w:rPr>
              <w:t xml:space="preserve">Offset from centre </w:t>
            </w:r>
            <w:r>
              <w:rPr>
                <w:i/>
                <w:iCs/>
                <w:lang w:val="en-US"/>
              </w:rPr>
              <w:t>B</w:t>
            </w:r>
            <w:r>
              <w:rPr>
                <w:i/>
                <w:iCs/>
                <w:vertAlign w:val="subscript"/>
                <w:lang w:val="en-US"/>
              </w:rPr>
              <w:t>N</w:t>
            </w:r>
            <w:r>
              <w:rPr>
                <w:lang w:val="en-US"/>
              </w:rPr>
              <w:t xml:space="preserve"> (% </w:t>
            </w:r>
            <w:r>
              <w:rPr>
                <w:i/>
                <w:iCs/>
                <w:lang w:val="en-US"/>
              </w:rPr>
              <w:t>B</w:t>
            </w:r>
            <w:r>
              <w:rPr>
                <w:i/>
                <w:iCs/>
                <w:vertAlign w:val="subscript"/>
                <w:lang w:val="en-US"/>
              </w:rPr>
              <w:t>N</w:t>
            </w:r>
            <w:r>
              <w:rPr>
                <w:lang w:val="en-US"/>
              </w:rPr>
              <w:t>)</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71</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85</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79</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70</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83</w:t>
            </w:r>
          </w:p>
        </w:tc>
      </w:tr>
      <w:tr w:rsidR="00B9359B">
        <w:tc>
          <w:tcPr>
            <w:tcW w:w="3765" w:type="dxa"/>
            <w:tcMar>
              <w:left w:w="85" w:type="dxa"/>
              <w:right w:w="85" w:type="dxa"/>
            </w:tcMar>
          </w:tcPr>
          <w:p w:rsidR="00B9359B" w:rsidRDefault="009A5268">
            <w:pPr>
              <w:pStyle w:val="Tabletext"/>
              <w:framePr w:hSpace="181" w:wrap="notBeside" w:vAnchor="text" w:hAnchor="text" w:xAlign="center" w:y="1"/>
              <w:spacing w:before="60" w:after="60"/>
              <w:rPr>
                <w:lang w:val="en-US"/>
              </w:rPr>
            </w:pPr>
            <w:r>
              <w:rPr>
                <w:lang w:val="en-US"/>
              </w:rPr>
              <w:t xml:space="preserve">Offset from centre </w:t>
            </w:r>
            <w:r>
              <w:rPr>
                <w:i/>
                <w:iCs/>
                <w:lang w:val="en-US"/>
              </w:rPr>
              <w:t>B</w:t>
            </w:r>
            <w:r>
              <w:rPr>
                <w:i/>
                <w:iCs/>
                <w:vertAlign w:val="subscript"/>
                <w:lang w:val="en-US"/>
              </w:rPr>
              <w:t>N</w:t>
            </w:r>
            <w:r>
              <w:rPr>
                <w:lang w:val="en-US"/>
              </w:rPr>
              <w:t> (MHz)</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36</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43</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40</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35</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42</w:t>
            </w:r>
          </w:p>
        </w:tc>
      </w:tr>
      <w:tr w:rsidR="00B9359B">
        <w:tc>
          <w:tcPr>
            <w:tcW w:w="3765" w:type="dxa"/>
            <w:tcMar>
              <w:left w:w="85" w:type="dxa"/>
              <w:right w:w="85" w:type="dxa"/>
            </w:tcMar>
          </w:tcPr>
          <w:p w:rsidR="00B9359B" w:rsidRDefault="009A5268">
            <w:pPr>
              <w:pStyle w:val="Tabletext"/>
              <w:framePr w:hSpace="181" w:wrap="notBeside" w:vAnchor="text" w:hAnchor="text" w:xAlign="center" w:y="1"/>
              <w:spacing w:before="60" w:after="60"/>
              <w:rPr>
                <w:lang w:val="en-US"/>
              </w:rPr>
            </w:pPr>
            <w:r>
              <w:rPr>
                <w:lang w:val="en-US"/>
              </w:rPr>
              <w:t>Required additional guardband (MHz)</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0</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0</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0</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0</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0</w:t>
            </w:r>
          </w:p>
        </w:tc>
      </w:tr>
    </w:tbl>
    <w:p w:rsidR="00B9359B" w:rsidRDefault="00B9359B">
      <w:pPr>
        <w:pStyle w:val="Tablefin"/>
      </w:pPr>
    </w:p>
    <w:p w:rsidR="00B9359B" w:rsidRDefault="009A5268">
      <w:pPr>
        <w:pStyle w:val="TableNo"/>
        <w:rPr>
          <w:lang w:val="en-US"/>
        </w:rPr>
      </w:pPr>
      <w:r>
        <w:rPr>
          <w:lang w:val="en-US"/>
        </w:rPr>
        <w:t>TABLE  51</w:t>
      </w:r>
    </w:p>
    <w:p w:rsidR="00B9359B" w:rsidRDefault="009A5268">
      <w:pPr>
        <w:pStyle w:val="Tabletitle"/>
        <w:rPr>
          <w:lang w:val="en-US"/>
        </w:rPr>
      </w:pPr>
      <w:r>
        <w:rPr>
          <w:lang w:val="en-US"/>
        </w:rPr>
        <w:t>Summary of necessary guardbands to protect the “push-broom” from ISS links</w:t>
      </w:r>
      <w:r>
        <w:rPr>
          <w:lang w:val="en-US"/>
        </w:rPr>
        <w:br/>
        <w:t>(200 MHz necessary bandwidth)</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5"/>
        <w:gridCol w:w="1158"/>
        <w:gridCol w:w="1159"/>
        <w:gridCol w:w="1159"/>
        <w:gridCol w:w="1159"/>
        <w:gridCol w:w="1159"/>
      </w:tblGrid>
      <w:tr w:rsidR="00B9359B">
        <w:tc>
          <w:tcPr>
            <w:tcW w:w="3845" w:type="dxa"/>
            <w:tcMar>
              <w:left w:w="85" w:type="dxa"/>
              <w:right w:w="85" w:type="dxa"/>
            </w:tcMar>
          </w:tcPr>
          <w:p w:rsidR="00B9359B" w:rsidRDefault="00B9359B">
            <w:pPr>
              <w:pStyle w:val="Tabletext"/>
              <w:framePr w:hSpace="181" w:wrap="notBeside" w:vAnchor="text" w:hAnchor="text" w:xAlign="center" w:y="1"/>
              <w:rPr>
                <w:lang w:val="en-US"/>
              </w:rPr>
            </w:pPr>
          </w:p>
        </w:tc>
        <w:tc>
          <w:tcPr>
            <w:tcW w:w="1158" w:type="dxa"/>
          </w:tcPr>
          <w:p w:rsidR="00B9359B" w:rsidRDefault="009A5268">
            <w:pPr>
              <w:pStyle w:val="Tablehead"/>
              <w:keepNext w:val="0"/>
              <w:framePr w:hSpace="181" w:wrap="notBeside" w:vAnchor="text" w:hAnchor="text" w:xAlign="center" w:y="1"/>
              <w:rPr>
                <w:lang w:val="es-ES"/>
              </w:rPr>
            </w:pPr>
            <w:r>
              <w:rPr>
                <w:lang w:val="es-ES"/>
              </w:rPr>
              <w:t>LEO-1</w:t>
            </w:r>
          </w:p>
        </w:tc>
        <w:tc>
          <w:tcPr>
            <w:tcW w:w="1159" w:type="dxa"/>
          </w:tcPr>
          <w:p w:rsidR="00B9359B" w:rsidRDefault="009A5268">
            <w:pPr>
              <w:pStyle w:val="Tablehead"/>
              <w:keepNext w:val="0"/>
              <w:framePr w:hSpace="181" w:wrap="notBeside" w:vAnchor="text" w:hAnchor="text" w:xAlign="center" w:y="1"/>
              <w:rPr>
                <w:lang w:val="es-ES"/>
              </w:rPr>
            </w:pPr>
            <w:r>
              <w:rPr>
                <w:lang w:val="es-ES"/>
              </w:rPr>
              <w:t>LEO-2</w:t>
            </w:r>
          </w:p>
        </w:tc>
        <w:tc>
          <w:tcPr>
            <w:tcW w:w="1159" w:type="dxa"/>
          </w:tcPr>
          <w:p w:rsidR="00B9359B" w:rsidRDefault="009A5268">
            <w:pPr>
              <w:pStyle w:val="Tablehead"/>
              <w:keepNext w:val="0"/>
              <w:framePr w:hSpace="181" w:wrap="notBeside" w:vAnchor="text" w:hAnchor="text" w:xAlign="center" w:y="1"/>
              <w:rPr>
                <w:lang w:val="es-ES"/>
              </w:rPr>
            </w:pPr>
            <w:r>
              <w:rPr>
                <w:lang w:val="es-ES"/>
              </w:rPr>
              <w:t>LEO-3</w:t>
            </w:r>
          </w:p>
        </w:tc>
        <w:tc>
          <w:tcPr>
            <w:tcW w:w="1159" w:type="dxa"/>
          </w:tcPr>
          <w:p w:rsidR="00B9359B" w:rsidRDefault="009A5268">
            <w:pPr>
              <w:pStyle w:val="Tablehead"/>
              <w:keepNext w:val="0"/>
              <w:framePr w:hSpace="181" w:wrap="notBeside" w:vAnchor="text" w:hAnchor="text" w:xAlign="center" w:y="1"/>
              <w:rPr>
                <w:lang w:val="en-US"/>
              </w:rPr>
            </w:pPr>
            <w:r>
              <w:rPr>
                <w:lang w:val="en-US"/>
              </w:rPr>
              <w:t>LEO-4</w:t>
            </w:r>
          </w:p>
        </w:tc>
        <w:tc>
          <w:tcPr>
            <w:tcW w:w="1159" w:type="dxa"/>
          </w:tcPr>
          <w:p w:rsidR="00B9359B" w:rsidRDefault="009A5268">
            <w:pPr>
              <w:pStyle w:val="Tablehead"/>
              <w:keepNext w:val="0"/>
              <w:framePr w:hSpace="181" w:wrap="notBeside" w:vAnchor="text" w:hAnchor="text" w:xAlign="center" w:y="1"/>
              <w:rPr>
                <w:lang w:val="en-US"/>
              </w:rPr>
            </w:pPr>
            <w:r>
              <w:rPr>
                <w:lang w:val="en-US"/>
              </w:rPr>
              <w:t>GEO</w:t>
            </w:r>
          </w:p>
        </w:tc>
      </w:tr>
      <w:tr w:rsidR="00B9359B">
        <w:tc>
          <w:tcPr>
            <w:tcW w:w="3845" w:type="dxa"/>
            <w:tcMar>
              <w:left w:w="85" w:type="dxa"/>
              <w:right w:w="85" w:type="dxa"/>
            </w:tcMar>
          </w:tcPr>
          <w:p w:rsidR="00B9359B" w:rsidRDefault="009A5268">
            <w:pPr>
              <w:pStyle w:val="Tabletext"/>
              <w:framePr w:hSpace="181" w:wrap="notBeside" w:vAnchor="text" w:hAnchor="text" w:xAlign="center" w:y="1"/>
              <w:spacing w:before="60" w:after="60"/>
              <w:rPr>
                <w:lang w:val="en-US"/>
              </w:rPr>
            </w:pPr>
            <w:r>
              <w:rPr>
                <w:lang w:val="en-US"/>
              </w:rPr>
              <w:t>Required power rejection (dB)</w:t>
            </w:r>
          </w:p>
        </w:tc>
        <w:tc>
          <w:tcPr>
            <w:tcW w:w="1158" w:type="dxa"/>
          </w:tcPr>
          <w:p w:rsidR="00B9359B" w:rsidRDefault="009A5268">
            <w:pPr>
              <w:pStyle w:val="Tabletext"/>
              <w:framePr w:hSpace="181" w:wrap="notBeside" w:vAnchor="text" w:hAnchor="text" w:xAlign="center" w:y="1"/>
              <w:spacing w:before="60" w:after="60"/>
              <w:jc w:val="center"/>
              <w:rPr>
                <w:lang w:val="en-US"/>
              </w:rPr>
            </w:pPr>
            <w:r>
              <w:rPr>
                <w:lang w:val="en-US"/>
              </w:rPr>
              <w:t>34.75</w:t>
            </w:r>
          </w:p>
        </w:tc>
        <w:tc>
          <w:tcPr>
            <w:tcW w:w="1159" w:type="dxa"/>
          </w:tcPr>
          <w:p w:rsidR="00B9359B" w:rsidRDefault="009A5268">
            <w:pPr>
              <w:pStyle w:val="Tabletext"/>
              <w:framePr w:hSpace="181" w:wrap="notBeside" w:vAnchor="text" w:hAnchor="text" w:xAlign="center" w:y="1"/>
              <w:spacing w:before="60" w:after="60"/>
              <w:jc w:val="center"/>
              <w:rPr>
                <w:lang w:val="en-US"/>
              </w:rPr>
            </w:pPr>
            <w:r>
              <w:rPr>
                <w:lang w:val="en-US"/>
              </w:rPr>
              <w:t>44.09</w:t>
            </w:r>
          </w:p>
        </w:tc>
        <w:tc>
          <w:tcPr>
            <w:tcW w:w="1159" w:type="dxa"/>
          </w:tcPr>
          <w:p w:rsidR="00B9359B" w:rsidRDefault="009A5268">
            <w:pPr>
              <w:pStyle w:val="Tabletext"/>
              <w:framePr w:hSpace="181" w:wrap="notBeside" w:vAnchor="text" w:hAnchor="text" w:xAlign="center" w:y="1"/>
              <w:spacing w:before="60" w:after="60"/>
              <w:jc w:val="center"/>
              <w:rPr>
                <w:lang w:val="en-US"/>
              </w:rPr>
            </w:pPr>
            <w:r>
              <w:rPr>
                <w:lang w:val="en-US"/>
              </w:rPr>
              <w:t>31.01</w:t>
            </w:r>
          </w:p>
        </w:tc>
        <w:tc>
          <w:tcPr>
            <w:tcW w:w="1159" w:type="dxa"/>
          </w:tcPr>
          <w:p w:rsidR="00B9359B" w:rsidRDefault="009A5268">
            <w:pPr>
              <w:pStyle w:val="Tabletext"/>
              <w:framePr w:hSpace="181" w:wrap="notBeside" w:vAnchor="text" w:hAnchor="text" w:xAlign="center" w:y="1"/>
              <w:spacing w:before="60" w:after="60"/>
              <w:jc w:val="center"/>
              <w:rPr>
                <w:lang w:val="en-US"/>
              </w:rPr>
            </w:pPr>
            <w:r>
              <w:rPr>
                <w:lang w:val="en-US"/>
              </w:rPr>
              <w:t>25.76</w:t>
            </w:r>
          </w:p>
        </w:tc>
        <w:tc>
          <w:tcPr>
            <w:tcW w:w="1159" w:type="dxa"/>
          </w:tcPr>
          <w:p w:rsidR="00B9359B" w:rsidRDefault="009A5268">
            <w:pPr>
              <w:pStyle w:val="Tabletext"/>
              <w:framePr w:hSpace="181" w:wrap="notBeside" w:vAnchor="text" w:hAnchor="text" w:xAlign="center" w:y="1"/>
              <w:spacing w:before="60" w:after="60"/>
              <w:jc w:val="center"/>
              <w:rPr>
                <w:lang w:val="en-US"/>
              </w:rPr>
            </w:pPr>
            <w:r>
              <w:rPr>
                <w:lang w:val="en-US"/>
              </w:rPr>
              <w:t>32.06</w:t>
            </w:r>
          </w:p>
        </w:tc>
      </w:tr>
      <w:tr w:rsidR="00B9359B">
        <w:tc>
          <w:tcPr>
            <w:tcW w:w="3845" w:type="dxa"/>
            <w:tcMar>
              <w:left w:w="85" w:type="dxa"/>
              <w:right w:w="85" w:type="dxa"/>
            </w:tcMar>
          </w:tcPr>
          <w:p w:rsidR="00B9359B" w:rsidRDefault="009A5268">
            <w:pPr>
              <w:pStyle w:val="Tabletext"/>
              <w:framePr w:hSpace="181" w:wrap="notBeside" w:vAnchor="text" w:hAnchor="text" w:xAlign="center" w:y="1"/>
              <w:spacing w:before="60" w:after="60"/>
              <w:rPr>
                <w:lang w:val="en-US"/>
              </w:rPr>
            </w:pPr>
            <w:r>
              <w:rPr>
                <w:lang w:val="en-US"/>
              </w:rPr>
              <w:t>Necessary bandwidth (MHz)</w:t>
            </w:r>
          </w:p>
        </w:tc>
        <w:tc>
          <w:tcPr>
            <w:tcW w:w="5794" w:type="dxa"/>
            <w:gridSpan w:val="5"/>
          </w:tcPr>
          <w:p w:rsidR="00B9359B" w:rsidRDefault="009A5268">
            <w:pPr>
              <w:pStyle w:val="Tabletext"/>
              <w:framePr w:hSpace="181" w:wrap="notBeside" w:vAnchor="text" w:hAnchor="text" w:xAlign="center" w:y="1"/>
              <w:spacing w:before="60" w:after="60"/>
              <w:jc w:val="center"/>
              <w:rPr>
                <w:lang w:val="en-US"/>
              </w:rPr>
            </w:pPr>
            <w:r>
              <w:rPr>
                <w:lang w:val="en-US"/>
              </w:rPr>
              <w:t>200</w:t>
            </w:r>
          </w:p>
        </w:tc>
      </w:tr>
      <w:tr w:rsidR="00B9359B">
        <w:tc>
          <w:tcPr>
            <w:tcW w:w="3845" w:type="dxa"/>
            <w:tcMar>
              <w:left w:w="85" w:type="dxa"/>
              <w:right w:w="85" w:type="dxa"/>
            </w:tcMar>
          </w:tcPr>
          <w:p w:rsidR="00B9359B" w:rsidRDefault="009A5268">
            <w:pPr>
              <w:pStyle w:val="Tabletext"/>
              <w:framePr w:hSpace="181" w:wrap="notBeside" w:vAnchor="text" w:hAnchor="text" w:xAlign="center" w:y="1"/>
              <w:spacing w:before="60" w:after="60"/>
              <w:rPr>
                <w:lang w:val="en-US"/>
              </w:rPr>
            </w:pPr>
            <w:r>
              <w:rPr>
                <w:lang w:val="en-US"/>
              </w:rPr>
              <w:t xml:space="preserve">Passive band (% </w:t>
            </w:r>
            <w:r>
              <w:rPr>
                <w:i/>
                <w:iCs/>
                <w:lang w:val="en-US"/>
              </w:rPr>
              <w:t>B</w:t>
            </w:r>
            <w:r>
              <w:rPr>
                <w:i/>
                <w:iCs/>
                <w:vertAlign w:val="subscript"/>
                <w:lang w:val="en-US"/>
              </w:rPr>
              <w:t>N</w:t>
            </w:r>
            <w:r>
              <w:rPr>
                <w:lang w:val="en-US"/>
              </w:rPr>
              <w:t>)</w:t>
            </w:r>
          </w:p>
        </w:tc>
        <w:tc>
          <w:tcPr>
            <w:tcW w:w="5794" w:type="dxa"/>
            <w:gridSpan w:val="5"/>
          </w:tcPr>
          <w:p w:rsidR="00B9359B" w:rsidRDefault="009A5268">
            <w:pPr>
              <w:pStyle w:val="Tabletext"/>
              <w:framePr w:hSpace="181" w:wrap="notBeside" w:vAnchor="text" w:hAnchor="text" w:xAlign="center" w:y="1"/>
              <w:spacing w:before="60" w:after="60"/>
              <w:jc w:val="center"/>
              <w:rPr>
                <w:lang w:val="en-US"/>
              </w:rPr>
            </w:pPr>
            <w:r>
              <w:rPr>
                <w:lang w:val="en-US"/>
              </w:rPr>
              <w:t>200</w:t>
            </w:r>
          </w:p>
        </w:tc>
      </w:tr>
      <w:tr w:rsidR="00B9359B">
        <w:tc>
          <w:tcPr>
            <w:tcW w:w="3845" w:type="dxa"/>
            <w:tcMar>
              <w:left w:w="85" w:type="dxa"/>
              <w:right w:w="85" w:type="dxa"/>
            </w:tcMar>
          </w:tcPr>
          <w:p w:rsidR="00B9359B" w:rsidRDefault="009A5268">
            <w:pPr>
              <w:pStyle w:val="Tabletext"/>
              <w:framePr w:hSpace="181" w:wrap="notBeside" w:vAnchor="text" w:hAnchor="text" w:xAlign="center" w:y="1"/>
              <w:spacing w:before="60" w:after="60"/>
              <w:rPr>
                <w:lang w:val="en-US"/>
              </w:rPr>
            </w:pPr>
            <w:r>
              <w:rPr>
                <w:lang w:val="en-US"/>
              </w:rPr>
              <w:t xml:space="preserve">Offset from centre </w:t>
            </w:r>
            <w:r>
              <w:rPr>
                <w:i/>
                <w:iCs/>
                <w:lang w:val="en-US"/>
              </w:rPr>
              <w:t>B</w:t>
            </w:r>
            <w:r>
              <w:rPr>
                <w:i/>
                <w:iCs/>
                <w:vertAlign w:val="subscript"/>
                <w:lang w:val="en-US"/>
              </w:rPr>
              <w:t>N</w:t>
            </w:r>
            <w:r>
              <w:rPr>
                <w:lang w:val="en-US"/>
              </w:rPr>
              <w:t xml:space="preserve"> (% </w:t>
            </w:r>
            <w:r>
              <w:rPr>
                <w:i/>
                <w:iCs/>
                <w:lang w:val="en-US"/>
              </w:rPr>
              <w:t>B</w:t>
            </w:r>
            <w:r>
              <w:rPr>
                <w:i/>
                <w:iCs/>
                <w:vertAlign w:val="subscript"/>
                <w:lang w:val="en-US"/>
              </w:rPr>
              <w:t>N</w:t>
            </w:r>
            <w:r>
              <w:rPr>
                <w:lang w:val="en-US"/>
              </w:rPr>
              <w:t>)</w:t>
            </w:r>
          </w:p>
        </w:tc>
        <w:tc>
          <w:tcPr>
            <w:tcW w:w="1158" w:type="dxa"/>
          </w:tcPr>
          <w:p w:rsidR="00B9359B" w:rsidRDefault="009A5268">
            <w:pPr>
              <w:pStyle w:val="Tabletext"/>
              <w:framePr w:hSpace="181" w:wrap="notBeside" w:vAnchor="text" w:hAnchor="text" w:xAlign="center" w:y="1"/>
              <w:spacing w:before="60" w:after="60"/>
              <w:jc w:val="center"/>
              <w:rPr>
                <w:lang w:val="en-US"/>
              </w:rPr>
            </w:pPr>
            <w:r>
              <w:rPr>
                <w:lang w:val="en-US"/>
              </w:rPr>
              <w:t>91</w:t>
            </w:r>
          </w:p>
        </w:tc>
        <w:tc>
          <w:tcPr>
            <w:tcW w:w="1159" w:type="dxa"/>
          </w:tcPr>
          <w:p w:rsidR="00B9359B" w:rsidRDefault="009A5268">
            <w:pPr>
              <w:pStyle w:val="Tabletext"/>
              <w:framePr w:hSpace="181" w:wrap="notBeside" w:vAnchor="text" w:hAnchor="text" w:xAlign="center" w:y="1"/>
              <w:spacing w:before="60" w:after="60"/>
              <w:jc w:val="center"/>
              <w:rPr>
                <w:lang w:val="en-US"/>
              </w:rPr>
            </w:pPr>
            <w:r>
              <w:rPr>
                <w:lang w:val="en-US"/>
              </w:rPr>
              <w:t>138</w:t>
            </w:r>
          </w:p>
        </w:tc>
        <w:tc>
          <w:tcPr>
            <w:tcW w:w="1159" w:type="dxa"/>
          </w:tcPr>
          <w:p w:rsidR="00B9359B" w:rsidRDefault="009A5268">
            <w:pPr>
              <w:pStyle w:val="Tabletext"/>
              <w:framePr w:hSpace="181" w:wrap="notBeside" w:vAnchor="text" w:hAnchor="text" w:xAlign="center" w:y="1"/>
              <w:spacing w:before="60" w:after="60"/>
              <w:jc w:val="center"/>
              <w:rPr>
                <w:lang w:val="en-US"/>
              </w:rPr>
            </w:pPr>
            <w:r>
              <w:rPr>
                <w:lang w:val="en-US"/>
              </w:rPr>
              <w:t>84</w:t>
            </w:r>
          </w:p>
        </w:tc>
        <w:tc>
          <w:tcPr>
            <w:tcW w:w="1159" w:type="dxa"/>
          </w:tcPr>
          <w:p w:rsidR="00B9359B" w:rsidRDefault="009A5268">
            <w:pPr>
              <w:pStyle w:val="Tabletext"/>
              <w:framePr w:hSpace="181" w:wrap="notBeside" w:vAnchor="text" w:hAnchor="text" w:xAlign="center" w:y="1"/>
              <w:spacing w:before="60" w:after="60"/>
              <w:jc w:val="center"/>
              <w:rPr>
                <w:lang w:val="en-US"/>
              </w:rPr>
            </w:pPr>
            <w:r>
              <w:rPr>
                <w:lang w:val="en-US"/>
              </w:rPr>
              <w:t>76</w:t>
            </w:r>
          </w:p>
        </w:tc>
        <w:tc>
          <w:tcPr>
            <w:tcW w:w="1159" w:type="dxa"/>
          </w:tcPr>
          <w:p w:rsidR="00B9359B" w:rsidRDefault="009A5268">
            <w:pPr>
              <w:pStyle w:val="Tabletext"/>
              <w:framePr w:hSpace="181" w:wrap="notBeside" w:vAnchor="text" w:hAnchor="text" w:xAlign="center" w:y="1"/>
              <w:spacing w:before="60" w:after="60"/>
              <w:jc w:val="center"/>
              <w:rPr>
                <w:lang w:val="en-US"/>
              </w:rPr>
            </w:pPr>
            <w:r>
              <w:rPr>
                <w:lang w:val="en-US"/>
              </w:rPr>
              <w:t>86</w:t>
            </w:r>
          </w:p>
        </w:tc>
      </w:tr>
      <w:tr w:rsidR="00B9359B">
        <w:tc>
          <w:tcPr>
            <w:tcW w:w="3845" w:type="dxa"/>
            <w:tcMar>
              <w:left w:w="85" w:type="dxa"/>
              <w:right w:w="85" w:type="dxa"/>
            </w:tcMar>
          </w:tcPr>
          <w:p w:rsidR="00B9359B" w:rsidRDefault="009A5268">
            <w:pPr>
              <w:pStyle w:val="Tabletext"/>
              <w:framePr w:hSpace="181" w:wrap="notBeside" w:vAnchor="text" w:hAnchor="text" w:xAlign="center" w:y="1"/>
              <w:spacing w:before="60" w:after="60"/>
              <w:rPr>
                <w:lang w:val="en-US"/>
              </w:rPr>
            </w:pPr>
            <w:r>
              <w:rPr>
                <w:lang w:val="en-US"/>
              </w:rPr>
              <w:t xml:space="preserve">Offset from centre </w:t>
            </w:r>
            <w:r>
              <w:rPr>
                <w:i/>
                <w:iCs/>
                <w:lang w:val="en-US"/>
              </w:rPr>
              <w:t>B</w:t>
            </w:r>
            <w:r>
              <w:rPr>
                <w:i/>
                <w:iCs/>
                <w:vertAlign w:val="subscript"/>
                <w:lang w:val="en-US"/>
              </w:rPr>
              <w:t>N</w:t>
            </w:r>
            <w:r>
              <w:rPr>
                <w:lang w:val="en-US"/>
              </w:rPr>
              <w:t> (MHz)</w:t>
            </w:r>
          </w:p>
        </w:tc>
        <w:tc>
          <w:tcPr>
            <w:tcW w:w="1158" w:type="dxa"/>
          </w:tcPr>
          <w:p w:rsidR="00B9359B" w:rsidRDefault="009A5268">
            <w:pPr>
              <w:pStyle w:val="Tabletext"/>
              <w:framePr w:hSpace="181" w:wrap="notBeside" w:vAnchor="text" w:hAnchor="text" w:xAlign="center" w:y="1"/>
              <w:spacing w:before="60" w:after="60"/>
              <w:jc w:val="center"/>
              <w:rPr>
                <w:lang w:val="en-US"/>
              </w:rPr>
            </w:pPr>
            <w:r>
              <w:rPr>
                <w:lang w:val="en-US"/>
              </w:rPr>
              <w:t>182</w:t>
            </w:r>
          </w:p>
        </w:tc>
        <w:tc>
          <w:tcPr>
            <w:tcW w:w="1159" w:type="dxa"/>
          </w:tcPr>
          <w:p w:rsidR="00B9359B" w:rsidRDefault="009A5268">
            <w:pPr>
              <w:pStyle w:val="Tabletext"/>
              <w:framePr w:hSpace="181" w:wrap="notBeside" w:vAnchor="text" w:hAnchor="text" w:xAlign="center" w:y="1"/>
              <w:spacing w:before="60" w:after="60"/>
              <w:jc w:val="center"/>
              <w:rPr>
                <w:lang w:val="en-US"/>
              </w:rPr>
            </w:pPr>
            <w:r>
              <w:rPr>
                <w:lang w:val="en-US"/>
              </w:rPr>
              <w:t>276</w:t>
            </w:r>
          </w:p>
        </w:tc>
        <w:tc>
          <w:tcPr>
            <w:tcW w:w="1159" w:type="dxa"/>
          </w:tcPr>
          <w:p w:rsidR="00B9359B" w:rsidRDefault="009A5268">
            <w:pPr>
              <w:pStyle w:val="Tabletext"/>
              <w:framePr w:hSpace="181" w:wrap="notBeside" w:vAnchor="text" w:hAnchor="text" w:xAlign="center" w:y="1"/>
              <w:spacing w:before="60" w:after="60"/>
              <w:jc w:val="center"/>
              <w:rPr>
                <w:lang w:val="en-US"/>
              </w:rPr>
            </w:pPr>
            <w:r>
              <w:rPr>
                <w:lang w:val="en-US"/>
              </w:rPr>
              <w:t>168</w:t>
            </w:r>
          </w:p>
        </w:tc>
        <w:tc>
          <w:tcPr>
            <w:tcW w:w="1159" w:type="dxa"/>
          </w:tcPr>
          <w:p w:rsidR="00B9359B" w:rsidRDefault="009A5268">
            <w:pPr>
              <w:pStyle w:val="Tabletext"/>
              <w:framePr w:hSpace="181" w:wrap="notBeside" w:vAnchor="text" w:hAnchor="text" w:xAlign="center" w:y="1"/>
              <w:spacing w:before="60" w:after="60"/>
              <w:jc w:val="center"/>
              <w:rPr>
                <w:lang w:val="en-US"/>
              </w:rPr>
            </w:pPr>
            <w:r>
              <w:rPr>
                <w:lang w:val="en-US"/>
              </w:rPr>
              <w:t>152</w:t>
            </w:r>
          </w:p>
        </w:tc>
        <w:tc>
          <w:tcPr>
            <w:tcW w:w="1159" w:type="dxa"/>
          </w:tcPr>
          <w:p w:rsidR="00B9359B" w:rsidRDefault="009A5268">
            <w:pPr>
              <w:pStyle w:val="Tabletext"/>
              <w:framePr w:hSpace="181" w:wrap="notBeside" w:vAnchor="text" w:hAnchor="text" w:xAlign="center" w:y="1"/>
              <w:spacing w:before="60" w:after="60"/>
              <w:jc w:val="center"/>
              <w:rPr>
                <w:lang w:val="en-US"/>
              </w:rPr>
            </w:pPr>
            <w:r>
              <w:rPr>
                <w:lang w:val="en-US"/>
              </w:rPr>
              <w:t>172</w:t>
            </w:r>
          </w:p>
        </w:tc>
      </w:tr>
      <w:tr w:rsidR="00B9359B">
        <w:tc>
          <w:tcPr>
            <w:tcW w:w="3845" w:type="dxa"/>
            <w:tcMar>
              <w:left w:w="85" w:type="dxa"/>
              <w:right w:w="85" w:type="dxa"/>
            </w:tcMar>
          </w:tcPr>
          <w:p w:rsidR="00B9359B" w:rsidRDefault="009A5268">
            <w:pPr>
              <w:pStyle w:val="Tabletext"/>
              <w:framePr w:hSpace="181" w:wrap="notBeside" w:vAnchor="text" w:hAnchor="text" w:xAlign="center" w:y="1"/>
              <w:spacing w:before="60" w:after="60"/>
              <w:jc w:val="left"/>
              <w:rPr>
                <w:lang w:val="en-US"/>
              </w:rPr>
            </w:pPr>
            <w:r>
              <w:rPr>
                <w:lang w:val="en-US"/>
              </w:rPr>
              <w:t>Required additional guardband (MHz)</w:t>
            </w:r>
          </w:p>
        </w:tc>
        <w:tc>
          <w:tcPr>
            <w:tcW w:w="1158" w:type="dxa"/>
          </w:tcPr>
          <w:p w:rsidR="00B9359B" w:rsidRDefault="009A5268">
            <w:pPr>
              <w:pStyle w:val="Tabletext"/>
              <w:framePr w:hSpace="181" w:wrap="notBeside" w:vAnchor="text" w:hAnchor="text" w:xAlign="center" w:y="1"/>
              <w:spacing w:before="60" w:after="60"/>
              <w:jc w:val="center"/>
              <w:rPr>
                <w:lang w:val="en-US"/>
              </w:rPr>
            </w:pPr>
            <w:r>
              <w:rPr>
                <w:lang w:val="en-US"/>
              </w:rPr>
              <w:t>32</w:t>
            </w:r>
          </w:p>
        </w:tc>
        <w:tc>
          <w:tcPr>
            <w:tcW w:w="1159" w:type="dxa"/>
          </w:tcPr>
          <w:p w:rsidR="00B9359B" w:rsidRDefault="009A5268">
            <w:pPr>
              <w:pStyle w:val="Tabletext"/>
              <w:framePr w:hSpace="181" w:wrap="notBeside" w:vAnchor="text" w:hAnchor="text" w:xAlign="center" w:y="1"/>
              <w:spacing w:before="60" w:after="60"/>
              <w:jc w:val="center"/>
              <w:rPr>
                <w:lang w:val="en-US"/>
              </w:rPr>
            </w:pPr>
            <w:r>
              <w:rPr>
                <w:lang w:val="en-US"/>
              </w:rPr>
              <w:t>126</w:t>
            </w:r>
          </w:p>
        </w:tc>
        <w:tc>
          <w:tcPr>
            <w:tcW w:w="1159" w:type="dxa"/>
          </w:tcPr>
          <w:p w:rsidR="00B9359B" w:rsidRDefault="009A5268">
            <w:pPr>
              <w:pStyle w:val="Tabletext"/>
              <w:framePr w:hSpace="181" w:wrap="notBeside" w:vAnchor="text" w:hAnchor="text" w:xAlign="center" w:y="1"/>
              <w:spacing w:before="60" w:after="60"/>
              <w:jc w:val="center"/>
              <w:rPr>
                <w:lang w:val="en-US"/>
              </w:rPr>
            </w:pPr>
            <w:r>
              <w:rPr>
                <w:lang w:val="en-US"/>
              </w:rPr>
              <w:t>18</w:t>
            </w:r>
          </w:p>
        </w:tc>
        <w:tc>
          <w:tcPr>
            <w:tcW w:w="1159" w:type="dxa"/>
          </w:tcPr>
          <w:p w:rsidR="00B9359B" w:rsidRDefault="009A5268">
            <w:pPr>
              <w:pStyle w:val="Tabletext"/>
              <w:framePr w:hSpace="181" w:wrap="notBeside" w:vAnchor="text" w:hAnchor="text" w:xAlign="center" w:y="1"/>
              <w:spacing w:before="60" w:after="60"/>
              <w:jc w:val="center"/>
              <w:rPr>
                <w:lang w:val="en-US"/>
              </w:rPr>
            </w:pPr>
            <w:r>
              <w:rPr>
                <w:lang w:val="en-US"/>
              </w:rPr>
              <w:t>2</w:t>
            </w:r>
          </w:p>
        </w:tc>
        <w:tc>
          <w:tcPr>
            <w:tcW w:w="1159" w:type="dxa"/>
          </w:tcPr>
          <w:p w:rsidR="00B9359B" w:rsidRDefault="009A5268">
            <w:pPr>
              <w:pStyle w:val="Tabletext"/>
              <w:framePr w:hSpace="181" w:wrap="notBeside" w:vAnchor="text" w:hAnchor="text" w:xAlign="center" w:y="1"/>
              <w:spacing w:before="60" w:after="60"/>
              <w:jc w:val="center"/>
              <w:rPr>
                <w:lang w:val="en-US"/>
              </w:rPr>
            </w:pPr>
            <w:r>
              <w:rPr>
                <w:lang w:val="en-US"/>
              </w:rPr>
              <w:t>22</w:t>
            </w:r>
          </w:p>
        </w:tc>
      </w:tr>
    </w:tbl>
    <w:p w:rsidR="00B9359B" w:rsidRDefault="00B9359B">
      <w:pPr>
        <w:pStyle w:val="Tablefin"/>
      </w:pPr>
    </w:p>
    <w:p w:rsidR="00B9359B" w:rsidRDefault="009A5268">
      <w:pPr>
        <w:pStyle w:val="TableNo"/>
        <w:rPr>
          <w:lang w:val="en-US"/>
        </w:rPr>
      </w:pPr>
      <w:r>
        <w:rPr>
          <w:lang w:val="en-US"/>
        </w:rPr>
        <w:t>TABLE  52</w:t>
      </w:r>
    </w:p>
    <w:p w:rsidR="00B9359B" w:rsidRDefault="009A5268">
      <w:pPr>
        <w:pStyle w:val="Tabletitle"/>
        <w:rPr>
          <w:lang w:val="en-US"/>
        </w:rPr>
      </w:pPr>
      <w:r>
        <w:rPr>
          <w:lang w:val="en-US"/>
        </w:rPr>
        <w:t>Summary of necessary guardbands to protect the “push-broom” from ISS links</w:t>
      </w:r>
      <w:r>
        <w:rPr>
          <w:lang w:val="en-US"/>
        </w:rPr>
        <w:br/>
        <w:t>(100 MHz necessary bandwidth)</w:t>
      </w: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32"/>
        <w:gridCol w:w="1193"/>
        <w:gridCol w:w="1144"/>
        <w:gridCol w:w="1162"/>
        <w:gridCol w:w="1148"/>
        <w:gridCol w:w="1176"/>
      </w:tblGrid>
      <w:tr w:rsidR="00B9359B">
        <w:tc>
          <w:tcPr>
            <w:tcW w:w="3832" w:type="dxa"/>
          </w:tcPr>
          <w:p w:rsidR="00B9359B" w:rsidRDefault="00B9359B">
            <w:pPr>
              <w:pStyle w:val="Tablehead"/>
              <w:framePr w:hSpace="181" w:wrap="notBeside" w:vAnchor="text" w:hAnchor="text" w:xAlign="center" w:y="1"/>
              <w:rPr>
                <w:lang w:val="en-US"/>
              </w:rPr>
            </w:pPr>
          </w:p>
        </w:tc>
        <w:tc>
          <w:tcPr>
            <w:tcW w:w="1193" w:type="dxa"/>
          </w:tcPr>
          <w:p w:rsidR="00B9359B" w:rsidRDefault="009A5268">
            <w:pPr>
              <w:pStyle w:val="Tablehead"/>
              <w:framePr w:hSpace="181" w:wrap="notBeside" w:vAnchor="text" w:hAnchor="text" w:xAlign="center" w:y="1"/>
              <w:rPr>
                <w:lang w:val="es-ES"/>
              </w:rPr>
            </w:pPr>
            <w:r>
              <w:rPr>
                <w:lang w:val="es-ES"/>
              </w:rPr>
              <w:t>LEO-1</w:t>
            </w:r>
          </w:p>
        </w:tc>
        <w:tc>
          <w:tcPr>
            <w:tcW w:w="1144" w:type="dxa"/>
          </w:tcPr>
          <w:p w:rsidR="00B9359B" w:rsidRDefault="009A5268">
            <w:pPr>
              <w:pStyle w:val="Tablehead"/>
              <w:framePr w:hSpace="181" w:wrap="notBeside" w:vAnchor="text" w:hAnchor="text" w:xAlign="center" w:y="1"/>
              <w:rPr>
                <w:lang w:val="es-ES"/>
              </w:rPr>
            </w:pPr>
            <w:r>
              <w:rPr>
                <w:lang w:val="es-ES"/>
              </w:rPr>
              <w:t>LEO-2</w:t>
            </w:r>
          </w:p>
        </w:tc>
        <w:tc>
          <w:tcPr>
            <w:tcW w:w="1162" w:type="dxa"/>
          </w:tcPr>
          <w:p w:rsidR="00B9359B" w:rsidRDefault="009A5268">
            <w:pPr>
              <w:pStyle w:val="Tablehead"/>
              <w:framePr w:hSpace="181" w:wrap="notBeside" w:vAnchor="text" w:hAnchor="text" w:xAlign="center" w:y="1"/>
              <w:rPr>
                <w:lang w:val="es-ES"/>
              </w:rPr>
            </w:pPr>
            <w:r>
              <w:rPr>
                <w:lang w:val="es-ES"/>
              </w:rPr>
              <w:t>LEO-3</w:t>
            </w:r>
          </w:p>
        </w:tc>
        <w:tc>
          <w:tcPr>
            <w:tcW w:w="1148" w:type="dxa"/>
          </w:tcPr>
          <w:p w:rsidR="00B9359B" w:rsidRDefault="009A5268">
            <w:pPr>
              <w:pStyle w:val="Tablehead"/>
              <w:framePr w:hSpace="181" w:wrap="notBeside" w:vAnchor="text" w:hAnchor="text" w:xAlign="center" w:y="1"/>
              <w:rPr>
                <w:lang w:val="en-US"/>
              </w:rPr>
            </w:pPr>
            <w:r>
              <w:rPr>
                <w:lang w:val="en-US"/>
              </w:rPr>
              <w:t>LEO-4</w:t>
            </w:r>
          </w:p>
        </w:tc>
        <w:tc>
          <w:tcPr>
            <w:tcW w:w="1176" w:type="dxa"/>
          </w:tcPr>
          <w:p w:rsidR="00B9359B" w:rsidRDefault="009A5268">
            <w:pPr>
              <w:pStyle w:val="Tablehead"/>
              <w:framePr w:hSpace="181" w:wrap="notBeside" w:vAnchor="text" w:hAnchor="text" w:xAlign="center" w:y="1"/>
              <w:rPr>
                <w:lang w:val="en-US"/>
              </w:rPr>
            </w:pPr>
            <w:r>
              <w:rPr>
                <w:lang w:val="en-US"/>
              </w:rPr>
              <w:t>GEO</w:t>
            </w:r>
          </w:p>
        </w:tc>
      </w:tr>
      <w:tr w:rsidR="00B9359B">
        <w:tc>
          <w:tcPr>
            <w:tcW w:w="3832" w:type="dxa"/>
            <w:tcMar>
              <w:left w:w="85" w:type="dxa"/>
              <w:right w:w="85" w:type="dxa"/>
            </w:tcMar>
          </w:tcPr>
          <w:p w:rsidR="00B9359B" w:rsidRDefault="009A5268">
            <w:pPr>
              <w:pStyle w:val="Tabletext"/>
              <w:framePr w:hSpace="181" w:wrap="notBeside" w:vAnchor="text" w:hAnchor="text" w:xAlign="center" w:y="1"/>
              <w:spacing w:before="60" w:after="60"/>
              <w:jc w:val="left"/>
              <w:rPr>
                <w:lang w:val="en-US"/>
              </w:rPr>
            </w:pPr>
            <w:r>
              <w:rPr>
                <w:lang w:val="en-US"/>
              </w:rPr>
              <w:t>Required power rejection (dB)</w:t>
            </w:r>
          </w:p>
        </w:tc>
        <w:tc>
          <w:tcPr>
            <w:tcW w:w="1193" w:type="dxa"/>
          </w:tcPr>
          <w:p w:rsidR="00B9359B" w:rsidRDefault="009A5268">
            <w:pPr>
              <w:pStyle w:val="Tabletext"/>
              <w:framePr w:hSpace="181" w:wrap="notBeside" w:vAnchor="text" w:hAnchor="text" w:xAlign="center" w:y="1"/>
              <w:spacing w:before="60" w:after="60"/>
              <w:jc w:val="center"/>
              <w:rPr>
                <w:lang w:val="en-US"/>
              </w:rPr>
            </w:pPr>
            <w:r>
              <w:rPr>
                <w:lang w:val="en-US"/>
              </w:rPr>
              <w:t>34.75</w:t>
            </w:r>
          </w:p>
        </w:tc>
        <w:tc>
          <w:tcPr>
            <w:tcW w:w="1144" w:type="dxa"/>
          </w:tcPr>
          <w:p w:rsidR="00B9359B" w:rsidRDefault="009A5268">
            <w:pPr>
              <w:pStyle w:val="Tabletext"/>
              <w:framePr w:hSpace="181" w:wrap="notBeside" w:vAnchor="text" w:hAnchor="text" w:xAlign="center" w:y="1"/>
              <w:spacing w:before="60" w:after="60"/>
              <w:jc w:val="center"/>
              <w:rPr>
                <w:lang w:val="en-US"/>
              </w:rPr>
            </w:pPr>
            <w:r>
              <w:rPr>
                <w:lang w:val="en-US"/>
              </w:rPr>
              <w:t>44.09</w:t>
            </w:r>
          </w:p>
        </w:tc>
        <w:tc>
          <w:tcPr>
            <w:tcW w:w="1162" w:type="dxa"/>
          </w:tcPr>
          <w:p w:rsidR="00B9359B" w:rsidRDefault="009A5268">
            <w:pPr>
              <w:pStyle w:val="Tabletext"/>
              <w:framePr w:hSpace="181" w:wrap="notBeside" w:vAnchor="text" w:hAnchor="text" w:xAlign="center" w:y="1"/>
              <w:spacing w:before="60" w:after="60"/>
              <w:jc w:val="center"/>
              <w:rPr>
                <w:lang w:val="en-US"/>
              </w:rPr>
            </w:pPr>
            <w:r>
              <w:rPr>
                <w:lang w:val="en-US"/>
              </w:rPr>
              <w:t>31.01</w:t>
            </w:r>
          </w:p>
        </w:tc>
        <w:tc>
          <w:tcPr>
            <w:tcW w:w="1148" w:type="dxa"/>
          </w:tcPr>
          <w:p w:rsidR="00B9359B" w:rsidRDefault="009A5268">
            <w:pPr>
              <w:pStyle w:val="Tabletext"/>
              <w:framePr w:hSpace="181" w:wrap="notBeside" w:vAnchor="text" w:hAnchor="text" w:xAlign="center" w:y="1"/>
              <w:spacing w:before="60" w:after="60"/>
              <w:jc w:val="center"/>
              <w:rPr>
                <w:lang w:val="en-US"/>
              </w:rPr>
            </w:pPr>
            <w:r>
              <w:rPr>
                <w:lang w:val="en-US"/>
              </w:rPr>
              <w:t>25.76</w:t>
            </w:r>
          </w:p>
        </w:tc>
        <w:tc>
          <w:tcPr>
            <w:tcW w:w="1176" w:type="dxa"/>
          </w:tcPr>
          <w:p w:rsidR="00B9359B" w:rsidRDefault="009A5268">
            <w:pPr>
              <w:pStyle w:val="Tabletext"/>
              <w:framePr w:hSpace="181" w:wrap="notBeside" w:vAnchor="text" w:hAnchor="text" w:xAlign="center" w:y="1"/>
              <w:spacing w:before="60" w:after="60"/>
              <w:jc w:val="center"/>
              <w:rPr>
                <w:lang w:val="en-US"/>
              </w:rPr>
            </w:pPr>
            <w:r>
              <w:rPr>
                <w:lang w:val="en-US"/>
              </w:rPr>
              <w:t>32.06</w:t>
            </w:r>
          </w:p>
        </w:tc>
      </w:tr>
      <w:tr w:rsidR="00B9359B">
        <w:tc>
          <w:tcPr>
            <w:tcW w:w="3832" w:type="dxa"/>
            <w:tcMar>
              <w:left w:w="85" w:type="dxa"/>
              <w:right w:w="85" w:type="dxa"/>
            </w:tcMar>
          </w:tcPr>
          <w:p w:rsidR="00B9359B" w:rsidRDefault="009A5268">
            <w:pPr>
              <w:pStyle w:val="Tabletext"/>
              <w:framePr w:hSpace="181" w:wrap="notBeside" w:vAnchor="text" w:hAnchor="text" w:xAlign="center" w:y="1"/>
              <w:spacing w:before="60" w:after="60"/>
              <w:jc w:val="left"/>
              <w:rPr>
                <w:lang w:val="en-US"/>
              </w:rPr>
            </w:pPr>
            <w:r>
              <w:rPr>
                <w:lang w:val="en-US"/>
              </w:rPr>
              <w:t>Necessary bandwidth (MHz)</w:t>
            </w:r>
          </w:p>
        </w:tc>
        <w:tc>
          <w:tcPr>
            <w:tcW w:w="5823" w:type="dxa"/>
            <w:gridSpan w:val="5"/>
          </w:tcPr>
          <w:p w:rsidR="00B9359B" w:rsidRDefault="009A5268">
            <w:pPr>
              <w:pStyle w:val="Tabletext"/>
              <w:framePr w:hSpace="181" w:wrap="notBeside" w:vAnchor="text" w:hAnchor="text" w:xAlign="center" w:y="1"/>
              <w:spacing w:before="60" w:after="60"/>
              <w:jc w:val="center"/>
              <w:rPr>
                <w:lang w:val="en-US"/>
              </w:rPr>
            </w:pPr>
            <w:r>
              <w:rPr>
                <w:lang w:val="en-US"/>
              </w:rPr>
              <w:t>100</w:t>
            </w:r>
          </w:p>
        </w:tc>
      </w:tr>
      <w:tr w:rsidR="00B9359B">
        <w:tc>
          <w:tcPr>
            <w:tcW w:w="3832" w:type="dxa"/>
            <w:tcMar>
              <w:left w:w="85" w:type="dxa"/>
              <w:right w:w="85" w:type="dxa"/>
            </w:tcMar>
          </w:tcPr>
          <w:p w:rsidR="00B9359B" w:rsidRDefault="009A5268">
            <w:pPr>
              <w:pStyle w:val="Tabletext"/>
              <w:framePr w:hSpace="181" w:wrap="notBeside" w:vAnchor="text" w:hAnchor="text" w:xAlign="center" w:y="1"/>
              <w:spacing w:before="60" w:after="60"/>
              <w:jc w:val="left"/>
              <w:rPr>
                <w:lang w:val="en-US"/>
              </w:rPr>
            </w:pPr>
            <w:r>
              <w:rPr>
                <w:lang w:val="en-US"/>
              </w:rPr>
              <w:t xml:space="preserve">Passive band (% </w:t>
            </w:r>
            <w:r>
              <w:rPr>
                <w:i/>
                <w:iCs/>
                <w:lang w:val="en-US"/>
              </w:rPr>
              <w:t>B</w:t>
            </w:r>
            <w:r>
              <w:rPr>
                <w:i/>
                <w:iCs/>
                <w:vertAlign w:val="subscript"/>
                <w:lang w:val="en-US"/>
              </w:rPr>
              <w:t>N</w:t>
            </w:r>
            <w:r>
              <w:rPr>
                <w:lang w:val="en-US"/>
              </w:rPr>
              <w:t>)</w:t>
            </w:r>
          </w:p>
        </w:tc>
        <w:tc>
          <w:tcPr>
            <w:tcW w:w="5823" w:type="dxa"/>
            <w:gridSpan w:val="5"/>
          </w:tcPr>
          <w:p w:rsidR="00B9359B" w:rsidRDefault="009A5268">
            <w:pPr>
              <w:pStyle w:val="Tabletext"/>
              <w:framePr w:hSpace="181" w:wrap="notBeside" w:vAnchor="text" w:hAnchor="text" w:xAlign="center" w:y="1"/>
              <w:spacing w:before="60" w:after="60"/>
              <w:jc w:val="center"/>
              <w:rPr>
                <w:lang w:val="en-US"/>
              </w:rPr>
            </w:pPr>
            <w:r>
              <w:rPr>
                <w:lang w:val="en-US"/>
              </w:rPr>
              <w:t>400</w:t>
            </w:r>
          </w:p>
        </w:tc>
      </w:tr>
      <w:tr w:rsidR="00B9359B">
        <w:tc>
          <w:tcPr>
            <w:tcW w:w="3832" w:type="dxa"/>
            <w:tcMar>
              <w:left w:w="85" w:type="dxa"/>
              <w:right w:w="85" w:type="dxa"/>
            </w:tcMar>
          </w:tcPr>
          <w:p w:rsidR="00B9359B" w:rsidRDefault="009A5268">
            <w:pPr>
              <w:pStyle w:val="Tabletext"/>
              <w:framePr w:hSpace="181" w:wrap="notBeside" w:vAnchor="text" w:hAnchor="text" w:xAlign="center" w:y="1"/>
              <w:spacing w:before="60" w:after="60"/>
              <w:jc w:val="left"/>
              <w:rPr>
                <w:lang w:val="en-US"/>
              </w:rPr>
            </w:pPr>
            <w:r>
              <w:rPr>
                <w:lang w:val="en-US"/>
              </w:rPr>
              <w:t xml:space="preserve">Offset from centre </w:t>
            </w:r>
            <w:r>
              <w:rPr>
                <w:i/>
                <w:iCs/>
                <w:lang w:val="en-US"/>
              </w:rPr>
              <w:t>B</w:t>
            </w:r>
            <w:r>
              <w:rPr>
                <w:i/>
                <w:iCs/>
                <w:vertAlign w:val="subscript"/>
                <w:lang w:val="en-US"/>
              </w:rPr>
              <w:t>N</w:t>
            </w:r>
            <w:r>
              <w:rPr>
                <w:lang w:val="en-US"/>
              </w:rPr>
              <w:t xml:space="preserve"> (% </w:t>
            </w:r>
            <w:r>
              <w:rPr>
                <w:i/>
                <w:iCs/>
                <w:lang w:val="en-US"/>
              </w:rPr>
              <w:t>B</w:t>
            </w:r>
            <w:r>
              <w:rPr>
                <w:i/>
                <w:iCs/>
                <w:vertAlign w:val="subscript"/>
                <w:lang w:val="en-US"/>
              </w:rPr>
              <w:t>N</w:t>
            </w:r>
            <w:r>
              <w:rPr>
                <w:lang w:val="en-US"/>
              </w:rPr>
              <w:t>)</w:t>
            </w:r>
          </w:p>
        </w:tc>
        <w:tc>
          <w:tcPr>
            <w:tcW w:w="1193" w:type="dxa"/>
          </w:tcPr>
          <w:p w:rsidR="00B9359B" w:rsidRDefault="009A5268">
            <w:pPr>
              <w:pStyle w:val="Tabletext"/>
              <w:framePr w:hSpace="181" w:wrap="notBeside" w:vAnchor="text" w:hAnchor="text" w:xAlign="center" w:y="1"/>
              <w:spacing w:before="60" w:after="60"/>
              <w:jc w:val="center"/>
              <w:rPr>
                <w:lang w:val="en-US"/>
              </w:rPr>
            </w:pPr>
            <w:r>
              <w:rPr>
                <w:lang w:val="en-US"/>
              </w:rPr>
              <w:t>91</w:t>
            </w:r>
          </w:p>
        </w:tc>
        <w:tc>
          <w:tcPr>
            <w:tcW w:w="1144" w:type="dxa"/>
          </w:tcPr>
          <w:p w:rsidR="00B9359B" w:rsidRDefault="009A5268">
            <w:pPr>
              <w:pStyle w:val="Tabletext"/>
              <w:framePr w:hSpace="181" w:wrap="notBeside" w:vAnchor="text" w:hAnchor="text" w:xAlign="center" w:y="1"/>
              <w:spacing w:before="60" w:after="60"/>
              <w:jc w:val="center"/>
              <w:rPr>
                <w:lang w:val="en-US"/>
              </w:rPr>
            </w:pPr>
            <w:r>
              <w:rPr>
                <w:lang w:val="en-US"/>
              </w:rPr>
              <w:t>138</w:t>
            </w:r>
          </w:p>
        </w:tc>
        <w:tc>
          <w:tcPr>
            <w:tcW w:w="1162" w:type="dxa"/>
          </w:tcPr>
          <w:p w:rsidR="00B9359B" w:rsidRDefault="009A5268">
            <w:pPr>
              <w:pStyle w:val="Tabletext"/>
              <w:framePr w:hSpace="181" w:wrap="notBeside" w:vAnchor="text" w:hAnchor="text" w:xAlign="center" w:y="1"/>
              <w:spacing w:before="60" w:after="60"/>
              <w:jc w:val="center"/>
              <w:rPr>
                <w:lang w:val="en-US"/>
              </w:rPr>
            </w:pPr>
            <w:r>
              <w:rPr>
                <w:lang w:val="en-US"/>
              </w:rPr>
              <w:t>84</w:t>
            </w:r>
          </w:p>
        </w:tc>
        <w:tc>
          <w:tcPr>
            <w:tcW w:w="1148" w:type="dxa"/>
          </w:tcPr>
          <w:p w:rsidR="00B9359B" w:rsidRDefault="009A5268">
            <w:pPr>
              <w:pStyle w:val="Tabletext"/>
              <w:framePr w:hSpace="181" w:wrap="notBeside" w:vAnchor="text" w:hAnchor="text" w:xAlign="center" w:y="1"/>
              <w:spacing w:before="60" w:after="60"/>
              <w:jc w:val="center"/>
              <w:rPr>
                <w:lang w:val="en-US"/>
              </w:rPr>
            </w:pPr>
            <w:r>
              <w:rPr>
                <w:lang w:val="en-US"/>
              </w:rPr>
              <w:t>76</w:t>
            </w:r>
          </w:p>
        </w:tc>
        <w:tc>
          <w:tcPr>
            <w:tcW w:w="1176" w:type="dxa"/>
          </w:tcPr>
          <w:p w:rsidR="00B9359B" w:rsidRDefault="009A5268">
            <w:pPr>
              <w:pStyle w:val="Tabletext"/>
              <w:framePr w:hSpace="181" w:wrap="notBeside" w:vAnchor="text" w:hAnchor="text" w:xAlign="center" w:y="1"/>
              <w:spacing w:before="60" w:after="60"/>
              <w:jc w:val="center"/>
              <w:rPr>
                <w:lang w:val="en-US"/>
              </w:rPr>
            </w:pPr>
            <w:r>
              <w:rPr>
                <w:lang w:val="en-US"/>
              </w:rPr>
              <w:t>86</w:t>
            </w:r>
          </w:p>
        </w:tc>
      </w:tr>
      <w:tr w:rsidR="00B9359B">
        <w:tc>
          <w:tcPr>
            <w:tcW w:w="3832" w:type="dxa"/>
            <w:tcMar>
              <w:left w:w="85" w:type="dxa"/>
              <w:right w:w="85" w:type="dxa"/>
            </w:tcMar>
          </w:tcPr>
          <w:p w:rsidR="00B9359B" w:rsidRDefault="009A5268">
            <w:pPr>
              <w:pStyle w:val="Tabletext"/>
              <w:framePr w:hSpace="181" w:wrap="notBeside" w:vAnchor="text" w:hAnchor="text" w:xAlign="center" w:y="1"/>
              <w:spacing w:before="60" w:after="60"/>
              <w:jc w:val="left"/>
              <w:rPr>
                <w:lang w:val="en-US"/>
              </w:rPr>
            </w:pPr>
            <w:r>
              <w:rPr>
                <w:lang w:val="en-US"/>
              </w:rPr>
              <w:t xml:space="preserve">Offset from centre </w:t>
            </w:r>
            <w:r>
              <w:rPr>
                <w:i/>
                <w:iCs/>
                <w:lang w:val="en-US"/>
              </w:rPr>
              <w:t>B</w:t>
            </w:r>
            <w:r>
              <w:rPr>
                <w:i/>
                <w:iCs/>
                <w:vertAlign w:val="subscript"/>
                <w:lang w:val="en-US"/>
              </w:rPr>
              <w:t>N</w:t>
            </w:r>
            <w:r>
              <w:rPr>
                <w:lang w:val="en-US"/>
              </w:rPr>
              <w:t> (MHz)</w:t>
            </w:r>
          </w:p>
        </w:tc>
        <w:tc>
          <w:tcPr>
            <w:tcW w:w="1193" w:type="dxa"/>
          </w:tcPr>
          <w:p w:rsidR="00B9359B" w:rsidRDefault="009A5268">
            <w:pPr>
              <w:pStyle w:val="Tabletext"/>
              <w:framePr w:hSpace="181" w:wrap="notBeside" w:vAnchor="text" w:hAnchor="text" w:xAlign="center" w:y="1"/>
              <w:spacing w:before="60" w:after="60"/>
              <w:jc w:val="center"/>
              <w:rPr>
                <w:lang w:val="en-US"/>
              </w:rPr>
            </w:pPr>
            <w:r>
              <w:rPr>
                <w:lang w:val="en-US"/>
              </w:rPr>
              <w:t>91</w:t>
            </w:r>
          </w:p>
        </w:tc>
        <w:tc>
          <w:tcPr>
            <w:tcW w:w="1144" w:type="dxa"/>
          </w:tcPr>
          <w:p w:rsidR="00B9359B" w:rsidRDefault="009A5268">
            <w:pPr>
              <w:pStyle w:val="Tabletext"/>
              <w:framePr w:hSpace="181" w:wrap="notBeside" w:vAnchor="text" w:hAnchor="text" w:xAlign="center" w:y="1"/>
              <w:spacing w:before="60" w:after="60"/>
              <w:jc w:val="center"/>
              <w:rPr>
                <w:lang w:val="en-US"/>
              </w:rPr>
            </w:pPr>
            <w:r>
              <w:rPr>
                <w:lang w:val="en-US"/>
              </w:rPr>
              <w:t>138</w:t>
            </w:r>
          </w:p>
        </w:tc>
        <w:tc>
          <w:tcPr>
            <w:tcW w:w="1162" w:type="dxa"/>
          </w:tcPr>
          <w:p w:rsidR="00B9359B" w:rsidRDefault="009A5268">
            <w:pPr>
              <w:pStyle w:val="Tabletext"/>
              <w:framePr w:hSpace="181" w:wrap="notBeside" w:vAnchor="text" w:hAnchor="text" w:xAlign="center" w:y="1"/>
              <w:spacing w:before="60" w:after="60"/>
              <w:jc w:val="center"/>
              <w:rPr>
                <w:lang w:val="en-US"/>
              </w:rPr>
            </w:pPr>
            <w:r>
              <w:rPr>
                <w:lang w:val="en-US"/>
              </w:rPr>
              <w:t>84</w:t>
            </w:r>
          </w:p>
        </w:tc>
        <w:tc>
          <w:tcPr>
            <w:tcW w:w="1148" w:type="dxa"/>
          </w:tcPr>
          <w:p w:rsidR="00B9359B" w:rsidRDefault="009A5268">
            <w:pPr>
              <w:pStyle w:val="Tabletext"/>
              <w:framePr w:hSpace="181" w:wrap="notBeside" w:vAnchor="text" w:hAnchor="text" w:xAlign="center" w:y="1"/>
              <w:spacing w:before="60" w:after="60"/>
              <w:jc w:val="center"/>
              <w:rPr>
                <w:lang w:val="en-US"/>
              </w:rPr>
            </w:pPr>
            <w:r>
              <w:rPr>
                <w:lang w:val="en-US"/>
              </w:rPr>
              <w:t>76</w:t>
            </w:r>
          </w:p>
        </w:tc>
        <w:tc>
          <w:tcPr>
            <w:tcW w:w="1176" w:type="dxa"/>
          </w:tcPr>
          <w:p w:rsidR="00B9359B" w:rsidRDefault="009A5268">
            <w:pPr>
              <w:pStyle w:val="Tabletext"/>
              <w:framePr w:hSpace="181" w:wrap="notBeside" w:vAnchor="text" w:hAnchor="text" w:xAlign="center" w:y="1"/>
              <w:spacing w:before="60" w:after="60"/>
              <w:jc w:val="center"/>
              <w:rPr>
                <w:lang w:val="en-US"/>
              </w:rPr>
            </w:pPr>
            <w:r>
              <w:rPr>
                <w:lang w:val="en-US"/>
              </w:rPr>
              <w:t>86</w:t>
            </w:r>
          </w:p>
        </w:tc>
      </w:tr>
      <w:tr w:rsidR="00B9359B">
        <w:tc>
          <w:tcPr>
            <w:tcW w:w="3832" w:type="dxa"/>
            <w:tcMar>
              <w:left w:w="85" w:type="dxa"/>
              <w:right w:w="85" w:type="dxa"/>
            </w:tcMar>
          </w:tcPr>
          <w:p w:rsidR="00B9359B" w:rsidRDefault="009A5268">
            <w:pPr>
              <w:pStyle w:val="Tabletext"/>
              <w:framePr w:hSpace="181" w:wrap="notBeside" w:vAnchor="text" w:hAnchor="text" w:xAlign="center" w:y="1"/>
              <w:spacing w:before="60" w:after="60"/>
              <w:jc w:val="left"/>
              <w:rPr>
                <w:lang w:val="en-US"/>
              </w:rPr>
            </w:pPr>
            <w:r>
              <w:rPr>
                <w:lang w:val="en-US"/>
              </w:rPr>
              <w:t>Required additional guardband (MHz)</w:t>
            </w:r>
          </w:p>
        </w:tc>
        <w:tc>
          <w:tcPr>
            <w:tcW w:w="1193" w:type="dxa"/>
          </w:tcPr>
          <w:p w:rsidR="00B9359B" w:rsidRDefault="009A5268">
            <w:pPr>
              <w:pStyle w:val="Tabletext"/>
              <w:framePr w:hSpace="181" w:wrap="notBeside" w:vAnchor="text" w:hAnchor="text" w:xAlign="center" w:y="1"/>
              <w:spacing w:before="60" w:after="60"/>
              <w:jc w:val="center"/>
              <w:rPr>
                <w:lang w:val="en-US"/>
              </w:rPr>
            </w:pPr>
            <w:r>
              <w:rPr>
                <w:lang w:val="en-US"/>
              </w:rPr>
              <w:t>0</w:t>
            </w:r>
          </w:p>
        </w:tc>
        <w:tc>
          <w:tcPr>
            <w:tcW w:w="1144" w:type="dxa"/>
          </w:tcPr>
          <w:p w:rsidR="00B9359B" w:rsidRDefault="009A5268">
            <w:pPr>
              <w:pStyle w:val="Tabletext"/>
              <w:framePr w:hSpace="181" w:wrap="notBeside" w:vAnchor="text" w:hAnchor="text" w:xAlign="center" w:y="1"/>
              <w:spacing w:before="60" w:after="60"/>
              <w:jc w:val="center"/>
              <w:rPr>
                <w:lang w:val="en-US"/>
              </w:rPr>
            </w:pPr>
            <w:r>
              <w:rPr>
                <w:lang w:val="en-US"/>
              </w:rPr>
              <w:t>38</w:t>
            </w:r>
          </w:p>
        </w:tc>
        <w:tc>
          <w:tcPr>
            <w:tcW w:w="1162" w:type="dxa"/>
          </w:tcPr>
          <w:p w:rsidR="00B9359B" w:rsidRDefault="009A5268">
            <w:pPr>
              <w:pStyle w:val="Tabletext"/>
              <w:framePr w:hSpace="181" w:wrap="notBeside" w:vAnchor="text" w:hAnchor="text" w:xAlign="center" w:y="1"/>
              <w:spacing w:before="60" w:after="60"/>
              <w:jc w:val="center"/>
              <w:rPr>
                <w:lang w:val="en-US"/>
              </w:rPr>
            </w:pPr>
            <w:r>
              <w:rPr>
                <w:lang w:val="en-US"/>
              </w:rPr>
              <w:t>0</w:t>
            </w:r>
          </w:p>
        </w:tc>
        <w:tc>
          <w:tcPr>
            <w:tcW w:w="1148" w:type="dxa"/>
          </w:tcPr>
          <w:p w:rsidR="00B9359B" w:rsidRDefault="009A5268">
            <w:pPr>
              <w:pStyle w:val="Tabletext"/>
              <w:framePr w:hSpace="181" w:wrap="notBeside" w:vAnchor="text" w:hAnchor="text" w:xAlign="center" w:y="1"/>
              <w:spacing w:before="60" w:after="60"/>
              <w:jc w:val="center"/>
              <w:rPr>
                <w:lang w:val="en-US"/>
              </w:rPr>
            </w:pPr>
            <w:r>
              <w:rPr>
                <w:lang w:val="en-US"/>
              </w:rPr>
              <w:t>0</w:t>
            </w:r>
          </w:p>
        </w:tc>
        <w:tc>
          <w:tcPr>
            <w:tcW w:w="1176" w:type="dxa"/>
          </w:tcPr>
          <w:p w:rsidR="00B9359B" w:rsidRDefault="009A5268">
            <w:pPr>
              <w:pStyle w:val="Tabletext"/>
              <w:framePr w:hSpace="181" w:wrap="notBeside" w:vAnchor="text" w:hAnchor="text" w:xAlign="center" w:y="1"/>
              <w:spacing w:before="60" w:after="60"/>
              <w:jc w:val="center"/>
              <w:rPr>
                <w:lang w:val="en-US"/>
              </w:rPr>
            </w:pPr>
            <w:r>
              <w:rPr>
                <w:lang w:val="en-US"/>
              </w:rPr>
              <w:t>0</w:t>
            </w:r>
          </w:p>
        </w:tc>
      </w:tr>
    </w:tbl>
    <w:p w:rsidR="00B9359B" w:rsidRDefault="00B9359B">
      <w:pPr>
        <w:pStyle w:val="Tablefin"/>
      </w:pPr>
    </w:p>
    <w:p w:rsidR="00B9359B" w:rsidRDefault="009A5268">
      <w:pPr>
        <w:rPr>
          <w:lang w:val="en-US"/>
        </w:rPr>
      </w:pPr>
      <w:r>
        <w:rPr>
          <w:lang w:val="en-US"/>
        </w:rPr>
        <w:br w:type="page"/>
      </w:r>
    </w:p>
    <w:p w:rsidR="00B9359B" w:rsidRDefault="009A5268">
      <w:pPr>
        <w:pStyle w:val="TableNo"/>
        <w:rPr>
          <w:lang w:val="en-US"/>
        </w:rPr>
      </w:pPr>
      <w:r>
        <w:rPr>
          <w:lang w:val="en-US"/>
        </w:rPr>
        <w:t>TABLE  53</w:t>
      </w:r>
    </w:p>
    <w:p w:rsidR="00B9359B" w:rsidRDefault="009A5268">
      <w:pPr>
        <w:pStyle w:val="Tabletitle"/>
        <w:rPr>
          <w:lang w:val="en-US"/>
        </w:rPr>
      </w:pPr>
      <w:r>
        <w:rPr>
          <w:lang w:val="en-US"/>
        </w:rPr>
        <w:t>Summary of necessary guardbands to protect the “push-broom” from ISS links</w:t>
      </w:r>
      <w:r>
        <w:rPr>
          <w:lang w:val="en-US"/>
        </w:rPr>
        <w:br/>
        <w:t>(50 MHz necessary bandwidth)</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5"/>
        <w:gridCol w:w="1158"/>
        <w:gridCol w:w="1159"/>
        <w:gridCol w:w="1159"/>
        <w:gridCol w:w="1159"/>
        <w:gridCol w:w="1159"/>
      </w:tblGrid>
      <w:tr w:rsidR="00B9359B">
        <w:trPr>
          <w:trHeight w:hRule="exact" w:val="400"/>
        </w:trPr>
        <w:tc>
          <w:tcPr>
            <w:tcW w:w="3845" w:type="dxa"/>
          </w:tcPr>
          <w:p w:rsidR="00B9359B" w:rsidRDefault="00B9359B">
            <w:pPr>
              <w:pStyle w:val="Tablehead"/>
              <w:framePr w:hSpace="181" w:wrap="notBeside" w:vAnchor="text" w:hAnchor="text" w:xAlign="center" w:y="1"/>
              <w:rPr>
                <w:lang w:val="en-US"/>
              </w:rPr>
            </w:pPr>
          </w:p>
        </w:tc>
        <w:tc>
          <w:tcPr>
            <w:tcW w:w="1158" w:type="dxa"/>
          </w:tcPr>
          <w:p w:rsidR="00B9359B" w:rsidRDefault="009A5268">
            <w:pPr>
              <w:pStyle w:val="Tablehead"/>
              <w:framePr w:hSpace="181" w:wrap="notBeside" w:vAnchor="text" w:hAnchor="text" w:xAlign="center" w:y="1"/>
              <w:rPr>
                <w:lang w:val="es-ES"/>
              </w:rPr>
            </w:pPr>
            <w:r>
              <w:rPr>
                <w:lang w:val="es-ES"/>
              </w:rPr>
              <w:t>LEO-1</w:t>
            </w:r>
          </w:p>
        </w:tc>
        <w:tc>
          <w:tcPr>
            <w:tcW w:w="1159" w:type="dxa"/>
          </w:tcPr>
          <w:p w:rsidR="00B9359B" w:rsidRDefault="009A5268">
            <w:pPr>
              <w:pStyle w:val="Tablehead"/>
              <w:framePr w:hSpace="181" w:wrap="notBeside" w:vAnchor="text" w:hAnchor="text" w:xAlign="center" w:y="1"/>
              <w:rPr>
                <w:lang w:val="es-ES"/>
              </w:rPr>
            </w:pPr>
            <w:r>
              <w:rPr>
                <w:lang w:val="es-ES"/>
              </w:rPr>
              <w:t>LEO-2</w:t>
            </w:r>
          </w:p>
        </w:tc>
        <w:tc>
          <w:tcPr>
            <w:tcW w:w="1159" w:type="dxa"/>
          </w:tcPr>
          <w:p w:rsidR="00B9359B" w:rsidRDefault="009A5268">
            <w:pPr>
              <w:pStyle w:val="Tablehead"/>
              <w:framePr w:hSpace="181" w:wrap="notBeside" w:vAnchor="text" w:hAnchor="text" w:xAlign="center" w:y="1"/>
              <w:rPr>
                <w:lang w:val="es-ES"/>
              </w:rPr>
            </w:pPr>
            <w:r>
              <w:rPr>
                <w:lang w:val="es-ES"/>
              </w:rPr>
              <w:t>LEO-3</w:t>
            </w:r>
          </w:p>
        </w:tc>
        <w:tc>
          <w:tcPr>
            <w:tcW w:w="1159" w:type="dxa"/>
          </w:tcPr>
          <w:p w:rsidR="00B9359B" w:rsidRDefault="009A5268">
            <w:pPr>
              <w:pStyle w:val="Tablehead"/>
              <w:framePr w:hSpace="181" w:wrap="notBeside" w:vAnchor="text" w:hAnchor="text" w:xAlign="center" w:y="1"/>
              <w:rPr>
                <w:lang w:val="en-US"/>
              </w:rPr>
            </w:pPr>
            <w:r>
              <w:rPr>
                <w:lang w:val="en-US"/>
              </w:rPr>
              <w:t>LEO-4</w:t>
            </w:r>
          </w:p>
        </w:tc>
        <w:tc>
          <w:tcPr>
            <w:tcW w:w="1159" w:type="dxa"/>
            <w:tcBorders>
              <w:right w:val="single" w:sz="4" w:space="0" w:color="auto"/>
            </w:tcBorders>
          </w:tcPr>
          <w:p w:rsidR="00B9359B" w:rsidRDefault="009A5268">
            <w:pPr>
              <w:pStyle w:val="Tablehead"/>
              <w:framePr w:hSpace="181" w:wrap="notBeside" w:vAnchor="text" w:hAnchor="text" w:xAlign="center" w:y="1"/>
              <w:rPr>
                <w:lang w:val="en-US"/>
              </w:rPr>
            </w:pPr>
            <w:r>
              <w:rPr>
                <w:lang w:val="en-US"/>
              </w:rPr>
              <w:t>GEO</w:t>
            </w:r>
          </w:p>
        </w:tc>
      </w:tr>
      <w:tr w:rsidR="00B9359B">
        <w:tc>
          <w:tcPr>
            <w:tcW w:w="3845" w:type="dxa"/>
            <w:tcMar>
              <w:left w:w="85" w:type="dxa"/>
              <w:right w:w="85" w:type="dxa"/>
            </w:tcMar>
          </w:tcPr>
          <w:p w:rsidR="00B9359B" w:rsidRDefault="009A5268">
            <w:pPr>
              <w:pStyle w:val="Tabletext"/>
              <w:framePr w:hSpace="181" w:wrap="notBeside" w:vAnchor="text" w:hAnchor="text" w:xAlign="center" w:y="1"/>
              <w:spacing w:before="60" w:after="60"/>
              <w:jc w:val="left"/>
              <w:rPr>
                <w:lang w:val="en-US"/>
              </w:rPr>
            </w:pPr>
            <w:r>
              <w:rPr>
                <w:lang w:val="en-US"/>
              </w:rPr>
              <w:t>Required power rejection (dB)</w:t>
            </w:r>
          </w:p>
        </w:tc>
        <w:tc>
          <w:tcPr>
            <w:tcW w:w="1158" w:type="dxa"/>
          </w:tcPr>
          <w:p w:rsidR="00B9359B" w:rsidRDefault="009A5268">
            <w:pPr>
              <w:pStyle w:val="Tabletext"/>
              <w:framePr w:hSpace="181" w:wrap="notBeside" w:vAnchor="text" w:hAnchor="text" w:xAlign="center" w:y="1"/>
              <w:spacing w:before="60" w:after="60"/>
              <w:jc w:val="center"/>
              <w:rPr>
                <w:lang w:val="en-US"/>
              </w:rPr>
            </w:pPr>
            <w:r>
              <w:rPr>
                <w:lang w:val="en-US"/>
              </w:rPr>
              <w:t>31.75</w:t>
            </w:r>
          </w:p>
        </w:tc>
        <w:tc>
          <w:tcPr>
            <w:tcW w:w="1159" w:type="dxa"/>
          </w:tcPr>
          <w:p w:rsidR="00B9359B" w:rsidRDefault="009A5268">
            <w:pPr>
              <w:pStyle w:val="Tabletext"/>
              <w:framePr w:hSpace="181" w:wrap="notBeside" w:vAnchor="text" w:hAnchor="text" w:xAlign="center" w:y="1"/>
              <w:spacing w:before="60" w:after="60"/>
              <w:jc w:val="center"/>
              <w:rPr>
                <w:lang w:val="en-US"/>
              </w:rPr>
            </w:pPr>
            <w:r>
              <w:rPr>
                <w:lang w:val="en-US"/>
              </w:rPr>
              <w:t>41.09</w:t>
            </w:r>
          </w:p>
        </w:tc>
        <w:tc>
          <w:tcPr>
            <w:tcW w:w="1159" w:type="dxa"/>
          </w:tcPr>
          <w:p w:rsidR="00B9359B" w:rsidRDefault="009A5268">
            <w:pPr>
              <w:pStyle w:val="Tabletext"/>
              <w:framePr w:hSpace="181" w:wrap="notBeside" w:vAnchor="text" w:hAnchor="text" w:xAlign="center" w:y="1"/>
              <w:spacing w:before="60" w:after="60"/>
              <w:jc w:val="center"/>
              <w:rPr>
                <w:lang w:val="en-US"/>
              </w:rPr>
            </w:pPr>
            <w:r>
              <w:rPr>
                <w:lang w:val="en-US"/>
              </w:rPr>
              <w:t>28.01</w:t>
            </w:r>
          </w:p>
        </w:tc>
        <w:tc>
          <w:tcPr>
            <w:tcW w:w="1159" w:type="dxa"/>
          </w:tcPr>
          <w:p w:rsidR="00B9359B" w:rsidRDefault="009A5268">
            <w:pPr>
              <w:pStyle w:val="Tabletext"/>
              <w:framePr w:hSpace="181" w:wrap="notBeside" w:vAnchor="text" w:hAnchor="text" w:xAlign="center" w:y="1"/>
              <w:spacing w:before="60" w:after="60"/>
              <w:jc w:val="center"/>
              <w:rPr>
                <w:lang w:val="en-US"/>
              </w:rPr>
            </w:pPr>
            <w:r>
              <w:rPr>
                <w:lang w:val="en-US"/>
              </w:rPr>
              <w:t>22.76</w:t>
            </w:r>
          </w:p>
        </w:tc>
        <w:tc>
          <w:tcPr>
            <w:tcW w:w="1159" w:type="dxa"/>
            <w:tcBorders>
              <w:right w:val="single" w:sz="4" w:space="0" w:color="auto"/>
            </w:tcBorders>
          </w:tcPr>
          <w:p w:rsidR="00B9359B" w:rsidRDefault="009A5268">
            <w:pPr>
              <w:pStyle w:val="Tabletext"/>
              <w:framePr w:hSpace="181" w:wrap="notBeside" w:vAnchor="text" w:hAnchor="text" w:xAlign="center" w:y="1"/>
              <w:spacing w:before="60" w:after="60"/>
              <w:jc w:val="center"/>
              <w:rPr>
                <w:lang w:val="en-US"/>
              </w:rPr>
            </w:pPr>
            <w:r>
              <w:rPr>
                <w:lang w:val="en-US"/>
              </w:rPr>
              <w:t>29.06</w:t>
            </w:r>
          </w:p>
        </w:tc>
      </w:tr>
      <w:tr w:rsidR="00B9359B">
        <w:tc>
          <w:tcPr>
            <w:tcW w:w="3845" w:type="dxa"/>
            <w:tcMar>
              <w:left w:w="85" w:type="dxa"/>
              <w:right w:w="85" w:type="dxa"/>
            </w:tcMar>
          </w:tcPr>
          <w:p w:rsidR="00B9359B" w:rsidRDefault="009A5268">
            <w:pPr>
              <w:pStyle w:val="Tabletext"/>
              <w:framePr w:hSpace="181" w:wrap="notBeside" w:vAnchor="text" w:hAnchor="text" w:xAlign="center" w:y="1"/>
              <w:spacing w:before="60" w:after="60"/>
              <w:jc w:val="left"/>
              <w:rPr>
                <w:lang w:val="en-US"/>
              </w:rPr>
            </w:pPr>
            <w:r>
              <w:rPr>
                <w:lang w:val="en-US"/>
              </w:rPr>
              <w:t>Necessary bandwidth (MHz)</w:t>
            </w:r>
          </w:p>
        </w:tc>
        <w:tc>
          <w:tcPr>
            <w:tcW w:w="5794" w:type="dxa"/>
            <w:gridSpan w:val="5"/>
            <w:tcBorders>
              <w:right w:val="single" w:sz="4" w:space="0" w:color="auto"/>
            </w:tcBorders>
          </w:tcPr>
          <w:p w:rsidR="00B9359B" w:rsidRDefault="009A5268">
            <w:pPr>
              <w:pStyle w:val="Tabletext"/>
              <w:framePr w:hSpace="181" w:wrap="notBeside" w:vAnchor="text" w:hAnchor="text" w:xAlign="center" w:y="1"/>
              <w:spacing w:before="60" w:after="60"/>
              <w:jc w:val="center"/>
              <w:rPr>
                <w:lang w:val="en-US"/>
              </w:rPr>
            </w:pPr>
            <w:r>
              <w:rPr>
                <w:lang w:val="en-US"/>
              </w:rPr>
              <w:t>50</w:t>
            </w:r>
          </w:p>
        </w:tc>
      </w:tr>
      <w:tr w:rsidR="00B9359B">
        <w:tc>
          <w:tcPr>
            <w:tcW w:w="3845" w:type="dxa"/>
            <w:tcMar>
              <w:left w:w="85" w:type="dxa"/>
              <w:right w:w="85" w:type="dxa"/>
            </w:tcMar>
          </w:tcPr>
          <w:p w:rsidR="00B9359B" w:rsidRDefault="009A5268">
            <w:pPr>
              <w:pStyle w:val="Tabletext"/>
              <w:framePr w:hSpace="181" w:wrap="notBeside" w:vAnchor="text" w:hAnchor="text" w:xAlign="center" w:y="1"/>
              <w:spacing w:before="60" w:after="60"/>
              <w:jc w:val="left"/>
              <w:rPr>
                <w:lang w:val="en-US"/>
              </w:rPr>
            </w:pPr>
            <w:r>
              <w:rPr>
                <w:lang w:val="en-US"/>
              </w:rPr>
              <w:t xml:space="preserve">Passive band (% </w:t>
            </w:r>
            <w:r>
              <w:rPr>
                <w:i/>
                <w:iCs/>
                <w:lang w:val="en-US"/>
              </w:rPr>
              <w:t>B</w:t>
            </w:r>
            <w:r>
              <w:rPr>
                <w:i/>
                <w:iCs/>
                <w:vertAlign w:val="subscript"/>
                <w:lang w:val="en-US"/>
              </w:rPr>
              <w:t>N</w:t>
            </w:r>
            <w:r>
              <w:rPr>
                <w:lang w:val="en-US"/>
              </w:rPr>
              <w:t>)</w:t>
            </w:r>
          </w:p>
        </w:tc>
        <w:tc>
          <w:tcPr>
            <w:tcW w:w="5794" w:type="dxa"/>
            <w:gridSpan w:val="5"/>
            <w:tcBorders>
              <w:right w:val="single" w:sz="4" w:space="0" w:color="auto"/>
            </w:tcBorders>
          </w:tcPr>
          <w:p w:rsidR="00B9359B" w:rsidRDefault="009A5268">
            <w:pPr>
              <w:pStyle w:val="Tabletext"/>
              <w:framePr w:hSpace="181" w:wrap="notBeside" w:vAnchor="text" w:hAnchor="text" w:xAlign="center" w:y="1"/>
              <w:spacing w:before="60" w:after="60"/>
              <w:jc w:val="center"/>
              <w:rPr>
                <w:lang w:val="en-US"/>
              </w:rPr>
            </w:pPr>
            <w:r>
              <w:rPr>
                <w:lang w:val="en-US"/>
              </w:rPr>
              <w:t>800</w:t>
            </w:r>
          </w:p>
        </w:tc>
      </w:tr>
      <w:tr w:rsidR="00B9359B">
        <w:tc>
          <w:tcPr>
            <w:tcW w:w="3845" w:type="dxa"/>
            <w:tcMar>
              <w:left w:w="85" w:type="dxa"/>
              <w:right w:w="85" w:type="dxa"/>
            </w:tcMar>
          </w:tcPr>
          <w:p w:rsidR="00B9359B" w:rsidRDefault="009A5268">
            <w:pPr>
              <w:pStyle w:val="Tabletext"/>
              <w:framePr w:hSpace="181" w:wrap="notBeside" w:vAnchor="text" w:hAnchor="text" w:xAlign="center" w:y="1"/>
              <w:spacing w:before="60" w:after="60"/>
              <w:jc w:val="left"/>
              <w:rPr>
                <w:lang w:val="en-US"/>
              </w:rPr>
            </w:pPr>
            <w:r>
              <w:rPr>
                <w:lang w:val="en-US"/>
              </w:rPr>
              <w:t xml:space="preserve">Offset from centre </w:t>
            </w:r>
            <w:r>
              <w:rPr>
                <w:i/>
                <w:iCs/>
                <w:lang w:val="en-US"/>
              </w:rPr>
              <w:t>B</w:t>
            </w:r>
            <w:r>
              <w:rPr>
                <w:i/>
                <w:iCs/>
                <w:vertAlign w:val="subscript"/>
                <w:lang w:val="en-US"/>
              </w:rPr>
              <w:t>N</w:t>
            </w:r>
            <w:r>
              <w:rPr>
                <w:lang w:val="en-US"/>
              </w:rPr>
              <w:t xml:space="preserve"> (% </w:t>
            </w:r>
            <w:r>
              <w:rPr>
                <w:i/>
                <w:iCs/>
                <w:lang w:val="en-US"/>
              </w:rPr>
              <w:t>B</w:t>
            </w:r>
            <w:r>
              <w:rPr>
                <w:i/>
                <w:iCs/>
                <w:vertAlign w:val="subscript"/>
                <w:lang w:val="en-US"/>
              </w:rPr>
              <w:t>N</w:t>
            </w:r>
            <w:r>
              <w:rPr>
                <w:lang w:val="en-US"/>
              </w:rPr>
              <w:t>)</w:t>
            </w:r>
          </w:p>
        </w:tc>
        <w:tc>
          <w:tcPr>
            <w:tcW w:w="1158" w:type="dxa"/>
          </w:tcPr>
          <w:p w:rsidR="00B9359B" w:rsidRDefault="009A5268">
            <w:pPr>
              <w:pStyle w:val="Tabletext"/>
              <w:framePr w:hSpace="181" w:wrap="notBeside" w:vAnchor="text" w:hAnchor="text" w:xAlign="center" w:y="1"/>
              <w:spacing w:before="60" w:after="60"/>
              <w:jc w:val="center"/>
              <w:rPr>
                <w:lang w:val="en-US"/>
              </w:rPr>
            </w:pPr>
            <w:r>
              <w:rPr>
                <w:lang w:val="en-US"/>
              </w:rPr>
              <w:t>85</w:t>
            </w:r>
          </w:p>
        </w:tc>
        <w:tc>
          <w:tcPr>
            <w:tcW w:w="1159" w:type="dxa"/>
          </w:tcPr>
          <w:p w:rsidR="00B9359B" w:rsidRDefault="009A5268">
            <w:pPr>
              <w:pStyle w:val="Tabletext"/>
              <w:framePr w:hSpace="181" w:wrap="notBeside" w:vAnchor="text" w:hAnchor="text" w:xAlign="center" w:y="1"/>
              <w:spacing w:before="60" w:after="60"/>
              <w:jc w:val="center"/>
              <w:rPr>
                <w:lang w:val="en-US"/>
              </w:rPr>
            </w:pPr>
            <w:r>
              <w:rPr>
                <w:lang w:val="en-US"/>
              </w:rPr>
              <w:t>129</w:t>
            </w:r>
          </w:p>
        </w:tc>
        <w:tc>
          <w:tcPr>
            <w:tcW w:w="1159" w:type="dxa"/>
          </w:tcPr>
          <w:p w:rsidR="00B9359B" w:rsidRDefault="009A5268">
            <w:pPr>
              <w:pStyle w:val="Tabletext"/>
              <w:framePr w:hSpace="181" w:wrap="notBeside" w:vAnchor="text" w:hAnchor="text" w:xAlign="center" w:y="1"/>
              <w:spacing w:before="60" w:after="60"/>
              <w:jc w:val="center"/>
              <w:rPr>
                <w:lang w:val="en-US"/>
              </w:rPr>
            </w:pPr>
            <w:r>
              <w:rPr>
                <w:lang w:val="en-US"/>
              </w:rPr>
              <w:t>80</w:t>
            </w:r>
          </w:p>
        </w:tc>
        <w:tc>
          <w:tcPr>
            <w:tcW w:w="1159" w:type="dxa"/>
          </w:tcPr>
          <w:p w:rsidR="00B9359B" w:rsidRDefault="009A5268">
            <w:pPr>
              <w:pStyle w:val="Tabletext"/>
              <w:framePr w:hSpace="181" w:wrap="notBeside" w:vAnchor="text" w:hAnchor="text" w:xAlign="center" w:y="1"/>
              <w:spacing w:before="60" w:after="60"/>
              <w:jc w:val="center"/>
              <w:rPr>
                <w:lang w:val="en-US"/>
              </w:rPr>
            </w:pPr>
            <w:r>
              <w:rPr>
                <w:lang w:val="en-US"/>
              </w:rPr>
              <w:t>71</w:t>
            </w:r>
          </w:p>
        </w:tc>
        <w:tc>
          <w:tcPr>
            <w:tcW w:w="1159" w:type="dxa"/>
            <w:tcBorders>
              <w:right w:val="single" w:sz="4" w:space="0" w:color="auto"/>
            </w:tcBorders>
          </w:tcPr>
          <w:p w:rsidR="00B9359B" w:rsidRDefault="009A5268">
            <w:pPr>
              <w:pStyle w:val="Tabletext"/>
              <w:framePr w:hSpace="181" w:wrap="notBeside" w:vAnchor="text" w:hAnchor="text" w:xAlign="center" w:y="1"/>
              <w:spacing w:before="60" w:after="60"/>
              <w:jc w:val="center"/>
              <w:rPr>
                <w:lang w:val="en-US"/>
              </w:rPr>
            </w:pPr>
            <w:r>
              <w:rPr>
                <w:lang w:val="en-US"/>
              </w:rPr>
              <w:t>81</w:t>
            </w:r>
          </w:p>
        </w:tc>
      </w:tr>
      <w:tr w:rsidR="00B9359B">
        <w:tc>
          <w:tcPr>
            <w:tcW w:w="3845" w:type="dxa"/>
            <w:tcMar>
              <w:left w:w="85" w:type="dxa"/>
              <w:right w:w="85" w:type="dxa"/>
            </w:tcMar>
          </w:tcPr>
          <w:p w:rsidR="00B9359B" w:rsidRDefault="009A5268">
            <w:pPr>
              <w:pStyle w:val="Tabletext"/>
              <w:framePr w:hSpace="181" w:wrap="notBeside" w:vAnchor="text" w:hAnchor="text" w:xAlign="center" w:y="1"/>
              <w:spacing w:before="60" w:after="60"/>
              <w:jc w:val="left"/>
              <w:rPr>
                <w:lang w:val="en-US"/>
              </w:rPr>
            </w:pPr>
            <w:r>
              <w:rPr>
                <w:lang w:val="en-US"/>
              </w:rPr>
              <w:t xml:space="preserve">Offset from centre </w:t>
            </w:r>
            <w:r>
              <w:rPr>
                <w:i/>
                <w:iCs/>
                <w:lang w:val="en-US"/>
              </w:rPr>
              <w:t>B</w:t>
            </w:r>
            <w:r>
              <w:rPr>
                <w:i/>
                <w:iCs/>
                <w:vertAlign w:val="subscript"/>
                <w:lang w:val="en-US"/>
              </w:rPr>
              <w:t>N</w:t>
            </w:r>
            <w:r>
              <w:rPr>
                <w:lang w:val="en-US"/>
              </w:rPr>
              <w:t> (MHz)</w:t>
            </w:r>
          </w:p>
        </w:tc>
        <w:tc>
          <w:tcPr>
            <w:tcW w:w="1158" w:type="dxa"/>
          </w:tcPr>
          <w:p w:rsidR="00B9359B" w:rsidRDefault="009A5268">
            <w:pPr>
              <w:pStyle w:val="Tabletext"/>
              <w:framePr w:hSpace="181" w:wrap="notBeside" w:vAnchor="text" w:hAnchor="text" w:xAlign="center" w:y="1"/>
              <w:spacing w:before="60" w:after="60"/>
              <w:jc w:val="center"/>
              <w:rPr>
                <w:lang w:val="en-US"/>
              </w:rPr>
            </w:pPr>
            <w:r>
              <w:rPr>
                <w:lang w:val="en-US"/>
              </w:rPr>
              <w:t>43</w:t>
            </w:r>
          </w:p>
        </w:tc>
        <w:tc>
          <w:tcPr>
            <w:tcW w:w="1159" w:type="dxa"/>
          </w:tcPr>
          <w:p w:rsidR="00B9359B" w:rsidRDefault="009A5268">
            <w:pPr>
              <w:pStyle w:val="Tabletext"/>
              <w:framePr w:hSpace="181" w:wrap="notBeside" w:vAnchor="text" w:hAnchor="text" w:xAlign="center" w:y="1"/>
              <w:spacing w:before="60" w:after="60"/>
              <w:jc w:val="center"/>
              <w:rPr>
                <w:lang w:val="en-US"/>
              </w:rPr>
            </w:pPr>
            <w:r>
              <w:rPr>
                <w:lang w:val="en-US"/>
              </w:rPr>
              <w:t>65</w:t>
            </w:r>
          </w:p>
        </w:tc>
        <w:tc>
          <w:tcPr>
            <w:tcW w:w="1159" w:type="dxa"/>
          </w:tcPr>
          <w:p w:rsidR="00B9359B" w:rsidRDefault="009A5268">
            <w:pPr>
              <w:pStyle w:val="Tabletext"/>
              <w:framePr w:hSpace="181" w:wrap="notBeside" w:vAnchor="text" w:hAnchor="text" w:xAlign="center" w:y="1"/>
              <w:spacing w:before="60" w:after="60"/>
              <w:jc w:val="center"/>
              <w:rPr>
                <w:lang w:val="en-US"/>
              </w:rPr>
            </w:pPr>
            <w:r>
              <w:rPr>
                <w:lang w:val="en-US"/>
              </w:rPr>
              <w:t>40</w:t>
            </w:r>
          </w:p>
        </w:tc>
        <w:tc>
          <w:tcPr>
            <w:tcW w:w="1159" w:type="dxa"/>
          </w:tcPr>
          <w:p w:rsidR="00B9359B" w:rsidRDefault="009A5268">
            <w:pPr>
              <w:pStyle w:val="Tabletext"/>
              <w:framePr w:hSpace="181" w:wrap="notBeside" w:vAnchor="text" w:hAnchor="text" w:xAlign="center" w:y="1"/>
              <w:spacing w:before="60" w:after="60"/>
              <w:jc w:val="center"/>
              <w:rPr>
                <w:lang w:val="en-US"/>
              </w:rPr>
            </w:pPr>
            <w:r>
              <w:rPr>
                <w:lang w:val="en-US"/>
              </w:rPr>
              <w:t>36</w:t>
            </w:r>
          </w:p>
        </w:tc>
        <w:tc>
          <w:tcPr>
            <w:tcW w:w="1159" w:type="dxa"/>
            <w:tcBorders>
              <w:right w:val="single" w:sz="4" w:space="0" w:color="auto"/>
            </w:tcBorders>
          </w:tcPr>
          <w:p w:rsidR="00B9359B" w:rsidRDefault="009A5268">
            <w:pPr>
              <w:pStyle w:val="Tabletext"/>
              <w:framePr w:hSpace="181" w:wrap="notBeside" w:vAnchor="text" w:hAnchor="text" w:xAlign="center" w:y="1"/>
              <w:spacing w:before="60" w:after="60"/>
              <w:jc w:val="center"/>
              <w:rPr>
                <w:lang w:val="en-US"/>
              </w:rPr>
            </w:pPr>
            <w:r>
              <w:rPr>
                <w:lang w:val="en-US"/>
              </w:rPr>
              <w:t>41</w:t>
            </w:r>
          </w:p>
        </w:tc>
      </w:tr>
      <w:tr w:rsidR="00B9359B">
        <w:tc>
          <w:tcPr>
            <w:tcW w:w="3845" w:type="dxa"/>
            <w:tcBorders>
              <w:bottom w:val="single" w:sz="4" w:space="0" w:color="auto"/>
            </w:tcBorders>
            <w:tcMar>
              <w:left w:w="85" w:type="dxa"/>
              <w:right w:w="85" w:type="dxa"/>
            </w:tcMar>
          </w:tcPr>
          <w:p w:rsidR="00B9359B" w:rsidRDefault="009A5268">
            <w:pPr>
              <w:pStyle w:val="Tabletext"/>
              <w:framePr w:hSpace="181" w:wrap="notBeside" w:vAnchor="text" w:hAnchor="text" w:xAlign="center" w:y="1"/>
              <w:spacing w:before="60" w:after="60"/>
              <w:jc w:val="left"/>
              <w:rPr>
                <w:lang w:val="en-US"/>
              </w:rPr>
            </w:pPr>
            <w:r>
              <w:rPr>
                <w:lang w:val="en-US"/>
              </w:rPr>
              <w:t>Required additional guardband (MHz)</w:t>
            </w:r>
          </w:p>
        </w:tc>
        <w:tc>
          <w:tcPr>
            <w:tcW w:w="1158" w:type="dxa"/>
            <w:tcBorders>
              <w:bottom w:val="single" w:sz="4" w:space="0" w:color="auto"/>
            </w:tcBorders>
          </w:tcPr>
          <w:p w:rsidR="00B9359B" w:rsidRDefault="009A5268">
            <w:pPr>
              <w:pStyle w:val="Tabletext"/>
              <w:framePr w:hSpace="181" w:wrap="notBeside" w:vAnchor="text" w:hAnchor="text" w:xAlign="center" w:y="1"/>
              <w:spacing w:before="60" w:after="60"/>
              <w:jc w:val="center"/>
              <w:rPr>
                <w:lang w:val="en-US"/>
              </w:rPr>
            </w:pPr>
            <w:r>
              <w:rPr>
                <w:lang w:val="en-US"/>
              </w:rPr>
              <w:t>0</w:t>
            </w:r>
          </w:p>
        </w:tc>
        <w:tc>
          <w:tcPr>
            <w:tcW w:w="1159" w:type="dxa"/>
            <w:tcBorders>
              <w:bottom w:val="single" w:sz="4" w:space="0" w:color="auto"/>
            </w:tcBorders>
          </w:tcPr>
          <w:p w:rsidR="00B9359B" w:rsidRDefault="009A5268">
            <w:pPr>
              <w:pStyle w:val="Tabletext"/>
              <w:framePr w:hSpace="181" w:wrap="notBeside" w:vAnchor="text" w:hAnchor="text" w:xAlign="center" w:y="1"/>
              <w:spacing w:before="60" w:after="60"/>
              <w:jc w:val="center"/>
              <w:rPr>
                <w:lang w:val="en-US"/>
              </w:rPr>
            </w:pPr>
            <w:r>
              <w:rPr>
                <w:lang w:val="en-US"/>
              </w:rPr>
              <w:t>0</w:t>
            </w:r>
          </w:p>
        </w:tc>
        <w:tc>
          <w:tcPr>
            <w:tcW w:w="1159" w:type="dxa"/>
            <w:tcBorders>
              <w:bottom w:val="single" w:sz="4" w:space="0" w:color="auto"/>
            </w:tcBorders>
          </w:tcPr>
          <w:p w:rsidR="00B9359B" w:rsidRDefault="009A5268">
            <w:pPr>
              <w:pStyle w:val="Tabletext"/>
              <w:framePr w:hSpace="181" w:wrap="notBeside" w:vAnchor="text" w:hAnchor="text" w:xAlign="center" w:y="1"/>
              <w:spacing w:before="60" w:after="60"/>
              <w:jc w:val="center"/>
              <w:rPr>
                <w:lang w:val="en-US"/>
              </w:rPr>
            </w:pPr>
            <w:r>
              <w:rPr>
                <w:lang w:val="en-US"/>
              </w:rPr>
              <w:t>0</w:t>
            </w:r>
          </w:p>
        </w:tc>
        <w:tc>
          <w:tcPr>
            <w:tcW w:w="1159" w:type="dxa"/>
            <w:tcBorders>
              <w:bottom w:val="single" w:sz="4" w:space="0" w:color="auto"/>
            </w:tcBorders>
          </w:tcPr>
          <w:p w:rsidR="00B9359B" w:rsidRDefault="009A5268">
            <w:pPr>
              <w:pStyle w:val="Tabletext"/>
              <w:framePr w:hSpace="181" w:wrap="notBeside" w:vAnchor="text" w:hAnchor="text" w:xAlign="center" w:y="1"/>
              <w:spacing w:before="60" w:after="60"/>
              <w:jc w:val="center"/>
              <w:rPr>
                <w:lang w:val="en-US"/>
              </w:rPr>
            </w:pPr>
            <w:r>
              <w:rPr>
                <w:lang w:val="en-US"/>
              </w:rPr>
              <w:t>0</w:t>
            </w:r>
          </w:p>
        </w:tc>
        <w:tc>
          <w:tcPr>
            <w:tcW w:w="1159" w:type="dxa"/>
            <w:tcBorders>
              <w:bottom w:val="single" w:sz="4" w:space="0" w:color="auto"/>
              <w:right w:val="single" w:sz="4" w:space="0" w:color="auto"/>
            </w:tcBorders>
          </w:tcPr>
          <w:p w:rsidR="00B9359B" w:rsidRDefault="009A5268">
            <w:pPr>
              <w:pStyle w:val="Tabletext"/>
              <w:framePr w:hSpace="181" w:wrap="notBeside" w:vAnchor="text" w:hAnchor="text" w:xAlign="center" w:y="1"/>
              <w:spacing w:before="60" w:after="60"/>
              <w:jc w:val="center"/>
              <w:rPr>
                <w:lang w:val="en-US"/>
              </w:rPr>
            </w:pPr>
            <w:r>
              <w:rPr>
                <w:lang w:val="en-US"/>
              </w:rPr>
              <w:t>0</w:t>
            </w:r>
          </w:p>
        </w:tc>
      </w:tr>
      <w:tr w:rsidR="00B9359B" w:rsidRPr="00D35B94">
        <w:trPr>
          <w:cantSplit/>
        </w:trPr>
        <w:tc>
          <w:tcPr>
            <w:tcW w:w="9639" w:type="dxa"/>
            <w:gridSpan w:val="6"/>
            <w:tcBorders>
              <w:left w:val="nil"/>
              <w:bottom w:val="nil"/>
              <w:right w:val="nil"/>
            </w:tcBorders>
            <w:tcMar>
              <w:left w:w="85" w:type="dxa"/>
              <w:right w:w="85" w:type="dxa"/>
            </w:tcMar>
          </w:tcPr>
          <w:p w:rsidR="00B9359B" w:rsidRDefault="009A5268">
            <w:pPr>
              <w:pStyle w:val="Tablelegend"/>
              <w:framePr w:hSpace="181" w:wrap="notBeside" w:vAnchor="text" w:hAnchor="text" w:xAlign="center" w:y="1"/>
              <w:ind w:left="0" w:firstLine="0"/>
              <w:rPr>
                <w:lang w:val="en-US"/>
              </w:rPr>
            </w:pPr>
            <w:r>
              <w:rPr>
                <w:lang w:val="en-US"/>
              </w:rPr>
              <w:t>NOTE 1 </w:t>
            </w:r>
            <w:r>
              <w:sym w:font="Symbol" w:char="F02D"/>
            </w:r>
            <w:r>
              <w:rPr>
                <w:lang w:val="en-US"/>
              </w:rPr>
              <w:t> In case of LEO-1 and LEO-2, the worst case is obtained in the data acquisition mode. It is obtained in the calibration mode in case of LEO-3, LEO-4 and GEO.</w:t>
            </w:r>
          </w:p>
        </w:tc>
      </w:tr>
    </w:tbl>
    <w:p w:rsidR="00B9359B" w:rsidRDefault="00B9359B">
      <w:pPr>
        <w:pStyle w:val="Tablefin"/>
      </w:pPr>
    </w:p>
    <w:p w:rsidR="00B9359B" w:rsidRDefault="00B9359B">
      <w:pPr>
        <w:rPr>
          <w:lang w:val="en-GB"/>
        </w:rPr>
      </w:pPr>
    </w:p>
    <w:p w:rsidR="00B9359B" w:rsidRDefault="009A5268">
      <w:pPr>
        <w:rPr>
          <w:lang w:val="en-US"/>
        </w:rPr>
      </w:pPr>
      <w:r>
        <w:rPr>
          <w:lang w:val="en-US"/>
        </w:rPr>
        <w:t>The dynamic simulations have shown that a 55.1 dB rejection is required: such a rejection corresponds to a 320 MHz guardband.</w:t>
      </w:r>
    </w:p>
    <w:p w:rsidR="00B9359B" w:rsidRDefault="009A5268">
      <w:pPr>
        <w:pStyle w:val="Heading1"/>
        <w:rPr>
          <w:lang w:val="en-US"/>
        </w:rPr>
      </w:pPr>
      <w:bookmarkStart w:id="385" w:name="_Toc51045785"/>
      <w:r>
        <w:rPr>
          <w:lang w:val="en-US"/>
        </w:rPr>
        <w:t>5</w:t>
      </w:r>
      <w:r>
        <w:rPr>
          <w:lang w:val="en-US"/>
        </w:rPr>
        <w:tab/>
        <w:t>Mitigation techniques</w:t>
      </w:r>
      <w:bookmarkEnd w:id="385"/>
    </w:p>
    <w:p w:rsidR="00B9359B" w:rsidRDefault="009A5268">
      <w:pPr>
        <w:pStyle w:val="Heading2"/>
        <w:rPr>
          <w:lang w:val="en-US"/>
        </w:rPr>
      </w:pPr>
      <w:bookmarkStart w:id="386" w:name="_Toc51045786"/>
      <w:r>
        <w:rPr>
          <w:lang w:val="en-US"/>
        </w:rPr>
        <w:t>5.1</w:t>
      </w:r>
      <w:r>
        <w:rPr>
          <w:lang w:val="en-US"/>
        </w:rPr>
        <w:tab/>
        <w:t>EESS</w:t>
      </w:r>
      <w:bookmarkEnd w:id="386"/>
      <w:r>
        <w:rPr>
          <w:lang w:val="en-US"/>
        </w:rPr>
        <w:t xml:space="preserve"> (passive)</w:t>
      </w:r>
    </w:p>
    <w:p w:rsidR="00B9359B" w:rsidRDefault="009A5268">
      <w:pPr>
        <w:rPr>
          <w:lang w:val="en-US"/>
        </w:rPr>
      </w:pPr>
      <w:r>
        <w:rPr>
          <w:lang w:val="en-US"/>
        </w:rPr>
        <w:t>This subject needs further investigation.</w:t>
      </w:r>
    </w:p>
    <w:p w:rsidR="00B9359B" w:rsidRDefault="009A5268">
      <w:pPr>
        <w:pStyle w:val="Heading2"/>
        <w:rPr>
          <w:lang w:val="en-US"/>
        </w:rPr>
      </w:pPr>
      <w:bookmarkStart w:id="387" w:name="_Toc51045787"/>
      <w:r>
        <w:rPr>
          <w:lang w:val="en-US"/>
        </w:rPr>
        <w:t>5.2</w:t>
      </w:r>
      <w:r>
        <w:rPr>
          <w:lang w:val="en-US"/>
        </w:rPr>
        <w:tab/>
        <w:t>ISS</w:t>
      </w:r>
      <w:bookmarkEnd w:id="387"/>
    </w:p>
    <w:p w:rsidR="00B9359B" w:rsidRDefault="009A5268">
      <w:pPr>
        <w:rPr>
          <w:lang w:val="en-US"/>
        </w:rPr>
      </w:pPr>
      <w:r>
        <w:rPr>
          <w:lang w:val="en-US"/>
        </w:rPr>
        <w:t>The results of the analysis (see Tables 45 to 53) indicate that, under the working assumptions adopted, the application of the raised cosine mask is not sufficient in cases of a 200 MHz necessary bandwidth. Other mitigation techniques may also be employed in addition in order to comply with the interference threshold of the passive sensor.</w:t>
      </w:r>
    </w:p>
    <w:p w:rsidR="00B9359B" w:rsidRDefault="009A5268">
      <w:pPr>
        <w:pStyle w:val="Heading3"/>
        <w:rPr>
          <w:lang w:val="en-US"/>
        </w:rPr>
      </w:pPr>
      <w:bookmarkStart w:id="388" w:name="_Toc51045788"/>
      <w:r>
        <w:rPr>
          <w:lang w:val="en-US"/>
        </w:rPr>
        <w:t>5.2.1</w:t>
      </w:r>
      <w:r>
        <w:rPr>
          <w:lang w:val="en-US"/>
        </w:rPr>
        <w:tab/>
        <w:t>Necessary bandwidth limits and guardbands</w:t>
      </w:r>
      <w:bookmarkEnd w:id="388"/>
    </w:p>
    <w:p w:rsidR="00B9359B" w:rsidRDefault="009A5268">
      <w:pPr>
        <w:rPr>
          <w:lang w:val="en-US"/>
        </w:rPr>
      </w:pPr>
      <w:r>
        <w:rPr>
          <w:lang w:val="en-US"/>
        </w:rPr>
        <w:t>The benefits of decreasing the necessary bandwidth are clearly indicated in Tables 48 and 53.</w:t>
      </w:r>
    </w:p>
    <w:p w:rsidR="00B9359B" w:rsidRDefault="009A5268">
      <w:pPr>
        <w:pStyle w:val="Heading3"/>
        <w:rPr>
          <w:lang w:val="en-US"/>
        </w:rPr>
      </w:pPr>
      <w:bookmarkStart w:id="389" w:name="_Toc51045789"/>
      <w:r>
        <w:rPr>
          <w:lang w:val="en-US"/>
        </w:rPr>
        <w:t>5.2.2</w:t>
      </w:r>
      <w:r>
        <w:rPr>
          <w:lang w:val="en-US"/>
        </w:rPr>
        <w:tab/>
        <w:t>Baseband filtering</w:t>
      </w:r>
      <w:bookmarkEnd w:id="389"/>
    </w:p>
    <w:p w:rsidR="00B9359B" w:rsidRDefault="009A5268">
      <w:pPr>
        <w:rPr>
          <w:lang w:val="en-US"/>
        </w:rPr>
      </w:pPr>
      <w:r>
        <w:rPr>
          <w:lang w:val="en-US"/>
        </w:rPr>
        <w:t>It has to be noted that most of the OoB suppression would take full benefit of the roll off of the modulation waveform and of the analogue filter, if it is on-board implemented. In order to resolve practical cases of OoB interference in passive bands, it becomes urgent to get typical spectrum of transmitting active services out of their own bandwidth. If those spectrums are not available, the alternative way is to get a spectrum of the transmitting active services at the edges of their own bandwidths: the knowledge of these spectrums might give us enough information to predict the decrease of the spectrums in adjacent bands.</w:t>
      </w:r>
    </w:p>
    <w:p w:rsidR="00B9359B" w:rsidRDefault="009A5268">
      <w:pPr>
        <w:pStyle w:val="Heading3"/>
        <w:rPr>
          <w:lang w:val="en-US"/>
        </w:rPr>
      </w:pPr>
      <w:bookmarkStart w:id="390" w:name="_Toc51045790"/>
      <w:r>
        <w:rPr>
          <w:lang w:val="en-US"/>
        </w:rPr>
        <w:br w:type="page"/>
        <w:t>5.2.3</w:t>
      </w:r>
      <w:r>
        <w:rPr>
          <w:lang w:val="en-US"/>
        </w:rPr>
        <w:tab/>
        <w:t>Lower emission power and/or reduction of necessary bandwidth</w:t>
      </w:r>
      <w:bookmarkEnd w:id="390"/>
    </w:p>
    <w:p w:rsidR="00B9359B" w:rsidRDefault="009A5268">
      <w:pPr>
        <w:rPr>
          <w:lang w:val="en-US"/>
        </w:rPr>
      </w:pPr>
      <w:r>
        <w:rPr>
          <w:lang w:val="en-US"/>
        </w:rPr>
        <w:t>Reduction of power and/or necessary bandwidth could be accomplished by placing lower data rate applications near the upper band edge. Shorter ISS links would lead to a reduction of the necessary e.i.r.p.. In addition, a reduction of the antenna side lobes would also be beneficial.</w:t>
      </w:r>
    </w:p>
    <w:p w:rsidR="00B9359B" w:rsidRDefault="009A5268">
      <w:pPr>
        <w:pStyle w:val="Heading3"/>
        <w:rPr>
          <w:lang w:val="en-US"/>
        </w:rPr>
      </w:pPr>
      <w:bookmarkStart w:id="391" w:name="_Toc51045791"/>
      <w:r>
        <w:rPr>
          <w:lang w:val="en-US"/>
        </w:rPr>
        <w:t>5.2.4</w:t>
      </w:r>
      <w:r>
        <w:rPr>
          <w:lang w:val="en-US"/>
        </w:rPr>
        <w:tab/>
        <w:t>Geometric separation and ISS orbits</w:t>
      </w:r>
      <w:bookmarkEnd w:id="391"/>
    </w:p>
    <w:p w:rsidR="00B9359B" w:rsidRDefault="009A5268">
      <w:pPr>
        <w:rPr>
          <w:lang w:val="en-US"/>
        </w:rPr>
      </w:pPr>
      <w:r>
        <w:rPr>
          <w:lang w:val="en-US"/>
        </w:rPr>
        <w:t>If a minimal geocentric separation between the passive sensor and active satellites is maintained, this separation would enable either to decrease the power received by the sensor or to reduce the temporal interference impact. Such a separation could be in terms of orbital distance, longitudinal separation for systems in polar or geostationary orbits, or separation in the orbit inclination. ISS orbits above the EESS orbit may also improve compatibility</w:t>
      </w:r>
    </w:p>
    <w:p w:rsidR="00B9359B" w:rsidRDefault="009A5268">
      <w:pPr>
        <w:pStyle w:val="Heading2"/>
        <w:rPr>
          <w:lang w:val="en-US"/>
        </w:rPr>
      </w:pPr>
      <w:bookmarkStart w:id="392" w:name="_Toc51045792"/>
      <w:r>
        <w:rPr>
          <w:lang w:val="en-US"/>
        </w:rPr>
        <w:t>5.3</w:t>
      </w:r>
      <w:r>
        <w:rPr>
          <w:lang w:val="en-US"/>
        </w:rPr>
        <w:tab/>
        <w:t>Potential impact</w:t>
      </w:r>
      <w:bookmarkEnd w:id="392"/>
    </w:p>
    <w:p w:rsidR="00B9359B" w:rsidRDefault="009A5268">
      <w:pPr>
        <w:pStyle w:val="Heading3"/>
        <w:rPr>
          <w:lang w:val="en-US"/>
        </w:rPr>
      </w:pPr>
      <w:bookmarkStart w:id="393" w:name="_Toc51045793"/>
      <w:r>
        <w:rPr>
          <w:lang w:val="en-US"/>
        </w:rPr>
        <w:t>5.3.1</w:t>
      </w:r>
      <w:r>
        <w:rPr>
          <w:lang w:val="en-US"/>
        </w:rPr>
        <w:tab/>
        <w:t>EESS</w:t>
      </w:r>
      <w:bookmarkEnd w:id="393"/>
      <w:r>
        <w:rPr>
          <w:lang w:val="en-US"/>
        </w:rPr>
        <w:t xml:space="preserve"> (passive)</w:t>
      </w:r>
    </w:p>
    <w:p w:rsidR="00B9359B" w:rsidRDefault="009A5268">
      <w:pPr>
        <w:rPr>
          <w:lang w:val="en-US"/>
        </w:rPr>
      </w:pPr>
      <w:r>
        <w:rPr>
          <w:lang w:val="en-US"/>
        </w:rPr>
        <w:t>A reduction of the measurement bandwidth due to unacceptable interference in the lowest part of its allocated spectrum may degrade the quality of data below the required level. Alternatively, change of sensor’s design to maintain its performance at the required level will inevitably considerably increase the development and production costs of the instrument.</w:t>
      </w:r>
    </w:p>
    <w:p w:rsidR="00B9359B" w:rsidRDefault="009A5268">
      <w:pPr>
        <w:pStyle w:val="Heading3"/>
        <w:rPr>
          <w:lang w:val="en-US"/>
        </w:rPr>
      </w:pPr>
      <w:bookmarkStart w:id="394" w:name="_Toc51045794"/>
      <w:r>
        <w:rPr>
          <w:lang w:val="en-US"/>
        </w:rPr>
        <w:t>5.3.2</w:t>
      </w:r>
      <w:r>
        <w:rPr>
          <w:lang w:val="en-US"/>
        </w:rPr>
        <w:tab/>
        <w:t>ISS</w:t>
      </w:r>
      <w:bookmarkEnd w:id="394"/>
    </w:p>
    <w:p w:rsidR="00B9359B" w:rsidRDefault="009A5268">
      <w:pPr>
        <w:rPr>
          <w:lang w:val="en-US"/>
        </w:rPr>
      </w:pPr>
      <w:r>
        <w:rPr>
          <w:lang w:val="en-US"/>
        </w:rPr>
        <w:t xml:space="preserve">Mitigation techniques for systems that are currently in use may not be practical. Introduction of guardbands will reduce the available spectrum. Possible modification of the channel configuration to decrease the occupied bandwidth, adoption of improved modulation techniques and in band filtering may be feasible for new systems, but are likely to increase the cost. </w:t>
      </w:r>
    </w:p>
    <w:p w:rsidR="00B9359B" w:rsidRDefault="009A5268">
      <w:pPr>
        <w:rPr>
          <w:lang w:val="en-US"/>
        </w:rPr>
      </w:pPr>
      <w:r>
        <w:rPr>
          <w:lang w:val="en-US"/>
        </w:rPr>
        <w:t>ISS constellations using a wide necessary bandwidth might be placed as far as practicable from the EESS (passive) allocation, in the lowest part of the ISS allocation.</w:t>
      </w:r>
    </w:p>
    <w:p w:rsidR="00B9359B" w:rsidRDefault="009A5268">
      <w:pPr>
        <w:pStyle w:val="Heading1"/>
        <w:rPr>
          <w:lang w:val="en-US"/>
        </w:rPr>
      </w:pPr>
      <w:bookmarkStart w:id="395" w:name="_Toc51045795"/>
      <w:r>
        <w:rPr>
          <w:lang w:val="en-US"/>
        </w:rPr>
        <w:t>6</w:t>
      </w:r>
      <w:r>
        <w:rPr>
          <w:lang w:val="en-US"/>
        </w:rPr>
        <w:tab/>
        <w:t>Results of studies</w:t>
      </w:r>
      <w:bookmarkEnd w:id="395"/>
    </w:p>
    <w:p w:rsidR="00B9359B" w:rsidRDefault="009A5268">
      <w:pPr>
        <w:pStyle w:val="Heading2"/>
        <w:rPr>
          <w:lang w:val="en-US"/>
        </w:rPr>
      </w:pPr>
      <w:bookmarkStart w:id="396" w:name="_Toc51045796"/>
      <w:r>
        <w:rPr>
          <w:lang w:val="en-US"/>
        </w:rPr>
        <w:t>6.1</w:t>
      </w:r>
      <w:r>
        <w:rPr>
          <w:lang w:val="en-US"/>
        </w:rPr>
        <w:tab/>
        <w:t>Summary</w:t>
      </w:r>
      <w:bookmarkEnd w:id="396"/>
    </w:p>
    <w:p w:rsidR="00B9359B" w:rsidRDefault="009A5268">
      <w:pPr>
        <w:rPr>
          <w:lang w:val="en-US"/>
        </w:rPr>
      </w:pPr>
      <w:r>
        <w:rPr>
          <w:lang w:val="en-US"/>
        </w:rPr>
        <w:t>Studies, which have been conducted, conclude that, using the raised cosine mask, mitigation techniques described above would need to be applied simultaneously to ensure compatibility.</w:t>
      </w:r>
    </w:p>
    <w:p w:rsidR="00B9359B" w:rsidRDefault="009A5268">
      <w:pPr>
        <w:pStyle w:val="Heading2"/>
        <w:rPr>
          <w:lang w:val="en-US"/>
        </w:rPr>
      </w:pPr>
      <w:bookmarkStart w:id="397" w:name="_Toc51045797"/>
      <w:r>
        <w:rPr>
          <w:lang w:val="en-US"/>
        </w:rPr>
        <w:t>6.2</w:t>
      </w:r>
      <w:r>
        <w:rPr>
          <w:lang w:val="en-US"/>
        </w:rPr>
        <w:tab/>
        <w:t>Conclusions</w:t>
      </w:r>
      <w:bookmarkEnd w:id="397"/>
    </w:p>
    <w:p w:rsidR="00B9359B" w:rsidRDefault="009A5268">
      <w:pPr>
        <w:rPr>
          <w:lang w:val="en-US"/>
        </w:rPr>
      </w:pPr>
      <w:r>
        <w:rPr>
          <w:lang w:val="en-US"/>
        </w:rPr>
        <w:t>Interference to a passive sensor can occur at several locations in its orbit from ISS links depending on many parameters of the active system. The probability of interference is highly dependent on the relative orbital characteristics of the sensor and the ISS system, and on the number of satellites that compose the ISS system. Dynamic simulations involving the passive sensor and ISS constellations should be pursued to consider the case of ISS networks having characteristics different from those of Hib</w:t>
      </w:r>
      <w:r>
        <w:rPr>
          <w:lang w:val="en-US"/>
        </w:rPr>
        <w:noBreakHyphen/>
        <w:t>Leo 2.</w:t>
      </w:r>
    </w:p>
    <w:p w:rsidR="00B9359B" w:rsidRDefault="009A5268">
      <w:pPr>
        <w:rPr>
          <w:lang w:val="en-US"/>
        </w:rPr>
      </w:pPr>
      <w:r>
        <w:rPr>
          <w:lang w:val="en-US"/>
        </w:rPr>
        <w:t>The above mitigation techniques need to be investigated and reviewed within the ITU</w:t>
      </w:r>
      <w:r>
        <w:rPr>
          <w:lang w:val="en-US"/>
        </w:rPr>
        <w:noBreakHyphen/>
        <w:t>R.</w:t>
      </w:r>
    </w:p>
    <w:p w:rsidR="00B9359B" w:rsidRDefault="009A5268">
      <w:pPr>
        <w:rPr>
          <w:lang w:val="en-US"/>
        </w:rPr>
      </w:pPr>
      <w:r>
        <w:rPr>
          <w:lang w:val="en-US"/>
        </w:rPr>
        <w:br w:type="page"/>
        <w:t>It must be noted that satellite systems with orbits similar to the sensor could cause longer periods of interference because their relative positions do not change quickly. Even if the interference occurs for 0.01% of the time over a month, it may be almost 100% of the time for a few hours. This does not meet the criterion of only interfering with 0.01% of the measurement pixels.</w:t>
      </w:r>
    </w:p>
    <w:p w:rsidR="00B9359B" w:rsidRDefault="00B9359B">
      <w:pPr>
        <w:rPr>
          <w:lang w:val="en-US"/>
        </w:rPr>
      </w:pPr>
    </w:p>
    <w:p w:rsidR="00B9359B" w:rsidRDefault="00B9359B">
      <w:pPr>
        <w:rPr>
          <w:lang w:val="en-US"/>
        </w:rPr>
      </w:pPr>
    </w:p>
    <w:p w:rsidR="00B9359B" w:rsidRDefault="009A5268">
      <w:pPr>
        <w:pStyle w:val="AnnexNoTitle"/>
        <w:rPr>
          <w:lang w:val="en-US"/>
        </w:rPr>
      </w:pPr>
      <w:r>
        <w:rPr>
          <w:lang w:val="en-US"/>
        </w:rPr>
        <w:t>Annex 14</w:t>
      </w:r>
      <w:r>
        <w:rPr>
          <w:lang w:val="en-US"/>
        </w:rPr>
        <w:br/>
      </w:r>
      <w:r>
        <w:rPr>
          <w:lang w:val="en-US"/>
        </w:rPr>
        <w:br/>
        <w:t>Compatibility analysis between the EESS (passive) in the</w:t>
      </w:r>
      <w:r>
        <w:rPr>
          <w:lang w:val="en-US"/>
        </w:rPr>
        <w:br/>
        <w:t>31.3-31.5 GHz</w:t>
      </w:r>
      <w:r>
        <w:rPr>
          <w:caps/>
          <w:lang w:val="en-US"/>
        </w:rPr>
        <w:t xml:space="preserve"> </w:t>
      </w:r>
      <w:r>
        <w:rPr>
          <w:lang w:val="en-US"/>
        </w:rPr>
        <w:t>band and the FSS (Earth-to-space) and</w:t>
      </w:r>
      <w:r>
        <w:rPr>
          <w:lang w:val="en-US"/>
        </w:rPr>
        <w:br/>
        <w:t>the MSS (Earth-to-space) in the 30-31 GHz band</w:t>
      </w:r>
    </w:p>
    <w:p w:rsidR="00B9359B" w:rsidRDefault="009A5268">
      <w:pPr>
        <w:pStyle w:val="Heading1"/>
        <w:rPr>
          <w:lang w:val="en-US"/>
        </w:rPr>
      </w:pPr>
      <w:bookmarkStart w:id="398" w:name="_Toc51045798"/>
      <w:r>
        <w:rPr>
          <w:lang w:val="en-US"/>
        </w:rPr>
        <w:t>1</w:t>
      </w:r>
      <w:r>
        <w:rPr>
          <w:lang w:val="en-US"/>
        </w:rPr>
        <w:tab/>
        <w:t>EESS</w:t>
      </w:r>
      <w:bookmarkEnd w:id="398"/>
      <w:r>
        <w:rPr>
          <w:lang w:val="en-US"/>
        </w:rPr>
        <w:t xml:space="preserve"> (passive)</w:t>
      </w:r>
    </w:p>
    <w:p w:rsidR="00B9359B" w:rsidRDefault="009A5268">
      <w:pPr>
        <w:pStyle w:val="Heading2"/>
        <w:rPr>
          <w:lang w:val="en-US"/>
        </w:rPr>
      </w:pPr>
      <w:bookmarkStart w:id="399" w:name="_Toc51045799"/>
      <w:r>
        <w:rPr>
          <w:lang w:val="en-US"/>
        </w:rPr>
        <w:t>1.1</w:t>
      </w:r>
      <w:r>
        <w:rPr>
          <w:lang w:val="en-US"/>
        </w:rPr>
        <w:tab/>
        <w:t>Allocated band</w:t>
      </w:r>
      <w:bookmarkEnd w:id="399"/>
    </w:p>
    <w:p w:rsidR="00B9359B" w:rsidRDefault="009A5268">
      <w:pPr>
        <w:rPr>
          <w:caps/>
          <w:lang w:val="en-US"/>
        </w:rPr>
      </w:pPr>
      <w:r>
        <w:rPr>
          <w:lang w:val="en-US"/>
        </w:rPr>
        <w:t>The band 31.3-31.5 GHz is allocated to the EESS (passive), RAS and SRS (passive). It should be noted that the band 31.3-31.5 GHz is covered by RR No. 5.340. The allocations adjacent to the 31.3</w:t>
      </w:r>
      <w:r>
        <w:rPr>
          <w:lang w:val="en-US"/>
        </w:rPr>
        <w:noBreakHyphen/>
        <w:t>31.8 GHz passive bands are shown in Table 54.</w:t>
      </w:r>
    </w:p>
    <w:p w:rsidR="00B9359B" w:rsidRDefault="009A5268">
      <w:pPr>
        <w:pStyle w:val="TableNo"/>
        <w:rPr>
          <w:lang w:val="en-US"/>
        </w:rPr>
      </w:pPr>
      <w:r>
        <w:rPr>
          <w:lang w:val="en-US"/>
        </w:rPr>
        <w:t>TABLE  54</w:t>
      </w:r>
    </w:p>
    <w:p w:rsidR="00B9359B" w:rsidRDefault="009A5268">
      <w:pPr>
        <w:pStyle w:val="Tabletitle"/>
        <w:rPr>
          <w:lang w:val="en-US"/>
        </w:rPr>
      </w:pPr>
      <w:r>
        <w:rPr>
          <w:lang w:val="en-US"/>
        </w:rPr>
        <w:t>Adjacent band allocations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098"/>
        <w:gridCol w:w="2381"/>
        <w:gridCol w:w="2948"/>
      </w:tblGrid>
      <w:tr w:rsidR="00B9359B" w:rsidRPr="00D35B94">
        <w:tc>
          <w:tcPr>
            <w:tcW w:w="2268" w:type="dxa"/>
            <w:vAlign w:val="center"/>
          </w:tcPr>
          <w:p w:rsidR="00B9359B" w:rsidRDefault="009A5268">
            <w:pPr>
              <w:pStyle w:val="Tablehead"/>
              <w:framePr w:hSpace="181" w:wrap="notBeside" w:vAnchor="text" w:hAnchor="text" w:xAlign="center" w:y="1"/>
              <w:rPr>
                <w:lang w:val="en-US"/>
              </w:rPr>
            </w:pPr>
            <w:r>
              <w:rPr>
                <w:lang w:val="en-US"/>
              </w:rPr>
              <w:t>Space services in lower allocated band</w:t>
            </w:r>
          </w:p>
        </w:tc>
        <w:tc>
          <w:tcPr>
            <w:tcW w:w="2098" w:type="dxa"/>
            <w:vAlign w:val="center"/>
          </w:tcPr>
          <w:p w:rsidR="00B9359B" w:rsidRDefault="009A5268">
            <w:pPr>
              <w:pStyle w:val="Tablehead"/>
              <w:framePr w:hSpace="181" w:wrap="notBeside" w:vAnchor="text" w:hAnchor="text" w:xAlign="center" w:y="1"/>
              <w:rPr>
                <w:lang w:val="en-US"/>
              </w:rPr>
            </w:pPr>
            <w:r>
              <w:rPr>
                <w:lang w:val="en-US"/>
              </w:rPr>
              <w:t>Services in lower allocated band</w:t>
            </w:r>
          </w:p>
        </w:tc>
        <w:tc>
          <w:tcPr>
            <w:tcW w:w="2381" w:type="dxa"/>
            <w:vAlign w:val="center"/>
          </w:tcPr>
          <w:p w:rsidR="00B9359B" w:rsidRDefault="009A5268">
            <w:pPr>
              <w:pStyle w:val="Tablehead"/>
              <w:framePr w:hSpace="181" w:wrap="notBeside" w:vAnchor="text" w:hAnchor="text" w:xAlign="center" w:y="1"/>
              <w:rPr>
                <w:lang w:val="en-US"/>
              </w:rPr>
            </w:pPr>
            <w:r>
              <w:rPr>
                <w:lang w:val="en-US"/>
              </w:rPr>
              <w:t>Passive band</w:t>
            </w:r>
          </w:p>
        </w:tc>
        <w:tc>
          <w:tcPr>
            <w:tcW w:w="2948" w:type="dxa"/>
            <w:vAlign w:val="center"/>
          </w:tcPr>
          <w:p w:rsidR="00B9359B" w:rsidRDefault="009A5268">
            <w:pPr>
              <w:pStyle w:val="Tablehead"/>
              <w:framePr w:hSpace="181" w:wrap="notBeside" w:vAnchor="text" w:hAnchor="text" w:xAlign="center" w:y="1"/>
              <w:rPr>
                <w:lang w:val="en-US"/>
              </w:rPr>
            </w:pPr>
            <w:r>
              <w:rPr>
                <w:lang w:val="en-US"/>
              </w:rPr>
              <w:t>Services in upper</w:t>
            </w:r>
            <w:r>
              <w:rPr>
                <w:lang w:val="en-US"/>
              </w:rPr>
              <w:br/>
              <w:t>allocated band</w:t>
            </w:r>
          </w:p>
        </w:tc>
      </w:tr>
      <w:tr w:rsidR="00B9359B">
        <w:tc>
          <w:tcPr>
            <w:tcW w:w="2268" w:type="dxa"/>
          </w:tcPr>
          <w:p w:rsidR="00B9359B" w:rsidRDefault="009A5268">
            <w:pPr>
              <w:pStyle w:val="Tablehead"/>
              <w:framePr w:hSpace="181" w:wrap="notBeside" w:vAnchor="text" w:hAnchor="text" w:xAlign="center" w:y="1"/>
              <w:rPr>
                <w:lang w:val="en-US"/>
              </w:rPr>
            </w:pPr>
            <w:r>
              <w:rPr>
                <w:lang w:val="en-US"/>
              </w:rPr>
              <w:t>30-31 GHz</w:t>
            </w:r>
          </w:p>
        </w:tc>
        <w:tc>
          <w:tcPr>
            <w:tcW w:w="2098" w:type="dxa"/>
          </w:tcPr>
          <w:p w:rsidR="00B9359B" w:rsidRDefault="009A5268">
            <w:pPr>
              <w:pStyle w:val="Tablehead"/>
              <w:framePr w:hSpace="181" w:wrap="notBeside" w:vAnchor="text" w:hAnchor="text" w:xAlign="center" w:y="1"/>
              <w:rPr>
                <w:lang w:val="en-US"/>
              </w:rPr>
            </w:pPr>
            <w:r>
              <w:rPr>
                <w:lang w:val="en-US"/>
              </w:rPr>
              <w:t>31-31.3 GHz</w:t>
            </w:r>
          </w:p>
        </w:tc>
        <w:tc>
          <w:tcPr>
            <w:tcW w:w="2381" w:type="dxa"/>
          </w:tcPr>
          <w:p w:rsidR="00B9359B" w:rsidRDefault="009A5268">
            <w:pPr>
              <w:pStyle w:val="Tablehead"/>
              <w:framePr w:hSpace="181" w:wrap="notBeside" w:vAnchor="text" w:hAnchor="text" w:xAlign="center" w:y="1"/>
              <w:rPr>
                <w:lang w:val="en-US"/>
              </w:rPr>
            </w:pPr>
            <w:r>
              <w:rPr>
                <w:lang w:val="en-US"/>
              </w:rPr>
              <w:t>31.3-31.5 GHz</w:t>
            </w:r>
          </w:p>
        </w:tc>
        <w:tc>
          <w:tcPr>
            <w:tcW w:w="2948" w:type="dxa"/>
          </w:tcPr>
          <w:p w:rsidR="00B9359B" w:rsidRDefault="009A5268">
            <w:pPr>
              <w:pStyle w:val="Tablehead"/>
              <w:framePr w:hSpace="181" w:wrap="notBeside" w:vAnchor="text" w:hAnchor="text" w:xAlign="center" w:y="1"/>
              <w:rPr>
                <w:lang w:val="en-US"/>
              </w:rPr>
            </w:pPr>
            <w:r>
              <w:rPr>
                <w:lang w:val="en-US"/>
              </w:rPr>
              <w:t>31.5-31.8 GHz</w:t>
            </w:r>
          </w:p>
        </w:tc>
      </w:tr>
      <w:tr w:rsidR="00B9359B">
        <w:tc>
          <w:tcPr>
            <w:tcW w:w="2268" w:type="dxa"/>
          </w:tcPr>
          <w:p w:rsidR="00B9359B" w:rsidRDefault="009A5268">
            <w:pPr>
              <w:pStyle w:val="Tabletext"/>
              <w:framePr w:hSpace="181" w:wrap="notBeside" w:vAnchor="text" w:hAnchor="text" w:xAlign="center" w:y="1"/>
              <w:jc w:val="left"/>
              <w:rPr>
                <w:lang w:val="en-US"/>
              </w:rPr>
            </w:pPr>
            <w:r>
              <w:rPr>
                <w:lang w:val="en-US"/>
              </w:rPr>
              <w:t>FIXED-SATELLITE (Earth-to-space)</w:t>
            </w:r>
          </w:p>
          <w:p w:rsidR="00B9359B" w:rsidRDefault="009A5268">
            <w:pPr>
              <w:pStyle w:val="Tabletext"/>
              <w:framePr w:hSpace="181" w:wrap="notBeside" w:vAnchor="text" w:hAnchor="text" w:xAlign="center" w:y="1"/>
              <w:ind w:right="-57"/>
              <w:jc w:val="left"/>
              <w:rPr>
                <w:lang w:val="en-US"/>
              </w:rPr>
            </w:pPr>
            <w:r>
              <w:rPr>
                <w:lang w:val="en-US"/>
              </w:rPr>
              <w:t>MOBILE-SATELLITE (Earth-to-space)</w:t>
            </w:r>
          </w:p>
          <w:p w:rsidR="00B9359B" w:rsidRDefault="009A5268">
            <w:pPr>
              <w:pStyle w:val="Tabletext"/>
              <w:framePr w:hSpace="181" w:wrap="notBeside" w:vAnchor="text" w:hAnchor="text" w:xAlign="center" w:y="1"/>
              <w:jc w:val="left"/>
              <w:rPr>
                <w:lang w:val="en-US"/>
              </w:rPr>
            </w:pPr>
            <w:r>
              <w:rPr>
                <w:lang w:val="en-US"/>
              </w:rPr>
              <w:t xml:space="preserve">Standard frequency and time signal-satellite </w:t>
            </w:r>
            <w:r>
              <w:rPr>
                <w:lang w:val="en-US"/>
              </w:rPr>
              <w:br/>
              <w:t>(space-to-Earth)</w:t>
            </w:r>
            <w:r>
              <w:rPr>
                <w:lang w:val="en-US"/>
              </w:rPr>
              <w:br/>
            </w:r>
            <w:r>
              <w:rPr>
                <w:lang w:val="en-US"/>
              </w:rPr>
              <w:br/>
            </w:r>
            <w:r>
              <w:rPr>
                <w:lang w:val="en-US"/>
              </w:rPr>
              <w:br/>
            </w:r>
            <w:r>
              <w:rPr>
                <w:lang w:val="en-US"/>
              </w:rPr>
              <w:br/>
            </w:r>
            <w:r>
              <w:rPr>
                <w:lang w:val="en-US"/>
              </w:rPr>
              <w:br/>
            </w:r>
          </w:p>
          <w:p w:rsidR="00B9359B" w:rsidRDefault="009A5268">
            <w:pPr>
              <w:pStyle w:val="Tabletext"/>
              <w:framePr w:hSpace="181" w:wrap="notBeside" w:vAnchor="text" w:hAnchor="text" w:xAlign="center" w:y="1"/>
              <w:spacing w:before="100"/>
              <w:jc w:val="left"/>
              <w:rPr>
                <w:lang w:val="en-US"/>
              </w:rPr>
            </w:pPr>
            <w:r>
              <w:rPr>
                <w:lang w:val="en-US"/>
              </w:rPr>
              <w:t>5.542</w:t>
            </w:r>
          </w:p>
        </w:tc>
        <w:tc>
          <w:tcPr>
            <w:tcW w:w="2098" w:type="dxa"/>
          </w:tcPr>
          <w:p w:rsidR="00B9359B" w:rsidRDefault="009A5268">
            <w:pPr>
              <w:pStyle w:val="Tabletext"/>
              <w:framePr w:hSpace="181" w:wrap="notBeside" w:vAnchor="text" w:hAnchor="text" w:xAlign="center" w:y="1"/>
              <w:jc w:val="left"/>
              <w:rPr>
                <w:lang w:val="en-US"/>
              </w:rPr>
            </w:pPr>
            <w:r>
              <w:rPr>
                <w:lang w:val="en-US"/>
              </w:rPr>
              <w:t>FIXED</w:t>
            </w:r>
          </w:p>
          <w:p w:rsidR="00B9359B" w:rsidRDefault="009A5268">
            <w:pPr>
              <w:pStyle w:val="Tabletext"/>
              <w:framePr w:hSpace="181" w:wrap="notBeside" w:vAnchor="text" w:hAnchor="text" w:xAlign="center" w:y="1"/>
              <w:jc w:val="left"/>
              <w:rPr>
                <w:lang w:val="en-US"/>
              </w:rPr>
            </w:pPr>
            <w:r>
              <w:rPr>
                <w:lang w:val="en-US"/>
              </w:rPr>
              <w:t>MOBILE</w:t>
            </w:r>
          </w:p>
          <w:p w:rsidR="00B9359B" w:rsidRDefault="009A5268">
            <w:pPr>
              <w:pStyle w:val="Tabletext"/>
              <w:framePr w:hSpace="181" w:wrap="notBeside" w:vAnchor="text" w:hAnchor="text" w:xAlign="center" w:y="1"/>
              <w:jc w:val="left"/>
              <w:rPr>
                <w:lang w:val="en-US"/>
              </w:rPr>
            </w:pPr>
            <w:r>
              <w:rPr>
                <w:lang w:val="en-US"/>
              </w:rPr>
              <w:t>Standard frequency and time signal satellite</w:t>
            </w:r>
            <w:r>
              <w:rPr>
                <w:lang w:val="en-US"/>
              </w:rPr>
              <w:br/>
              <w:t>(space-to-Earth)</w:t>
            </w:r>
          </w:p>
          <w:p w:rsidR="00B9359B" w:rsidRDefault="009A5268">
            <w:pPr>
              <w:pStyle w:val="Tabletext"/>
              <w:framePr w:hSpace="181" w:wrap="notBeside" w:vAnchor="text" w:hAnchor="text" w:xAlign="center" w:y="1"/>
              <w:jc w:val="left"/>
              <w:rPr>
                <w:lang w:val="en-US"/>
              </w:rPr>
            </w:pPr>
            <w:r>
              <w:rPr>
                <w:lang w:val="en-US"/>
              </w:rPr>
              <w:t>Space research 5.544 5.545</w:t>
            </w:r>
            <w:r>
              <w:rPr>
                <w:lang w:val="en-US"/>
              </w:rPr>
              <w:br/>
            </w:r>
            <w:r>
              <w:rPr>
                <w:lang w:val="en-US"/>
              </w:rPr>
              <w:br/>
            </w:r>
            <w:r>
              <w:rPr>
                <w:lang w:val="en-US"/>
              </w:rPr>
              <w:br/>
            </w:r>
            <w:r>
              <w:rPr>
                <w:lang w:val="en-US"/>
              </w:rPr>
              <w:br/>
            </w:r>
            <w:r>
              <w:rPr>
                <w:lang w:val="en-US"/>
              </w:rPr>
              <w:br/>
            </w:r>
          </w:p>
          <w:p w:rsidR="00B9359B" w:rsidRDefault="009A5268">
            <w:pPr>
              <w:pStyle w:val="Tabletext"/>
              <w:framePr w:hSpace="181" w:wrap="notBeside" w:vAnchor="text" w:hAnchor="text" w:xAlign="center" w:y="1"/>
              <w:spacing w:before="20"/>
              <w:jc w:val="left"/>
              <w:rPr>
                <w:lang w:val="en-US"/>
              </w:rPr>
            </w:pPr>
            <w:r>
              <w:rPr>
                <w:lang w:val="en-US"/>
              </w:rPr>
              <w:t>5.149</w:t>
            </w:r>
          </w:p>
        </w:tc>
        <w:tc>
          <w:tcPr>
            <w:tcW w:w="2381" w:type="dxa"/>
          </w:tcPr>
          <w:p w:rsidR="00B9359B" w:rsidRDefault="009A5268">
            <w:pPr>
              <w:pStyle w:val="Tabletext"/>
              <w:framePr w:hSpace="181" w:wrap="notBeside" w:vAnchor="text" w:hAnchor="text" w:xAlign="center" w:y="1"/>
              <w:jc w:val="left"/>
              <w:rPr>
                <w:lang w:val="en-US"/>
              </w:rPr>
            </w:pPr>
            <w:r>
              <w:rPr>
                <w:lang w:val="en-US"/>
              </w:rPr>
              <w:t>EARTH EXPLORATION-SATELLITE (passive)</w:t>
            </w:r>
          </w:p>
          <w:p w:rsidR="00B9359B" w:rsidRDefault="009A5268">
            <w:pPr>
              <w:pStyle w:val="Tabletext"/>
              <w:framePr w:hSpace="181" w:wrap="notBeside" w:vAnchor="text" w:hAnchor="text" w:xAlign="center" w:y="1"/>
              <w:ind w:right="-57"/>
              <w:jc w:val="left"/>
              <w:rPr>
                <w:lang w:val="en-US"/>
              </w:rPr>
            </w:pPr>
            <w:r>
              <w:rPr>
                <w:lang w:val="en-US"/>
              </w:rPr>
              <w:t>RADIO  ASTRONOMY</w:t>
            </w:r>
          </w:p>
          <w:p w:rsidR="00B9359B" w:rsidRDefault="009A5268">
            <w:pPr>
              <w:pStyle w:val="Tabletext"/>
              <w:framePr w:hSpace="181" w:wrap="notBeside" w:vAnchor="text" w:hAnchor="text" w:xAlign="center" w:y="1"/>
              <w:spacing w:before="100"/>
              <w:jc w:val="left"/>
              <w:rPr>
                <w:lang w:val="en-US"/>
              </w:rPr>
            </w:pPr>
            <w:r>
              <w:rPr>
                <w:lang w:val="en-US"/>
              </w:rPr>
              <w:t>SPACE  RESEARCH (passive)</w:t>
            </w:r>
            <w:r>
              <w:rPr>
                <w:lang w:val="en-US"/>
              </w:rPr>
              <w:br/>
            </w:r>
            <w:r>
              <w:rPr>
                <w:lang w:val="en-US"/>
              </w:rPr>
              <w:br/>
            </w:r>
            <w:r>
              <w:rPr>
                <w:lang w:val="en-US"/>
              </w:rPr>
              <w:br/>
            </w:r>
            <w:r>
              <w:rPr>
                <w:lang w:val="en-US"/>
              </w:rPr>
              <w:br/>
            </w:r>
            <w:r>
              <w:rPr>
                <w:lang w:val="en-US"/>
              </w:rPr>
              <w:br/>
            </w:r>
            <w:r>
              <w:rPr>
                <w:lang w:val="en-US"/>
              </w:rPr>
              <w:br/>
            </w:r>
            <w:r>
              <w:rPr>
                <w:lang w:val="en-US"/>
              </w:rPr>
              <w:br/>
            </w:r>
          </w:p>
          <w:p w:rsidR="00B9359B" w:rsidRDefault="009A5268">
            <w:pPr>
              <w:pStyle w:val="Tabletext"/>
              <w:framePr w:hSpace="181" w:wrap="notBeside" w:vAnchor="text" w:hAnchor="text" w:xAlign="center" w:y="1"/>
              <w:jc w:val="left"/>
              <w:rPr>
                <w:lang w:val="en-US"/>
              </w:rPr>
            </w:pPr>
            <w:r>
              <w:rPr>
                <w:lang w:val="en-US"/>
              </w:rPr>
              <w:t>5.340</w:t>
            </w:r>
          </w:p>
        </w:tc>
        <w:tc>
          <w:tcPr>
            <w:tcW w:w="2948" w:type="dxa"/>
          </w:tcPr>
          <w:p w:rsidR="00B9359B" w:rsidRDefault="009A5268">
            <w:pPr>
              <w:pStyle w:val="Tabletext"/>
              <w:framePr w:hSpace="181" w:wrap="notBeside" w:vAnchor="text" w:hAnchor="text" w:xAlign="center" w:y="1"/>
              <w:jc w:val="left"/>
              <w:rPr>
                <w:lang w:val="en-US"/>
              </w:rPr>
            </w:pPr>
            <w:r>
              <w:rPr>
                <w:lang w:val="en-US"/>
              </w:rPr>
              <w:t>EARTH  EXPLORATION-SATELLITE (passive)</w:t>
            </w:r>
          </w:p>
          <w:p w:rsidR="00B9359B" w:rsidRDefault="009A5268">
            <w:pPr>
              <w:pStyle w:val="Tabletext"/>
              <w:framePr w:hSpace="181" w:wrap="notBeside" w:vAnchor="text" w:hAnchor="text" w:xAlign="center" w:y="1"/>
              <w:jc w:val="left"/>
              <w:rPr>
                <w:lang w:val="en-US"/>
              </w:rPr>
            </w:pPr>
            <w:r>
              <w:rPr>
                <w:lang w:val="en-US"/>
              </w:rPr>
              <w:t>RADIO  ASTRONOMY</w:t>
            </w:r>
          </w:p>
          <w:p w:rsidR="00B9359B" w:rsidRDefault="009A5268">
            <w:pPr>
              <w:pStyle w:val="Tabletext"/>
              <w:framePr w:hSpace="181" w:wrap="notBeside" w:vAnchor="text" w:hAnchor="text" w:xAlign="center" w:y="1"/>
              <w:jc w:val="left"/>
              <w:rPr>
                <w:lang w:val="en-US"/>
              </w:rPr>
            </w:pPr>
            <w:r>
              <w:rPr>
                <w:lang w:val="en-US"/>
              </w:rPr>
              <w:t>SPACE  RESEARCH (passive)</w:t>
            </w:r>
          </w:p>
          <w:p w:rsidR="00B9359B" w:rsidRDefault="009A5268">
            <w:pPr>
              <w:pStyle w:val="Tabletext"/>
              <w:framePr w:hSpace="181" w:wrap="notBeside" w:vAnchor="text" w:hAnchor="text" w:xAlign="center" w:y="1"/>
              <w:jc w:val="left"/>
              <w:rPr>
                <w:lang w:val="en-US"/>
              </w:rPr>
            </w:pPr>
            <w:r>
              <w:rPr>
                <w:lang w:val="en-US"/>
              </w:rPr>
              <w:t>Fixed (Regions 1 and 3)</w:t>
            </w:r>
          </w:p>
          <w:p w:rsidR="00B9359B" w:rsidRDefault="009A5268">
            <w:pPr>
              <w:pStyle w:val="Tabletext"/>
              <w:framePr w:hSpace="181" w:wrap="notBeside" w:vAnchor="text" w:hAnchor="text" w:xAlign="center" w:y="1"/>
              <w:jc w:val="left"/>
              <w:rPr>
                <w:lang w:val="en-US"/>
              </w:rPr>
            </w:pPr>
            <w:r>
              <w:rPr>
                <w:lang w:val="en-US"/>
              </w:rPr>
              <w:t>Mobile except aeronautical mobile (Regions 1 and 3)</w:t>
            </w:r>
            <w:r>
              <w:rPr>
                <w:lang w:val="en-US"/>
              </w:rPr>
              <w:br/>
            </w:r>
            <w:r>
              <w:rPr>
                <w:lang w:val="en-US"/>
              </w:rPr>
              <w:br/>
            </w:r>
          </w:p>
          <w:p w:rsidR="00B9359B" w:rsidRDefault="009A5268">
            <w:pPr>
              <w:pStyle w:val="Tabletext"/>
              <w:framePr w:hSpace="181" w:wrap="notBeside" w:vAnchor="text" w:hAnchor="text" w:xAlign="center" w:y="1"/>
              <w:spacing w:before="0"/>
              <w:jc w:val="left"/>
              <w:rPr>
                <w:lang w:val="en-US"/>
              </w:rPr>
            </w:pPr>
            <w:r>
              <w:rPr>
                <w:lang w:val="en-US"/>
              </w:rPr>
              <w:t>5.149   5.546 (Region 1)</w:t>
            </w:r>
          </w:p>
          <w:p w:rsidR="00B9359B" w:rsidRDefault="009A5268">
            <w:pPr>
              <w:pStyle w:val="Tabletext"/>
              <w:framePr w:hSpace="181" w:wrap="notBeside" w:vAnchor="text" w:hAnchor="text" w:xAlign="center" w:y="1"/>
              <w:jc w:val="left"/>
              <w:rPr>
                <w:lang w:val="en-US"/>
              </w:rPr>
            </w:pPr>
            <w:r>
              <w:rPr>
                <w:lang w:val="en-US"/>
              </w:rPr>
              <w:t>5.340 (Region 2)</w:t>
            </w:r>
          </w:p>
          <w:p w:rsidR="00B9359B" w:rsidRDefault="009A5268">
            <w:pPr>
              <w:pStyle w:val="Tabletext"/>
              <w:framePr w:hSpace="181" w:wrap="notBeside" w:vAnchor="text" w:hAnchor="text" w:xAlign="center" w:y="1"/>
              <w:jc w:val="left"/>
              <w:rPr>
                <w:lang w:val="en-US"/>
              </w:rPr>
            </w:pPr>
            <w:r>
              <w:rPr>
                <w:lang w:val="en-US"/>
              </w:rPr>
              <w:t>5.149 (Region 3)</w:t>
            </w:r>
          </w:p>
        </w:tc>
      </w:tr>
    </w:tbl>
    <w:p w:rsidR="00B9359B" w:rsidRDefault="00B9359B">
      <w:pPr>
        <w:pStyle w:val="Tablefin"/>
        <w:spacing w:before="0"/>
      </w:pPr>
    </w:p>
    <w:p w:rsidR="00B9359B" w:rsidRDefault="009A5268">
      <w:pPr>
        <w:pStyle w:val="Heading2"/>
        <w:rPr>
          <w:lang w:val="en-US"/>
        </w:rPr>
      </w:pPr>
      <w:bookmarkStart w:id="400" w:name="_Toc51045800"/>
      <w:r>
        <w:rPr>
          <w:lang w:val="en-US"/>
        </w:rPr>
        <w:t>1.2</w:t>
      </w:r>
      <w:r>
        <w:rPr>
          <w:lang w:val="en-US"/>
        </w:rPr>
        <w:tab/>
        <w:t>Application</w:t>
      </w:r>
      <w:bookmarkEnd w:id="400"/>
    </w:p>
    <w:p w:rsidR="00B9359B" w:rsidRDefault="009A5268">
      <w:pPr>
        <w:rPr>
          <w:lang w:val="en-US"/>
        </w:rPr>
      </w:pPr>
      <w:r>
        <w:rPr>
          <w:lang w:val="en-US"/>
        </w:rPr>
        <w:t xml:space="preserve">Passive measurements around frequencies 23.8 GHz (total water vapour content), 31.5 GHz (window channel) and 90 GHz (liquid water) provide auxiliary data which play a predominant role </w:t>
      </w:r>
      <w:r>
        <w:rPr>
          <w:lang w:val="en-US"/>
        </w:rPr>
        <w:br w:type="page"/>
        <w:t>in the retrieval process of temperature measurements performed in the O</w:t>
      </w:r>
      <w:r>
        <w:rPr>
          <w:vertAlign w:val="subscript"/>
          <w:lang w:val="en-US"/>
        </w:rPr>
        <w:t>2</w:t>
      </w:r>
      <w:r>
        <w:rPr>
          <w:lang w:val="en-US"/>
        </w:rPr>
        <w:t xml:space="preserve"> absorption spectrum. These auxiliary measurements must have radiometric and geometric performances and availability criteria consistent with those of the temperature measurements.</w:t>
      </w:r>
    </w:p>
    <w:p w:rsidR="00B9359B" w:rsidRDefault="009A5268">
      <w:pPr>
        <w:pStyle w:val="Heading2"/>
        <w:rPr>
          <w:lang w:val="en-US"/>
        </w:rPr>
      </w:pPr>
      <w:bookmarkStart w:id="401" w:name="_Toc51045801"/>
      <w:r>
        <w:rPr>
          <w:lang w:val="en-US"/>
        </w:rPr>
        <w:t>1.3</w:t>
      </w:r>
      <w:r>
        <w:rPr>
          <w:lang w:val="en-US"/>
        </w:rPr>
        <w:tab/>
        <w:t>Required protection criteria</w:t>
      </w:r>
      <w:bookmarkEnd w:id="401"/>
    </w:p>
    <w:p w:rsidR="00B9359B" w:rsidRDefault="009A5268">
      <w:pPr>
        <w:rPr>
          <w:lang w:val="en-US"/>
        </w:rPr>
      </w:pPr>
      <w:r>
        <w:rPr>
          <w:lang w:val="en-US"/>
        </w:rPr>
        <w:t>The following three Recommendations below establish the interference criteria for passive sensors:</w:t>
      </w:r>
    </w:p>
    <w:p w:rsidR="00B9359B" w:rsidRDefault="009A5268">
      <w:pPr>
        <w:pStyle w:val="enumlev1"/>
        <w:tabs>
          <w:tab w:val="clear" w:pos="794"/>
          <w:tab w:val="clear" w:pos="1191"/>
          <w:tab w:val="clear" w:pos="1588"/>
          <w:tab w:val="clear" w:pos="1985"/>
          <w:tab w:val="left" w:pos="3515"/>
        </w:tabs>
        <w:ind w:left="3515" w:hanging="3515"/>
        <w:rPr>
          <w:lang w:val="en-US"/>
        </w:rPr>
      </w:pPr>
      <w:r>
        <w:rPr>
          <w:lang w:val="en-US"/>
        </w:rPr>
        <w:t>Recommendation ITU-R SA.515 –</w:t>
      </w:r>
      <w:r>
        <w:rPr>
          <w:lang w:val="en-US"/>
        </w:rPr>
        <w:tab/>
        <w:t>Frequency bands and bandwidths used for satellite passive sensing.</w:t>
      </w:r>
    </w:p>
    <w:p w:rsidR="00B9359B" w:rsidRDefault="009A5268">
      <w:pPr>
        <w:pStyle w:val="enumlev1"/>
        <w:tabs>
          <w:tab w:val="clear" w:pos="794"/>
          <w:tab w:val="clear" w:pos="1191"/>
          <w:tab w:val="clear" w:pos="1588"/>
          <w:tab w:val="clear" w:pos="1985"/>
          <w:tab w:val="left" w:pos="3515"/>
        </w:tabs>
        <w:ind w:left="3515" w:hanging="3515"/>
        <w:rPr>
          <w:lang w:val="en-US"/>
        </w:rPr>
      </w:pPr>
      <w:r>
        <w:rPr>
          <w:lang w:val="en-US"/>
        </w:rPr>
        <w:t>Recommendation ITU-R SA.1028 –</w:t>
      </w:r>
      <w:r>
        <w:rPr>
          <w:lang w:val="en-US"/>
        </w:rPr>
        <w:tab/>
        <w:t>Performance criteria for satellite passive remote sensing.</w:t>
      </w:r>
    </w:p>
    <w:p w:rsidR="00B9359B" w:rsidRDefault="009A5268">
      <w:pPr>
        <w:pStyle w:val="enumlev1"/>
        <w:tabs>
          <w:tab w:val="clear" w:pos="794"/>
          <w:tab w:val="clear" w:pos="1191"/>
          <w:tab w:val="clear" w:pos="1588"/>
          <w:tab w:val="clear" w:pos="1985"/>
          <w:tab w:val="left" w:pos="3515"/>
        </w:tabs>
        <w:ind w:left="3515" w:hanging="3515"/>
        <w:rPr>
          <w:lang w:val="en-US"/>
        </w:rPr>
      </w:pPr>
      <w:r>
        <w:rPr>
          <w:lang w:val="en-US"/>
        </w:rPr>
        <w:t>Recommendation ITU-R SA.1029 –</w:t>
      </w:r>
      <w:r>
        <w:rPr>
          <w:lang w:val="en-US"/>
        </w:rPr>
        <w:tab/>
        <w:t>Interference criteria for satellite passive remote sensing.</w:t>
      </w:r>
    </w:p>
    <w:p w:rsidR="00B9359B" w:rsidRDefault="009A5268">
      <w:pPr>
        <w:rPr>
          <w:lang w:val="en-US"/>
        </w:rPr>
      </w:pPr>
      <w:r>
        <w:rPr>
          <w:lang w:val="en-US"/>
        </w:rPr>
        <w:t xml:space="preserve">The first criterion is the acceptable interference power received by the EESS sensor, which is </w:t>
      </w:r>
      <w:r>
        <w:sym w:font="Symbol" w:char="F02D"/>
      </w:r>
      <w:r>
        <w:rPr>
          <w:lang w:val="en-US"/>
        </w:rPr>
        <w:t>163 dBW in the reference bandwidth of 100 MHz. This is a maximum interference level from all sources.</w:t>
      </w:r>
    </w:p>
    <w:p w:rsidR="00B9359B" w:rsidRDefault="009A5268">
      <w:pPr>
        <w:rPr>
          <w:lang w:val="en-US"/>
        </w:rPr>
      </w:pPr>
      <w:r>
        <w:rPr>
          <w:lang w:val="en-US"/>
        </w:rPr>
        <w:t>The second criterion is the frequency of occurrence limit on the threshold being exceeded. For  conically scanned sensors, the number of measurement cells lost due to the threshold being  exceeded must not exceed 5% in cases where the interference events are random, and 1% when the interference events are systematic. Since the FSS is not random, the 1% criteria apply.</w:t>
      </w:r>
    </w:p>
    <w:p w:rsidR="00B9359B" w:rsidRDefault="009A5268">
      <w:pPr>
        <w:rPr>
          <w:lang w:val="en-US"/>
        </w:rPr>
      </w:pPr>
      <w:r>
        <w:rPr>
          <w:lang w:val="en-US"/>
        </w:rPr>
        <w:t>For nadir sounders used for three dimensional measurements of atmospheric temperature or gas concentration, the proportion of measurement cells lost due to interference must not exceed 0.01%. This frequency of occurrence limit is valid for mechanically scanned and push-broom nadir sounders.</w:t>
      </w:r>
    </w:p>
    <w:p w:rsidR="00B9359B" w:rsidRDefault="009A5268">
      <w:pPr>
        <w:pStyle w:val="Heading2"/>
        <w:rPr>
          <w:lang w:val="en-US"/>
        </w:rPr>
      </w:pPr>
      <w:bookmarkStart w:id="402" w:name="_Toc51045802"/>
      <w:r>
        <w:rPr>
          <w:lang w:val="en-US"/>
        </w:rPr>
        <w:t>1.4</w:t>
      </w:r>
      <w:r>
        <w:rPr>
          <w:lang w:val="en-US"/>
        </w:rPr>
        <w:tab/>
        <w:t>Operational characteristics</w:t>
      </w:r>
      <w:bookmarkEnd w:id="402"/>
    </w:p>
    <w:p w:rsidR="00B9359B" w:rsidRDefault="009A5268">
      <w:pPr>
        <w:pStyle w:val="Heading3"/>
        <w:rPr>
          <w:lang w:val="en-US"/>
        </w:rPr>
      </w:pPr>
      <w:bookmarkStart w:id="403" w:name="_Toc51045803"/>
      <w:r>
        <w:rPr>
          <w:lang w:val="en-US"/>
        </w:rPr>
        <w:t>1.4.1</w:t>
      </w:r>
      <w:r>
        <w:rPr>
          <w:lang w:val="en-US"/>
        </w:rPr>
        <w:tab/>
        <w:t>Conically scanned sensors</w:t>
      </w:r>
      <w:bookmarkEnd w:id="403"/>
    </w:p>
    <w:p w:rsidR="00B9359B" w:rsidRDefault="009A5268">
      <w:pPr>
        <w:pStyle w:val="TableNo"/>
        <w:rPr>
          <w:lang w:val="en-US"/>
        </w:rPr>
      </w:pPr>
      <w:r>
        <w:rPr>
          <w:lang w:val="en-US"/>
        </w:rPr>
        <w:t>TABLE  55</w:t>
      </w:r>
    </w:p>
    <w:p w:rsidR="00B9359B" w:rsidRDefault="009A5268">
      <w:pPr>
        <w:pStyle w:val="Tabletitle"/>
        <w:rPr>
          <w:lang w:val="en-US"/>
        </w:rPr>
      </w:pPr>
      <w:r>
        <w:rPr>
          <w:lang w:val="en-US"/>
        </w:rPr>
        <w:t>Specifications for microwave radiometric applications</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017"/>
        <w:gridCol w:w="1449"/>
      </w:tblGrid>
      <w:tr w:rsidR="00B9359B">
        <w:tc>
          <w:tcPr>
            <w:tcW w:w="6017" w:type="dxa"/>
            <w:tcBorders>
              <w:top w:val="nil"/>
              <w:left w:val="nil"/>
              <w:bottom w:val="single" w:sz="6" w:space="0" w:color="000000"/>
              <w:right w:val="single" w:sz="6" w:space="0" w:color="000000"/>
            </w:tcBorders>
          </w:tcPr>
          <w:p w:rsidR="00B9359B" w:rsidRDefault="00B9359B">
            <w:pPr>
              <w:pStyle w:val="Tabletext"/>
              <w:framePr w:hSpace="181" w:wrap="notBeside" w:vAnchor="text" w:hAnchor="text" w:xAlign="center" w:y="1"/>
              <w:spacing w:before="80" w:after="80"/>
              <w:rPr>
                <w:bCs/>
                <w:lang w:val="en-US"/>
              </w:rPr>
            </w:pPr>
          </w:p>
        </w:tc>
        <w:tc>
          <w:tcPr>
            <w:tcW w:w="1449" w:type="dxa"/>
            <w:tcBorders>
              <w:top w:val="single" w:sz="4" w:space="0" w:color="auto"/>
              <w:left w:val="single" w:sz="6" w:space="0" w:color="000000"/>
              <w:bottom w:val="single" w:sz="6" w:space="0" w:color="000000"/>
            </w:tcBorders>
          </w:tcPr>
          <w:p w:rsidR="00B9359B" w:rsidRDefault="009A5268">
            <w:pPr>
              <w:pStyle w:val="Tablehead"/>
              <w:framePr w:hSpace="181" w:wrap="notBeside" w:vAnchor="text" w:hAnchor="text" w:xAlign="center" w:y="1"/>
              <w:rPr>
                <w:lang w:val="en-US"/>
              </w:rPr>
            </w:pPr>
            <w:r>
              <w:rPr>
                <w:noProof/>
                <w:lang w:val="en-US"/>
              </w:rPr>
              <w:t>C</w:t>
            </w:r>
            <w:r>
              <w:rPr>
                <w:lang w:val="en-US"/>
              </w:rPr>
              <w:t>onical</w:t>
            </w:r>
            <w:r>
              <w:rPr>
                <w:noProof/>
                <w:lang w:val="en-US"/>
              </w:rPr>
              <w:t xml:space="preserve"> sensor</w:t>
            </w:r>
          </w:p>
        </w:tc>
      </w:tr>
      <w:tr w:rsidR="00B9359B">
        <w:tc>
          <w:tcPr>
            <w:tcW w:w="6017" w:type="dxa"/>
            <w:tcBorders>
              <w:top w:val="single" w:sz="4" w:space="0" w:color="auto"/>
              <w:left w:val="single" w:sz="4" w:space="0" w:color="auto"/>
              <w:bottom w:val="single" w:sz="6" w:space="0" w:color="000000"/>
              <w:right w:val="single" w:sz="6" w:space="0" w:color="000000"/>
            </w:tcBorders>
          </w:tcPr>
          <w:p w:rsidR="00B9359B" w:rsidRDefault="009A5268">
            <w:pPr>
              <w:pStyle w:val="Tabletext"/>
              <w:framePr w:hSpace="181" w:wrap="notBeside" w:vAnchor="text" w:hAnchor="text" w:xAlign="center" w:y="1"/>
              <w:spacing w:before="50" w:after="50"/>
              <w:rPr>
                <w:bCs/>
                <w:lang w:val="en-US"/>
              </w:rPr>
            </w:pPr>
            <w:r>
              <w:rPr>
                <w:lang w:val="en-US"/>
              </w:rPr>
              <w:t>Channel bandwidth (MHz)</w:t>
            </w:r>
          </w:p>
        </w:tc>
        <w:tc>
          <w:tcPr>
            <w:tcW w:w="1449" w:type="dxa"/>
            <w:tcBorders>
              <w:top w:val="single" w:sz="4" w:space="0" w:color="auto"/>
              <w:left w:val="single" w:sz="6" w:space="0" w:color="000000"/>
            </w:tcBorders>
          </w:tcPr>
          <w:p w:rsidR="00B9359B" w:rsidRDefault="009A5268">
            <w:pPr>
              <w:pStyle w:val="Tabletext"/>
              <w:framePr w:hSpace="181" w:wrap="notBeside" w:vAnchor="text" w:hAnchor="text" w:xAlign="center" w:y="1"/>
              <w:spacing w:before="50" w:after="50"/>
              <w:jc w:val="center"/>
              <w:rPr>
                <w:bCs/>
                <w:lang w:val="en-US"/>
              </w:rPr>
            </w:pPr>
            <w:r>
              <w:rPr>
                <w:bCs/>
                <w:lang w:val="en-US"/>
              </w:rPr>
              <w:t>100</w:t>
            </w:r>
          </w:p>
        </w:tc>
      </w:tr>
      <w:tr w:rsidR="00B9359B">
        <w:tc>
          <w:tcPr>
            <w:tcW w:w="6017" w:type="dxa"/>
            <w:tcBorders>
              <w:top w:val="single" w:sz="6" w:space="0" w:color="000000"/>
              <w:left w:val="single" w:sz="4" w:space="0" w:color="auto"/>
              <w:bottom w:val="single" w:sz="6" w:space="0" w:color="000000"/>
              <w:right w:val="single" w:sz="6" w:space="0" w:color="000000"/>
            </w:tcBorders>
          </w:tcPr>
          <w:p w:rsidR="00B9359B" w:rsidRDefault="009A5268">
            <w:pPr>
              <w:pStyle w:val="Tabletext"/>
              <w:framePr w:hSpace="181" w:wrap="notBeside" w:vAnchor="text" w:hAnchor="text" w:xAlign="center" w:y="1"/>
              <w:spacing w:before="50" w:after="50"/>
              <w:rPr>
                <w:bCs/>
                <w:lang w:val="en-US"/>
              </w:rPr>
            </w:pPr>
            <w:r>
              <w:rPr>
                <w:lang w:val="en-US"/>
              </w:rPr>
              <w:t>Pixel size across track (diameter) (km)</w:t>
            </w:r>
          </w:p>
        </w:tc>
        <w:tc>
          <w:tcPr>
            <w:tcW w:w="1449" w:type="dxa"/>
            <w:tcBorders>
              <w:left w:val="single" w:sz="6" w:space="0" w:color="000000"/>
            </w:tcBorders>
          </w:tcPr>
          <w:p w:rsidR="00B9359B" w:rsidRDefault="009A5268">
            <w:pPr>
              <w:pStyle w:val="Tabletext"/>
              <w:framePr w:hSpace="181" w:wrap="notBeside" w:vAnchor="text" w:hAnchor="text" w:xAlign="center" w:y="1"/>
              <w:spacing w:before="50" w:after="50"/>
              <w:jc w:val="center"/>
              <w:rPr>
                <w:bCs/>
                <w:lang w:val="en-US"/>
              </w:rPr>
            </w:pPr>
            <w:r>
              <w:rPr>
                <w:bCs/>
                <w:lang w:val="en-US"/>
              </w:rPr>
              <w:t>26.7</w:t>
            </w:r>
          </w:p>
        </w:tc>
      </w:tr>
      <w:tr w:rsidR="00B9359B">
        <w:tc>
          <w:tcPr>
            <w:tcW w:w="6017" w:type="dxa"/>
            <w:tcBorders>
              <w:top w:val="single" w:sz="6" w:space="0" w:color="000000"/>
              <w:left w:val="single" w:sz="4" w:space="0" w:color="auto"/>
              <w:bottom w:val="single" w:sz="6" w:space="0" w:color="000000"/>
              <w:right w:val="single" w:sz="6" w:space="0" w:color="000000"/>
            </w:tcBorders>
          </w:tcPr>
          <w:p w:rsidR="00B9359B" w:rsidRDefault="009A5268">
            <w:pPr>
              <w:pStyle w:val="Tabletext"/>
              <w:framePr w:hSpace="181" w:wrap="notBeside" w:vAnchor="text" w:hAnchor="text" w:xAlign="center" w:y="1"/>
              <w:spacing w:before="50" w:after="50"/>
              <w:rPr>
                <w:bCs/>
                <w:lang w:val="en-US"/>
              </w:rPr>
            </w:pPr>
            <w:r>
              <w:rPr>
                <w:lang w:val="en-US"/>
              </w:rPr>
              <w:t>Beam efficiency (%)</w:t>
            </w:r>
          </w:p>
        </w:tc>
        <w:tc>
          <w:tcPr>
            <w:tcW w:w="1449" w:type="dxa"/>
            <w:tcBorders>
              <w:left w:val="single" w:sz="6" w:space="0" w:color="000000"/>
            </w:tcBorders>
          </w:tcPr>
          <w:p w:rsidR="00B9359B" w:rsidRDefault="009A5268">
            <w:pPr>
              <w:pStyle w:val="Tabletext"/>
              <w:framePr w:hSpace="181" w:wrap="notBeside" w:vAnchor="text" w:hAnchor="text" w:xAlign="center" w:y="1"/>
              <w:spacing w:before="50" w:after="50"/>
              <w:jc w:val="center"/>
              <w:rPr>
                <w:bCs/>
                <w:lang w:val="en-US"/>
              </w:rPr>
            </w:pPr>
            <w:r>
              <w:rPr>
                <w:bCs/>
                <w:lang w:val="en-US"/>
              </w:rPr>
              <w:t>95</w:t>
            </w:r>
          </w:p>
        </w:tc>
      </w:tr>
      <w:tr w:rsidR="00B9359B">
        <w:tc>
          <w:tcPr>
            <w:tcW w:w="6017" w:type="dxa"/>
            <w:tcBorders>
              <w:top w:val="single" w:sz="6" w:space="0" w:color="000000"/>
              <w:left w:val="single" w:sz="4" w:space="0" w:color="auto"/>
              <w:bottom w:val="single" w:sz="6" w:space="0" w:color="000000"/>
              <w:right w:val="single" w:sz="6" w:space="0" w:color="000000"/>
            </w:tcBorders>
          </w:tcPr>
          <w:p w:rsidR="00B9359B" w:rsidRDefault="009A5268">
            <w:pPr>
              <w:pStyle w:val="Tabletext"/>
              <w:framePr w:hSpace="181" w:wrap="notBeside" w:vAnchor="text" w:hAnchor="text" w:xAlign="center" w:y="1"/>
              <w:spacing w:before="50" w:after="50"/>
              <w:rPr>
                <w:bCs/>
                <w:lang w:val="en-US"/>
              </w:rPr>
            </w:pPr>
            <w:r>
              <w:rPr>
                <w:lang w:val="en-US"/>
              </w:rPr>
              <w:t xml:space="preserve">Incidence angle </w:t>
            </w:r>
            <w:r>
              <w:rPr>
                <w:i/>
                <w:iCs/>
                <w:lang w:val="en-US"/>
              </w:rPr>
              <w:t>i</w:t>
            </w:r>
            <w:r>
              <w:rPr>
                <w:lang w:val="en-US"/>
              </w:rPr>
              <w:t xml:space="preserve"> at footprint centre (degrees)</w:t>
            </w:r>
          </w:p>
        </w:tc>
        <w:tc>
          <w:tcPr>
            <w:tcW w:w="1449" w:type="dxa"/>
            <w:tcBorders>
              <w:left w:val="single" w:sz="6" w:space="0" w:color="000000"/>
            </w:tcBorders>
          </w:tcPr>
          <w:p w:rsidR="00B9359B" w:rsidRDefault="009A5268">
            <w:pPr>
              <w:pStyle w:val="Tabletext"/>
              <w:framePr w:hSpace="181" w:wrap="notBeside" w:vAnchor="text" w:hAnchor="text" w:xAlign="center" w:y="1"/>
              <w:spacing w:before="50" w:after="50"/>
              <w:jc w:val="center"/>
              <w:rPr>
                <w:bCs/>
                <w:lang w:val="en-US"/>
              </w:rPr>
            </w:pPr>
            <w:r>
              <w:rPr>
                <w:bCs/>
                <w:lang w:val="en-US"/>
              </w:rPr>
              <w:t>52</w:t>
            </w:r>
          </w:p>
        </w:tc>
      </w:tr>
      <w:tr w:rsidR="00B9359B">
        <w:tc>
          <w:tcPr>
            <w:tcW w:w="6017" w:type="dxa"/>
            <w:tcBorders>
              <w:top w:val="single" w:sz="6" w:space="0" w:color="000000"/>
              <w:left w:val="single" w:sz="4" w:space="0" w:color="auto"/>
              <w:bottom w:val="single" w:sz="6" w:space="0" w:color="000000"/>
              <w:right w:val="single" w:sz="6" w:space="0" w:color="000000"/>
            </w:tcBorders>
          </w:tcPr>
          <w:p w:rsidR="00B9359B" w:rsidRDefault="009A5268">
            <w:pPr>
              <w:pStyle w:val="Tabletext"/>
              <w:framePr w:hSpace="181" w:wrap="notBeside" w:vAnchor="text" w:hAnchor="text" w:xAlign="center" w:y="1"/>
              <w:spacing w:before="50" w:after="50"/>
              <w:rPr>
                <w:bCs/>
                <w:lang w:val="en-US"/>
              </w:rPr>
            </w:pPr>
            <w:r>
              <w:rPr>
                <w:lang w:val="en-US"/>
              </w:rPr>
              <w:t>Polarization (linear)</w:t>
            </w:r>
          </w:p>
        </w:tc>
        <w:tc>
          <w:tcPr>
            <w:tcW w:w="1449" w:type="dxa"/>
            <w:tcBorders>
              <w:left w:val="single" w:sz="6" w:space="0" w:color="000000"/>
            </w:tcBorders>
          </w:tcPr>
          <w:p w:rsidR="00B9359B" w:rsidRDefault="009A5268">
            <w:pPr>
              <w:pStyle w:val="Tabletext"/>
              <w:framePr w:hSpace="181" w:wrap="notBeside" w:vAnchor="text" w:hAnchor="text" w:xAlign="center" w:y="1"/>
              <w:spacing w:before="50" w:after="50"/>
              <w:jc w:val="center"/>
              <w:rPr>
                <w:bCs/>
                <w:lang w:val="en-US"/>
              </w:rPr>
            </w:pPr>
            <w:r>
              <w:rPr>
                <w:bCs/>
                <w:lang w:val="en-US"/>
              </w:rPr>
              <w:t>H,V</w:t>
            </w:r>
          </w:p>
        </w:tc>
      </w:tr>
      <w:tr w:rsidR="00B9359B">
        <w:tc>
          <w:tcPr>
            <w:tcW w:w="6017" w:type="dxa"/>
            <w:tcBorders>
              <w:top w:val="single" w:sz="6" w:space="0" w:color="000000"/>
              <w:left w:val="single" w:sz="4" w:space="0" w:color="auto"/>
              <w:bottom w:val="single" w:sz="6" w:space="0" w:color="000000"/>
              <w:right w:val="single" w:sz="6" w:space="0" w:color="000000"/>
            </w:tcBorders>
          </w:tcPr>
          <w:p w:rsidR="00B9359B" w:rsidRDefault="009A5268">
            <w:pPr>
              <w:pStyle w:val="Tabletext"/>
              <w:framePr w:hSpace="181" w:wrap="notBeside" w:vAnchor="text" w:hAnchor="text" w:xAlign="center" w:y="1"/>
              <w:spacing w:before="50" w:after="50"/>
              <w:rPr>
                <w:bCs/>
                <w:lang w:val="en-US"/>
              </w:rPr>
            </w:pPr>
            <w:r>
              <w:rPr>
                <w:lang w:val="en-US"/>
              </w:rPr>
              <w:t>Altitude of the satellite (km)</w:t>
            </w:r>
          </w:p>
        </w:tc>
        <w:tc>
          <w:tcPr>
            <w:tcW w:w="1449" w:type="dxa"/>
            <w:tcBorders>
              <w:left w:val="single" w:sz="6" w:space="0" w:color="000000"/>
            </w:tcBorders>
          </w:tcPr>
          <w:p w:rsidR="00B9359B" w:rsidRDefault="009A5268">
            <w:pPr>
              <w:pStyle w:val="Tabletext"/>
              <w:framePr w:hSpace="181" w:wrap="notBeside" w:vAnchor="text" w:hAnchor="text" w:xAlign="center" w:y="1"/>
              <w:spacing w:before="50" w:after="50"/>
              <w:jc w:val="center"/>
              <w:rPr>
                <w:bCs/>
                <w:lang w:val="en-US"/>
              </w:rPr>
            </w:pPr>
            <w:r>
              <w:rPr>
                <w:bCs/>
                <w:lang w:val="en-US"/>
              </w:rPr>
              <w:t>817</w:t>
            </w:r>
          </w:p>
        </w:tc>
      </w:tr>
      <w:tr w:rsidR="00B9359B">
        <w:tc>
          <w:tcPr>
            <w:tcW w:w="6017" w:type="dxa"/>
            <w:tcBorders>
              <w:top w:val="single" w:sz="6" w:space="0" w:color="000000"/>
              <w:left w:val="single" w:sz="4" w:space="0" w:color="auto"/>
              <w:bottom w:val="single" w:sz="6" w:space="0" w:color="000000"/>
              <w:right w:val="single" w:sz="6" w:space="0" w:color="000000"/>
            </w:tcBorders>
          </w:tcPr>
          <w:p w:rsidR="00B9359B" w:rsidRDefault="009A5268">
            <w:pPr>
              <w:pStyle w:val="Tabletext"/>
              <w:framePr w:hSpace="181" w:wrap="notBeside" w:vAnchor="text" w:hAnchor="text" w:xAlign="center" w:y="1"/>
              <w:spacing w:before="50" w:after="50"/>
              <w:rPr>
                <w:bCs/>
                <w:lang w:val="en-US"/>
              </w:rPr>
            </w:pPr>
            <w:r>
              <w:rPr>
                <w:lang w:val="en-US"/>
              </w:rPr>
              <w:t>Maximum antenna gain (dBi)</w:t>
            </w:r>
          </w:p>
        </w:tc>
        <w:tc>
          <w:tcPr>
            <w:tcW w:w="1449" w:type="dxa"/>
            <w:tcBorders>
              <w:left w:val="single" w:sz="6" w:space="0" w:color="000000"/>
            </w:tcBorders>
          </w:tcPr>
          <w:p w:rsidR="00B9359B" w:rsidRDefault="009A5268">
            <w:pPr>
              <w:pStyle w:val="Tabletext"/>
              <w:framePr w:hSpace="181" w:wrap="notBeside" w:vAnchor="text" w:hAnchor="text" w:xAlign="center" w:y="1"/>
              <w:spacing w:before="50" w:after="50"/>
              <w:jc w:val="center"/>
              <w:rPr>
                <w:bCs/>
                <w:lang w:val="en-US"/>
              </w:rPr>
            </w:pPr>
            <w:r>
              <w:rPr>
                <w:bCs/>
                <w:lang w:val="en-US"/>
              </w:rPr>
              <w:t>42</w:t>
            </w:r>
          </w:p>
        </w:tc>
      </w:tr>
      <w:tr w:rsidR="00B9359B">
        <w:tc>
          <w:tcPr>
            <w:tcW w:w="6017" w:type="dxa"/>
            <w:tcBorders>
              <w:top w:val="single" w:sz="6" w:space="0" w:color="000000"/>
              <w:left w:val="single" w:sz="4" w:space="0" w:color="auto"/>
              <w:bottom w:val="single" w:sz="6" w:space="0" w:color="000000"/>
              <w:right w:val="single" w:sz="6" w:space="0" w:color="000000"/>
            </w:tcBorders>
          </w:tcPr>
          <w:p w:rsidR="00B9359B" w:rsidRDefault="009A5268">
            <w:pPr>
              <w:pStyle w:val="Tabletext"/>
              <w:framePr w:hSpace="181" w:wrap="notBeside" w:vAnchor="text" w:hAnchor="text" w:xAlign="center" w:y="1"/>
              <w:spacing w:before="50" w:after="50"/>
              <w:rPr>
                <w:bCs/>
                <w:lang w:val="en-US"/>
              </w:rPr>
            </w:pPr>
            <w:r>
              <w:rPr>
                <w:lang w:val="en-US"/>
              </w:rPr>
              <w:t>Reflector diameter (mm)</w:t>
            </w:r>
          </w:p>
        </w:tc>
        <w:tc>
          <w:tcPr>
            <w:tcW w:w="1449" w:type="dxa"/>
            <w:tcBorders>
              <w:left w:val="single" w:sz="6" w:space="0" w:color="000000"/>
            </w:tcBorders>
          </w:tcPr>
          <w:p w:rsidR="00B9359B" w:rsidRDefault="009A5268">
            <w:pPr>
              <w:pStyle w:val="Tabletext"/>
              <w:framePr w:hSpace="181" w:wrap="notBeside" w:vAnchor="text" w:hAnchor="text" w:xAlign="center" w:y="1"/>
              <w:spacing w:before="50" w:after="50"/>
              <w:jc w:val="center"/>
              <w:rPr>
                <w:bCs/>
                <w:lang w:val="en-US"/>
              </w:rPr>
            </w:pPr>
            <w:r>
              <w:rPr>
                <w:bCs/>
                <w:lang w:val="en-US"/>
              </w:rPr>
              <w:t>650</w:t>
            </w:r>
          </w:p>
        </w:tc>
      </w:tr>
      <w:tr w:rsidR="00B9359B">
        <w:tc>
          <w:tcPr>
            <w:tcW w:w="6017" w:type="dxa"/>
            <w:tcBorders>
              <w:top w:val="single" w:sz="6" w:space="0" w:color="000000"/>
              <w:left w:val="single" w:sz="4" w:space="0" w:color="auto"/>
              <w:bottom w:val="single" w:sz="6" w:space="0" w:color="000000"/>
              <w:right w:val="single" w:sz="6" w:space="0" w:color="000000"/>
            </w:tcBorders>
          </w:tcPr>
          <w:p w:rsidR="00B9359B" w:rsidRDefault="009A5268">
            <w:pPr>
              <w:pStyle w:val="Tabletext"/>
              <w:framePr w:hSpace="181" w:wrap="notBeside" w:vAnchor="text" w:hAnchor="text" w:xAlign="center" w:y="1"/>
              <w:spacing w:before="50" w:after="50"/>
              <w:rPr>
                <w:bCs/>
                <w:lang w:val="en-US"/>
              </w:rPr>
            </w:pPr>
            <w:r>
              <w:rPr>
                <w:lang w:val="en-US"/>
              </w:rPr>
              <w:t>Full width of the main beam (degrees)</w:t>
            </w:r>
          </w:p>
        </w:tc>
        <w:tc>
          <w:tcPr>
            <w:tcW w:w="1449" w:type="dxa"/>
            <w:tcBorders>
              <w:left w:val="single" w:sz="6" w:space="0" w:color="000000"/>
            </w:tcBorders>
          </w:tcPr>
          <w:p w:rsidR="00B9359B" w:rsidRDefault="009A5268">
            <w:pPr>
              <w:pStyle w:val="Tabletext"/>
              <w:framePr w:hSpace="181" w:wrap="notBeside" w:vAnchor="text" w:hAnchor="text" w:xAlign="center" w:y="1"/>
              <w:spacing w:before="50" w:after="50"/>
              <w:jc w:val="center"/>
              <w:rPr>
                <w:bCs/>
                <w:lang w:val="en-US"/>
              </w:rPr>
            </w:pPr>
            <w:r>
              <w:rPr>
                <w:bCs/>
                <w:lang w:val="en-US"/>
              </w:rPr>
              <w:t>3.12</w:t>
            </w:r>
          </w:p>
        </w:tc>
      </w:tr>
      <w:tr w:rsidR="00B9359B">
        <w:tc>
          <w:tcPr>
            <w:tcW w:w="6017" w:type="dxa"/>
            <w:tcBorders>
              <w:top w:val="single" w:sz="6" w:space="0" w:color="000000"/>
              <w:left w:val="single" w:sz="4" w:space="0" w:color="auto"/>
              <w:bottom w:val="single" w:sz="4" w:space="0" w:color="auto"/>
              <w:right w:val="single" w:sz="6" w:space="0" w:color="000000"/>
            </w:tcBorders>
          </w:tcPr>
          <w:p w:rsidR="00B9359B" w:rsidRDefault="009A5268">
            <w:pPr>
              <w:pStyle w:val="Tabletext"/>
              <w:framePr w:hSpace="181" w:wrap="notBeside" w:vAnchor="text" w:hAnchor="text" w:xAlign="center" w:y="1"/>
              <w:spacing w:before="50" w:after="50"/>
              <w:rPr>
                <w:bCs/>
                <w:lang w:val="en-US"/>
              </w:rPr>
            </w:pPr>
            <w:r>
              <w:rPr>
                <w:lang w:val="en-US"/>
              </w:rPr>
              <w:t xml:space="preserve">Half power antenna beamwidth </w:t>
            </w:r>
            <w:r>
              <w:rPr>
                <w:rFonts w:ascii="Symbol" w:hAnsi="Symbol"/>
                <w:bCs/>
              </w:rPr>
              <w:sym w:font="Symbol" w:char="F071"/>
            </w:r>
            <w:r>
              <w:rPr>
                <w:vertAlign w:val="subscript"/>
                <w:lang w:val="en-US"/>
              </w:rPr>
              <w:t>3 dB</w:t>
            </w:r>
            <w:r>
              <w:rPr>
                <w:bCs/>
                <w:vertAlign w:val="subscript"/>
                <w:lang w:val="en-US"/>
              </w:rPr>
              <w:t xml:space="preserve"> </w:t>
            </w:r>
            <w:r>
              <w:rPr>
                <w:bCs/>
                <w:lang w:val="en-US"/>
              </w:rPr>
              <w:t>(degrees)</w:t>
            </w:r>
          </w:p>
        </w:tc>
        <w:tc>
          <w:tcPr>
            <w:tcW w:w="1449" w:type="dxa"/>
            <w:tcBorders>
              <w:left w:val="single" w:sz="6" w:space="0" w:color="000000"/>
              <w:bottom w:val="single" w:sz="4" w:space="0" w:color="auto"/>
            </w:tcBorders>
          </w:tcPr>
          <w:p w:rsidR="00B9359B" w:rsidRDefault="009A5268">
            <w:pPr>
              <w:pStyle w:val="Tabletext"/>
              <w:framePr w:hSpace="181" w:wrap="notBeside" w:vAnchor="text" w:hAnchor="text" w:xAlign="center" w:y="1"/>
              <w:spacing w:before="50" w:after="50"/>
              <w:jc w:val="center"/>
              <w:rPr>
                <w:bCs/>
                <w:lang w:val="en-US"/>
              </w:rPr>
            </w:pPr>
            <w:r>
              <w:rPr>
                <w:bCs/>
                <w:lang w:val="en-US"/>
              </w:rPr>
              <w:t>1.25</w:t>
            </w:r>
          </w:p>
        </w:tc>
      </w:tr>
    </w:tbl>
    <w:p w:rsidR="00B9359B" w:rsidRDefault="00B9359B">
      <w:pPr>
        <w:pStyle w:val="Tablefin"/>
        <w:rPr>
          <w:lang w:val="en-US"/>
        </w:rPr>
      </w:pPr>
    </w:p>
    <w:p w:rsidR="00B9359B" w:rsidRDefault="009A5268">
      <w:pPr>
        <w:rPr>
          <w:lang w:val="en-US"/>
        </w:rPr>
      </w:pPr>
      <w:r>
        <w:rPr>
          <w:lang w:val="en-US"/>
        </w:rPr>
        <w:br w:type="page"/>
        <w:t>Beam efficiency is defined as the energy (main polarization component only) within the main beam, relative to the total energy within all angles (4</w:t>
      </w:r>
      <w:r>
        <w:rPr>
          <w:rFonts w:ascii="Symbol" w:hAnsi="Symbol"/>
        </w:rPr>
        <w:sym w:font="Symbol" w:char="F070"/>
      </w:r>
      <w:r>
        <w:rPr>
          <w:lang w:val="en-US"/>
        </w:rPr>
        <w:t xml:space="preserve"> steradians). Main beam is defined as the cone 2.5 </w:t>
      </w:r>
      <w:r>
        <w:rPr>
          <w:rFonts w:ascii="Symbol" w:hAnsi="Symbol"/>
        </w:rPr>
        <w:t></w:t>
      </w:r>
      <w:r>
        <w:rPr>
          <w:vertAlign w:val="subscript"/>
          <w:lang w:val="en-US"/>
        </w:rPr>
        <w:t>3 dB</w:t>
      </w:r>
      <w:r>
        <w:rPr>
          <w:lang w:val="en-US"/>
        </w:rPr>
        <w:t xml:space="preserve"> full angle (2.5 </w:t>
      </w:r>
      <w:r>
        <w:rPr>
          <w:rFonts w:ascii="Symbol" w:hAnsi="Symbol"/>
        </w:rPr>
        <w:t></w:t>
      </w:r>
      <w:r>
        <w:rPr>
          <w:vertAlign w:val="subscript"/>
          <w:lang w:val="en-US"/>
        </w:rPr>
        <w:t>3 dB</w:t>
      </w:r>
      <w:r>
        <w:rPr>
          <w:lang w:val="en-US"/>
        </w:rPr>
        <w:t xml:space="preserve"> is the half power beamwidth full angle).</w:t>
      </w:r>
    </w:p>
    <w:p w:rsidR="00B9359B" w:rsidRDefault="009A5268">
      <w:pPr>
        <w:rPr>
          <w:lang w:val="en-US"/>
        </w:rPr>
      </w:pPr>
      <w:r>
        <w:rPr>
          <w:lang w:val="en-US"/>
        </w:rPr>
        <w:t xml:space="preserve">The pixel size across track is computed from the –3 dB contour of the antenna pattern taking into account the satellite altitude and the incidence angle </w:t>
      </w:r>
      <w:r>
        <w:rPr>
          <w:i/>
          <w:iCs/>
          <w:lang w:val="en-US"/>
        </w:rPr>
        <w:t>i</w:t>
      </w:r>
      <w:r>
        <w:rPr>
          <w:lang w:val="en-US"/>
        </w:rPr>
        <w:t xml:space="preserve"> of the beam boresight.</w:t>
      </w:r>
    </w:p>
    <w:p w:rsidR="00B9359B" w:rsidRDefault="009A5268">
      <w:pPr>
        <w:rPr>
          <w:lang w:val="en-US"/>
        </w:rPr>
      </w:pPr>
      <w:r>
        <w:rPr>
          <w:lang w:val="en-US"/>
        </w:rPr>
        <w:t xml:space="preserve">From a general point of view, the antennas currently used within radiometric applications have high beam efficiency. The main lobe is able to concentrate a very high amount of energy. The first side-lobes have a level around –30 dB, which means that the level of the back lobe radiation should be at least </w:t>
      </w:r>
      <w:r>
        <w:rPr>
          <w:rFonts w:ascii="Symbol" w:hAnsi="Symbol"/>
          <w:lang w:val="en-US"/>
        </w:rPr>
        <w:noBreakHyphen/>
      </w:r>
      <w:r>
        <w:rPr>
          <w:lang w:val="en-US"/>
        </w:rPr>
        <w:t>35 dB. AMSU</w:t>
      </w:r>
      <w:r>
        <w:rPr>
          <w:lang w:val="en-US"/>
        </w:rPr>
        <w:noBreakHyphen/>
        <w:t>A measurements show a back lobe level that is 56 dB below the main beam.</w:t>
      </w:r>
    </w:p>
    <w:p w:rsidR="00B9359B" w:rsidRDefault="009A5268">
      <w:pPr>
        <w:rPr>
          <w:lang w:val="en-US"/>
        </w:rPr>
      </w:pPr>
      <w:r>
        <w:rPr>
          <w:lang w:val="en-US"/>
        </w:rPr>
        <w:t xml:space="preserve">It is important to note that the conical scanning sensor is not a nadir sensor, but has a conical scan configuration centred on the nadir direction. It is desirable for the interpretation of surface measurements to maintain a constant ground incidence angle along the entire scan lines. The nadir sensor has different size pixels. The geometry of conical scanned instruments is described in Fig. 41. The rotation speed of the instrument (and not the satellite) is </w:t>
      </w:r>
      <w:r>
        <w:rPr>
          <w:i/>
          <w:iCs/>
          <w:lang w:val="en-US"/>
        </w:rPr>
        <w:t>w</w:t>
      </w:r>
      <w:r>
        <w:rPr>
          <w:lang w:val="en-US"/>
        </w:rPr>
        <w:t> </w:t>
      </w:r>
      <w:r>
        <w:rPr>
          <w:rFonts w:ascii="Symbol" w:hAnsi="Symbol"/>
          <w:lang w:val="en-US"/>
        </w:rPr>
        <w:t></w:t>
      </w:r>
      <w:r>
        <w:rPr>
          <w:lang w:val="en-US"/>
        </w:rPr>
        <w:t> 20 r.p.m.</w:t>
      </w:r>
    </w:p>
    <w:p w:rsidR="00B9359B" w:rsidRDefault="00B9359B">
      <w:pPr>
        <w:rPr>
          <w:lang w:val="en-US"/>
        </w:rPr>
      </w:pPr>
    </w:p>
    <w:p w:rsidR="00B9359B" w:rsidRDefault="00AB52AF">
      <w:pPr>
        <w:pStyle w:val="FigureNo"/>
      </w:pPr>
      <w:r>
        <w:pict>
          <v:shape id="_x0000_i1077" type="#_x0000_t75" style="width:374.5pt;height:339.6pt">
            <v:imagedata r:id="rId90" o:title=""/>
          </v:shape>
        </w:pict>
      </w:r>
    </w:p>
    <w:p w:rsidR="00B9359B" w:rsidRDefault="00B9359B">
      <w:pPr>
        <w:rPr>
          <w:lang w:val="en-US"/>
        </w:rPr>
      </w:pPr>
    </w:p>
    <w:p w:rsidR="00B9359B" w:rsidRDefault="009A5268">
      <w:pPr>
        <w:rPr>
          <w:lang w:val="en-US"/>
        </w:rPr>
      </w:pPr>
      <w:r>
        <w:rPr>
          <w:lang w:val="en-US"/>
        </w:rPr>
        <w:t>The typical geometry characteristics of this kind of instruments are the following for an altitude of about 850 km:</w:t>
      </w:r>
    </w:p>
    <w:p w:rsidR="00B9359B" w:rsidRDefault="009A5268">
      <w:pPr>
        <w:pStyle w:val="enumlev1"/>
        <w:rPr>
          <w:lang w:val="en-US"/>
        </w:rPr>
      </w:pPr>
      <w:r>
        <w:rPr>
          <w:lang w:val="en-US"/>
        </w:rPr>
        <w:t>–</w:t>
      </w:r>
      <w:r>
        <w:rPr>
          <w:lang w:val="en-US"/>
        </w:rPr>
        <w:tab/>
        <w:t xml:space="preserve">the ground incidence angles </w:t>
      </w:r>
      <w:r>
        <w:rPr>
          <w:i/>
          <w:iCs/>
          <w:lang w:val="en-US"/>
        </w:rPr>
        <w:t>i</w:t>
      </w:r>
      <w:r>
        <w:rPr>
          <w:lang w:val="en-US"/>
        </w:rPr>
        <w:t xml:space="preserve"> at footprint centre is around 50</w:t>
      </w:r>
      <w:r>
        <w:rPr>
          <w:rFonts w:ascii="Symbol" w:hAnsi="Symbol"/>
          <w:lang w:val="en-US"/>
        </w:rPr>
        <w:t></w:t>
      </w:r>
      <w:r>
        <w:rPr>
          <w:lang w:val="en-US"/>
        </w:rPr>
        <w:t>;</w:t>
      </w:r>
    </w:p>
    <w:p w:rsidR="00B9359B" w:rsidRDefault="009A5268">
      <w:pPr>
        <w:pStyle w:val="enumlev1"/>
        <w:rPr>
          <w:lang w:val="en-US"/>
        </w:rPr>
      </w:pPr>
      <w:r>
        <w:rPr>
          <w:lang w:val="en-US"/>
        </w:rPr>
        <w:t>–</w:t>
      </w:r>
      <w:r>
        <w:rPr>
          <w:lang w:val="en-US"/>
        </w:rPr>
        <w:tab/>
        <w:t xml:space="preserve">the EESS offset angle to the nadir or half cone angle </w:t>
      </w:r>
      <w:r>
        <w:rPr>
          <w:rFonts w:ascii="Symbol" w:hAnsi="Symbol"/>
        </w:rPr>
        <w:t></w:t>
      </w:r>
      <w:r>
        <w:rPr>
          <w:lang w:val="en-US"/>
        </w:rPr>
        <w:t xml:space="preserve"> to the nadir direction is about 44</w:t>
      </w:r>
      <w:r>
        <w:rPr>
          <w:rFonts w:ascii="Symbol" w:hAnsi="Symbol"/>
          <w:lang w:val="en-US"/>
        </w:rPr>
        <w:t></w:t>
      </w:r>
      <w:r>
        <w:rPr>
          <w:lang w:val="en-US"/>
        </w:rPr>
        <w:t>;</w:t>
      </w:r>
    </w:p>
    <w:p w:rsidR="00B9359B" w:rsidRDefault="009A5268">
      <w:pPr>
        <w:pStyle w:val="enumlev1"/>
        <w:rPr>
          <w:lang w:val="en-US"/>
        </w:rPr>
      </w:pPr>
      <w:r>
        <w:rPr>
          <w:lang w:val="en-US"/>
        </w:rPr>
        <w:br w:type="page"/>
        <w:t>–</w:t>
      </w:r>
      <w:r>
        <w:rPr>
          <w:lang w:val="en-US"/>
        </w:rPr>
        <w:tab/>
        <w:t>the useful swath of about 1</w:t>
      </w:r>
      <w:r>
        <w:rPr>
          <w:rFonts w:ascii="Tms Rmn" w:hAnsi="Tms Rmn"/>
          <w:sz w:val="12"/>
          <w:lang w:val="en-US"/>
        </w:rPr>
        <w:t> </w:t>
      </w:r>
      <w:r>
        <w:rPr>
          <w:lang w:val="en-US"/>
        </w:rPr>
        <w:t>600 km; and</w:t>
      </w:r>
    </w:p>
    <w:p w:rsidR="00B9359B" w:rsidRDefault="009A5268">
      <w:pPr>
        <w:pStyle w:val="enumlev1"/>
        <w:rPr>
          <w:lang w:val="en-US"/>
        </w:rPr>
      </w:pPr>
      <w:r>
        <w:rPr>
          <w:lang w:val="en-US"/>
        </w:rPr>
        <w:t>–</w:t>
      </w:r>
      <w:r>
        <w:rPr>
          <w:lang w:val="en-US"/>
        </w:rPr>
        <w:tab/>
        <w:t>the scanning period is chosen in order to ensure full coverage and optimum integration time (radiometric resolution).</w:t>
      </w:r>
    </w:p>
    <w:p w:rsidR="00B9359B" w:rsidRDefault="009A5268">
      <w:pPr>
        <w:pStyle w:val="Heading3"/>
        <w:rPr>
          <w:lang w:val="en-US"/>
        </w:rPr>
      </w:pPr>
      <w:bookmarkStart w:id="404" w:name="_Toc51045804"/>
      <w:r>
        <w:rPr>
          <w:lang w:val="en-US"/>
        </w:rPr>
        <w:t>1.4.2</w:t>
      </w:r>
      <w:r>
        <w:rPr>
          <w:lang w:val="en-US"/>
        </w:rPr>
        <w:tab/>
        <w:t>Nadir scanning sensor</w:t>
      </w:r>
      <w:bookmarkEnd w:id="404"/>
    </w:p>
    <w:p w:rsidR="00B9359B" w:rsidRDefault="009A5268">
      <w:pPr>
        <w:rPr>
          <w:lang w:val="en-US"/>
        </w:rPr>
      </w:pPr>
      <w:r>
        <w:rPr>
          <w:lang w:val="en-US"/>
        </w:rPr>
        <w:t>The nadir mechanically-scanned sensor (AMSU-A) has been in operation for several years and is the system presently in use. It has the following characteristics:</w:t>
      </w:r>
    </w:p>
    <w:p w:rsidR="00B9359B" w:rsidRDefault="009A5268">
      <w:pPr>
        <w:pStyle w:val="enumlev1"/>
        <w:rPr>
          <w:lang w:val="en-US"/>
        </w:rPr>
      </w:pPr>
      <w:r>
        <w:sym w:font="Symbol" w:char="F02D"/>
      </w:r>
      <w:r>
        <w:rPr>
          <w:lang w:val="en-US"/>
        </w:rPr>
        <w:tab/>
        <w:t xml:space="preserve">scans across the track through nadir to </w:t>
      </w:r>
      <w:r>
        <w:rPr>
          <w:rFonts w:ascii="Symbol" w:hAnsi="Symbol"/>
        </w:rPr>
        <w:sym w:font="Symbol" w:char="F0B1"/>
      </w:r>
      <w:r>
        <w:rPr>
          <w:lang w:val="en-US"/>
        </w:rPr>
        <w:t> 48.5</w:t>
      </w:r>
      <w:r>
        <w:rPr>
          <w:rFonts w:ascii="Symbol" w:hAnsi="Symbol"/>
          <w:lang w:val="en-US"/>
        </w:rPr>
        <w:t></w:t>
      </w:r>
      <w:r>
        <w:rPr>
          <w:lang w:val="en-US"/>
        </w:rPr>
        <w:t>;</w:t>
      </w:r>
    </w:p>
    <w:p w:rsidR="00B9359B" w:rsidRDefault="009A5268">
      <w:pPr>
        <w:pStyle w:val="enumlev1"/>
        <w:rPr>
          <w:lang w:val="en-US"/>
        </w:rPr>
      </w:pPr>
      <w:r>
        <w:sym w:font="Symbol" w:char="F02D"/>
      </w:r>
      <w:r>
        <w:rPr>
          <w:lang w:val="en-US"/>
        </w:rPr>
        <w:tab/>
        <w:t>30 pixels per scan;</w:t>
      </w:r>
    </w:p>
    <w:p w:rsidR="00B9359B" w:rsidRDefault="009A5268">
      <w:pPr>
        <w:pStyle w:val="enumlev1"/>
        <w:rPr>
          <w:lang w:val="en-US"/>
        </w:rPr>
      </w:pPr>
      <w:r>
        <w:sym w:font="Symbol" w:char="F02D"/>
      </w:r>
      <w:r>
        <w:rPr>
          <w:lang w:val="en-US"/>
        </w:rPr>
        <w:tab/>
        <w:t>swath width of 2</w:t>
      </w:r>
      <w:r>
        <w:rPr>
          <w:rFonts w:ascii="Tms Rmn" w:hAnsi="Tms Rmn"/>
          <w:sz w:val="12"/>
          <w:lang w:val="en-US"/>
        </w:rPr>
        <w:t> </w:t>
      </w:r>
      <w:r>
        <w:rPr>
          <w:lang w:val="en-US"/>
        </w:rPr>
        <w:t>300 km;</w:t>
      </w:r>
    </w:p>
    <w:p w:rsidR="00B9359B" w:rsidRDefault="009A5268">
      <w:pPr>
        <w:pStyle w:val="enumlev1"/>
        <w:rPr>
          <w:lang w:val="en-US"/>
        </w:rPr>
      </w:pPr>
      <w:r>
        <w:sym w:font="Symbol" w:char="F02D"/>
      </w:r>
      <w:r>
        <w:rPr>
          <w:lang w:val="en-US"/>
        </w:rPr>
        <w:tab/>
        <w:t>incident angle with the Earth varies with pixel.</w:t>
      </w:r>
    </w:p>
    <w:p w:rsidR="00B9359B" w:rsidRDefault="009A5268">
      <w:pPr>
        <w:rPr>
          <w:lang w:val="en-US"/>
        </w:rPr>
      </w:pPr>
      <w:r>
        <w:rPr>
          <w:lang w:val="en-US"/>
        </w:rPr>
        <w:t>A “push-broom” sensor has been proposed that has fixed beams in a swath similar to the AMSU</w:t>
      </w:r>
      <w:r>
        <w:rPr>
          <w:lang w:val="en-US"/>
        </w:rPr>
        <w:noBreakHyphen/>
        <w:t>A. The nadir passive sensor retained for this analysis is the “push-broom” vertical sounder, because it is the most vulnerable to interference. The “push-broom” is a purely static instrument with no moving parts. The major feature of the push-broom is that all pixels in a scan-line are acquired simultaneously, and not sequentially as for mechanically scanned sensors (i.e. AMSU type), enabling to significantly increase the integration time and the achievable radiometric resolution. The push-broom incorporates one fixed data acquisition antenna pointing in direction of nadir and one dedicated cold space calibration antenna. The main characteristics of this sensor are given in Table 56.</w:t>
      </w:r>
    </w:p>
    <w:p w:rsidR="00B9359B" w:rsidRDefault="009A5268">
      <w:pPr>
        <w:pStyle w:val="TableNo"/>
        <w:rPr>
          <w:lang w:val="en-US"/>
        </w:rPr>
      </w:pPr>
      <w:r>
        <w:rPr>
          <w:lang w:val="en-US"/>
        </w:rPr>
        <w:t>TABLE  56</w:t>
      </w:r>
    </w:p>
    <w:p w:rsidR="00B9359B" w:rsidRDefault="009A5268">
      <w:pPr>
        <w:pStyle w:val="Tabletitle"/>
        <w:rPr>
          <w:lang w:val="en-US"/>
        </w:rPr>
      </w:pPr>
      <w:r>
        <w:rPr>
          <w:lang w:val="en-US"/>
        </w:rPr>
        <w:t>Nadir sensor characteristics</w:t>
      </w:r>
    </w:p>
    <w:tbl>
      <w:tblPr>
        <w:tblW w:w="0" w:type="auto"/>
        <w:tblLayout w:type="fixed"/>
        <w:tblLook w:val="0000" w:firstRow="0" w:lastRow="0" w:firstColumn="0" w:lastColumn="0" w:noHBand="0" w:noVBand="0"/>
      </w:tblPr>
      <w:tblGrid>
        <w:gridCol w:w="5330"/>
        <w:gridCol w:w="2041"/>
      </w:tblGrid>
      <w:tr w:rsidR="00B9359B">
        <w:trPr>
          <w:trHeight w:val="320"/>
        </w:trPr>
        <w:tc>
          <w:tcPr>
            <w:tcW w:w="5330" w:type="dxa"/>
            <w:tcBorders>
              <w:top w:val="single" w:sz="6" w:space="0" w:color="auto"/>
              <w:left w:val="single" w:sz="6" w:space="0" w:color="auto"/>
            </w:tcBorders>
          </w:tcPr>
          <w:p w:rsidR="00B9359B" w:rsidRDefault="009A5268">
            <w:pPr>
              <w:pStyle w:val="Tablehead"/>
              <w:framePr w:hSpace="181" w:wrap="notBeside" w:vAnchor="text" w:hAnchor="text" w:xAlign="center" w:y="1"/>
              <w:rPr>
                <w:lang w:val="en-US"/>
              </w:rPr>
            </w:pPr>
            <w:r>
              <w:rPr>
                <w:lang w:val="en-US"/>
              </w:rPr>
              <w:t>Parameters</w:t>
            </w:r>
          </w:p>
        </w:tc>
        <w:tc>
          <w:tcPr>
            <w:tcW w:w="2041" w:type="dxa"/>
            <w:tcBorders>
              <w:top w:val="single" w:sz="6" w:space="0" w:color="auto"/>
              <w:left w:val="single" w:sz="6" w:space="0" w:color="auto"/>
              <w:right w:val="single" w:sz="6" w:space="0" w:color="auto"/>
            </w:tcBorders>
          </w:tcPr>
          <w:p w:rsidR="00B9359B" w:rsidRDefault="009A5268">
            <w:pPr>
              <w:pStyle w:val="Tablehead"/>
              <w:framePr w:hSpace="181" w:wrap="notBeside" w:vAnchor="text" w:hAnchor="text" w:xAlign="center" w:y="1"/>
              <w:rPr>
                <w:lang w:val="en-US"/>
              </w:rPr>
            </w:pPr>
            <w:r>
              <w:rPr>
                <w:lang w:val="en-US"/>
              </w:rPr>
              <w:t>Push-broom</w:t>
            </w:r>
          </w:p>
        </w:tc>
      </w:tr>
      <w:tr w:rsidR="00B9359B">
        <w:trPr>
          <w:trHeight w:val="320"/>
        </w:trPr>
        <w:tc>
          <w:tcPr>
            <w:tcW w:w="5330" w:type="dxa"/>
            <w:tcBorders>
              <w:top w:val="single" w:sz="6" w:space="0" w:color="auto"/>
              <w:left w:val="single" w:sz="6" w:space="0" w:color="auto"/>
            </w:tcBorders>
          </w:tcPr>
          <w:p w:rsidR="00B9359B" w:rsidRDefault="009A5268">
            <w:pPr>
              <w:pStyle w:val="Tabletext"/>
              <w:framePr w:hSpace="181" w:wrap="notBeside" w:vAnchor="text" w:hAnchor="text" w:xAlign="center" w:y="1"/>
              <w:spacing w:before="50" w:after="50"/>
              <w:rPr>
                <w:lang w:val="en-US"/>
              </w:rPr>
            </w:pPr>
            <w:r>
              <w:rPr>
                <w:lang w:val="en-US"/>
              </w:rPr>
              <w:t>Main antenna gain (dBi)</w:t>
            </w:r>
          </w:p>
        </w:tc>
        <w:tc>
          <w:tcPr>
            <w:tcW w:w="2041" w:type="dxa"/>
            <w:tcBorders>
              <w:top w:val="single" w:sz="6" w:space="0" w:color="auto"/>
              <w:left w:val="single" w:sz="6" w:space="0" w:color="auto"/>
              <w:right w:val="single" w:sz="6" w:space="0" w:color="auto"/>
            </w:tcBorders>
          </w:tcPr>
          <w:p w:rsidR="00B9359B" w:rsidRDefault="009A5268">
            <w:pPr>
              <w:pStyle w:val="Tabletext"/>
              <w:framePr w:hSpace="181" w:wrap="notBeside" w:vAnchor="text" w:hAnchor="text" w:xAlign="center" w:y="1"/>
              <w:spacing w:before="50" w:after="50"/>
              <w:jc w:val="center"/>
              <w:rPr>
                <w:lang w:val="en-US"/>
              </w:rPr>
            </w:pPr>
            <w:r>
              <w:rPr>
                <w:lang w:val="en-US"/>
              </w:rPr>
              <w:t>45</w:t>
            </w:r>
          </w:p>
        </w:tc>
      </w:tr>
      <w:tr w:rsidR="00B9359B">
        <w:trPr>
          <w:trHeight w:val="320"/>
        </w:trPr>
        <w:tc>
          <w:tcPr>
            <w:tcW w:w="5330" w:type="dxa"/>
            <w:tcBorders>
              <w:top w:val="single" w:sz="6" w:space="0" w:color="auto"/>
              <w:left w:val="single" w:sz="6" w:space="0" w:color="auto"/>
            </w:tcBorders>
          </w:tcPr>
          <w:p w:rsidR="00B9359B" w:rsidRDefault="009A5268">
            <w:pPr>
              <w:pStyle w:val="Tabletext"/>
              <w:framePr w:hSpace="181" w:wrap="notBeside" w:vAnchor="text" w:hAnchor="text" w:xAlign="center" w:y="1"/>
              <w:spacing w:before="50" w:after="50"/>
              <w:rPr>
                <w:lang w:val="en-US"/>
              </w:rPr>
            </w:pPr>
            <w:r>
              <w:rPr>
                <w:lang w:val="en-US"/>
              </w:rPr>
              <w:t>Antenna back lobe gain (dBi)</w:t>
            </w:r>
          </w:p>
        </w:tc>
        <w:tc>
          <w:tcPr>
            <w:tcW w:w="2041" w:type="dxa"/>
            <w:tcBorders>
              <w:top w:val="single" w:sz="6" w:space="0" w:color="auto"/>
              <w:left w:val="single" w:sz="6" w:space="0" w:color="auto"/>
              <w:right w:val="single" w:sz="6" w:space="0" w:color="auto"/>
            </w:tcBorders>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12</w:t>
            </w:r>
          </w:p>
        </w:tc>
      </w:tr>
      <w:tr w:rsidR="00B9359B">
        <w:trPr>
          <w:trHeight w:val="320"/>
        </w:trPr>
        <w:tc>
          <w:tcPr>
            <w:tcW w:w="5330" w:type="dxa"/>
            <w:tcBorders>
              <w:top w:val="single" w:sz="6" w:space="0" w:color="auto"/>
              <w:left w:val="single" w:sz="6" w:space="0" w:color="auto"/>
            </w:tcBorders>
          </w:tcPr>
          <w:p w:rsidR="00B9359B" w:rsidRDefault="009A5268">
            <w:pPr>
              <w:pStyle w:val="Tabletext"/>
              <w:framePr w:hSpace="181" w:wrap="notBeside" w:vAnchor="text" w:hAnchor="text" w:xAlign="center" w:y="1"/>
              <w:spacing w:before="50" w:after="50"/>
              <w:rPr>
                <w:lang w:val="en-US"/>
              </w:rPr>
            </w:pPr>
            <w:r>
              <w:rPr>
                <w:lang w:val="en-US"/>
              </w:rPr>
              <w:t xml:space="preserve">IFOV at </w:t>
            </w:r>
            <w:r>
              <w:sym w:font="Symbol" w:char="F02D"/>
            </w:r>
            <w:r>
              <w:rPr>
                <w:lang w:val="en-US"/>
              </w:rPr>
              <w:t>3 dB (degrees)</w:t>
            </w:r>
          </w:p>
        </w:tc>
        <w:tc>
          <w:tcPr>
            <w:tcW w:w="2041" w:type="dxa"/>
            <w:tcBorders>
              <w:top w:val="single" w:sz="6" w:space="0" w:color="auto"/>
              <w:left w:val="single" w:sz="6" w:space="0" w:color="auto"/>
              <w:right w:val="single" w:sz="6" w:space="0" w:color="auto"/>
            </w:tcBorders>
          </w:tcPr>
          <w:p w:rsidR="00B9359B" w:rsidRDefault="009A5268">
            <w:pPr>
              <w:pStyle w:val="Tabletext"/>
              <w:framePr w:hSpace="181" w:wrap="notBeside" w:vAnchor="text" w:hAnchor="text" w:xAlign="center" w:y="1"/>
              <w:spacing w:before="50" w:after="50"/>
              <w:jc w:val="center"/>
              <w:rPr>
                <w:lang w:val="en-US"/>
              </w:rPr>
            </w:pPr>
            <w:r>
              <w:rPr>
                <w:lang w:val="en-US"/>
              </w:rPr>
              <w:t>1.1</w:t>
            </w:r>
          </w:p>
        </w:tc>
      </w:tr>
      <w:tr w:rsidR="00B9359B">
        <w:trPr>
          <w:trHeight w:val="320"/>
        </w:trPr>
        <w:tc>
          <w:tcPr>
            <w:tcW w:w="5330" w:type="dxa"/>
            <w:tcBorders>
              <w:top w:val="single" w:sz="6" w:space="0" w:color="auto"/>
              <w:left w:val="single" w:sz="6" w:space="0" w:color="auto"/>
            </w:tcBorders>
          </w:tcPr>
          <w:p w:rsidR="00B9359B" w:rsidRDefault="009A5268">
            <w:pPr>
              <w:pStyle w:val="Tabletext"/>
              <w:framePr w:hSpace="181" w:wrap="notBeside" w:vAnchor="text" w:hAnchor="text" w:xAlign="center" w:y="1"/>
              <w:spacing w:before="50" w:after="50"/>
              <w:rPr>
                <w:lang w:val="en-US"/>
              </w:rPr>
            </w:pPr>
            <w:r>
              <w:rPr>
                <w:lang w:val="en-US"/>
              </w:rPr>
              <w:t>Total FOV cross/along-track (degrees)</w:t>
            </w:r>
          </w:p>
        </w:tc>
        <w:tc>
          <w:tcPr>
            <w:tcW w:w="2041" w:type="dxa"/>
            <w:tcBorders>
              <w:top w:val="single" w:sz="6" w:space="0" w:color="auto"/>
              <w:left w:val="single" w:sz="6" w:space="0" w:color="auto"/>
              <w:right w:val="single" w:sz="6" w:space="0" w:color="auto"/>
            </w:tcBorders>
          </w:tcPr>
          <w:p w:rsidR="00B9359B" w:rsidRDefault="009A5268">
            <w:pPr>
              <w:pStyle w:val="Tabletext"/>
              <w:framePr w:hSpace="181" w:wrap="notBeside" w:vAnchor="text" w:hAnchor="text" w:xAlign="center" w:y="1"/>
              <w:spacing w:before="50" w:after="50"/>
              <w:jc w:val="center"/>
              <w:rPr>
                <w:lang w:val="en-US"/>
              </w:rPr>
            </w:pPr>
            <w:r>
              <w:rPr>
                <w:lang w:val="en-US"/>
              </w:rPr>
              <w:t>100/1.1</w:t>
            </w:r>
          </w:p>
        </w:tc>
      </w:tr>
      <w:tr w:rsidR="00B9359B">
        <w:trPr>
          <w:trHeight w:val="320"/>
        </w:trPr>
        <w:tc>
          <w:tcPr>
            <w:tcW w:w="5330" w:type="dxa"/>
            <w:tcBorders>
              <w:top w:val="single" w:sz="6" w:space="0" w:color="auto"/>
              <w:left w:val="single" w:sz="6" w:space="0" w:color="auto"/>
            </w:tcBorders>
          </w:tcPr>
          <w:p w:rsidR="00B9359B" w:rsidRDefault="009A5268">
            <w:pPr>
              <w:pStyle w:val="Tabletext"/>
              <w:framePr w:hSpace="181" w:wrap="notBeside" w:vAnchor="text" w:hAnchor="text" w:xAlign="center" w:y="1"/>
              <w:spacing w:before="50" w:after="50"/>
              <w:rPr>
                <w:lang w:val="en-US"/>
              </w:rPr>
            </w:pPr>
            <w:r>
              <w:rPr>
                <w:lang w:val="en-US"/>
              </w:rPr>
              <w:t>Pixel size (km)</w:t>
            </w:r>
          </w:p>
        </w:tc>
        <w:tc>
          <w:tcPr>
            <w:tcW w:w="2041" w:type="dxa"/>
            <w:tcBorders>
              <w:top w:val="single" w:sz="6" w:space="0" w:color="auto"/>
              <w:left w:val="single" w:sz="6" w:space="0" w:color="auto"/>
              <w:right w:val="single" w:sz="6" w:space="0" w:color="auto"/>
            </w:tcBorders>
          </w:tcPr>
          <w:p w:rsidR="00B9359B" w:rsidRDefault="009A5268">
            <w:pPr>
              <w:pStyle w:val="Tabletext"/>
              <w:framePr w:hSpace="181" w:wrap="notBeside" w:vAnchor="text" w:hAnchor="text" w:xAlign="center" w:y="1"/>
              <w:spacing w:before="50" w:after="50"/>
              <w:jc w:val="center"/>
              <w:rPr>
                <w:lang w:val="en-US"/>
              </w:rPr>
            </w:pPr>
            <w:r>
              <w:rPr>
                <w:lang w:val="en-US"/>
              </w:rPr>
              <w:t>16</w:t>
            </w:r>
          </w:p>
        </w:tc>
      </w:tr>
      <w:tr w:rsidR="00B9359B">
        <w:trPr>
          <w:trHeight w:val="320"/>
        </w:trPr>
        <w:tc>
          <w:tcPr>
            <w:tcW w:w="5330" w:type="dxa"/>
            <w:tcBorders>
              <w:top w:val="single" w:sz="6" w:space="0" w:color="auto"/>
              <w:left w:val="single" w:sz="6" w:space="0" w:color="auto"/>
            </w:tcBorders>
          </w:tcPr>
          <w:p w:rsidR="00B9359B" w:rsidRDefault="009A5268">
            <w:pPr>
              <w:pStyle w:val="Tabletext"/>
              <w:framePr w:hSpace="181" w:wrap="notBeside" w:vAnchor="text" w:hAnchor="text" w:xAlign="center" w:y="1"/>
              <w:spacing w:before="50" w:after="50"/>
              <w:rPr>
                <w:lang w:val="en-US"/>
              </w:rPr>
            </w:pPr>
            <w:r>
              <w:rPr>
                <w:lang w:val="en-US"/>
              </w:rPr>
              <w:t>Number of pixels per line</w:t>
            </w:r>
          </w:p>
        </w:tc>
        <w:tc>
          <w:tcPr>
            <w:tcW w:w="2041" w:type="dxa"/>
            <w:tcBorders>
              <w:top w:val="single" w:sz="6" w:space="0" w:color="auto"/>
              <w:left w:val="single" w:sz="6" w:space="0" w:color="auto"/>
              <w:right w:val="single" w:sz="6" w:space="0" w:color="auto"/>
            </w:tcBorders>
          </w:tcPr>
          <w:p w:rsidR="00B9359B" w:rsidRDefault="009A5268">
            <w:pPr>
              <w:pStyle w:val="Tabletext"/>
              <w:framePr w:hSpace="181" w:wrap="notBeside" w:vAnchor="text" w:hAnchor="text" w:xAlign="center" w:y="1"/>
              <w:spacing w:before="50" w:after="50"/>
              <w:jc w:val="center"/>
              <w:rPr>
                <w:lang w:val="en-US"/>
              </w:rPr>
            </w:pPr>
            <w:r>
              <w:rPr>
                <w:lang w:val="en-US"/>
              </w:rPr>
              <w:t>90</w:t>
            </w:r>
          </w:p>
        </w:tc>
      </w:tr>
      <w:tr w:rsidR="00B9359B">
        <w:trPr>
          <w:trHeight w:val="320"/>
        </w:trPr>
        <w:tc>
          <w:tcPr>
            <w:tcW w:w="5330" w:type="dxa"/>
            <w:tcBorders>
              <w:top w:val="single" w:sz="6" w:space="0" w:color="auto"/>
              <w:left w:val="single" w:sz="6" w:space="0" w:color="auto"/>
            </w:tcBorders>
          </w:tcPr>
          <w:p w:rsidR="00B9359B" w:rsidRDefault="009A5268">
            <w:pPr>
              <w:pStyle w:val="Tabletext"/>
              <w:framePr w:hSpace="181" w:wrap="notBeside" w:vAnchor="text" w:hAnchor="text" w:xAlign="center" w:y="1"/>
              <w:spacing w:before="50" w:after="50"/>
              <w:rPr>
                <w:lang w:val="en-US"/>
              </w:rPr>
            </w:pPr>
            <w:r>
              <w:rPr>
                <w:lang w:val="en-US"/>
              </w:rPr>
              <w:t>Radiometric resolution (K)</w:t>
            </w:r>
          </w:p>
        </w:tc>
        <w:tc>
          <w:tcPr>
            <w:tcW w:w="2041" w:type="dxa"/>
            <w:tcBorders>
              <w:top w:val="single" w:sz="6" w:space="0" w:color="auto"/>
              <w:left w:val="single" w:sz="6" w:space="0" w:color="auto"/>
              <w:right w:val="single" w:sz="6" w:space="0" w:color="auto"/>
            </w:tcBorders>
          </w:tcPr>
          <w:p w:rsidR="00B9359B" w:rsidRDefault="009A5268">
            <w:pPr>
              <w:pStyle w:val="Tabletext"/>
              <w:framePr w:hSpace="181" w:wrap="notBeside" w:vAnchor="text" w:hAnchor="text" w:xAlign="center" w:y="1"/>
              <w:spacing w:before="50" w:after="50"/>
              <w:jc w:val="center"/>
              <w:rPr>
                <w:lang w:val="en-US"/>
              </w:rPr>
            </w:pPr>
            <w:r>
              <w:rPr>
                <w:lang w:val="en-US"/>
              </w:rPr>
              <w:t>0.2</w:t>
            </w:r>
          </w:p>
        </w:tc>
      </w:tr>
      <w:tr w:rsidR="00B9359B">
        <w:trPr>
          <w:trHeight w:val="320"/>
        </w:trPr>
        <w:tc>
          <w:tcPr>
            <w:tcW w:w="5330" w:type="dxa"/>
            <w:tcBorders>
              <w:top w:val="single" w:sz="6" w:space="0" w:color="auto"/>
              <w:left w:val="single" w:sz="6" w:space="0" w:color="auto"/>
            </w:tcBorders>
          </w:tcPr>
          <w:p w:rsidR="00B9359B" w:rsidRDefault="009A5268">
            <w:pPr>
              <w:pStyle w:val="Tabletext"/>
              <w:framePr w:hSpace="181" w:wrap="notBeside" w:vAnchor="text" w:hAnchor="text" w:xAlign="center" w:y="1"/>
              <w:spacing w:before="50" w:after="50"/>
              <w:rPr>
                <w:lang w:val="en-US"/>
              </w:rPr>
            </w:pPr>
            <w:r>
              <w:rPr>
                <w:lang w:val="en-US"/>
              </w:rPr>
              <w:t>Interference threshold density (dB(W/100 MHz))</w:t>
            </w:r>
          </w:p>
        </w:tc>
        <w:tc>
          <w:tcPr>
            <w:tcW w:w="2041" w:type="dxa"/>
            <w:tcBorders>
              <w:top w:val="single" w:sz="6" w:space="0" w:color="auto"/>
              <w:left w:val="single" w:sz="6" w:space="0" w:color="auto"/>
              <w:right w:val="single" w:sz="6" w:space="0" w:color="auto"/>
            </w:tcBorders>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163</w:t>
            </w:r>
          </w:p>
        </w:tc>
      </w:tr>
      <w:tr w:rsidR="00B9359B">
        <w:trPr>
          <w:trHeight w:val="320"/>
        </w:trPr>
        <w:tc>
          <w:tcPr>
            <w:tcW w:w="5330" w:type="dxa"/>
            <w:tcBorders>
              <w:top w:val="single" w:sz="6" w:space="0" w:color="auto"/>
              <w:left w:val="single" w:sz="6" w:space="0" w:color="auto"/>
            </w:tcBorders>
          </w:tcPr>
          <w:p w:rsidR="00B9359B" w:rsidRDefault="009A5268">
            <w:pPr>
              <w:pStyle w:val="Tabletext"/>
              <w:framePr w:hSpace="181" w:wrap="notBeside" w:vAnchor="text" w:hAnchor="text" w:xAlign="center" w:y="1"/>
              <w:spacing w:before="50" w:after="50"/>
              <w:rPr>
                <w:lang w:val="en-US"/>
              </w:rPr>
            </w:pPr>
            <w:r>
              <w:rPr>
                <w:lang w:val="en-US"/>
              </w:rPr>
              <w:t>Sensor altitude (km)</w:t>
            </w:r>
          </w:p>
        </w:tc>
        <w:tc>
          <w:tcPr>
            <w:tcW w:w="2041" w:type="dxa"/>
            <w:tcBorders>
              <w:top w:val="single" w:sz="6" w:space="0" w:color="auto"/>
              <w:left w:val="single" w:sz="6" w:space="0" w:color="auto"/>
              <w:right w:val="single" w:sz="6" w:space="0" w:color="auto"/>
            </w:tcBorders>
          </w:tcPr>
          <w:p w:rsidR="00B9359B" w:rsidRDefault="009A5268">
            <w:pPr>
              <w:pStyle w:val="Tabletext"/>
              <w:framePr w:hSpace="181" w:wrap="notBeside" w:vAnchor="text" w:hAnchor="text" w:xAlign="center" w:y="1"/>
              <w:spacing w:before="50" w:after="50"/>
              <w:jc w:val="center"/>
              <w:rPr>
                <w:lang w:val="en-US"/>
              </w:rPr>
            </w:pPr>
            <w:r>
              <w:rPr>
                <w:lang w:val="en-US"/>
              </w:rPr>
              <w:t>850</w:t>
            </w:r>
          </w:p>
        </w:tc>
      </w:tr>
      <w:tr w:rsidR="00B9359B">
        <w:trPr>
          <w:trHeight w:val="320"/>
        </w:trPr>
        <w:tc>
          <w:tcPr>
            <w:tcW w:w="5330" w:type="dxa"/>
            <w:tcBorders>
              <w:top w:val="single" w:sz="6" w:space="0" w:color="auto"/>
              <w:left w:val="single" w:sz="6" w:space="0" w:color="auto"/>
            </w:tcBorders>
          </w:tcPr>
          <w:p w:rsidR="00B9359B" w:rsidRDefault="009A5268">
            <w:pPr>
              <w:pStyle w:val="Tabletext"/>
              <w:framePr w:hSpace="181" w:wrap="notBeside" w:vAnchor="text" w:hAnchor="text" w:xAlign="center" w:y="1"/>
              <w:spacing w:before="50" w:after="50"/>
              <w:rPr>
                <w:lang w:val="en-US"/>
              </w:rPr>
            </w:pPr>
            <w:r>
              <w:rPr>
                <w:lang w:val="en-US"/>
              </w:rPr>
              <w:t>Cold calibration antenna gain (dBi)</w:t>
            </w:r>
          </w:p>
        </w:tc>
        <w:tc>
          <w:tcPr>
            <w:tcW w:w="2041" w:type="dxa"/>
            <w:tcBorders>
              <w:top w:val="single" w:sz="6" w:space="0" w:color="auto"/>
              <w:left w:val="single" w:sz="6" w:space="0" w:color="auto"/>
              <w:right w:val="single" w:sz="6" w:space="0" w:color="auto"/>
            </w:tcBorders>
          </w:tcPr>
          <w:p w:rsidR="00B9359B" w:rsidRDefault="009A5268">
            <w:pPr>
              <w:pStyle w:val="Tabletext"/>
              <w:framePr w:hSpace="181" w:wrap="notBeside" w:vAnchor="text" w:hAnchor="text" w:xAlign="center" w:y="1"/>
              <w:spacing w:before="50" w:after="50"/>
              <w:jc w:val="center"/>
              <w:rPr>
                <w:lang w:val="en-US"/>
              </w:rPr>
            </w:pPr>
            <w:r>
              <w:rPr>
                <w:lang w:val="en-US"/>
              </w:rPr>
              <w:t>35</w:t>
            </w:r>
          </w:p>
        </w:tc>
      </w:tr>
      <w:tr w:rsidR="00B9359B">
        <w:trPr>
          <w:trHeight w:val="320"/>
        </w:trPr>
        <w:tc>
          <w:tcPr>
            <w:tcW w:w="5330" w:type="dxa"/>
            <w:tcBorders>
              <w:top w:val="single" w:sz="6" w:space="0" w:color="auto"/>
              <w:left w:val="single" w:sz="6" w:space="0" w:color="auto"/>
            </w:tcBorders>
          </w:tcPr>
          <w:p w:rsidR="00B9359B" w:rsidRDefault="009A5268">
            <w:pPr>
              <w:pStyle w:val="Tabletext"/>
              <w:framePr w:hSpace="181" w:wrap="notBeside" w:vAnchor="text" w:hAnchor="text" w:xAlign="center" w:y="1"/>
              <w:spacing w:before="50" w:after="50"/>
              <w:rPr>
                <w:lang w:val="en-US"/>
              </w:rPr>
            </w:pPr>
            <w:r>
              <w:rPr>
                <w:lang w:val="en-US"/>
              </w:rPr>
              <w:t>Cold calibration angle (degrees re. satellite track)</w:t>
            </w:r>
          </w:p>
        </w:tc>
        <w:tc>
          <w:tcPr>
            <w:tcW w:w="2041" w:type="dxa"/>
            <w:tcBorders>
              <w:top w:val="single" w:sz="6" w:space="0" w:color="auto"/>
              <w:left w:val="single" w:sz="6" w:space="0" w:color="auto"/>
              <w:right w:val="single" w:sz="6" w:space="0" w:color="auto"/>
            </w:tcBorders>
          </w:tcPr>
          <w:p w:rsidR="00B9359B" w:rsidRDefault="009A5268">
            <w:pPr>
              <w:pStyle w:val="Tabletext"/>
              <w:framePr w:hSpace="181" w:wrap="notBeside" w:vAnchor="text" w:hAnchor="text" w:xAlign="center" w:y="1"/>
              <w:spacing w:before="50" w:after="50"/>
              <w:jc w:val="center"/>
              <w:rPr>
                <w:lang w:val="en-US"/>
              </w:rPr>
            </w:pPr>
            <w:r>
              <w:rPr>
                <w:lang w:val="en-US"/>
              </w:rPr>
              <w:t>90</w:t>
            </w:r>
          </w:p>
        </w:tc>
      </w:tr>
      <w:tr w:rsidR="00B9359B">
        <w:trPr>
          <w:trHeight w:val="320"/>
        </w:trPr>
        <w:tc>
          <w:tcPr>
            <w:tcW w:w="5330" w:type="dxa"/>
            <w:tcBorders>
              <w:top w:val="single" w:sz="6" w:space="0" w:color="auto"/>
              <w:left w:val="single" w:sz="6" w:space="0" w:color="auto"/>
              <w:bottom w:val="single" w:sz="6" w:space="0" w:color="auto"/>
            </w:tcBorders>
          </w:tcPr>
          <w:p w:rsidR="00B9359B" w:rsidRDefault="009A5268">
            <w:pPr>
              <w:pStyle w:val="Tabletext"/>
              <w:framePr w:hSpace="181" w:wrap="notBeside" w:vAnchor="text" w:hAnchor="text" w:xAlign="center" w:y="1"/>
              <w:spacing w:before="50" w:after="50"/>
              <w:rPr>
                <w:lang w:val="en-US"/>
              </w:rPr>
            </w:pPr>
            <w:r>
              <w:rPr>
                <w:lang w:val="en-US"/>
              </w:rPr>
              <w:t>Cold calibration angle (degrees re. nadir direction)</w:t>
            </w:r>
          </w:p>
        </w:tc>
        <w:tc>
          <w:tcPr>
            <w:tcW w:w="2041" w:type="dxa"/>
            <w:tcBorders>
              <w:top w:val="single" w:sz="6" w:space="0" w:color="auto"/>
              <w:left w:val="single" w:sz="6" w:space="0" w:color="auto"/>
              <w:bottom w:val="single" w:sz="6" w:space="0" w:color="auto"/>
              <w:right w:val="single" w:sz="6" w:space="0" w:color="auto"/>
            </w:tcBorders>
          </w:tcPr>
          <w:p w:rsidR="00B9359B" w:rsidRDefault="009A5268">
            <w:pPr>
              <w:pStyle w:val="Tabletext"/>
              <w:framePr w:hSpace="181" w:wrap="notBeside" w:vAnchor="text" w:hAnchor="text" w:xAlign="center" w:y="1"/>
              <w:spacing w:before="50" w:after="50"/>
              <w:jc w:val="center"/>
              <w:rPr>
                <w:lang w:val="en-US"/>
              </w:rPr>
            </w:pPr>
            <w:r>
              <w:rPr>
                <w:lang w:val="en-US"/>
              </w:rPr>
              <w:t>83</w:t>
            </w:r>
          </w:p>
        </w:tc>
      </w:tr>
      <w:tr w:rsidR="00B9359B">
        <w:trPr>
          <w:trHeight w:val="320"/>
        </w:trPr>
        <w:tc>
          <w:tcPr>
            <w:tcW w:w="5330" w:type="dxa"/>
            <w:tcBorders>
              <w:top w:val="single" w:sz="6" w:space="0" w:color="auto"/>
              <w:left w:val="single" w:sz="6" w:space="0" w:color="auto"/>
              <w:bottom w:val="single" w:sz="6" w:space="0" w:color="auto"/>
            </w:tcBorders>
          </w:tcPr>
          <w:p w:rsidR="00B9359B" w:rsidRDefault="009A5268">
            <w:pPr>
              <w:pStyle w:val="Tabletext"/>
              <w:framePr w:hSpace="181" w:wrap="notBeside" w:vAnchor="text" w:hAnchor="text" w:xAlign="center" w:y="1"/>
              <w:spacing w:before="50" w:after="50"/>
              <w:rPr>
                <w:lang w:val="en-US"/>
              </w:rPr>
            </w:pPr>
            <w:r>
              <w:rPr>
                <w:lang w:val="en-US"/>
              </w:rPr>
              <w:t>Type of scan</w:t>
            </w:r>
          </w:p>
        </w:tc>
        <w:tc>
          <w:tcPr>
            <w:tcW w:w="2041" w:type="dxa"/>
            <w:tcBorders>
              <w:top w:val="single" w:sz="6" w:space="0" w:color="auto"/>
              <w:left w:val="single" w:sz="6" w:space="0" w:color="auto"/>
              <w:bottom w:val="single" w:sz="6" w:space="0" w:color="auto"/>
              <w:right w:val="single" w:sz="6" w:space="0" w:color="auto"/>
            </w:tcBorders>
          </w:tcPr>
          <w:p w:rsidR="00B9359B" w:rsidRDefault="009A5268">
            <w:pPr>
              <w:pStyle w:val="Tabletext"/>
              <w:framePr w:hSpace="181" w:wrap="notBeside" w:vAnchor="text" w:hAnchor="text" w:xAlign="center" w:y="1"/>
              <w:spacing w:before="50" w:after="50"/>
              <w:jc w:val="center"/>
              <w:rPr>
                <w:lang w:val="en-US"/>
              </w:rPr>
            </w:pPr>
            <w:r>
              <w:rPr>
                <w:lang w:val="en-US"/>
              </w:rPr>
              <w:t>Electronic</w:t>
            </w:r>
          </w:p>
        </w:tc>
      </w:tr>
    </w:tbl>
    <w:p w:rsidR="00B9359B" w:rsidRDefault="00B9359B">
      <w:pPr>
        <w:pStyle w:val="Tablefin"/>
      </w:pPr>
    </w:p>
    <w:p w:rsidR="00B9359B" w:rsidRDefault="009A5268">
      <w:pPr>
        <w:rPr>
          <w:lang w:val="en-US"/>
        </w:rPr>
      </w:pPr>
      <w:r>
        <w:rPr>
          <w:lang w:val="en-US"/>
        </w:rPr>
        <w:br w:type="page"/>
        <w:t>The orbital configuration of this sensor is illustrated in Fig. 42.</w:t>
      </w:r>
    </w:p>
    <w:p w:rsidR="00B9359B" w:rsidRDefault="00B9359B">
      <w:pPr>
        <w:rPr>
          <w:lang w:val="en-US"/>
        </w:rPr>
      </w:pPr>
    </w:p>
    <w:p w:rsidR="00B9359B" w:rsidRDefault="009A5268">
      <w:pPr>
        <w:pStyle w:val="FigureNo"/>
      </w:pPr>
      <w:r>
        <w:object w:dxaOrig="7263" w:dyaOrig="6855">
          <v:shape id="_x0000_i1078" type="#_x0000_t75" style="width:363.2pt;height:342.8pt" o:ole="">
            <v:imagedata r:id="rId91" o:title=""/>
          </v:shape>
          <o:OLEObject Type="Embed" ProgID="Designer.Drawing.7" ShapeID="_x0000_i1078" DrawAspect="Content" ObjectID="_1629894584" r:id="rId92"/>
        </w:object>
      </w:r>
    </w:p>
    <w:p w:rsidR="00B9359B" w:rsidRDefault="00B9359B">
      <w:pPr>
        <w:rPr>
          <w:lang w:val="en-US"/>
        </w:rPr>
      </w:pPr>
      <w:bookmarkStart w:id="405" w:name="_Toc51045805"/>
    </w:p>
    <w:p w:rsidR="00B9359B" w:rsidRDefault="009A5268">
      <w:pPr>
        <w:pStyle w:val="Heading1"/>
        <w:rPr>
          <w:lang w:val="en-US"/>
        </w:rPr>
      </w:pPr>
      <w:r>
        <w:rPr>
          <w:lang w:val="en-US"/>
        </w:rPr>
        <w:t>2</w:t>
      </w:r>
      <w:r>
        <w:rPr>
          <w:lang w:val="en-US"/>
        </w:rPr>
        <w:tab/>
        <w:t>FSS and MSS</w:t>
      </w:r>
      <w:bookmarkEnd w:id="405"/>
    </w:p>
    <w:p w:rsidR="00B9359B" w:rsidRDefault="009A5268">
      <w:pPr>
        <w:pStyle w:val="Heading2"/>
        <w:rPr>
          <w:lang w:val="en-US"/>
        </w:rPr>
      </w:pPr>
      <w:bookmarkStart w:id="406" w:name="_Toc51045806"/>
      <w:r>
        <w:rPr>
          <w:lang w:val="en-US"/>
        </w:rPr>
        <w:t>2.1</w:t>
      </w:r>
      <w:r>
        <w:rPr>
          <w:lang w:val="en-US"/>
        </w:rPr>
        <w:tab/>
        <w:t>Allocated transmit band</w:t>
      </w:r>
      <w:bookmarkEnd w:id="406"/>
    </w:p>
    <w:p w:rsidR="00B9359B" w:rsidRDefault="009A5268">
      <w:pPr>
        <w:rPr>
          <w:lang w:val="en-US"/>
        </w:rPr>
      </w:pPr>
      <w:r>
        <w:rPr>
          <w:lang w:val="en-US"/>
        </w:rPr>
        <w:t>The active service band is the FSS uplink and MSS feeder links in the 30-31 GHz band (refer to Table 54).</w:t>
      </w:r>
    </w:p>
    <w:p w:rsidR="00B9359B" w:rsidRDefault="009A5268">
      <w:pPr>
        <w:pStyle w:val="Heading2"/>
        <w:rPr>
          <w:lang w:val="en-US"/>
        </w:rPr>
      </w:pPr>
      <w:bookmarkStart w:id="407" w:name="_Toc51045807"/>
      <w:r>
        <w:rPr>
          <w:lang w:val="en-US"/>
        </w:rPr>
        <w:t>2.2</w:t>
      </w:r>
      <w:r>
        <w:rPr>
          <w:lang w:val="en-US"/>
        </w:rPr>
        <w:tab/>
        <w:t>Application</w:t>
      </w:r>
      <w:bookmarkEnd w:id="407"/>
    </w:p>
    <w:p w:rsidR="00B9359B" w:rsidRDefault="009A5268">
      <w:pPr>
        <w:rPr>
          <w:lang w:val="en-US"/>
        </w:rPr>
      </w:pPr>
      <w:r>
        <w:rPr>
          <w:lang w:val="en-US"/>
        </w:rPr>
        <w:t>The whole set of transmitter characteristics that are taken into account in this Annex are derived from Recommendation ITU-R S.1328-3 – Satellite system characteristics to be considered in frequency sharing analyses between geostationary-satellite orbit (GSO) and non-GSO satellite systems in the fixed-satellite service (FSS) including feeder links for the mobile-satellite service (MSS). This Recommendation gives some relevant information about typical systems.</w:t>
      </w:r>
    </w:p>
    <w:p w:rsidR="00B9359B" w:rsidRDefault="009A5268">
      <w:pPr>
        <w:pStyle w:val="Note"/>
        <w:rPr>
          <w:lang w:val="en-US"/>
        </w:rPr>
      </w:pPr>
      <w:r>
        <w:rPr>
          <w:lang w:val="en-US"/>
        </w:rPr>
        <w:br w:type="page"/>
        <w:t>NOTE 1 </w:t>
      </w:r>
      <w:r>
        <w:sym w:font="Symbol" w:char="F02D"/>
      </w:r>
      <w:r>
        <w:rPr>
          <w:lang w:val="en-US"/>
        </w:rPr>
        <w:t> Most of the systems found in the Recommendation ITU-R S.1328-3 having FSS uplinks in the 30 GHz range have a frequency range generally ending at 30 GHz. Despite this fact, it is assumed that FSS satellites having uplinks in the range 30-31 GHz have similar characteristics to those operating below 30 GHz.</w:t>
      </w:r>
    </w:p>
    <w:p w:rsidR="00B9359B" w:rsidRDefault="009A5268">
      <w:pPr>
        <w:pStyle w:val="Heading2"/>
        <w:rPr>
          <w:lang w:val="en-US"/>
        </w:rPr>
      </w:pPr>
      <w:bookmarkStart w:id="408" w:name="_Toc51045808"/>
      <w:r>
        <w:rPr>
          <w:lang w:val="en-US"/>
        </w:rPr>
        <w:t>2.3</w:t>
      </w:r>
      <w:r>
        <w:rPr>
          <w:lang w:val="en-US"/>
        </w:rPr>
        <w:tab/>
        <w:t>Levels based on spectral representation</w:t>
      </w:r>
      <w:bookmarkEnd w:id="408"/>
    </w:p>
    <w:p w:rsidR="00B9359B" w:rsidRDefault="009A5268">
      <w:pPr>
        <w:rPr>
          <w:lang w:val="en-US"/>
        </w:rPr>
      </w:pPr>
      <w:r>
        <w:rPr>
          <w:lang w:val="en-US"/>
        </w:rPr>
        <w:t>This Annex uses the raised cosine spectral representation which is described in Annex 1.</w:t>
      </w:r>
    </w:p>
    <w:p w:rsidR="00B9359B" w:rsidRDefault="009A5268">
      <w:pPr>
        <w:rPr>
          <w:lang w:val="en-US"/>
        </w:rPr>
      </w:pPr>
      <w:r>
        <w:rPr>
          <w:lang w:val="en-US"/>
        </w:rPr>
        <w:t>This spectral representation is intended for band-by-band studies and is provisional, pending further review by the ITU-R. It represents in a very general way the typical mean power distribution through the OoB and spurious domains in an adjacent or nearby allocation.</w:t>
      </w:r>
    </w:p>
    <w:p w:rsidR="00B9359B" w:rsidRDefault="009A5268">
      <w:pPr>
        <w:pStyle w:val="Heading2"/>
        <w:rPr>
          <w:lang w:val="en-US"/>
        </w:rPr>
      </w:pPr>
      <w:bookmarkStart w:id="409" w:name="_Toc51045809"/>
      <w:r>
        <w:rPr>
          <w:lang w:val="en-US"/>
        </w:rPr>
        <w:t>2.4</w:t>
      </w:r>
      <w:r>
        <w:rPr>
          <w:lang w:val="en-US"/>
        </w:rPr>
        <w:tab/>
        <w:t>Transmitter characteristics</w:t>
      </w:r>
      <w:bookmarkEnd w:id="409"/>
    </w:p>
    <w:p w:rsidR="00B9359B" w:rsidRDefault="009A5268">
      <w:pPr>
        <w:pStyle w:val="Heading3"/>
        <w:rPr>
          <w:lang w:val="en-US"/>
        </w:rPr>
      </w:pPr>
      <w:bookmarkStart w:id="410" w:name="_Toc51045810"/>
      <w:r>
        <w:rPr>
          <w:lang w:val="en-US"/>
        </w:rPr>
        <w:t>2.4.1</w:t>
      </w:r>
      <w:r>
        <w:rPr>
          <w:lang w:val="en-US"/>
        </w:rPr>
        <w:tab/>
        <w:t>GSO satellite networks</w:t>
      </w:r>
      <w:bookmarkEnd w:id="410"/>
    </w:p>
    <w:p w:rsidR="00B9359B" w:rsidRDefault="009A5268">
      <w:pPr>
        <w:rPr>
          <w:lang w:val="en-US"/>
        </w:rPr>
      </w:pPr>
      <w:r>
        <w:rPr>
          <w:lang w:val="en-US"/>
        </w:rPr>
        <w:t>The characteristics used for the GSO earth stations are given in Table 57. Each of the GSO satellite networks consists of a single GSO satellite. Information for all of the GSO system parameters was not available. These parameters are indicated in the Tables by the entry “N/A”.</w:t>
      </w:r>
    </w:p>
    <w:p w:rsidR="00B9359B" w:rsidRDefault="00B9359B">
      <w:pPr>
        <w:rPr>
          <w:lang w:val="en-US"/>
        </w:rPr>
      </w:pPr>
    </w:p>
    <w:p w:rsidR="00B9359B" w:rsidRDefault="009A5268">
      <w:pPr>
        <w:pStyle w:val="TableNo"/>
        <w:rPr>
          <w:lang w:val="en-US"/>
        </w:rPr>
      </w:pPr>
      <w:r>
        <w:rPr>
          <w:lang w:val="en-US"/>
        </w:rPr>
        <w:t>TABLE  57</w:t>
      </w:r>
    </w:p>
    <w:p w:rsidR="00B9359B" w:rsidRDefault="009A5268">
      <w:pPr>
        <w:pStyle w:val="Tabletitle"/>
        <w:rPr>
          <w:lang w:val="en-US"/>
        </w:rPr>
      </w:pPr>
      <w:r>
        <w:rPr>
          <w:lang w:val="en-US"/>
        </w:rPr>
        <w:t>Characteristics of GSO uplink earth stations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737"/>
        <w:gridCol w:w="1588"/>
        <w:gridCol w:w="1871"/>
        <w:gridCol w:w="964"/>
        <w:gridCol w:w="964"/>
        <w:gridCol w:w="1417"/>
      </w:tblGrid>
      <w:tr w:rsidR="00B9359B">
        <w:trPr>
          <w:trHeight w:val="306"/>
        </w:trPr>
        <w:tc>
          <w:tcPr>
            <w:tcW w:w="2155" w:type="dxa"/>
          </w:tcPr>
          <w:p w:rsidR="00B9359B" w:rsidRDefault="009A5268">
            <w:pPr>
              <w:pStyle w:val="Tablehead"/>
              <w:framePr w:hSpace="181" w:wrap="notBeside" w:vAnchor="text" w:hAnchor="text" w:xAlign="center" w:y="1"/>
              <w:spacing w:before="120" w:after="120"/>
              <w:jc w:val="left"/>
              <w:rPr>
                <w:lang w:val="en-US"/>
              </w:rPr>
            </w:pPr>
            <w:r>
              <w:rPr>
                <w:lang w:val="en-US"/>
              </w:rPr>
              <w:t>System</w:t>
            </w:r>
          </w:p>
        </w:tc>
        <w:tc>
          <w:tcPr>
            <w:tcW w:w="737" w:type="dxa"/>
          </w:tcPr>
          <w:p w:rsidR="00B9359B" w:rsidRDefault="009A5268">
            <w:pPr>
              <w:pStyle w:val="Tablehead"/>
              <w:framePr w:hSpace="181" w:wrap="notBeside" w:vAnchor="text" w:hAnchor="text" w:xAlign="center" w:y="1"/>
              <w:spacing w:before="120" w:after="120"/>
              <w:rPr>
                <w:lang w:val="en-US"/>
              </w:rPr>
            </w:pPr>
            <w:r>
              <w:rPr>
                <w:lang w:val="en-US"/>
              </w:rPr>
              <w:t>Ka-1</w:t>
            </w:r>
          </w:p>
        </w:tc>
        <w:tc>
          <w:tcPr>
            <w:tcW w:w="1588" w:type="dxa"/>
          </w:tcPr>
          <w:p w:rsidR="00B9359B" w:rsidRDefault="009A5268">
            <w:pPr>
              <w:pStyle w:val="Tablehead"/>
              <w:framePr w:hSpace="181" w:wrap="notBeside" w:vAnchor="text" w:hAnchor="text" w:xAlign="center" w:y="1"/>
              <w:spacing w:before="120" w:after="120"/>
              <w:rPr>
                <w:lang w:val="en-US"/>
              </w:rPr>
            </w:pPr>
            <w:r>
              <w:rPr>
                <w:lang w:val="en-US"/>
              </w:rPr>
              <w:t>GSO-20</w:t>
            </w:r>
          </w:p>
        </w:tc>
        <w:tc>
          <w:tcPr>
            <w:tcW w:w="1871" w:type="dxa"/>
          </w:tcPr>
          <w:p w:rsidR="00B9359B" w:rsidRDefault="009A5268">
            <w:pPr>
              <w:pStyle w:val="Tablehead"/>
              <w:framePr w:hSpace="181" w:wrap="notBeside" w:vAnchor="text" w:hAnchor="text" w:xAlign="center" w:y="1"/>
              <w:spacing w:before="120" w:after="120"/>
              <w:rPr>
                <w:lang w:val="en-US"/>
              </w:rPr>
            </w:pPr>
            <w:r>
              <w:rPr>
                <w:lang w:val="en-US"/>
              </w:rPr>
              <w:t>GSO-F</w:t>
            </w:r>
          </w:p>
        </w:tc>
        <w:tc>
          <w:tcPr>
            <w:tcW w:w="964" w:type="dxa"/>
          </w:tcPr>
          <w:p w:rsidR="00B9359B" w:rsidRDefault="009A5268">
            <w:pPr>
              <w:pStyle w:val="Tablehead"/>
              <w:framePr w:hSpace="181" w:wrap="notBeside" w:vAnchor="text" w:hAnchor="text" w:xAlign="center" w:y="1"/>
              <w:spacing w:before="120" w:after="120"/>
              <w:rPr>
                <w:lang w:val="en-US"/>
              </w:rPr>
            </w:pPr>
            <w:r>
              <w:rPr>
                <w:lang w:val="en-US"/>
              </w:rPr>
              <w:t>GSO-G</w:t>
            </w:r>
          </w:p>
        </w:tc>
        <w:tc>
          <w:tcPr>
            <w:tcW w:w="964" w:type="dxa"/>
          </w:tcPr>
          <w:p w:rsidR="00B9359B" w:rsidRDefault="009A5268">
            <w:pPr>
              <w:pStyle w:val="Tablehead"/>
              <w:framePr w:hSpace="181" w:wrap="notBeside" w:vAnchor="text" w:hAnchor="text" w:xAlign="center" w:y="1"/>
              <w:spacing w:before="120" w:after="120"/>
              <w:rPr>
                <w:lang w:val="en-US"/>
              </w:rPr>
            </w:pPr>
            <w:r>
              <w:rPr>
                <w:lang w:val="en-US"/>
              </w:rPr>
              <w:t>GSO-H</w:t>
            </w:r>
          </w:p>
        </w:tc>
        <w:tc>
          <w:tcPr>
            <w:tcW w:w="1417" w:type="dxa"/>
          </w:tcPr>
          <w:p w:rsidR="00B9359B" w:rsidRDefault="009A5268">
            <w:pPr>
              <w:pStyle w:val="Tablehead"/>
              <w:framePr w:hSpace="181" w:wrap="notBeside" w:vAnchor="text" w:hAnchor="text" w:xAlign="center" w:y="1"/>
              <w:spacing w:before="120" w:after="120"/>
              <w:rPr>
                <w:lang w:val="en-US"/>
              </w:rPr>
            </w:pPr>
            <w:r>
              <w:rPr>
                <w:lang w:val="en-US"/>
              </w:rPr>
              <w:t>GSO-13</w:t>
            </w:r>
          </w:p>
        </w:tc>
      </w:tr>
      <w:tr w:rsidR="00B9359B">
        <w:tc>
          <w:tcPr>
            <w:tcW w:w="2155" w:type="dxa"/>
          </w:tcPr>
          <w:p w:rsidR="00B9359B" w:rsidRDefault="009A5268">
            <w:pPr>
              <w:pStyle w:val="Tabletext"/>
              <w:framePr w:hSpace="181" w:wrap="notBeside" w:vAnchor="text" w:hAnchor="text" w:xAlign="center" w:y="1"/>
              <w:spacing w:before="80" w:after="80"/>
              <w:rPr>
                <w:lang w:val="en-US"/>
              </w:rPr>
            </w:pPr>
            <w:r>
              <w:rPr>
                <w:lang w:val="en-US"/>
              </w:rPr>
              <w:t>Service</w:t>
            </w:r>
          </w:p>
        </w:tc>
        <w:tc>
          <w:tcPr>
            <w:tcW w:w="737" w:type="dxa"/>
          </w:tcPr>
          <w:p w:rsidR="00B9359B" w:rsidRDefault="00B9359B">
            <w:pPr>
              <w:pStyle w:val="Tabletext"/>
              <w:framePr w:hSpace="181" w:wrap="notBeside" w:vAnchor="text" w:hAnchor="text" w:xAlign="center" w:y="1"/>
              <w:spacing w:before="80" w:after="80"/>
              <w:jc w:val="center"/>
              <w:rPr>
                <w:lang w:val="en-US"/>
              </w:rPr>
            </w:pPr>
          </w:p>
        </w:tc>
        <w:tc>
          <w:tcPr>
            <w:tcW w:w="1588" w:type="dxa"/>
          </w:tcPr>
          <w:p w:rsidR="00B9359B" w:rsidRDefault="009A5268">
            <w:pPr>
              <w:pStyle w:val="Tabletext"/>
              <w:framePr w:hSpace="181" w:wrap="notBeside" w:vAnchor="text" w:hAnchor="text" w:xAlign="center" w:y="1"/>
              <w:spacing w:before="80" w:after="80"/>
              <w:jc w:val="center"/>
              <w:rPr>
                <w:lang w:val="en-US"/>
              </w:rPr>
            </w:pPr>
            <w:r>
              <w:rPr>
                <w:lang w:val="en-US"/>
              </w:rPr>
              <w:t>FSS/MSS</w:t>
            </w:r>
          </w:p>
        </w:tc>
        <w:tc>
          <w:tcPr>
            <w:tcW w:w="1871" w:type="dxa"/>
          </w:tcPr>
          <w:p w:rsidR="00B9359B" w:rsidRDefault="009A5268">
            <w:pPr>
              <w:pStyle w:val="Tabletext"/>
              <w:framePr w:hSpace="181" w:wrap="notBeside" w:vAnchor="text" w:hAnchor="text" w:xAlign="center" w:y="1"/>
              <w:spacing w:before="80" w:after="80"/>
              <w:jc w:val="center"/>
              <w:rPr>
                <w:lang w:val="en-US"/>
              </w:rPr>
            </w:pPr>
            <w:r>
              <w:rPr>
                <w:lang w:val="en-US"/>
              </w:rPr>
              <w:t>MSS</w:t>
            </w:r>
          </w:p>
        </w:tc>
        <w:tc>
          <w:tcPr>
            <w:tcW w:w="964" w:type="dxa"/>
          </w:tcPr>
          <w:p w:rsidR="00B9359B" w:rsidRDefault="009A5268">
            <w:pPr>
              <w:pStyle w:val="Tabletext"/>
              <w:framePr w:hSpace="181" w:wrap="notBeside" w:vAnchor="text" w:hAnchor="text" w:xAlign="center" w:y="1"/>
              <w:spacing w:before="80" w:after="80"/>
              <w:jc w:val="center"/>
              <w:rPr>
                <w:lang w:val="en-US"/>
              </w:rPr>
            </w:pPr>
            <w:r>
              <w:rPr>
                <w:lang w:val="en-US"/>
              </w:rPr>
              <w:t>MSS</w:t>
            </w:r>
          </w:p>
        </w:tc>
        <w:tc>
          <w:tcPr>
            <w:tcW w:w="964" w:type="dxa"/>
          </w:tcPr>
          <w:p w:rsidR="00B9359B" w:rsidRDefault="009A5268">
            <w:pPr>
              <w:pStyle w:val="Tabletext"/>
              <w:framePr w:hSpace="181" w:wrap="notBeside" w:vAnchor="text" w:hAnchor="text" w:xAlign="center" w:y="1"/>
              <w:spacing w:before="80" w:after="80"/>
              <w:jc w:val="center"/>
              <w:rPr>
                <w:lang w:val="en-US"/>
              </w:rPr>
            </w:pPr>
            <w:r>
              <w:rPr>
                <w:lang w:val="en-US"/>
              </w:rPr>
              <w:t>MSS</w:t>
            </w:r>
          </w:p>
        </w:tc>
        <w:tc>
          <w:tcPr>
            <w:tcW w:w="1417" w:type="dxa"/>
          </w:tcPr>
          <w:p w:rsidR="00B9359B" w:rsidRDefault="009A5268">
            <w:pPr>
              <w:pStyle w:val="Tabletext"/>
              <w:framePr w:hSpace="181" w:wrap="notBeside" w:vAnchor="text" w:hAnchor="text" w:xAlign="center" w:y="1"/>
              <w:spacing w:before="80" w:after="80"/>
              <w:jc w:val="center"/>
              <w:rPr>
                <w:lang w:val="en-US"/>
              </w:rPr>
            </w:pPr>
            <w:r>
              <w:rPr>
                <w:lang w:val="en-US"/>
              </w:rPr>
              <w:t>FSS</w:t>
            </w:r>
          </w:p>
        </w:tc>
      </w:tr>
      <w:tr w:rsidR="00B9359B">
        <w:tc>
          <w:tcPr>
            <w:tcW w:w="2155" w:type="dxa"/>
          </w:tcPr>
          <w:p w:rsidR="00B9359B" w:rsidRDefault="009A5268">
            <w:pPr>
              <w:pStyle w:val="Tabletext"/>
              <w:framePr w:hSpace="181" w:wrap="notBeside" w:vAnchor="text" w:hAnchor="text" w:xAlign="center" w:y="1"/>
              <w:spacing w:before="80" w:after="80"/>
              <w:rPr>
                <w:lang w:val="en-US"/>
              </w:rPr>
            </w:pPr>
            <w:r>
              <w:rPr>
                <w:lang w:val="en-US"/>
              </w:rPr>
              <w:t>Polarization</w:t>
            </w:r>
          </w:p>
        </w:tc>
        <w:tc>
          <w:tcPr>
            <w:tcW w:w="737" w:type="dxa"/>
          </w:tcPr>
          <w:p w:rsidR="00B9359B" w:rsidRDefault="00B9359B">
            <w:pPr>
              <w:pStyle w:val="Tabletext"/>
              <w:framePr w:hSpace="181" w:wrap="notBeside" w:vAnchor="text" w:hAnchor="text" w:xAlign="center" w:y="1"/>
              <w:spacing w:before="80" w:after="80"/>
              <w:jc w:val="center"/>
              <w:rPr>
                <w:lang w:val="en-US"/>
              </w:rPr>
            </w:pPr>
          </w:p>
        </w:tc>
        <w:tc>
          <w:tcPr>
            <w:tcW w:w="1588" w:type="dxa"/>
          </w:tcPr>
          <w:p w:rsidR="00B9359B" w:rsidRDefault="009A5268">
            <w:pPr>
              <w:pStyle w:val="Tabletext"/>
              <w:framePr w:hSpace="181" w:wrap="notBeside" w:vAnchor="text" w:hAnchor="text" w:xAlign="center" w:y="1"/>
              <w:spacing w:before="80" w:after="80"/>
              <w:jc w:val="center"/>
              <w:rPr>
                <w:lang w:val="en-US"/>
              </w:rPr>
            </w:pPr>
            <w:r>
              <w:rPr>
                <w:lang w:val="en-US"/>
              </w:rPr>
              <w:t>LHCP/RHCP</w:t>
            </w:r>
          </w:p>
        </w:tc>
        <w:tc>
          <w:tcPr>
            <w:tcW w:w="1871" w:type="dxa"/>
          </w:tcPr>
          <w:p w:rsidR="00B9359B" w:rsidRDefault="009A5268">
            <w:pPr>
              <w:pStyle w:val="Tabletext"/>
              <w:framePr w:hSpace="181" w:wrap="notBeside" w:vAnchor="text" w:hAnchor="text" w:xAlign="center" w:y="1"/>
              <w:spacing w:before="80" w:after="80"/>
              <w:jc w:val="center"/>
              <w:rPr>
                <w:lang w:val="en-US"/>
              </w:rPr>
            </w:pPr>
            <w:r>
              <w:rPr>
                <w:lang w:val="en-US"/>
              </w:rPr>
              <w:t>N/A</w:t>
            </w:r>
          </w:p>
        </w:tc>
        <w:tc>
          <w:tcPr>
            <w:tcW w:w="964" w:type="dxa"/>
          </w:tcPr>
          <w:p w:rsidR="00B9359B" w:rsidRDefault="009A5268">
            <w:pPr>
              <w:pStyle w:val="Tabletext"/>
              <w:framePr w:hSpace="181" w:wrap="notBeside" w:vAnchor="text" w:hAnchor="text" w:xAlign="center" w:y="1"/>
              <w:spacing w:before="80" w:after="80"/>
              <w:jc w:val="center"/>
              <w:rPr>
                <w:lang w:val="en-US"/>
              </w:rPr>
            </w:pPr>
            <w:r>
              <w:rPr>
                <w:lang w:val="en-US"/>
              </w:rPr>
              <w:t>N/A</w:t>
            </w:r>
          </w:p>
        </w:tc>
        <w:tc>
          <w:tcPr>
            <w:tcW w:w="964" w:type="dxa"/>
          </w:tcPr>
          <w:p w:rsidR="00B9359B" w:rsidRDefault="009A5268">
            <w:pPr>
              <w:pStyle w:val="Tabletext"/>
              <w:framePr w:hSpace="181" w:wrap="notBeside" w:vAnchor="text" w:hAnchor="text" w:xAlign="center" w:y="1"/>
              <w:spacing w:before="80" w:after="80"/>
              <w:jc w:val="center"/>
              <w:rPr>
                <w:lang w:val="en-US"/>
              </w:rPr>
            </w:pPr>
            <w:r>
              <w:rPr>
                <w:lang w:val="en-US"/>
              </w:rPr>
              <w:t>N/A</w:t>
            </w:r>
          </w:p>
        </w:tc>
        <w:tc>
          <w:tcPr>
            <w:tcW w:w="1417" w:type="dxa"/>
          </w:tcPr>
          <w:p w:rsidR="00B9359B" w:rsidRDefault="009A5268">
            <w:pPr>
              <w:pStyle w:val="Tabletext"/>
              <w:framePr w:hSpace="181" w:wrap="notBeside" w:vAnchor="text" w:hAnchor="text" w:xAlign="center" w:y="1"/>
              <w:spacing w:before="80" w:after="80"/>
              <w:jc w:val="center"/>
              <w:rPr>
                <w:lang w:val="en-US"/>
              </w:rPr>
            </w:pPr>
            <w:r>
              <w:rPr>
                <w:lang w:val="en-US"/>
              </w:rPr>
              <w:t>RHCP/LHCP</w:t>
            </w:r>
          </w:p>
        </w:tc>
      </w:tr>
      <w:tr w:rsidR="00B9359B">
        <w:tc>
          <w:tcPr>
            <w:tcW w:w="2155" w:type="dxa"/>
          </w:tcPr>
          <w:p w:rsidR="00B9359B" w:rsidRDefault="009A5268">
            <w:pPr>
              <w:pStyle w:val="Tabletext"/>
              <w:framePr w:hSpace="181" w:wrap="notBeside" w:vAnchor="text" w:hAnchor="text" w:xAlign="center" w:y="1"/>
              <w:spacing w:before="80" w:after="80"/>
              <w:rPr>
                <w:lang w:val="en-US"/>
              </w:rPr>
            </w:pPr>
            <w:r>
              <w:rPr>
                <w:lang w:val="en-US"/>
              </w:rPr>
              <w:t>Modulation</w:t>
            </w:r>
          </w:p>
        </w:tc>
        <w:tc>
          <w:tcPr>
            <w:tcW w:w="737" w:type="dxa"/>
          </w:tcPr>
          <w:p w:rsidR="00B9359B" w:rsidRDefault="00B9359B">
            <w:pPr>
              <w:pStyle w:val="Tabletext"/>
              <w:framePr w:hSpace="181" w:wrap="notBeside" w:vAnchor="text" w:hAnchor="text" w:xAlign="center" w:y="1"/>
              <w:spacing w:before="80" w:after="80"/>
              <w:jc w:val="center"/>
              <w:rPr>
                <w:lang w:val="en-US"/>
              </w:rPr>
            </w:pPr>
          </w:p>
        </w:tc>
        <w:tc>
          <w:tcPr>
            <w:tcW w:w="1588" w:type="dxa"/>
          </w:tcPr>
          <w:p w:rsidR="00B9359B" w:rsidRDefault="009A5268">
            <w:pPr>
              <w:pStyle w:val="Tabletext"/>
              <w:framePr w:hSpace="181" w:wrap="notBeside" w:vAnchor="text" w:hAnchor="text" w:xAlign="center" w:y="1"/>
              <w:spacing w:before="80" w:after="80"/>
              <w:jc w:val="center"/>
              <w:rPr>
                <w:lang w:val="en-US"/>
              </w:rPr>
            </w:pPr>
            <w:r>
              <w:rPr>
                <w:lang w:val="en-US"/>
              </w:rPr>
              <w:t>FDMA/QPSK</w:t>
            </w:r>
          </w:p>
        </w:tc>
        <w:tc>
          <w:tcPr>
            <w:tcW w:w="1871" w:type="dxa"/>
          </w:tcPr>
          <w:p w:rsidR="00B9359B" w:rsidRDefault="009A5268">
            <w:pPr>
              <w:pStyle w:val="Tabletext"/>
              <w:framePr w:hSpace="181" w:wrap="notBeside" w:vAnchor="text" w:hAnchor="text" w:xAlign="center" w:y="1"/>
              <w:spacing w:before="80" w:after="80"/>
              <w:jc w:val="center"/>
              <w:rPr>
                <w:lang w:val="en-US"/>
              </w:rPr>
            </w:pPr>
            <w:r>
              <w:rPr>
                <w:lang w:val="en-US"/>
              </w:rPr>
              <w:t>FDM/TDM/QPSK</w:t>
            </w:r>
          </w:p>
        </w:tc>
        <w:tc>
          <w:tcPr>
            <w:tcW w:w="964" w:type="dxa"/>
          </w:tcPr>
          <w:p w:rsidR="00B9359B" w:rsidRDefault="009A5268">
            <w:pPr>
              <w:pStyle w:val="Tabletext"/>
              <w:framePr w:hSpace="181" w:wrap="notBeside" w:vAnchor="text" w:hAnchor="text" w:xAlign="center" w:y="1"/>
              <w:spacing w:before="80" w:after="80"/>
              <w:jc w:val="center"/>
              <w:rPr>
                <w:lang w:val="en-US"/>
              </w:rPr>
            </w:pPr>
            <w:r>
              <w:rPr>
                <w:lang w:val="en-US"/>
              </w:rPr>
              <w:t>QPSK</w:t>
            </w:r>
          </w:p>
        </w:tc>
        <w:tc>
          <w:tcPr>
            <w:tcW w:w="964" w:type="dxa"/>
          </w:tcPr>
          <w:p w:rsidR="00B9359B" w:rsidRDefault="009A5268">
            <w:pPr>
              <w:pStyle w:val="Tabletext"/>
              <w:framePr w:hSpace="181" w:wrap="notBeside" w:vAnchor="text" w:hAnchor="text" w:xAlign="center" w:y="1"/>
              <w:spacing w:before="80" w:after="80"/>
              <w:jc w:val="center"/>
              <w:rPr>
                <w:lang w:val="en-US"/>
              </w:rPr>
            </w:pPr>
            <w:r>
              <w:rPr>
                <w:lang w:val="en-US"/>
              </w:rPr>
              <w:t>QPSK</w:t>
            </w:r>
          </w:p>
        </w:tc>
        <w:tc>
          <w:tcPr>
            <w:tcW w:w="1417" w:type="dxa"/>
          </w:tcPr>
          <w:p w:rsidR="00B9359B" w:rsidRDefault="009A5268">
            <w:pPr>
              <w:pStyle w:val="Tabletext"/>
              <w:framePr w:hSpace="181" w:wrap="notBeside" w:vAnchor="text" w:hAnchor="text" w:xAlign="center" w:y="1"/>
              <w:spacing w:before="80" w:after="80"/>
              <w:jc w:val="center"/>
              <w:rPr>
                <w:lang w:val="en-US"/>
              </w:rPr>
            </w:pPr>
            <w:r>
              <w:rPr>
                <w:lang w:val="en-US"/>
              </w:rPr>
              <w:t>N/A</w:t>
            </w:r>
          </w:p>
        </w:tc>
      </w:tr>
      <w:tr w:rsidR="00B9359B">
        <w:tc>
          <w:tcPr>
            <w:tcW w:w="2155" w:type="dxa"/>
          </w:tcPr>
          <w:p w:rsidR="00B9359B" w:rsidRDefault="009A5268">
            <w:pPr>
              <w:pStyle w:val="Tabletext"/>
              <w:framePr w:hSpace="181" w:wrap="notBeside" w:vAnchor="text" w:hAnchor="text" w:xAlign="center" w:y="1"/>
              <w:spacing w:before="80" w:after="80"/>
              <w:rPr>
                <w:lang w:val="en-US"/>
              </w:rPr>
            </w:pPr>
            <w:r>
              <w:rPr>
                <w:lang w:val="en-US"/>
              </w:rPr>
              <w:t>Bandwidth (MHz)</w:t>
            </w:r>
          </w:p>
        </w:tc>
        <w:tc>
          <w:tcPr>
            <w:tcW w:w="737" w:type="dxa"/>
          </w:tcPr>
          <w:p w:rsidR="00B9359B" w:rsidRDefault="009A5268">
            <w:pPr>
              <w:pStyle w:val="Tabletext"/>
              <w:framePr w:hSpace="181" w:wrap="notBeside" w:vAnchor="text" w:hAnchor="text" w:xAlign="center" w:y="1"/>
              <w:spacing w:before="80" w:after="80"/>
              <w:jc w:val="center"/>
              <w:rPr>
                <w:lang w:val="en-US"/>
              </w:rPr>
            </w:pPr>
            <w:r>
              <w:rPr>
                <w:lang w:val="en-US"/>
              </w:rPr>
              <w:t>186.6</w:t>
            </w:r>
          </w:p>
        </w:tc>
        <w:tc>
          <w:tcPr>
            <w:tcW w:w="1588" w:type="dxa"/>
          </w:tcPr>
          <w:p w:rsidR="00B9359B" w:rsidRDefault="009A5268">
            <w:pPr>
              <w:pStyle w:val="Tabletext"/>
              <w:framePr w:hSpace="181" w:wrap="notBeside" w:vAnchor="text" w:hAnchor="text" w:xAlign="center" w:y="1"/>
              <w:spacing w:before="80" w:after="80"/>
              <w:jc w:val="center"/>
              <w:rPr>
                <w:lang w:val="en-US"/>
              </w:rPr>
            </w:pPr>
            <w:r>
              <w:rPr>
                <w:lang w:val="en-US"/>
              </w:rPr>
              <w:t>500</w:t>
            </w:r>
          </w:p>
        </w:tc>
        <w:tc>
          <w:tcPr>
            <w:tcW w:w="1871" w:type="dxa"/>
          </w:tcPr>
          <w:p w:rsidR="00B9359B" w:rsidRDefault="009A5268">
            <w:pPr>
              <w:pStyle w:val="Tabletext"/>
              <w:framePr w:hSpace="181" w:wrap="notBeside" w:vAnchor="text" w:hAnchor="text" w:xAlign="center" w:y="1"/>
              <w:spacing w:before="80" w:after="80"/>
              <w:jc w:val="center"/>
              <w:rPr>
                <w:lang w:val="en-US"/>
              </w:rPr>
            </w:pPr>
            <w:r>
              <w:rPr>
                <w:lang w:val="en-US"/>
              </w:rPr>
              <w:t>125</w:t>
            </w:r>
          </w:p>
        </w:tc>
        <w:tc>
          <w:tcPr>
            <w:tcW w:w="964" w:type="dxa"/>
          </w:tcPr>
          <w:p w:rsidR="00B9359B" w:rsidRDefault="009A5268">
            <w:pPr>
              <w:pStyle w:val="Tabletext"/>
              <w:framePr w:hSpace="181" w:wrap="notBeside" w:vAnchor="text" w:hAnchor="text" w:xAlign="center" w:y="1"/>
              <w:spacing w:before="80" w:after="80"/>
              <w:jc w:val="center"/>
              <w:rPr>
                <w:lang w:val="en-US"/>
              </w:rPr>
            </w:pPr>
            <w:r>
              <w:rPr>
                <w:lang w:val="en-US"/>
              </w:rPr>
              <w:t>0.0768</w:t>
            </w:r>
          </w:p>
        </w:tc>
        <w:tc>
          <w:tcPr>
            <w:tcW w:w="964" w:type="dxa"/>
          </w:tcPr>
          <w:p w:rsidR="00B9359B" w:rsidRDefault="009A5268">
            <w:pPr>
              <w:pStyle w:val="Tabletext"/>
              <w:framePr w:hSpace="181" w:wrap="notBeside" w:vAnchor="text" w:hAnchor="text" w:xAlign="center" w:y="1"/>
              <w:spacing w:before="80" w:after="80"/>
              <w:jc w:val="center"/>
              <w:rPr>
                <w:lang w:val="en-US"/>
              </w:rPr>
            </w:pPr>
            <w:r>
              <w:rPr>
                <w:lang w:val="en-US"/>
              </w:rPr>
              <w:t>0.0768</w:t>
            </w:r>
          </w:p>
        </w:tc>
        <w:tc>
          <w:tcPr>
            <w:tcW w:w="1417" w:type="dxa"/>
          </w:tcPr>
          <w:p w:rsidR="00B9359B" w:rsidRDefault="009A5268">
            <w:pPr>
              <w:pStyle w:val="Tabletext"/>
              <w:framePr w:hSpace="181" w:wrap="notBeside" w:vAnchor="text" w:hAnchor="text" w:xAlign="center" w:y="1"/>
              <w:spacing w:before="80" w:after="80"/>
              <w:jc w:val="center"/>
              <w:rPr>
                <w:lang w:val="en-US"/>
              </w:rPr>
            </w:pPr>
            <w:r>
              <w:rPr>
                <w:lang w:val="en-US"/>
              </w:rPr>
              <w:t>0.340</w:t>
            </w:r>
          </w:p>
        </w:tc>
      </w:tr>
      <w:tr w:rsidR="00B9359B">
        <w:tc>
          <w:tcPr>
            <w:tcW w:w="2155" w:type="dxa"/>
          </w:tcPr>
          <w:p w:rsidR="00B9359B" w:rsidRDefault="009A5268">
            <w:pPr>
              <w:pStyle w:val="Tabletext"/>
              <w:framePr w:hSpace="181" w:wrap="notBeside" w:vAnchor="text" w:hAnchor="text" w:xAlign="center" w:y="1"/>
              <w:spacing w:before="80" w:after="80"/>
              <w:rPr>
                <w:lang w:val="en-US"/>
              </w:rPr>
            </w:pPr>
            <w:r>
              <w:rPr>
                <w:lang w:val="en-US"/>
              </w:rPr>
              <w:t>e.i.r.p. (dBW)</w:t>
            </w:r>
          </w:p>
        </w:tc>
        <w:tc>
          <w:tcPr>
            <w:tcW w:w="737" w:type="dxa"/>
          </w:tcPr>
          <w:p w:rsidR="00B9359B" w:rsidRDefault="009A5268">
            <w:pPr>
              <w:pStyle w:val="Tabletext"/>
              <w:framePr w:hSpace="181" w:wrap="notBeside" w:vAnchor="text" w:hAnchor="text" w:xAlign="center" w:y="1"/>
              <w:spacing w:before="80" w:after="80"/>
              <w:jc w:val="center"/>
              <w:rPr>
                <w:lang w:val="en-US"/>
              </w:rPr>
            </w:pPr>
            <w:r>
              <w:rPr>
                <w:lang w:val="en-US"/>
              </w:rPr>
              <w:t>77</w:t>
            </w:r>
          </w:p>
        </w:tc>
        <w:tc>
          <w:tcPr>
            <w:tcW w:w="1588" w:type="dxa"/>
          </w:tcPr>
          <w:p w:rsidR="00B9359B" w:rsidRDefault="009A5268">
            <w:pPr>
              <w:pStyle w:val="Tabletext"/>
              <w:framePr w:hSpace="181" w:wrap="notBeside" w:vAnchor="text" w:hAnchor="text" w:xAlign="center" w:y="1"/>
              <w:spacing w:before="80" w:after="80"/>
              <w:jc w:val="center"/>
              <w:rPr>
                <w:lang w:val="en-US"/>
              </w:rPr>
            </w:pPr>
            <w:r>
              <w:rPr>
                <w:lang w:val="en-US"/>
              </w:rPr>
              <w:t>62</w:t>
            </w:r>
          </w:p>
        </w:tc>
        <w:tc>
          <w:tcPr>
            <w:tcW w:w="1871" w:type="dxa"/>
          </w:tcPr>
          <w:p w:rsidR="00B9359B" w:rsidRDefault="009A5268">
            <w:pPr>
              <w:pStyle w:val="Tabletext"/>
              <w:framePr w:hSpace="181" w:wrap="notBeside" w:vAnchor="text" w:hAnchor="text" w:xAlign="center" w:y="1"/>
              <w:spacing w:before="80" w:after="80"/>
              <w:jc w:val="center"/>
              <w:rPr>
                <w:lang w:val="en-US"/>
              </w:rPr>
            </w:pPr>
            <w:r>
              <w:rPr>
                <w:lang w:val="en-US"/>
              </w:rPr>
              <w:t>53.2</w:t>
            </w:r>
          </w:p>
        </w:tc>
        <w:tc>
          <w:tcPr>
            <w:tcW w:w="964" w:type="dxa"/>
          </w:tcPr>
          <w:p w:rsidR="00B9359B" w:rsidRDefault="009A5268">
            <w:pPr>
              <w:pStyle w:val="Tabletext"/>
              <w:framePr w:hSpace="181" w:wrap="notBeside" w:vAnchor="text" w:hAnchor="text" w:xAlign="center" w:y="1"/>
              <w:spacing w:before="80" w:after="80"/>
              <w:jc w:val="center"/>
              <w:rPr>
                <w:lang w:val="en-US"/>
              </w:rPr>
            </w:pPr>
            <w:r>
              <w:rPr>
                <w:lang w:val="en-US"/>
              </w:rPr>
              <w:t>67.5</w:t>
            </w:r>
          </w:p>
        </w:tc>
        <w:tc>
          <w:tcPr>
            <w:tcW w:w="964" w:type="dxa"/>
          </w:tcPr>
          <w:p w:rsidR="00B9359B" w:rsidRDefault="009A5268">
            <w:pPr>
              <w:pStyle w:val="Tabletext"/>
              <w:framePr w:hSpace="181" w:wrap="notBeside" w:vAnchor="text" w:hAnchor="text" w:xAlign="center" w:y="1"/>
              <w:spacing w:before="80" w:after="80"/>
              <w:jc w:val="center"/>
              <w:rPr>
                <w:lang w:val="en-US"/>
              </w:rPr>
            </w:pPr>
            <w:r>
              <w:rPr>
                <w:lang w:val="en-US"/>
              </w:rPr>
              <w:t>61.5</w:t>
            </w:r>
          </w:p>
        </w:tc>
        <w:tc>
          <w:tcPr>
            <w:tcW w:w="1417" w:type="dxa"/>
          </w:tcPr>
          <w:p w:rsidR="00B9359B" w:rsidRDefault="009A5268">
            <w:pPr>
              <w:pStyle w:val="Tabletext"/>
              <w:framePr w:hSpace="181" w:wrap="notBeside" w:vAnchor="text" w:hAnchor="text" w:xAlign="center" w:y="1"/>
              <w:spacing w:before="80" w:after="80"/>
              <w:jc w:val="center"/>
              <w:rPr>
                <w:lang w:val="en-US"/>
              </w:rPr>
            </w:pPr>
            <w:r>
              <w:rPr>
                <w:lang w:val="en-US"/>
              </w:rPr>
              <w:t>44.3</w:t>
            </w:r>
          </w:p>
        </w:tc>
      </w:tr>
      <w:tr w:rsidR="00B9359B">
        <w:tc>
          <w:tcPr>
            <w:tcW w:w="2155" w:type="dxa"/>
          </w:tcPr>
          <w:p w:rsidR="00B9359B" w:rsidRDefault="009A5268">
            <w:pPr>
              <w:pStyle w:val="Tabletext"/>
              <w:framePr w:hSpace="181" w:wrap="notBeside" w:vAnchor="text" w:hAnchor="text" w:xAlign="center" w:y="1"/>
              <w:spacing w:before="80" w:after="80"/>
              <w:rPr>
                <w:lang w:val="en-US"/>
              </w:rPr>
            </w:pPr>
            <w:r>
              <w:rPr>
                <w:lang w:val="en-US"/>
              </w:rPr>
              <w:t>Antenna gain (dBW)</w:t>
            </w:r>
          </w:p>
        </w:tc>
        <w:tc>
          <w:tcPr>
            <w:tcW w:w="737" w:type="dxa"/>
          </w:tcPr>
          <w:p w:rsidR="00B9359B" w:rsidRDefault="009A5268">
            <w:pPr>
              <w:pStyle w:val="Tabletext"/>
              <w:framePr w:hSpace="181" w:wrap="notBeside" w:vAnchor="text" w:hAnchor="text" w:xAlign="center" w:y="1"/>
              <w:spacing w:before="80" w:after="80"/>
              <w:jc w:val="center"/>
              <w:rPr>
                <w:lang w:val="en-US"/>
              </w:rPr>
            </w:pPr>
            <w:r>
              <w:rPr>
                <w:lang w:val="en-US"/>
              </w:rPr>
              <w:t>63.7</w:t>
            </w:r>
          </w:p>
        </w:tc>
        <w:tc>
          <w:tcPr>
            <w:tcW w:w="1588" w:type="dxa"/>
          </w:tcPr>
          <w:p w:rsidR="00B9359B" w:rsidRDefault="009A5268">
            <w:pPr>
              <w:pStyle w:val="Tabletext"/>
              <w:framePr w:hSpace="181" w:wrap="notBeside" w:vAnchor="text" w:hAnchor="text" w:xAlign="center" w:y="1"/>
              <w:spacing w:before="80" w:after="80"/>
              <w:jc w:val="center"/>
              <w:rPr>
                <w:lang w:val="en-US"/>
              </w:rPr>
            </w:pPr>
            <w:r>
              <w:rPr>
                <w:lang w:val="en-US"/>
              </w:rPr>
              <w:t>43.9</w:t>
            </w:r>
          </w:p>
        </w:tc>
        <w:tc>
          <w:tcPr>
            <w:tcW w:w="1871" w:type="dxa"/>
          </w:tcPr>
          <w:p w:rsidR="00B9359B" w:rsidRDefault="009A5268">
            <w:pPr>
              <w:pStyle w:val="Tabletext"/>
              <w:framePr w:hSpace="181" w:wrap="notBeside" w:vAnchor="text" w:hAnchor="text" w:xAlign="center" w:y="1"/>
              <w:spacing w:before="80" w:after="80"/>
              <w:jc w:val="center"/>
              <w:rPr>
                <w:lang w:val="en-US"/>
              </w:rPr>
            </w:pPr>
            <w:r>
              <w:rPr>
                <w:lang w:val="en-US"/>
              </w:rPr>
              <w:t>57.2</w:t>
            </w:r>
          </w:p>
        </w:tc>
        <w:tc>
          <w:tcPr>
            <w:tcW w:w="964" w:type="dxa"/>
          </w:tcPr>
          <w:p w:rsidR="00B9359B" w:rsidRDefault="009A5268">
            <w:pPr>
              <w:pStyle w:val="Tabletext"/>
              <w:framePr w:hSpace="181" w:wrap="notBeside" w:vAnchor="text" w:hAnchor="text" w:xAlign="center" w:y="1"/>
              <w:spacing w:before="80" w:after="80"/>
              <w:jc w:val="center"/>
              <w:rPr>
                <w:lang w:val="en-US"/>
              </w:rPr>
            </w:pPr>
            <w:r>
              <w:rPr>
                <w:lang w:val="en-US"/>
              </w:rPr>
              <w:t>45.7</w:t>
            </w:r>
          </w:p>
        </w:tc>
        <w:tc>
          <w:tcPr>
            <w:tcW w:w="964" w:type="dxa"/>
          </w:tcPr>
          <w:p w:rsidR="00B9359B" w:rsidRDefault="009A5268">
            <w:pPr>
              <w:pStyle w:val="Tabletext"/>
              <w:framePr w:hSpace="181" w:wrap="notBeside" w:vAnchor="text" w:hAnchor="text" w:xAlign="center" w:y="1"/>
              <w:spacing w:before="80" w:after="80"/>
              <w:jc w:val="center"/>
              <w:rPr>
                <w:lang w:val="en-US"/>
              </w:rPr>
            </w:pPr>
            <w:r>
              <w:rPr>
                <w:lang w:val="en-US"/>
              </w:rPr>
              <w:t>55.2</w:t>
            </w:r>
          </w:p>
        </w:tc>
        <w:tc>
          <w:tcPr>
            <w:tcW w:w="1417" w:type="dxa"/>
          </w:tcPr>
          <w:p w:rsidR="00B9359B" w:rsidRDefault="009A5268">
            <w:pPr>
              <w:pStyle w:val="Tabletext"/>
              <w:framePr w:hSpace="181" w:wrap="notBeside" w:vAnchor="text" w:hAnchor="text" w:xAlign="center" w:y="1"/>
              <w:spacing w:before="80" w:after="80"/>
              <w:jc w:val="center"/>
              <w:rPr>
                <w:lang w:val="en-US"/>
              </w:rPr>
            </w:pPr>
            <w:r>
              <w:rPr>
                <w:lang w:val="en-US"/>
              </w:rPr>
              <w:t>44.3</w:t>
            </w:r>
          </w:p>
        </w:tc>
      </w:tr>
      <w:tr w:rsidR="00B9359B">
        <w:tc>
          <w:tcPr>
            <w:tcW w:w="2155" w:type="dxa"/>
          </w:tcPr>
          <w:p w:rsidR="00B9359B" w:rsidRDefault="009A5268">
            <w:pPr>
              <w:pStyle w:val="Tabletext"/>
              <w:framePr w:hSpace="181" w:wrap="notBeside" w:vAnchor="text" w:hAnchor="text" w:xAlign="center" w:y="1"/>
              <w:spacing w:before="80" w:after="80"/>
              <w:jc w:val="left"/>
              <w:rPr>
                <w:lang w:val="en-US"/>
              </w:rPr>
            </w:pPr>
            <w:r>
              <w:rPr>
                <w:lang w:val="en-US"/>
              </w:rPr>
              <w:t>Transmitter power (dBW)</w:t>
            </w:r>
          </w:p>
        </w:tc>
        <w:tc>
          <w:tcPr>
            <w:tcW w:w="737" w:type="dxa"/>
          </w:tcPr>
          <w:p w:rsidR="00B9359B" w:rsidRDefault="009A5268">
            <w:pPr>
              <w:pStyle w:val="Tabletext"/>
              <w:framePr w:hSpace="181" w:wrap="notBeside" w:vAnchor="text" w:hAnchor="text" w:xAlign="center" w:y="1"/>
              <w:spacing w:before="80" w:after="80"/>
              <w:jc w:val="center"/>
              <w:rPr>
                <w:lang w:val="en-US"/>
              </w:rPr>
            </w:pPr>
            <w:r>
              <w:rPr>
                <w:lang w:val="en-US"/>
              </w:rPr>
              <w:t>13.3</w:t>
            </w:r>
          </w:p>
        </w:tc>
        <w:tc>
          <w:tcPr>
            <w:tcW w:w="1588" w:type="dxa"/>
          </w:tcPr>
          <w:p w:rsidR="00B9359B" w:rsidRDefault="009A5268">
            <w:pPr>
              <w:pStyle w:val="Tabletext"/>
              <w:framePr w:hSpace="181" w:wrap="notBeside" w:vAnchor="text" w:hAnchor="text" w:xAlign="center" w:y="1"/>
              <w:spacing w:before="80" w:after="80"/>
              <w:jc w:val="center"/>
              <w:rPr>
                <w:lang w:val="en-US"/>
              </w:rPr>
            </w:pPr>
            <w:r>
              <w:rPr>
                <w:lang w:val="en-US"/>
              </w:rPr>
              <w:t>18.1</w:t>
            </w:r>
          </w:p>
        </w:tc>
        <w:tc>
          <w:tcPr>
            <w:tcW w:w="1871" w:type="dxa"/>
          </w:tcPr>
          <w:p w:rsidR="00B9359B" w:rsidRDefault="009A5268">
            <w:pPr>
              <w:pStyle w:val="Tabletext"/>
              <w:framePr w:hSpace="181" w:wrap="notBeside" w:vAnchor="text" w:hAnchor="text" w:xAlign="center" w:y="1"/>
              <w:spacing w:before="80" w:after="80"/>
              <w:jc w:val="center"/>
              <w:rPr>
                <w:lang w:val="en-US"/>
              </w:rPr>
            </w:pPr>
            <w:r>
              <w:sym w:font="Symbol" w:char="F02D"/>
            </w:r>
            <w:r>
              <w:rPr>
                <w:lang w:val="en-US"/>
              </w:rPr>
              <w:t>4</w:t>
            </w:r>
          </w:p>
        </w:tc>
        <w:tc>
          <w:tcPr>
            <w:tcW w:w="964" w:type="dxa"/>
          </w:tcPr>
          <w:p w:rsidR="00B9359B" w:rsidRDefault="009A5268">
            <w:pPr>
              <w:pStyle w:val="Tabletext"/>
              <w:framePr w:hSpace="181" w:wrap="notBeside" w:vAnchor="text" w:hAnchor="text" w:xAlign="center" w:y="1"/>
              <w:spacing w:before="80" w:after="80"/>
              <w:jc w:val="center"/>
              <w:rPr>
                <w:lang w:val="en-US"/>
              </w:rPr>
            </w:pPr>
            <w:r>
              <w:rPr>
                <w:lang w:val="en-US"/>
              </w:rPr>
              <w:t>21.8</w:t>
            </w:r>
          </w:p>
        </w:tc>
        <w:tc>
          <w:tcPr>
            <w:tcW w:w="964" w:type="dxa"/>
          </w:tcPr>
          <w:p w:rsidR="00B9359B" w:rsidRDefault="009A5268">
            <w:pPr>
              <w:pStyle w:val="Tabletext"/>
              <w:framePr w:hSpace="181" w:wrap="notBeside" w:vAnchor="text" w:hAnchor="text" w:xAlign="center" w:y="1"/>
              <w:spacing w:before="80" w:after="80"/>
              <w:jc w:val="center"/>
              <w:rPr>
                <w:lang w:val="en-US"/>
              </w:rPr>
            </w:pPr>
            <w:r>
              <w:rPr>
                <w:lang w:val="en-US"/>
              </w:rPr>
              <w:t>6.3</w:t>
            </w:r>
          </w:p>
        </w:tc>
        <w:tc>
          <w:tcPr>
            <w:tcW w:w="1417" w:type="dxa"/>
          </w:tcPr>
          <w:p w:rsidR="00B9359B" w:rsidRDefault="009A5268">
            <w:pPr>
              <w:pStyle w:val="Tabletext"/>
              <w:framePr w:hSpace="181" w:wrap="notBeside" w:vAnchor="text" w:hAnchor="text" w:xAlign="center" w:y="1"/>
              <w:spacing w:before="80" w:after="80"/>
              <w:jc w:val="center"/>
              <w:rPr>
                <w:lang w:val="en-US"/>
              </w:rPr>
            </w:pPr>
            <w:r>
              <w:rPr>
                <w:lang w:val="en-US"/>
              </w:rPr>
              <w:t>0</w:t>
            </w:r>
          </w:p>
        </w:tc>
      </w:tr>
      <w:tr w:rsidR="00B9359B">
        <w:tc>
          <w:tcPr>
            <w:tcW w:w="2155" w:type="dxa"/>
          </w:tcPr>
          <w:p w:rsidR="00B9359B" w:rsidRDefault="009A5268">
            <w:pPr>
              <w:pStyle w:val="Tabletext"/>
              <w:framePr w:hSpace="181" w:wrap="notBeside" w:vAnchor="text" w:hAnchor="text" w:xAlign="center" w:y="1"/>
              <w:spacing w:before="80" w:after="80"/>
              <w:rPr>
                <w:lang w:val="en-US"/>
              </w:rPr>
            </w:pPr>
            <w:r>
              <w:rPr>
                <w:lang w:val="en-US"/>
              </w:rPr>
              <w:t>Number of stations</w:t>
            </w:r>
          </w:p>
        </w:tc>
        <w:tc>
          <w:tcPr>
            <w:tcW w:w="737" w:type="dxa"/>
          </w:tcPr>
          <w:p w:rsidR="00B9359B" w:rsidRDefault="00B9359B">
            <w:pPr>
              <w:pStyle w:val="Tabletext"/>
              <w:framePr w:hSpace="181" w:wrap="notBeside" w:vAnchor="text" w:hAnchor="text" w:xAlign="center" w:y="1"/>
              <w:spacing w:before="80" w:after="80"/>
              <w:jc w:val="center"/>
              <w:rPr>
                <w:lang w:val="en-US"/>
              </w:rPr>
            </w:pPr>
          </w:p>
        </w:tc>
        <w:tc>
          <w:tcPr>
            <w:tcW w:w="1588" w:type="dxa"/>
          </w:tcPr>
          <w:p w:rsidR="00B9359B" w:rsidRDefault="009A5268">
            <w:pPr>
              <w:pStyle w:val="Tabletext"/>
              <w:framePr w:hSpace="181" w:wrap="notBeside" w:vAnchor="text" w:hAnchor="text" w:xAlign="center" w:y="1"/>
              <w:spacing w:before="80" w:after="80"/>
              <w:jc w:val="center"/>
              <w:rPr>
                <w:lang w:val="en-US"/>
              </w:rPr>
            </w:pPr>
            <w:r>
              <w:rPr>
                <w:lang w:val="en-US"/>
              </w:rPr>
              <w:t>10</w:t>
            </w:r>
          </w:p>
        </w:tc>
        <w:tc>
          <w:tcPr>
            <w:tcW w:w="1871" w:type="dxa"/>
          </w:tcPr>
          <w:p w:rsidR="00B9359B" w:rsidRDefault="009A5268">
            <w:pPr>
              <w:pStyle w:val="Tabletext"/>
              <w:framePr w:hSpace="181" w:wrap="notBeside" w:vAnchor="text" w:hAnchor="text" w:xAlign="center" w:y="1"/>
              <w:spacing w:before="80" w:after="80"/>
              <w:jc w:val="center"/>
              <w:rPr>
                <w:lang w:val="en-US"/>
              </w:rPr>
            </w:pPr>
            <w:r>
              <w:rPr>
                <w:lang w:val="en-US"/>
              </w:rPr>
              <w:t>Unlimited</w:t>
            </w:r>
          </w:p>
        </w:tc>
        <w:tc>
          <w:tcPr>
            <w:tcW w:w="964" w:type="dxa"/>
          </w:tcPr>
          <w:p w:rsidR="00B9359B" w:rsidRDefault="009A5268">
            <w:pPr>
              <w:pStyle w:val="Tabletext"/>
              <w:framePr w:hSpace="181" w:wrap="notBeside" w:vAnchor="text" w:hAnchor="text" w:xAlign="center" w:y="1"/>
              <w:spacing w:before="80" w:after="80"/>
              <w:jc w:val="center"/>
              <w:rPr>
                <w:lang w:val="en-US"/>
              </w:rPr>
            </w:pPr>
            <w:r>
              <w:rPr>
                <w:lang w:val="en-US"/>
              </w:rPr>
              <w:t>–</w:t>
            </w:r>
          </w:p>
        </w:tc>
        <w:tc>
          <w:tcPr>
            <w:tcW w:w="964" w:type="dxa"/>
          </w:tcPr>
          <w:p w:rsidR="00B9359B" w:rsidRDefault="009A5268">
            <w:pPr>
              <w:pStyle w:val="Tabletext"/>
              <w:framePr w:hSpace="181" w:wrap="notBeside" w:vAnchor="text" w:hAnchor="text" w:xAlign="center" w:y="1"/>
              <w:spacing w:before="80" w:after="80"/>
              <w:jc w:val="center"/>
              <w:rPr>
                <w:lang w:val="en-US"/>
              </w:rPr>
            </w:pPr>
            <w:r>
              <w:rPr>
                <w:lang w:val="en-US"/>
              </w:rPr>
              <w:t>–</w:t>
            </w:r>
          </w:p>
        </w:tc>
        <w:tc>
          <w:tcPr>
            <w:tcW w:w="1417" w:type="dxa"/>
          </w:tcPr>
          <w:p w:rsidR="00B9359B" w:rsidRDefault="009A5268">
            <w:pPr>
              <w:pStyle w:val="Tabletext"/>
              <w:framePr w:hSpace="181" w:wrap="notBeside" w:vAnchor="text" w:hAnchor="text" w:xAlign="center" w:y="1"/>
              <w:spacing w:before="80" w:after="80"/>
              <w:jc w:val="center"/>
              <w:rPr>
                <w:lang w:val="en-US"/>
              </w:rPr>
            </w:pPr>
            <w:r>
              <w:rPr>
                <w:lang w:val="en-US"/>
              </w:rPr>
              <w:t>600 000</w:t>
            </w:r>
          </w:p>
        </w:tc>
      </w:tr>
    </w:tbl>
    <w:p w:rsidR="00B9359B" w:rsidRDefault="00B9359B">
      <w:pPr>
        <w:pStyle w:val="Tablefin"/>
      </w:pPr>
    </w:p>
    <w:p w:rsidR="00B9359B" w:rsidRDefault="00B9359B">
      <w:pPr>
        <w:rPr>
          <w:lang w:val="en-GB"/>
        </w:rPr>
      </w:pPr>
    </w:p>
    <w:p w:rsidR="00B9359B" w:rsidRDefault="009A5268">
      <w:pPr>
        <w:pStyle w:val="Heading3"/>
        <w:rPr>
          <w:lang w:val="en-US"/>
        </w:rPr>
      </w:pPr>
      <w:bookmarkStart w:id="411" w:name="_Toc51045811"/>
      <w:r>
        <w:rPr>
          <w:lang w:val="en-US"/>
        </w:rPr>
        <w:br w:type="page"/>
        <w:t>2.4.2</w:t>
      </w:r>
      <w:r>
        <w:rPr>
          <w:lang w:val="en-US"/>
        </w:rPr>
        <w:tab/>
        <w:t>Non-GSO networks</w:t>
      </w:r>
      <w:bookmarkEnd w:id="411"/>
    </w:p>
    <w:p w:rsidR="00B9359B" w:rsidRDefault="009A5268">
      <w:pPr>
        <w:rPr>
          <w:lang w:val="en-US"/>
        </w:rPr>
      </w:pPr>
      <w:r>
        <w:rPr>
          <w:lang w:val="en-US"/>
        </w:rPr>
        <w:t>The characteristics for the non-GSO earth stations are given in Table 58.</w:t>
      </w:r>
    </w:p>
    <w:p w:rsidR="00B9359B" w:rsidRDefault="009A5268">
      <w:pPr>
        <w:pStyle w:val="TableNo"/>
        <w:rPr>
          <w:lang w:val="en-US"/>
        </w:rPr>
      </w:pPr>
      <w:r>
        <w:rPr>
          <w:lang w:val="en-US"/>
        </w:rPr>
        <w:t>TABLE  58</w:t>
      </w:r>
    </w:p>
    <w:p w:rsidR="00B9359B" w:rsidRDefault="009A5268">
      <w:pPr>
        <w:pStyle w:val="Tabletitle"/>
        <w:rPr>
          <w:lang w:val="en-US"/>
        </w:rPr>
      </w:pPr>
      <w:r>
        <w:rPr>
          <w:lang w:val="en-US"/>
        </w:rPr>
        <w:t xml:space="preserve">Characteristics of non-GSO uplink earth stations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588"/>
        <w:gridCol w:w="1418"/>
        <w:gridCol w:w="2268"/>
        <w:gridCol w:w="1304"/>
      </w:tblGrid>
      <w:tr w:rsidR="00B9359B">
        <w:tc>
          <w:tcPr>
            <w:tcW w:w="2835" w:type="dxa"/>
          </w:tcPr>
          <w:p w:rsidR="00B9359B" w:rsidRDefault="009A5268">
            <w:pPr>
              <w:pStyle w:val="Tablehead"/>
              <w:framePr w:hSpace="181" w:wrap="notBeside" w:vAnchor="text" w:hAnchor="text" w:xAlign="center" w:y="1"/>
              <w:jc w:val="left"/>
              <w:rPr>
                <w:lang w:val="en-US"/>
              </w:rPr>
            </w:pPr>
            <w:r>
              <w:rPr>
                <w:lang w:val="en-US"/>
              </w:rPr>
              <w:t>System</w:t>
            </w:r>
          </w:p>
        </w:tc>
        <w:tc>
          <w:tcPr>
            <w:tcW w:w="1588" w:type="dxa"/>
          </w:tcPr>
          <w:p w:rsidR="00B9359B" w:rsidRDefault="009A5268">
            <w:pPr>
              <w:pStyle w:val="Tablehead"/>
              <w:framePr w:hSpace="181" w:wrap="notBeside" w:vAnchor="text" w:hAnchor="text" w:xAlign="center" w:y="1"/>
              <w:rPr>
                <w:lang w:val="en-US"/>
              </w:rPr>
            </w:pPr>
            <w:r>
              <w:rPr>
                <w:lang w:val="en-US"/>
              </w:rPr>
              <w:t>LEO-A</w:t>
            </w:r>
          </w:p>
        </w:tc>
        <w:tc>
          <w:tcPr>
            <w:tcW w:w="1418" w:type="dxa"/>
          </w:tcPr>
          <w:p w:rsidR="00B9359B" w:rsidRDefault="009A5268">
            <w:pPr>
              <w:pStyle w:val="Tablehead"/>
              <w:framePr w:hSpace="181" w:wrap="notBeside" w:vAnchor="text" w:hAnchor="text" w:xAlign="center" w:y="1"/>
              <w:rPr>
                <w:lang w:val="es-ES"/>
              </w:rPr>
            </w:pPr>
            <w:r>
              <w:rPr>
                <w:lang w:val="es-ES"/>
              </w:rPr>
              <w:t>LEO-B</w:t>
            </w:r>
          </w:p>
        </w:tc>
        <w:tc>
          <w:tcPr>
            <w:tcW w:w="2268" w:type="dxa"/>
          </w:tcPr>
          <w:p w:rsidR="00B9359B" w:rsidRDefault="009A5268">
            <w:pPr>
              <w:pStyle w:val="Tablehead"/>
              <w:framePr w:hSpace="181" w:wrap="notBeside" w:vAnchor="text" w:hAnchor="text" w:xAlign="center" w:y="1"/>
              <w:rPr>
                <w:lang w:val="es-ES"/>
              </w:rPr>
            </w:pPr>
            <w:r>
              <w:rPr>
                <w:lang w:val="es-ES"/>
              </w:rPr>
              <w:t>LEOSAT-1</w:t>
            </w:r>
          </w:p>
        </w:tc>
        <w:tc>
          <w:tcPr>
            <w:tcW w:w="1304" w:type="dxa"/>
          </w:tcPr>
          <w:p w:rsidR="00B9359B" w:rsidRDefault="009A5268">
            <w:pPr>
              <w:pStyle w:val="Tablehead"/>
              <w:framePr w:hSpace="181" w:wrap="notBeside" w:vAnchor="text" w:hAnchor="text" w:xAlign="center" w:y="1"/>
              <w:rPr>
                <w:lang w:val="en-US"/>
              </w:rPr>
            </w:pPr>
            <w:r>
              <w:rPr>
                <w:lang w:val="en-US"/>
              </w:rPr>
              <w:t>LEOSAT-2</w:t>
            </w:r>
          </w:p>
        </w:tc>
      </w:tr>
      <w:tr w:rsidR="00B9359B">
        <w:tc>
          <w:tcPr>
            <w:tcW w:w="2835" w:type="dxa"/>
          </w:tcPr>
          <w:p w:rsidR="00B9359B" w:rsidRDefault="009A5268">
            <w:pPr>
              <w:pStyle w:val="Tabletext"/>
              <w:framePr w:hSpace="181" w:wrap="notBeside" w:vAnchor="text" w:hAnchor="text" w:xAlign="center" w:y="1"/>
              <w:rPr>
                <w:lang w:val="en-US"/>
              </w:rPr>
            </w:pPr>
            <w:r>
              <w:rPr>
                <w:lang w:val="en-US"/>
              </w:rPr>
              <w:t>Service</w:t>
            </w:r>
          </w:p>
        </w:tc>
        <w:tc>
          <w:tcPr>
            <w:tcW w:w="1588" w:type="dxa"/>
          </w:tcPr>
          <w:p w:rsidR="00B9359B" w:rsidRDefault="009A5268">
            <w:pPr>
              <w:pStyle w:val="Tabletext"/>
              <w:framePr w:hSpace="181" w:wrap="notBeside" w:vAnchor="text" w:hAnchor="text" w:xAlign="center" w:y="1"/>
              <w:jc w:val="center"/>
              <w:rPr>
                <w:lang w:val="en-US"/>
              </w:rPr>
            </w:pPr>
            <w:r>
              <w:rPr>
                <w:lang w:val="en-US"/>
              </w:rPr>
              <w:t>MSS</w:t>
            </w:r>
          </w:p>
        </w:tc>
        <w:tc>
          <w:tcPr>
            <w:tcW w:w="1418" w:type="dxa"/>
          </w:tcPr>
          <w:p w:rsidR="00B9359B" w:rsidRDefault="009A5268">
            <w:pPr>
              <w:pStyle w:val="Tabletext"/>
              <w:framePr w:hSpace="181" w:wrap="notBeside" w:vAnchor="text" w:hAnchor="text" w:xAlign="center" w:y="1"/>
              <w:jc w:val="center"/>
              <w:rPr>
                <w:lang w:val="en-US"/>
              </w:rPr>
            </w:pPr>
            <w:r>
              <w:rPr>
                <w:lang w:val="en-US"/>
              </w:rPr>
              <w:t>MSS</w:t>
            </w:r>
          </w:p>
        </w:tc>
        <w:tc>
          <w:tcPr>
            <w:tcW w:w="2268" w:type="dxa"/>
          </w:tcPr>
          <w:p w:rsidR="00B9359B" w:rsidRDefault="009A5268">
            <w:pPr>
              <w:pStyle w:val="Tabletext"/>
              <w:framePr w:hSpace="181" w:wrap="notBeside" w:vAnchor="text" w:hAnchor="text" w:xAlign="center" w:y="1"/>
              <w:jc w:val="center"/>
              <w:rPr>
                <w:lang w:val="en-US"/>
              </w:rPr>
            </w:pPr>
            <w:r>
              <w:rPr>
                <w:lang w:val="en-US"/>
              </w:rPr>
              <w:t>FSS</w:t>
            </w:r>
          </w:p>
        </w:tc>
        <w:tc>
          <w:tcPr>
            <w:tcW w:w="1304" w:type="dxa"/>
          </w:tcPr>
          <w:p w:rsidR="00B9359B" w:rsidRDefault="009A5268">
            <w:pPr>
              <w:pStyle w:val="Tabletext"/>
              <w:framePr w:hSpace="181" w:wrap="notBeside" w:vAnchor="text" w:hAnchor="text" w:xAlign="center" w:y="1"/>
              <w:jc w:val="center"/>
              <w:rPr>
                <w:lang w:val="en-US"/>
              </w:rPr>
            </w:pPr>
            <w:r>
              <w:rPr>
                <w:lang w:val="en-US"/>
              </w:rPr>
              <w:t>FSS</w:t>
            </w:r>
          </w:p>
        </w:tc>
      </w:tr>
      <w:tr w:rsidR="00B9359B">
        <w:tc>
          <w:tcPr>
            <w:tcW w:w="2835" w:type="dxa"/>
          </w:tcPr>
          <w:p w:rsidR="00B9359B" w:rsidRDefault="009A5268">
            <w:pPr>
              <w:pStyle w:val="Tabletext"/>
              <w:framePr w:hSpace="181" w:wrap="notBeside" w:vAnchor="text" w:hAnchor="text" w:xAlign="center" w:y="1"/>
              <w:rPr>
                <w:lang w:val="en-US"/>
              </w:rPr>
            </w:pPr>
            <w:r>
              <w:rPr>
                <w:lang w:val="en-US"/>
              </w:rPr>
              <w:t>Orbit</w:t>
            </w:r>
          </w:p>
        </w:tc>
        <w:tc>
          <w:tcPr>
            <w:tcW w:w="1588" w:type="dxa"/>
          </w:tcPr>
          <w:p w:rsidR="00B9359B" w:rsidRDefault="009A5268">
            <w:pPr>
              <w:pStyle w:val="Tabletext"/>
              <w:framePr w:hSpace="181" w:wrap="notBeside" w:vAnchor="text" w:hAnchor="text" w:xAlign="center" w:y="1"/>
              <w:jc w:val="center"/>
              <w:rPr>
                <w:lang w:val="es-ES"/>
              </w:rPr>
            </w:pPr>
            <w:r>
              <w:rPr>
                <w:lang w:val="es-ES"/>
              </w:rPr>
              <w:t>Circular</w:t>
            </w:r>
          </w:p>
        </w:tc>
        <w:tc>
          <w:tcPr>
            <w:tcW w:w="1418" w:type="dxa"/>
          </w:tcPr>
          <w:p w:rsidR="00B9359B" w:rsidRDefault="009A5268">
            <w:pPr>
              <w:pStyle w:val="Tabletext"/>
              <w:framePr w:hSpace="181" w:wrap="notBeside" w:vAnchor="text" w:hAnchor="text" w:xAlign="center" w:y="1"/>
              <w:jc w:val="center"/>
              <w:rPr>
                <w:lang w:val="es-ES"/>
              </w:rPr>
            </w:pPr>
            <w:r>
              <w:rPr>
                <w:lang w:val="es-ES"/>
              </w:rPr>
              <w:t>Circular</w:t>
            </w:r>
          </w:p>
        </w:tc>
        <w:tc>
          <w:tcPr>
            <w:tcW w:w="2268" w:type="dxa"/>
          </w:tcPr>
          <w:p w:rsidR="00B9359B" w:rsidRDefault="009A5268">
            <w:pPr>
              <w:pStyle w:val="Tabletext"/>
              <w:framePr w:hSpace="181" w:wrap="notBeside" w:vAnchor="text" w:hAnchor="text" w:xAlign="center" w:y="1"/>
              <w:jc w:val="center"/>
              <w:rPr>
                <w:lang w:val="es-ES"/>
              </w:rPr>
            </w:pPr>
            <w:r>
              <w:rPr>
                <w:lang w:val="es-ES"/>
              </w:rPr>
              <w:t>Circular</w:t>
            </w:r>
          </w:p>
        </w:tc>
        <w:tc>
          <w:tcPr>
            <w:tcW w:w="1304" w:type="dxa"/>
          </w:tcPr>
          <w:p w:rsidR="00B9359B" w:rsidRDefault="009A5268">
            <w:pPr>
              <w:pStyle w:val="Tabletext"/>
              <w:framePr w:hSpace="181" w:wrap="notBeside" w:vAnchor="text" w:hAnchor="text" w:xAlign="center" w:y="1"/>
              <w:jc w:val="center"/>
              <w:rPr>
                <w:lang w:val="en-US"/>
              </w:rPr>
            </w:pPr>
            <w:r>
              <w:rPr>
                <w:lang w:val="en-US"/>
              </w:rPr>
              <w:t>Circular</w:t>
            </w:r>
          </w:p>
        </w:tc>
      </w:tr>
      <w:tr w:rsidR="00B9359B">
        <w:tc>
          <w:tcPr>
            <w:tcW w:w="2835" w:type="dxa"/>
          </w:tcPr>
          <w:p w:rsidR="00B9359B" w:rsidRDefault="009A5268">
            <w:pPr>
              <w:pStyle w:val="Tabletext"/>
              <w:framePr w:hSpace="181" w:wrap="notBeside" w:vAnchor="text" w:hAnchor="text" w:xAlign="center" w:y="1"/>
              <w:rPr>
                <w:lang w:val="en-US"/>
              </w:rPr>
            </w:pPr>
            <w:r>
              <w:rPr>
                <w:lang w:val="en-US"/>
              </w:rPr>
              <w:t>Altitude (km)</w:t>
            </w:r>
          </w:p>
        </w:tc>
        <w:tc>
          <w:tcPr>
            <w:tcW w:w="1588" w:type="dxa"/>
          </w:tcPr>
          <w:p w:rsidR="00B9359B" w:rsidRDefault="009A5268">
            <w:pPr>
              <w:pStyle w:val="Tabletext"/>
              <w:framePr w:hSpace="181" w:wrap="notBeside" w:vAnchor="text" w:hAnchor="text" w:xAlign="center" w:y="1"/>
              <w:jc w:val="center"/>
              <w:rPr>
                <w:lang w:val="en-US"/>
              </w:rPr>
            </w:pPr>
            <w:r>
              <w:rPr>
                <w:lang w:val="en-US"/>
              </w:rPr>
              <w:t>780</w:t>
            </w:r>
          </w:p>
        </w:tc>
        <w:tc>
          <w:tcPr>
            <w:tcW w:w="1418" w:type="dxa"/>
          </w:tcPr>
          <w:p w:rsidR="00B9359B" w:rsidRDefault="009A5268">
            <w:pPr>
              <w:pStyle w:val="Tabletext"/>
              <w:framePr w:hSpace="181" w:wrap="notBeside" w:vAnchor="text" w:hAnchor="text" w:xAlign="center" w:y="1"/>
              <w:jc w:val="center"/>
              <w:rPr>
                <w:lang w:val="en-US"/>
              </w:rPr>
            </w:pPr>
            <w:r>
              <w:rPr>
                <w:lang w:val="en-US"/>
              </w:rPr>
              <w:t>10</w:t>
            </w:r>
            <w:r>
              <w:rPr>
                <w:rFonts w:ascii="Tms Rmn" w:hAnsi="Tms Rmn"/>
                <w:sz w:val="12"/>
                <w:lang w:val="en-US"/>
              </w:rPr>
              <w:t> </w:t>
            </w:r>
            <w:r>
              <w:rPr>
                <w:lang w:val="en-US"/>
              </w:rPr>
              <w:t>355</w:t>
            </w:r>
          </w:p>
        </w:tc>
        <w:tc>
          <w:tcPr>
            <w:tcW w:w="2268" w:type="dxa"/>
          </w:tcPr>
          <w:p w:rsidR="00B9359B" w:rsidRDefault="009A5268">
            <w:pPr>
              <w:pStyle w:val="Tabletext"/>
              <w:framePr w:hSpace="181" w:wrap="notBeside" w:vAnchor="text" w:hAnchor="text" w:xAlign="center" w:y="1"/>
              <w:jc w:val="center"/>
              <w:rPr>
                <w:lang w:val="en-US"/>
              </w:rPr>
            </w:pPr>
            <w:r>
              <w:rPr>
                <w:lang w:val="en-US"/>
              </w:rPr>
              <w:t>700</w:t>
            </w:r>
          </w:p>
        </w:tc>
        <w:tc>
          <w:tcPr>
            <w:tcW w:w="1304" w:type="dxa"/>
          </w:tcPr>
          <w:p w:rsidR="00B9359B" w:rsidRDefault="009A5268">
            <w:pPr>
              <w:pStyle w:val="Tabletext"/>
              <w:framePr w:hSpace="181" w:wrap="notBeside" w:vAnchor="text" w:hAnchor="text" w:xAlign="center" w:y="1"/>
              <w:jc w:val="center"/>
              <w:rPr>
                <w:lang w:val="en-US"/>
              </w:rPr>
            </w:pPr>
            <w:r>
              <w:rPr>
                <w:lang w:val="en-US"/>
              </w:rPr>
              <w:t>1</w:t>
            </w:r>
            <w:r>
              <w:rPr>
                <w:rFonts w:ascii="Tms Rmn" w:hAnsi="Tms Rmn"/>
                <w:sz w:val="12"/>
                <w:lang w:val="en-US"/>
              </w:rPr>
              <w:t> </w:t>
            </w:r>
            <w:r>
              <w:rPr>
                <w:lang w:val="en-US"/>
              </w:rPr>
              <w:t>400</w:t>
            </w:r>
          </w:p>
        </w:tc>
      </w:tr>
      <w:tr w:rsidR="00B9359B">
        <w:tc>
          <w:tcPr>
            <w:tcW w:w="2835" w:type="dxa"/>
          </w:tcPr>
          <w:p w:rsidR="00B9359B" w:rsidRDefault="009A5268">
            <w:pPr>
              <w:pStyle w:val="Tabletext"/>
              <w:framePr w:hSpace="181" w:wrap="notBeside" w:vAnchor="text" w:hAnchor="text" w:xAlign="center" w:y="1"/>
              <w:rPr>
                <w:lang w:val="en-US"/>
              </w:rPr>
            </w:pPr>
            <w:r>
              <w:rPr>
                <w:lang w:val="en-US"/>
              </w:rPr>
              <w:t>Inclination (degrees)</w:t>
            </w:r>
          </w:p>
        </w:tc>
        <w:tc>
          <w:tcPr>
            <w:tcW w:w="1588" w:type="dxa"/>
          </w:tcPr>
          <w:p w:rsidR="00B9359B" w:rsidRDefault="009A5268">
            <w:pPr>
              <w:pStyle w:val="Tabletext"/>
              <w:framePr w:hSpace="181" w:wrap="notBeside" w:vAnchor="text" w:hAnchor="text" w:xAlign="center" w:y="1"/>
              <w:jc w:val="center"/>
              <w:rPr>
                <w:lang w:val="en-US"/>
              </w:rPr>
            </w:pPr>
            <w:r>
              <w:rPr>
                <w:lang w:val="en-US"/>
              </w:rPr>
              <w:t>86</w:t>
            </w:r>
          </w:p>
        </w:tc>
        <w:tc>
          <w:tcPr>
            <w:tcW w:w="1418" w:type="dxa"/>
          </w:tcPr>
          <w:p w:rsidR="00B9359B" w:rsidRDefault="009A5268">
            <w:pPr>
              <w:pStyle w:val="Tabletext"/>
              <w:framePr w:hSpace="181" w:wrap="notBeside" w:vAnchor="text" w:hAnchor="text" w:xAlign="center" w:y="1"/>
              <w:jc w:val="center"/>
              <w:rPr>
                <w:lang w:val="en-US"/>
              </w:rPr>
            </w:pPr>
            <w:r>
              <w:rPr>
                <w:lang w:val="en-US"/>
              </w:rPr>
              <w:t>50</w:t>
            </w:r>
          </w:p>
        </w:tc>
        <w:tc>
          <w:tcPr>
            <w:tcW w:w="2268" w:type="dxa"/>
          </w:tcPr>
          <w:p w:rsidR="00B9359B" w:rsidRDefault="009A5268">
            <w:pPr>
              <w:pStyle w:val="Tabletext"/>
              <w:framePr w:hSpace="181" w:wrap="notBeside" w:vAnchor="text" w:hAnchor="text" w:xAlign="center" w:y="1"/>
              <w:jc w:val="center"/>
              <w:rPr>
                <w:lang w:val="en-US"/>
              </w:rPr>
            </w:pPr>
            <w:r>
              <w:rPr>
                <w:lang w:val="en-US"/>
              </w:rPr>
              <w:t>98.2</w:t>
            </w:r>
          </w:p>
        </w:tc>
        <w:tc>
          <w:tcPr>
            <w:tcW w:w="1304" w:type="dxa"/>
          </w:tcPr>
          <w:p w:rsidR="00B9359B" w:rsidRDefault="009A5268">
            <w:pPr>
              <w:pStyle w:val="Tabletext"/>
              <w:framePr w:hSpace="181" w:wrap="notBeside" w:vAnchor="text" w:hAnchor="text" w:xAlign="center" w:y="1"/>
              <w:jc w:val="center"/>
              <w:rPr>
                <w:lang w:val="en-US"/>
              </w:rPr>
            </w:pPr>
            <w:r>
              <w:rPr>
                <w:lang w:val="en-US"/>
              </w:rPr>
              <w:t>48</w:t>
            </w:r>
          </w:p>
        </w:tc>
      </w:tr>
      <w:tr w:rsidR="00B9359B">
        <w:tc>
          <w:tcPr>
            <w:tcW w:w="2835" w:type="dxa"/>
          </w:tcPr>
          <w:p w:rsidR="00B9359B" w:rsidRDefault="009A5268">
            <w:pPr>
              <w:pStyle w:val="Tabletext"/>
              <w:framePr w:hSpace="181" w:wrap="notBeside" w:vAnchor="text" w:hAnchor="text" w:xAlign="center" w:y="1"/>
              <w:rPr>
                <w:lang w:val="en-US"/>
              </w:rPr>
            </w:pPr>
            <w:r>
              <w:rPr>
                <w:lang w:val="en-US"/>
              </w:rPr>
              <w:t>Satellites in plane</w:t>
            </w:r>
          </w:p>
        </w:tc>
        <w:tc>
          <w:tcPr>
            <w:tcW w:w="1588" w:type="dxa"/>
          </w:tcPr>
          <w:p w:rsidR="00B9359B" w:rsidRDefault="009A5268">
            <w:pPr>
              <w:pStyle w:val="Tabletext"/>
              <w:framePr w:hSpace="181" w:wrap="notBeside" w:vAnchor="text" w:hAnchor="text" w:xAlign="center" w:y="1"/>
              <w:jc w:val="center"/>
              <w:rPr>
                <w:lang w:val="en-US"/>
              </w:rPr>
            </w:pPr>
            <w:r>
              <w:rPr>
                <w:lang w:val="en-US"/>
              </w:rPr>
              <w:t>11</w:t>
            </w:r>
          </w:p>
        </w:tc>
        <w:tc>
          <w:tcPr>
            <w:tcW w:w="1418" w:type="dxa"/>
          </w:tcPr>
          <w:p w:rsidR="00B9359B" w:rsidRDefault="009A5268">
            <w:pPr>
              <w:pStyle w:val="Tabletext"/>
              <w:framePr w:hSpace="181" w:wrap="notBeside" w:vAnchor="text" w:hAnchor="text" w:xAlign="center" w:y="1"/>
              <w:jc w:val="center"/>
              <w:rPr>
                <w:lang w:val="en-US"/>
              </w:rPr>
            </w:pPr>
            <w:r>
              <w:rPr>
                <w:lang w:val="en-US"/>
              </w:rPr>
              <w:t>4</w:t>
            </w:r>
          </w:p>
        </w:tc>
        <w:tc>
          <w:tcPr>
            <w:tcW w:w="2268" w:type="dxa"/>
          </w:tcPr>
          <w:p w:rsidR="00B9359B" w:rsidRDefault="009A5268">
            <w:pPr>
              <w:pStyle w:val="Tabletext"/>
              <w:framePr w:hSpace="181" w:wrap="notBeside" w:vAnchor="text" w:hAnchor="text" w:xAlign="center" w:y="1"/>
              <w:jc w:val="center"/>
              <w:rPr>
                <w:lang w:val="en-US"/>
              </w:rPr>
            </w:pPr>
            <w:r>
              <w:rPr>
                <w:lang w:val="en-US"/>
              </w:rPr>
              <w:t>40</w:t>
            </w:r>
          </w:p>
        </w:tc>
        <w:tc>
          <w:tcPr>
            <w:tcW w:w="1304" w:type="dxa"/>
          </w:tcPr>
          <w:p w:rsidR="00B9359B" w:rsidRDefault="009A5268">
            <w:pPr>
              <w:pStyle w:val="Tabletext"/>
              <w:framePr w:hSpace="181" w:wrap="notBeside" w:vAnchor="text" w:hAnchor="text" w:xAlign="center" w:y="1"/>
              <w:jc w:val="center"/>
              <w:rPr>
                <w:lang w:val="en-US"/>
              </w:rPr>
            </w:pPr>
            <w:r>
              <w:rPr>
                <w:lang w:val="en-US"/>
              </w:rPr>
              <w:t>9</w:t>
            </w:r>
          </w:p>
        </w:tc>
      </w:tr>
      <w:tr w:rsidR="00B9359B">
        <w:tc>
          <w:tcPr>
            <w:tcW w:w="2835" w:type="dxa"/>
          </w:tcPr>
          <w:p w:rsidR="00B9359B" w:rsidRDefault="009A5268">
            <w:pPr>
              <w:pStyle w:val="Tabletext"/>
              <w:framePr w:hSpace="181" w:wrap="notBeside" w:vAnchor="text" w:hAnchor="text" w:xAlign="center" w:y="1"/>
              <w:rPr>
                <w:lang w:val="en-US"/>
              </w:rPr>
            </w:pPr>
            <w:r>
              <w:rPr>
                <w:lang w:val="en-US"/>
              </w:rPr>
              <w:t>Planes</w:t>
            </w:r>
          </w:p>
        </w:tc>
        <w:tc>
          <w:tcPr>
            <w:tcW w:w="1588" w:type="dxa"/>
          </w:tcPr>
          <w:p w:rsidR="00B9359B" w:rsidRDefault="009A5268">
            <w:pPr>
              <w:pStyle w:val="Tabletext"/>
              <w:framePr w:hSpace="181" w:wrap="notBeside" w:vAnchor="text" w:hAnchor="text" w:xAlign="center" w:y="1"/>
              <w:jc w:val="center"/>
              <w:rPr>
                <w:lang w:val="en-US"/>
              </w:rPr>
            </w:pPr>
            <w:r>
              <w:rPr>
                <w:lang w:val="en-US"/>
              </w:rPr>
              <w:t>6</w:t>
            </w:r>
          </w:p>
        </w:tc>
        <w:tc>
          <w:tcPr>
            <w:tcW w:w="1418" w:type="dxa"/>
          </w:tcPr>
          <w:p w:rsidR="00B9359B" w:rsidRDefault="009A5268">
            <w:pPr>
              <w:pStyle w:val="Tabletext"/>
              <w:framePr w:hSpace="181" w:wrap="notBeside" w:vAnchor="text" w:hAnchor="text" w:xAlign="center" w:y="1"/>
              <w:jc w:val="center"/>
              <w:rPr>
                <w:lang w:val="en-US"/>
              </w:rPr>
            </w:pPr>
            <w:r>
              <w:rPr>
                <w:lang w:val="en-US"/>
              </w:rPr>
              <w:t>3</w:t>
            </w:r>
          </w:p>
        </w:tc>
        <w:tc>
          <w:tcPr>
            <w:tcW w:w="2268" w:type="dxa"/>
          </w:tcPr>
          <w:p w:rsidR="00B9359B" w:rsidRDefault="009A5268">
            <w:pPr>
              <w:pStyle w:val="Tabletext"/>
              <w:framePr w:hSpace="181" w:wrap="notBeside" w:vAnchor="text" w:hAnchor="text" w:xAlign="center" w:y="1"/>
              <w:jc w:val="center"/>
              <w:rPr>
                <w:lang w:val="en-US"/>
              </w:rPr>
            </w:pPr>
            <w:r>
              <w:rPr>
                <w:lang w:val="en-US"/>
              </w:rPr>
              <w:t>21</w:t>
            </w:r>
          </w:p>
        </w:tc>
        <w:tc>
          <w:tcPr>
            <w:tcW w:w="1304" w:type="dxa"/>
          </w:tcPr>
          <w:p w:rsidR="00B9359B" w:rsidRDefault="009A5268">
            <w:pPr>
              <w:pStyle w:val="Tabletext"/>
              <w:framePr w:hSpace="181" w:wrap="notBeside" w:vAnchor="text" w:hAnchor="text" w:xAlign="center" w:y="1"/>
              <w:jc w:val="center"/>
              <w:rPr>
                <w:lang w:val="en-US"/>
              </w:rPr>
            </w:pPr>
            <w:r>
              <w:rPr>
                <w:lang w:val="en-US"/>
              </w:rPr>
              <w:t>7</w:t>
            </w:r>
          </w:p>
        </w:tc>
      </w:tr>
      <w:tr w:rsidR="00B9359B">
        <w:tc>
          <w:tcPr>
            <w:tcW w:w="2835" w:type="dxa"/>
          </w:tcPr>
          <w:p w:rsidR="00B9359B" w:rsidRDefault="009A5268">
            <w:pPr>
              <w:pStyle w:val="Tabletext"/>
              <w:framePr w:hSpace="181" w:wrap="notBeside" w:vAnchor="text" w:hAnchor="text" w:xAlign="center" w:y="1"/>
              <w:rPr>
                <w:lang w:val="en-US"/>
              </w:rPr>
            </w:pPr>
            <w:r>
              <w:rPr>
                <w:lang w:val="en-US"/>
              </w:rPr>
              <w:t>Separation in plane (degrees)</w:t>
            </w:r>
          </w:p>
        </w:tc>
        <w:tc>
          <w:tcPr>
            <w:tcW w:w="1588" w:type="dxa"/>
          </w:tcPr>
          <w:p w:rsidR="00B9359B" w:rsidRDefault="009A5268">
            <w:pPr>
              <w:pStyle w:val="Tabletext"/>
              <w:framePr w:hSpace="181" w:wrap="notBeside" w:vAnchor="text" w:hAnchor="text" w:xAlign="center" w:y="1"/>
              <w:jc w:val="center"/>
              <w:rPr>
                <w:lang w:val="en-US"/>
              </w:rPr>
            </w:pPr>
            <w:r>
              <w:rPr>
                <w:lang w:val="en-US"/>
              </w:rPr>
              <w:t>32.7</w:t>
            </w:r>
          </w:p>
        </w:tc>
        <w:tc>
          <w:tcPr>
            <w:tcW w:w="1418" w:type="dxa"/>
          </w:tcPr>
          <w:p w:rsidR="00B9359B" w:rsidRDefault="009A5268">
            <w:pPr>
              <w:pStyle w:val="Tabletext"/>
              <w:framePr w:hSpace="181" w:wrap="notBeside" w:vAnchor="text" w:hAnchor="text" w:xAlign="center" w:y="1"/>
              <w:jc w:val="center"/>
              <w:rPr>
                <w:lang w:val="en-US"/>
              </w:rPr>
            </w:pPr>
            <w:r>
              <w:rPr>
                <w:lang w:val="en-US"/>
              </w:rPr>
              <w:t>90</w:t>
            </w:r>
          </w:p>
        </w:tc>
        <w:tc>
          <w:tcPr>
            <w:tcW w:w="2268" w:type="dxa"/>
          </w:tcPr>
          <w:p w:rsidR="00B9359B" w:rsidRDefault="009A5268">
            <w:pPr>
              <w:pStyle w:val="Tabletext"/>
              <w:framePr w:hSpace="181" w:wrap="notBeside" w:vAnchor="text" w:hAnchor="text" w:xAlign="center" w:y="1"/>
              <w:jc w:val="center"/>
              <w:rPr>
                <w:lang w:val="en-US"/>
              </w:rPr>
            </w:pPr>
            <w:r>
              <w:rPr>
                <w:lang w:val="en-US"/>
              </w:rPr>
              <w:t>9</w:t>
            </w:r>
          </w:p>
        </w:tc>
        <w:tc>
          <w:tcPr>
            <w:tcW w:w="1304" w:type="dxa"/>
          </w:tcPr>
          <w:p w:rsidR="00B9359B" w:rsidRDefault="00B9359B">
            <w:pPr>
              <w:pStyle w:val="Tabletext"/>
              <w:framePr w:hSpace="181" w:wrap="notBeside" w:vAnchor="text" w:hAnchor="text" w:xAlign="center" w:y="1"/>
              <w:jc w:val="center"/>
              <w:rPr>
                <w:lang w:val="en-US"/>
              </w:rPr>
            </w:pPr>
          </w:p>
        </w:tc>
      </w:tr>
      <w:tr w:rsidR="00B9359B">
        <w:tc>
          <w:tcPr>
            <w:tcW w:w="2835" w:type="dxa"/>
          </w:tcPr>
          <w:p w:rsidR="00B9359B" w:rsidRDefault="009A5268">
            <w:pPr>
              <w:pStyle w:val="Tabletext"/>
              <w:framePr w:hSpace="181" w:wrap="notBeside" w:vAnchor="text" w:hAnchor="text" w:xAlign="center" w:y="1"/>
              <w:rPr>
                <w:lang w:val="en-US"/>
              </w:rPr>
            </w:pPr>
            <w:r>
              <w:rPr>
                <w:lang w:val="en-US"/>
              </w:rPr>
              <w:t>Plane phasing (degrees)</w:t>
            </w:r>
          </w:p>
        </w:tc>
        <w:tc>
          <w:tcPr>
            <w:tcW w:w="1588" w:type="dxa"/>
          </w:tcPr>
          <w:p w:rsidR="00B9359B" w:rsidRDefault="009A5268">
            <w:pPr>
              <w:pStyle w:val="Tabletext"/>
              <w:framePr w:hSpace="181" w:wrap="notBeside" w:vAnchor="text" w:hAnchor="text" w:xAlign="center" w:y="1"/>
              <w:jc w:val="center"/>
              <w:rPr>
                <w:lang w:val="en-US"/>
              </w:rPr>
            </w:pPr>
            <w:r>
              <w:rPr>
                <w:lang w:val="en-US"/>
              </w:rPr>
              <w:t>31.6</w:t>
            </w:r>
          </w:p>
        </w:tc>
        <w:tc>
          <w:tcPr>
            <w:tcW w:w="1418" w:type="dxa"/>
          </w:tcPr>
          <w:p w:rsidR="00B9359B" w:rsidRDefault="009A5268">
            <w:pPr>
              <w:pStyle w:val="Tabletext"/>
              <w:framePr w:hSpace="181" w:wrap="notBeside" w:vAnchor="text" w:hAnchor="text" w:xAlign="center" w:y="1"/>
              <w:jc w:val="center"/>
              <w:rPr>
                <w:lang w:val="en-US"/>
              </w:rPr>
            </w:pPr>
            <w:r>
              <w:rPr>
                <w:lang w:val="en-US"/>
              </w:rPr>
              <w:t>30</w:t>
            </w:r>
          </w:p>
        </w:tc>
        <w:tc>
          <w:tcPr>
            <w:tcW w:w="2268" w:type="dxa"/>
          </w:tcPr>
          <w:p w:rsidR="00B9359B" w:rsidRDefault="009A5268">
            <w:pPr>
              <w:pStyle w:val="Tabletext"/>
              <w:framePr w:hSpace="181" w:wrap="notBeside" w:vAnchor="text" w:hAnchor="text" w:xAlign="center" w:y="1"/>
              <w:jc w:val="center"/>
              <w:rPr>
                <w:lang w:val="en-US"/>
              </w:rPr>
            </w:pPr>
            <w:r>
              <w:rPr>
                <w:lang w:val="en-US"/>
              </w:rPr>
              <w:t>Random</w:t>
            </w:r>
          </w:p>
        </w:tc>
        <w:tc>
          <w:tcPr>
            <w:tcW w:w="1304" w:type="dxa"/>
          </w:tcPr>
          <w:p w:rsidR="00B9359B" w:rsidRDefault="00B9359B">
            <w:pPr>
              <w:pStyle w:val="Tabletext"/>
              <w:framePr w:hSpace="181" w:wrap="notBeside" w:vAnchor="text" w:hAnchor="text" w:xAlign="center" w:y="1"/>
              <w:jc w:val="center"/>
              <w:rPr>
                <w:lang w:val="en-US"/>
              </w:rPr>
            </w:pPr>
          </w:p>
        </w:tc>
      </w:tr>
      <w:tr w:rsidR="00B9359B">
        <w:tc>
          <w:tcPr>
            <w:tcW w:w="2835" w:type="dxa"/>
          </w:tcPr>
          <w:p w:rsidR="00B9359B" w:rsidRDefault="009A5268">
            <w:pPr>
              <w:pStyle w:val="Tabletext"/>
              <w:framePr w:hSpace="181" w:wrap="notBeside" w:vAnchor="text" w:hAnchor="text" w:xAlign="center" w:y="1"/>
              <w:rPr>
                <w:lang w:val="en-US"/>
              </w:rPr>
            </w:pPr>
            <w:r>
              <w:rPr>
                <w:lang w:val="en-US"/>
              </w:rPr>
              <w:t>Polarization</w:t>
            </w:r>
          </w:p>
        </w:tc>
        <w:tc>
          <w:tcPr>
            <w:tcW w:w="1588" w:type="dxa"/>
          </w:tcPr>
          <w:p w:rsidR="00B9359B" w:rsidRDefault="009A5268">
            <w:pPr>
              <w:pStyle w:val="Tabletext"/>
              <w:framePr w:hSpace="181" w:wrap="notBeside" w:vAnchor="text" w:hAnchor="text" w:xAlign="center" w:y="1"/>
              <w:jc w:val="center"/>
              <w:rPr>
                <w:lang w:val="en-US"/>
              </w:rPr>
            </w:pPr>
            <w:r>
              <w:rPr>
                <w:lang w:val="en-US"/>
              </w:rPr>
              <w:t>RHCP</w:t>
            </w:r>
          </w:p>
        </w:tc>
        <w:tc>
          <w:tcPr>
            <w:tcW w:w="1418" w:type="dxa"/>
          </w:tcPr>
          <w:p w:rsidR="00B9359B" w:rsidRDefault="009A5268">
            <w:pPr>
              <w:pStyle w:val="Tabletext"/>
              <w:framePr w:hSpace="181" w:wrap="notBeside" w:vAnchor="text" w:hAnchor="text" w:xAlign="center" w:y="1"/>
              <w:jc w:val="center"/>
              <w:rPr>
                <w:lang w:val="en-US"/>
              </w:rPr>
            </w:pPr>
            <w:r>
              <w:rPr>
                <w:lang w:val="en-US"/>
              </w:rPr>
              <w:t>LHCP</w:t>
            </w:r>
          </w:p>
        </w:tc>
        <w:tc>
          <w:tcPr>
            <w:tcW w:w="2268" w:type="dxa"/>
          </w:tcPr>
          <w:p w:rsidR="00B9359B" w:rsidRDefault="009A5268">
            <w:pPr>
              <w:pStyle w:val="Tabletext"/>
              <w:framePr w:hSpace="181" w:wrap="notBeside" w:vAnchor="text" w:hAnchor="text" w:xAlign="center" w:y="1"/>
              <w:jc w:val="center"/>
              <w:rPr>
                <w:lang w:val="en-US"/>
              </w:rPr>
            </w:pPr>
            <w:r>
              <w:rPr>
                <w:lang w:val="en-US"/>
              </w:rPr>
              <w:t>LHCP/RHCP</w:t>
            </w:r>
          </w:p>
        </w:tc>
        <w:tc>
          <w:tcPr>
            <w:tcW w:w="1304" w:type="dxa"/>
          </w:tcPr>
          <w:p w:rsidR="00B9359B" w:rsidRDefault="00B9359B">
            <w:pPr>
              <w:pStyle w:val="Tabletext"/>
              <w:framePr w:hSpace="181" w:wrap="notBeside" w:vAnchor="text" w:hAnchor="text" w:xAlign="center" w:y="1"/>
              <w:jc w:val="center"/>
              <w:rPr>
                <w:lang w:val="en-US"/>
              </w:rPr>
            </w:pPr>
          </w:p>
        </w:tc>
      </w:tr>
      <w:tr w:rsidR="00B9359B">
        <w:tc>
          <w:tcPr>
            <w:tcW w:w="2835" w:type="dxa"/>
          </w:tcPr>
          <w:p w:rsidR="00B9359B" w:rsidRDefault="009A5268">
            <w:pPr>
              <w:pStyle w:val="Tabletext"/>
              <w:framePr w:hSpace="181" w:wrap="notBeside" w:vAnchor="text" w:hAnchor="text" w:xAlign="center" w:y="1"/>
              <w:rPr>
                <w:lang w:val="en-US"/>
              </w:rPr>
            </w:pPr>
            <w:r>
              <w:rPr>
                <w:lang w:val="en-US"/>
              </w:rPr>
              <w:t>Modulation</w:t>
            </w:r>
          </w:p>
        </w:tc>
        <w:tc>
          <w:tcPr>
            <w:tcW w:w="1588" w:type="dxa"/>
          </w:tcPr>
          <w:p w:rsidR="00B9359B" w:rsidRDefault="009A5268">
            <w:pPr>
              <w:pStyle w:val="Tabletext"/>
              <w:framePr w:hSpace="181" w:wrap="notBeside" w:vAnchor="text" w:hAnchor="text" w:xAlign="center" w:y="1"/>
              <w:jc w:val="center"/>
              <w:rPr>
                <w:lang w:val="en-US"/>
              </w:rPr>
            </w:pPr>
            <w:r>
              <w:rPr>
                <w:lang w:val="en-US"/>
              </w:rPr>
              <w:t>FDMA/QPSK</w:t>
            </w:r>
          </w:p>
        </w:tc>
        <w:tc>
          <w:tcPr>
            <w:tcW w:w="1418" w:type="dxa"/>
          </w:tcPr>
          <w:p w:rsidR="00B9359B" w:rsidRDefault="009A5268">
            <w:pPr>
              <w:pStyle w:val="Tabletext"/>
              <w:framePr w:hSpace="181" w:wrap="notBeside" w:vAnchor="text" w:hAnchor="text" w:xAlign="center" w:y="1"/>
              <w:jc w:val="center"/>
              <w:rPr>
                <w:lang w:val="en-US"/>
              </w:rPr>
            </w:pPr>
            <w:r>
              <w:rPr>
                <w:lang w:val="en-US"/>
              </w:rPr>
              <w:t>CDMA</w:t>
            </w:r>
          </w:p>
        </w:tc>
        <w:tc>
          <w:tcPr>
            <w:tcW w:w="2268" w:type="dxa"/>
          </w:tcPr>
          <w:p w:rsidR="00B9359B" w:rsidRDefault="009A5268">
            <w:pPr>
              <w:pStyle w:val="Tabletext"/>
              <w:framePr w:hSpace="181" w:wrap="notBeside" w:vAnchor="text" w:hAnchor="text" w:xAlign="center" w:y="1"/>
              <w:jc w:val="center"/>
              <w:rPr>
                <w:lang w:val="en-US"/>
              </w:rPr>
            </w:pPr>
            <w:r>
              <w:rPr>
                <w:lang w:val="en-US"/>
              </w:rPr>
              <w:t>Shaped QPSK</w:t>
            </w:r>
            <w:r>
              <w:rPr>
                <w:lang w:val="en-US"/>
              </w:rPr>
              <w:br/>
              <w:t>FDMA</w:t>
            </w:r>
          </w:p>
        </w:tc>
        <w:tc>
          <w:tcPr>
            <w:tcW w:w="1304" w:type="dxa"/>
          </w:tcPr>
          <w:p w:rsidR="00B9359B" w:rsidRDefault="00B9359B">
            <w:pPr>
              <w:pStyle w:val="Tabletext"/>
              <w:framePr w:hSpace="181" w:wrap="notBeside" w:vAnchor="text" w:hAnchor="text" w:xAlign="center" w:y="1"/>
              <w:jc w:val="center"/>
              <w:rPr>
                <w:lang w:val="en-US"/>
              </w:rPr>
            </w:pPr>
          </w:p>
        </w:tc>
      </w:tr>
      <w:tr w:rsidR="00B9359B">
        <w:tc>
          <w:tcPr>
            <w:tcW w:w="2835" w:type="dxa"/>
          </w:tcPr>
          <w:p w:rsidR="00B9359B" w:rsidRDefault="009A5268">
            <w:pPr>
              <w:pStyle w:val="Tabletext"/>
              <w:framePr w:hSpace="181" w:wrap="notBeside" w:vAnchor="text" w:hAnchor="text" w:xAlign="center" w:y="1"/>
              <w:rPr>
                <w:lang w:val="en-US"/>
              </w:rPr>
            </w:pPr>
            <w:r>
              <w:rPr>
                <w:lang w:val="en-US"/>
              </w:rPr>
              <w:t>Bandwidth (kHz)</w:t>
            </w:r>
          </w:p>
        </w:tc>
        <w:tc>
          <w:tcPr>
            <w:tcW w:w="1588" w:type="dxa"/>
          </w:tcPr>
          <w:p w:rsidR="00B9359B" w:rsidRDefault="009A5268">
            <w:pPr>
              <w:pStyle w:val="Tabletext"/>
              <w:framePr w:hSpace="181" w:wrap="notBeside" w:vAnchor="text" w:hAnchor="text" w:xAlign="center" w:y="1"/>
              <w:jc w:val="center"/>
              <w:rPr>
                <w:lang w:val="en-US"/>
              </w:rPr>
            </w:pPr>
            <w:r>
              <w:rPr>
                <w:lang w:val="en-US"/>
              </w:rPr>
              <w:t>4 370</w:t>
            </w:r>
          </w:p>
        </w:tc>
        <w:tc>
          <w:tcPr>
            <w:tcW w:w="1418" w:type="dxa"/>
          </w:tcPr>
          <w:p w:rsidR="00B9359B" w:rsidRDefault="009A5268">
            <w:pPr>
              <w:pStyle w:val="Tabletext"/>
              <w:framePr w:hSpace="181" w:wrap="notBeside" w:vAnchor="text" w:hAnchor="text" w:xAlign="center" w:y="1"/>
              <w:jc w:val="center"/>
              <w:rPr>
                <w:lang w:val="en-US"/>
              </w:rPr>
            </w:pPr>
            <w:r>
              <w:rPr>
                <w:lang w:val="en-US"/>
              </w:rPr>
              <w:t>2 500</w:t>
            </w:r>
          </w:p>
        </w:tc>
        <w:tc>
          <w:tcPr>
            <w:tcW w:w="2268" w:type="dxa"/>
          </w:tcPr>
          <w:p w:rsidR="00B9359B" w:rsidRDefault="009A5268">
            <w:pPr>
              <w:pStyle w:val="Tabletext"/>
              <w:framePr w:hSpace="181" w:wrap="notBeside" w:vAnchor="text" w:hAnchor="text" w:xAlign="center" w:y="1"/>
              <w:jc w:val="center"/>
              <w:rPr>
                <w:lang w:val="en-US"/>
              </w:rPr>
            </w:pPr>
            <w:r>
              <w:rPr>
                <w:lang w:val="en-US"/>
              </w:rPr>
              <w:t>500</w:t>
            </w:r>
            <w:r>
              <w:rPr>
                <w:rFonts w:ascii="Tms Rmn" w:hAnsi="Tms Rmn"/>
                <w:sz w:val="12"/>
                <w:lang w:val="en-US"/>
              </w:rPr>
              <w:t> </w:t>
            </w:r>
            <w:r>
              <w:rPr>
                <w:lang w:val="en-US"/>
              </w:rPr>
              <w:t>000</w:t>
            </w:r>
          </w:p>
        </w:tc>
        <w:tc>
          <w:tcPr>
            <w:tcW w:w="1304" w:type="dxa"/>
          </w:tcPr>
          <w:p w:rsidR="00B9359B" w:rsidRDefault="009A5268">
            <w:pPr>
              <w:pStyle w:val="Tabletext"/>
              <w:framePr w:hSpace="181" w:wrap="notBeside" w:vAnchor="text" w:hAnchor="text" w:xAlign="center" w:y="1"/>
              <w:jc w:val="center"/>
              <w:rPr>
                <w:lang w:val="en-US"/>
              </w:rPr>
            </w:pPr>
            <w:r>
              <w:rPr>
                <w:lang w:val="en-US"/>
              </w:rPr>
              <w:t>311</w:t>
            </w:r>
            <w:r>
              <w:rPr>
                <w:rFonts w:ascii="Tms Rmn" w:hAnsi="Tms Rmn"/>
                <w:sz w:val="12"/>
                <w:lang w:val="en-US"/>
              </w:rPr>
              <w:t> </w:t>
            </w:r>
            <w:r>
              <w:rPr>
                <w:lang w:val="en-US"/>
              </w:rPr>
              <w:t>000</w:t>
            </w:r>
          </w:p>
        </w:tc>
      </w:tr>
      <w:tr w:rsidR="00B9359B">
        <w:tc>
          <w:tcPr>
            <w:tcW w:w="2835" w:type="dxa"/>
          </w:tcPr>
          <w:p w:rsidR="00B9359B" w:rsidRDefault="009A5268">
            <w:pPr>
              <w:pStyle w:val="Tabletext"/>
              <w:framePr w:hSpace="181" w:wrap="notBeside" w:vAnchor="text" w:hAnchor="text" w:xAlign="center" w:y="1"/>
              <w:rPr>
                <w:lang w:val="en-US"/>
              </w:rPr>
            </w:pPr>
            <w:r>
              <w:rPr>
                <w:lang w:val="en-US"/>
              </w:rPr>
              <w:t>e.i.r.p. (dBW)</w:t>
            </w:r>
          </w:p>
        </w:tc>
        <w:tc>
          <w:tcPr>
            <w:tcW w:w="1588" w:type="dxa"/>
          </w:tcPr>
          <w:p w:rsidR="00B9359B" w:rsidRDefault="009A5268">
            <w:pPr>
              <w:pStyle w:val="Tabletext"/>
              <w:framePr w:hSpace="181" w:wrap="notBeside" w:vAnchor="text" w:hAnchor="text" w:xAlign="center" w:y="1"/>
              <w:jc w:val="center"/>
              <w:rPr>
                <w:lang w:val="en-US"/>
              </w:rPr>
            </w:pPr>
            <w:r>
              <w:rPr>
                <w:lang w:val="en-US"/>
              </w:rPr>
              <w:t>43.5</w:t>
            </w:r>
          </w:p>
        </w:tc>
        <w:tc>
          <w:tcPr>
            <w:tcW w:w="1418" w:type="dxa"/>
          </w:tcPr>
          <w:p w:rsidR="00B9359B" w:rsidRDefault="009A5268">
            <w:pPr>
              <w:pStyle w:val="Tabletext"/>
              <w:framePr w:hSpace="181" w:wrap="notBeside" w:vAnchor="text" w:hAnchor="text" w:xAlign="center" w:y="1"/>
              <w:jc w:val="center"/>
              <w:rPr>
                <w:lang w:val="en-US"/>
              </w:rPr>
            </w:pPr>
            <w:r>
              <w:rPr>
                <w:lang w:val="en-US"/>
              </w:rPr>
              <w:t>54.25</w:t>
            </w:r>
          </w:p>
        </w:tc>
        <w:tc>
          <w:tcPr>
            <w:tcW w:w="2268" w:type="dxa"/>
          </w:tcPr>
          <w:p w:rsidR="00B9359B" w:rsidRDefault="009A5268">
            <w:pPr>
              <w:pStyle w:val="Tabletext"/>
              <w:framePr w:hSpace="181" w:wrap="notBeside" w:vAnchor="text" w:hAnchor="text" w:xAlign="center" w:y="1"/>
              <w:jc w:val="center"/>
              <w:rPr>
                <w:lang w:val="en-US"/>
              </w:rPr>
            </w:pPr>
            <w:r>
              <w:rPr>
                <w:lang w:val="en-US"/>
              </w:rPr>
              <w:t>15.2-33.6</w:t>
            </w:r>
          </w:p>
        </w:tc>
        <w:tc>
          <w:tcPr>
            <w:tcW w:w="1304" w:type="dxa"/>
          </w:tcPr>
          <w:p w:rsidR="00B9359B" w:rsidRDefault="009A5268">
            <w:pPr>
              <w:pStyle w:val="Tabletext"/>
              <w:framePr w:hSpace="181" w:wrap="notBeside" w:vAnchor="text" w:hAnchor="text" w:xAlign="center" w:y="1"/>
              <w:jc w:val="center"/>
              <w:rPr>
                <w:lang w:val="en-US"/>
              </w:rPr>
            </w:pPr>
            <w:r>
              <w:rPr>
                <w:lang w:val="en-US"/>
              </w:rPr>
              <w:t>50.8-60.4</w:t>
            </w:r>
          </w:p>
        </w:tc>
      </w:tr>
      <w:tr w:rsidR="00B9359B">
        <w:tc>
          <w:tcPr>
            <w:tcW w:w="2835" w:type="dxa"/>
          </w:tcPr>
          <w:p w:rsidR="00B9359B" w:rsidRDefault="009A5268">
            <w:pPr>
              <w:pStyle w:val="Tabletext"/>
              <w:framePr w:hSpace="181" w:wrap="notBeside" w:vAnchor="text" w:hAnchor="text" w:xAlign="center" w:y="1"/>
              <w:rPr>
                <w:lang w:val="en-US"/>
              </w:rPr>
            </w:pPr>
            <w:r>
              <w:rPr>
                <w:lang w:val="en-US"/>
              </w:rPr>
              <w:t>Antenna gain (dBi)</w:t>
            </w:r>
          </w:p>
        </w:tc>
        <w:tc>
          <w:tcPr>
            <w:tcW w:w="1588" w:type="dxa"/>
          </w:tcPr>
          <w:p w:rsidR="00B9359B" w:rsidRDefault="009A5268">
            <w:pPr>
              <w:pStyle w:val="Tabletext"/>
              <w:framePr w:hSpace="181" w:wrap="notBeside" w:vAnchor="text" w:hAnchor="text" w:xAlign="center" w:y="1"/>
              <w:jc w:val="center"/>
              <w:rPr>
                <w:lang w:val="en-US"/>
              </w:rPr>
            </w:pPr>
            <w:r>
              <w:rPr>
                <w:lang w:val="en-US"/>
              </w:rPr>
              <w:t>56.3</w:t>
            </w:r>
          </w:p>
        </w:tc>
        <w:tc>
          <w:tcPr>
            <w:tcW w:w="1418" w:type="dxa"/>
          </w:tcPr>
          <w:p w:rsidR="00B9359B" w:rsidRDefault="009A5268">
            <w:pPr>
              <w:pStyle w:val="Tabletext"/>
              <w:framePr w:hSpace="181" w:wrap="notBeside" w:vAnchor="text" w:hAnchor="text" w:xAlign="center" w:y="1"/>
              <w:jc w:val="center"/>
              <w:rPr>
                <w:lang w:val="en-US"/>
              </w:rPr>
            </w:pPr>
            <w:r>
              <w:rPr>
                <w:lang w:val="en-US"/>
              </w:rPr>
              <w:t>64.8</w:t>
            </w:r>
          </w:p>
        </w:tc>
        <w:tc>
          <w:tcPr>
            <w:tcW w:w="2268" w:type="dxa"/>
          </w:tcPr>
          <w:p w:rsidR="00B9359B" w:rsidRDefault="009A5268">
            <w:pPr>
              <w:pStyle w:val="Tabletext"/>
              <w:framePr w:hSpace="181" w:wrap="notBeside" w:vAnchor="text" w:hAnchor="text" w:xAlign="center" w:y="1"/>
              <w:jc w:val="center"/>
              <w:rPr>
                <w:lang w:val="en-US"/>
              </w:rPr>
            </w:pPr>
            <w:r>
              <w:rPr>
                <w:lang w:val="en-US"/>
              </w:rPr>
              <w:t>36</w:t>
            </w:r>
          </w:p>
        </w:tc>
        <w:tc>
          <w:tcPr>
            <w:tcW w:w="1304" w:type="dxa"/>
          </w:tcPr>
          <w:p w:rsidR="00B9359B" w:rsidRDefault="00B9359B">
            <w:pPr>
              <w:pStyle w:val="Tabletext"/>
              <w:framePr w:hSpace="181" w:wrap="notBeside" w:vAnchor="text" w:hAnchor="text" w:xAlign="center" w:y="1"/>
              <w:jc w:val="center"/>
              <w:rPr>
                <w:lang w:val="en-US"/>
              </w:rPr>
            </w:pPr>
          </w:p>
        </w:tc>
      </w:tr>
      <w:tr w:rsidR="00B9359B">
        <w:tc>
          <w:tcPr>
            <w:tcW w:w="2835" w:type="dxa"/>
          </w:tcPr>
          <w:p w:rsidR="00B9359B" w:rsidRDefault="009A5268">
            <w:pPr>
              <w:pStyle w:val="Tabletext"/>
              <w:framePr w:hSpace="181" w:wrap="notBeside" w:vAnchor="text" w:hAnchor="text" w:xAlign="center" w:y="1"/>
              <w:rPr>
                <w:lang w:val="en-US"/>
              </w:rPr>
            </w:pPr>
            <w:r>
              <w:rPr>
                <w:lang w:val="en-US"/>
              </w:rPr>
              <w:t>Transmitter power (dBW)</w:t>
            </w:r>
          </w:p>
        </w:tc>
        <w:tc>
          <w:tcPr>
            <w:tcW w:w="1588" w:type="dxa"/>
          </w:tcPr>
          <w:p w:rsidR="00B9359B" w:rsidRDefault="009A5268">
            <w:pPr>
              <w:pStyle w:val="Tabletext"/>
              <w:framePr w:hSpace="181" w:wrap="notBeside" w:vAnchor="text" w:hAnchor="text" w:xAlign="center" w:y="1"/>
              <w:jc w:val="center"/>
              <w:rPr>
                <w:lang w:val="en-US"/>
              </w:rPr>
            </w:pPr>
            <w:r>
              <w:sym w:font="Symbol" w:char="F02D"/>
            </w:r>
            <w:r>
              <w:rPr>
                <w:lang w:val="en-US"/>
              </w:rPr>
              <w:t>12.8</w:t>
            </w:r>
          </w:p>
        </w:tc>
        <w:tc>
          <w:tcPr>
            <w:tcW w:w="1418" w:type="dxa"/>
          </w:tcPr>
          <w:p w:rsidR="00B9359B" w:rsidRDefault="009A5268">
            <w:pPr>
              <w:pStyle w:val="Tabletext"/>
              <w:framePr w:hSpace="181" w:wrap="notBeside" w:vAnchor="text" w:hAnchor="text" w:xAlign="center" w:y="1"/>
              <w:jc w:val="center"/>
              <w:rPr>
                <w:lang w:val="en-US"/>
              </w:rPr>
            </w:pPr>
            <w:r>
              <w:sym w:font="Symbol" w:char="F02D"/>
            </w:r>
            <w:r>
              <w:rPr>
                <w:lang w:val="en-US"/>
              </w:rPr>
              <w:t>10.55</w:t>
            </w:r>
          </w:p>
        </w:tc>
        <w:tc>
          <w:tcPr>
            <w:tcW w:w="2268" w:type="dxa"/>
          </w:tcPr>
          <w:p w:rsidR="00B9359B" w:rsidRDefault="009A5268">
            <w:pPr>
              <w:pStyle w:val="Tabletext"/>
              <w:framePr w:hSpace="181" w:wrap="notBeside" w:vAnchor="text" w:hAnchor="text" w:xAlign="center" w:y="1"/>
              <w:jc w:val="center"/>
              <w:rPr>
                <w:lang w:val="en-US"/>
              </w:rPr>
            </w:pPr>
            <w:r>
              <w:sym w:font="Symbol" w:char="F02D"/>
            </w:r>
            <w:r>
              <w:rPr>
                <w:lang w:val="en-US"/>
              </w:rPr>
              <w:t>2.4</w:t>
            </w:r>
          </w:p>
        </w:tc>
        <w:tc>
          <w:tcPr>
            <w:tcW w:w="1304" w:type="dxa"/>
          </w:tcPr>
          <w:p w:rsidR="00B9359B" w:rsidRDefault="00B9359B">
            <w:pPr>
              <w:pStyle w:val="Tabletext"/>
              <w:framePr w:hSpace="181" w:wrap="notBeside" w:vAnchor="text" w:hAnchor="text" w:xAlign="center" w:y="1"/>
              <w:jc w:val="center"/>
              <w:rPr>
                <w:lang w:val="en-US"/>
              </w:rPr>
            </w:pPr>
          </w:p>
        </w:tc>
      </w:tr>
    </w:tbl>
    <w:p w:rsidR="00B9359B" w:rsidRDefault="00B9359B">
      <w:pPr>
        <w:pStyle w:val="Tablefin"/>
        <w:spacing w:before="0"/>
      </w:pPr>
    </w:p>
    <w:p w:rsidR="00B9359B" w:rsidRDefault="009A5268">
      <w:pPr>
        <w:pStyle w:val="Heading1"/>
        <w:rPr>
          <w:lang w:val="en-US"/>
        </w:rPr>
      </w:pPr>
      <w:bookmarkStart w:id="412" w:name="_Toc51045812"/>
      <w:r>
        <w:rPr>
          <w:lang w:val="en-US"/>
        </w:rPr>
        <w:t>3</w:t>
      </w:r>
      <w:r>
        <w:rPr>
          <w:lang w:val="en-US"/>
        </w:rPr>
        <w:tab/>
        <w:t>Interference threshold</w:t>
      </w:r>
      <w:bookmarkEnd w:id="412"/>
    </w:p>
    <w:p w:rsidR="00B9359B" w:rsidRDefault="009A5268">
      <w:pPr>
        <w:rPr>
          <w:lang w:val="en-US"/>
        </w:rPr>
      </w:pPr>
      <w:r>
        <w:rPr>
          <w:lang w:val="en-US"/>
        </w:rPr>
        <w:t>Interference is potentially received from several sources from multiple services simultaneously. The value listed in Recommendation ITU-R SA.1029 (for a specific band) is the maximum allowable interference level for the passive sensor. Therefore, the compatibility threshold is  –163 dBW in a bandwidth of 100 MHz. This Annex provides an analysis of the interference generated by a single active service. Further work is needed to address the impact of these multiple active services above and below the passive band.</w:t>
      </w:r>
    </w:p>
    <w:p w:rsidR="00B9359B" w:rsidRDefault="009A5268">
      <w:pPr>
        <w:pStyle w:val="Heading1"/>
        <w:rPr>
          <w:lang w:val="en-US"/>
        </w:rPr>
      </w:pPr>
      <w:bookmarkStart w:id="413" w:name="_Toc51045813"/>
      <w:r>
        <w:rPr>
          <w:lang w:val="en-US"/>
        </w:rPr>
        <w:t>4</w:t>
      </w:r>
      <w:r>
        <w:rPr>
          <w:lang w:val="en-US"/>
        </w:rPr>
        <w:tab/>
        <w:t>Interference assessment</w:t>
      </w:r>
      <w:bookmarkEnd w:id="413"/>
    </w:p>
    <w:p w:rsidR="00B9359B" w:rsidRDefault="009A5268">
      <w:pPr>
        <w:pStyle w:val="Heading2"/>
        <w:rPr>
          <w:lang w:val="en-US"/>
        </w:rPr>
      </w:pPr>
      <w:bookmarkStart w:id="414" w:name="_Toc51045814"/>
      <w:r>
        <w:rPr>
          <w:lang w:val="en-US"/>
        </w:rPr>
        <w:t>4.1</w:t>
      </w:r>
      <w:r>
        <w:rPr>
          <w:lang w:val="en-US"/>
        </w:rPr>
        <w:tab/>
        <w:t>Methodology used to assess interference level</w:t>
      </w:r>
      <w:bookmarkEnd w:id="414"/>
    </w:p>
    <w:p w:rsidR="00B9359B" w:rsidRDefault="009A5268">
      <w:pPr>
        <w:rPr>
          <w:lang w:val="en-US"/>
        </w:rPr>
      </w:pPr>
      <w:r>
        <w:rPr>
          <w:lang w:val="en-US"/>
        </w:rPr>
        <w:t>The following analysis is based on some static geometric cases, which are quite significant.</w:t>
      </w:r>
    </w:p>
    <w:p w:rsidR="00B9359B" w:rsidRDefault="009A5268">
      <w:pPr>
        <w:rPr>
          <w:lang w:val="en-US"/>
        </w:rPr>
      </w:pPr>
      <w:r>
        <w:rPr>
          <w:lang w:val="en-US"/>
        </w:rPr>
        <w:t>For each case, the applied methodology is divided into two steps.</w:t>
      </w:r>
    </w:p>
    <w:p w:rsidR="00B9359B" w:rsidRDefault="009A5268">
      <w:pPr>
        <w:rPr>
          <w:lang w:val="en-US"/>
        </w:rPr>
      </w:pPr>
      <w:r>
        <w:rPr>
          <w:lang w:val="en-US"/>
        </w:rPr>
        <w:t>The first step consists of computing the required attenuation when the FSS uplinks are co-frequency with the EESS (passive) band. The interference received from one carrier is then compared with the sensor interference threshold. The difference is the required roll-off (attenuation) of OoB emissions that must be achieved to protect the EESS. Moreover, in the hereunder analysis, we assume that the received spectral interference power density is constant, throughout the 200 MHz EESS band (31.3</w:t>
      </w:r>
      <w:r>
        <w:rPr>
          <w:lang w:val="en-US"/>
        </w:rPr>
        <w:noBreakHyphen/>
        <w:t>31.5 GHz).</w:t>
      </w:r>
    </w:p>
    <w:p w:rsidR="00B9359B" w:rsidRDefault="009A5268">
      <w:pPr>
        <w:rPr>
          <w:lang w:val="en-US"/>
        </w:rPr>
      </w:pPr>
      <w:r>
        <w:rPr>
          <w:lang w:val="en-US"/>
        </w:rPr>
        <w:br w:type="page"/>
        <w:t>The second step consists of using the raised cosine spectral representation described in Annex 1, and to determine the minimum guardband that would be required (separation between the passive and the active allocations) to protect the passive sensor.</w:t>
      </w:r>
    </w:p>
    <w:p w:rsidR="00B9359B" w:rsidRDefault="009A5268">
      <w:pPr>
        <w:pStyle w:val="Heading2"/>
        <w:rPr>
          <w:lang w:val="en-US"/>
        </w:rPr>
      </w:pPr>
      <w:bookmarkStart w:id="415" w:name="_Toc51045815"/>
      <w:r>
        <w:rPr>
          <w:lang w:val="en-US"/>
        </w:rPr>
        <w:t>4.2</w:t>
      </w:r>
      <w:r>
        <w:rPr>
          <w:lang w:val="en-US"/>
        </w:rPr>
        <w:tab/>
        <w:t>Calculation of interference level in case of conically-scanned sensors</w:t>
      </w:r>
      <w:bookmarkEnd w:id="415"/>
    </w:p>
    <w:p w:rsidR="00B9359B" w:rsidRDefault="009A5268">
      <w:pPr>
        <w:rPr>
          <w:lang w:val="en-US"/>
        </w:rPr>
      </w:pPr>
      <w:r>
        <w:rPr>
          <w:lang w:val="en-US"/>
        </w:rPr>
        <w:t>Tables 59 and 60 calculate the e.i.r.p. of a single transmitter vertically radiating power on the Earth that corresponds to the sensors interference threshold. Two scenarios are addressed: sensor antenna main-lobe and sensor side-lobe.</w:t>
      </w:r>
    </w:p>
    <w:p w:rsidR="00B9359B" w:rsidRDefault="009A5268">
      <w:pPr>
        <w:pStyle w:val="Heading3"/>
        <w:rPr>
          <w:lang w:val="en-US"/>
        </w:rPr>
      </w:pPr>
      <w:bookmarkStart w:id="416" w:name="_Toc51045816"/>
      <w:r>
        <w:rPr>
          <w:lang w:val="en-US"/>
        </w:rPr>
        <w:t>4.2.1</w:t>
      </w:r>
      <w:r>
        <w:rPr>
          <w:lang w:val="en-US"/>
        </w:rPr>
        <w:tab/>
        <w:t>Determine power on Earth at threshold level</w:t>
      </w:r>
      <w:bookmarkEnd w:id="416"/>
    </w:p>
    <w:p w:rsidR="00B9359B" w:rsidRDefault="009A5268">
      <w:pPr>
        <w:rPr>
          <w:lang w:val="en-US"/>
        </w:rPr>
      </w:pPr>
      <w:r>
        <w:rPr>
          <w:lang w:val="en-US"/>
        </w:rPr>
        <w:t>Table 59 provides the parameters for calculation of the interference thresholds of the sensor main beam and side-lobes at the surface of the Earth.</w:t>
      </w:r>
    </w:p>
    <w:p w:rsidR="00B9359B" w:rsidRDefault="009A5268">
      <w:pPr>
        <w:pStyle w:val="TableNo"/>
        <w:spacing w:before="240"/>
        <w:rPr>
          <w:lang w:val="en-US"/>
        </w:rPr>
      </w:pPr>
      <w:r>
        <w:rPr>
          <w:lang w:val="en-US"/>
        </w:rPr>
        <w:t>TABLE  59</w:t>
      </w:r>
    </w:p>
    <w:p w:rsidR="00B9359B" w:rsidRDefault="009A5268">
      <w:pPr>
        <w:pStyle w:val="Tabletitle"/>
        <w:rPr>
          <w:lang w:val="en-US"/>
        </w:rPr>
      </w:pPr>
      <w:r>
        <w:rPr>
          <w:lang w:val="en-US"/>
        </w:rPr>
        <w:t>Translation of interference threshold to Earth – sensor main beam and side-lobes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4"/>
        <w:gridCol w:w="2410"/>
        <w:gridCol w:w="2346"/>
      </w:tblGrid>
      <w:tr w:rsidR="00B9359B">
        <w:tc>
          <w:tcPr>
            <w:tcW w:w="4564" w:type="dxa"/>
          </w:tcPr>
          <w:p w:rsidR="00B9359B" w:rsidRDefault="009A5268">
            <w:pPr>
              <w:pStyle w:val="Tablehead"/>
              <w:framePr w:hSpace="181" w:wrap="notBeside" w:vAnchor="text" w:hAnchor="text" w:xAlign="center" w:y="1"/>
              <w:rPr>
                <w:lang w:val="en-US"/>
              </w:rPr>
            </w:pPr>
            <w:r>
              <w:rPr>
                <w:lang w:val="en-US"/>
              </w:rPr>
              <w:t>Conically scanned sensor</w:t>
            </w:r>
          </w:p>
        </w:tc>
        <w:tc>
          <w:tcPr>
            <w:tcW w:w="2410" w:type="dxa"/>
          </w:tcPr>
          <w:p w:rsidR="00B9359B" w:rsidRDefault="009A5268">
            <w:pPr>
              <w:pStyle w:val="Tablehead"/>
              <w:framePr w:hSpace="181" w:wrap="notBeside" w:vAnchor="text" w:hAnchor="text" w:xAlign="center" w:y="1"/>
              <w:rPr>
                <w:lang w:val="en-US"/>
              </w:rPr>
            </w:pPr>
            <w:r>
              <w:rPr>
                <w:lang w:val="en-US"/>
              </w:rPr>
              <w:t>Sensor main beam</w:t>
            </w:r>
          </w:p>
        </w:tc>
        <w:tc>
          <w:tcPr>
            <w:tcW w:w="2346" w:type="dxa"/>
          </w:tcPr>
          <w:p w:rsidR="00B9359B" w:rsidRDefault="009A5268">
            <w:pPr>
              <w:pStyle w:val="Tablehead"/>
              <w:framePr w:hSpace="181" w:wrap="notBeside" w:vAnchor="text" w:hAnchor="text" w:xAlign="center" w:y="1"/>
              <w:rPr>
                <w:lang w:val="en-US"/>
              </w:rPr>
            </w:pPr>
            <w:r>
              <w:rPr>
                <w:lang w:val="en-US"/>
              </w:rPr>
              <w:t>Sensor sidelobes</w:t>
            </w:r>
          </w:p>
        </w:tc>
      </w:tr>
      <w:tr w:rsidR="00B9359B">
        <w:tc>
          <w:tcPr>
            <w:tcW w:w="4564" w:type="dxa"/>
          </w:tcPr>
          <w:p w:rsidR="00B9359B" w:rsidRDefault="009A5268">
            <w:pPr>
              <w:pStyle w:val="Tabletext"/>
              <w:framePr w:hSpace="181" w:wrap="notBeside" w:vAnchor="text" w:hAnchor="text" w:xAlign="center" w:y="1"/>
              <w:jc w:val="left"/>
              <w:rPr>
                <w:lang w:val="en-US"/>
              </w:rPr>
            </w:pPr>
            <w:r>
              <w:rPr>
                <w:lang w:val="en-US"/>
              </w:rPr>
              <w:t>Interference threshold (dB(W/100 MHz))</w:t>
            </w:r>
          </w:p>
        </w:tc>
        <w:tc>
          <w:tcPr>
            <w:tcW w:w="2410" w:type="dxa"/>
          </w:tcPr>
          <w:p w:rsidR="00B9359B" w:rsidRDefault="009A5268">
            <w:pPr>
              <w:pStyle w:val="Tabletext"/>
              <w:framePr w:hSpace="181" w:wrap="notBeside" w:vAnchor="text" w:hAnchor="text" w:xAlign="center" w:y="1"/>
              <w:jc w:val="center"/>
              <w:rPr>
                <w:lang w:val="en-US"/>
              </w:rPr>
            </w:pPr>
            <w:r>
              <w:sym w:font="Symbol" w:char="F02D"/>
            </w:r>
            <w:r>
              <w:rPr>
                <w:lang w:val="en-US"/>
              </w:rPr>
              <w:t>163</w:t>
            </w:r>
          </w:p>
        </w:tc>
        <w:tc>
          <w:tcPr>
            <w:tcW w:w="2346" w:type="dxa"/>
          </w:tcPr>
          <w:p w:rsidR="00B9359B" w:rsidRDefault="009A5268">
            <w:pPr>
              <w:pStyle w:val="Tabletext"/>
              <w:framePr w:hSpace="181" w:wrap="notBeside" w:vAnchor="text" w:hAnchor="text" w:xAlign="center" w:y="1"/>
              <w:jc w:val="center"/>
              <w:rPr>
                <w:lang w:val="en-US"/>
              </w:rPr>
            </w:pPr>
            <w:r>
              <w:rPr>
                <w:lang w:val="en-US"/>
              </w:rPr>
              <w:t>–163</w:t>
            </w:r>
          </w:p>
        </w:tc>
      </w:tr>
      <w:tr w:rsidR="00B9359B">
        <w:tc>
          <w:tcPr>
            <w:tcW w:w="4564" w:type="dxa"/>
          </w:tcPr>
          <w:p w:rsidR="00B9359B" w:rsidRDefault="009A5268">
            <w:pPr>
              <w:pStyle w:val="Tabletext"/>
              <w:framePr w:hSpace="181" w:wrap="notBeside" w:vAnchor="text" w:hAnchor="text" w:xAlign="center" w:y="1"/>
              <w:jc w:val="left"/>
              <w:rPr>
                <w:lang w:val="en-US"/>
              </w:rPr>
            </w:pPr>
            <w:r>
              <w:rPr>
                <w:lang w:val="en-US"/>
              </w:rPr>
              <w:t>Antenna gain (dBi)</w:t>
            </w:r>
          </w:p>
        </w:tc>
        <w:tc>
          <w:tcPr>
            <w:tcW w:w="2410" w:type="dxa"/>
          </w:tcPr>
          <w:p w:rsidR="00B9359B" w:rsidRDefault="009A5268">
            <w:pPr>
              <w:pStyle w:val="Tabletext"/>
              <w:framePr w:hSpace="181" w:wrap="notBeside" w:vAnchor="text" w:hAnchor="text" w:xAlign="center" w:y="1"/>
              <w:jc w:val="center"/>
              <w:rPr>
                <w:lang w:val="en-US"/>
              </w:rPr>
            </w:pPr>
            <w:r>
              <w:rPr>
                <w:lang w:val="en-US"/>
              </w:rPr>
              <w:t>42</w:t>
            </w:r>
          </w:p>
        </w:tc>
        <w:tc>
          <w:tcPr>
            <w:tcW w:w="2346" w:type="dxa"/>
          </w:tcPr>
          <w:p w:rsidR="00B9359B" w:rsidRDefault="009A5268">
            <w:pPr>
              <w:pStyle w:val="Tabletext"/>
              <w:framePr w:hSpace="181" w:wrap="notBeside" w:vAnchor="text" w:hAnchor="text" w:xAlign="center" w:y="1"/>
              <w:jc w:val="center"/>
              <w:rPr>
                <w:lang w:val="en-US"/>
              </w:rPr>
            </w:pPr>
            <w:r>
              <w:rPr>
                <w:lang w:val="en-US"/>
              </w:rPr>
              <w:t>0</w:t>
            </w:r>
          </w:p>
        </w:tc>
      </w:tr>
      <w:tr w:rsidR="00B9359B">
        <w:tc>
          <w:tcPr>
            <w:tcW w:w="4564" w:type="dxa"/>
          </w:tcPr>
          <w:p w:rsidR="00B9359B" w:rsidRDefault="009A5268">
            <w:pPr>
              <w:pStyle w:val="Tabletext"/>
              <w:framePr w:hSpace="181" w:wrap="notBeside" w:vAnchor="text" w:hAnchor="text" w:xAlign="center" w:y="1"/>
              <w:jc w:val="left"/>
              <w:rPr>
                <w:lang w:val="en-US"/>
              </w:rPr>
            </w:pPr>
            <w:r>
              <w:rPr>
                <w:lang w:val="en-US"/>
              </w:rPr>
              <w:t>Altitude (km)</w:t>
            </w:r>
          </w:p>
        </w:tc>
        <w:tc>
          <w:tcPr>
            <w:tcW w:w="2410" w:type="dxa"/>
          </w:tcPr>
          <w:p w:rsidR="00B9359B" w:rsidRDefault="009A5268">
            <w:pPr>
              <w:pStyle w:val="Tabletext"/>
              <w:framePr w:hSpace="181" w:wrap="notBeside" w:vAnchor="text" w:hAnchor="text" w:xAlign="center" w:y="1"/>
              <w:jc w:val="center"/>
              <w:rPr>
                <w:lang w:val="en-US"/>
              </w:rPr>
            </w:pPr>
            <w:r>
              <w:rPr>
                <w:lang w:val="en-US"/>
              </w:rPr>
              <w:t>815</w:t>
            </w:r>
          </w:p>
        </w:tc>
        <w:tc>
          <w:tcPr>
            <w:tcW w:w="2346" w:type="dxa"/>
          </w:tcPr>
          <w:p w:rsidR="00B9359B" w:rsidRDefault="009A5268">
            <w:pPr>
              <w:pStyle w:val="Tabletext"/>
              <w:framePr w:hSpace="181" w:wrap="notBeside" w:vAnchor="text" w:hAnchor="text" w:xAlign="center" w:y="1"/>
              <w:jc w:val="center"/>
              <w:rPr>
                <w:lang w:val="en-US"/>
              </w:rPr>
            </w:pPr>
            <w:r>
              <w:rPr>
                <w:lang w:val="en-US"/>
              </w:rPr>
              <w:t>815</w:t>
            </w:r>
          </w:p>
        </w:tc>
      </w:tr>
      <w:tr w:rsidR="00B9359B">
        <w:tc>
          <w:tcPr>
            <w:tcW w:w="4564" w:type="dxa"/>
          </w:tcPr>
          <w:p w:rsidR="00B9359B" w:rsidRDefault="009A5268">
            <w:pPr>
              <w:pStyle w:val="Tabletext"/>
              <w:framePr w:hSpace="181" w:wrap="notBeside" w:vAnchor="text" w:hAnchor="text" w:xAlign="center" w:y="1"/>
              <w:jc w:val="left"/>
              <w:rPr>
                <w:lang w:val="en-US"/>
              </w:rPr>
            </w:pPr>
            <w:r>
              <w:rPr>
                <w:lang w:val="en-US"/>
              </w:rPr>
              <w:t>Range (km)</w:t>
            </w:r>
          </w:p>
        </w:tc>
        <w:tc>
          <w:tcPr>
            <w:tcW w:w="2410" w:type="dxa"/>
          </w:tcPr>
          <w:p w:rsidR="00B9359B" w:rsidRDefault="009A5268">
            <w:pPr>
              <w:pStyle w:val="Tabletext"/>
              <w:framePr w:hSpace="181" w:wrap="notBeside" w:vAnchor="text" w:hAnchor="text" w:xAlign="center" w:y="1"/>
              <w:jc w:val="center"/>
              <w:rPr>
                <w:lang w:val="en-US"/>
              </w:rPr>
            </w:pPr>
            <w:r>
              <w:rPr>
                <w:lang w:val="en-US"/>
              </w:rPr>
              <w:t>1</w:t>
            </w:r>
            <w:r>
              <w:rPr>
                <w:rFonts w:ascii="Tms Rmn" w:hAnsi="Tms Rmn"/>
                <w:sz w:val="12"/>
                <w:lang w:val="en-US"/>
              </w:rPr>
              <w:t> </w:t>
            </w:r>
            <w:r>
              <w:rPr>
                <w:lang w:val="en-US"/>
              </w:rPr>
              <w:t>081</w:t>
            </w:r>
          </w:p>
        </w:tc>
        <w:tc>
          <w:tcPr>
            <w:tcW w:w="2346" w:type="dxa"/>
          </w:tcPr>
          <w:p w:rsidR="00B9359B" w:rsidRDefault="009A5268">
            <w:pPr>
              <w:pStyle w:val="Tabletext"/>
              <w:framePr w:hSpace="181" w:wrap="notBeside" w:vAnchor="text" w:hAnchor="text" w:xAlign="center" w:y="1"/>
              <w:jc w:val="center"/>
              <w:rPr>
                <w:lang w:val="en-US"/>
              </w:rPr>
            </w:pPr>
            <w:r>
              <w:rPr>
                <w:lang w:val="en-US"/>
              </w:rPr>
              <w:t>815</w:t>
            </w:r>
          </w:p>
        </w:tc>
      </w:tr>
      <w:tr w:rsidR="00B9359B">
        <w:tc>
          <w:tcPr>
            <w:tcW w:w="4564" w:type="dxa"/>
          </w:tcPr>
          <w:p w:rsidR="00B9359B" w:rsidRDefault="009A5268">
            <w:pPr>
              <w:pStyle w:val="Tabletext"/>
              <w:framePr w:hSpace="181" w:wrap="notBeside" w:vAnchor="text" w:hAnchor="text" w:xAlign="center" w:y="1"/>
              <w:jc w:val="left"/>
              <w:rPr>
                <w:lang w:val="en-US"/>
              </w:rPr>
            </w:pPr>
            <w:r>
              <w:rPr>
                <w:lang w:val="en-US"/>
              </w:rPr>
              <w:t>Free space loss (dB)</w:t>
            </w:r>
          </w:p>
        </w:tc>
        <w:tc>
          <w:tcPr>
            <w:tcW w:w="2410" w:type="dxa"/>
          </w:tcPr>
          <w:p w:rsidR="00B9359B" w:rsidRDefault="009A5268">
            <w:pPr>
              <w:pStyle w:val="Tabletext"/>
              <w:framePr w:hSpace="181" w:wrap="notBeside" w:vAnchor="text" w:hAnchor="text" w:xAlign="center" w:y="1"/>
              <w:jc w:val="center"/>
              <w:rPr>
                <w:lang w:val="en-US"/>
              </w:rPr>
            </w:pPr>
            <w:r>
              <w:sym w:font="Symbol" w:char="F02D"/>
            </w:r>
            <w:r>
              <w:rPr>
                <w:lang w:val="en-US"/>
              </w:rPr>
              <w:t>182.8</w:t>
            </w:r>
          </w:p>
        </w:tc>
        <w:tc>
          <w:tcPr>
            <w:tcW w:w="2346" w:type="dxa"/>
          </w:tcPr>
          <w:p w:rsidR="00B9359B" w:rsidRDefault="009A5268">
            <w:pPr>
              <w:pStyle w:val="Tabletext"/>
              <w:framePr w:hSpace="181" w:wrap="notBeside" w:vAnchor="text" w:hAnchor="text" w:xAlign="center" w:y="1"/>
              <w:jc w:val="center"/>
              <w:rPr>
                <w:lang w:val="en-US"/>
              </w:rPr>
            </w:pPr>
            <w:r>
              <w:sym w:font="Symbol" w:char="F02D"/>
            </w:r>
            <w:r>
              <w:rPr>
                <w:lang w:val="en-US"/>
              </w:rPr>
              <w:t>180.4</w:t>
            </w:r>
          </w:p>
        </w:tc>
      </w:tr>
      <w:tr w:rsidR="00B9359B">
        <w:tc>
          <w:tcPr>
            <w:tcW w:w="4564" w:type="dxa"/>
          </w:tcPr>
          <w:p w:rsidR="00B9359B" w:rsidRDefault="009A5268">
            <w:pPr>
              <w:pStyle w:val="Tabletext"/>
              <w:framePr w:hSpace="181" w:wrap="notBeside" w:vAnchor="text" w:hAnchor="text" w:xAlign="center" w:y="1"/>
              <w:jc w:val="left"/>
              <w:rPr>
                <w:lang w:val="en-US"/>
              </w:rPr>
            </w:pPr>
            <w:r>
              <w:rPr>
                <w:lang w:val="en-US"/>
              </w:rPr>
              <w:t>Atmospheric attenuation (dB)</w:t>
            </w:r>
          </w:p>
        </w:tc>
        <w:tc>
          <w:tcPr>
            <w:tcW w:w="2410" w:type="dxa"/>
          </w:tcPr>
          <w:p w:rsidR="00B9359B" w:rsidRDefault="009A5268">
            <w:pPr>
              <w:pStyle w:val="Tabletext"/>
              <w:framePr w:hSpace="181" w:wrap="notBeside" w:vAnchor="text" w:hAnchor="text" w:xAlign="center" w:y="1"/>
              <w:jc w:val="center"/>
              <w:rPr>
                <w:lang w:val="en-US"/>
              </w:rPr>
            </w:pPr>
            <w:r>
              <w:sym w:font="Symbol" w:char="F02D"/>
            </w:r>
            <w:r>
              <w:rPr>
                <w:lang w:val="en-US"/>
              </w:rPr>
              <w:t>1</w:t>
            </w:r>
          </w:p>
        </w:tc>
        <w:tc>
          <w:tcPr>
            <w:tcW w:w="2346" w:type="dxa"/>
          </w:tcPr>
          <w:p w:rsidR="00B9359B" w:rsidRDefault="009A5268">
            <w:pPr>
              <w:pStyle w:val="Tabletext"/>
              <w:framePr w:hSpace="181" w:wrap="notBeside" w:vAnchor="text" w:hAnchor="text" w:xAlign="center" w:y="1"/>
              <w:jc w:val="center"/>
              <w:rPr>
                <w:lang w:val="en-US"/>
              </w:rPr>
            </w:pPr>
            <w:r>
              <w:sym w:font="Symbol" w:char="F02D"/>
            </w:r>
            <w:r>
              <w:rPr>
                <w:lang w:val="en-US"/>
              </w:rPr>
              <w:t>1</w:t>
            </w:r>
          </w:p>
        </w:tc>
      </w:tr>
      <w:tr w:rsidR="00B9359B">
        <w:tc>
          <w:tcPr>
            <w:tcW w:w="4564" w:type="dxa"/>
          </w:tcPr>
          <w:p w:rsidR="00B9359B" w:rsidRDefault="009A5268">
            <w:pPr>
              <w:pStyle w:val="Tabletext"/>
              <w:framePr w:hSpace="181" w:wrap="notBeside" w:vAnchor="text" w:hAnchor="text" w:xAlign="center" w:y="1"/>
              <w:jc w:val="left"/>
              <w:rPr>
                <w:lang w:val="en-US"/>
              </w:rPr>
            </w:pPr>
            <w:r>
              <w:rPr>
                <w:lang w:val="en-US"/>
              </w:rPr>
              <w:t>Polarization loss (circular to linear) (dB)</w:t>
            </w:r>
          </w:p>
        </w:tc>
        <w:tc>
          <w:tcPr>
            <w:tcW w:w="2410" w:type="dxa"/>
          </w:tcPr>
          <w:p w:rsidR="00B9359B" w:rsidRDefault="009A5268">
            <w:pPr>
              <w:pStyle w:val="Tabletext"/>
              <w:framePr w:hSpace="181" w:wrap="notBeside" w:vAnchor="text" w:hAnchor="text" w:xAlign="center" w:y="1"/>
              <w:jc w:val="center"/>
              <w:rPr>
                <w:lang w:val="en-US"/>
              </w:rPr>
            </w:pPr>
            <w:r>
              <w:sym w:font="Symbol" w:char="F02D"/>
            </w:r>
            <w:r>
              <w:rPr>
                <w:lang w:val="en-US"/>
              </w:rPr>
              <w:t>3</w:t>
            </w:r>
          </w:p>
        </w:tc>
        <w:tc>
          <w:tcPr>
            <w:tcW w:w="2346" w:type="dxa"/>
          </w:tcPr>
          <w:p w:rsidR="00B9359B" w:rsidRDefault="009A5268">
            <w:pPr>
              <w:pStyle w:val="Tabletext"/>
              <w:framePr w:hSpace="181" w:wrap="notBeside" w:vAnchor="text" w:hAnchor="text" w:xAlign="center" w:y="1"/>
              <w:jc w:val="center"/>
              <w:rPr>
                <w:lang w:val="en-US"/>
              </w:rPr>
            </w:pPr>
            <w:r>
              <w:sym w:font="Symbol" w:char="F02D"/>
            </w:r>
            <w:r>
              <w:rPr>
                <w:lang w:val="en-US"/>
              </w:rPr>
              <w:t>3</w:t>
            </w:r>
          </w:p>
        </w:tc>
      </w:tr>
      <w:tr w:rsidR="00B9359B">
        <w:tc>
          <w:tcPr>
            <w:tcW w:w="4564" w:type="dxa"/>
          </w:tcPr>
          <w:p w:rsidR="00B9359B" w:rsidRDefault="009A5268">
            <w:pPr>
              <w:pStyle w:val="Tabletext"/>
              <w:framePr w:hSpace="181" w:wrap="notBeside" w:vAnchor="text" w:hAnchor="text" w:xAlign="center" w:y="1"/>
              <w:jc w:val="left"/>
              <w:rPr>
                <w:lang w:val="en-US"/>
              </w:rPr>
            </w:pPr>
            <w:r>
              <w:rPr>
                <w:lang w:val="en-US"/>
              </w:rPr>
              <w:t>e.i.r.p. at the Earth corresponding to the sensor threshold (dB(W/100 MHz))</w:t>
            </w:r>
          </w:p>
        </w:tc>
        <w:tc>
          <w:tcPr>
            <w:tcW w:w="2410" w:type="dxa"/>
          </w:tcPr>
          <w:p w:rsidR="00B9359B" w:rsidRDefault="009A5268">
            <w:pPr>
              <w:pStyle w:val="Tabletext"/>
              <w:framePr w:hSpace="181" w:wrap="notBeside" w:vAnchor="text" w:hAnchor="text" w:xAlign="center" w:y="1"/>
              <w:jc w:val="center"/>
              <w:rPr>
                <w:lang w:val="en-US"/>
              </w:rPr>
            </w:pPr>
            <w:r>
              <w:sym w:font="Symbol" w:char="F02D"/>
            </w:r>
            <w:r>
              <w:rPr>
                <w:lang w:val="en-US"/>
              </w:rPr>
              <w:t>18.2</w:t>
            </w:r>
          </w:p>
        </w:tc>
        <w:tc>
          <w:tcPr>
            <w:tcW w:w="2346" w:type="dxa"/>
          </w:tcPr>
          <w:p w:rsidR="00B9359B" w:rsidRDefault="009A5268">
            <w:pPr>
              <w:pStyle w:val="Tabletext"/>
              <w:framePr w:hSpace="181" w:wrap="notBeside" w:vAnchor="text" w:hAnchor="text" w:xAlign="center" w:y="1"/>
              <w:jc w:val="center"/>
              <w:rPr>
                <w:lang w:val="en-US"/>
              </w:rPr>
            </w:pPr>
            <w:r>
              <w:rPr>
                <w:lang w:val="en-US"/>
              </w:rPr>
              <w:t>21.5</w:t>
            </w:r>
          </w:p>
        </w:tc>
      </w:tr>
    </w:tbl>
    <w:p w:rsidR="00B9359B" w:rsidRDefault="00B9359B">
      <w:pPr>
        <w:pStyle w:val="Tablefin"/>
        <w:spacing w:before="0"/>
        <w:rPr>
          <w:sz w:val="6"/>
        </w:rPr>
      </w:pPr>
    </w:p>
    <w:p w:rsidR="00B9359B" w:rsidRDefault="009A5268">
      <w:pPr>
        <w:pStyle w:val="Heading3"/>
        <w:rPr>
          <w:lang w:val="en-US"/>
        </w:rPr>
      </w:pPr>
      <w:bookmarkStart w:id="417" w:name="_Toc51045817"/>
      <w:r>
        <w:rPr>
          <w:lang w:val="en-US"/>
        </w:rPr>
        <w:t>4.2.2</w:t>
      </w:r>
      <w:r>
        <w:rPr>
          <w:lang w:val="en-US"/>
        </w:rPr>
        <w:tab/>
        <w:t>Calculations with the GSO and non-GSO networks</w:t>
      </w:r>
      <w:bookmarkEnd w:id="417"/>
    </w:p>
    <w:p w:rsidR="00B9359B" w:rsidRDefault="009A5268">
      <w:pPr>
        <w:rPr>
          <w:lang w:val="en-US"/>
        </w:rPr>
      </w:pPr>
      <w:r>
        <w:rPr>
          <w:lang w:val="en-US"/>
        </w:rPr>
        <w:t>Results are presented in Tables 60 and 61.</w:t>
      </w:r>
    </w:p>
    <w:p w:rsidR="00B9359B" w:rsidRDefault="009A5268">
      <w:pPr>
        <w:pStyle w:val="TableNo"/>
        <w:spacing w:before="240"/>
        <w:rPr>
          <w:lang w:val="en-US"/>
        </w:rPr>
      </w:pPr>
      <w:r>
        <w:rPr>
          <w:lang w:val="en-US"/>
        </w:rPr>
        <w:t>TABLE  60</w:t>
      </w:r>
    </w:p>
    <w:p w:rsidR="00B9359B" w:rsidRDefault="009A5268">
      <w:pPr>
        <w:pStyle w:val="Tabletitle"/>
        <w:rPr>
          <w:lang w:val="en-US"/>
        </w:rPr>
      </w:pPr>
      <w:r>
        <w:rPr>
          <w:lang w:val="en-US"/>
        </w:rPr>
        <w:t>On tune interference margin for GSO systems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4"/>
        <w:gridCol w:w="1285"/>
        <w:gridCol w:w="1285"/>
        <w:gridCol w:w="1023"/>
        <w:gridCol w:w="988"/>
        <w:gridCol w:w="988"/>
        <w:gridCol w:w="1035"/>
        <w:gridCol w:w="941"/>
      </w:tblGrid>
      <w:tr w:rsidR="00B9359B">
        <w:tc>
          <w:tcPr>
            <w:tcW w:w="2124" w:type="dxa"/>
            <w:vAlign w:val="center"/>
          </w:tcPr>
          <w:p w:rsidR="00B9359B" w:rsidRDefault="009A5268">
            <w:pPr>
              <w:pStyle w:val="Tablehead"/>
              <w:jc w:val="left"/>
              <w:rPr>
                <w:lang w:val="en-US"/>
              </w:rPr>
            </w:pPr>
            <w:r>
              <w:rPr>
                <w:lang w:val="en-US"/>
              </w:rPr>
              <w:t>System</w:t>
            </w:r>
          </w:p>
        </w:tc>
        <w:tc>
          <w:tcPr>
            <w:tcW w:w="1302" w:type="dxa"/>
            <w:vAlign w:val="center"/>
          </w:tcPr>
          <w:p w:rsidR="00B9359B" w:rsidRDefault="009A5268">
            <w:pPr>
              <w:pStyle w:val="Tablehead"/>
              <w:rPr>
                <w:lang w:val="en-US"/>
              </w:rPr>
            </w:pPr>
            <w:r>
              <w:rPr>
                <w:lang w:val="en-US"/>
              </w:rPr>
              <w:t>GSO-Ka-1</w:t>
            </w:r>
          </w:p>
        </w:tc>
        <w:tc>
          <w:tcPr>
            <w:tcW w:w="1302" w:type="dxa"/>
            <w:vAlign w:val="center"/>
          </w:tcPr>
          <w:p w:rsidR="00B9359B" w:rsidRDefault="009A5268">
            <w:pPr>
              <w:pStyle w:val="Tablehead"/>
              <w:rPr>
                <w:lang w:val="en-US"/>
              </w:rPr>
            </w:pPr>
            <w:r>
              <w:rPr>
                <w:lang w:val="en-US"/>
              </w:rPr>
              <w:t>GSO residential terminal</w:t>
            </w:r>
          </w:p>
        </w:tc>
        <w:tc>
          <w:tcPr>
            <w:tcW w:w="1036" w:type="dxa"/>
            <w:vAlign w:val="center"/>
          </w:tcPr>
          <w:p w:rsidR="00B9359B" w:rsidRDefault="009A5268">
            <w:pPr>
              <w:pStyle w:val="Tablehead"/>
              <w:rPr>
                <w:lang w:val="en-US"/>
              </w:rPr>
            </w:pPr>
            <w:r>
              <w:rPr>
                <w:lang w:val="en-US"/>
              </w:rPr>
              <w:t>GSO-20</w:t>
            </w:r>
          </w:p>
        </w:tc>
        <w:tc>
          <w:tcPr>
            <w:tcW w:w="1000" w:type="dxa"/>
            <w:vAlign w:val="center"/>
          </w:tcPr>
          <w:p w:rsidR="00B9359B" w:rsidRDefault="009A5268">
            <w:pPr>
              <w:pStyle w:val="Tablehead"/>
              <w:rPr>
                <w:lang w:val="en-US"/>
              </w:rPr>
            </w:pPr>
            <w:r>
              <w:rPr>
                <w:lang w:val="en-US"/>
              </w:rPr>
              <w:t>GSO-F</w:t>
            </w:r>
          </w:p>
        </w:tc>
        <w:tc>
          <w:tcPr>
            <w:tcW w:w="1000" w:type="dxa"/>
            <w:vAlign w:val="center"/>
          </w:tcPr>
          <w:p w:rsidR="00B9359B" w:rsidRDefault="009A5268">
            <w:pPr>
              <w:pStyle w:val="Tablehead"/>
              <w:rPr>
                <w:lang w:val="en-US"/>
              </w:rPr>
            </w:pPr>
            <w:r>
              <w:rPr>
                <w:lang w:val="en-US"/>
              </w:rPr>
              <w:t>GSO-G</w:t>
            </w:r>
          </w:p>
        </w:tc>
        <w:tc>
          <w:tcPr>
            <w:tcW w:w="1048" w:type="dxa"/>
            <w:vAlign w:val="center"/>
          </w:tcPr>
          <w:p w:rsidR="00B9359B" w:rsidRDefault="009A5268">
            <w:pPr>
              <w:pStyle w:val="Tablehead"/>
              <w:rPr>
                <w:lang w:val="en-US"/>
              </w:rPr>
            </w:pPr>
            <w:r>
              <w:rPr>
                <w:lang w:val="en-US"/>
              </w:rPr>
              <w:t>GSO-B</w:t>
            </w:r>
          </w:p>
        </w:tc>
        <w:tc>
          <w:tcPr>
            <w:tcW w:w="952" w:type="dxa"/>
            <w:vAlign w:val="center"/>
          </w:tcPr>
          <w:p w:rsidR="00B9359B" w:rsidRDefault="009A5268">
            <w:pPr>
              <w:pStyle w:val="Tablehead"/>
              <w:ind w:left="-57" w:right="-57"/>
              <w:rPr>
                <w:lang w:val="en-US"/>
              </w:rPr>
            </w:pPr>
            <w:r>
              <w:rPr>
                <w:lang w:val="en-US"/>
              </w:rPr>
              <w:t>GSO-13</w:t>
            </w:r>
          </w:p>
        </w:tc>
      </w:tr>
      <w:tr w:rsidR="00B9359B">
        <w:tc>
          <w:tcPr>
            <w:tcW w:w="9764" w:type="dxa"/>
            <w:gridSpan w:val="8"/>
            <w:shd w:val="clear" w:color="auto" w:fill="FFFFFF"/>
          </w:tcPr>
          <w:p w:rsidR="00B9359B" w:rsidRDefault="009A5268">
            <w:pPr>
              <w:pStyle w:val="Tabletext"/>
              <w:spacing w:before="60" w:after="60"/>
              <w:rPr>
                <w:i/>
                <w:iCs/>
                <w:lang w:val="en-US"/>
              </w:rPr>
            </w:pPr>
            <w:r>
              <w:rPr>
                <w:i/>
                <w:iCs/>
                <w:lang w:val="en-US"/>
              </w:rPr>
              <w:t>Case 1 – Transmitter mainbeam</w:t>
            </w:r>
          </w:p>
        </w:tc>
      </w:tr>
      <w:tr w:rsidR="00B9359B">
        <w:tc>
          <w:tcPr>
            <w:tcW w:w="2124" w:type="dxa"/>
          </w:tcPr>
          <w:p w:rsidR="00B9359B" w:rsidRDefault="009A5268">
            <w:pPr>
              <w:pStyle w:val="Tabletext"/>
              <w:jc w:val="left"/>
              <w:rPr>
                <w:lang w:val="en-US"/>
              </w:rPr>
            </w:pPr>
            <w:r>
              <w:rPr>
                <w:lang w:val="en-US"/>
              </w:rPr>
              <w:t>Conical scan mainbeam (dB)</w:t>
            </w:r>
          </w:p>
        </w:tc>
        <w:tc>
          <w:tcPr>
            <w:tcW w:w="1302" w:type="dxa"/>
          </w:tcPr>
          <w:p w:rsidR="00B9359B" w:rsidRDefault="009A5268">
            <w:pPr>
              <w:pStyle w:val="Tabletext"/>
              <w:jc w:val="center"/>
              <w:rPr>
                <w:lang w:val="en-US"/>
              </w:rPr>
            </w:pPr>
            <w:r>
              <w:rPr>
                <w:lang w:val="en-US"/>
              </w:rPr>
              <w:t>–92.3</w:t>
            </w:r>
          </w:p>
        </w:tc>
        <w:tc>
          <w:tcPr>
            <w:tcW w:w="1302" w:type="dxa"/>
          </w:tcPr>
          <w:p w:rsidR="00B9359B" w:rsidRDefault="009A5268">
            <w:pPr>
              <w:pStyle w:val="Tabletext"/>
              <w:jc w:val="center"/>
              <w:rPr>
                <w:lang w:val="en-US"/>
              </w:rPr>
            </w:pPr>
            <w:r>
              <w:rPr>
                <w:lang w:val="en-US"/>
              </w:rPr>
              <w:t>–66.8</w:t>
            </w:r>
          </w:p>
        </w:tc>
        <w:tc>
          <w:tcPr>
            <w:tcW w:w="1036" w:type="dxa"/>
          </w:tcPr>
          <w:p w:rsidR="00B9359B" w:rsidRDefault="009A5268">
            <w:pPr>
              <w:pStyle w:val="Tabletext"/>
              <w:jc w:val="center"/>
              <w:rPr>
                <w:lang w:val="en-US"/>
              </w:rPr>
            </w:pPr>
            <w:r>
              <w:rPr>
                <w:lang w:val="en-US"/>
              </w:rPr>
              <w:t>–73.3</w:t>
            </w:r>
          </w:p>
        </w:tc>
        <w:tc>
          <w:tcPr>
            <w:tcW w:w="1000" w:type="dxa"/>
          </w:tcPr>
          <w:p w:rsidR="00B9359B" w:rsidRDefault="009A5268">
            <w:pPr>
              <w:pStyle w:val="Tabletext"/>
              <w:jc w:val="center"/>
              <w:rPr>
                <w:lang w:val="en-US"/>
              </w:rPr>
            </w:pPr>
            <w:r>
              <w:rPr>
                <w:lang w:val="en-US"/>
              </w:rPr>
              <w:t>–70.5</w:t>
            </w:r>
          </w:p>
        </w:tc>
        <w:tc>
          <w:tcPr>
            <w:tcW w:w="1000" w:type="dxa"/>
          </w:tcPr>
          <w:p w:rsidR="00B9359B" w:rsidRDefault="009A5268">
            <w:pPr>
              <w:pStyle w:val="Tabletext"/>
              <w:jc w:val="center"/>
              <w:rPr>
                <w:lang w:val="en-US"/>
              </w:rPr>
            </w:pPr>
            <w:r>
              <w:rPr>
                <w:lang w:val="en-US"/>
              </w:rPr>
              <w:t>–85.8</w:t>
            </w:r>
          </w:p>
        </w:tc>
        <w:tc>
          <w:tcPr>
            <w:tcW w:w="1048" w:type="dxa"/>
          </w:tcPr>
          <w:p w:rsidR="00B9359B" w:rsidRDefault="009A5268">
            <w:pPr>
              <w:pStyle w:val="Tabletext"/>
              <w:jc w:val="center"/>
              <w:rPr>
                <w:lang w:val="en-US"/>
              </w:rPr>
            </w:pPr>
            <w:r>
              <w:rPr>
                <w:lang w:val="en-US"/>
              </w:rPr>
              <w:t>–79.8</w:t>
            </w:r>
          </w:p>
        </w:tc>
        <w:tc>
          <w:tcPr>
            <w:tcW w:w="952" w:type="dxa"/>
          </w:tcPr>
          <w:p w:rsidR="00B9359B" w:rsidRDefault="009A5268">
            <w:pPr>
              <w:pStyle w:val="Tabletext"/>
              <w:jc w:val="center"/>
              <w:rPr>
                <w:lang w:val="en-US"/>
              </w:rPr>
            </w:pPr>
            <w:r>
              <w:rPr>
                <w:lang w:val="en-US"/>
              </w:rPr>
              <w:t>–62.6</w:t>
            </w:r>
          </w:p>
        </w:tc>
      </w:tr>
      <w:tr w:rsidR="00B9359B">
        <w:tc>
          <w:tcPr>
            <w:tcW w:w="2124" w:type="dxa"/>
          </w:tcPr>
          <w:p w:rsidR="00B9359B" w:rsidRDefault="009A5268">
            <w:pPr>
              <w:pStyle w:val="Tabletext"/>
              <w:jc w:val="left"/>
              <w:rPr>
                <w:lang w:val="en-US"/>
              </w:rPr>
            </w:pPr>
            <w:r>
              <w:rPr>
                <w:lang w:val="en-US"/>
              </w:rPr>
              <w:t>Conical scan side</w:t>
            </w:r>
            <w:r>
              <w:rPr>
                <w:lang w:val="en-US"/>
              </w:rPr>
              <w:noBreakHyphen/>
              <w:t>lobe (dB)</w:t>
            </w:r>
          </w:p>
        </w:tc>
        <w:tc>
          <w:tcPr>
            <w:tcW w:w="1302" w:type="dxa"/>
          </w:tcPr>
          <w:p w:rsidR="00B9359B" w:rsidRDefault="009A5268">
            <w:pPr>
              <w:pStyle w:val="Tabletext"/>
              <w:jc w:val="center"/>
              <w:rPr>
                <w:lang w:val="en-US"/>
              </w:rPr>
            </w:pPr>
            <w:r>
              <w:rPr>
                <w:lang w:val="en-US"/>
              </w:rPr>
              <w:t>–52.5</w:t>
            </w:r>
          </w:p>
        </w:tc>
        <w:tc>
          <w:tcPr>
            <w:tcW w:w="1302" w:type="dxa"/>
          </w:tcPr>
          <w:p w:rsidR="00B9359B" w:rsidRDefault="009A5268">
            <w:pPr>
              <w:pStyle w:val="Tabletext"/>
              <w:jc w:val="center"/>
              <w:rPr>
                <w:lang w:val="en-US"/>
              </w:rPr>
            </w:pPr>
            <w:r>
              <w:rPr>
                <w:lang w:val="en-US"/>
              </w:rPr>
              <w:t>–27</w:t>
            </w:r>
          </w:p>
        </w:tc>
        <w:tc>
          <w:tcPr>
            <w:tcW w:w="1036" w:type="dxa"/>
          </w:tcPr>
          <w:p w:rsidR="00B9359B" w:rsidRDefault="009A5268">
            <w:pPr>
              <w:pStyle w:val="Tabletext"/>
              <w:jc w:val="center"/>
              <w:rPr>
                <w:lang w:val="en-US"/>
              </w:rPr>
            </w:pPr>
            <w:r>
              <w:rPr>
                <w:lang w:val="en-US"/>
              </w:rPr>
              <w:t>–33.5</w:t>
            </w:r>
          </w:p>
        </w:tc>
        <w:tc>
          <w:tcPr>
            <w:tcW w:w="1000" w:type="dxa"/>
          </w:tcPr>
          <w:p w:rsidR="00B9359B" w:rsidRDefault="009A5268">
            <w:pPr>
              <w:pStyle w:val="Tabletext"/>
              <w:jc w:val="center"/>
              <w:rPr>
                <w:lang w:val="en-US"/>
              </w:rPr>
            </w:pPr>
            <w:r>
              <w:rPr>
                <w:lang w:val="en-US"/>
              </w:rPr>
              <w:t>–30.7</w:t>
            </w:r>
          </w:p>
        </w:tc>
        <w:tc>
          <w:tcPr>
            <w:tcW w:w="1000" w:type="dxa"/>
          </w:tcPr>
          <w:p w:rsidR="00B9359B" w:rsidRDefault="009A5268">
            <w:pPr>
              <w:pStyle w:val="Tabletext"/>
              <w:jc w:val="center"/>
              <w:rPr>
                <w:lang w:val="en-US"/>
              </w:rPr>
            </w:pPr>
            <w:r>
              <w:rPr>
                <w:lang w:val="en-US"/>
              </w:rPr>
              <w:t>–</w:t>
            </w:r>
            <w:r>
              <w:rPr>
                <w:sz w:val="4"/>
                <w:lang w:val="en-US"/>
              </w:rPr>
              <w:t> </w:t>
            </w:r>
            <w:r>
              <w:rPr>
                <w:lang w:val="en-US"/>
              </w:rPr>
              <w:t>46</w:t>
            </w:r>
          </w:p>
        </w:tc>
        <w:tc>
          <w:tcPr>
            <w:tcW w:w="1048" w:type="dxa"/>
          </w:tcPr>
          <w:p w:rsidR="00B9359B" w:rsidRDefault="009A5268">
            <w:pPr>
              <w:pStyle w:val="Tabletext"/>
              <w:jc w:val="center"/>
              <w:rPr>
                <w:lang w:val="en-US"/>
              </w:rPr>
            </w:pPr>
            <w:r>
              <w:rPr>
                <w:lang w:val="en-US"/>
              </w:rPr>
              <w:t>–</w:t>
            </w:r>
            <w:r>
              <w:rPr>
                <w:sz w:val="4"/>
                <w:lang w:val="en-US"/>
              </w:rPr>
              <w:t> </w:t>
            </w:r>
            <w:r>
              <w:rPr>
                <w:lang w:val="en-US"/>
              </w:rPr>
              <w:t>40</w:t>
            </w:r>
          </w:p>
        </w:tc>
        <w:tc>
          <w:tcPr>
            <w:tcW w:w="952" w:type="dxa"/>
          </w:tcPr>
          <w:p w:rsidR="00B9359B" w:rsidRDefault="009A5268">
            <w:pPr>
              <w:pStyle w:val="Tabletext"/>
              <w:jc w:val="center"/>
              <w:rPr>
                <w:lang w:val="en-US"/>
              </w:rPr>
            </w:pPr>
            <w:r>
              <w:rPr>
                <w:lang w:val="en-US"/>
              </w:rPr>
              <w:t>–22.8</w:t>
            </w:r>
          </w:p>
        </w:tc>
      </w:tr>
      <w:tr w:rsidR="00B9359B">
        <w:tc>
          <w:tcPr>
            <w:tcW w:w="9764" w:type="dxa"/>
            <w:gridSpan w:val="8"/>
            <w:shd w:val="clear" w:color="auto" w:fill="FFFFFF"/>
          </w:tcPr>
          <w:p w:rsidR="00B9359B" w:rsidRDefault="009A5268">
            <w:pPr>
              <w:pStyle w:val="Tabletext"/>
              <w:spacing w:before="60" w:after="60"/>
              <w:rPr>
                <w:i/>
                <w:iCs/>
                <w:lang w:val="en-US"/>
              </w:rPr>
            </w:pPr>
            <w:r>
              <w:rPr>
                <w:i/>
                <w:iCs/>
                <w:lang w:val="en-US"/>
              </w:rPr>
              <w:t>Case 2 – Transmitter side-lobe</w:t>
            </w:r>
          </w:p>
        </w:tc>
      </w:tr>
      <w:tr w:rsidR="00B9359B">
        <w:tc>
          <w:tcPr>
            <w:tcW w:w="2124" w:type="dxa"/>
          </w:tcPr>
          <w:p w:rsidR="00B9359B" w:rsidRDefault="009A5268">
            <w:pPr>
              <w:pStyle w:val="Tabletext"/>
              <w:jc w:val="left"/>
              <w:rPr>
                <w:lang w:val="en-US"/>
              </w:rPr>
            </w:pPr>
            <w:r>
              <w:rPr>
                <w:lang w:val="en-US"/>
              </w:rPr>
              <w:t>Conical scan mainbeam (dB)</w:t>
            </w:r>
          </w:p>
        </w:tc>
        <w:tc>
          <w:tcPr>
            <w:tcW w:w="1302" w:type="dxa"/>
          </w:tcPr>
          <w:p w:rsidR="00B9359B" w:rsidRDefault="009A5268">
            <w:pPr>
              <w:pStyle w:val="Tabletext"/>
              <w:jc w:val="center"/>
              <w:rPr>
                <w:lang w:val="en-US"/>
              </w:rPr>
            </w:pPr>
            <w:r>
              <w:rPr>
                <w:lang w:val="en-US"/>
              </w:rPr>
              <w:t>–18.9</w:t>
            </w:r>
          </w:p>
        </w:tc>
        <w:tc>
          <w:tcPr>
            <w:tcW w:w="1302" w:type="dxa"/>
          </w:tcPr>
          <w:p w:rsidR="00B9359B" w:rsidRDefault="009A5268">
            <w:pPr>
              <w:pStyle w:val="Tabletext"/>
              <w:jc w:val="center"/>
              <w:rPr>
                <w:lang w:val="en-US"/>
              </w:rPr>
            </w:pPr>
            <w:r>
              <w:rPr>
                <w:lang w:val="en-US"/>
              </w:rPr>
              <w:t>–11.3</w:t>
            </w:r>
          </w:p>
        </w:tc>
        <w:tc>
          <w:tcPr>
            <w:tcW w:w="1036" w:type="dxa"/>
          </w:tcPr>
          <w:p w:rsidR="00B9359B" w:rsidRDefault="009A5268">
            <w:pPr>
              <w:pStyle w:val="Tabletext"/>
              <w:jc w:val="center"/>
              <w:rPr>
                <w:lang w:val="en-US"/>
              </w:rPr>
            </w:pPr>
            <w:r>
              <w:rPr>
                <w:lang w:val="en-US"/>
              </w:rPr>
              <w:t>–19.4</w:t>
            </w:r>
          </w:p>
        </w:tc>
        <w:tc>
          <w:tcPr>
            <w:tcW w:w="1000" w:type="dxa"/>
          </w:tcPr>
          <w:p w:rsidR="00B9359B" w:rsidRDefault="009A5268">
            <w:pPr>
              <w:pStyle w:val="Tabletext"/>
              <w:jc w:val="center"/>
              <w:rPr>
                <w:lang w:val="en-US"/>
              </w:rPr>
            </w:pPr>
            <w:r>
              <w:rPr>
                <w:lang w:val="en-US"/>
              </w:rPr>
              <w:t>–3.3</w:t>
            </w:r>
          </w:p>
        </w:tc>
        <w:tc>
          <w:tcPr>
            <w:tcW w:w="1000" w:type="dxa"/>
          </w:tcPr>
          <w:p w:rsidR="00B9359B" w:rsidRDefault="009A5268">
            <w:pPr>
              <w:pStyle w:val="Tabletext"/>
              <w:jc w:val="center"/>
              <w:rPr>
                <w:lang w:val="en-US"/>
              </w:rPr>
            </w:pPr>
            <w:r>
              <w:rPr>
                <w:lang w:val="en-US"/>
              </w:rPr>
              <w:t>–30.1</w:t>
            </w:r>
          </w:p>
        </w:tc>
        <w:tc>
          <w:tcPr>
            <w:tcW w:w="1048" w:type="dxa"/>
          </w:tcPr>
          <w:p w:rsidR="00B9359B" w:rsidRDefault="009A5268">
            <w:pPr>
              <w:pStyle w:val="Tabletext"/>
              <w:jc w:val="center"/>
              <w:rPr>
                <w:lang w:val="en-US"/>
              </w:rPr>
            </w:pPr>
            <w:r>
              <w:rPr>
                <w:lang w:val="en-US"/>
              </w:rPr>
              <w:t>–14.6</w:t>
            </w:r>
          </w:p>
        </w:tc>
        <w:tc>
          <w:tcPr>
            <w:tcW w:w="952" w:type="dxa"/>
          </w:tcPr>
          <w:p w:rsidR="00B9359B" w:rsidRDefault="009A5268">
            <w:pPr>
              <w:pStyle w:val="Tabletext"/>
              <w:jc w:val="center"/>
              <w:rPr>
                <w:lang w:val="en-US"/>
              </w:rPr>
            </w:pPr>
            <w:r>
              <w:rPr>
                <w:lang w:val="en-US"/>
              </w:rPr>
              <w:t>–8.3</w:t>
            </w:r>
          </w:p>
        </w:tc>
      </w:tr>
      <w:tr w:rsidR="00B9359B">
        <w:tc>
          <w:tcPr>
            <w:tcW w:w="2124" w:type="dxa"/>
          </w:tcPr>
          <w:p w:rsidR="00B9359B" w:rsidRDefault="009A5268">
            <w:pPr>
              <w:pStyle w:val="Tabletext"/>
              <w:jc w:val="left"/>
              <w:rPr>
                <w:lang w:val="en-US"/>
              </w:rPr>
            </w:pPr>
            <w:r>
              <w:rPr>
                <w:lang w:val="en-US"/>
              </w:rPr>
              <w:t>Conical scan side</w:t>
            </w:r>
            <w:r>
              <w:rPr>
                <w:lang w:val="en-US"/>
              </w:rPr>
              <w:noBreakHyphen/>
              <w:t>lobe (dB)</w:t>
            </w:r>
          </w:p>
        </w:tc>
        <w:tc>
          <w:tcPr>
            <w:tcW w:w="1302" w:type="dxa"/>
            <w:shd w:val="pct10" w:color="auto" w:fill="auto"/>
          </w:tcPr>
          <w:p w:rsidR="00B9359B" w:rsidRDefault="009A5268">
            <w:pPr>
              <w:pStyle w:val="Tabletext"/>
              <w:jc w:val="center"/>
              <w:rPr>
                <w:lang w:val="en-US"/>
              </w:rPr>
            </w:pPr>
            <w:r>
              <w:rPr>
                <w:rFonts w:ascii="Symbol" w:hAnsi="Symbol"/>
              </w:rPr>
              <w:t></w:t>
            </w:r>
            <w:r>
              <w:rPr>
                <w:lang w:val="en-US"/>
              </w:rPr>
              <w:t>20.9</w:t>
            </w:r>
          </w:p>
        </w:tc>
        <w:tc>
          <w:tcPr>
            <w:tcW w:w="1302" w:type="dxa"/>
            <w:shd w:val="pct10" w:color="auto" w:fill="auto"/>
          </w:tcPr>
          <w:p w:rsidR="00B9359B" w:rsidRDefault="009A5268">
            <w:pPr>
              <w:pStyle w:val="Tabletext"/>
              <w:jc w:val="center"/>
              <w:rPr>
                <w:lang w:val="en-US"/>
              </w:rPr>
            </w:pPr>
            <w:r>
              <w:rPr>
                <w:rFonts w:ascii="Symbol" w:hAnsi="Symbol"/>
              </w:rPr>
              <w:t></w:t>
            </w:r>
            <w:r>
              <w:rPr>
                <w:lang w:val="en-US"/>
              </w:rPr>
              <w:t>28.5</w:t>
            </w:r>
          </w:p>
        </w:tc>
        <w:tc>
          <w:tcPr>
            <w:tcW w:w="1036" w:type="dxa"/>
            <w:shd w:val="pct10" w:color="auto" w:fill="auto"/>
          </w:tcPr>
          <w:p w:rsidR="00B9359B" w:rsidRDefault="009A5268">
            <w:pPr>
              <w:pStyle w:val="Tabletext"/>
              <w:jc w:val="center"/>
              <w:rPr>
                <w:lang w:val="en-US"/>
              </w:rPr>
            </w:pPr>
            <w:r>
              <w:rPr>
                <w:rFonts w:ascii="Symbol" w:hAnsi="Symbol"/>
              </w:rPr>
              <w:t></w:t>
            </w:r>
            <w:r>
              <w:rPr>
                <w:lang w:val="en-US"/>
              </w:rPr>
              <w:t>20.4</w:t>
            </w:r>
          </w:p>
        </w:tc>
        <w:tc>
          <w:tcPr>
            <w:tcW w:w="1000" w:type="dxa"/>
            <w:shd w:val="pct10" w:color="auto" w:fill="auto"/>
          </w:tcPr>
          <w:p w:rsidR="00B9359B" w:rsidRDefault="009A5268">
            <w:pPr>
              <w:pStyle w:val="Tabletext"/>
              <w:jc w:val="center"/>
              <w:rPr>
                <w:lang w:val="en-US"/>
              </w:rPr>
            </w:pPr>
            <w:r>
              <w:rPr>
                <w:rFonts w:ascii="Symbol" w:hAnsi="Symbol"/>
              </w:rPr>
              <w:t></w:t>
            </w:r>
            <w:r>
              <w:rPr>
                <w:lang w:val="en-US"/>
              </w:rPr>
              <w:t>36.5</w:t>
            </w:r>
          </w:p>
        </w:tc>
        <w:tc>
          <w:tcPr>
            <w:tcW w:w="1000" w:type="dxa"/>
            <w:shd w:val="pct10" w:color="auto" w:fill="auto"/>
          </w:tcPr>
          <w:p w:rsidR="00B9359B" w:rsidRDefault="009A5268">
            <w:pPr>
              <w:pStyle w:val="Tabletext"/>
              <w:jc w:val="center"/>
              <w:rPr>
                <w:lang w:val="en-US"/>
              </w:rPr>
            </w:pPr>
            <w:r>
              <w:rPr>
                <w:rFonts w:ascii="Symbol" w:hAnsi="Symbol"/>
              </w:rPr>
              <w:t></w:t>
            </w:r>
            <w:r>
              <w:rPr>
                <w:lang w:val="en-US"/>
              </w:rPr>
              <w:t>9.7</w:t>
            </w:r>
          </w:p>
        </w:tc>
        <w:tc>
          <w:tcPr>
            <w:tcW w:w="1048" w:type="dxa"/>
            <w:shd w:val="pct10" w:color="auto" w:fill="auto"/>
          </w:tcPr>
          <w:p w:rsidR="00B9359B" w:rsidRDefault="009A5268">
            <w:pPr>
              <w:pStyle w:val="Tabletext"/>
              <w:jc w:val="center"/>
              <w:rPr>
                <w:lang w:val="en-US"/>
              </w:rPr>
            </w:pPr>
            <w:r>
              <w:rPr>
                <w:rFonts w:ascii="Symbol" w:hAnsi="Symbol"/>
              </w:rPr>
              <w:t></w:t>
            </w:r>
            <w:r>
              <w:rPr>
                <w:lang w:val="en-US"/>
              </w:rPr>
              <w:t>15.4</w:t>
            </w:r>
          </w:p>
        </w:tc>
        <w:tc>
          <w:tcPr>
            <w:tcW w:w="952" w:type="dxa"/>
            <w:shd w:val="pct10" w:color="auto" w:fill="auto"/>
          </w:tcPr>
          <w:p w:rsidR="00B9359B" w:rsidRDefault="009A5268">
            <w:pPr>
              <w:pStyle w:val="Tabletext"/>
              <w:jc w:val="center"/>
              <w:rPr>
                <w:lang w:val="en-US"/>
              </w:rPr>
            </w:pPr>
            <w:r>
              <w:rPr>
                <w:rFonts w:ascii="Symbol" w:hAnsi="Symbol"/>
              </w:rPr>
              <w:t></w:t>
            </w:r>
            <w:r>
              <w:rPr>
                <w:lang w:val="en-US"/>
              </w:rPr>
              <w:t>31.5</w:t>
            </w:r>
          </w:p>
        </w:tc>
      </w:tr>
    </w:tbl>
    <w:p w:rsidR="00B9359B" w:rsidRDefault="00B9359B">
      <w:pPr>
        <w:pStyle w:val="Tablefin"/>
        <w:spacing w:before="0"/>
        <w:rPr>
          <w:sz w:val="6"/>
          <w:lang w:val="en-US"/>
        </w:rPr>
      </w:pPr>
    </w:p>
    <w:p w:rsidR="00B9359B" w:rsidRDefault="009A5268">
      <w:pPr>
        <w:pStyle w:val="TableNo"/>
        <w:rPr>
          <w:lang w:val="en-US"/>
        </w:rPr>
      </w:pPr>
      <w:r>
        <w:rPr>
          <w:lang w:val="en-US"/>
        </w:rPr>
        <w:br w:type="page"/>
        <w:t>TABLE  61</w:t>
      </w:r>
    </w:p>
    <w:p w:rsidR="00B9359B" w:rsidRDefault="009A5268">
      <w:pPr>
        <w:pStyle w:val="Tabletitle"/>
        <w:rPr>
          <w:lang w:val="en-US"/>
        </w:rPr>
      </w:pPr>
      <w:r>
        <w:rPr>
          <w:lang w:val="en-US"/>
        </w:rPr>
        <w:t>On tune interference margin for non-GSO systems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3"/>
        <w:gridCol w:w="1446"/>
        <w:gridCol w:w="1315"/>
        <w:gridCol w:w="1424"/>
        <w:gridCol w:w="1361"/>
      </w:tblGrid>
      <w:tr w:rsidR="00B9359B">
        <w:trPr>
          <w:cantSplit/>
        </w:trPr>
        <w:tc>
          <w:tcPr>
            <w:tcW w:w="4093" w:type="dxa"/>
          </w:tcPr>
          <w:p w:rsidR="00B9359B" w:rsidRDefault="009A5268">
            <w:pPr>
              <w:pStyle w:val="Tablehead"/>
              <w:framePr w:hSpace="181" w:wrap="notBeside" w:vAnchor="text" w:hAnchor="text" w:xAlign="center" w:y="1"/>
              <w:spacing w:before="160" w:after="160"/>
              <w:rPr>
                <w:lang w:val="en-US"/>
              </w:rPr>
            </w:pPr>
            <w:r>
              <w:rPr>
                <w:lang w:val="en-US"/>
              </w:rPr>
              <w:t>System</w:t>
            </w:r>
          </w:p>
        </w:tc>
        <w:tc>
          <w:tcPr>
            <w:tcW w:w="1446" w:type="dxa"/>
          </w:tcPr>
          <w:p w:rsidR="00B9359B" w:rsidRDefault="009A5268">
            <w:pPr>
              <w:pStyle w:val="Tablehead"/>
              <w:framePr w:hSpace="181" w:wrap="notBeside" w:vAnchor="text" w:hAnchor="text" w:xAlign="center" w:y="1"/>
              <w:spacing w:before="160" w:after="160"/>
              <w:rPr>
                <w:lang w:val="en-US"/>
              </w:rPr>
            </w:pPr>
            <w:r>
              <w:rPr>
                <w:lang w:val="en-US"/>
              </w:rPr>
              <w:t>LEOSAT-2</w:t>
            </w:r>
          </w:p>
        </w:tc>
        <w:tc>
          <w:tcPr>
            <w:tcW w:w="1315" w:type="dxa"/>
          </w:tcPr>
          <w:p w:rsidR="00B9359B" w:rsidRDefault="009A5268">
            <w:pPr>
              <w:pStyle w:val="Tablehead"/>
              <w:framePr w:hSpace="181" w:wrap="notBeside" w:vAnchor="text" w:hAnchor="text" w:xAlign="center" w:y="1"/>
              <w:spacing w:before="160" w:after="160"/>
              <w:rPr>
                <w:lang w:val="en-US"/>
              </w:rPr>
            </w:pPr>
            <w:r>
              <w:rPr>
                <w:lang w:val="en-US"/>
              </w:rPr>
              <w:t>LEO-A</w:t>
            </w:r>
          </w:p>
        </w:tc>
        <w:tc>
          <w:tcPr>
            <w:tcW w:w="1424" w:type="dxa"/>
          </w:tcPr>
          <w:p w:rsidR="00B9359B" w:rsidRDefault="009A5268">
            <w:pPr>
              <w:pStyle w:val="Tablehead"/>
              <w:framePr w:hSpace="181" w:wrap="notBeside" w:vAnchor="text" w:hAnchor="text" w:xAlign="center" w:y="1"/>
              <w:spacing w:before="160" w:after="160"/>
              <w:rPr>
                <w:lang w:val="es-ES"/>
              </w:rPr>
            </w:pPr>
            <w:r>
              <w:rPr>
                <w:lang w:val="es-ES"/>
              </w:rPr>
              <w:t>LEO-B</w:t>
            </w:r>
          </w:p>
        </w:tc>
        <w:tc>
          <w:tcPr>
            <w:tcW w:w="1361" w:type="dxa"/>
          </w:tcPr>
          <w:p w:rsidR="00B9359B" w:rsidRDefault="009A5268">
            <w:pPr>
              <w:pStyle w:val="Tablehead"/>
              <w:framePr w:hSpace="181" w:wrap="notBeside" w:vAnchor="text" w:hAnchor="text" w:xAlign="center" w:y="1"/>
              <w:spacing w:before="160" w:after="160"/>
              <w:rPr>
                <w:lang w:val="es-ES"/>
              </w:rPr>
            </w:pPr>
            <w:r>
              <w:rPr>
                <w:lang w:val="es-ES"/>
              </w:rPr>
              <w:t>LEOSAT-1</w:t>
            </w:r>
          </w:p>
        </w:tc>
      </w:tr>
      <w:tr w:rsidR="00B9359B">
        <w:trPr>
          <w:cantSplit/>
        </w:trPr>
        <w:tc>
          <w:tcPr>
            <w:tcW w:w="9639" w:type="dxa"/>
            <w:gridSpan w:val="5"/>
            <w:shd w:val="clear" w:color="auto" w:fill="FFFFFF"/>
          </w:tcPr>
          <w:p w:rsidR="00B9359B" w:rsidRDefault="009A5268">
            <w:pPr>
              <w:pStyle w:val="Tabletext"/>
              <w:framePr w:hSpace="181" w:wrap="notBeside" w:vAnchor="text" w:hAnchor="text" w:xAlign="center" w:y="1"/>
              <w:spacing w:before="120" w:after="120"/>
              <w:rPr>
                <w:i/>
                <w:iCs/>
                <w:lang w:val="en-US"/>
              </w:rPr>
            </w:pPr>
            <w:r>
              <w:rPr>
                <w:i/>
                <w:iCs/>
                <w:lang w:val="en-US"/>
              </w:rPr>
              <w:t>Case 1 – Transmitter mainbeam</w:t>
            </w:r>
          </w:p>
        </w:tc>
      </w:tr>
      <w:tr w:rsidR="00B9359B">
        <w:trPr>
          <w:cantSplit/>
        </w:trPr>
        <w:tc>
          <w:tcPr>
            <w:tcW w:w="4093" w:type="dxa"/>
          </w:tcPr>
          <w:p w:rsidR="00B9359B" w:rsidRDefault="009A5268">
            <w:pPr>
              <w:pStyle w:val="Tabletext"/>
              <w:framePr w:hSpace="181" w:wrap="notBeside" w:vAnchor="text" w:hAnchor="text" w:xAlign="center" w:y="1"/>
              <w:spacing w:before="120" w:after="120"/>
              <w:rPr>
                <w:lang w:val="en-US"/>
              </w:rPr>
            </w:pPr>
            <w:r>
              <w:rPr>
                <w:lang w:val="en-US"/>
              </w:rPr>
              <w:t>Conical scan mainbeam (dB)</w:t>
            </w:r>
          </w:p>
        </w:tc>
        <w:tc>
          <w:tcPr>
            <w:tcW w:w="1446" w:type="dxa"/>
          </w:tcPr>
          <w:p w:rsidR="00B9359B" w:rsidRDefault="009A5268">
            <w:pPr>
              <w:pStyle w:val="Tabletext"/>
              <w:framePr w:hSpace="181" w:wrap="notBeside" w:vAnchor="text" w:hAnchor="text" w:xAlign="center" w:y="1"/>
              <w:spacing w:before="120" w:after="120"/>
              <w:jc w:val="center"/>
              <w:rPr>
                <w:lang w:val="en-US"/>
              </w:rPr>
            </w:pPr>
            <w:r>
              <w:rPr>
                <w:lang w:val="en-US"/>
              </w:rPr>
              <w:t>–73.8</w:t>
            </w:r>
          </w:p>
        </w:tc>
        <w:tc>
          <w:tcPr>
            <w:tcW w:w="1315" w:type="dxa"/>
          </w:tcPr>
          <w:p w:rsidR="00B9359B" w:rsidRDefault="009A5268">
            <w:pPr>
              <w:pStyle w:val="Tabletext"/>
              <w:framePr w:hSpace="181" w:wrap="notBeside" w:vAnchor="text" w:hAnchor="text" w:xAlign="center" w:y="1"/>
              <w:spacing w:before="120" w:after="120"/>
              <w:jc w:val="center"/>
              <w:rPr>
                <w:lang w:val="en-US"/>
              </w:rPr>
            </w:pPr>
            <w:r>
              <w:rPr>
                <w:lang w:val="en-US"/>
              </w:rPr>
              <w:t>–61.8</w:t>
            </w:r>
          </w:p>
        </w:tc>
        <w:tc>
          <w:tcPr>
            <w:tcW w:w="1424" w:type="dxa"/>
          </w:tcPr>
          <w:p w:rsidR="00B9359B" w:rsidRDefault="009A5268">
            <w:pPr>
              <w:pStyle w:val="Tabletext"/>
              <w:framePr w:hSpace="181" w:wrap="notBeside" w:vAnchor="text" w:hAnchor="text" w:xAlign="center" w:y="1"/>
              <w:spacing w:before="120" w:after="120"/>
              <w:jc w:val="center"/>
              <w:rPr>
                <w:lang w:val="en-US"/>
              </w:rPr>
            </w:pPr>
            <w:r>
              <w:rPr>
                <w:lang w:val="en-US"/>
              </w:rPr>
              <w:t>–72.55</w:t>
            </w:r>
          </w:p>
        </w:tc>
        <w:tc>
          <w:tcPr>
            <w:tcW w:w="1361" w:type="dxa"/>
          </w:tcPr>
          <w:p w:rsidR="00B9359B" w:rsidRDefault="009A5268">
            <w:pPr>
              <w:pStyle w:val="Tabletext"/>
              <w:framePr w:hSpace="181" w:wrap="notBeside" w:vAnchor="text" w:hAnchor="text" w:xAlign="center" w:y="1"/>
              <w:spacing w:before="120" w:after="120"/>
              <w:jc w:val="center"/>
              <w:rPr>
                <w:lang w:val="en-US"/>
              </w:rPr>
            </w:pPr>
            <w:r>
              <w:rPr>
                <w:lang w:val="en-US"/>
              </w:rPr>
              <w:t>–</w:t>
            </w:r>
            <w:r>
              <w:rPr>
                <w:sz w:val="4"/>
                <w:lang w:val="en-US"/>
              </w:rPr>
              <w:t> </w:t>
            </w:r>
            <w:r>
              <w:rPr>
                <w:lang w:val="en-US"/>
              </w:rPr>
              <w:t>44.9</w:t>
            </w:r>
          </w:p>
        </w:tc>
      </w:tr>
      <w:tr w:rsidR="00B9359B">
        <w:trPr>
          <w:cantSplit/>
        </w:trPr>
        <w:tc>
          <w:tcPr>
            <w:tcW w:w="4093" w:type="dxa"/>
          </w:tcPr>
          <w:p w:rsidR="00B9359B" w:rsidRDefault="009A5268">
            <w:pPr>
              <w:pStyle w:val="Tabletext"/>
              <w:framePr w:hSpace="181" w:wrap="notBeside" w:vAnchor="text" w:hAnchor="text" w:xAlign="center" w:y="1"/>
              <w:spacing w:before="120" w:after="120"/>
              <w:rPr>
                <w:lang w:val="en-US"/>
              </w:rPr>
            </w:pPr>
            <w:r>
              <w:rPr>
                <w:lang w:val="en-US"/>
              </w:rPr>
              <w:t>Conical scan side-lobe (dB)</w:t>
            </w:r>
          </w:p>
        </w:tc>
        <w:tc>
          <w:tcPr>
            <w:tcW w:w="1446" w:type="dxa"/>
          </w:tcPr>
          <w:p w:rsidR="00B9359B" w:rsidRDefault="009A5268">
            <w:pPr>
              <w:pStyle w:val="Tabletext"/>
              <w:framePr w:hSpace="181" w:wrap="notBeside" w:vAnchor="text" w:hAnchor="text" w:xAlign="center" w:y="1"/>
              <w:spacing w:before="120" w:after="120"/>
              <w:jc w:val="center"/>
              <w:rPr>
                <w:lang w:val="en-US"/>
              </w:rPr>
            </w:pPr>
            <w:r>
              <w:rPr>
                <w:lang w:val="en-US"/>
              </w:rPr>
              <w:t>–34.0</w:t>
            </w:r>
          </w:p>
        </w:tc>
        <w:tc>
          <w:tcPr>
            <w:tcW w:w="1315" w:type="dxa"/>
          </w:tcPr>
          <w:p w:rsidR="00B9359B" w:rsidRDefault="009A5268">
            <w:pPr>
              <w:pStyle w:val="Tabletext"/>
              <w:framePr w:hSpace="181" w:wrap="notBeside" w:vAnchor="text" w:hAnchor="text" w:xAlign="center" w:y="1"/>
              <w:spacing w:before="120" w:after="120"/>
              <w:jc w:val="center"/>
              <w:rPr>
                <w:lang w:val="en-US"/>
              </w:rPr>
            </w:pPr>
            <w:r>
              <w:rPr>
                <w:lang w:val="en-US"/>
              </w:rPr>
              <w:t>–22.0</w:t>
            </w:r>
          </w:p>
        </w:tc>
        <w:tc>
          <w:tcPr>
            <w:tcW w:w="1424" w:type="dxa"/>
          </w:tcPr>
          <w:p w:rsidR="00B9359B" w:rsidRDefault="009A5268">
            <w:pPr>
              <w:pStyle w:val="Tabletext"/>
              <w:framePr w:hSpace="181" w:wrap="notBeside" w:vAnchor="text" w:hAnchor="text" w:xAlign="center" w:y="1"/>
              <w:spacing w:before="120" w:after="120"/>
              <w:jc w:val="center"/>
              <w:rPr>
                <w:lang w:val="en-US"/>
              </w:rPr>
            </w:pPr>
            <w:r>
              <w:rPr>
                <w:lang w:val="en-US"/>
              </w:rPr>
              <w:t>–32.75</w:t>
            </w:r>
          </w:p>
        </w:tc>
        <w:tc>
          <w:tcPr>
            <w:tcW w:w="1361" w:type="dxa"/>
          </w:tcPr>
          <w:p w:rsidR="00B9359B" w:rsidRDefault="009A5268">
            <w:pPr>
              <w:pStyle w:val="Tabletext"/>
              <w:framePr w:hSpace="181" w:wrap="notBeside" w:vAnchor="text" w:hAnchor="text" w:xAlign="center" w:y="1"/>
              <w:spacing w:before="120" w:after="120"/>
              <w:jc w:val="center"/>
              <w:rPr>
                <w:lang w:val="en-US"/>
              </w:rPr>
            </w:pPr>
            <w:r>
              <w:rPr>
                <w:lang w:val="en-US"/>
              </w:rPr>
              <w:t>–5.1</w:t>
            </w:r>
          </w:p>
        </w:tc>
      </w:tr>
      <w:tr w:rsidR="00B9359B">
        <w:trPr>
          <w:cantSplit/>
        </w:trPr>
        <w:tc>
          <w:tcPr>
            <w:tcW w:w="9639" w:type="dxa"/>
            <w:gridSpan w:val="5"/>
            <w:shd w:val="clear" w:color="auto" w:fill="FFFFFF"/>
          </w:tcPr>
          <w:p w:rsidR="00B9359B" w:rsidRDefault="009A5268">
            <w:pPr>
              <w:pStyle w:val="Tabletext"/>
              <w:framePr w:hSpace="181" w:wrap="notBeside" w:vAnchor="text" w:hAnchor="text" w:xAlign="center" w:y="1"/>
              <w:spacing w:before="120" w:after="120"/>
              <w:rPr>
                <w:i/>
                <w:iCs/>
                <w:lang w:val="en-US"/>
              </w:rPr>
            </w:pPr>
            <w:r>
              <w:rPr>
                <w:i/>
                <w:iCs/>
                <w:lang w:val="en-US"/>
              </w:rPr>
              <w:t>Case 2 – Transmitter side-lobe</w:t>
            </w:r>
          </w:p>
        </w:tc>
      </w:tr>
      <w:tr w:rsidR="00B9359B">
        <w:trPr>
          <w:cantSplit/>
        </w:trPr>
        <w:tc>
          <w:tcPr>
            <w:tcW w:w="4093" w:type="dxa"/>
          </w:tcPr>
          <w:p w:rsidR="00B9359B" w:rsidRDefault="009A5268">
            <w:pPr>
              <w:pStyle w:val="Tabletext"/>
              <w:framePr w:hSpace="181" w:wrap="notBeside" w:vAnchor="text" w:hAnchor="text" w:xAlign="center" w:y="1"/>
              <w:spacing w:before="120" w:after="120"/>
              <w:rPr>
                <w:lang w:val="en-US"/>
              </w:rPr>
            </w:pPr>
            <w:r>
              <w:rPr>
                <w:lang w:val="en-US"/>
              </w:rPr>
              <w:t>Conical scan mainbeam (dB)</w:t>
            </w:r>
          </w:p>
        </w:tc>
        <w:tc>
          <w:tcPr>
            <w:tcW w:w="1446" w:type="dxa"/>
          </w:tcPr>
          <w:p w:rsidR="00B9359B" w:rsidRDefault="009A5268">
            <w:pPr>
              <w:pStyle w:val="Tabletext"/>
              <w:framePr w:hSpace="181" w:wrap="notBeside" w:vAnchor="text" w:hAnchor="text" w:xAlign="center" w:y="1"/>
              <w:spacing w:before="120" w:after="120"/>
              <w:jc w:val="center"/>
              <w:rPr>
                <w:lang w:val="en-US"/>
              </w:rPr>
            </w:pPr>
            <w:r>
              <w:rPr>
                <w:lang w:val="en-US"/>
              </w:rPr>
              <w:t>N/A</w:t>
            </w:r>
          </w:p>
        </w:tc>
        <w:tc>
          <w:tcPr>
            <w:tcW w:w="1315" w:type="dxa"/>
          </w:tcPr>
          <w:p w:rsidR="00B9359B" w:rsidRDefault="009A5268">
            <w:pPr>
              <w:pStyle w:val="Tabletext"/>
              <w:framePr w:hSpace="181" w:wrap="notBeside" w:vAnchor="text" w:hAnchor="text" w:xAlign="center" w:y="1"/>
              <w:spacing w:before="120" w:after="120"/>
              <w:jc w:val="center"/>
              <w:rPr>
                <w:lang w:val="en-US"/>
              </w:rPr>
            </w:pPr>
            <w:r>
              <w:rPr>
                <w:lang w:val="en-US"/>
              </w:rPr>
              <w:t>–5.5</w:t>
            </w:r>
          </w:p>
        </w:tc>
        <w:tc>
          <w:tcPr>
            <w:tcW w:w="1424" w:type="dxa"/>
          </w:tcPr>
          <w:p w:rsidR="00B9359B" w:rsidRDefault="009A5268">
            <w:pPr>
              <w:pStyle w:val="Tabletext"/>
              <w:framePr w:hSpace="181" w:wrap="notBeside" w:vAnchor="text" w:hAnchor="text" w:xAlign="center" w:y="1"/>
              <w:spacing w:before="120" w:after="120"/>
              <w:jc w:val="center"/>
              <w:rPr>
                <w:lang w:val="en-US"/>
              </w:rPr>
            </w:pPr>
            <w:r>
              <w:rPr>
                <w:lang w:val="en-US"/>
              </w:rPr>
              <w:t>–7.75</w:t>
            </w:r>
          </w:p>
        </w:tc>
        <w:tc>
          <w:tcPr>
            <w:tcW w:w="1361" w:type="dxa"/>
          </w:tcPr>
          <w:p w:rsidR="00B9359B" w:rsidRDefault="009A5268">
            <w:pPr>
              <w:pStyle w:val="Tabletext"/>
              <w:framePr w:hSpace="181" w:wrap="notBeside" w:vAnchor="text" w:hAnchor="text" w:xAlign="center" w:y="1"/>
              <w:spacing w:before="120" w:after="120"/>
              <w:jc w:val="center"/>
              <w:rPr>
                <w:lang w:val="en-US"/>
              </w:rPr>
            </w:pPr>
            <w:r>
              <w:rPr>
                <w:lang w:val="en-US"/>
              </w:rPr>
              <w:t>–8.9</w:t>
            </w:r>
          </w:p>
        </w:tc>
      </w:tr>
      <w:tr w:rsidR="00B9359B">
        <w:trPr>
          <w:cantSplit/>
        </w:trPr>
        <w:tc>
          <w:tcPr>
            <w:tcW w:w="4093" w:type="dxa"/>
          </w:tcPr>
          <w:p w:rsidR="00B9359B" w:rsidRDefault="009A5268">
            <w:pPr>
              <w:pStyle w:val="Tabletext"/>
              <w:framePr w:hSpace="181" w:wrap="notBeside" w:vAnchor="text" w:hAnchor="text" w:xAlign="center" w:y="1"/>
              <w:spacing w:before="120" w:after="120"/>
              <w:rPr>
                <w:lang w:val="en-US"/>
              </w:rPr>
            </w:pPr>
            <w:r>
              <w:rPr>
                <w:lang w:val="en-US"/>
              </w:rPr>
              <w:t>Conical scan side-lobe (dB)</w:t>
            </w:r>
          </w:p>
        </w:tc>
        <w:tc>
          <w:tcPr>
            <w:tcW w:w="1446" w:type="dxa"/>
          </w:tcPr>
          <w:p w:rsidR="00B9359B" w:rsidRDefault="009A5268">
            <w:pPr>
              <w:pStyle w:val="Tabletext"/>
              <w:framePr w:hSpace="181" w:wrap="notBeside" w:vAnchor="text" w:hAnchor="text" w:xAlign="center" w:y="1"/>
              <w:spacing w:before="120" w:after="120"/>
              <w:jc w:val="center"/>
              <w:rPr>
                <w:lang w:val="en-US"/>
              </w:rPr>
            </w:pPr>
            <w:r>
              <w:rPr>
                <w:lang w:val="en-US"/>
              </w:rPr>
              <w:t>N/A</w:t>
            </w:r>
          </w:p>
        </w:tc>
        <w:tc>
          <w:tcPr>
            <w:tcW w:w="1315" w:type="dxa"/>
            <w:shd w:val="pct10" w:color="auto" w:fill="auto"/>
          </w:tcPr>
          <w:p w:rsidR="00B9359B" w:rsidRDefault="009A5268">
            <w:pPr>
              <w:pStyle w:val="Tabletext"/>
              <w:framePr w:hSpace="181" w:wrap="notBeside" w:vAnchor="text" w:hAnchor="text" w:xAlign="center" w:y="1"/>
              <w:spacing w:before="120" w:after="120"/>
              <w:jc w:val="center"/>
              <w:rPr>
                <w:rFonts w:ascii="Symbol" w:hAnsi="Symbol"/>
                <w:lang w:val="en-US"/>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p>
        </w:tc>
        <w:tc>
          <w:tcPr>
            <w:tcW w:w="1424" w:type="dxa"/>
            <w:shd w:val="pct10" w:color="auto" w:fill="auto"/>
          </w:tcPr>
          <w:p w:rsidR="00B9359B" w:rsidRDefault="009A5268">
            <w:pPr>
              <w:pStyle w:val="Tabletext"/>
              <w:framePr w:hSpace="181" w:wrap="notBeside" w:vAnchor="text" w:hAnchor="text" w:xAlign="center" w:y="1"/>
              <w:spacing w:before="120" w:after="120"/>
              <w:jc w:val="center"/>
              <w:rPr>
                <w:rFonts w:ascii="Symbol" w:hAnsi="Symbol"/>
                <w:lang w:val="en-US"/>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p>
        </w:tc>
        <w:tc>
          <w:tcPr>
            <w:tcW w:w="1361" w:type="dxa"/>
            <w:shd w:val="pct10" w:color="auto" w:fill="auto"/>
          </w:tcPr>
          <w:p w:rsidR="00B9359B" w:rsidRDefault="009A5268">
            <w:pPr>
              <w:pStyle w:val="Tabletext"/>
              <w:framePr w:hSpace="181" w:wrap="notBeside" w:vAnchor="text" w:hAnchor="text" w:xAlign="center" w:y="1"/>
              <w:spacing w:before="120" w:after="120"/>
              <w:jc w:val="center"/>
              <w:rPr>
                <w:rFonts w:ascii="Symbol" w:hAnsi="Symbol"/>
                <w:lang w:val="en-US"/>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p>
        </w:tc>
      </w:tr>
    </w:tbl>
    <w:p w:rsidR="00B9359B" w:rsidRDefault="00B9359B">
      <w:pPr>
        <w:pStyle w:val="Tablefin"/>
        <w:rPr>
          <w:lang w:val="en-US"/>
        </w:rPr>
      </w:pPr>
    </w:p>
    <w:p w:rsidR="00B9359B" w:rsidRDefault="009A5268">
      <w:pPr>
        <w:pStyle w:val="Heading2"/>
        <w:rPr>
          <w:lang w:val="en-US"/>
        </w:rPr>
      </w:pPr>
      <w:bookmarkStart w:id="418" w:name="_Toc51045818"/>
      <w:r>
        <w:rPr>
          <w:lang w:val="en-US"/>
        </w:rPr>
        <w:t>4.3</w:t>
      </w:r>
      <w:r>
        <w:rPr>
          <w:lang w:val="en-US"/>
        </w:rPr>
        <w:tab/>
        <w:t>Nadir sounder “push-broom”: Calculation of interference level</w:t>
      </w:r>
      <w:bookmarkEnd w:id="418"/>
    </w:p>
    <w:p w:rsidR="00B9359B" w:rsidRDefault="00B9359B">
      <w:pPr>
        <w:rPr>
          <w:lang w:val="en-US"/>
        </w:rPr>
      </w:pPr>
    </w:p>
    <w:p w:rsidR="00B9359B" w:rsidRDefault="009A5268">
      <w:pPr>
        <w:rPr>
          <w:lang w:val="en-US"/>
        </w:rPr>
      </w:pPr>
      <w:r>
        <w:rPr>
          <w:lang w:val="en-US"/>
        </w:rPr>
        <w:t>The following basic hypothesis are adopted for the analysis:</w:t>
      </w:r>
    </w:p>
    <w:p w:rsidR="00B9359B" w:rsidRDefault="00B9359B">
      <w:pPr>
        <w:rPr>
          <w:lang w:val="en-US"/>
        </w:rPr>
      </w:pPr>
    </w:p>
    <w:p w:rsidR="00B9359B" w:rsidRDefault="009A5268">
      <w:pPr>
        <w:pStyle w:val="enumlev1"/>
        <w:rPr>
          <w:lang w:val="en-US"/>
        </w:rPr>
      </w:pPr>
      <w:r>
        <w:rPr>
          <w:lang w:val="en-US"/>
        </w:rPr>
        <w:t>–</w:t>
      </w:r>
      <w:r>
        <w:rPr>
          <w:lang w:val="en-US"/>
        </w:rPr>
        <w:tab/>
        <w:t>Interference occurs via direct coupling between the passive sensor and the FSS earth station antennas.</w:t>
      </w:r>
    </w:p>
    <w:p w:rsidR="00B9359B" w:rsidRDefault="00B9359B">
      <w:pPr>
        <w:pStyle w:val="enumlev1"/>
        <w:rPr>
          <w:lang w:val="en-US"/>
        </w:rPr>
      </w:pPr>
    </w:p>
    <w:p w:rsidR="00B9359B" w:rsidRDefault="009A5268">
      <w:pPr>
        <w:pStyle w:val="enumlev1"/>
        <w:rPr>
          <w:lang w:val="en-US"/>
        </w:rPr>
      </w:pPr>
      <w:r>
        <w:rPr>
          <w:lang w:val="en-US"/>
        </w:rPr>
        <w:t>–</w:t>
      </w:r>
      <w:r>
        <w:rPr>
          <w:lang w:val="en-US"/>
        </w:rPr>
        <w:tab/>
        <w:t>Both antennas are modelled using Recommendation ITU</w:t>
      </w:r>
      <w:r>
        <w:rPr>
          <w:lang w:val="en-US"/>
        </w:rPr>
        <w:noBreakHyphen/>
        <w:t>R F.1245.</w:t>
      </w:r>
    </w:p>
    <w:p w:rsidR="00B9359B" w:rsidRDefault="00B9359B">
      <w:pPr>
        <w:pStyle w:val="enumlev1"/>
        <w:rPr>
          <w:lang w:val="en-US"/>
        </w:rPr>
      </w:pPr>
    </w:p>
    <w:p w:rsidR="00B9359B" w:rsidRDefault="009A5268">
      <w:pPr>
        <w:pStyle w:val="enumlev1"/>
        <w:rPr>
          <w:lang w:val="en-US"/>
        </w:rPr>
      </w:pPr>
      <w:r>
        <w:rPr>
          <w:lang w:val="en-US"/>
        </w:rPr>
        <w:t>–</w:t>
      </w:r>
      <w:r>
        <w:rPr>
          <w:lang w:val="en-US"/>
        </w:rPr>
        <w:tab/>
        <w:t>In an attempt to identify possibly worst-case configurations, it is assumed that the pointing direction of the FSS/MSS earth station (aiming at the geostationary orbit in case of GSO FSS/MSS system is contained in the orbit plane of the Earth exploration-satellite. This configuration renders possible sensor side-lobe to earth station main-lobe and sensor main-lobe to earth station side-lobe interfering paths. Main-lobe to main-lobe interfering paths are also possible; in case of GSO systems, this can occur only with earth stations located near the equator; in case of non-GSO systems, this can occur everywhere. Their probability of occurrence should be studied further in a dynamic analysis which is not implemented in this study.</w:t>
      </w:r>
    </w:p>
    <w:p w:rsidR="00B9359B" w:rsidRDefault="00B9359B">
      <w:pPr>
        <w:pStyle w:val="enumlev1"/>
        <w:rPr>
          <w:lang w:val="en-US"/>
        </w:rPr>
      </w:pPr>
    </w:p>
    <w:p w:rsidR="00B9359B" w:rsidRDefault="009A5268">
      <w:pPr>
        <w:pStyle w:val="enumlev1"/>
        <w:rPr>
          <w:lang w:val="en-US"/>
        </w:rPr>
      </w:pPr>
      <w:r>
        <w:rPr>
          <w:lang w:val="en-US"/>
        </w:rPr>
        <w:t>–</w:t>
      </w:r>
      <w:r>
        <w:rPr>
          <w:lang w:val="en-US"/>
        </w:rPr>
        <w:tab/>
        <w:t>The FSS earth station is assumed to be located at a latitude of 35</w:t>
      </w:r>
      <w:r>
        <w:rPr>
          <w:rFonts w:ascii="Symbol" w:hAnsi="Symbol"/>
          <w:lang w:val="en-US"/>
        </w:rPr>
        <w:t></w:t>
      </w:r>
      <w:r>
        <w:rPr>
          <w:lang w:val="en-US"/>
        </w:rPr>
        <w:t>. This value was selected as a fair compromise to represent a “worst case” sensor side-lobe to earth station main-lobe scenario, because it may represent the lower latitude above which earth stations are the most densely distributed and where, due to the relatively high incidence angle of the inter</w:t>
      </w:r>
      <w:r>
        <w:rPr>
          <w:lang w:val="en-US"/>
        </w:rPr>
        <w:softHyphen/>
        <w:t>fering path (about 49</w:t>
      </w:r>
      <w:r>
        <w:rPr>
          <w:rFonts w:ascii="Symbol" w:hAnsi="Symbol"/>
          <w:lang w:val="en-US"/>
        </w:rPr>
        <w:t></w:t>
      </w:r>
      <w:r>
        <w:rPr>
          <w:lang w:val="en-US"/>
        </w:rPr>
        <w:t>), the natural protection due to the path-loss plus atmospheric absorption losses is the lowest.</w:t>
      </w:r>
    </w:p>
    <w:p w:rsidR="00B9359B" w:rsidRDefault="00B9359B">
      <w:pPr>
        <w:pStyle w:val="enumlev1"/>
        <w:rPr>
          <w:lang w:val="en-US"/>
        </w:rPr>
      </w:pPr>
    </w:p>
    <w:p w:rsidR="00B9359B" w:rsidRDefault="009A5268">
      <w:pPr>
        <w:pStyle w:val="enumlev1"/>
        <w:rPr>
          <w:lang w:val="en-US"/>
        </w:rPr>
      </w:pPr>
      <w:r>
        <w:rPr>
          <w:lang w:val="en-US"/>
        </w:rPr>
        <w:t>–</w:t>
      </w:r>
      <w:r>
        <w:rPr>
          <w:lang w:val="en-US"/>
        </w:rPr>
        <w:tab/>
        <w:t>The dynamic analysis in § 4.4 will consider latitudes between 0</w:t>
      </w:r>
      <w:r>
        <w:rPr>
          <w:rFonts w:ascii="Symbol" w:hAnsi="Symbol"/>
          <w:lang w:val="en-US"/>
        </w:rPr>
        <w:t></w:t>
      </w:r>
      <w:r>
        <w:rPr>
          <w:lang w:val="en-US"/>
        </w:rPr>
        <w:t xml:space="preserve"> and 50</w:t>
      </w:r>
      <w:r>
        <w:rPr>
          <w:rFonts w:ascii="Symbol" w:hAnsi="Symbol"/>
          <w:lang w:val="en-US"/>
        </w:rPr>
        <w:t></w:t>
      </w:r>
      <w:r>
        <w:rPr>
          <w:lang w:val="en-US"/>
        </w:rPr>
        <w:t xml:space="preserve"> N in order to get an extended range of results.</w:t>
      </w:r>
    </w:p>
    <w:p w:rsidR="00B9359B" w:rsidRDefault="009A5268">
      <w:pPr>
        <w:pStyle w:val="Heading3"/>
        <w:rPr>
          <w:lang w:val="en-US"/>
        </w:rPr>
      </w:pPr>
      <w:bookmarkStart w:id="419" w:name="_Toc51045819"/>
      <w:r>
        <w:rPr>
          <w:lang w:val="en-US"/>
        </w:rPr>
        <w:br w:type="page"/>
        <w:t>4.3.1</w:t>
      </w:r>
      <w:r>
        <w:rPr>
          <w:lang w:val="en-US"/>
        </w:rPr>
        <w:tab/>
        <w:t>Calculation with the GSO and non-GSO networks</w:t>
      </w:r>
      <w:bookmarkEnd w:id="419"/>
    </w:p>
    <w:p w:rsidR="00B9359B" w:rsidRDefault="009A5268">
      <w:pPr>
        <w:rPr>
          <w:lang w:val="en-US"/>
        </w:rPr>
      </w:pPr>
      <w:r>
        <w:rPr>
          <w:lang w:val="en-US"/>
        </w:rPr>
        <w:t>Noting that the most critical scenarios are those involving simultaneously a high e.i.r.p. and/or a wide necessary bandwidth, three GSO systems are selected on these criteria for detailed analysis; these are the “GSO</w:t>
      </w:r>
      <w:r>
        <w:rPr>
          <w:lang w:val="en-US"/>
        </w:rPr>
        <w:noBreakHyphen/>
        <w:t>G”, the “GSO</w:t>
      </w:r>
      <w:r>
        <w:rPr>
          <w:lang w:val="en-US"/>
        </w:rPr>
        <w:noBreakHyphen/>
        <w:t>Ka-1” and the “GSO</w:t>
      </w:r>
      <w:r>
        <w:rPr>
          <w:lang w:val="en-US"/>
        </w:rPr>
        <w:noBreakHyphen/>
        <w:t>20” systems (see Table 57).</w:t>
      </w:r>
    </w:p>
    <w:p w:rsidR="00B9359B" w:rsidRDefault="009A5268">
      <w:pPr>
        <w:rPr>
          <w:lang w:val="en-US"/>
        </w:rPr>
      </w:pPr>
      <w:r>
        <w:rPr>
          <w:lang w:val="en-US"/>
        </w:rPr>
        <w:t>Considering only the nadir beam of the push-broom passive sensor, the following parameters are computed, depending on the latitudinal distance between the passive sensor and the FSS/MSS earth station:</w:t>
      </w:r>
    </w:p>
    <w:p w:rsidR="00B9359B" w:rsidRDefault="009A5268">
      <w:pPr>
        <w:pStyle w:val="enumlev1"/>
        <w:rPr>
          <w:lang w:val="en-US"/>
        </w:rPr>
      </w:pPr>
      <w:r>
        <w:rPr>
          <w:lang w:val="en-US"/>
        </w:rPr>
        <w:t>–</w:t>
      </w:r>
      <w:r>
        <w:rPr>
          <w:lang w:val="en-US"/>
        </w:rPr>
        <w:tab/>
        <w:t>linear distance between the sensor and the earth station (km);</w:t>
      </w:r>
    </w:p>
    <w:p w:rsidR="00B9359B" w:rsidRDefault="009A5268">
      <w:pPr>
        <w:pStyle w:val="enumlev1"/>
        <w:rPr>
          <w:lang w:val="en-US"/>
        </w:rPr>
      </w:pPr>
      <w:r>
        <w:rPr>
          <w:lang w:val="en-US"/>
        </w:rPr>
        <w:t>–</w:t>
      </w:r>
      <w:r>
        <w:rPr>
          <w:lang w:val="en-US"/>
        </w:rPr>
        <w:tab/>
        <w:t>off-set angles between the line-of-sight sensor/earth station and the antennas main axis;</w:t>
      </w:r>
    </w:p>
    <w:p w:rsidR="00B9359B" w:rsidRDefault="009A5268">
      <w:pPr>
        <w:pStyle w:val="enumlev1"/>
        <w:rPr>
          <w:lang w:val="en-US"/>
        </w:rPr>
      </w:pPr>
      <w:r>
        <w:rPr>
          <w:lang w:val="en-US"/>
        </w:rPr>
        <w:t>–</w:t>
      </w:r>
      <w:r>
        <w:rPr>
          <w:lang w:val="en-US"/>
        </w:rPr>
        <w:tab/>
        <w:t>mutual gains in direction of each other, of the sensor and earth station antennas;</w:t>
      </w:r>
    </w:p>
    <w:p w:rsidR="00B9359B" w:rsidRDefault="009A5268">
      <w:pPr>
        <w:pStyle w:val="enumlev1"/>
        <w:rPr>
          <w:lang w:val="en-US"/>
        </w:rPr>
      </w:pPr>
      <w:r>
        <w:rPr>
          <w:lang w:val="en-US"/>
        </w:rPr>
        <w:t>–</w:t>
      </w:r>
      <w:r>
        <w:rPr>
          <w:lang w:val="en-US"/>
        </w:rPr>
        <w:tab/>
        <w:t>space loss;</w:t>
      </w:r>
    </w:p>
    <w:p w:rsidR="00B9359B" w:rsidRDefault="009A5268">
      <w:pPr>
        <w:pStyle w:val="enumlev1"/>
        <w:rPr>
          <w:lang w:val="en-US"/>
        </w:rPr>
      </w:pPr>
      <w:r>
        <w:rPr>
          <w:lang w:val="en-US"/>
        </w:rPr>
        <w:t>–</w:t>
      </w:r>
      <w:r>
        <w:rPr>
          <w:lang w:val="en-US"/>
        </w:rPr>
        <w:tab/>
        <w:t>atmospheric absorption depending on the elevation angle of the path;</w:t>
      </w:r>
    </w:p>
    <w:p w:rsidR="00B9359B" w:rsidRDefault="009A5268">
      <w:pPr>
        <w:pStyle w:val="enumlev1"/>
        <w:rPr>
          <w:lang w:val="en-US"/>
        </w:rPr>
      </w:pPr>
      <w:r>
        <w:rPr>
          <w:lang w:val="en-US"/>
        </w:rPr>
        <w:t>–</w:t>
      </w:r>
      <w:r>
        <w:rPr>
          <w:lang w:val="en-US"/>
        </w:rPr>
        <w:tab/>
        <w:t>power received by the passive sensor;</w:t>
      </w:r>
    </w:p>
    <w:p w:rsidR="00B9359B" w:rsidRDefault="009A5268">
      <w:pPr>
        <w:pStyle w:val="enumlev1"/>
        <w:rPr>
          <w:lang w:val="en-US"/>
        </w:rPr>
      </w:pPr>
      <w:r>
        <w:rPr>
          <w:lang w:val="en-US"/>
        </w:rPr>
        <w:t>–</w:t>
      </w:r>
      <w:r>
        <w:rPr>
          <w:lang w:val="en-US"/>
        </w:rPr>
        <w:tab/>
        <w:t>margin referred to the interference threshold;</w:t>
      </w:r>
    </w:p>
    <w:p w:rsidR="00B9359B" w:rsidRDefault="009A5268">
      <w:pPr>
        <w:pStyle w:val="enumlev1"/>
        <w:rPr>
          <w:lang w:val="en-US"/>
        </w:rPr>
      </w:pPr>
      <w:r>
        <w:rPr>
          <w:lang w:val="en-US"/>
        </w:rPr>
        <w:t>–</w:t>
      </w:r>
      <w:r>
        <w:rPr>
          <w:lang w:val="en-US"/>
        </w:rPr>
        <w:tab/>
        <w:t>size of the area on the Earth’s surface, where sounding data are contaminated by inter</w:t>
      </w:r>
      <w:r>
        <w:rPr>
          <w:lang w:val="en-US"/>
        </w:rPr>
        <w:softHyphen/>
        <w:t>ference.</w:t>
      </w:r>
    </w:p>
    <w:p w:rsidR="00B9359B" w:rsidRDefault="009A5268">
      <w:pPr>
        <w:rPr>
          <w:lang w:val="en-US"/>
        </w:rPr>
      </w:pPr>
      <w:r>
        <w:rPr>
          <w:lang w:val="en-US"/>
        </w:rPr>
        <w:t>The problem is more complex in case of non-GSO earth stations, because in this case the pointing direction of the earth station is a varying parameter: A specific earth station may be pointing in any direction (elevation and azimuth angles).</w:t>
      </w:r>
    </w:p>
    <w:p w:rsidR="00B9359B" w:rsidRDefault="009A5268">
      <w:pPr>
        <w:rPr>
          <w:lang w:val="en-US"/>
        </w:rPr>
      </w:pPr>
      <w:r>
        <w:rPr>
          <w:lang w:val="en-US"/>
        </w:rPr>
        <w:t>For convenience, the present study is limited to a configuration similar to that adopted for the GSO FSS case, where main-lobe to main-lobe scenarios are not considered. It is clear however that this will result in a very optimistic evaluation of the real situation.</w:t>
      </w:r>
    </w:p>
    <w:p w:rsidR="00B9359B" w:rsidRDefault="009A5268">
      <w:pPr>
        <w:rPr>
          <w:lang w:val="en-US"/>
        </w:rPr>
      </w:pPr>
      <w:r>
        <w:rPr>
          <w:lang w:val="en-US"/>
        </w:rPr>
        <w:t>In case of GSO FSS systems, main-lobe to main-lobe configurations may occur only with earth stations located near the equator.</w:t>
      </w:r>
    </w:p>
    <w:p w:rsidR="00B9359B" w:rsidRDefault="009A5268">
      <w:pPr>
        <w:rPr>
          <w:lang w:val="en-US"/>
        </w:rPr>
      </w:pPr>
      <w:r>
        <w:rPr>
          <w:lang w:val="en-US"/>
        </w:rPr>
        <w:t>In case of non-GSO FSS systems, this configuration may occur everywhere in the FSS satellite coverage.</w:t>
      </w:r>
    </w:p>
    <w:p w:rsidR="00B9359B" w:rsidRDefault="009A5268">
      <w:pPr>
        <w:rPr>
          <w:lang w:val="en-US"/>
        </w:rPr>
      </w:pPr>
      <w:r>
        <w:rPr>
          <w:lang w:val="en-US"/>
        </w:rPr>
        <w:t>The configuration is described on Fig. 42, where the major geometric parameters of the analysis are indicated.</w:t>
      </w:r>
    </w:p>
    <w:p w:rsidR="00B9359B" w:rsidRDefault="009A5268">
      <w:pPr>
        <w:pStyle w:val="Heading3"/>
        <w:rPr>
          <w:lang w:val="en-US"/>
        </w:rPr>
      </w:pPr>
      <w:bookmarkStart w:id="420" w:name="_Toc51045820"/>
      <w:r>
        <w:rPr>
          <w:lang w:val="en-US"/>
        </w:rPr>
        <w:t>4.3.2</w:t>
      </w:r>
      <w:r>
        <w:rPr>
          <w:lang w:val="en-US"/>
        </w:rPr>
        <w:tab/>
        <w:t>Result of the analysis</w:t>
      </w:r>
      <w:bookmarkEnd w:id="420"/>
    </w:p>
    <w:p w:rsidR="00B9359B" w:rsidRDefault="009A5268">
      <w:pPr>
        <w:rPr>
          <w:lang w:val="en-US"/>
        </w:rPr>
      </w:pPr>
      <w:r>
        <w:rPr>
          <w:lang w:val="en-US"/>
        </w:rPr>
        <w:t>Detailed results are plotted in Figs. 43, 44 and 45, for the three GSO systems selected. While the Earth exploration-satellite is moving in direction of the earth station, a first event appears when the sensor is crossing the earth station’s main-lobe; Then a second event occurs when the sensor is near the zenith of the earth station. Main-lobe to main-lobe configurations are possible near the zenith of earth stations located close to the equator. In that case, the power excess is augmented by the discrimination of the earth station antenna (difference between main-lobe and far-lobes).</w:t>
      </w:r>
    </w:p>
    <w:p w:rsidR="00B9359B" w:rsidRDefault="009A5268">
      <w:pPr>
        <w:pStyle w:val="FigureNo"/>
      </w:pPr>
      <w:r>
        <w:rPr>
          <w:lang w:val="en-US"/>
        </w:rPr>
        <w:br w:type="page"/>
      </w:r>
      <w:r>
        <w:object w:dxaOrig="7724" w:dyaOrig="5770">
          <v:shape id="_x0000_i1079" type="#_x0000_t75" style="width:386.35pt;height:288.55pt" o:ole="">
            <v:imagedata r:id="rId93" o:title=""/>
          </v:shape>
          <o:OLEObject Type="Embed" ProgID="Designer.Drawing.7" ShapeID="_x0000_i1079" DrawAspect="Content" ObjectID="_1629894585" r:id="rId94"/>
        </w:object>
      </w:r>
    </w:p>
    <w:p w:rsidR="00B9359B" w:rsidRDefault="009A5268">
      <w:pPr>
        <w:pStyle w:val="FigureNo"/>
      </w:pPr>
      <w:r>
        <w:object w:dxaOrig="7724" w:dyaOrig="5742">
          <v:shape id="_x0000_i1080" type="#_x0000_t75" style="width:386.35pt;height:287.45pt" o:ole="">
            <v:imagedata r:id="rId95" o:title=""/>
          </v:shape>
          <o:OLEObject Type="Embed" ProgID="Designer.Drawing.7" ShapeID="_x0000_i1080" DrawAspect="Content" ObjectID="_1629894586" r:id="rId96"/>
        </w:object>
      </w:r>
    </w:p>
    <w:p w:rsidR="00B9359B" w:rsidRDefault="009A5268">
      <w:pPr>
        <w:pStyle w:val="FigureNo"/>
      </w:pPr>
      <w:r>
        <w:br w:type="page"/>
      </w:r>
      <w:r>
        <w:object w:dxaOrig="7724" w:dyaOrig="5886">
          <v:shape id="_x0000_i1081" type="#_x0000_t75" style="width:386.35pt;height:294.45pt" o:ole="">
            <v:imagedata r:id="rId97" o:title=""/>
          </v:shape>
          <o:OLEObject Type="Embed" ProgID="Designer.Drawing.7" ShapeID="_x0000_i1081" DrawAspect="Content" ObjectID="_1629894587" r:id="rId98"/>
        </w:object>
      </w:r>
    </w:p>
    <w:p w:rsidR="00B9359B" w:rsidRDefault="00B9359B">
      <w:pPr>
        <w:rPr>
          <w:lang w:val="en-US"/>
        </w:rPr>
      </w:pPr>
    </w:p>
    <w:p w:rsidR="00B9359B" w:rsidRDefault="009A5268">
      <w:pPr>
        <w:rPr>
          <w:lang w:val="en-US"/>
        </w:rPr>
      </w:pPr>
      <w:r>
        <w:rPr>
          <w:lang w:val="en-US"/>
        </w:rPr>
        <w:t>Results for other GSO and non-GSO systems, not analysed in detail, are deduced from the results above by comparing the respective antenna gain and transmitter power.</w:t>
      </w:r>
    </w:p>
    <w:p w:rsidR="00B9359B" w:rsidRDefault="009A5268">
      <w:pPr>
        <w:pStyle w:val="Heading3"/>
        <w:rPr>
          <w:lang w:val="en-US"/>
        </w:rPr>
      </w:pPr>
      <w:bookmarkStart w:id="421" w:name="_Toc51045821"/>
      <w:r>
        <w:rPr>
          <w:lang w:val="en-US"/>
        </w:rPr>
        <w:t>4.3.3</w:t>
      </w:r>
      <w:r>
        <w:rPr>
          <w:lang w:val="en-US"/>
        </w:rPr>
        <w:tab/>
        <w:t>Discussion of results</w:t>
      </w:r>
      <w:bookmarkEnd w:id="421"/>
    </w:p>
    <w:p w:rsidR="00B9359B" w:rsidRDefault="009A5268">
      <w:pPr>
        <w:rPr>
          <w:lang w:val="en-US"/>
        </w:rPr>
      </w:pPr>
      <w:r>
        <w:rPr>
          <w:lang w:val="en-US"/>
        </w:rPr>
        <w:t>Interference events which occur when the passive sensor is in the main-lobe of the FSS earth station (Table 62).</w:t>
      </w:r>
    </w:p>
    <w:p w:rsidR="00B9359B" w:rsidRDefault="009A5268">
      <w:pPr>
        <w:pStyle w:val="TableNo"/>
        <w:rPr>
          <w:lang w:val="en-US"/>
        </w:rPr>
      </w:pPr>
      <w:r>
        <w:rPr>
          <w:lang w:val="en-US"/>
        </w:rPr>
        <w:t>TABLE  62</w:t>
      </w:r>
    </w:p>
    <w:p w:rsidR="00B9359B" w:rsidRDefault="009A5268">
      <w:pPr>
        <w:pStyle w:val="Tabletitle"/>
        <w:rPr>
          <w:lang w:val="en-US"/>
        </w:rPr>
      </w:pPr>
      <w:r>
        <w:rPr>
          <w:lang w:val="en-US"/>
        </w:rPr>
        <w:t xml:space="preserve">Power excess over interference threshold – Sensor in main-lobe of earth station </w:t>
      </w:r>
      <w:r>
        <w:rPr>
          <w:lang w:val="en-US"/>
        </w:rPr>
        <w:br/>
        <w:t>(co-frequency assumption)</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1172"/>
        <w:gridCol w:w="1172"/>
        <w:gridCol w:w="1250"/>
        <w:gridCol w:w="1199"/>
        <w:gridCol w:w="1199"/>
        <w:gridCol w:w="1198"/>
      </w:tblGrid>
      <w:tr w:rsidR="00B9359B">
        <w:trPr>
          <w:cantSplit/>
          <w:tblHeader/>
        </w:trPr>
        <w:tc>
          <w:tcPr>
            <w:tcW w:w="2624" w:type="dxa"/>
            <w:vMerge w:val="restart"/>
          </w:tcPr>
          <w:p w:rsidR="00B9359B" w:rsidRDefault="00B9359B">
            <w:pPr>
              <w:pStyle w:val="Tablehead"/>
              <w:framePr w:hSpace="181" w:wrap="notBeside" w:vAnchor="text" w:hAnchor="text" w:xAlign="center" w:y="1"/>
              <w:spacing w:before="120" w:after="120"/>
              <w:ind w:right="-57"/>
              <w:rPr>
                <w:lang w:val="en-US"/>
              </w:rPr>
            </w:pPr>
          </w:p>
        </w:tc>
        <w:tc>
          <w:tcPr>
            <w:tcW w:w="7652" w:type="dxa"/>
            <w:gridSpan w:val="6"/>
          </w:tcPr>
          <w:p w:rsidR="00B9359B" w:rsidRDefault="009A5268">
            <w:pPr>
              <w:pStyle w:val="Tablehead"/>
              <w:framePr w:hSpace="181" w:wrap="notBeside" w:vAnchor="text" w:hAnchor="text" w:xAlign="center" w:y="1"/>
              <w:spacing w:before="120" w:after="120"/>
              <w:rPr>
                <w:lang w:val="en-US"/>
              </w:rPr>
            </w:pPr>
            <w:r>
              <w:rPr>
                <w:lang w:val="en-US"/>
              </w:rPr>
              <w:t>GSO</w:t>
            </w:r>
            <w:r>
              <w:rPr>
                <w:sz w:val="16"/>
                <w:lang w:val="en-US"/>
              </w:rPr>
              <w:t xml:space="preserve">  </w:t>
            </w:r>
            <w:r>
              <w:rPr>
                <w:lang w:val="en-US"/>
              </w:rPr>
              <w:t>FSS/MSS systems</w:t>
            </w:r>
          </w:p>
        </w:tc>
      </w:tr>
      <w:tr w:rsidR="00B9359B">
        <w:trPr>
          <w:cantSplit/>
        </w:trPr>
        <w:tc>
          <w:tcPr>
            <w:tcW w:w="2449" w:type="dxa"/>
            <w:vMerge/>
          </w:tcPr>
          <w:p w:rsidR="00B9359B" w:rsidRDefault="00B9359B">
            <w:pPr>
              <w:pStyle w:val="Tablehead"/>
              <w:framePr w:hSpace="181" w:wrap="notBeside" w:vAnchor="text" w:hAnchor="text" w:xAlign="center" w:y="1"/>
              <w:spacing w:before="120" w:after="120"/>
              <w:ind w:right="-57"/>
              <w:rPr>
                <w:lang w:val="en-US"/>
              </w:rPr>
            </w:pPr>
          </w:p>
        </w:tc>
        <w:tc>
          <w:tcPr>
            <w:tcW w:w="1247" w:type="dxa"/>
          </w:tcPr>
          <w:p w:rsidR="00B9359B" w:rsidRDefault="009A5268">
            <w:pPr>
              <w:pStyle w:val="Tablehead"/>
              <w:framePr w:hSpace="181" w:wrap="notBeside" w:vAnchor="text" w:hAnchor="text" w:xAlign="center" w:y="1"/>
              <w:spacing w:before="120" w:after="120"/>
              <w:ind w:left="-57" w:right="-57"/>
              <w:rPr>
                <w:lang w:val="en-US"/>
              </w:rPr>
            </w:pPr>
            <w:r>
              <w:rPr>
                <w:lang w:val="en-US"/>
              </w:rPr>
              <w:t>GSO-Ka-1</w:t>
            </w:r>
          </w:p>
        </w:tc>
        <w:tc>
          <w:tcPr>
            <w:tcW w:w="1247" w:type="dxa"/>
          </w:tcPr>
          <w:p w:rsidR="00B9359B" w:rsidRDefault="009A5268">
            <w:pPr>
              <w:pStyle w:val="Tablehead"/>
              <w:framePr w:hSpace="181" w:wrap="notBeside" w:vAnchor="text" w:hAnchor="text" w:xAlign="center" w:y="1"/>
              <w:spacing w:before="120" w:after="120"/>
              <w:ind w:left="-57" w:right="-57"/>
              <w:rPr>
                <w:lang w:val="en-US"/>
              </w:rPr>
            </w:pPr>
            <w:r>
              <w:rPr>
                <w:lang w:val="en-US"/>
              </w:rPr>
              <w:t>GSO-20</w:t>
            </w:r>
          </w:p>
        </w:tc>
        <w:tc>
          <w:tcPr>
            <w:tcW w:w="1331" w:type="dxa"/>
          </w:tcPr>
          <w:p w:rsidR="00B9359B" w:rsidRDefault="009A5268">
            <w:pPr>
              <w:pStyle w:val="Tablehead"/>
              <w:framePr w:hSpace="181" w:wrap="notBeside" w:vAnchor="text" w:hAnchor="text" w:xAlign="center" w:y="1"/>
              <w:spacing w:before="120" w:after="120"/>
              <w:ind w:left="-57" w:right="-57"/>
              <w:rPr>
                <w:lang w:val="en-US"/>
              </w:rPr>
            </w:pPr>
            <w:r>
              <w:rPr>
                <w:lang w:val="en-US"/>
              </w:rPr>
              <w:t>GSO-F</w:t>
            </w:r>
          </w:p>
        </w:tc>
        <w:tc>
          <w:tcPr>
            <w:tcW w:w="1276" w:type="dxa"/>
          </w:tcPr>
          <w:p w:rsidR="00B9359B" w:rsidRDefault="009A5268">
            <w:pPr>
              <w:pStyle w:val="Tablehead"/>
              <w:framePr w:hSpace="181" w:wrap="notBeside" w:vAnchor="text" w:hAnchor="text" w:xAlign="center" w:y="1"/>
              <w:spacing w:before="120" w:after="120"/>
              <w:ind w:left="-57" w:right="-57"/>
              <w:rPr>
                <w:lang w:val="en-US"/>
              </w:rPr>
            </w:pPr>
            <w:r>
              <w:rPr>
                <w:lang w:val="en-US"/>
              </w:rPr>
              <w:t>GSO-G</w:t>
            </w:r>
          </w:p>
        </w:tc>
        <w:tc>
          <w:tcPr>
            <w:tcW w:w="1276" w:type="dxa"/>
          </w:tcPr>
          <w:p w:rsidR="00B9359B" w:rsidRDefault="009A5268">
            <w:pPr>
              <w:pStyle w:val="Tablehead"/>
              <w:framePr w:hSpace="181" w:wrap="notBeside" w:vAnchor="text" w:hAnchor="text" w:xAlign="center" w:y="1"/>
              <w:spacing w:before="120" w:after="120"/>
              <w:ind w:left="-57" w:right="-57"/>
              <w:rPr>
                <w:lang w:val="en-US"/>
              </w:rPr>
            </w:pPr>
            <w:r>
              <w:rPr>
                <w:lang w:val="en-US"/>
              </w:rPr>
              <w:t>GSO-H</w:t>
            </w:r>
          </w:p>
        </w:tc>
        <w:tc>
          <w:tcPr>
            <w:tcW w:w="1275" w:type="dxa"/>
          </w:tcPr>
          <w:p w:rsidR="00B9359B" w:rsidRDefault="009A5268">
            <w:pPr>
              <w:pStyle w:val="Tablehead"/>
              <w:framePr w:hSpace="181" w:wrap="notBeside" w:vAnchor="text" w:hAnchor="text" w:xAlign="center" w:y="1"/>
              <w:spacing w:before="120" w:after="120"/>
              <w:ind w:left="-57" w:right="-57"/>
              <w:rPr>
                <w:lang w:val="en-US"/>
              </w:rPr>
            </w:pPr>
            <w:r>
              <w:rPr>
                <w:lang w:val="en-US"/>
              </w:rPr>
              <w:t>GSO-13</w:t>
            </w:r>
          </w:p>
        </w:tc>
      </w:tr>
      <w:tr w:rsidR="00B9359B">
        <w:tc>
          <w:tcPr>
            <w:tcW w:w="2624" w:type="dxa"/>
          </w:tcPr>
          <w:p w:rsidR="00B9359B" w:rsidRDefault="009A5268">
            <w:pPr>
              <w:pStyle w:val="Tabletext"/>
              <w:framePr w:hSpace="181" w:wrap="notBeside" w:vAnchor="text" w:hAnchor="text" w:xAlign="center" w:y="1"/>
              <w:spacing w:before="80" w:after="80"/>
              <w:ind w:right="-57"/>
              <w:jc w:val="left"/>
              <w:rPr>
                <w:lang w:val="en-US"/>
              </w:rPr>
            </w:pPr>
            <w:r>
              <w:rPr>
                <w:lang w:val="en-US"/>
              </w:rPr>
              <w:t>Excess in all antenna beams (dB)</w:t>
            </w:r>
          </w:p>
        </w:tc>
        <w:tc>
          <w:tcPr>
            <w:tcW w:w="1247" w:type="dxa"/>
          </w:tcPr>
          <w:p w:rsidR="00B9359B" w:rsidRDefault="009A5268">
            <w:pPr>
              <w:pStyle w:val="Tabletext"/>
              <w:framePr w:hSpace="181" w:wrap="notBeside" w:vAnchor="text" w:hAnchor="text" w:xAlign="center" w:y="1"/>
              <w:spacing w:before="80" w:after="80"/>
              <w:ind w:left="-57" w:right="-57"/>
              <w:jc w:val="center"/>
            </w:pPr>
            <w:r>
              <w:t>44.8</w:t>
            </w:r>
          </w:p>
        </w:tc>
        <w:tc>
          <w:tcPr>
            <w:tcW w:w="1247" w:type="dxa"/>
          </w:tcPr>
          <w:p w:rsidR="00B9359B" w:rsidRDefault="009A5268">
            <w:pPr>
              <w:pStyle w:val="Tabletext"/>
              <w:framePr w:hSpace="181" w:wrap="notBeside" w:vAnchor="text" w:hAnchor="text" w:xAlign="center" w:y="1"/>
              <w:spacing w:before="80" w:after="80"/>
              <w:ind w:left="-57" w:right="-57"/>
              <w:jc w:val="center"/>
            </w:pPr>
            <w:r>
              <w:t>25.8</w:t>
            </w:r>
          </w:p>
        </w:tc>
        <w:tc>
          <w:tcPr>
            <w:tcW w:w="1331" w:type="dxa"/>
          </w:tcPr>
          <w:p w:rsidR="00B9359B" w:rsidRDefault="009A5268">
            <w:pPr>
              <w:pStyle w:val="Tabletext"/>
              <w:framePr w:hSpace="181" w:wrap="notBeside" w:vAnchor="text" w:hAnchor="text" w:xAlign="center" w:y="1"/>
              <w:spacing w:before="80" w:after="80"/>
              <w:ind w:left="-57" w:right="-57"/>
              <w:jc w:val="center"/>
            </w:pPr>
            <w:r>
              <w:t>21</w:t>
            </w:r>
          </w:p>
        </w:tc>
        <w:tc>
          <w:tcPr>
            <w:tcW w:w="1276" w:type="dxa"/>
          </w:tcPr>
          <w:p w:rsidR="00B9359B" w:rsidRDefault="009A5268">
            <w:pPr>
              <w:pStyle w:val="Tabletext"/>
              <w:framePr w:hSpace="181" w:wrap="notBeside" w:vAnchor="text" w:hAnchor="text" w:xAlign="center" w:y="1"/>
              <w:spacing w:before="80" w:after="80"/>
              <w:ind w:left="-57" w:right="-57"/>
              <w:jc w:val="center"/>
            </w:pPr>
            <w:r>
              <w:t>35.3</w:t>
            </w:r>
          </w:p>
        </w:tc>
        <w:tc>
          <w:tcPr>
            <w:tcW w:w="1276" w:type="dxa"/>
          </w:tcPr>
          <w:p w:rsidR="00B9359B" w:rsidRDefault="009A5268">
            <w:pPr>
              <w:pStyle w:val="Tabletext"/>
              <w:framePr w:hSpace="181" w:wrap="notBeside" w:vAnchor="text" w:hAnchor="text" w:xAlign="center" w:y="1"/>
              <w:spacing w:before="80" w:after="80"/>
              <w:ind w:left="-57" w:right="-57"/>
              <w:jc w:val="center"/>
            </w:pPr>
            <w:r>
              <w:t>29.3</w:t>
            </w:r>
          </w:p>
        </w:tc>
        <w:tc>
          <w:tcPr>
            <w:tcW w:w="1275" w:type="dxa"/>
          </w:tcPr>
          <w:p w:rsidR="00B9359B" w:rsidRDefault="009A5268">
            <w:pPr>
              <w:pStyle w:val="Tabletext"/>
              <w:framePr w:hSpace="181" w:wrap="notBeside" w:vAnchor="text" w:hAnchor="text" w:xAlign="center" w:y="1"/>
              <w:spacing w:before="80" w:after="80"/>
              <w:ind w:left="-57" w:right="-57"/>
              <w:jc w:val="center"/>
            </w:pPr>
            <w:r>
              <w:t>12.1</w:t>
            </w:r>
          </w:p>
        </w:tc>
      </w:tr>
      <w:tr w:rsidR="00B9359B">
        <w:tc>
          <w:tcPr>
            <w:tcW w:w="2624" w:type="dxa"/>
          </w:tcPr>
          <w:p w:rsidR="00B9359B" w:rsidRDefault="009A5268">
            <w:pPr>
              <w:pStyle w:val="Tabletext"/>
              <w:framePr w:hSpace="181" w:wrap="notBeside" w:vAnchor="text" w:hAnchor="text" w:xAlign="center" w:y="1"/>
              <w:spacing w:before="80" w:after="80"/>
              <w:ind w:right="-57"/>
              <w:jc w:val="left"/>
            </w:pPr>
            <w:r>
              <w:t>Contaminated zone (km</w:t>
            </w:r>
            <w:r>
              <w:rPr>
                <w:vertAlign w:val="superscript"/>
              </w:rPr>
              <w:t>2</w:t>
            </w:r>
            <w:r>
              <w:t>)</w:t>
            </w:r>
          </w:p>
        </w:tc>
        <w:tc>
          <w:tcPr>
            <w:tcW w:w="1247" w:type="dxa"/>
          </w:tcPr>
          <w:p w:rsidR="00B9359B" w:rsidRDefault="009A5268">
            <w:pPr>
              <w:pStyle w:val="Tabletext"/>
              <w:framePr w:hSpace="181" w:wrap="notBeside" w:vAnchor="text" w:hAnchor="text" w:xAlign="center" w:y="1"/>
              <w:spacing w:before="80" w:after="80"/>
              <w:ind w:left="-57" w:right="-57"/>
              <w:jc w:val="center"/>
              <w:rPr>
                <w:lang w:val="en-US"/>
              </w:rPr>
            </w:pPr>
            <w:r>
              <w:rPr>
                <w:lang w:val="en-US"/>
              </w:rPr>
              <w:t>100 </w:t>
            </w:r>
            <w:r>
              <w:rPr>
                <w:rFonts w:ascii="Symbol" w:hAnsi="Symbol"/>
              </w:rPr>
              <w:sym w:font="Symbol" w:char="F0B4"/>
            </w:r>
            <w:r>
              <w:rPr>
                <w:lang w:val="en-US"/>
              </w:rPr>
              <w:t> 2</w:t>
            </w:r>
            <w:r>
              <w:rPr>
                <w:rFonts w:ascii="Tms Rmn" w:hAnsi="Tms Rmn"/>
                <w:sz w:val="12"/>
                <w:lang w:val="en-US"/>
              </w:rPr>
              <w:t> </w:t>
            </w:r>
            <w:r>
              <w:rPr>
                <w:lang w:val="en-US"/>
              </w:rPr>
              <w:t>200</w:t>
            </w:r>
          </w:p>
        </w:tc>
        <w:tc>
          <w:tcPr>
            <w:tcW w:w="1247" w:type="dxa"/>
          </w:tcPr>
          <w:p w:rsidR="00B9359B" w:rsidRDefault="009A5268">
            <w:pPr>
              <w:pStyle w:val="Tabletext"/>
              <w:framePr w:hSpace="181" w:wrap="notBeside" w:vAnchor="text" w:hAnchor="text" w:xAlign="center" w:y="1"/>
              <w:spacing w:before="80" w:after="80"/>
              <w:ind w:left="-57" w:right="-57"/>
              <w:jc w:val="center"/>
              <w:rPr>
                <w:lang w:val="en-US"/>
              </w:rPr>
            </w:pPr>
            <w:r>
              <w:rPr>
                <w:lang w:val="en-US"/>
              </w:rPr>
              <w:t>120 </w:t>
            </w:r>
            <w:r>
              <w:rPr>
                <w:rFonts w:ascii="Symbol" w:hAnsi="Symbol"/>
              </w:rPr>
              <w:sym w:font="Symbol" w:char="F0B4"/>
            </w:r>
            <w:r>
              <w:rPr>
                <w:lang w:val="en-US"/>
              </w:rPr>
              <w:t> 2</w:t>
            </w:r>
            <w:r>
              <w:rPr>
                <w:rFonts w:ascii="Tms Rmn" w:hAnsi="Tms Rmn"/>
                <w:sz w:val="12"/>
                <w:lang w:val="en-US"/>
              </w:rPr>
              <w:t> </w:t>
            </w:r>
            <w:r>
              <w:rPr>
                <w:lang w:val="en-US"/>
              </w:rPr>
              <w:t>200</w:t>
            </w:r>
          </w:p>
        </w:tc>
        <w:tc>
          <w:tcPr>
            <w:tcW w:w="1331" w:type="dxa"/>
          </w:tcPr>
          <w:p w:rsidR="00B9359B" w:rsidRDefault="009A5268">
            <w:pPr>
              <w:pStyle w:val="Tabletext"/>
              <w:framePr w:hSpace="181" w:wrap="notBeside" w:vAnchor="text" w:hAnchor="text" w:xAlign="center" w:y="1"/>
              <w:spacing w:before="80" w:after="80"/>
              <w:ind w:left="-57" w:right="-57"/>
              <w:jc w:val="center"/>
              <w:rPr>
                <w:lang w:val="en-US"/>
              </w:rPr>
            </w:pPr>
            <w:r>
              <w:rPr>
                <w:lang w:val="en-US"/>
              </w:rPr>
              <w:t>18 </w:t>
            </w:r>
            <w:r>
              <w:rPr>
                <w:rFonts w:ascii="Symbol" w:hAnsi="Symbol"/>
              </w:rPr>
              <w:sym w:font="Symbol" w:char="F0B4"/>
            </w:r>
            <w:r>
              <w:rPr>
                <w:lang w:val="en-US"/>
              </w:rPr>
              <w:t> 2</w:t>
            </w:r>
            <w:r>
              <w:rPr>
                <w:rFonts w:ascii="Tms Rmn" w:hAnsi="Tms Rmn"/>
                <w:sz w:val="12"/>
                <w:lang w:val="en-US"/>
              </w:rPr>
              <w:t> </w:t>
            </w:r>
            <w:r>
              <w:rPr>
                <w:lang w:val="en-US"/>
              </w:rPr>
              <w:t>200</w:t>
            </w:r>
          </w:p>
        </w:tc>
        <w:tc>
          <w:tcPr>
            <w:tcW w:w="1276" w:type="dxa"/>
          </w:tcPr>
          <w:p w:rsidR="00B9359B" w:rsidRDefault="009A5268">
            <w:pPr>
              <w:pStyle w:val="Tabletext"/>
              <w:framePr w:hSpace="181" w:wrap="notBeside" w:vAnchor="text" w:hAnchor="text" w:xAlign="center" w:y="1"/>
              <w:spacing w:before="80" w:after="80"/>
              <w:ind w:left="-57" w:right="-57"/>
              <w:jc w:val="center"/>
              <w:rPr>
                <w:lang w:val="en-US"/>
              </w:rPr>
            </w:pPr>
            <w:r>
              <w:rPr>
                <w:lang w:val="en-US"/>
              </w:rPr>
              <w:t>245 </w:t>
            </w:r>
            <w:r>
              <w:rPr>
                <w:rFonts w:ascii="Symbol" w:hAnsi="Symbol"/>
              </w:rPr>
              <w:sym w:font="Symbol" w:char="F0B4"/>
            </w:r>
            <w:r>
              <w:rPr>
                <w:lang w:val="en-US"/>
              </w:rPr>
              <w:t> 2</w:t>
            </w:r>
            <w:r>
              <w:rPr>
                <w:rFonts w:ascii="Tms Rmn" w:hAnsi="Tms Rmn"/>
                <w:sz w:val="12"/>
                <w:lang w:val="en-US"/>
              </w:rPr>
              <w:t> </w:t>
            </w:r>
            <w:r>
              <w:rPr>
                <w:lang w:val="en-US"/>
              </w:rPr>
              <w:t>200</w:t>
            </w:r>
          </w:p>
        </w:tc>
        <w:tc>
          <w:tcPr>
            <w:tcW w:w="1276" w:type="dxa"/>
          </w:tcPr>
          <w:p w:rsidR="00B9359B" w:rsidRDefault="009A5268">
            <w:pPr>
              <w:pStyle w:val="Tabletext"/>
              <w:framePr w:hSpace="181" w:wrap="notBeside" w:vAnchor="text" w:hAnchor="text" w:xAlign="center" w:y="1"/>
              <w:spacing w:before="80" w:after="80"/>
              <w:ind w:left="-57" w:right="-57"/>
              <w:jc w:val="center"/>
              <w:rPr>
                <w:lang w:val="en-US"/>
              </w:rPr>
            </w:pPr>
            <w:r>
              <w:rPr>
                <w:lang w:val="en-US"/>
              </w:rPr>
              <w:t>42 </w:t>
            </w:r>
            <w:r>
              <w:rPr>
                <w:rFonts w:ascii="Symbol" w:hAnsi="Symbol"/>
              </w:rPr>
              <w:sym w:font="Symbol" w:char="F0B4"/>
            </w:r>
            <w:r>
              <w:rPr>
                <w:lang w:val="en-US"/>
              </w:rPr>
              <w:t> 2</w:t>
            </w:r>
            <w:r>
              <w:rPr>
                <w:rFonts w:ascii="Tms Rmn" w:hAnsi="Tms Rmn"/>
                <w:sz w:val="12"/>
                <w:lang w:val="en-US"/>
              </w:rPr>
              <w:t> </w:t>
            </w:r>
            <w:r>
              <w:rPr>
                <w:lang w:val="en-US"/>
              </w:rPr>
              <w:t>200</w:t>
            </w:r>
          </w:p>
        </w:tc>
        <w:tc>
          <w:tcPr>
            <w:tcW w:w="1275" w:type="dxa"/>
          </w:tcPr>
          <w:p w:rsidR="00B9359B" w:rsidRDefault="009A5268">
            <w:pPr>
              <w:pStyle w:val="Tabletext"/>
              <w:framePr w:hSpace="181" w:wrap="notBeside" w:vAnchor="text" w:hAnchor="text" w:xAlign="center" w:y="1"/>
              <w:spacing w:before="80" w:after="80"/>
              <w:ind w:left="-57" w:right="-57"/>
              <w:jc w:val="center"/>
              <w:rPr>
                <w:lang w:val="en-US"/>
              </w:rPr>
            </w:pPr>
            <w:r>
              <w:rPr>
                <w:lang w:val="en-US"/>
              </w:rPr>
              <w:t>40 </w:t>
            </w:r>
            <w:r>
              <w:rPr>
                <w:rFonts w:ascii="Symbol" w:hAnsi="Symbol"/>
              </w:rPr>
              <w:sym w:font="Symbol" w:char="F0B4"/>
            </w:r>
            <w:r>
              <w:rPr>
                <w:lang w:val="en-US"/>
              </w:rPr>
              <w:t> 2</w:t>
            </w:r>
            <w:r>
              <w:rPr>
                <w:rFonts w:ascii="Tms Rmn" w:hAnsi="Tms Rmn"/>
                <w:sz w:val="12"/>
                <w:lang w:val="en-US"/>
              </w:rPr>
              <w:t> </w:t>
            </w:r>
            <w:r>
              <w:rPr>
                <w:lang w:val="en-US"/>
              </w:rPr>
              <w:t>200</w:t>
            </w:r>
          </w:p>
        </w:tc>
      </w:tr>
      <w:tr w:rsidR="00B9359B">
        <w:tc>
          <w:tcPr>
            <w:tcW w:w="2624" w:type="dxa"/>
          </w:tcPr>
          <w:p w:rsidR="00B9359B" w:rsidRDefault="009A5268">
            <w:pPr>
              <w:pStyle w:val="Tabletext"/>
              <w:framePr w:hSpace="181" w:wrap="notBeside" w:vAnchor="text" w:hAnchor="text" w:xAlign="center" w:y="1"/>
              <w:spacing w:before="80" w:after="80"/>
              <w:ind w:right="-57"/>
              <w:jc w:val="left"/>
              <w:rPr>
                <w:lang w:val="en-US"/>
              </w:rPr>
            </w:pPr>
            <w:r>
              <w:rPr>
                <w:lang w:val="en-US"/>
              </w:rPr>
              <w:t>Contaminated pixels/event</w:t>
            </w:r>
          </w:p>
        </w:tc>
        <w:tc>
          <w:tcPr>
            <w:tcW w:w="1247" w:type="dxa"/>
          </w:tcPr>
          <w:p w:rsidR="00B9359B" w:rsidRDefault="009A5268">
            <w:pPr>
              <w:pStyle w:val="Tabletext"/>
              <w:framePr w:hSpace="181" w:wrap="notBeside" w:vAnchor="text" w:hAnchor="text" w:xAlign="center" w:y="1"/>
              <w:spacing w:before="80" w:after="80"/>
              <w:ind w:left="-57" w:right="-57"/>
              <w:jc w:val="center"/>
              <w:rPr>
                <w:lang w:val="en-US"/>
              </w:rPr>
            </w:pPr>
            <w:r>
              <w:rPr>
                <w:lang w:val="en-US"/>
              </w:rPr>
              <w:t>6 scan-lines</w:t>
            </w:r>
          </w:p>
        </w:tc>
        <w:tc>
          <w:tcPr>
            <w:tcW w:w="1247" w:type="dxa"/>
          </w:tcPr>
          <w:p w:rsidR="00B9359B" w:rsidRDefault="009A5268">
            <w:pPr>
              <w:pStyle w:val="Tabletext"/>
              <w:framePr w:hSpace="181" w:wrap="notBeside" w:vAnchor="text" w:hAnchor="text" w:xAlign="center" w:y="1"/>
              <w:spacing w:before="80" w:after="80"/>
              <w:ind w:left="-57" w:right="-57"/>
              <w:jc w:val="center"/>
              <w:rPr>
                <w:lang w:val="en-US"/>
              </w:rPr>
            </w:pPr>
            <w:r>
              <w:rPr>
                <w:lang w:val="en-US"/>
              </w:rPr>
              <w:t>7.5 scan-lines</w:t>
            </w:r>
          </w:p>
        </w:tc>
        <w:tc>
          <w:tcPr>
            <w:tcW w:w="1331" w:type="dxa"/>
          </w:tcPr>
          <w:p w:rsidR="00B9359B" w:rsidRDefault="009A5268">
            <w:pPr>
              <w:pStyle w:val="Tabletext"/>
              <w:framePr w:hSpace="181" w:wrap="notBeside" w:vAnchor="text" w:hAnchor="text" w:xAlign="center" w:y="1"/>
              <w:spacing w:before="80" w:after="80"/>
              <w:ind w:left="-57" w:right="-57"/>
              <w:jc w:val="center"/>
              <w:rPr>
                <w:lang w:val="en-US"/>
              </w:rPr>
            </w:pPr>
            <w:r>
              <w:rPr>
                <w:lang w:val="en-US"/>
              </w:rPr>
              <w:t>1 scan-lines</w:t>
            </w:r>
          </w:p>
        </w:tc>
        <w:tc>
          <w:tcPr>
            <w:tcW w:w="1276" w:type="dxa"/>
          </w:tcPr>
          <w:p w:rsidR="00B9359B" w:rsidRDefault="009A5268">
            <w:pPr>
              <w:pStyle w:val="Tabletext"/>
              <w:framePr w:hSpace="181" w:wrap="notBeside" w:vAnchor="text" w:hAnchor="text" w:xAlign="center" w:y="1"/>
              <w:spacing w:before="80" w:after="80"/>
              <w:ind w:left="-57" w:right="-57"/>
              <w:jc w:val="center"/>
              <w:rPr>
                <w:lang w:val="en-US"/>
              </w:rPr>
            </w:pPr>
            <w:r>
              <w:rPr>
                <w:lang w:val="en-US"/>
              </w:rPr>
              <w:t>16 scan-lines</w:t>
            </w:r>
          </w:p>
        </w:tc>
        <w:tc>
          <w:tcPr>
            <w:tcW w:w="1276" w:type="dxa"/>
          </w:tcPr>
          <w:p w:rsidR="00B9359B" w:rsidRDefault="009A5268">
            <w:pPr>
              <w:pStyle w:val="Tabletext"/>
              <w:framePr w:hSpace="181" w:wrap="notBeside" w:vAnchor="text" w:hAnchor="text" w:xAlign="center" w:y="1"/>
              <w:spacing w:before="80" w:after="80"/>
              <w:ind w:left="-57" w:right="-57"/>
              <w:jc w:val="center"/>
              <w:rPr>
                <w:lang w:val="en-US"/>
              </w:rPr>
            </w:pPr>
            <w:r>
              <w:rPr>
                <w:lang w:val="en-US"/>
              </w:rPr>
              <w:t>2.6 scan-lines</w:t>
            </w:r>
          </w:p>
        </w:tc>
        <w:tc>
          <w:tcPr>
            <w:tcW w:w="1275" w:type="dxa"/>
          </w:tcPr>
          <w:p w:rsidR="00B9359B" w:rsidRDefault="009A5268">
            <w:pPr>
              <w:pStyle w:val="Tabletext"/>
              <w:framePr w:hSpace="181" w:wrap="notBeside" w:vAnchor="text" w:hAnchor="text" w:xAlign="center" w:y="1"/>
              <w:spacing w:before="80" w:after="80"/>
              <w:ind w:left="-57" w:right="-57"/>
              <w:jc w:val="center"/>
              <w:rPr>
                <w:lang w:val="en-US"/>
              </w:rPr>
            </w:pPr>
            <w:r>
              <w:rPr>
                <w:lang w:val="en-US"/>
              </w:rPr>
              <w:t>2.5 scan-lines</w:t>
            </w:r>
          </w:p>
        </w:tc>
      </w:tr>
      <w:tr w:rsidR="00B9359B">
        <w:tc>
          <w:tcPr>
            <w:tcW w:w="2624" w:type="dxa"/>
          </w:tcPr>
          <w:p w:rsidR="00B9359B" w:rsidRDefault="009A5268">
            <w:pPr>
              <w:pStyle w:val="Tabletext"/>
              <w:framePr w:hSpace="181" w:wrap="notBeside" w:vAnchor="text" w:hAnchor="text" w:xAlign="center" w:y="1"/>
              <w:spacing w:before="80" w:after="80"/>
              <w:ind w:right="-57"/>
              <w:jc w:val="left"/>
              <w:rPr>
                <w:lang w:val="en-US"/>
              </w:rPr>
            </w:pPr>
            <w:r>
              <w:rPr>
                <w:lang w:val="en-US"/>
              </w:rPr>
              <w:t>Duration of one event (s)</w:t>
            </w:r>
          </w:p>
        </w:tc>
        <w:tc>
          <w:tcPr>
            <w:tcW w:w="1247" w:type="dxa"/>
          </w:tcPr>
          <w:p w:rsidR="00B9359B" w:rsidRDefault="009A5268">
            <w:pPr>
              <w:pStyle w:val="Tabletext"/>
              <w:framePr w:hSpace="181" w:wrap="notBeside" w:vAnchor="text" w:hAnchor="text" w:xAlign="center" w:y="1"/>
              <w:spacing w:before="80" w:after="80"/>
              <w:ind w:left="-57" w:right="-57"/>
              <w:jc w:val="center"/>
              <w:rPr>
                <w:lang w:val="en-US"/>
              </w:rPr>
            </w:pPr>
            <w:r>
              <w:rPr>
                <w:lang w:val="en-US"/>
              </w:rPr>
              <w:t>15</w:t>
            </w:r>
          </w:p>
        </w:tc>
        <w:tc>
          <w:tcPr>
            <w:tcW w:w="1247" w:type="dxa"/>
          </w:tcPr>
          <w:p w:rsidR="00B9359B" w:rsidRDefault="009A5268">
            <w:pPr>
              <w:pStyle w:val="Tabletext"/>
              <w:framePr w:hSpace="181" w:wrap="notBeside" w:vAnchor="text" w:hAnchor="text" w:xAlign="center" w:y="1"/>
              <w:spacing w:before="80" w:after="80"/>
              <w:ind w:left="-57" w:right="-57"/>
              <w:jc w:val="center"/>
              <w:rPr>
                <w:lang w:val="en-US"/>
              </w:rPr>
            </w:pPr>
            <w:r>
              <w:rPr>
                <w:lang w:val="en-US"/>
              </w:rPr>
              <w:t>18</w:t>
            </w:r>
          </w:p>
        </w:tc>
        <w:tc>
          <w:tcPr>
            <w:tcW w:w="1331" w:type="dxa"/>
          </w:tcPr>
          <w:p w:rsidR="00B9359B" w:rsidRDefault="009A5268">
            <w:pPr>
              <w:pStyle w:val="Tabletext"/>
              <w:framePr w:hSpace="181" w:wrap="notBeside" w:vAnchor="text" w:hAnchor="text" w:xAlign="center" w:y="1"/>
              <w:spacing w:before="80" w:after="80"/>
              <w:ind w:left="-57" w:right="-57"/>
              <w:jc w:val="center"/>
              <w:rPr>
                <w:lang w:val="en-US"/>
              </w:rPr>
            </w:pPr>
            <w:r>
              <w:rPr>
                <w:lang w:val="en-US"/>
              </w:rPr>
              <w:t>2.7</w:t>
            </w:r>
          </w:p>
        </w:tc>
        <w:tc>
          <w:tcPr>
            <w:tcW w:w="1276" w:type="dxa"/>
          </w:tcPr>
          <w:p w:rsidR="00B9359B" w:rsidRDefault="009A5268">
            <w:pPr>
              <w:pStyle w:val="Tabletext"/>
              <w:framePr w:hSpace="181" w:wrap="notBeside" w:vAnchor="text" w:hAnchor="text" w:xAlign="center" w:y="1"/>
              <w:spacing w:before="80" w:after="80"/>
              <w:ind w:left="-57" w:right="-57"/>
              <w:jc w:val="center"/>
              <w:rPr>
                <w:lang w:val="en-US"/>
              </w:rPr>
            </w:pPr>
            <w:r>
              <w:rPr>
                <w:lang w:val="en-US"/>
              </w:rPr>
              <w:t>37</w:t>
            </w:r>
          </w:p>
        </w:tc>
        <w:tc>
          <w:tcPr>
            <w:tcW w:w="1276" w:type="dxa"/>
          </w:tcPr>
          <w:p w:rsidR="00B9359B" w:rsidRDefault="009A5268">
            <w:pPr>
              <w:pStyle w:val="Tabletext"/>
              <w:framePr w:hSpace="181" w:wrap="notBeside" w:vAnchor="text" w:hAnchor="text" w:xAlign="center" w:y="1"/>
              <w:spacing w:before="80" w:after="80"/>
              <w:ind w:left="-57" w:right="-57"/>
              <w:jc w:val="center"/>
              <w:rPr>
                <w:lang w:val="en-US"/>
              </w:rPr>
            </w:pPr>
            <w:r>
              <w:rPr>
                <w:lang w:val="en-US"/>
              </w:rPr>
              <w:t>6.3</w:t>
            </w:r>
          </w:p>
        </w:tc>
        <w:tc>
          <w:tcPr>
            <w:tcW w:w="1275" w:type="dxa"/>
          </w:tcPr>
          <w:p w:rsidR="00B9359B" w:rsidRDefault="009A5268">
            <w:pPr>
              <w:pStyle w:val="Tabletext"/>
              <w:framePr w:hSpace="181" w:wrap="notBeside" w:vAnchor="text" w:hAnchor="text" w:xAlign="center" w:y="1"/>
              <w:spacing w:before="80" w:after="80"/>
              <w:ind w:left="-57" w:right="-57"/>
              <w:jc w:val="center"/>
              <w:rPr>
                <w:lang w:val="en-US"/>
              </w:rPr>
            </w:pPr>
            <w:r>
              <w:rPr>
                <w:lang w:val="en-US"/>
              </w:rPr>
              <w:t>6</w:t>
            </w:r>
          </w:p>
        </w:tc>
      </w:tr>
    </w:tbl>
    <w:p w:rsidR="00B9359B" w:rsidRDefault="00B9359B">
      <w:pPr>
        <w:pStyle w:val="Tablefin"/>
        <w:spacing w:before="0"/>
      </w:pPr>
    </w:p>
    <w:p w:rsidR="00B9359B" w:rsidRDefault="009A5268">
      <w:pPr>
        <w:rPr>
          <w:lang w:val="en-US"/>
        </w:rPr>
      </w:pPr>
      <w:r>
        <w:rPr>
          <w:lang w:val="en-US"/>
        </w:rPr>
        <w:br w:type="page"/>
        <w:t>They are up to 35.3 dB (GSO-G system) above the interference threshold of the passive sensor. They last up to 37 s, which is to be compared to the passive sensor orbital period of 100 min. Since all antenna beams of the sensor are permanently activated, several complete scan-lines (90 pixels each) may be lost at each event; this leads to about 1</w:t>
      </w:r>
      <w:r>
        <w:rPr>
          <w:rFonts w:ascii="Tms Rmn" w:hAnsi="Tms Rmn"/>
          <w:sz w:val="12"/>
          <w:lang w:val="en-US"/>
        </w:rPr>
        <w:t> </w:t>
      </w:r>
      <w:r>
        <w:rPr>
          <w:lang w:val="en-US"/>
        </w:rPr>
        <w:t>440 pixels being lost per event in case of the GSO</w:t>
      </w:r>
      <w:r>
        <w:rPr>
          <w:lang w:val="en-US"/>
        </w:rPr>
        <w:noBreakHyphen/>
        <w:t xml:space="preserve">G network. Since the Earth exploration-satellite is in an almost polar orbit, the condition required for interference is a coincidence within </w:t>
      </w:r>
      <w:r>
        <w:rPr>
          <w:rFonts w:ascii="Symbol" w:hAnsi="Symbol"/>
        </w:rPr>
        <w:sym w:font="Symbol" w:char="F0B1"/>
      </w:r>
      <w:r>
        <w:rPr>
          <w:lang w:val="en-US"/>
        </w:rPr>
        <w:t> 0.6</w:t>
      </w:r>
      <w:r>
        <w:rPr>
          <w:rFonts w:ascii="Symbol" w:hAnsi="Symbol"/>
          <w:lang w:val="en-US"/>
        </w:rPr>
        <w:t></w:t>
      </w:r>
      <w:r>
        <w:rPr>
          <w:lang w:val="en-US"/>
        </w:rPr>
        <w:t xml:space="preserve"> around the longitude of the earth station. The probability of occurrence of such events should be further studied, considering in particular the passive sensor drifting-orbit parameters, the density and latitude of earth stations and the availability criteria of passive sensors. Owing to the magnitude of the events, it is doubtful however, that their probability of occurrence may be neglected.</w:t>
      </w:r>
    </w:p>
    <w:p w:rsidR="00B9359B" w:rsidRDefault="00B9359B">
      <w:pPr>
        <w:rPr>
          <w:lang w:val="en-US"/>
        </w:rPr>
      </w:pPr>
    </w:p>
    <w:p w:rsidR="00B9359B" w:rsidRDefault="009A5268">
      <w:pPr>
        <w:rPr>
          <w:lang w:val="en-US"/>
        </w:rPr>
      </w:pPr>
      <w:r>
        <w:rPr>
          <w:lang w:val="en-US"/>
        </w:rPr>
        <w:t>Interference which occurs when the passive sensor is close to the zenith of the FSS earth station (Table 63).</w:t>
      </w:r>
    </w:p>
    <w:p w:rsidR="00B9359B" w:rsidRDefault="009A5268">
      <w:pPr>
        <w:pStyle w:val="TableNo"/>
        <w:rPr>
          <w:lang w:val="en-US"/>
        </w:rPr>
      </w:pPr>
      <w:r>
        <w:rPr>
          <w:lang w:val="en-US"/>
        </w:rPr>
        <w:t>TABLE  63</w:t>
      </w:r>
    </w:p>
    <w:p w:rsidR="00B9359B" w:rsidRDefault="009A5268">
      <w:pPr>
        <w:pStyle w:val="Tabletitle"/>
        <w:rPr>
          <w:lang w:val="en-US"/>
        </w:rPr>
      </w:pPr>
      <w:r>
        <w:rPr>
          <w:lang w:val="en-US"/>
        </w:rPr>
        <w:t xml:space="preserve">Power excess over interference threshold – Sensor close to zenith of earth station </w:t>
      </w:r>
      <w:r>
        <w:rPr>
          <w:lang w:val="en-US"/>
        </w:rPr>
        <w:br/>
        <w:t>(co-frequency assumption)</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2"/>
        <w:gridCol w:w="1122"/>
        <w:gridCol w:w="1121"/>
        <w:gridCol w:w="1121"/>
        <w:gridCol w:w="1121"/>
        <w:gridCol w:w="1121"/>
        <w:gridCol w:w="1121"/>
      </w:tblGrid>
      <w:tr w:rsidR="00B9359B">
        <w:trPr>
          <w:cantSplit/>
        </w:trPr>
        <w:tc>
          <w:tcPr>
            <w:tcW w:w="2912" w:type="dxa"/>
            <w:vMerge w:val="restart"/>
          </w:tcPr>
          <w:p w:rsidR="00B9359B" w:rsidRDefault="00B9359B">
            <w:pPr>
              <w:pStyle w:val="Tabletext"/>
              <w:framePr w:hSpace="181" w:wrap="notBeside" w:vAnchor="text" w:hAnchor="text" w:xAlign="center" w:y="1"/>
              <w:spacing w:before="120" w:after="120"/>
              <w:jc w:val="left"/>
              <w:rPr>
                <w:lang w:val="en-US"/>
              </w:rPr>
            </w:pPr>
          </w:p>
        </w:tc>
        <w:tc>
          <w:tcPr>
            <w:tcW w:w="6727" w:type="dxa"/>
            <w:gridSpan w:val="6"/>
          </w:tcPr>
          <w:p w:rsidR="00B9359B" w:rsidRDefault="009A5268">
            <w:pPr>
              <w:pStyle w:val="Tablehead"/>
              <w:framePr w:hSpace="181" w:wrap="notBeside" w:vAnchor="text" w:hAnchor="text" w:xAlign="center" w:y="1"/>
              <w:spacing w:before="120" w:after="120"/>
              <w:rPr>
                <w:lang w:val="en-US"/>
              </w:rPr>
            </w:pPr>
            <w:r>
              <w:rPr>
                <w:lang w:val="en-US"/>
              </w:rPr>
              <w:t>GSO</w:t>
            </w:r>
            <w:r>
              <w:rPr>
                <w:sz w:val="16"/>
                <w:lang w:val="en-US"/>
              </w:rPr>
              <w:t xml:space="preserve">  </w:t>
            </w:r>
            <w:r>
              <w:rPr>
                <w:lang w:val="en-US"/>
              </w:rPr>
              <w:t>FSS/MSS systems</w:t>
            </w:r>
          </w:p>
        </w:tc>
      </w:tr>
      <w:tr w:rsidR="00B9359B">
        <w:trPr>
          <w:cantSplit/>
        </w:trPr>
        <w:tc>
          <w:tcPr>
            <w:tcW w:w="2912" w:type="dxa"/>
            <w:vMerge/>
          </w:tcPr>
          <w:p w:rsidR="00B9359B" w:rsidRDefault="00B9359B">
            <w:pPr>
              <w:pStyle w:val="Tabletext"/>
              <w:framePr w:hSpace="181" w:wrap="notBeside" w:vAnchor="text" w:hAnchor="text" w:xAlign="center" w:y="1"/>
              <w:spacing w:before="120" w:after="120"/>
              <w:jc w:val="left"/>
              <w:rPr>
                <w:lang w:val="en-US"/>
              </w:rPr>
            </w:pPr>
          </w:p>
        </w:tc>
        <w:tc>
          <w:tcPr>
            <w:tcW w:w="1122" w:type="dxa"/>
          </w:tcPr>
          <w:p w:rsidR="00B9359B" w:rsidRDefault="009A5268">
            <w:pPr>
              <w:pStyle w:val="Tablehead"/>
              <w:framePr w:hSpace="181" w:wrap="notBeside" w:vAnchor="text" w:hAnchor="text" w:xAlign="center" w:y="1"/>
              <w:spacing w:before="120" w:after="120"/>
              <w:ind w:left="-57" w:right="-57"/>
              <w:rPr>
                <w:lang w:val="en-US"/>
              </w:rPr>
            </w:pPr>
            <w:r>
              <w:rPr>
                <w:lang w:val="en-US"/>
              </w:rPr>
              <w:t>GSO-Ka-1</w:t>
            </w:r>
          </w:p>
        </w:tc>
        <w:tc>
          <w:tcPr>
            <w:tcW w:w="1121" w:type="dxa"/>
          </w:tcPr>
          <w:p w:rsidR="00B9359B" w:rsidRDefault="009A5268">
            <w:pPr>
              <w:pStyle w:val="Tablehead"/>
              <w:framePr w:hSpace="181" w:wrap="notBeside" w:vAnchor="text" w:hAnchor="text" w:xAlign="center" w:y="1"/>
              <w:spacing w:before="120" w:after="120"/>
              <w:ind w:left="-57" w:right="-57"/>
              <w:rPr>
                <w:lang w:val="en-US"/>
              </w:rPr>
            </w:pPr>
            <w:r>
              <w:rPr>
                <w:lang w:val="en-US"/>
              </w:rPr>
              <w:t>GSO-20</w:t>
            </w:r>
          </w:p>
        </w:tc>
        <w:tc>
          <w:tcPr>
            <w:tcW w:w="1121" w:type="dxa"/>
          </w:tcPr>
          <w:p w:rsidR="00B9359B" w:rsidRDefault="009A5268">
            <w:pPr>
              <w:pStyle w:val="Tablehead"/>
              <w:framePr w:hSpace="181" w:wrap="notBeside" w:vAnchor="text" w:hAnchor="text" w:xAlign="center" w:y="1"/>
              <w:spacing w:before="120" w:after="120"/>
              <w:ind w:left="-57" w:right="-57"/>
              <w:rPr>
                <w:lang w:val="en-US"/>
              </w:rPr>
            </w:pPr>
            <w:r>
              <w:rPr>
                <w:lang w:val="en-US"/>
              </w:rPr>
              <w:t>GSO-F</w:t>
            </w:r>
          </w:p>
        </w:tc>
        <w:tc>
          <w:tcPr>
            <w:tcW w:w="1121" w:type="dxa"/>
          </w:tcPr>
          <w:p w:rsidR="00B9359B" w:rsidRDefault="009A5268">
            <w:pPr>
              <w:pStyle w:val="Tablehead"/>
              <w:framePr w:hSpace="181" w:wrap="notBeside" w:vAnchor="text" w:hAnchor="text" w:xAlign="center" w:y="1"/>
              <w:spacing w:before="120" w:after="120"/>
              <w:ind w:left="-57" w:right="-57"/>
              <w:rPr>
                <w:lang w:val="en-US"/>
              </w:rPr>
            </w:pPr>
            <w:r>
              <w:rPr>
                <w:lang w:val="en-US"/>
              </w:rPr>
              <w:t>GSO-G</w:t>
            </w:r>
          </w:p>
        </w:tc>
        <w:tc>
          <w:tcPr>
            <w:tcW w:w="1121" w:type="dxa"/>
          </w:tcPr>
          <w:p w:rsidR="00B9359B" w:rsidRDefault="009A5268">
            <w:pPr>
              <w:pStyle w:val="Tablehead"/>
              <w:framePr w:hSpace="181" w:wrap="notBeside" w:vAnchor="text" w:hAnchor="text" w:xAlign="center" w:y="1"/>
              <w:spacing w:before="120" w:after="120"/>
              <w:ind w:left="-57" w:right="-57"/>
              <w:rPr>
                <w:lang w:val="en-US"/>
              </w:rPr>
            </w:pPr>
            <w:r>
              <w:rPr>
                <w:lang w:val="en-US"/>
              </w:rPr>
              <w:t>GSO-H</w:t>
            </w:r>
          </w:p>
        </w:tc>
        <w:tc>
          <w:tcPr>
            <w:tcW w:w="1121" w:type="dxa"/>
          </w:tcPr>
          <w:p w:rsidR="00B9359B" w:rsidRDefault="009A5268">
            <w:pPr>
              <w:pStyle w:val="Tablehead"/>
              <w:framePr w:hSpace="181" w:wrap="notBeside" w:vAnchor="text" w:hAnchor="text" w:xAlign="center" w:y="1"/>
              <w:spacing w:before="120" w:after="120"/>
              <w:ind w:left="-57" w:right="-57"/>
              <w:rPr>
                <w:lang w:val="en-US"/>
              </w:rPr>
            </w:pPr>
            <w:r>
              <w:rPr>
                <w:lang w:val="en-US"/>
              </w:rPr>
              <w:t>GSO-13</w:t>
            </w:r>
          </w:p>
        </w:tc>
      </w:tr>
      <w:tr w:rsidR="00B9359B">
        <w:tc>
          <w:tcPr>
            <w:tcW w:w="2912" w:type="dxa"/>
          </w:tcPr>
          <w:p w:rsidR="00B9359B" w:rsidRDefault="009A5268">
            <w:pPr>
              <w:pStyle w:val="Tabletext"/>
              <w:framePr w:hSpace="181" w:wrap="notBeside" w:vAnchor="text" w:hAnchor="text" w:xAlign="center" w:y="1"/>
              <w:spacing w:before="80" w:after="80"/>
              <w:jc w:val="left"/>
              <w:rPr>
                <w:lang w:val="en-US"/>
              </w:rPr>
            </w:pPr>
            <w:r>
              <w:rPr>
                <w:lang w:val="en-US"/>
              </w:rPr>
              <w:t>Nadir beam (dB)</w:t>
            </w:r>
          </w:p>
        </w:tc>
        <w:tc>
          <w:tcPr>
            <w:tcW w:w="1122" w:type="dxa"/>
          </w:tcPr>
          <w:p w:rsidR="00B9359B" w:rsidRDefault="009A5268">
            <w:pPr>
              <w:pStyle w:val="Tabletext"/>
              <w:framePr w:hSpace="181" w:wrap="notBeside" w:vAnchor="text" w:hAnchor="text" w:xAlign="center" w:y="1"/>
              <w:spacing w:before="80" w:after="80"/>
              <w:jc w:val="center"/>
              <w:rPr>
                <w:lang w:val="en-US"/>
              </w:rPr>
            </w:pPr>
            <w:r>
              <w:rPr>
                <w:lang w:val="en-US"/>
              </w:rPr>
              <w:t>25.9</w:t>
            </w:r>
          </w:p>
        </w:tc>
        <w:tc>
          <w:tcPr>
            <w:tcW w:w="1121" w:type="dxa"/>
          </w:tcPr>
          <w:p w:rsidR="00B9359B" w:rsidRDefault="009A5268">
            <w:pPr>
              <w:pStyle w:val="Tabletext"/>
              <w:framePr w:hSpace="181" w:wrap="notBeside" w:vAnchor="text" w:hAnchor="text" w:xAlign="center" w:y="1"/>
              <w:spacing w:before="80" w:after="80"/>
              <w:jc w:val="center"/>
              <w:rPr>
                <w:lang w:val="en-US"/>
              </w:rPr>
            </w:pPr>
            <w:r>
              <w:rPr>
                <w:lang w:val="en-US"/>
              </w:rPr>
              <w:t>27.7</w:t>
            </w:r>
          </w:p>
        </w:tc>
        <w:tc>
          <w:tcPr>
            <w:tcW w:w="1121" w:type="dxa"/>
          </w:tcPr>
          <w:p w:rsidR="00B9359B" w:rsidRDefault="009A5268">
            <w:pPr>
              <w:pStyle w:val="Tabletext"/>
              <w:framePr w:hSpace="181" w:wrap="notBeside" w:vAnchor="text" w:hAnchor="text" w:xAlign="center" w:y="1"/>
              <w:spacing w:before="80" w:after="80"/>
              <w:jc w:val="center"/>
              <w:rPr>
                <w:lang w:val="en-US"/>
              </w:rPr>
            </w:pPr>
            <w:r>
              <w:rPr>
                <w:lang w:val="en-US"/>
              </w:rPr>
              <w:t>8.7</w:t>
            </w:r>
          </w:p>
        </w:tc>
        <w:tc>
          <w:tcPr>
            <w:tcW w:w="1121" w:type="dxa"/>
          </w:tcPr>
          <w:p w:rsidR="00B9359B" w:rsidRDefault="009A5268">
            <w:pPr>
              <w:pStyle w:val="Tabletext"/>
              <w:framePr w:hSpace="181" w:wrap="notBeside" w:vAnchor="text" w:hAnchor="text" w:xAlign="center" w:y="1"/>
              <w:spacing w:before="80" w:after="80"/>
              <w:jc w:val="center"/>
              <w:rPr>
                <w:lang w:val="en-US"/>
              </w:rPr>
            </w:pPr>
            <w:r>
              <w:rPr>
                <w:lang w:val="en-US"/>
              </w:rPr>
              <w:t>34.9</w:t>
            </w:r>
          </w:p>
        </w:tc>
        <w:tc>
          <w:tcPr>
            <w:tcW w:w="1121" w:type="dxa"/>
          </w:tcPr>
          <w:p w:rsidR="00B9359B" w:rsidRDefault="009A5268">
            <w:pPr>
              <w:pStyle w:val="Tabletext"/>
              <w:framePr w:hSpace="181" w:wrap="notBeside" w:vAnchor="text" w:hAnchor="text" w:xAlign="center" w:y="1"/>
              <w:spacing w:before="80" w:after="80"/>
              <w:jc w:val="center"/>
              <w:rPr>
                <w:lang w:val="en-US"/>
              </w:rPr>
            </w:pPr>
            <w:r>
              <w:rPr>
                <w:lang w:val="en-US"/>
              </w:rPr>
              <w:t>17.1</w:t>
            </w:r>
          </w:p>
        </w:tc>
        <w:tc>
          <w:tcPr>
            <w:tcW w:w="1121" w:type="dxa"/>
          </w:tcPr>
          <w:p w:rsidR="00B9359B" w:rsidRDefault="009A5268">
            <w:pPr>
              <w:pStyle w:val="Tabletext"/>
              <w:framePr w:hSpace="181" w:wrap="notBeside" w:vAnchor="text" w:hAnchor="text" w:xAlign="center" w:y="1"/>
              <w:spacing w:before="80" w:after="80"/>
              <w:jc w:val="center"/>
              <w:rPr>
                <w:lang w:val="en-US"/>
              </w:rPr>
            </w:pPr>
            <w:r>
              <w:rPr>
                <w:lang w:val="en-US"/>
              </w:rPr>
              <w:t>13.5</w:t>
            </w:r>
          </w:p>
        </w:tc>
      </w:tr>
      <w:tr w:rsidR="00B9359B">
        <w:tc>
          <w:tcPr>
            <w:tcW w:w="2912" w:type="dxa"/>
          </w:tcPr>
          <w:p w:rsidR="00B9359B" w:rsidRDefault="009A5268">
            <w:pPr>
              <w:pStyle w:val="Tabletext"/>
              <w:framePr w:hSpace="181" w:wrap="notBeside" w:vAnchor="text" w:hAnchor="text" w:xAlign="center" w:y="1"/>
              <w:spacing w:before="80" w:after="80"/>
              <w:jc w:val="left"/>
              <w:rPr>
                <w:lang w:val="en-US"/>
              </w:rPr>
            </w:pPr>
            <w:r>
              <w:rPr>
                <w:rFonts w:ascii="Symbol" w:hAnsi="Symbol"/>
              </w:rPr>
              <w:sym w:font="Symbol" w:char="F0B1"/>
            </w:r>
            <w:r>
              <w:rPr>
                <w:lang w:val="en-US"/>
              </w:rPr>
              <w:t> 50</w:t>
            </w:r>
            <w:r>
              <w:rPr>
                <w:rFonts w:ascii="Symbol" w:hAnsi="Symbol"/>
                <w:lang w:val="en-US"/>
              </w:rPr>
              <w:t></w:t>
            </w:r>
            <w:r>
              <w:rPr>
                <w:lang w:val="en-US"/>
              </w:rPr>
              <w:t xml:space="preserve"> off-nadir beams (dB)</w:t>
            </w:r>
          </w:p>
        </w:tc>
        <w:tc>
          <w:tcPr>
            <w:tcW w:w="1122" w:type="dxa"/>
          </w:tcPr>
          <w:p w:rsidR="00B9359B" w:rsidRDefault="009A5268">
            <w:pPr>
              <w:pStyle w:val="Tabletext"/>
              <w:framePr w:hSpace="181" w:wrap="notBeside" w:vAnchor="text" w:hAnchor="text" w:xAlign="center" w:y="1"/>
              <w:spacing w:before="80" w:after="80"/>
              <w:jc w:val="center"/>
            </w:pPr>
            <w:r>
              <w:t>22.1</w:t>
            </w:r>
          </w:p>
        </w:tc>
        <w:tc>
          <w:tcPr>
            <w:tcW w:w="1121" w:type="dxa"/>
          </w:tcPr>
          <w:p w:rsidR="00B9359B" w:rsidRDefault="009A5268">
            <w:pPr>
              <w:pStyle w:val="Tabletext"/>
              <w:framePr w:hSpace="181" w:wrap="notBeside" w:vAnchor="text" w:hAnchor="text" w:xAlign="center" w:y="1"/>
              <w:spacing w:before="80" w:after="80"/>
              <w:jc w:val="center"/>
            </w:pPr>
            <w:r>
              <w:t>23.86</w:t>
            </w:r>
          </w:p>
        </w:tc>
        <w:tc>
          <w:tcPr>
            <w:tcW w:w="1121" w:type="dxa"/>
          </w:tcPr>
          <w:p w:rsidR="00B9359B" w:rsidRDefault="009A5268">
            <w:pPr>
              <w:pStyle w:val="Tabletext"/>
              <w:framePr w:hSpace="181" w:wrap="notBeside" w:vAnchor="text" w:hAnchor="text" w:xAlign="center" w:y="1"/>
              <w:spacing w:before="80" w:after="80"/>
              <w:jc w:val="center"/>
            </w:pPr>
            <w:r>
              <w:t>4.86</w:t>
            </w:r>
          </w:p>
        </w:tc>
        <w:tc>
          <w:tcPr>
            <w:tcW w:w="1121" w:type="dxa"/>
          </w:tcPr>
          <w:p w:rsidR="00B9359B" w:rsidRDefault="009A5268">
            <w:pPr>
              <w:pStyle w:val="Tabletext"/>
              <w:framePr w:hSpace="181" w:wrap="notBeside" w:vAnchor="text" w:hAnchor="text" w:xAlign="center" w:y="1"/>
              <w:spacing w:before="80" w:after="80"/>
              <w:jc w:val="center"/>
            </w:pPr>
            <w:r>
              <w:t>31.06</w:t>
            </w:r>
          </w:p>
        </w:tc>
        <w:tc>
          <w:tcPr>
            <w:tcW w:w="1121" w:type="dxa"/>
          </w:tcPr>
          <w:p w:rsidR="00B9359B" w:rsidRDefault="009A5268">
            <w:pPr>
              <w:pStyle w:val="Tabletext"/>
              <w:framePr w:hSpace="181" w:wrap="notBeside" w:vAnchor="text" w:hAnchor="text" w:xAlign="center" w:y="1"/>
              <w:spacing w:before="80" w:after="80"/>
              <w:jc w:val="center"/>
            </w:pPr>
            <w:r>
              <w:t>13.26</w:t>
            </w:r>
          </w:p>
        </w:tc>
        <w:tc>
          <w:tcPr>
            <w:tcW w:w="1121" w:type="dxa"/>
          </w:tcPr>
          <w:p w:rsidR="00B9359B" w:rsidRDefault="009A5268">
            <w:pPr>
              <w:pStyle w:val="Tabletext"/>
              <w:framePr w:hSpace="181" w:wrap="notBeside" w:vAnchor="text" w:hAnchor="text" w:xAlign="center" w:y="1"/>
              <w:spacing w:before="80" w:after="80"/>
              <w:jc w:val="center"/>
            </w:pPr>
            <w:r>
              <w:t>9.7</w:t>
            </w:r>
          </w:p>
        </w:tc>
      </w:tr>
      <w:tr w:rsidR="00B9359B">
        <w:tc>
          <w:tcPr>
            <w:tcW w:w="2912" w:type="dxa"/>
          </w:tcPr>
          <w:p w:rsidR="00B9359B" w:rsidRDefault="009A5268">
            <w:pPr>
              <w:pStyle w:val="Tabletext"/>
              <w:framePr w:hSpace="181" w:wrap="notBeside" w:vAnchor="text" w:hAnchor="text" w:xAlign="center" w:y="1"/>
              <w:spacing w:before="80" w:after="80"/>
              <w:jc w:val="left"/>
            </w:pPr>
            <w:r>
              <w:t>Contaminated zone (km)</w:t>
            </w:r>
          </w:p>
        </w:tc>
        <w:tc>
          <w:tcPr>
            <w:tcW w:w="1122" w:type="dxa"/>
          </w:tcPr>
          <w:p w:rsidR="00B9359B" w:rsidRDefault="009A5268">
            <w:pPr>
              <w:pStyle w:val="Tabletext"/>
              <w:framePr w:hSpace="181" w:wrap="notBeside" w:vAnchor="text" w:hAnchor="text" w:xAlign="center" w:y="1"/>
              <w:spacing w:before="80" w:after="80"/>
              <w:jc w:val="center"/>
              <w:rPr>
                <w:lang w:val="en-US"/>
              </w:rPr>
            </w:pPr>
            <w:r>
              <w:rPr>
                <w:rFonts w:ascii="Symbol" w:hAnsi="Symbol"/>
              </w:rPr>
              <w:t></w:t>
            </w:r>
            <w:r>
              <w:rPr>
                <w:lang w:val="en-US"/>
              </w:rPr>
              <w:t>: 78</w:t>
            </w:r>
          </w:p>
        </w:tc>
        <w:tc>
          <w:tcPr>
            <w:tcW w:w="1121" w:type="dxa"/>
          </w:tcPr>
          <w:p w:rsidR="00B9359B" w:rsidRDefault="009A5268">
            <w:pPr>
              <w:pStyle w:val="Tabletext"/>
              <w:framePr w:hSpace="181" w:wrap="notBeside" w:vAnchor="text" w:hAnchor="text" w:xAlign="center" w:y="1"/>
              <w:spacing w:before="80" w:after="80"/>
              <w:jc w:val="center"/>
              <w:rPr>
                <w:lang w:val="en-US"/>
              </w:rPr>
            </w:pPr>
            <w:r>
              <w:rPr>
                <w:rFonts w:ascii="Symbol" w:hAnsi="Symbol"/>
              </w:rPr>
              <w:t></w:t>
            </w:r>
            <w:r>
              <w:rPr>
                <w:lang w:val="en-US"/>
              </w:rPr>
              <w:t>: 94</w:t>
            </w:r>
          </w:p>
        </w:tc>
        <w:tc>
          <w:tcPr>
            <w:tcW w:w="1121" w:type="dxa"/>
          </w:tcPr>
          <w:p w:rsidR="00B9359B" w:rsidRDefault="009A5268">
            <w:pPr>
              <w:pStyle w:val="Tabletext"/>
              <w:framePr w:hSpace="181" w:wrap="notBeside" w:vAnchor="text" w:hAnchor="text" w:xAlign="center" w:y="1"/>
              <w:spacing w:before="80" w:after="80"/>
              <w:jc w:val="center"/>
              <w:rPr>
                <w:lang w:val="en-US"/>
              </w:rPr>
            </w:pPr>
            <w:r>
              <w:rPr>
                <w:rFonts w:ascii="Symbol" w:hAnsi="Symbol"/>
              </w:rPr>
              <w:t></w:t>
            </w:r>
            <w:r>
              <w:rPr>
                <w:lang w:val="en-US"/>
              </w:rPr>
              <w:t>: 23</w:t>
            </w:r>
          </w:p>
        </w:tc>
        <w:tc>
          <w:tcPr>
            <w:tcW w:w="1121" w:type="dxa"/>
          </w:tcPr>
          <w:p w:rsidR="00B9359B" w:rsidRDefault="009A5268">
            <w:pPr>
              <w:pStyle w:val="Tabletext"/>
              <w:framePr w:hSpace="181" w:wrap="notBeside" w:vAnchor="text" w:hAnchor="text" w:xAlign="center" w:y="1"/>
              <w:spacing w:before="80" w:after="80"/>
              <w:jc w:val="center"/>
              <w:rPr>
                <w:lang w:val="en-US"/>
              </w:rPr>
            </w:pPr>
            <w:r>
              <w:rPr>
                <w:rFonts w:ascii="Symbol" w:hAnsi="Symbol"/>
              </w:rPr>
              <w:t></w:t>
            </w:r>
            <w:r>
              <w:rPr>
                <w:lang w:val="en-US"/>
              </w:rPr>
              <w:t>: 191</w:t>
            </w:r>
          </w:p>
        </w:tc>
        <w:tc>
          <w:tcPr>
            <w:tcW w:w="1121" w:type="dxa"/>
          </w:tcPr>
          <w:p w:rsidR="00B9359B" w:rsidRDefault="009A5268">
            <w:pPr>
              <w:pStyle w:val="Tabletext"/>
              <w:framePr w:hSpace="181" w:wrap="notBeside" w:vAnchor="text" w:hAnchor="text" w:xAlign="center" w:y="1"/>
              <w:spacing w:before="80" w:after="80"/>
              <w:jc w:val="center"/>
              <w:rPr>
                <w:lang w:val="en-US"/>
              </w:rPr>
            </w:pPr>
            <w:r>
              <w:rPr>
                <w:rFonts w:ascii="Symbol" w:hAnsi="Symbol"/>
              </w:rPr>
              <w:t></w:t>
            </w:r>
            <w:r>
              <w:rPr>
                <w:lang w:val="en-US"/>
              </w:rPr>
              <w:t>: 34</w:t>
            </w:r>
          </w:p>
        </w:tc>
        <w:tc>
          <w:tcPr>
            <w:tcW w:w="1121" w:type="dxa"/>
          </w:tcPr>
          <w:p w:rsidR="00B9359B" w:rsidRDefault="009A5268">
            <w:pPr>
              <w:pStyle w:val="Tabletext"/>
              <w:framePr w:hSpace="181" w:wrap="notBeside" w:vAnchor="text" w:hAnchor="text" w:xAlign="center" w:y="1"/>
              <w:spacing w:before="80" w:after="80"/>
              <w:jc w:val="center"/>
              <w:rPr>
                <w:lang w:val="en-US"/>
              </w:rPr>
            </w:pPr>
            <w:r>
              <w:rPr>
                <w:rFonts w:ascii="Symbol" w:hAnsi="Symbol"/>
              </w:rPr>
              <w:t></w:t>
            </w:r>
            <w:r>
              <w:rPr>
                <w:lang w:val="en-US"/>
              </w:rPr>
              <w:t>: 27</w:t>
            </w:r>
          </w:p>
        </w:tc>
      </w:tr>
      <w:tr w:rsidR="00B9359B">
        <w:tc>
          <w:tcPr>
            <w:tcW w:w="2912" w:type="dxa"/>
          </w:tcPr>
          <w:p w:rsidR="00B9359B" w:rsidRDefault="009A5268">
            <w:pPr>
              <w:pStyle w:val="Tabletext"/>
              <w:framePr w:hSpace="181" w:wrap="notBeside" w:vAnchor="text" w:hAnchor="text" w:xAlign="center" w:y="1"/>
              <w:spacing w:before="80" w:after="80"/>
              <w:jc w:val="left"/>
              <w:rPr>
                <w:lang w:val="en-US"/>
              </w:rPr>
            </w:pPr>
            <w:r>
              <w:rPr>
                <w:lang w:val="en-US"/>
              </w:rPr>
              <w:t>Contaminated pixels/event</w:t>
            </w:r>
          </w:p>
        </w:tc>
        <w:tc>
          <w:tcPr>
            <w:tcW w:w="1122" w:type="dxa"/>
          </w:tcPr>
          <w:p w:rsidR="00B9359B" w:rsidRDefault="009A5268">
            <w:pPr>
              <w:pStyle w:val="Tabletext"/>
              <w:framePr w:hSpace="181" w:wrap="notBeside" w:vAnchor="text" w:hAnchor="text" w:xAlign="center" w:y="1"/>
              <w:spacing w:before="80" w:after="80"/>
              <w:jc w:val="center"/>
              <w:rPr>
                <w:lang w:val="en-US"/>
              </w:rPr>
            </w:pPr>
            <w:r>
              <w:rPr>
                <w:lang w:val="en-US"/>
              </w:rPr>
              <w:t>24</w:t>
            </w:r>
          </w:p>
        </w:tc>
        <w:tc>
          <w:tcPr>
            <w:tcW w:w="1121" w:type="dxa"/>
          </w:tcPr>
          <w:p w:rsidR="00B9359B" w:rsidRDefault="009A5268">
            <w:pPr>
              <w:pStyle w:val="Tabletext"/>
              <w:framePr w:hSpace="181" w:wrap="notBeside" w:vAnchor="text" w:hAnchor="text" w:xAlign="center" w:y="1"/>
              <w:spacing w:before="80" w:after="80"/>
              <w:jc w:val="center"/>
              <w:rPr>
                <w:lang w:val="en-US"/>
              </w:rPr>
            </w:pPr>
            <w:r>
              <w:rPr>
                <w:lang w:val="en-US"/>
              </w:rPr>
              <w:t>35</w:t>
            </w:r>
          </w:p>
        </w:tc>
        <w:tc>
          <w:tcPr>
            <w:tcW w:w="1121" w:type="dxa"/>
          </w:tcPr>
          <w:p w:rsidR="00B9359B" w:rsidRDefault="009A5268">
            <w:pPr>
              <w:pStyle w:val="Tabletext"/>
              <w:framePr w:hSpace="181" w:wrap="notBeside" w:vAnchor="text" w:hAnchor="text" w:xAlign="center" w:y="1"/>
              <w:spacing w:before="80" w:after="80"/>
              <w:jc w:val="center"/>
              <w:rPr>
                <w:lang w:val="en-US"/>
              </w:rPr>
            </w:pPr>
            <w:r>
              <w:rPr>
                <w:lang w:val="en-US"/>
              </w:rPr>
              <w:t>2</w:t>
            </w:r>
          </w:p>
        </w:tc>
        <w:tc>
          <w:tcPr>
            <w:tcW w:w="1121" w:type="dxa"/>
          </w:tcPr>
          <w:p w:rsidR="00B9359B" w:rsidRDefault="009A5268">
            <w:pPr>
              <w:pStyle w:val="Tabletext"/>
              <w:framePr w:hSpace="181" w:wrap="notBeside" w:vAnchor="text" w:hAnchor="text" w:xAlign="center" w:y="1"/>
              <w:spacing w:before="80" w:after="80"/>
              <w:jc w:val="center"/>
              <w:rPr>
                <w:lang w:val="en-US"/>
              </w:rPr>
            </w:pPr>
            <w:r>
              <w:rPr>
                <w:lang w:val="en-US"/>
              </w:rPr>
              <w:t>143</w:t>
            </w:r>
          </w:p>
        </w:tc>
        <w:tc>
          <w:tcPr>
            <w:tcW w:w="1121" w:type="dxa"/>
          </w:tcPr>
          <w:p w:rsidR="00B9359B" w:rsidRDefault="009A5268">
            <w:pPr>
              <w:pStyle w:val="Tabletext"/>
              <w:framePr w:hSpace="181" w:wrap="notBeside" w:vAnchor="text" w:hAnchor="text" w:xAlign="center" w:y="1"/>
              <w:spacing w:before="80" w:after="80"/>
              <w:jc w:val="center"/>
              <w:rPr>
                <w:lang w:val="en-US"/>
              </w:rPr>
            </w:pPr>
            <w:r>
              <w:rPr>
                <w:lang w:val="en-US"/>
              </w:rPr>
              <w:t>4.4</w:t>
            </w:r>
          </w:p>
        </w:tc>
        <w:tc>
          <w:tcPr>
            <w:tcW w:w="1121" w:type="dxa"/>
          </w:tcPr>
          <w:p w:rsidR="00B9359B" w:rsidRDefault="009A5268">
            <w:pPr>
              <w:pStyle w:val="Tabletext"/>
              <w:framePr w:hSpace="181" w:wrap="notBeside" w:vAnchor="text" w:hAnchor="text" w:xAlign="center" w:y="1"/>
              <w:spacing w:before="80" w:after="80"/>
              <w:jc w:val="center"/>
              <w:rPr>
                <w:lang w:val="en-US"/>
              </w:rPr>
            </w:pPr>
            <w:r>
              <w:rPr>
                <w:lang w:val="en-US"/>
              </w:rPr>
              <w:t>2.8</w:t>
            </w:r>
          </w:p>
        </w:tc>
      </w:tr>
      <w:tr w:rsidR="00B9359B">
        <w:trPr>
          <w:trHeight w:val="298"/>
        </w:trPr>
        <w:tc>
          <w:tcPr>
            <w:tcW w:w="2912" w:type="dxa"/>
          </w:tcPr>
          <w:p w:rsidR="00B9359B" w:rsidRDefault="009A5268">
            <w:pPr>
              <w:pStyle w:val="Tabletext"/>
              <w:framePr w:hSpace="181" w:wrap="notBeside" w:vAnchor="text" w:hAnchor="text" w:xAlign="center" w:y="1"/>
              <w:spacing w:before="80" w:after="80"/>
              <w:jc w:val="left"/>
              <w:rPr>
                <w:lang w:val="en-US"/>
              </w:rPr>
            </w:pPr>
            <w:r>
              <w:rPr>
                <w:lang w:val="en-US"/>
              </w:rPr>
              <w:t>Duration of one event (s)</w:t>
            </w:r>
          </w:p>
        </w:tc>
        <w:tc>
          <w:tcPr>
            <w:tcW w:w="1122" w:type="dxa"/>
          </w:tcPr>
          <w:p w:rsidR="00B9359B" w:rsidRDefault="009A5268">
            <w:pPr>
              <w:pStyle w:val="Tabletext"/>
              <w:framePr w:hSpace="181" w:wrap="notBeside" w:vAnchor="text" w:hAnchor="text" w:xAlign="center" w:y="1"/>
              <w:spacing w:before="80" w:after="80"/>
              <w:jc w:val="center"/>
              <w:rPr>
                <w:lang w:val="en-US"/>
              </w:rPr>
            </w:pPr>
            <w:r>
              <w:rPr>
                <w:lang w:val="en-US"/>
              </w:rPr>
              <w:t>12</w:t>
            </w:r>
          </w:p>
        </w:tc>
        <w:tc>
          <w:tcPr>
            <w:tcW w:w="1121" w:type="dxa"/>
          </w:tcPr>
          <w:p w:rsidR="00B9359B" w:rsidRDefault="009A5268">
            <w:pPr>
              <w:pStyle w:val="Tabletext"/>
              <w:framePr w:hSpace="181" w:wrap="notBeside" w:vAnchor="text" w:hAnchor="text" w:xAlign="center" w:y="1"/>
              <w:spacing w:before="80" w:after="80"/>
              <w:jc w:val="center"/>
              <w:rPr>
                <w:lang w:val="en-US"/>
              </w:rPr>
            </w:pPr>
            <w:r>
              <w:rPr>
                <w:lang w:val="en-US"/>
              </w:rPr>
              <w:t>14</w:t>
            </w:r>
          </w:p>
        </w:tc>
        <w:tc>
          <w:tcPr>
            <w:tcW w:w="1121" w:type="dxa"/>
          </w:tcPr>
          <w:p w:rsidR="00B9359B" w:rsidRDefault="009A5268">
            <w:pPr>
              <w:pStyle w:val="Tabletext"/>
              <w:framePr w:hSpace="181" w:wrap="notBeside" w:vAnchor="text" w:hAnchor="text" w:xAlign="center" w:y="1"/>
              <w:spacing w:before="80" w:after="80"/>
              <w:jc w:val="center"/>
              <w:rPr>
                <w:lang w:val="en-US"/>
              </w:rPr>
            </w:pPr>
            <w:r>
              <w:rPr>
                <w:lang w:val="en-US"/>
              </w:rPr>
              <w:t>3.4</w:t>
            </w:r>
          </w:p>
        </w:tc>
        <w:tc>
          <w:tcPr>
            <w:tcW w:w="1121" w:type="dxa"/>
          </w:tcPr>
          <w:p w:rsidR="00B9359B" w:rsidRDefault="009A5268">
            <w:pPr>
              <w:pStyle w:val="Tabletext"/>
              <w:framePr w:hSpace="181" w:wrap="notBeside" w:vAnchor="text" w:hAnchor="text" w:xAlign="center" w:y="1"/>
              <w:spacing w:before="80" w:after="80"/>
              <w:jc w:val="center"/>
              <w:rPr>
                <w:lang w:val="en-US"/>
              </w:rPr>
            </w:pPr>
            <w:r>
              <w:rPr>
                <w:lang w:val="en-US"/>
              </w:rPr>
              <w:t>29</w:t>
            </w:r>
          </w:p>
        </w:tc>
        <w:tc>
          <w:tcPr>
            <w:tcW w:w="1121" w:type="dxa"/>
          </w:tcPr>
          <w:p w:rsidR="00B9359B" w:rsidRDefault="009A5268">
            <w:pPr>
              <w:pStyle w:val="Tabletext"/>
              <w:framePr w:hSpace="181" w:wrap="notBeside" w:vAnchor="text" w:hAnchor="text" w:xAlign="center" w:y="1"/>
              <w:spacing w:before="80" w:after="80"/>
              <w:jc w:val="center"/>
              <w:rPr>
                <w:lang w:val="en-US"/>
              </w:rPr>
            </w:pPr>
            <w:r>
              <w:rPr>
                <w:lang w:val="en-US"/>
              </w:rPr>
              <w:t>5</w:t>
            </w:r>
          </w:p>
        </w:tc>
        <w:tc>
          <w:tcPr>
            <w:tcW w:w="1121" w:type="dxa"/>
          </w:tcPr>
          <w:p w:rsidR="00B9359B" w:rsidRDefault="009A5268">
            <w:pPr>
              <w:pStyle w:val="Tabletext"/>
              <w:framePr w:hSpace="181" w:wrap="notBeside" w:vAnchor="text" w:hAnchor="text" w:xAlign="center" w:y="1"/>
              <w:spacing w:before="80" w:after="80"/>
              <w:jc w:val="center"/>
              <w:rPr>
                <w:lang w:val="en-US"/>
              </w:rPr>
            </w:pPr>
            <w:r>
              <w:rPr>
                <w:lang w:val="en-US"/>
              </w:rPr>
              <w:t>4</w:t>
            </w:r>
          </w:p>
        </w:tc>
      </w:tr>
    </w:tbl>
    <w:p w:rsidR="00B9359B" w:rsidRDefault="00B9359B">
      <w:pPr>
        <w:pStyle w:val="Tablefin"/>
      </w:pPr>
    </w:p>
    <w:p w:rsidR="00B9359B" w:rsidRDefault="009A5268">
      <w:pPr>
        <w:rPr>
          <w:lang w:val="en-US"/>
        </w:rPr>
      </w:pPr>
      <w:r>
        <w:rPr>
          <w:lang w:val="en-US"/>
        </w:rPr>
        <w:t>They are up to 35 dB above the sensor’s interference threshold. They appear also a most serious matter of concern, because the 100</w:t>
      </w:r>
      <w:r>
        <w:rPr>
          <w:rFonts w:ascii="Symbol" w:hAnsi="Symbol"/>
          <w:lang w:val="en-US"/>
        </w:rPr>
        <w:t></w:t>
      </w:r>
      <w:r>
        <w:rPr>
          <w:lang w:val="en-US"/>
        </w:rPr>
        <w:t xml:space="preserve"> FOV of the push-broom sensor (cross-track) is composed of about 90, permanently activated, adjacent antenna beams, creating a </w:t>
      </w:r>
      <w:r>
        <w:rPr>
          <w:rFonts w:ascii="Symbol" w:hAnsi="Symbol"/>
        </w:rPr>
        <w:sym w:font="Symbol" w:char="F0B1"/>
      </w:r>
      <w:r>
        <w:rPr>
          <w:lang w:val="en-US"/>
        </w:rPr>
        <w:t>10.25</w:t>
      </w:r>
      <w:r>
        <w:rPr>
          <w:rFonts w:ascii="Symbol" w:hAnsi="Symbol"/>
          <w:lang w:val="en-US"/>
        </w:rPr>
        <w:t></w:t>
      </w:r>
      <w:r>
        <w:rPr>
          <w:lang w:val="en-US"/>
        </w:rPr>
        <w:t xml:space="preserve"> longi</w:t>
      </w:r>
      <w:r>
        <w:rPr>
          <w:lang w:val="en-US"/>
        </w:rPr>
        <w:softHyphen/>
        <w:t>tudinal zone around the earth station position, where the sensor can receive harmful interference in any of it antenna beams.</w:t>
      </w:r>
    </w:p>
    <w:p w:rsidR="00B9359B" w:rsidRDefault="00B9359B">
      <w:pPr>
        <w:rPr>
          <w:lang w:val="en-US"/>
        </w:rPr>
      </w:pPr>
    </w:p>
    <w:p w:rsidR="00B9359B" w:rsidRDefault="009A5268">
      <w:pPr>
        <w:rPr>
          <w:lang w:val="en-US"/>
        </w:rPr>
      </w:pPr>
      <w:r>
        <w:rPr>
          <w:lang w:val="en-US"/>
        </w:rPr>
        <w:t>Therefore interference will occur whenever the two following geometric conditions are met:</w:t>
      </w:r>
    </w:p>
    <w:p w:rsidR="00B9359B" w:rsidRDefault="009A5268">
      <w:pPr>
        <w:pStyle w:val="enumlev1"/>
        <w:rPr>
          <w:lang w:val="en-US"/>
        </w:rPr>
      </w:pPr>
      <w:r>
        <w:rPr>
          <w:lang w:val="en-US"/>
        </w:rPr>
        <w:t>–</w:t>
      </w:r>
      <w:r>
        <w:rPr>
          <w:lang w:val="en-US"/>
        </w:rPr>
        <w:tab/>
        <w:t>the sensor is crossing the latitude of the earth station;</w:t>
      </w:r>
    </w:p>
    <w:p w:rsidR="00B9359B" w:rsidRDefault="009A5268">
      <w:pPr>
        <w:pStyle w:val="enumlev1"/>
        <w:rPr>
          <w:lang w:val="en-US"/>
        </w:rPr>
      </w:pPr>
      <w:r>
        <w:rPr>
          <w:lang w:val="en-US"/>
        </w:rPr>
        <w:t>–</w:t>
      </w:r>
      <w:r>
        <w:rPr>
          <w:lang w:val="en-US"/>
        </w:rPr>
        <w:tab/>
        <w:t xml:space="preserve">the sensor is at a longitudinal distance within </w:t>
      </w:r>
      <w:r>
        <w:rPr>
          <w:rFonts w:ascii="Symbol" w:hAnsi="Symbol"/>
        </w:rPr>
        <w:sym w:font="Symbol" w:char="F0B1"/>
      </w:r>
      <w:r>
        <w:rPr>
          <w:lang w:val="en-US"/>
        </w:rPr>
        <w:t>10.25</w:t>
      </w:r>
      <w:r>
        <w:rPr>
          <w:rFonts w:ascii="Symbol" w:hAnsi="Symbol"/>
          <w:lang w:val="en-US"/>
        </w:rPr>
        <w:t></w:t>
      </w:r>
      <w:r>
        <w:rPr>
          <w:lang w:val="en-US"/>
        </w:rPr>
        <w:t xml:space="preserve"> from the earth station.</w:t>
      </w:r>
    </w:p>
    <w:p w:rsidR="00B9359B" w:rsidRDefault="00B9359B">
      <w:pPr>
        <w:pStyle w:val="enumlev1"/>
        <w:rPr>
          <w:lang w:val="en-US"/>
        </w:rPr>
      </w:pPr>
    </w:p>
    <w:p w:rsidR="00B9359B" w:rsidRDefault="009A5268">
      <w:pPr>
        <w:rPr>
          <w:lang w:val="en-US"/>
        </w:rPr>
      </w:pPr>
      <w:r>
        <w:rPr>
          <w:lang w:val="en-US"/>
        </w:rPr>
        <w:t>This configuration is described in Fig. 46.</w:t>
      </w:r>
    </w:p>
    <w:p w:rsidR="00B9359B" w:rsidRDefault="00B9359B">
      <w:pPr>
        <w:rPr>
          <w:lang w:val="en-US"/>
        </w:rPr>
      </w:pPr>
    </w:p>
    <w:p w:rsidR="00B9359B" w:rsidRDefault="009A5268">
      <w:pPr>
        <w:rPr>
          <w:lang w:val="en-US"/>
        </w:rPr>
      </w:pPr>
      <w:r>
        <w:rPr>
          <w:lang w:val="en-US"/>
        </w:rPr>
        <w:t>Considering that the longitudinal distance between two successive orbits is about 25</w:t>
      </w:r>
      <w:r>
        <w:rPr>
          <w:rFonts w:ascii="Symbol" w:hAnsi="Symbol"/>
          <w:lang w:val="en-US"/>
        </w:rPr>
        <w:t></w:t>
      </w:r>
      <w:r>
        <w:rPr>
          <w:lang w:val="en-US"/>
        </w:rPr>
        <w:t xml:space="preserve"> at the equator, the consequence is that passive sensor operation will be hampered by one interference event about twice a day from a unique earth station, considering both ascending and descending orbital paths. </w:t>
      </w:r>
      <w:r>
        <w:rPr>
          <w:lang w:val="en-US"/>
        </w:rPr>
        <w:br w:type="page"/>
        <w:t>The probability is 100%. The number of events increases with the latitude of the earth station, as the distance between successive orbits decreases with the cosine of the latitude. It is directly proportional to the number of earth stations.</w:t>
      </w:r>
    </w:p>
    <w:p w:rsidR="00B9359B" w:rsidRDefault="00B9359B">
      <w:pPr>
        <w:rPr>
          <w:lang w:val="en-US"/>
        </w:rPr>
      </w:pPr>
    </w:p>
    <w:p w:rsidR="00B9359B" w:rsidRDefault="00B9359B">
      <w:pPr>
        <w:rPr>
          <w:lang w:val="en-US"/>
        </w:rPr>
      </w:pPr>
    </w:p>
    <w:p w:rsidR="00B9359B" w:rsidRDefault="009A5268">
      <w:pPr>
        <w:pStyle w:val="FigureNo"/>
        <w:rPr>
          <w:lang w:val="en-US"/>
        </w:rPr>
      </w:pPr>
      <w:r>
        <w:object w:dxaOrig="7258" w:dyaOrig="6731">
          <v:shape id="_x0000_i1082" type="#_x0000_t75" style="width:362.7pt;height:336.35pt" o:ole="">
            <v:imagedata r:id="rId99" o:title=""/>
          </v:shape>
          <o:OLEObject Type="Embed" ProgID="Designer.Drawing.7" ShapeID="_x0000_i1082" DrawAspect="Content" ObjectID="_1629894588" r:id="rId100"/>
        </w:object>
      </w:r>
    </w:p>
    <w:p w:rsidR="00B9359B" w:rsidRDefault="00B9359B">
      <w:pPr>
        <w:rPr>
          <w:lang w:val="en-US"/>
        </w:rPr>
      </w:pPr>
    </w:p>
    <w:p w:rsidR="00B9359B" w:rsidRDefault="00B9359B">
      <w:pPr>
        <w:rPr>
          <w:lang w:val="en-US"/>
        </w:rPr>
      </w:pPr>
    </w:p>
    <w:p w:rsidR="00B9359B" w:rsidRDefault="009A5268">
      <w:pPr>
        <w:rPr>
          <w:lang w:val="en-US"/>
        </w:rPr>
      </w:pPr>
      <w:r>
        <w:rPr>
          <w:lang w:val="en-US"/>
        </w:rPr>
        <w:t>The main characteristics of each interference event are the following, in the case of a GSO-G FSS earth station:</w:t>
      </w:r>
    </w:p>
    <w:p w:rsidR="00B9359B" w:rsidRDefault="009A5268">
      <w:pPr>
        <w:pStyle w:val="enumlev1"/>
        <w:rPr>
          <w:lang w:val="en-US"/>
        </w:rPr>
      </w:pPr>
      <w:r>
        <w:rPr>
          <w:lang w:val="en-US"/>
        </w:rPr>
        <w:t>–</w:t>
      </w:r>
      <w:r>
        <w:rPr>
          <w:lang w:val="en-US"/>
        </w:rPr>
        <w:tab/>
        <w:t>the duration is about 29 s;</w:t>
      </w:r>
    </w:p>
    <w:p w:rsidR="00B9359B" w:rsidRDefault="009A5268">
      <w:pPr>
        <w:pStyle w:val="enumlev1"/>
        <w:rPr>
          <w:lang w:val="en-US"/>
        </w:rPr>
      </w:pPr>
      <w:r>
        <w:rPr>
          <w:lang w:val="en-US"/>
        </w:rPr>
        <w:t>–</w:t>
      </w:r>
      <w:r>
        <w:rPr>
          <w:lang w:val="en-US"/>
        </w:rPr>
        <w:tab/>
        <w:t>a circular area on the Earth’s surface of about 191 km in diameter around each earth station position, is contaminated by harmful interference;</w:t>
      </w:r>
    </w:p>
    <w:p w:rsidR="00B9359B" w:rsidRDefault="009A5268">
      <w:pPr>
        <w:pStyle w:val="enumlev1"/>
        <w:rPr>
          <w:spacing w:val="-2"/>
          <w:lang w:val="en-US"/>
        </w:rPr>
      </w:pPr>
      <w:r>
        <w:rPr>
          <w:lang w:val="en-US"/>
        </w:rPr>
        <w:t>–</w:t>
      </w:r>
      <w:r>
        <w:rPr>
          <w:lang w:val="en-US"/>
        </w:rPr>
        <w:tab/>
      </w:r>
      <w:r>
        <w:rPr>
          <w:spacing w:val="-2"/>
          <w:lang w:val="en-US"/>
        </w:rPr>
        <w:t>this 28</w:t>
      </w:r>
      <w:r>
        <w:rPr>
          <w:rFonts w:ascii="Tms Rmn" w:hAnsi="Tms Rmn"/>
          <w:spacing w:val="-2"/>
          <w:sz w:val="12"/>
          <w:lang w:val="en-US"/>
        </w:rPr>
        <w:t> </w:t>
      </w:r>
      <w:r>
        <w:rPr>
          <w:spacing w:val="-2"/>
          <w:lang w:val="en-US"/>
        </w:rPr>
        <w:t>600 km</w:t>
      </w:r>
      <w:r>
        <w:rPr>
          <w:spacing w:val="-2"/>
          <w:vertAlign w:val="superscript"/>
          <w:lang w:val="en-US"/>
        </w:rPr>
        <w:t>2</w:t>
      </w:r>
      <w:r>
        <w:rPr>
          <w:spacing w:val="-2"/>
          <w:lang w:val="en-US"/>
        </w:rPr>
        <w:t xml:space="preserve"> zone, corresponding to 140 pixels is to be compared to the 2</w:t>
      </w:r>
      <w:r>
        <w:rPr>
          <w:rFonts w:ascii="Tms Rmn" w:hAnsi="Tms Rmn"/>
          <w:spacing w:val="-2"/>
          <w:sz w:val="12"/>
          <w:lang w:val="en-US"/>
        </w:rPr>
        <w:t> </w:t>
      </w:r>
      <w:r>
        <w:rPr>
          <w:spacing w:val="-2"/>
          <w:lang w:val="en-US"/>
        </w:rPr>
        <w:t>000</w:t>
      </w:r>
      <w:r>
        <w:rPr>
          <w:rFonts w:ascii="Tms Rmn" w:hAnsi="Tms Rmn"/>
          <w:spacing w:val="-2"/>
          <w:sz w:val="12"/>
          <w:lang w:val="en-US"/>
        </w:rPr>
        <w:t> </w:t>
      </w:r>
      <w:r>
        <w:rPr>
          <w:spacing w:val="-2"/>
          <w:lang w:val="en-US"/>
        </w:rPr>
        <w:t>000 km</w:t>
      </w:r>
      <w:r>
        <w:rPr>
          <w:spacing w:val="-2"/>
          <w:vertAlign w:val="superscript"/>
          <w:lang w:val="en-US"/>
        </w:rPr>
        <w:t>2</w:t>
      </w:r>
      <w:r>
        <w:rPr>
          <w:spacing w:val="-2"/>
          <w:lang w:val="en-US"/>
        </w:rPr>
        <w:t xml:space="preserve"> reference sensor’s service area which is stipulated in the Recommendations ITU</w:t>
      </w:r>
      <w:r>
        <w:rPr>
          <w:spacing w:val="-2"/>
          <w:lang w:val="en-US"/>
        </w:rPr>
        <w:noBreakHyphen/>
        <w:t>R SA.1028 and ITU</w:t>
      </w:r>
      <w:r>
        <w:rPr>
          <w:spacing w:val="-2"/>
          <w:lang w:val="en-US"/>
        </w:rPr>
        <w:noBreakHyphen/>
        <w:t>R SA.1029;</w:t>
      </w:r>
    </w:p>
    <w:p w:rsidR="00B9359B" w:rsidRDefault="009A5268">
      <w:pPr>
        <w:pStyle w:val="enumlev1"/>
        <w:rPr>
          <w:lang w:val="en-US"/>
        </w:rPr>
      </w:pPr>
      <w:r>
        <w:rPr>
          <w:lang w:val="en-US"/>
        </w:rPr>
        <w:t>–</w:t>
      </w:r>
      <w:r>
        <w:rPr>
          <w:lang w:val="en-US"/>
        </w:rPr>
        <w:tab/>
        <w:t>the non-availability criterion of 0.01% is by far exceeded in the vicinity of earth stations.</w:t>
      </w:r>
    </w:p>
    <w:p w:rsidR="00B9359B" w:rsidRDefault="009A5268">
      <w:pPr>
        <w:rPr>
          <w:lang w:val="en-US"/>
        </w:rPr>
      </w:pPr>
      <w:r>
        <w:rPr>
          <w:lang w:val="en-US"/>
        </w:rPr>
        <w:t>Note that the power excess may exceed 100 dB in case of earth stations located near the equator (main-lobe to main-lobe coincidences). Besides the massive loss of data, this might cause damages to the passive sensor’s receivers.</w:t>
      </w:r>
    </w:p>
    <w:p w:rsidR="00B9359B" w:rsidRDefault="009A5268">
      <w:pPr>
        <w:rPr>
          <w:lang w:val="en-US"/>
        </w:rPr>
      </w:pPr>
      <w:r>
        <w:rPr>
          <w:lang w:val="en-US"/>
        </w:rPr>
        <w:br w:type="page"/>
        <w:t>Interference from non-GSO FSS earth stations (Table 64).</w:t>
      </w:r>
    </w:p>
    <w:p w:rsidR="00B9359B" w:rsidRDefault="009A5268">
      <w:pPr>
        <w:pStyle w:val="TableNo"/>
        <w:rPr>
          <w:lang w:val="en-US"/>
        </w:rPr>
      </w:pPr>
      <w:r>
        <w:rPr>
          <w:lang w:val="en-US"/>
        </w:rPr>
        <w:t>TABLE  64</w:t>
      </w:r>
    </w:p>
    <w:p w:rsidR="00B9359B" w:rsidRDefault="009A5268">
      <w:pPr>
        <w:pStyle w:val="Tabletitle"/>
        <w:rPr>
          <w:lang w:val="en-US"/>
        </w:rPr>
      </w:pPr>
      <w:r>
        <w:rPr>
          <w:lang w:val="en-US"/>
        </w:rPr>
        <w:t>Power excess over interference threshold (co-frequency assumption)</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68"/>
        <w:gridCol w:w="1457"/>
        <w:gridCol w:w="1457"/>
        <w:gridCol w:w="1457"/>
      </w:tblGrid>
      <w:tr w:rsidR="00B9359B" w:rsidRPr="00D35B94">
        <w:trPr>
          <w:cantSplit/>
        </w:trPr>
        <w:tc>
          <w:tcPr>
            <w:tcW w:w="5268" w:type="dxa"/>
            <w:vAlign w:val="center"/>
          </w:tcPr>
          <w:p w:rsidR="00B9359B" w:rsidRDefault="00B9359B">
            <w:pPr>
              <w:pStyle w:val="Tablehead"/>
              <w:framePr w:hSpace="181" w:wrap="notBeside" w:vAnchor="text" w:hAnchor="text" w:xAlign="center" w:y="1"/>
              <w:spacing w:before="120" w:after="120"/>
              <w:rPr>
                <w:lang w:val="en-US"/>
              </w:rPr>
            </w:pPr>
          </w:p>
        </w:tc>
        <w:tc>
          <w:tcPr>
            <w:tcW w:w="4371" w:type="dxa"/>
            <w:gridSpan w:val="3"/>
          </w:tcPr>
          <w:p w:rsidR="00B9359B" w:rsidRDefault="009A5268">
            <w:pPr>
              <w:pStyle w:val="Tablehead"/>
              <w:framePr w:hSpace="181" w:wrap="notBeside" w:vAnchor="text" w:hAnchor="text" w:xAlign="center" w:y="1"/>
              <w:spacing w:before="120" w:after="120"/>
              <w:rPr>
                <w:lang w:val="en-US"/>
              </w:rPr>
            </w:pPr>
            <w:r>
              <w:rPr>
                <w:lang w:val="en-US"/>
              </w:rPr>
              <w:t>Non-GSO</w:t>
            </w:r>
            <w:r>
              <w:rPr>
                <w:sz w:val="16"/>
                <w:lang w:val="en-US"/>
              </w:rPr>
              <w:t xml:space="preserve">  </w:t>
            </w:r>
            <w:r>
              <w:rPr>
                <w:lang w:val="en-US"/>
              </w:rPr>
              <w:t>FSS/MSS systems</w:t>
            </w:r>
          </w:p>
        </w:tc>
      </w:tr>
      <w:tr w:rsidR="00B9359B">
        <w:trPr>
          <w:cantSplit/>
        </w:trPr>
        <w:tc>
          <w:tcPr>
            <w:tcW w:w="5268" w:type="dxa"/>
          </w:tcPr>
          <w:p w:rsidR="00B9359B" w:rsidRDefault="009A5268">
            <w:pPr>
              <w:pStyle w:val="Tablehead"/>
              <w:framePr w:hSpace="181" w:wrap="notBeside" w:vAnchor="text" w:hAnchor="text" w:xAlign="center" w:y="1"/>
              <w:spacing w:before="120" w:after="120"/>
              <w:rPr>
                <w:lang w:val="en-US"/>
              </w:rPr>
            </w:pPr>
            <w:r>
              <w:rPr>
                <w:lang w:val="en-US"/>
              </w:rPr>
              <w:t>Sensor close to zenith of earth station</w:t>
            </w:r>
          </w:p>
        </w:tc>
        <w:tc>
          <w:tcPr>
            <w:tcW w:w="1457" w:type="dxa"/>
          </w:tcPr>
          <w:p w:rsidR="00B9359B" w:rsidRDefault="009A5268">
            <w:pPr>
              <w:pStyle w:val="Tablehead"/>
              <w:framePr w:hSpace="181" w:wrap="notBeside" w:vAnchor="text" w:hAnchor="text" w:xAlign="center" w:y="1"/>
              <w:spacing w:before="120" w:after="120"/>
              <w:rPr>
                <w:lang w:val="es-ES"/>
              </w:rPr>
            </w:pPr>
            <w:r>
              <w:rPr>
                <w:lang w:val="es-ES"/>
              </w:rPr>
              <w:t>LEO-A</w:t>
            </w:r>
          </w:p>
        </w:tc>
        <w:tc>
          <w:tcPr>
            <w:tcW w:w="1457" w:type="dxa"/>
          </w:tcPr>
          <w:p w:rsidR="00B9359B" w:rsidRDefault="009A5268">
            <w:pPr>
              <w:pStyle w:val="Tablehead"/>
              <w:framePr w:hSpace="181" w:wrap="notBeside" w:vAnchor="text" w:hAnchor="text" w:xAlign="center" w:y="1"/>
              <w:spacing w:before="120" w:after="120"/>
              <w:rPr>
                <w:lang w:val="es-ES"/>
              </w:rPr>
            </w:pPr>
            <w:r>
              <w:rPr>
                <w:lang w:val="es-ES"/>
              </w:rPr>
              <w:t>LEO-B</w:t>
            </w:r>
          </w:p>
        </w:tc>
        <w:tc>
          <w:tcPr>
            <w:tcW w:w="1457" w:type="dxa"/>
          </w:tcPr>
          <w:p w:rsidR="00B9359B" w:rsidRDefault="009A5268">
            <w:pPr>
              <w:pStyle w:val="Tablehead"/>
              <w:framePr w:hSpace="181" w:wrap="notBeside" w:vAnchor="text" w:hAnchor="text" w:xAlign="center" w:y="1"/>
              <w:spacing w:before="120" w:after="120"/>
              <w:rPr>
                <w:lang w:val="en-US"/>
              </w:rPr>
            </w:pPr>
            <w:r>
              <w:rPr>
                <w:lang w:val="en-US"/>
              </w:rPr>
              <w:t>LEOSAT-1</w:t>
            </w:r>
          </w:p>
        </w:tc>
      </w:tr>
      <w:tr w:rsidR="00B9359B">
        <w:tc>
          <w:tcPr>
            <w:tcW w:w="5268" w:type="dxa"/>
          </w:tcPr>
          <w:p w:rsidR="00B9359B" w:rsidRDefault="009A5268">
            <w:pPr>
              <w:pStyle w:val="Tabletext"/>
              <w:framePr w:hSpace="181" w:wrap="notBeside" w:vAnchor="text" w:hAnchor="text" w:xAlign="center" w:y="1"/>
              <w:spacing w:before="80" w:after="80"/>
              <w:jc w:val="left"/>
              <w:rPr>
                <w:lang w:val="en-US"/>
              </w:rPr>
            </w:pPr>
            <w:r>
              <w:rPr>
                <w:bCs/>
                <w:lang w:val="en-US"/>
              </w:rPr>
              <w:t>Minimum excess, sensor nadir beam (dB)</w:t>
            </w:r>
          </w:p>
        </w:tc>
        <w:tc>
          <w:tcPr>
            <w:tcW w:w="1457" w:type="dxa"/>
          </w:tcPr>
          <w:p w:rsidR="00B9359B" w:rsidRDefault="009A5268">
            <w:pPr>
              <w:pStyle w:val="Tabletext"/>
              <w:framePr w:hSpace="181" w:wrap="notBeside" w:vAnchor="text" w:hAnchor="text" w:xAlign="center" w:y="1"/>
              <w:spacing w:before="80" w:after="80"/>
              <w:jc w:val="center"/>
              <w:rPr>
                <w:lang w:val="en-US"/>
              </w:rPr>
            </w:pPr>
            <w:r>
              <w:rPr>
                <w:lang w:val="en-US"/>
              </w:rPr>
              <w:t>12.7</w:t>
            </w:r>
          </w:p>
        </w:tc>
        <w:tc>
          <w:tcPr>
            <w:tcW w:w="1457" w:type="dxa"/>
          </w:tcPr>
          <w:p w:rsidR="00B9359B" w:rsidRDefault="009A5268">
            <w:pPr>
              <w:pStyle w:val="Tabletext"/>
              <w:framePr w:hSpace="181" w:wrap="notBeside" w:vAnchor="text" w:hAnchor="text" w:xAlign="center" w:y="1"/>
              <w:spacing w:before="80" w:after="80"/>
              <w:jc w:val="center"/>
              <w:rPr>
                <w:lang w:val="en-US"/>
              </w:rPr>
            </w:pPr>
            <w:r>
              <w:rPr>
                <w:lang w:val="en-US"/>
              </w:rPr>
              <w:t>4.5</w:t>
            </w:r>
          </w:p>
        </w:tc>
        <w:tc>
          <w:tcPr>
            <w:tcW w:w="1457" w:type="dxa"/>
          </w:tcPr>
          <w:p w:rsidR="00B9359B" w:rsidRDefault="009A5268">
            <w:pPr>
              <w:pStyle w:val="Tabletext"/>
              <w:framePr w:hSpace="181" w:wrap="notBeside" w:vAnchor="text" w:hAnchor="text" w:xAlign="center" w:y="1"/>
              <w:spacing w:before="80" w:after="80"/>
              <w:jc w:val="center"/>
              <w:rPr>
                <w:lang w:val="en-US"/>
              </w:rPr>
            </w:pPr>
            <w:r>
              <w:rPr>
                <w:lang w:val="en-US"/>
              </w:rPr>
              <w:t>12</w:t>
            </w:r>
          </w:p>
        </w:tc>
      </w:tr>
      <w:tr w:rsidR="00B9359B">
        <w:tc>
          <w:tcPr>
            <w:tcW w:w="5268" w:type="dxa"/>
          </w:tcPr>
          <w:p w:rsidR="00B9359B" w:rsidRDefault="009A5268">
            <w:pPr>
              <w:pStyle w:val="Tabletext"/>
              <w:framePr w:hSpace="181" w:wrap="notBeside" w:vAnchor="text" w:hAnchor="text" w:xAlign="center" w:y="1"/>
              <w:spacing w:before="80" w:after="80"/>
              <w:jc w:val="left"/>
              <w:rPr>
                <w:lang w:val="en-US"/>
              </w:rPr>
            </w:pPr>
            <w:r>
              <w:rPr>
                <w:bCs/>
                <w:lang w:val="en-US"/>
              </w:rPr>
              <w:t>Peak excess, sensor nadir beam (dB)</w:t>
            </w:r>
          </w:p>
        </w:tc>
        <w:tc>
          <w:tcPr>
            <w:tcW w:w="1457" w:type="dxa"/>
          </w:tcPr>
          <w:p w:rsidR="00B9359B" w:rsidRDefault="009A5268">
            <w:pPr>
              <w:pStyle w:val="Tabletext"/>
              <w:framePr w:hSpace="181" w:wrap="notBeside" w:vAnchor="text" w:hAnchor="text" w:xAlign="center" w:y="1"/>
              <w:spacing w:before="80" w:after="80"/>
              <w:jc w:val="center"/>
              <w:rPr>
                <w:lang w:val="en-US"/>
              </w:rPr>
            </w:pPr>
            <w:r>
              <w:rPr>
                <w:lang w:val="en-US"/>
              </w:rPr>
              <w:t>80</w:t>
            </w:r>
          </w:p>
        </w:tc>
        <w:tc>
          <w:tcPr>
            <w:tcW w:w="1457" w:type="dxa"/>
          </w:tcPr>
          <w:p w:rsidR="00B9359B" w:rsidRDefault="009A5268">
            <w:pPr>
              <w:pStyle w:val="Tabletext"/>
              <w:framePr w:hSpace="181" w:wrap="notBeside" w:vAnchor="text" w:hAnchor="text" w:xAlign="center" w:y="1"/>
              <w:spacing w:before="80" w:after="80"/>
              <w:jc w:val="center"/>
              <w:rPr>
                <w:lang w:val="en-US"/>
              </w:rPr>
            </w:pPr>
            <w:r>
              <w:rPr>
                <w:lang w:val="en-US"/>
              </w:rPr>
              <w:t>70</w:t>
            </w:r>
          </w:p>
        </w:tc>
        <w:tc>
          <w:tcPr>
            <w:tcW w:w="1457" w:type="dxa"/>
          </w:tcPr>
          <w:p w:rsidR="00B9359B" w:rsidRDefault="009A5268">
            <w:pPr>
              <w:pStyle w:val="Tabletext"/>
              <w:framePr w:hSpace="181" w:wrap="notBeside" w:vAnchor="text" w:hAnchor="text" w:xAlign="center" w:y="1"/>
              <w:spacing w:before="80" w:after="80"/>
              <w:jc w:val="center"/>
              <w:rPr>
                <w:lang w:val="en-US"/>
              </w:rPr>
            </w:pPr>
            <w:r>
              <w:rPr>
                <w:lang w:val="en-US"/>
              </w:rPr>
              <w:t>80</w:t>
            </w:r>
          </w:p>
        </w:tc>
      </w:tr>
      <w:tr w:rsidR="00B9359B">
        <w:tc>
          <w:tcPr>
            <w:tcW w:w="5268" w:type="dxa"/>
          </w:tcPr>
          <w:p w:rsidR="00B9359B" w:rsidRDefault="009A5268">
            <w:pPr>
              <w:pStyle w:val="Tabletext"/>
              <w:framePr w:hSpace="181" w:wrap="notBeside" w:vAnchor="text" w:hAnchor="text" w:xAlign="center" w:y="1"/>
              <w:spacing w:before="80" w:after="80"/>
              <w:jc w:val="left"/>
              <w:rPr>
                <w:lang w:val="en-US"/>
              </w:rPr>
            </w:pPr>
            <w:r>
              <w:rPr>
                <w:bCs/>
                <w:lang w:val="en-US"/>
              </w:rPr>
              <w:t xml:space="preserve">Minimum excess, </w:t>
            </w:r>
            <w:r>
              <w:rPr>
                <w:rFonts w:ascii="Symbol" w:hAnsi="Symbol"/>
                <w:bCs/>
              </w:rPr>
              <w:sym w:font="Symbol" w:char="F0B1"/>
            </w:r>
            <w:r>
              <w:rPr>
                <w:bCs/>
                <w:lang w:val="en-US"/>
              </w:rPr>
              <w:t>50</w:t>
            </w:r>
            <w:r>
              <w:rPr>
                <w:rFonts w:ascii="Symbol" w:hAnsi="Symbol"/>
                <w:bCs/>
                <w:lang w:val="en-US"/>
              </w:rPr>
              <w:t></w:t>
            </w:r>
            <w:r>
              <w:rPr>
                <w:bCs/>
                <w:lang w:val="en-US"/>
              </w:rPr>
              <w:t xml:space="preserve"> off-nadir beams (dB)</w:t>
            </w:r>
          </w:p>
        </w:tc>
        <w:tc>
          <w:tcPr>
            <w:tcW w:w="1457" w:type="dxa"/>
          </w:tcPr>
          <w:p w:rsidR="00B9359B" w:rsidRDefault="009A5268">
            <w:pPr>
              <w:pStyle w:val="Tabletext"/>
              <w:framePr w:hSpace="181" w:wrap="notBeside" w:vAnchor="text" w:hAnchor="text" w:xAlign="center" w:y="1"/>
              <w:spacing w:before="80" w:after="80"/>
              <w:jc w:val="center"/>
              <w:rPr>
                <w:lang w:val="en-US"/>
              </w:rPr>
            </w:pPr>
            <w:r>
              <w:rPr>
                <w:lang w:val="en-US"/>
              </w:rPr>
              <w:t>6.7</w:t>
            </w:r>
          </w:p>
        </w:tc>
        <w:tc>
          <w:tcPr>
            <w:tcW w:w="1457" w:type="dxa"/>
          </w:tcPr>
          <w:p w:rsidR="00B9359B" w:rsidRDefault="009A5268">
            <w:pPr>
              <w:pStyle w:val="Tabletext"/>
              <w:framePr w:hSpace="181" w:wrap="notBeside" w:vAnchor="text" w:hAnchor="text" w:xAlign="center" w:y="1"/>
              <w:spacing w:before="80" w:after="80"/>
              <w:jc w:val="center"/>
              <w:rPr>
                <w:lang w:val="en-US"/>
              </w:rPr>
            </w:pPr>
            <w:r>
              <w:rPr>
                <w:lang w:val="en-US"/>
              </w:rPr>
              <w:t>none</w:t>
            </w:r>
          </w:p>
        </w:tc>
        <w:tc>
          <w:tcPr>
            <w:tcW w:w="1457" w:type="dxa"/>
          </w:tcPr>
          <w:p w:rsidR="00B9359B" w:rsidRDefault="009A5268">
            <w:pPr>
              <w:pStyle w:val="Tabletext"/>
              <w:framePr w:hSpace="181" w:wrap="notBeside" w:vAnchor="text" w:hAnchor="text" w:xAlign="center" w:y="1"/>
              <w:spacing w:before="80" w:after="80"/>
              <w:jc w:val="center"/>
              <w:rPr>
                <w:lang w:val="en-US"/>
              </w:rPr>
            </w:pPr>
            <w:r>
              <w:rPr>
                <w:lang w:val="en-US"/>
              </w:rPr>
              <w:t>6</w:t>
            </w:r>
          </w:p>
        </w:tc>
      </w:tr>
    </w:tbl>
    <w:p w:rsidR="00B9359B" w:rsidRDefault="00B9359B">
      <w:pPr>
        <w:pStyle w:val="Tablefin"/>
        <w:rPr>
          <w:lang w:val="en-US"/>
        </w:rPr>
      </w:pPr>
    </w:p>
    <w:p w:rsidR="00B9359B" w:rsidRDefault="009A5268">
      <w:pPr>
        <w:rPr>
          <w:lang w:val="en-US"/>
        </w:rPr>
      </w:pPr>
      <w:r>
        <w:rPr>
          <w:lang w:val="en-US"/>
        </w:rPr>
        <w:t>As for the GSO FSS case, the “close to zenith” event (see Fig. 47) occurs twice a day over all earth stations with, in addition, the possibility of main-lobe to main-lobe interfering path for which a dynamic analysis is required.</w:t>
      </w:r>
    </w:p>
    <w:p w:rsidR="00B9359B" w:rsidRDefault="009A5268">
      <w:pPr>
        <w:rPr>
          <w:lang w:val="en-US"/>
        </w:rPr>
      </w:pPr>
      <w:r>
        <w:rPr>
          <w:lang w:val="en-US"/>
        </w:rPr>
        <w:t>Table 64 summarizes the results, showing the “bottom” case where main-lobe to far lobe (earth station) interference occurs, and the “peak” case where a main-lobe to main-lobe coincidence is established.</w:t>
      </w:r>
    </w:p>
    <w:p w:rsidR="00B9359B" w:rsidRDefault="009A5268">
      <w:pPr>
        <w:rPr>
          <w:lang w:val="en-US"/>
        </w:rPr>
      </w:pPr>
      <w:r>
        <w:rPr>
          <w:lang w:val="en-US"/>
        </w:rPr>
        <w:t>Clearly if the bottom case induces relatively minor interference similar to the lowest GSO FSS cases, the possible occurrence of “peak excess” is a serious matter of concerns with systems having a wide necessary bandwidth. Further consideration of the peak case is likely to lead to a difficult situation where application of OoB masks may be insufficient.</w:t>
      </w:r>
    </w:p>
    <w:p w:rsidR="00B9359B" w:rsidRDefault="009A5268">
      <w:pPr>
        <w:pStyle w:val="Heading2"/>
        <w:rPr>
          <w:lang w:val="en-US"/>
        </w:rPr>
      </w:pPr>
      <w:bookmarkStart w:id="422" w:name="_Toc51045822"/>
      <w:r>
        <w:rPr>
          <w:lang w:val="en-US"/>
        </w:rPr>
        <w:t>4.4</w:t>
      </w:r>
      <w:r>
        <w:rPr>
          <w:lang w:val="en-US"/>
        </w:rPr>
        <w:tab/>
        <w:t>Dynamic interference analysis</w:t>
      </w:r>
      <w:bookmarkEnd w:id="422"/>
    </w:p>
    <w:p w:rsidR="00B9359B" w:rsidRDefault="009A5268">
      <w:pPr>
        <w:rPr>
          <w:noProof/>
          <w:lang w:val="en-US"/>
        </w:rPr>
      </w:pPr>
      <w:r>
        <w:rPr>
          <w:noProof/>
          <w:lang w:val="en-US"/>
        </w:rPr>
        <w:t>In addition to the above static and semi-static cases, a dynamic analysis is necessary in order to take into consideration the percentage of time when the interference occurs. As indicated above, the threshold of –163 dBW must not be exceeded no more than 0.01% of time in a bandwidth of 100 MHz.</w:t>
      </w:r>
    </w:p>
    <w:p w:rsidR="00B9359B" w:rsidRDefault="009A5268">
      <w:pPr>
        <w:rPr>
          <w:noProof/>
          <w:lang w:val="en-US"/>
        </w:rPr>
      </w:pPr>
      <w:r>
        <w:rPr>
          <w:noProof/>
          <w:lang w:val="en-US"/>
        </w:rPr>
        <w:t>Simulations were conducted to determine the probability of interference using a time increment of 5 s in order to get accurate results. Simulations stopped when the cumulative distribution function becomes stable. Furthermore, it has to be noted that all these simulations presented hereunder only deal with the nadir sounder “push-broom” satellite, because the above static and semi-static cases have shown that it is the worst case.</w:t>
      </w:r>
    </w:p>
    <w:p w:rsidR="00B9359B" w:rsidRDefault="009A5268">
      <w:pPr>
        <w:pStyle w:val="Heading3"/>
        <w:rPr>
          <w:lang w:val="en-US"/>
        </w:rPr>
      </w:pPr>
      <w:bookmarkStart w:id="423" w:name="_Toc51045823"/>
      <w:r>
        <w:rPr>
          <w:lang w:val="en-US"/>
        </w:rPr>
        <w:t>4.4.1</w:t>
      </w:r>
      <w:r>
        <w:rPr>
          <w:lang w:val="en-US"/>
        </w:rPr>
        <w:tab/>
        <w:t>Modelling of the push-broom antenna</w:t>
      </w:r>
      <w:bookmarkEnd w:id="423"/>
    </w:p>
    <w:p w:rsidR="00B9359B" w:rsidRDefault="009A5268">
      <w:pPr>
        <w:rPr>
          <w:lang w:val="en-US"/>
        </w:rPr>
      </w:pPr>
      <w:r>
        <w:rPr>
          <w:lang w:val="en-US"/>
        </w:rPr>
        <w:t xml:space="preserve">As explained above, the push-broom antenna is able to see a whole line of pixels located around the nadir at </w:t>
      </w:r>
      <w:r>
        <w:rPr>
          <w:rFonts w:ascii="Symbol" w:hAnsi="Symbol"/>
        </w:rPr>
        <w:sym w:font="Symbol" w:char="F0B1"/>
      </w:r>
      <w:r>
        <w:rPr>
          <w:lang w:val="en-US"/>
        </w:rPr>
        <w:t>50</w:t>
      </w:r>
      <w:r>
        <w:rPr>
          <w:rFonts w:ascii="Symbol" w:hAnsi="Symbol"/>
          <w:lang w:val="en-US"/>
        </w:rPr>
        <w:t></w:t>
      </w:r>
      <w:r>
        <w:rPr>
          <w:lang w:val="en-US"/>
        </w:rPr>
        <w:t xml:space="preserve"> for the azimuth, and in </w:t>
      </w:r>
      <w:r>
        <w:rPr>
          <w:rFonts w:ascii="Symbol" w:hAnsi="Symbol"/>
        </w:rPr>
        <w:sym w:font="Symbol" w:char="F0B1"/>
      </w:r>
      <w:r>
        <w:rPr>
          <w:lang w:val="en-US"/>
        </w:rPr>
        <w:t>0.55</w:t>
      </w:r>
      <w:r>
        <w:rPr>
          <w:rFonts w:ascii="Symbol" w:hAnsi="Symbol"/>
          <w:lang w:val="en-US"/>
        </w:rPr>
        <w:t></w:t>
      </w:r>
      <w:r>
        <w:rPr>
          <w:lang w:val="en-US"/>
        </w:rPr>
        <w:t xml:space="preserve"> for the elevation. The maximum antenna gain is 45 dBi, and as usual for radiometer antennas, there is a steep decrease to the side-lobe level of </w:t>
      </w:r>
      <w:r>
        <w:rPr>
          <w:rFonts w:ascii="Symbol" w:hAnsi="Symbol"/>
          <w:lang w:val="en-US"/>
        </w:rPr>
        <w:noBreakHyphen/>
      </w:r>
      <w:r>
        <w:rPr>
          <w:lang w:val="en-US"/>
        </w:rPr>
        <w:t>12 dBi. Figure 47 shows the antenna pattern according to the azimuth off-axis angle.</w:t>
      </w:r>
    </w:p>
    <w:p w:rsidR="00B9359B" w:rsidRDefault="009A5268">
      <w:pPr>
        <w:pStyle w:val="FigureNo"/>
        <w:spacing w:before="0"/>
      </w:pPr>
      <w:r>
        <w:rPr>
          <w:lang w:val="en-US"/>
        </w:rPr>
        <w:br w:type="page"/>
      </w:r>
      <w:r>
        <w:object w:dxaOrig="6855" w:dyaOrig="3879">
          <v:shape id="_x0000_i1083" type="#_x0000_t75" style="width:342.8pt;height:193.95pt" o:ole="">
            <v:imagedata r:id="rId101" o:title=""/>
          </v:shape>
          <o:OLEObject Type="Embed" ProgID="Designer.Drawing.7" ShapeID="_x0000_i1083" DrawAspect="Content" ObjectID="_1629894589" r:id="rId102"/>
        </w:object>
      </w:r>
    </w:p>
    <w:p w:rsidR="00B9359B" w:rsidRDefault="009A5268">
      <w:pPr>
        <w:pStyle w:val="Heading3"/>
        <w:rPr>
          <w:lang w:val="en-US"/>
        </w:rPr>
      </w:pPr>
      <w:bookmarkStart w:id="424" w:name="_Toc51045824"/>
      <w:r>
        <w:rPr>
          <w:lang w:val="en-US"/>
        </w:rPr>
        <w:t>4.4.2</w:t>
      </w:r>
      <w:r>
        <w:rPr>
          <w:lang w:val="en-US"/>
        </w:rPr>
        <w:tab/>
        <w:t>Dynamic calculations with GSO systems</w:t>
      </w:r>
      <w:bookmarkEnd w:id="424"/>
    </w:p>
    <w:p w:rsidR="00B9359B" w:rsidRDefault="009A5268">
      <w:pPr>
        <w:pStyle w:val="TableNo"/>
        <w:spacing w:before="320"/>
        <w:rPr>
          <w:lang w:val="en-US"/>
        </w:rPr>
      </w:pPr>
      <w:r>
        <w:rPr>
          <w:lang w:val="en-US"/>
        </w:rPr>
        <w:t>TABLE  65</w:t>
      </w:r>
    </w:p>
    <w:p w:rsidR="00B9359B" w:rsidRDefault="009A5268">
      <w:pPr>
        <w:pStyle w:val="Tabletitle"/>
        <w:rPr>
          <w:lang w:val="en-US"/>
        </w:rPr>
      </w:pPr>
      <w:r>
        <w:rPr>
          <w:lang w:val="en-US"/>
        </w:rPr>
        <w:t>Dynamic analysis between GSO system GSO-20 and EESS with only</w:t>
      </w:r>
      <w:r>
        <w:rPr>
          <w:lang w:val="en-US"/>
        </w:rPr>
        <w:br/>
        <w:t>one earth station operating at the location N0, E0</w:t>
      </w:r>
    </w:p>
    <w:tbl>
      <w:tblPr>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381"/>
        <w:gridCol w:w="877"/>
        <w:gridCol w:w="877"/>
        <w:gridCol w:w="876"/>
        <w:gridCol w:w="876"/>
        <w:gridCol w:w="876"/>
        <w:gridCol w:w="876"/>
      </w:tblGrid>
      <w:tr w:rsidR="00B9359B">
        <w:tc>
          <w:tcPr>
            <w:tcW w:w="4253" w:type="dxa"/>
            <w:vAlign w:val="center"/>
          </w:tcPr>
          <w:p w:rsidR="00B9359B" w:rsidRDefault="009A5268">
            <w:pPr>
              <w:pStyle w:val="Tabletext"/>
              <w:framePr w:hSpace="181" w:wrap="notBeside" w:vAnchor="text" w:hAnchor="text" w:xAlign="center" w:y="1"/>
              <w:spacing w:before="60" w:after="60"/>
              <w:jc w:val="left"/>
              <w:rPr>
                <w:lang w:val="en-US"/>
              </w:rPr>
            </w:pPr>
            <w:r>
              <w:rPr>
                <w:lang w:val="en-US"/>
              </w:rPr>
              <w:t>Cumulative distribution (%)</w:t>
            </w:r>
          </w:p>
        </w:tc>
        <w:tc>
          <w:tcPr>
            <w:tcW w:w="851"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4.2</w:t>
            </w:r>
          </w:p>
        </w:tc>
        <w:tc>
          <w:tcPr>
            <w:tcW w:w="851"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1</w:t>
            </w:r>
          </w:p>
        </w:tc>
        <w:tc>
          <w:tcPr>
            <w:tcW w:w="851"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0.1</w:t>
            </w:r>
          </w:p>
        </w:tc>
        <w:tc>
          <w:tcPr>
            <w:tcW w:w="851"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0.08</w:t>
            </w:r>
          </w:p>
        </w:tc>
        <w:tc>
          <w:tcPr>
            <w:tcW w:w="851"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0.01</w:t>
            </w:r>
          </w:p>
        </w:tc>
        <w:tc>
          <w:tcPr>
            <w:tcW w:w="851"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0.003</w:t>
            </w:r>
          </w:p>
        </w:tc>
      </w:tr>
      <w:tr w:rsidR="00B9359B">
        <w:tc>
          <w:tcPr>
            <w:tcW w:w="4253" w:type="dxa"/>
            <w:vAlign w:val="center"/>
          </w:tcPr>
          <w:p w:rsidR="00B9359B" w:rsidRDefault="009A5268">
            <w:pPr>
              <w:pStyle w:val="Tabletext"/>
              <w:framePr w:hSpace="181" w:wrap="notBeside" w:vAnchor="text" w:hAnchor="text" w:xAlign="center" w:y="1"/>
              <w:spacing w:before="60" w:after="60"/>
              <w:jc w:val="left"/>
              <w:rPr>
                <w:lang w:val="en-US"/>
              </w:rPr>
            </w:pPr>
            <w:r>
              <w:rPr>
                <w:lang w:val="en-US"/>
              </w:rPr>
              <w:t>Push-broom: corresponding interference power received by EESS (dBW)</w:t>
            </w:r>
            <w:r>
              <w:rPr>
                <w:lang w:val="en-US"/>
              </w:rPr>
              <w:br/>
              <w:t>(500 MHz bandwidth)</w:t>
            </w:r>
          </w:p>
        </w:tc>
        <w:tc>
          <w:tcPr>
            <w:tcW w:w="851"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–210</w:t>
            </w:r>
          </w:p>
        </w:tc>
        <w:tc>
          <w:tcPr>
            <w:tcW w:w="851"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–193</w:t>
            </w:r>
          </w:p>
        </w:tc>
        <w:tc>
          <w:tcPr>
            <w:tcW w:w="851"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–175</w:t>
            </w:r>
          </w:p>
        </w:tc>
        <w:tc>
          <w:tcPr>
            <w:tcW w:w="851"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–163</w:t>
            </w:r>
          </w:p>
        </w:tc>
        <w:tc>
          <w:tcPr>
            <w:tcW w:w="851"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–134</w:t>
            </w:r>
          </w:p>
        </w:tc>
        <w:tc>
          <w:tcPr>
            <w:tcW w:w="851"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–75</w:t>
            </w:r>
          </w:p>
        </w:tc>
      </w:tr>
    </w:tbl>
    <w:p w:rsidR="00B9359B" w:rsidRDefault="00B9359B">
      <w:pPr>
        <w:pStyle w:val="Tablefin"/>
        <w:spacing w:before="0"/>
      </w:pPr>
    </w:p>
    <w:p w:rsidR="00B9359B" w:rsidRDefault="009A5268">
      <w:pPr>
        <w:rPr>
          <w:lang w:val="en-US"/>
        </w:rPr>
      </w:pPr>
      <w:r>
        <w:rPr>
          <w:lang w:val="en-US"/>
        </w:rPr>
        <w:t>Table 65 shows that it is possible to find a 88 dB difference between the threshold of –163 dBW and the maximum power received by the radiometer of –75 dBW. Such a level has a potential to cause damage to the sensor.</w:t>
      </w:r>
    </w:p>
    <w:p w:rsidR="00B9359B" w:rsidRDefault="009A5268">
      <w:pPr>
        <w:pStyle w:val="TableNo"/>
        <w:spacing w:before="320"/>
        <w:rPr>
          <w:lang w:val="en-US"/>
        </w:rPr>
      </w:pPr>
      <w:r>
        <w:rPr>
          <w:lang w:val="en-US"/>
        </w:rPr>
        <w:t>TABLE  66</w:t>
      </w:r>
    </w:p>
    <w:p w:rsidR="00B9359B" w:rsidRDefault="009A5268">
      <w:pPr>
        <w:pStyle w:val="Tabletitle"/>
        <w:rPr>
          <w:lang w:val="en-US"/>
        </w:rPr>
      </w:pPr>
      <w:r>
        <w:rPr>
          <w:lang w:val="en-US"/>
        </w:rPr>
        <w:t>Dynamic analysis between GSO system GSO-20 and EESS with only</w:t>
      </w:r>
      <w:r>
        <w:rPr>
          <w:lang w:val="en-US"/>
        </w:rPr>
        <w:br/>
        <w:t>one earth station operating at the location N50, E0</w:t>
      </w:r>
    </w:p>
    <w:tbl>
      <w:tblPr>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449"/>
        <w:gridCol w:w="1038"/>
        <w:gridCol w:w="1038"/>
        <w:gridCol w:w="1038"/>
        <w:gridCol w:w="1038"/>
        <w:gridCol w:w="1038"/>
      </w:tblGrid>
      <w:tr w:rsidR="00B9359B">
        <w:tc>
          <w:tcPr>
            <w:tcW w:w="4253" w:type="dxa"/>
            <w:vAlign w:val="center"/>
          </w:tcPr>
          <w:p w:rsidR="00B9359B" w:rsidRDefault="009A5268">
            <w:pPr>
              <w:pStyle w:val="Tabletext"/>
              <w:framePr w:hSpace="181" w:wrap="notBeside" w:vAnchor="text" w:hAnchor="text" w:xAlign="center" w:y="1"/>
              <w:spacing w:before="60" w:after="60"/>
              <w:jc w:val="left"/>
              <w:rPr>
                <w:lang w:val="en-US"/>
              </w:rPr>
            </w:pPr>
            <w:r>
              <w:rPr>
                <w:lang w:val="en-US"/>
              </w:rPr>
              <w:t>Cumulative distribution (%)</w:t>
            </w:r>
          </w:p>
        </w:tc>
        <w:tc>
          <w:tcPr>
            <w:tcW w:w="992"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6.8</w:t>
            </w:r>
          </w:p>
        </w:tc>
        <w:tc>
          <w:tcPr>
            <w:tcW w:w="992"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1</w:t>
            </w:r>
          </w:p>
        </w:tc>
        <w:tc>
          <w:tcPr>
            <w:tcW w:w="992"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0.09</w:t>
            </w:r>
          </w:p>
        </w:tc>
        <w:tc>
          <w:tcPr>
            <w:tcW w:w="992"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0.01</w:t>
            </w:r>
          </w:p>
        </w:tc>
        <w:tc>
          <w:tcPr>
            <w:tcW w:w="992"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0.003</w:t>
            </w:r>
          </w:p>
        </w:tc>
      </w:tr>
      <w:tr w:rsidR="00B9359B">
        <w:tc>
          <w:tcPr>
            <w:tcW w:w="4253" w:type="dxa"/>
            <w:vAlign w:val="center"/>
          </w:tcPr>
          <w:p w:rsidR="00B9359B" w:rsidRDefault="009A5268">
            <w:pPr>
              <w:pStyle w:val="Tabletext"/>
              <w:framePr w:hSpace="181" w:wrap="notBeside" w:vAnchor="text" w:hAnchor="text" w:xAlign="center" w:y="1"/>
              <w:spacing w:before="60" w:after="60"/>
              <w:jc w:val="left"/>
              <w:rPr>
                <w:lang w:val="en-US"/>
              </w:rPr>
            </w:pPr>
            <w:r>
              <w:rPr>
                <w:lang w:val="en-US"/>
              </w:rPr>
              <w:t>Push-broom: corresponding interference power received by EESS (dBW)</w:t>
            </w:r>
            <w:r>
              <w:rPr>
                <w:lang w:val="en-US"/>
              </w:rPr>
              <w:br/>
              <w:t>(500 MHz bandwidth)</w:t>
            </w:r>
          </w:p>
        </w:tc>
        <w:tc>
          <w:tcPr>
            <w:tcW w:w="992"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–212</w:t>
            </w:r>
          </w:p>
        </w:tc>
        <w:tc>
          <w:tcPr>
            <w:tcW w:w="992"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–188</w:t>
            </w:r>
          </w:p>
        </w:tc>
        <w:tc>
          <w:tcPr>
            <w:tcW w:w="992"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–163</w:t>
            </w:r>
          </w:p>
        </w:tc>
        <w:tc>
          <w:tcPr>
            <w:tcW w:w="992"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–134</w:t>
            </w:r>
          </w:p>
        </w:tc>
        <w:tc>
          <w:tcPr>
            <w:tcW w:w="992"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–129</w:t>
            </w:r>
          </w:p>
        </w:tc>
      </w:tr>
    </w:tbl>
    <w:p w:rsidR="00B9359B" w:rsidRDefault="00B9359B">
      <w:pPr>
        <w:pStyle w:val="Tablefin"/>
        <w:spacing w:before="0"/>
      </w:pPr>
    </w:p>
    <w:p w:rsidR="00B9359B" w:rsidRDefault="009A5268">
      <w:pPr>
        <w:pStyle w:val="TableNo"/>
        <w:spacing w:before="320"/>
        <w:rPr>
          <w:lang w:val="en-US"/>
        </w:rPr>
      </w:pPr>
      <w:r>
        <w:rPr>
          <w:lang w:val="en-US"/>
        </w:rPr>
        <w:t>TABLE  67</w:t>
      </w:r>
    </w:p>
    <w:p w:rsidR="00B9359B" w:rsidRDefault="009A5268">
      <w:pPr>
        <w:pStyle w:val="Tabletitle"/>
        <w:rPr>
          <w:lang w:val="en-US"/>
        </w:rPr>
      </w:pPr>
      <w:r>
        <w:rPr>
          <w:lang w:val="en-US"/>
        </w:rPr>
        <w:t>Dynamic analysis between GSO system Ka-1 and EESS with only</w:t>
      </w:r>
      <w:r>
        <w:rPr>
          <w:lang w:val="en-US"/>
        </w:rPr>
        <w:br/>
        <w:t>one earth station operating at the location N0, E0</w:t>
      </w:r>
    </w:p>
    <w:tbl>
      <w:tblPr>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449"/>
        <w:gridCol w:w="1038"/>
        <w:gridCol w:w="1038"/>
        <w:gridCol w:w="1038"/>
        <w:gridCol w:w="1038"/>
        <w:gridCol w:w="1038"/>
      </w:tblGrid>
      <w:tr w:rsidR="00B9359B">
        <w:tc>
          <w:tcPr>
            <w:tcW w:w="4253" w:type="dxa"/>
            <w:vAlign w:val="center"/>
          </w:tcPr>
          <w:p w:rsidR="00B9359B" w:rsidRDefault="009A5268">
            <w:pPr>
              <w:pStyle w:val="Tabletext"/>
              <w:framePr w:hSpace="181" w:wrap="notBeside" w:vAnchor="text" w:hAnchor="text" w:xAlign="center" w:y="1"/>
              <w:spacing w:before="60" w:after="60"/>
              <w:jc w:val="left"/>
              <w:rPr>
                <w:lang w:val="en-US"/>
              </w:rPr>
            </w:pPr>
            <w:r>
              <w:rPr>
                <w:lang w:val="en-US"/>
              </w:rPr>
              <w:t>Cumulative distribution (%)</w:t>
            </w:r>
          </w:p>
        </w:tc>
        <w:tc>
          <w:tcPr>
            <w:tcW w:w="992"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4.2</w:t>
            </w:r>
          </w:p>
        </w:tc>
        <w:tc>
          <w:tcPr>
            <w:tcW w:w="992"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1</w:t>
            </w:r>
          </w:p>
        </w:tc>
        <w:tc>
          <w:tcPr>
            <w:tcW w:w="992"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0.07</w:t>
            </w:r>
          </w:p>
        </w:tc>
        <w:tc>
          <w:tcPr>
            <w:tcW w:w="992"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0.01</w:t>
            </w:r>
          </w:p>
        </w:tc>
        <w:tc>
          <w:tcPr>
            <w:tcW w:w="992"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0.003</w:t>
            </w:r>
          </w:p>
        </w:tc>
      </w:tr>
      <w:tr w:rsidR="00B9359B">
        <w:tc>
          <w:tcPr>
            <w:tcW w:w="4253" w:type="dxa"/>
            <w:vAlign w:val="center"/>
          </w:tcPr>
          <w:p w:rsidR="00B9359B" w:rsidRDefault="009A5268">
            <w:pPr>
              <w:pStyle w:val="Tabletext"/>
              <w:framePr w:hSpace="181" w:wrap="notBeside" w:vAnchor="text" w:hAnchor="text" w:xAlign="center" w:y="1"/>
              <w:spacing w:before="60" w:after="60"/>
              <w:jc w:val="left"/>
              <w:rPr>
                <w:lang w:val="en-US"/>
              </w:rPr>
            </w:pPr>
            <w:r>
              <w:rPr>
                <w:lang w:val="en-US"/>
              </w:rPr>
              <w:t>Push-broom: corresponding interference power received by EESS (dBW)</w:t>
            </w:r>
            <w:r>
              <w:rPr>
                <w:lang w:val="en-US"/>
              </w:rPr>
              <w:br/>
              <w:t>(186.6 MHz bandwidth)</w:t>
            </w:r>
          </w:p>
        </w:tc>
        <w:tc>
          <w:tcPr>
            <w:tcW w:w="992"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–212</w:t>
            </w:r>
          </w:p>
        </w:tc>
        <w:tc>
          <w:tcPr>
            <w:tcW w:w="992"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–197</w:t>
            </w:r>
          </w:p>
        </w:tc>
        <w:tc>
          <w:tcPr>
            <w:tcW w:w="992"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–163</w:t>
            </w:r>
          </w:p>
        </w:tc>
        <w:tc>
          <w:tcPr>
            <w:tcW w:w="992"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–136</w:t>
            </w:r>
          </w:p>
        </w:tc>
        <w:tc>
          <w:tcPr>
            <w:tcW w:w="992"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–129</w:t>
            </w:r>
          </w:p>
        </w:tc>
      </w:tr>
    </w:tbl>
    <w:p w:rsidR="00B9359B" w:rsidRDefault="00B9359B">
      <w:pPr>
        <w:pStyle w:val="Tablefin"/>
        <w:spacing w:before="0"/>
        <w:rPr>
          <w:sz w:val="6"/>
        </w:rPr>
      </w:pPr>
    </w:p>
    <w:p w:rsidR="00B9359B" w:rsidRDefault="009A5268">
      <w:pPr>
        <w:rPr>
          <w:lang w:val="en-US"/>
        </w:rPr>
      </w:pPr>
      <w:r>
        <w:rPr>
          <w:lang w:val="en-US"/>
        </w:rPr>
        <w:br w:type="page"/>
        <w:t>According to the above Tables, there is a risk that the EESS satellite experiences interference when only one earth station is in operation (or the percentage of data interfered is above the acceptable one). Taking into the relative bandwidth, the required spectral attenuations are 22 dB for GSO</w:t>
      </w:r>
      <w:r>
        <w:rPr>
          <w:lang w:val="en-US"/>
        </w:rPr>
        <w:noBreakHyphen/>
        <w:t>20 and 24.3 dB for Ka</w:t>
      </w:r>
      <w:r>
        <w:rPr>
          <w:lang w:val="en-US"/>
        </w:rPr>
        <w:noBreakHyphen/>
        <w:t>1.</w:t>
      </w:r>
    </w:p>
    <w:p w:rsidR="00B9359B" w:rsidRDefault="009A5268">
      <w:pPr>
        <w:rPr>
          <w:lang w:val="en-US"/>
        </w:rPr>
      </w:pPr>
      <w:r>
        <w:rPr>
          <w:lang w:val="en-US"/>
        </w:rPr>
        <w:t>It is expected that significantly more earth stations would be operational in the satellite systems for which the results of dynamic simulations are reported in Tables 65 to 67. Increasing the number of earth stations included in the dynamic simulations is likely to increase the percentage of time that the EESS criterion is exceeded. In this event, the conclusions drawn in § 4.5 with respect to the amount of required guardbands would have to be re</w:t>
      </w:r>
      <w:r>
        <w:rPr>
          <w:lang w:val="en-US"/>
        </w:rPr>
        <w:noBreakHyphen/>
        <w:t>evaluated.</w:t>
      </w:r>
    </w:p>
    <w:p w:rsidR="00B9359B" w:rsidRDefault="009A5268">
      <w:pPr>
        <w:pStyle w:val="Heading3"/>
        <w:rPr>
          <w:lang w:val="en-US"/>
        </w:rPr>
      </w:pPr>
      <w:bookmarkStart w:id="425" w:name="_Toc51045825"/>
      <w:r>
        <w:rPr>
          <w:lang w:val="en-US"/>
        </w:rPr>
        <w:t>4.4.3</w:t>
      </w:r>
      <w:r>
        <w:rPr>
          <w:lang w:val="en-US"/>
        </w:rPr>
        <w:tab/>
        <w:t>Dynamic calculations with non-GSO systems</w:t>
      </w:r>
      <w:bookmarkEnd w:id="425"/>
    </w:p>
    <w:p w:rsidR="00B9359B" w:rsidRDefault="009A5268">
      <w:pPr>
        <w:pStyle w:val="TableNo"/>
        <w:rPr>
          <w:lang w:val="en-US"/>
        </w:rPr>
      </w:pPr>
      <w:r>
        <w:rPr>
          <w:lang w:val="en-US"/>
        </w:rPr>
        <w:t>TABLE  68</w:t>
      </w:r>
    </w:p>
    <w:p w:rsidR="00B9359B" w:rsidRDefault="009A5268">
      <w:pPr>
        <w:pStyle w:val="Tabletitle"/>
        <w:rPr>
          <w:lang w:val="en-US"/>
        </w:rPr>
      </w:pPr>
      <w:r>
        <w:rPr>
          <w:lang w:val="en-US"/>
        </w:rPr>
        <w:t>Dynamic analysis between non-GSO system MSS-LEO-B and EESS with</w:t>
      </w:r>
      <w:r>
        <w:rPr>
          <w:lang w:val="en-US"/>
        </w:rPr>
        <w:br/>
        <w:t>six earth stations evenly operating along the equator</w:t>
      </w:r>
    </w:p>
    <w:tbl>
      <w:tblPr>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448"/>
        <w:gridCol w:w="1038"/>
        <w:gridCol w:w="1039"/>
        <w:gridCol w:w="1038"/>
        <w:gridCol w:w="1038"/>
        <w:gridCol w:w="1038"/>
      </w:tblGrid>
      <w:tr w:rsidR="00B9359B">
        <w:tc>
          <w:tcPr>
            <w:tcW w:w="4448" w:type="dxa"/>
            <w:vAlign w:val="center"/>
          </w:tcPr>
          <w:p w:rsidR="00B9359B" w:rsidRDefault="009A5268">
            <w:pPr>
              <w:pStyle w:val="Tabletext"/>
              <w:framePr w:hSpace="181" w:wrap="notBeside" w:vAnchor="text" w:hAnchor="text" w:xAlign="center" w:y="1"/>
              <w:spacing w:before="100" w:after="100"/>
              <w:jc w:val="left"/>
              <w:rPr>
                <w:lang w:val="en-US"/>
              </w:rPr>
            </w:pPr>
            <w:r>
              <w:rPr>
                <w:lang w:val="en-US"/>
              </w:rPr>
              <w:t>Cumulative distribution (%)</w:t>
            </w:r>
          </w:p>
        </w:tc>
        <w:tc>
          <w:tcPr>
            <w:tcW w:w="1038"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24.2</w:t>
            </w:r>
          </w:p>
        </w:tc>
        <w:tc>
          <w:tcPr>
            <w:tcW w:w="1039"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1</w:t>
            </w:r>
          </w:p>
        </w:tc>
        <w:tc>
          <w:tcPr>
            <w:tcW w:w="1038"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0.1</w:t>
            </w:r>
          </w:p>
        </w:tc>
        <w:tc>
          <w:tcPr>
            <w:tcW w:w="1038"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0.01</w:t>
            </w:r>
          </w:p>
        </w:tc>
        <w:tc>
          <w:tcPr>
            <w:tcW w:w="1038"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0.003</w:t>
            </w:r>
          </w:p>
        </w:tc>
      </w:tr>
      <w:tr w:rsidR="00B9359B">
        <w:tc>
          <w:tcPr>
            <w:tcW w:w="4448" w:type="dxa"/>
            <w:vAlign w:val="center"/>
          </w:tcPr>
          <w:p w:rsidR="00B9359B" w:rsidRDefault="009A5268">
            <w:pPr>
              <w:pStyle w:val="Tabletext"/>
              <w:framePr w:hSpace="181" w:wrap="notBeside" w:vAnchor="text" w:hAnchor="text" w:xAlign="center" w:y="1"/>
              <w:spacing w:before="100" w:after="100"/>
              <w:jc w:val="left"/>
              <w:rPr>
                <w:lang w:val="en-US"/>
              </w:rPr>
            </w:pPr>
            <w:r>
              <w:rPr>
                <w:lang w:val="en-US"/>
              </w:rPr>
              <w:t>Push-broom: corresponding interference power received by EESS (dBW)</w:t>
            </w:r>
            <w:r>
              <w:rPr>
                <w:lang w:val="en-US"/>
              </w:rPr>
              <w:br/>
              <w:t>(2.5 MHz bandwidth)</w:t>
            </w:r>
          </w:p>
        </w:tc>
        <w:tc>
          <w:tcPr>
            <w:tcW w:w="1038"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–236</w:t>
            </w:r>
          </w:p>
        </w:tc>
        <w:tc>
          <w:tcPr>
            <w:tcW w:w="1039"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–208</w:t>
            </w:r>
          </w:p>
        </w:tc>
        <w:tc>
          <w:tcPr>
            <w:tcW w:w="1038"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–163</w:t>
            </w:r>
          </w:p>
        </w:tc>
        <w:tc>
          <w:tcPr>
            <w:tcW w:w="1038"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–152</w:t>
            </w:r>
          </w:p>
        </w:tc>
        <w:tc>
          <w:tcPr>
            <w:tcW w:w="1038"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–150</w:t>
            </w:r>
          </w:p>
        </w:tc>
      </w:tr>
    </w:tbl>
    <w:p w:rsidR="00B9359B" w:rsidRDefault="00B9359B">
      <w:pPr>
        <w:pStyle w:val="Tablefin"/>
      </w:pPr>
    </w:p>
    <w:p w:rsidR="00B9359B" w:rsidRDefault="009A5268">
      <w:pPr>
        <w:rPr>
          <w:lang w:val="en-US"/>
        </w:rPr>
      </w:pPr>
      <w:r>
        <w:rPr>
          <w:lang w:val="en-US"/>
        </w:rPr>
        <w:t>According to Table 68, there is a risk that the EESS satellite experiences interference when six earth stations are in operation (or the percentage of data interfered is above the acceptable one). In that case, the required spectral attenuation is 11 dB for MSS</w:t>
      </w:r>
      <w:r>
        <w:rPr>
          <w:lang w:val="en-US"/>
        </w:rPr>
        <w:noBreakHyphen/>
        <w:t>LEO</w:t>
      </w:r>
      <w:r>
        <w:rPr>
          <w:lang w:val="en-US"/>
        </w:rPr>
        <w:noBreakHyphen/>
        <w:t>B.</w:t>
      </w:r>
    </w:p>
    <w:p w:rsidR="00B9359B" w:rsidRDefault="009A5268">
      <w:pPr>
        <w:rPr>
          <w:lang w:val="en-US"/>
        </w:rPr>
      </w:pPr>
      <w:r>
        <w:rPr>
          <w:lang w:val="en-US"/>
        </w:rPr>
        <w:t>It is expected that significantly more earth stations would be operational in the satellite systems for which the results of dynamic simulations are reported in Table 68. Increasing the number of earth stations included in the dynamic simulations is likely to increase the percentage of time that the EESS criteria is exceeded. In this event, the conclusions drawn in § 4.5 with respect to the amount of required guardbands would have to be re</w:t>
      </w:r>
      <w:r>
        <w:rPr>
          <w:lang w:val="en-US"/>
        </w:rPr>
        <w:noBreakHyphen/>
        <w:t>evaluated.</w:t>
      </w:r>
    </w:p>
    <w:p w:rsidR="00B9359B" w:rsidRDefault="009A5268">
      <w:pPr>
        <w:pStyle w:val="Heading2"/>
        <w:rPr>
          <w:lang w:val="en-US"/>
        </w:rPr>
      </w:pPr>
      <w:bookmarkStart w:id="426" w:name="_Toc51045826"/>
      <w:r>
        <w:rPr>
          <w:lang w:val="en-US"/>
        </w:rPr>
        <w:t>4.5</w:t>
      </w:r>
      <w:r>
        <w:rPr>
          <w:lang w:val="en-US"/>
        </w:rPr>
        <w:tab/>
        <w:t>Application of OoB masks to the FSS earth station transmission</w:t>
      </w:r>
      <w:bookmarkEnd w:id="426"/>
    </w:p>
    <w:p w:rsidR="00B9359B" w:rsidRDefault="009A5268">
      <w:pPr>
        <w:rPr>
          <w:lang w:val="en-US"/>
        </w:rPr>
      </w:pPr>
      <w:r>
        <w:rPr>
          <w:lang w:val="en-US"/>
        </w:rPr>
        <w:t>Considering now that the FSS earth stations are transmitting in their own frequency band, the rejection of their transmitter power within the adjacent EESS (passive) allocated band should be, for example:</w:t>
      </w:r>
    </w:p>
    <w:p w:rsidR="00B9359B" w:rsidRDefault="009A5268">
      <w:pPr>
        <w:pStyle w:val="enumlev1"/>
        <w:rPr>
          <w:lang w:val="en-US"/>
        </w:rPr>
      </w:pPr>
      <w:r>
        <w:rPr>
          <w:lang w:val="en-US"/>
        </w:rPr>
        <w:t>–</w:t>
      </w:r>
      <w:r>
        <w:rPr>
          <w:lang w:val="en-US"/>
        </w:rPr>
        <w:tab/>
        <w:t>25.9 to 44.8 dB for the GSO Ka-1 system (24.3 dB using dynamic analysis), disregarding the possible occurrence of main-lobe to main-lobe configurations in case of earth stations close to the equator;</w:t>
      </w:r>
    </w:p>
    <w:p w:rsidR="00B9359B" w:rsidRDefault="009A5268">
      <w:pPr>
        <w:pStyle w:val="enumlev1"/>
        <w:rPr>
          <w:lang w:val="en-US"/>
        </w:rPr>
      </w:pPr>
      <w:r>
        <w:rPr>
          <w:lang w:val="en-US"/>
        </w:rPr>
        <w:t>–</w:t>
      </w:r>
      <w:r>
        <w:rPr>
          <w:lang w:val="en-US"/>
        </w:rPr>
        <w:tab/>
        <w:t>12.7 dB for the LEO-A non-GSO system;</w:t>
      </w:r>
    </w:p>
    <w:p w:rsidR="00B9359B" w:rsidRDefault="009A5268">
      <w:pPr>
        <w:pStyle w:val="enumlev1"/>
        <w:rPr>
          <w:lang w:val="en-US"/>
        </w:rPr>
      </w:pPr>
      <w:r>
        <w:rPr>
          <w:lang w:val="en-US"/>
        </w:rPr>
        <w:t>–</w:t>
      </w:r>
      <w:r>
        <w:rPr>
          <w:lang w:val="en-US"/>
        </w:rPr>
        <w:tab/>
        <w:t>11 dB for the LEO-B non-GSO system.</w:t>
      </w:r>
    </w:p>
    <w:p w:rsidR="00B9359B" w:rsidRDefault="009A5268">
      <w:pPr>
        <w:rPr>
          <w:lang w:val="en-US"/>
        </w:rPr>
      </w:pPr>
      <w:r>
        <w:rPr>
          <w:lang w:val="en-US"/>
        </w:rPr>
        <w:t>Figure 48 represents the power falling within the EESS allocation, depending on guardband. To  cover the varying characteristics of the FSS emissions, the sliding integration is performed for three values of the passive band, expressed in terms of percentage of the FSS necessary bandwidth (1</w:t>
      </w:r>
      <w:r>
        <w:rPr>
          <w:rFonts w:ascii="Tms Rmn" w:hAnsi="Tms Rmn"/>
          <w:sz w:val="12"/>
          <w:lang w:val="en-US"/>
        </w:rPr>
        <w:t> </w:t>
      </w:r>
      <w:r>
        <w:rPr>
          <w:lang w:val="en-US"/>
        </w:rPr>
        <w:t>000%, 100% and 50%). There is only a minor difference between the three curves.</w:t>
      </w:r>
    </w:p>
    <w:p w:rsidR="00B9359B" w:rsidRDefault="009A5268">
      <w:pPr>
        <w:pStyle w:val="FigureNo"/>
        <w:rPr>
          <w:lang w:val="en-US"/>
        </w:rPr>
      </w:pPr>
      <w:r>
        <w:rPr>
          <w:lang w:val="en-US"/>
        </w:rPr>
        <w:br w:type="page"/>
      </w:r>
      <w:r>
        <w:rPr>
          <w:lang w:val="en-US"/>
        </w:rPr>
        <w:object w:dxaOrig="8535" w:dyaOrig="7479">
          <v:shape id="_x0000_i1084" type="#_x0000_t75" style="width:426.65pt;height:374.5pt" o:ole="">
            <v:imagedata r:id="rId103" o:title=""/>
          </v:shape>
          <o:OLEObject Type="Embed" ProgID="Designer.Drawing.7" ShapeID="_x0000_i1084" DrawAspect="Content" ObjectID="_1629894590" r:id="rId104"/>
        </w:object>
      </w:r>
    </w:p>
    <w:p w:rsidR="00B9359B" w:rsidRDefault="00B9359B">
      <w:pPr>
        <w:rPr>
          <w:lang w:val="en-US"/>
        </w:rPr>
      </w:pPr>
      <w:bookmarkStart w:id="427" w:name="_Toc51045827"/>
    </w:p>
    <w:p w:rsidR="00B9359B" w:rsidRDefault="00B9359B">
      <w:pPr>
        <w:rPr>
          <w:lang w:val="en-US"/>
        </w:rPr>
      </w:pPr>
    </w:p>
    <w:p w:rsidR="00B9359B" w:rsidRDefault="009A5268">
      <w:pPr>
        <w:rPr>
          <w:lang w:val="en-US"/>
        </w:rPr>
      </w:pPr>
      <w:r>
        <w:rPr>
          <w:lang w:val="en-US"/>
        </w:rPr>
        <w:t>Note that in Fig. 48, the frequency offset is taken from the centre of the necessary bandwidth. This will be used to determine the minimum distance between the centre of the necessary bandwidth and the upper limit of the FSS allocated band, which is required to protect the adjacent EESS allocated band from unwanted FSS emissions.</w:t>
      </w:r>
    </w:p>
    <w:p w:rsidR="00B9359B" w:rsidRDefault="009A5268">
      <w:pPr>
        <w:rPr>
          <w:lang w:val="en-US"/>
        </w:rPr>
      </w:pPr>
      <w:r>
        <w:rPr>
          <w:lang w:val="en-US"/>
        </w:rPr>
        <w:t xml:space="preserve">Furthermore, a 300 MHz separation is provided by the fixed and mobile allocation between the FSS and the EESS allocated bands, in the 31-31.3 GHz band. Therefore the minimum frequency separation between the centre of the necessary bandwidth, which is the reference in the mask, is defined as </w:t>
      </w:r>
      <w:r>
        <w:rPr>
          <w:bCs/>
          <w:i/>
          <w:iCs/>
          <w:lang w:val="en-US"/>
        </w:rPr>
        <w:t>B</w:t>
      </w:r>
      <w:r>
        <w:rPr>
          <w:i/>
          <w:iCs/>
          <w:vertAlign w:val="subscript"/>
          <w:lang w:val="en-US"/>
        </w:rPr>
        <w:t>N</w:t>
      </w:r>
      <w:r>
        <w:rPr>
          <w:bCs/>
          <w:lang w:val="en-US"/>
        </w:rPr>
        <w:t>/2 </w:t>
      </w:r>
      <w:r>
        <w:rPr>
          <w:rFonts w:ascii="Symbol" w:hAnsi="Symbol"/>
          <w:bCs/>
          <w:lang w:val="en-US"/>
        </w:rPr>
        <w:t></w:t>
      </w:r>
      <w:r>
        <w:rPr>
          <w:bCs/>
          <w:lang w:val="en-US"/>
        </w:rPr>
        <w:t> 300 MHz</w:t>
      </w:r>
      <w:r>
        <w:rPr>
          <w:lang w:val="en-US"/>
        </w:rPr>
        <w:t>.</w:t>
      </w:r>
    </w:p>
    <w:p w:rsidR="00B9359B" w:rsidRDefault="009A5268">
      <w:pPr>
        <w:rPr>
          <w:lang w:val="en-US"/>
        </w:rPr>
      </w:pPr>
      <w:r>
        <w:rPr>
          <w:lang w:val="en-US"/>
        </w:rPr>
        <w:t xml:space="preserve">Therefore the required additional guardband has an offset from centre of </w:t>
      </w:r>
      <w:r>
        <w:rPr>
          <w:bCs/>
          <w:i/>
          <w:iCs/>
          <w:lang w:val="en-US"/>
        </w:rPr>
        <w:t>B</w:t>
      </w:r>
      <w:r>
        <w:rPr>
          <w:i/>
          <w:iCs/>
          <w:vertAlign w:val="subscript"/>
          <w:lang w:val="en-US"/>
        </w:rPr>
        <w:t>N</w:t>
      </w:r>
      <w:r>
        <w:rPr>
          <w:lang w:val="en-US"/>
        </w:rPr>
        <w:t> – (</w:t>
      </w:r>
      <w:r>
        <w:rPr>
          <w:bCs/>
          <w:i/>
          <w:iCs/>
          <w:lang w:val="en-US"/>
        </w:rPr>
        <w:t>B</w:t>
      </w:r>
      <w:r>
        <w:rPr>
          <w:i/>
          <w:iCs/>
          <w:vertAlign w:val="subscript"/>
          <w:lang w:val="en-US"/>
        </w:rPr>
        <w:t>N</w:t>
      </w:r>
      <w:r>
        <w:rPr>
          <w:bCs/>
          <w:lang w:val="en-US"/>
        </w:rPr>
        <w:t>/2</w:t>
      </w:r>
      <w:r>
        <w:rPr>
          <w:lang w:val="en-US"/>
        </w:rPr>
        <w:t> </w:t>
      </w:r>
      <w:r>
        <w:rPr>
          <w:rFonts w:ascii="Symbol" w:hAnsi="Symbol"/>
          <w:lang w:val="en-US"/>
        </w:rPr>
        <w:t></w:t>
      </w:r>
      <w:r>
        <w:rPr>
          <w:lang w:val="en-US"/>
        </w:rPr>
        <w:t> 300 MHz).</w:t>
      </w:r>
    </w:p>
    <w:p w:rsidR="00B9359B" w:rsidRDefault="009A5268">
      <w:pPr>
        <w:pStyle w:val="Heading3"/>
        <w:rPr>
          <w:lang w:val="en-US"/>
        </w:rPr>
      </w:pPr>
      <w:r>
        <w:rPr>
          <w:lang w:val="en-US"/>
        </w:rPr>
        <w:t>4.5.1</w:t>
      </w:r>
      <w:r>
        <w:rPr>
          <w:lang w:val="en-US"/>
        </w:rPr>
        <w:tab/>
        <w:t>Nadir sounder push-broom</w:t>
      </w:r>
      <w:bookmarkEnd w:id="427"/>
    </w:p>
    <w:p w:rsidR="00B9359B" w:rsidRDefault="009A5268">
      <w:pPr>
        <w:rPr>
          <w:lang w:val="en-US"/>
        </w:rPr>
      </w:pPr>
      <w:r>
        <w:rPr>
          <w:lang w:val="en-US"/>
        </w:rPr>
        <w:t>Assuming that this mask will be adopted and is representing reliably the real spectral characteristics of the FSS transmitters, the following conditions can be derived, which are summarized in Tables 69 and 70 for GSO FSS systems, and in Table 71 for non-GSO FSS Systems (bottom and peak cases). The last line in these Tables indicates additional guardband, which would be necessary to protect the passive sensors from unwanted emissions in the band 31.3-31.5 GHz.</w:t>
      </w:r>
    </w:p>
    <w:p w:rsidR="00B9359B" w:rsidRDefault="009A5268">
      <w:pPr>
        <w:pStyle w:val="TableNo"/>
        <w:rPr>
          <w:lang w:val="en-US"/>
        </w:rPr>
      </w:pPr>
      <w:r>
        <w:rPr>
          <w:lang w:val="en-US"/>
        </w:rPr>
        <w:br w:type="page"/>
        <w:t>TABLE  69</w:t>
      </w:r>
    </w:p>
    <w:p w:rsidR="00B9359B" w:rsidRDefault="009A5268">
      <w:pPr>
        <w:pStyle w:val="Tabletitle"/>
        <w:rPr>
          <w:lang w:val="en-US"/>
        </w:rPr>
      </w:pPr>
      <w:r>
        <w:rPr>
          <w:lang w:val="en-US"/>
        </w:rPr>
        <w:t>Summary of necessary guardbands to protect passive sensors from GSO FSS earth stations (sensor far-lobes in earth station main-lobe)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7"/>
        <w:gridCol w:w="1197"/>
        <w:gridCol w:w="1197"/>
        <w:gridCol w:w="1197"/>
        <w:gridCol w:w="1197"/>
        <w:gridCol w:w="1197"/>
        <w:gridCol w:w="1197"/>
      </w:tblGrid>
      <w:tr w:rsidR="00B9359B">
        <w:tc>
          <w:tcPr>
            <w:tcW w:w="2457" w:type="dxa"/>
          </w:tcPr>
          <w:p w:rsidR="00B9359B" w:rsidRDefault="00B9359B">
            <w:pPr>
              <w:pStyle w:val="Tablehead"/>
              <w:framePr w:hSpace="181" w:wrap="notBeside" w:vAnchor="text" w:hAnchor="text" w:xAlign="center" w:y="1"/>
              <w:spacing w:before="120" w:after="120"/>
              <w:rPr>
                <w:lang w:val="en-US"/>
              </w:rPr>
            </w:pPr>
          </w:p>
        </w:tc>
        <w:tc>
          <w:tcPr>
            <w:tcW w:w="1197" w:type="dxa"/>
          </w:tcPr>
          <w:p w:rsidR="00B9359B" w:rsidRDefault="009A5268">
            <w:pPr>
              <w:pStyle w:val="Tablehead"/>
              <w:framePr w:hSpace="181" w:wrap="notBeside" w:vAnchor="text" w:hAnchor="text" w:xAlign="center" w:y="1"/>
              <w:spacing w:before="120" w:after="120"/>
              <w:ind w:left="-57" w:right="-57"/>
              <w:rPr>
                <w:lang w:val="en-US"/>
              </w:rPr>
            </w:pPr>
            <w:r>
              <w:rPr>
                <w:lang w:val="en-US"/>
              </w:rPr>
              <w:t>GSO-Ka-1</w:t>
            </w:r>
          </w:p>
        </w:tc>
        <w:tc>
          <w:tcPr>
            <w:tcW w:w="1197" w:type="dxa"/>
          </w:tcPr>
          <w:p w:rsidR="00B9359B" w:rsidRDefault="009A5268">
            <w:pPr>
              <w:pStyle w:val="Tablehead"/>
              <w:framePr w:hSpace="181" w:wrap="notBeside" w:vAnchor="text" w:hAnchor="text" w:xAlign="center" w:y="1"/>
              <w:spacing w:before="120" w:after="120"/>
              <w:ind w:left="-57" w:right="-57"/>
              <w:rPr>
                <w:lang w:val="en-US"/>
              </w:rPr>
            </w:pPr>
            <w:r>
              <w:rPr>
                <w:lang w:val="en-US"/>
              </w:rPr>
              <w:t>GSO-20</w:t>
            </w:r>
          </w:p>
        </w:tc>
        <w:tc>
          <w:tcPr>
            <w:tcW w:w="1197" w:type="dxa"/>
          </w:tcPr>
          <w:p w:rsidR="00B9359B" w:rsidRDefault="009A5268">
            <w:pPr>
              <w:pStyle w:val="Tablehead"/>
              <w:framePr w:hSpace="181" w:wrap="notBeside" w:vAnchor="text" w:hAnchor="text" w:xAlign="center" w:y="1"/>
              <w:spacing w:before="120" w:after="120"/>
              <w:ind w:left="-57" w:right="-57"/>
              <w:rPr>
                <w:lang w:val="en-US"/>
              </w:rPr>
            </w:pPr>
            <w:r>
              <w:rPr>
                <w:lang w:val="en-US"/>
              </w:rPr>
              <w:t>GSO-F</w:t>
            </w:r>
          </w:p>
        </w:tc>
        <w:tc>
          <w:tcPr>
            <w:tcW w:w="1197" w:type="dxa"/>
          </w:tcPr>
          <w:p w:rsidR="00B9359B" w:rsidRDefault="009A5268">
            <w:pPr>
              <w:pStyle w:val="Tablehead"/>
              <w:framePr w:hSpace="181" w:wrap="notBeside" w:vAnchor="text" w:hAnchor="text" w:xAlign="center" w:y="1"/>
              <w:spacing w:before="120" w:after="120"/>
              <w:ind w:left="-57" w:right="-57"/>
              <w:rPr>
                <w:lang w:val="en-US"/>
              </w:rPr>
            </w:pPr>
            <w:r>
              <w:rPr>
                <w:lang w:val="en-US"/>
              </w:rPr>
              <w:t>GSO-G</w:t>
            </w:r>
          </w:p>
        </w:tc>
        <w:tc>
          <w:tcPr>
            <w:tcW w:w="1197" w:type="dxa"/>
          </w:tcPr>
          <w:p w:rsidR="00B9359B" w:rsidRDefault="009A5268">
            <w:pPr>
              <w:pStyle w:val="Tablehead"/>
              <w:framePr w:hSpace="181" w:wrap="notBeside" w:vAnchor="text" w:hAnchor="text" w:xAlign="center" w:y="1"/>
              <w:spacing w:before="120" w:after="120"/>
              <w:ind w:left="-57" w:right="-57"/>
              <w:rPr>
                <w:lang w:val="en-US"/>
              </w:rPr>
            </w:pPr>
            <w:r>
              <w:rPr>
                <w:lang w:val="en-US"/>
              </w:rPr>
              <w:t>GSO-H</w:t>
            </w:r>
          </w:p>
        </w:tc>
        <w:tc>
          <w:tcPr>
            <w:tcW w:w="1197" w:type="dxa"/>
          </w:tcPr>
          <w:p w:rsidR="00B9359B" w:rsidRDefault="009A5268">
            <w:pPr>
              <w:pStyle w:val="Tablehead"/>
              <w:framePr w:hSpace="181" w:wrap="notBeside" w:vAnchor="text" w:hAnchor="text" w:xAlign="center" w:y="1"/>
              <w:spacing w:before="120" w:after="120"/>
              <w:ind w:left="-57" w:right="-57"/>
              <w:rPr>
                <w:lang w:val="en-US"/>
              </w:rPr>
            </w:pPr>
            <w:r>
              <w:rPr>
                <w:lang w:val="en-US"/>
              </w:rPr>
              <w:t>GSO-13</w:t>
            </w:r>
          </w:p>
        </w:tc>
      </w:tr>
      <w:tr w:rsidR="00B9359B">
        <w:trPr>
          <w:trHeight w:hRule="exact" w:val="567"/>
        </w:trPr>
        <w:tc>
          <w:tcPr>
            <w:tcW w:w="2457" w:type="dxa"/>
            <w:vAlign w:val="center"/>
          </w:tcPr>
          <w:p w:rsidR="00B9359B" w:rsidRDefault="009A5268">
            <w:pPr>
              <w:pStyle w:val="Tabletext"/>
              <w:framePr w:hSpace="181" w:wrap="notBeside" w:vAnchor="text" w:hAnchor="text" w:xAlign="center" w:y="1"/>
              <w:spacing w:line="240" w:lineRule="exact"/>
              <w:jc w:val="left"/>
              <w:rPr>
                <w:lang w:val="en-US"/>
              </w:rPr>
            </w:pPr>
            <w:r>
              <w:rPr>
                <w:lang w:val="en-US"/>
              </w:rPr>
              <w:t>Required power rejection (dB)</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44.8</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25.8</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21</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35.3</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29.3</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12.1</w:t>
            </w:r>
          </w:p>
        </w:tc>
      </w:tr>
      <w:tr w:rsidR="00B9359B">
        <w:trPr>
          <w:trHeight w:hRule="exact" w:val="567"/>
        </w:trPr>
        <w:tc>
          <w:tcPr>
            <w:tcW w:w="2457" w:type="dxa"/>
            <w:vAlign w:val="center"/>
          </w:tcPr>
          <w:p w:rsidR="00B9359B" w:rsidRDefault="009A5268">
            <w:pPr>
              <w:pStyle w:val="Tabletext"/>
              <w:framePr w:hSpace="181" w:wrap="notBeside" w:vAnchor="text" w:hAnchor="text" w:xAlign="center" w:y="1"/>
              <w:spacing w:line="240" w:lineRule="exact"/>
              <w:jc w:val="left"/>
              <w:rPr>
                <w:lang w:val="en-US"/>
              </w:rPr>
            </w:pPr>
            <w:r>
              <w:rPr>
                <w:lang w:val="en-US"/>
              </w:rPr>
              <w:t>Necessary bandwidth (MHz)</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186.6</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500</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125</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0.0768</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0.0768</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0.340</w:t>
            </w:r>
          </w:p>
        </w:tc>
      </w:tr>
      <w:tr w:rsidR="00B9359B">
        <w:trPr>
          <w:trHeight w:hRule="exact" w:val="403"/>
        </w:trPr>
        <w:tc>
          <w:tcPr>
            <w:tcW w:w="2457" w:type="dxa"/>
            <w:vAlign w:val="center"/>
          </w:tcPr>
          <w:p w:rsidR="00B9359B" w:rsidRDefault="009A5268">
            <w:pPr>
              <w:pStyle w:val="Tabletext"/>
              <w:framePr w:hSpace="181" w:wrap="notBeside" w:vAnchor="text" w:hAnchor="text" w:xAlign="center" w:y="1"/>
              <w:spacing w:line="240" w:lineRule="exact"/>
              <w:jc w:val="left"/>
              <w:rPr>
                <w:lang w:val="en-US"/>
              </w:rPr>
            </w:pPr>
            <w:r>
              <w:rPr>
                <w:lang w:val="en-US"/>
              </w:rPr>
              <w:t>Passive band (% BN)</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107</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40</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160</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rFonts w:ascii="Symbol" w:hAnsi="Symbol"/>
              </w:rPr>
              <w:t></w:t>
            </w:r>
            <w:r>
              <w:rPr>
                <w:rFonts w:ascii="Tms Rmn" w:hAnsi="Tms Rmn"/>
                <w:sz w:val="12"/>
                <w:lang w:val="en-US"/>
              </w:rPr>
              <w:t> </w:t>
            </w:r>
            <w:r>
              <w:rPr>
                <w:lang w:val="en-US"/>
              </w:rPr>
              <w:t>1</w:t>
            </w:r>
            <w:r>
              <w:rPr>
                <w:rFonts w:ascii="Tms Rmn" w:hAnsi="Tms Rmn"/>
                <w:sz w:val="12"/>
                <w:lang w:val="en-US"/>
              </w:rPr>
              <w:t> </w:t>
            </w:r>
            <w:r>
              <w:rPr>
                <w:lang w:val="en-US"/>
              </w:rPr>
              <w:t>000</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rFonts w:ascii="Symbol" w:hAnsi="Symbol"/>
              </w:rPr>
              <w:t></w:t>
            </w:r>
            <w:r>
              <w:rPr>
                <w:rFonts w:ascii="Tms Rmn" w:hAnsi="Tms Rmn"/>
                <w:sz w:val="12"/>
                <w:lang w:val="en-US"/>
              </w:rPr>
              <w:t> </w:t>
            </w:r>
            <w:r>
              <w:rPr>
                <w:lang w:val="en-US"/>
              </w:rPr>
              <w:t>1</w:t>
            </w:r>
            <w:r>
              <w:rPr>
                <w:rFonts w:ascii="Tms Rmn" w:hAnsi="Tms Rmn"/>
                <w:sz w:val="12"/>
                <w:lang w:val="en-US"/>
              </w:rPr>
              <w:t> </w:t>
            </w:r>
            <w:r>
              <w:rPr>
                <w:lang w:val="en-US"/>
              </w:rPr>
              <w:t>000</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rFonts w:ascii="Symbol" w:hAnsi="Symbol"/>
              </w:rPr>
              <w:t></w:t>
            </w:r>
            <w:r>
              <w:rPr>
                <w:rFonts w:ascii="Tms Rmn" w:hAnsi="Tms Rmn"/>
                <w:sz w:val="12"/>
                <w:lang w:val="en-US"/>
              </w:rPr>
              <w:t> </w:t>
            </w:r>
            <w:r>
              <w:rPr>
                <w:lang w:val="en-US"/>
              </w:rPr>
              <w:t>1</w:t>
            </w:r>
            <w:r>
              <w:rPr>
                <w:rFonts w:ascii="Tms Rmn" w:hAnsi="Tms Rmn"/>
                <w:sz w:val="12"/>
                <w:lang w:val="en-US"/>
              </w:rPr>
              <w:t> </w:t>
            </w:r>
            <w:r>
              <w:rPr>
                <w:lang w:val="en-US"/>
              </w:rPr>
              <w:t>000</w:t>
            </w:r>
          </w:p>
        </w:tc>
      </w:tr>
      <w:tr w:rsidR="00B9359B">
        <w:trPr>
          <w:trHeight w:hRule="exact" w:val="567"/>
        </w:trPr>
        <w:tc>
          <w:tcPr>
            <w:tcW w:w="2457" w:type="dxa"/>
            <w:vAlign w:val="center"/>
          </w:tcPr>
          <w:p w:rsidR="00B9359B" w:rsidRDefault="009A5268">
            <w:pPr>
              <w:pStyle w:val="Tabletext"/>
              <w:framePr w:hSpace="181" w:wrap="notBeside" w:vAnchor="text" w:hAnchor="text" w:xAlign="center" w:y="1"/>
              <w:spacing w:line="240" w:lineRule="exact"/>
              <w:jc w:val="left"/>
              <w:rPr>
                <w:lang w:val="en-US"/>
              </w:rPr>
            </w:pPr>
            <w:r>
              <w:rPr>
                <w:lang w:val="en-US"/>
              </w:rPr>
              <w:t>Offset from centre BN (% BN)</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145</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75</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70</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90</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80</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50</w:t>
            </w:r>
          </w:p>
        </w:tc>
      </w:tr>
      <w:tr w:rsidR="00B9359B">
        <w:trPr>
          <w:trHeight w:hRule="exact" w:val="567"/>
        </w:trPr>
        <w:tc>
          <w:tcPr>
            <w:tcW w:w="2457" w:type="dxa"/>
            <w:vAlign w:val="center"/>
          </w:tcPr>
          <w:p w:rsidR="00B9359B" w:rsidRDefault="009A5268">
            <w:pPr>
              <w:pStyle w:val="Tabletext"/>
              <w:framePr w:hSpace="181" w:wrap="notBeside" w:vAnchor="text" w:hAnchor="text" w:xAlign="center" w:y="1"/>
              <w:spacing w:line="240" w:lineRule="exact"/>
              <w:jc w:val="left"/>
              <w:rPr>
                <w:lang w:val="en-US"/>
              </w:rPr>
            </w:pPr>
            <w:r>
              <w:rPr>
                <w:lang w:val="en-US"/>
              </w:rPr>
              <w:t>Offset from centre BN (MHz)</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271</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375</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88</w:t>
            </w:r>
          </w:p>
        </w:tc>
        <w:tc>
          <w:tcPr>
            <w:tcW w:w="1197" w:type="dxa"/>
          </w:tcPr>
          <w:p w:rsidR="00B9359B" w:rsidRDefault="009A5268">
            <w:pPr>
              <w:pStyle w:val="Tabletext"/>
              <w:framePr w:hSpace="181" w:wrap="notBeside" w:vAnchor="text" w:hAnchor="text" w:xAlign="center" w:y="1"/>
              <w:spacing w:before="80" w:after="80" w:line="240" w:lineRule="exact"/>
              <w:ind w:left="-57" w:right="-57"/>
              <w:jc w:val="center"/>
              <w:rPr>
                <w:lang w:val="en-US"/>
              </w:rPr>
            </w:pPr>
            <w:r>
              <w:rPr>
                <w:lang w:val="en-US"/>
              </w:rPr>
              <w:t>Negligible</w:t>
            </w:r>
          </w:p>
        </w:tc>
        <w:tc>
          <w:tcPr>
            <w:tcW w:w="1197" w:type="dxa"/>
          </w:tcPr>
          <w:p w:rsidR="00B9359B" w:rsidRDefault="009A5268">
            <w:pPr>
              <w:pStyle w:val="Tabletext"/>
              <w:framePr w:hSpace="181" w:wrap="notBeside" w:vAnchor="text" w:hAnchor="text" w:xAlign="center" w:y="1"/>
              <w:spacing w:before="80" w:after="80" w:line="240" w:lineRule="exact"/>
              <w:ind w:left="-57" w:right="-57"/>
              <w:jc w:val="center"/>
              <w:rPr>
                <w:lang w:val="en-US"/>
              </w:rPr>
            </w:pPr>
            <w:r>
              <w:rPr>
                <w:lang w:val="en-US"/>
              </w:rPr>
              <w:t>Negligible</w:t>
            </w:r>
          </w:p>
        </w:tc>
        <w:tc>
          <w:tcPr>
            <w:tcW w:w="1197" w:type="dxa"/>
          </w:tcPr>
          <w:p w:rsidR="00B9359B" w:rsidRDefault="009A5268">
            <w:pPr>
              <w:pStyle w:val="Tabletext"/>
              <w:framePr w:hSpace="181" w:wrap="notBeside" w:vAnchor="text" w:hAnchor="text" w:xAlign="center" w:y="1"/>
              <w:spacing w:before="80" w:after="80" w:line="240" w:lineRule="exact"/>
              <w:ind w:left="-57" w:right="-57"/>
              <w:jc w:val="center"/>
              <w:rPr>
                <w:lang w:val="en-US"/>
              </w:rPr>
            </w:pPr>
            <w:r>
              <w:rPr>
                <w:lang w:val="en-US"/>
              </w:rPr>
              <w:t>Negligible</w:t>
            </w:r>
          </w:p>
        </w:tc>
      </w:tr>
      <w:tr w:rsidR="00B9359B">
        <w:tc>
          <w:tcPr>
            <w:tcW w:w="2457" w:type="dxa"/>
            <w:vAlign w:val="center"/>
          </w:tcPr>
          <w:p w:rsidR="00B9359B" w:rsidRDefault="009A5268">
            <w:pPr>
              <w:pStyle w:val="Tabletext"/>
              <w:framePr w:hSpace="181" w:wrap="notBeside" w:vAnchor="text" w:hAnchor="text" w:xAlign="center" w:y="1"/>
              <w:spacing w:line="240" w:lineRule="exact"/>
              <w:jc w:val="left"/>
              <w:rPr>
                <w:lang w:val="en-US"/>
              </w:rPr>
            </w:pPr>
            <w:r>
              <w:rPr>
                <w:lang w:val="en-US"/>
              </w:rPr>
              <w:t>Required additional guardband (MHz)</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0</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0</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0</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0</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0</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0</w:t>
            </w:r>
          </w:p>
        </w:tc>
      </w:tr>
    </w:tbl>
    <w:p w:rsidR="00B9359B" w:rsidRDefault="00B9359B">
      <w:pPr>
        <w:pStyle w:val="Tablefin"/>
      </w:pPr>
    </w:p>
    <w:p w:rsidR="00B9359B" w:rsidRDefault="00B9359B">
      <w:pPr>
        <w:rPr>
          <w:lang w:val="en-GB"/>
        </w:rPr>
      </w:pPr>
    </w:p>
    <w:p w:rsidR="00B9359B" w:rsidRDefault="009A5268">
      <w:pPr>
        <w:pStyle w:val="TableNo"/>
        <w:rPr>
          <w:lang w:val="en-US"/>
        </w:rPr>
      </w:pPr>
      <w:r>
        <w:rPr>
          <w:lang w:val="en-US"/>
        </w:rPr>
        <w:t>TABLE  70</w:t>
      </w:r>
    </w:p>
    <w:p w:rsidR="00B9359B" w:rsidRDefault="009A5268">
      <w:pPr>
        <w:pStyle w:val="Tabletitle"/>
        <w:rPr>
          <w:lang w:val="en-US"/>
        </w:rPr>
      </w:pPr>
      <w:r>
        <w:rPr>
          <w:lang w:val="en-US"/>
        </w:rPr>
        <w:t>Summary of necessary guardbands to protect passive sensors from GSO FSS earth stations (sensor close to zenith of earth station)</w:t>
      </w:r>
    </w:p>
    <w:p w:rsidR="00B9359B" w:rsidRPr="00B45148" w:rsidRDefault="00B9359B">
      <w:pPr>
        <w:jc w:val="left"/>
        <w:rPr>
          <w:lang w:val="en-US"/>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7"/>
        <w:gridCol w:w="1197"/>
        <w:gridCol w:w="1197"/>
        <w:gridCol w:w="1197"/>
        <w:gridCol w:w="1197"/>
        <w:gridCol w:w="1197"/>
        <w:gridCol w:w="1197"/>
      </w:tblGrid>
      <w:tr w:rsidR="00B9359B">
        <w:tc>
          <w:tcPr>
            <w:tcW w:w="2457" w:type="dxa"/>
          </w:tcPr>
          <w:p w:rsidR="00B9359B" w:rsidRDefault="00B9359B">
            <w:pPr>
              <w:pStyle w:val="Tablehead"/>
              <w:framePr w:hSpace="181" w:wrap="notBeside" w:vAnchor="text" w:hAnchor="text" w:xAlign="center" w:y="1"/>
              <w:spacing w:before="120" w:after="120"/>
              <w:rPr>
                <w:lang w:val="en-US"/>
              </w:rPr>
            </w:pPr>
          </w:p>
        </w:tc>
        <w:tc>
          <w:tcPr>
            <w:tcW w:w="1197" w:type="dxa"/>
          </w:tcPr>
          <w:p w:rsidR="00B9359B" w:rsidRDefault="009A5268">
            <w:pPr>
              <w:pStyle w:val="Tablehead"/>
              <w:framePr w:hSpace="181" w:wrap="notBeside" w:vAnchor="text" w:hAnchor="text" w:xAlign="center" w:y="1"/>
              <w:spacing w:before="120" w:after="120"/>
              <w:ind w:left="-57" w:right="-57"/>
              <w:rPr>
                <w:lang w:val="en-US"/>
              </w:rPr>
            </w:pPr>
            <w:r>
              <w:rPr>
                <w:lang w:val="en-US"/>
              </w:rPr>
              <w:t>GSO-Ka-1</w:t>
            </w:r>
          </w:p>
        </w:tc>
        <w:tc>
          <w:tcPr>
            <w:tcW w:w="1197" w:type="dxa"/>
          </w:tcPr>
          <w:p w:rsidR="00B9359B" w:rsidRDefault="009A5268">
            <w:pPr>
              <w:pStyle w:val="Tablehead"/>
              <w:framePr w:hSpace="181" w:wrap="notBeside" w:vAnchor="text" w:hAnchor="text" w:xAlign="center" w:y="1"/>
              <w:spacing w:before="120" w:after="120"/>
              <w:ind w:left="-57" w:right="-57"/>
              <w:rPr>
                <w:lang w:val="en-US"/>
              </w:rPr>
            </w:pPr>
            <w:r>
              <w:rPr>
                <w:lang w:val="en-US"/>
              </w:rPr>
              <w:t>GSO-20</w:t>
            </w:r>
          </w:p>
        </w:tc>
        <w:tc>
          <w:tcPr>
            <w:tcW w:w="1197" w:type="dxa"/>
          </w:tcPr>
          <w:p w:rsidR="00B9359B" w:rsidRDefault="009A5268">
            <w:pPr>
              <w:pStyle w:val="Tablehead"/>
              <w:framePr w:hSpace="181" w:wrap="notBeside" w:vAnchor="text" w:hAnchor="text" w:xAlign="center" w:y="1"/>
              <w:spacing w:before="120" w:after="120"/>
              <w:ind w:left="-57" w:right="-57"/>
              <w:rPr>
                <w:lang w:val="en-US"/>
              </w:rPr>
            </w:pPr>
            <w:r>
              <w:rPr>
                <w:lang w:val="en-US"/>
              </w:rPr>
              <w:t>GSO-F</w:t>
            </w:r>
          </w:p>
        </w:tc>
        <w:tc>
          <w:tcPr>
            <w:tcW w:w="1197" w:type="dxa"/>
          </w:tcPr>
          <w:p w:rsidR="00B9359B" w:rsidRDefault="009A5268">
            <w:pPr>
              <w:pStyle w:val="Tablehead"/>
              <w:framePr w:hSpace="181" w:wrap="notBeside" w:vAnchor="text" w:hAnchor="text" w:xAlign="center" w:y="1"/>
              <w:spacing w:before="120" w:after="120"/>
              <w:ind w:left="-57" w:right="-57"/>
              <w:rPr>
                <w:lang w:val="en-US"/>
              </w:rPr>
            </w:pPr>
            <w:r>
              <w:rPr>
                <w:lang w:val="en-US"/>
              </w:rPr>
              <w:t>GSO-G</w:t>
            </w:r>
          </w:p>
        </w:tc>
        <w:tc>
          <w:tcPr>
            <w:tcW w:w="1197" w:type="dxa"/>
          </w:tcPr>
          <w:p w:rsidR="00B9359B" w:rsidRDefault="009A5268">
            <w:pPr>
              <w:pStyle w:val="Tablehead"/>
              <w:framePr w:hSpace="181" w:wrap="notBeside" w:vAnchor="text" w:hAnchor="text" w:xAlign="center" w:y="1"/>
              <w:spacing w:before="120" w:after="120"/>
              <w:ind w:left="-57" w:right="-57"/>
              <w:rPr>
                <w:lang w:val="en-US"/>
              </w:rPr>
            </w:pPr>
            <w:r>
              <w:rPr>
                <w:lang w:val="en-US"/>
              </w:rPr>
              <w:t>GSO-H</w:t>
            </w:r>
          </w:p>
        </w:tc>
        <w:tc>
          <w:tcPr>
            <w:tcW w:w="1197" w:type="dxa"/>
          </w:tcPr>
          <w:p w:rsidR="00B9359B" w:rsidRDefault="009A5268">
            <w:pPr>
              <w:pStyle w:val="Tablehead"/>
              <w:framePr w:hSpace="181" w:wrap="notBeside" w:vAnchor="text" w:hAnchor="text" w:xAlign="center" w:y="1"/>
              <w:spacing w:before="120" w:after="120"/>
              <w:ind w:left="-57" w:right="-57"/>
              <w:rPr>
                <w:lang w:val="en-US"/>
              </w:rPr>
            </w:pPr>
            <w:r>
              <w:rPr>
                <w:lang w:val="en-US"/>
              </w:rPr>
              <w:t>GSO-13</w:t>
            </w:r>
          </w:p>
        </w:tc>
      </w:tr>
      <w:tr w:rsidR="00B9359B">
        <w:trPr>
          <w:trHeight w:hRule="exact" w:val="567"/>
        </w:trPr>
        <w:tc>
          <w:tcPr>
            <w:tcW w:w="2457" w:type="dxa"/>
            <w:vAlign w:val="center"/>
          </w:tcPr>
          <w:p w:rsidR="00B9359B" w:rsidRDefault="009A5268">
            <w:pPr>
              <w:pStyle w:val="Tabletext"/>
              <w:framePr w:hSpace="181" w:wrap="notBeside" w:vAnchor="text" w:hAnchor="text" w:xAlign="center" w:y="1"/>
              <w:spacing w:line="240" w:lineRule="exact"/>
              <w:jc w:val="left"/>
              <w:rPr>
                <w:lang w:val="en-US"/>
              </w:rPr>
            </w:pPr>
            <w:r>
              <w:rPr>
                <w:lang w:val="en-US"/>
              </w:rPr>
              <w:t>Required power rejection (dB)</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25.9</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27.7</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8.7</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34.9</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17.1</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13.5</w:t>
            </w:r>
          </w:p>
        </w:tc>
      </w:tr>
      <w:tr w:rsidR="00B9359B">
        <w:trPr>
          <w:trHeight w:hRule="exact" w:val="567"/>
        </w:trPr>
        <w:tc>
          <w:tcPr>
            <w:tcW w:w="2457" w:type="dxa"/>
            <w:vAlign w:val="center"/>
          </w:tcPr>
          <w:p w:rsidR="00B9359B" w:rsidRDefault="009A5268">
            <w:pPr>
              <w:pStyle w:val="Tabletext"/>
              <w:framePr w:hSpace="181" w:wrap="notBeside" w:vAnchor="text" w:hAnchor="text" w:xAlign="center" w:y="1"/>
              <w:spacing w:line="240" w:lineRule="exact"/>
              <w:jc w:val="left"/>
              <w:rPr>
                <w:lang w:val="en-US"/>
              </w:rPr>
            </w:pPr>
            <w:r>
              <w:rPr>
                <w:lang w:val="en-US"/>
              </w:rPr>
              <w:t>Necessary bandwidth (MHz)</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186.6</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500</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125</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0.0768</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0.0768</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0.340</w:t>
            </w:r>
          </w:p>
        </w:tc>
      </w:tr>
      <w:tr w:rsidR="00B9359B">
        <w:trPr>
          <w:trHeight w:hRule="exact" w:val="400"/>
        </w:trPr>
        <w:tc>
          <w:tcPr>
            <w:tcW w:w="2457" w:type="dxa"/>
            <w:vAlign w:val="center"/>
          </w:tcPr>
          <w:p w:rsidR="00B9359B" w:rsidRDefault="009A5268">
            <w:pPr>
              <w:pStyle w:val="Tabletext"/>
              <w:framePr w:hSpace="181" w:wrap="notBeside" w:vAnchor="text" w:hAnchor="text" w:xAlign="center" w:y="1"/>
              <w:spacing w:line="240" w:lineRule="exact"/>
              <w:jc w:val="left"/>
              <w:rPr>
                <w:lang w:val="en-US"/>
              </w:rPr>
            </w:pPr>
            <w:r>
              <w:rPr>
                <w:lang w:val="en-US"/>
              </w:rPr>
              <w:t>Passive band (% BN)</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107</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40</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160</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rFonts w:ascii="Symbol" w:hAnsi="Symbol"/>
              </w:rPr>
              <w:t></w:t>
            </w:r>
            <w:r>
              <w:rPr>
                <w:rFonts w:ascii="Tms Rmn" w:hAnsi="Tms Rmn"/>
                <w:sz w:val="12"/>
                <w:lang w:val="en-US"/>
              </w:rPr>
              <w:t> </w:t>
            </w:r>
            <w:r>
              <w:rPr>
                <w:lang w:val="en-US"/>
              </w:rPr>
              <w:t>1</w:t>
            </w:r>
            <w:r>
              <w:rPr>
                <w:rFonts w:ascii="Tms Rmn" w:hAnsi="Tms Rmn"/>
                <w:sz w:val="12"/>
                <w:lang w:val="en-US"/>
              </w:rPr>
              <w:t> </w:t>
            </w:r>
            <w:r>
              <w:rPr>
                <w:lang w:val="en-US"/>
              </w:rPr>
              <w:t>000</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rFonts w:ascii="Symbol" w:hAnsi="Symbol"/>
              </w:rPr>
              <w:t></w:t>
            </w:r>
            <w:r>
              <w:rPr>
                <w:rFonts w:ascii="Tms Rmn" w:hAnsi="Tms Rmn"/>
                <w:sz w:val="12"/>
                <w:lang w:val="en-US"/>
              </w:rPr>
              <w:t> </w:t>
            </w:r>
            <w:r>
              <w:rPr>
                <w:lang w:val="en-US"/>
              </w:rPr>
              <w:t>1</w:t>
            </w:r>
            <w:r>
              <w:rPr>
                <w:rFonts w:ascii="Tms Rmn" w:hAnsi="Tms Rmn"/>
                <w:sz w:val="12"/>
                <w:lang w:val="en-US"/>
              </w:rPr>
              <w:t> </w:t>
            </w:r>
            <w:r>
              <w:rPr>
                <w:lang w:val="en-US"/>
              </w:rPr>
              <w:t>000</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rFonts w:ascii="Symbol" w:hAnsi="Symbol"/>
              </w:rPr>
              <w:t></w:t>
            </w:r>
            <w:r>
              <w:rPr>
                <w:rFonts w:ascii="Tms Rmn" w:hAnsi="Tms Rmn"/>
                <w:sz w:val="12"/>
                <w:lang w:val="en-US"/>
              </w:rPr>
              <w:t> </w:t>
            </w:r>
            <w:r>
              <w:rPr>
                <w:lang w:val="en-US"/>
              </w:rPr>
              <w:t>1</w:t>
            </w:r>
            <w:r>
              <w:rPr>
                <w:rFonts w:ascii="Tms Rmn" w:hAnsi="Tms Rmn"/>
                <w:sz w:val="12"/>
                <w:lang w:val="en-US"/>
              </w:rPr>
              <w:t> </w:t>
            </w:r>
            <w:r>
              <w:rPr>
                <w:lang w:val="en-US"/>
              </w:rPr>
              <w:t>000</w:t>
            </w:r>
          </w:p>
        </w:tc>
      </w:tr>
      <w:tr w:rsidR="00B9359B">
        <w:trPr>
          <w:trHeight w:hRule="exact" w:val="567"/>
        </w:trPr>
        <w:tc>
          <w:tcPr>
            <w:tcW w:w="2457" w:type="dxa"/>
            <w:vAlign w:val="center"/>
          </w:tcPr>
          <w:p w:rsidR="00B9359B" w:rsidRDefault="009A5268">
            <w:pPr>
              <w:pStyle w:val="Tabletext"/>
              <w:framePr w:hSpace="181" w:wrap="notBeside" w:vAnchor="text" w:hAnchor="text" w:xAlign="center" w:y="1"/>
              <w:spacing w:line="240" w:lineRule="exact"/>
              <w:jc w:val="left"/>
              <w:rPr>
                <w:lang w:val="en-US"/>
              </w:rPr>
            </w:pPr>
            <w:r>
              <w:rPr>
                <w:lang w:val="en-US"/>
              </w:rPr>
              <w:t>Offset from centre BN (% BN)</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80</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80</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50</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w:t>
            </w:r>
          </w:p>
        </w:tc>
      </w:tr>
      <w:tr w:rsidR="00B9359B">
        <w:trPr>
          <w:trHeight w:hRule="exact" w:val="567"/>
        </w:trPr>
        <w:tc>
          <w:tcPr>
            <w:tcW w:w="2457" w:type="dxa"/>
            <w:vAlign w:val="center"/>
          </w:tcPr>
          <w:p w:rsidR="00B9359B" w:rsidRDefault="009A5268">
            <w:pPr>
              <w:pStyle w:val="Tabletext"/>
              <w:framePr w:hSpace="181" w:wrap="notBeside" w:vAnchor="text" w:hAnchor="text" w:xAlign="center" w:y="1"/>
              <w:spacing w:line="240" w:lineRule="exact"/>
              <w:jc w:val="left"/>
              <w:rPr>
                <w:lang w:val="en-US"/>
              </w:rPr>
            </w:pPr>
            <w:r>
              <w:rPr>
                <w:lang w:val="en-US"/>
              </w:rPr>
              <w:t>Offset from centre BN (MHz)</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150</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400</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63</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w:t>
            </w:r>
          </w:p>
        </w:tc>
      </w:tr>
      <w:tr w:rsidR="00B9359B">
        <w:tc>
          <w:tcPr>
            <w:tcW w:w="2457" w:type="dxa"/>
            <w:vAlign w:val="center"/>
          </w:tcPr>
          <w:p w:rsidR="00B9359B" w:rsidRDefault="009A5268">
            <w:pPr>
              <w:pStyle w:val="Tabletext"/>
              <w:framePr w:hSpace="181" w:wrap="notBeside" w:vAnchor="text" w:hAnchor="text" w:xAlign="center" w:y="1"/>
              <w:spacing w:line="240" w:lineRule="exact"/>
              <w:jc w:val="left"/>
              <w:rPr>
                <w:lang w:val="en-US"/>
              </w:rPr>
            </w:pPr>
            <w:r>
              <w:rPr>
                <w:lang w:val="en-US"/>
              </w:rPr>
              <w:t>Required additional guardband (MHz)</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0</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0</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0</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0</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0</w:t>
            </w:r>
          </w:p>
        </w:tc>
        <w:tc>
          <w:tcPr>
            <w:tcW w:w="1197" w:type="dxa"/>
          </w:tcPr>
          <w:p w:rsidR="00B9359B" w:rsidRDefault="009A5268">
            <w:pPr>
              <w:pStyle w:val="Tabletext"/>
              <w:framePr w:hSpace="181" w:wrap="notBeside" w:vAnchor="text" w:hAnchor="text" w:xAlign="center" w:y="1"/>
              <w:spacing w:before="80" w:after="80" w:line="240" w:lineRule="exact"/>
              <w:jc w:val="center"/>
              <w:rPr>
                <w:lang w:val="en-US"/>
              </w:rPr>
            </w:pPr>
            <w:r>
              <w:rPr>
                <w:lang w:val="en-US"/>
              </w:rPr>
              <w:t>0</w:t>
            </w:r>
          </w:p>
        </w:tc>
      </w:tr>
    </w:tbl>
    <w:p w:rsidR="00B9359B" w:rsidRDefault="00B9359B">
      <w:pPr>
        <w:pStyle w:val="Tablefin"/>
      </w:pPr>
    </w:p>
    <w:p w:rsidR="00B9359B" w:rsidRDefault="009A5268">
      <w:pPr>
        <w:pStyle w:val="TableNo"/>
        <w:rPr>
          <w:lang w:val="en-US"/>
        </w:rPr>
      </w:pPr>
      <w:r>
        <w:rPr>
          <w:lang w:val="en-US"/>
        </w:rPr>
        <w:br w:type="page"/>
        <w:t>TABLE  71</w:t>
      </w:r>
    </w:p>
    <w:p w:rsidR="00B9359B" w:rsidRDefault="009A5268">
      <w:pPr>
        <w:pStyle w:val="Tabletitle"/>
        <w:rPr>
          <w:lang w:val="en-US"/>
        </w:rPr>
      </w:pPr>
      <w:r>
        <w:rPr>
          <w:lang w:val="en-US"/>
        </w:rPr>
        <w:t>Summary of necessary guardbands to protect passive sensors from non-GSO FSS</w:t>
      </w:r>
      <w:r>
        <w:rPr>
          <w:lang w:val="en-US"/>
        </w:rPr>
        <w:br/>
        <w:t>earth stations (sensor close to zenith of earth station)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9"/>
        <w:gridCol w:w="1474"/>
        <w:gridCol w:w="1474"/>
        <w:gridCol w:w="1474"/>
      </w:tblGrid>
      <w:tr w:rsidR="00B9359B">
        <w:tc>
          <w:tcPr>
            <w:tcW w:w="4649" w:type="dxa"/>
          </w:tcPr>
          <w:p w:rsidR="00B9359B" w:rsidRDefault="00B9359B">
            <w:pPr>
              <w:pStyle w:val="Tablehead"/>
              <w:framePr w:hSpace="181" w:wrap="notBeside" w:vAnchor="text" w:hAnchor="text" w:xAlign="center" w:y="1"/>
              <w:spacing w:before="120" w:after="120"/>
              <w:rPr>
                <w:lang w:val="en-US"/>
              </w:rPr>
            </w:pPr>
          </w:p>
        </w:tc>
        <w:tc>
          <w:tcPr>
            <w:tcW w:w="1474" w:type="dxa"/>
          </w:tcPr>
          <w:p w:rsidR="00B9359B" w:rsidRDefault="009A5268">
            <w:pPr>
              <w:pStyle w:val="Tablehead"/>
              <w:framePr w:hSpace="181" w:wrap="notBeside" w:vAnchor="text" w:hAnchor="text" w:xAlign="center" w:y="1"/>
              <w:spacing w:before="120" w:after="120"/>
              <w:rPr>
                <w:lang w:val="es-ES"/>
              </w:rPr>
            </w:pPr>
            <w:r>
              <w:rPr>
                <w:lang w:val="es-ES"/>
              </w:rPr>
              <w:t>LEO-A</w:t>
            </w:r>
          </w:p>
        </w:tc>
        <w:tc>
          <w:tcPr>
            <w:tcW w:w="1474" w:type="dxa"/>
          </w:tcPr>
          <w:p w:rsidR="00B9359B" w:rsidRDefault="009A5268">
            <w:pPr>
              <w:pStyle w:val="Tablehead"/>
              <w:framePr w:hSpace="181" w:wrap="notBeside" w:vAnchor="text" w:hAnchor="text" w:xAlign="center" w:y="1"/>
              <w:spacing w:before="120" w:after="120"/>
              <w:rPr>
                <w:lang w:val="es-ES"/>
              </w:rPr>
            </w:pPr>
            <w:r>
              <w:rPr>
                <w:lang w:val="es-ES"/>
              </w:rPr>
              <w:t>LEO-B</w:t>
            </w:r>
          </w:p>
        </w:tc>
        <w:tc>
          <w:tcPr>
            <w:tcW w:w="1474" w:type="dxa"/>
          </w:tcPr>
          <w:p w:rsidR="00B9359B" w:rsidRDefault="009A5268">
            <w:pPr>
              <w:pStyle w:val="Tablehead"/>
              <w:framePr w:hSpace="181" w:wrap="notBeside" w:vAnchor="text" w:hAnchor="text" w:xAlign="center" w:y="1"/>
              <w:spacing w:before="120" w:after="120"/>
              <w:rPr>
                <w:lang w:val="en-US"/>
              </w:rPr>
            </w:pPr>
            <w:r>
              <w:rPr>
                <w:lang w:val="en-US"/>
              </w:rPr>
              <w:t>LEOSAT-1</w:t>
            </w:r>
          </w:p>
        </w:tc>
      </w:tr>
      <w:tr w:rsidR="00B9359B">
        <w:tc>
          <w:tcPr>
            <w:tcW w:w="4649" w:type="dxa"/>
          </w:tcPr>
          <w:p w:rsidR="00B9359B" w:rsidRDefault="009A5268">
            <w:pPr>
              <w:pStyle w:val="Tabletext"/>
              <w:framePr w:hSpace="181" w:wrap="notBeside" w:vAnchor="text" w:hAnchor="text" w:xAlign="center" w:y="1"/>
              <w:spacing w:before="80" w:after="80"/>
              <w:rPr>
                <w:lang w:val="en-US"/>
              </w:rPr>
            </w:pPr>
            <w:r>
              <w:rPr>
                <w:lang w:val="en-US"/>
              </w:rPr>
              <w:t>Minimum required power rejection (dB)</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12.7</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4.5</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12</w:t>
            </w:r>
          </w:p>
        </w:tc>
      </w:tr>
      <w:tr w:rsidR="00B9359B">
        <w:tc>
          <w:tcPr>
            <w:tcW w:w="4649" w:type="dxa"/>
          </w:tcPr>
          <w:p w:rsidR="00B9359B" w:rsidRDefault="009A5268">
            <w:pPr>
              <w:pStyle w:val="Tabletext"/>
              <w:framePr w:hSpace="181" w:wrap="notBeside" w:vAnchor="text" w:hAnchor="text" w:xAlign="center" w:y="1"/>
              <w:spacing w:before="80" w:after="80"/>
              <w:rPr>
                <w:lang w:val="en-US"/>
              </w:rPr>
            </w:pPr>
            <w:r>
              <w:rPr>
                <w:lang w:val="en-US"/>
              </w:rPr>
              <w:t>Necessary bandwidth (MHz)</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4.37</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2.5</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500</w:t>
            </w:r>
          </w:p>
        </w:tc>
      </w:tr>
      <w:tr w:rsidR="00B9359B">
        <w:tc>
          <w:tcPr>
            <w:tcW w:w="4649" w:type="dxa"/>
          </w:tcPr>
          <w:p w:rsidR="00B9359B" w:rsidRDefault="009A5268">
            <w:pPr>
              <w:pStyle w:val="Tabletext"/>
              <w:framePr w:hSpace="181" w:wrap="notBeside" w:vAnchor="text" w:hAnchor="text" w:xAlign="center" w:y="1"/>
              <w:spacing w:before="80" w:after="80"/>
              <w:rPr>
                <w:lang w:val="en-US"/>
              </w:rPr>
            </w:pPr>
            <w:r>
              <w:rPr>
                <w:lang w:val="en-US"/>
              </w:rPr>
              <w:t xml:space="preserve">Passive band (% </w:t>
            </w:r>
            <w:r>
              <w:rPr>
                <w:bCs/>
                <w:i/>
                <w:iCs/>
                <w:lang w:val="en-US"/>
              </w:rPr>
              <w:t>B</w:t>
            </w:r>
            <w:r>
              <w:rPr>
                <w:i/>
                <w:iCs/>
                <w:vertAlign w:val="subscript"/>
                <w:lang w:val="en-US"/>
              </w:rPr>
              <w:t>N</w:t>
            </w:r>
            <w:r>
              <w:rPr>
                <w:lang w:val="en-US"/>
              </w:rPr>
              <w:t>)</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&gt; 1 000</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&gt; 1 000</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40</w:t>
            </w:r>
          </w:p>
        </w:tc>
      </w:tr>
      <w:tr w:rsidR="00B9359B">
        <w:tc>
          <w:tcPr>
            <w:tcW w:w="4649" w:type="dxa"/>
          </w:tcPr>
          <w:p w:rsidR="00B9359B" w:rsidRDefault="009A5268">
            <w:pPr>
              <w:pStyle w:val="Tabletext"/>
              <w:framePr w:hSpace="181" w:wrap="notBeside" w:vAnchor="text" w:hAnchor="text" w:xAlign="center" w:y="1"/>
              <w:spacing w:before="80" w:after="80"/>
              <w:rPr>
                <w:lang w:val="en-US"/>
              </w:rPr>
            </w:pPr>
            <w:r>
              <w:rPr>
                <w:lang w:val="en-US"/>
              </w:rPr>
              <w:t xml:space="preserve">Offset from centre </w:t>
            </w:r>
            <w:r>
              <w:rPr>
                <w:bCs/>
                <w:i/>
                <w:iCs/>
                <w:lang w:val="en-US"/>
              </w:rPr>
              <w:t>B</w:t>
            </w:r>
            <w:r>
              <w:rPr>
                <w:i/>
                <w:iCs/>
                <w:vertAlign w:val="subscript"/>
                <w:lang w:val="en-US"/>
              </w:rPr>
              <w:t>N</w:t>
            </w:r>
            <w:r>
              <w:rPr>
                <w:lang w:val="en-US"/>
              </w:rPr>
              <w:t xml:space="preserve"> (% </w:t>
            </w:r>
            <w:r>
              <w:rPr>
                <w:bCs/>
                <w:i/>
                <w:iCs/>
                <w:lang w:val="en-US"/>
              </w:rPr>
              <w:t>B</w:t>
            </w:r>
            <w:r>
              <w:rPr>
                <w:i/>
                <w:iCs/>
                <w:vertAlign w:val="subscript"/>
                <w:lang w:val="en-US"/>
              </w:rPr>
              <w:t>N</w:t>
            </w:r>
            <w:r>
              <w:rPr>
                <w:lang w:val="en-US"/>
              </w:rPr>
              <w:t>)</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50</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&lt; 50</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50</w:t>
            </w:r>
          </w:p>
        </w:tc>
      </w:tr>
      <w:tr w:rsidR="00B9359B">
        <w:tc>
          <w:tcPr>
            <w:tcW w:w="4649" w:type="dxa"/>
          </w:tcPr>
          <w:p w:rsidR="00B9359B" w:rsidRDefault="009A5268">
            <w:pPr>
              <w:pStyle w:val="Tabletext"/>
              <w:framePr w:hSpace="181" w:wrap="notBeside" w:vAnchor="text" w:hAnchor="text" w:xAlign="center" w:y="1"/>
              <w:spacing w:before="80" w:after="80"/>
              <w:rPr>
                <w:lang w:val="en-US"/>
              </w:rPr>
            </w:pPr>
            <w:r>
              <w:rPr>
                <w:lang w:val="en-US"/>
              </w:rPr>
              <w:t xml:space="preserve">Offset from centre </w:t>
            </w:r>
            <w:r>
              <w:rPr>
                <w:bCs/>
                <w:i/>
                <w:iCs/>
                <w:lang w:val="en-US"/>
              </w:rPr>
              <w:t>B</w:t>
            </w:r>
            <w:r>
              <w:rPr>
                <w:i/>
                <w:iCs/>
                <w:vertAlign w:val="subscript"/>
                <w:lang w:val="en-US"/>
              </w:rPr>
              <w:t>N</w:t>
            </w:r>
            <w:r>
              <w:rPr>
                <w:lang w:val="en-US"/>
              </w:rPr>
              <w:t xml:space="preserve"> (MHz)</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Negligible</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Negligible</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250</w:t>
            </w:r>
          </w:p>
        </w:tc>
      </w:tr>
      <w:tr w:rsidR="00B9359B">
        <w:tc>
          <w:tcPr>
            <w:tcW w:w="4649" w:type="dxa"/>
          </w:tcPr>
          <w:p w:rsidR="00B9359B" w:rsidRDefault="009A5268">
            <w:pPr>
              <w:pStyle w:val="Tabletext"/>
              <w:framePr w:hSpace="181" w:wrap="notBeside" w:vAnchor="text" w:hAnchor="text" w:xAlign="center" w:y="1"/>
              <w:spacing w:before="80" w:after="80"/>
              <w:rPr>
                <w:lang w:val="en-US"/>
              </w:rPr>
            </w:pPr>
            <w:r>
              <w:rPr>
                <w:lang w:val="en-US"/>
              </w:rPr>
              <w:t>Required additional guardband (MHz)</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0</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0</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0</w:t>
            </w:r>
          </w:p>
        </w:tc>
      </w:tr>
      <w:tr w:rsidR="00B9359B">
        <w:tc>
          <w:tcPr>
            <w:tcW w:w="4649" w:type="dxa"/>
          </w:tcPr>
          <w:p w:rsidR="00B9359B" w:rsidRDefault="009A5268">
            <w:pPr>
              <w:pStyle w:val="Tabletext"/>
              <w:framePr w:hSpace="181" w:wrap="notBeside" w:vAnchor="text" w:hAnchor="text" w:xAlign="center" w:y="1"/>
              <w:spacing w:before="80" w:after="80"/>
              <w:rPr>
                <w:lang w:val="en-US"/>
              </w:rPr>
            </w:pPr>
            <w:r>
              <w:rPr>
                <w:lang w:val="en-US"/>
              </w:rPr>
              <w:t>Maximum required power rejection (dB)</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80</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70</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80</w:t>
            </w:r>
          </w:p>
        </w:tc>
      </w:tr>
      <w:tr w:rsidR="00B9359B">
        <w:tc>
          <w:tcPr>
            <w:tcW w:w="4649" w:type="dxa"/>
          </w:tcPr>
          <w:p w:rsidR="00B9359B" w:rsidRDefault="009A5268">
            <w:pPr>
              <w:pStyle w:val="Tabletext"/>
              <w:framePr w:hSpace="181" w:wrap="notBeside" w:vAnchor="text" w:hAnchor="text" w:xAlign="center" w:y="1"/>
              <w:spacing w:before="80" w:after="80"/>
              <w:rPr>
                <w:lang w:val="en-US"/>
              </w:rPr>
            </w:pPr>
            <w:r>
              <w:rPr>
                <w:lang w:val="en-US"/>
              </w:rPr>
              <w:t xml:space="preserve">Offset from centre </w:t>
            </w:r>
            <w:r>
              <w:rPr>
                <w:bCs/>
                <w:i/>
                <w:iCs/>
                <w:lang w:val="en-US"/>
              </w:rPr>
              <w:t>B</w:t>
            </w:r>
            <w:r>
              <w:rPr>
                <w:i/>
                <w:iCs/>
                <w:vertAlign w:val="subscript"/>
                <w:lang w:val="en-US"/>
              </w:rPr>
              <w:t>N</w:t>
            </w:r>
            <w:r>
              <w:rPr>
                <w:lang w:val="en-US"/>
              </w:rPr>
              <w:t xml:space="preserve"> (% </w:t>
            </w:r>
            <w:r>
              <w:rPr>
                <w:bCs/>
                <w:i/>
                <w:iCs/>
                <w:lang w:val="en-US"/>
              </w:rPr>
              <w:t>B</w:t>
            </w:r>
            <w:r>
              <w:rPr>
                <w:i/>
                <w:iCs/>
                <w:vertAlign w:val="subscript"/>
                <w:lang w:val="en-US"/>
              </w:rPr>
              <w:t>N</w:t>
            </w:r>
            <w:r>
              <w:rPr>
                <w:lang w:val="en-US"/>
              </w:rPr>
              <w:t>)</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550</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450</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550</w:t>
            </w:r>
          </w:p>
        </w:tc>
      </w:tr>
      <w:tr w:rsidR="00B9359B">
        <w:tc>
          <w:tcPr>
            <w:tcW w:w="4649" w:type="dxa"/>
          </w:tcPr>
          <w:p w:rsidR="00B9359B" w:rsidRDefault="009A5268">
            <w:pPr>
              <w:pStyle w:val="Tabletext"/>
              <w:framePr w:hSpace="181" w:wrap="notBeside" w:vAnchor="text" w:hAnchor="text" w:xAlign="center" w:y="1"/>
              <w:spacing w:before="80" w:after="80"/>
              <w:rPr>
                <w:lang w:val="en-US"/>
              </w:rPr>
            </w:pPr>
            <w:r>
              <w:rPr>
                <w:lang w:val="en-US"/>
              </w:rPr>
              <w:t xml:space="preserve">Offset from centre </w:t>
            </w:r>
            <w:r>
              <w:rPr>
                <w:bCs/>
                <w:i/>
                <w:iCs/>
                <w:lang w:val="en-US"/>
              </w:rPr>
              <w:t>B</w:t>
            </w:r>
            <w:r>
              <w:rPr>
                <w:i/>
                <w:iCs/>
                <w:vertAlign w:val="subscript"/>
                <w:lang w:val="en-US"/>
              </w:rPr>
              <w:t>N</w:t>
            </w:r>
            <w:r>
              <w:rPr>
                <w:lang w:val="en-US"/>
              </w:rPr>
              <w:t xml:space="preserve"> (MHz)</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24</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6.25</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2 750</w:t>
            </w:r>
          </w:p>
        </w:tc>
      </w:tr>
      <w:tr w:rsidR="00B9359B">
        <w:tc>
          <w:tcPr>
            <w:tcW w:w="4649" w:type="dxa"/>
          </w:tcPr>
          <w:p w:rsidR="00B9359B" w:rsidRDefault="009A5268">
            <w:pPr>
              <w:pStyle w:val="Tabletext"/>
              <w:framePr w:hSpace="181" w:wrap="notBeside" w:vAnchor="text" w:hAnchor="text" w:xAlign="center" w:y="1"/>
              <w:spacing w:before="80" w:after="80"/>
              <w:rPr>
                <w:lang w:val="en-US"/>
              </w:rPr>
            </w:pPr>
            <w:r>
              <w:rPr>
                <w:lang w:val="en-US"/>
              </w:rPr>
              <w:t>Required additional guardband (MHz)</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0</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0</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2 200</w:t>
            </w:r>
          </w:p>
        </w:tc>
      </w:tr>
    </w:tbl>
    <w:p w:rsidR="00B9359B" w:rsidRDefault="00B9359B">
      <w:pPr>
        <w:pStyle w:val="Tablefin"/>
      </w:pPr>
    </w:p>
    <w:p w:rsidR="00B9359B" w:rsidRDefault="009A5268">
      <w:pPr>
        <w:pStyle w:val="enumlev1"/>
        <w:rPr>
          <w:bCs/>
          <w:lang w:val="en-US"/>
        </w:rPr>
      </w:pPr>
      <w:r>
        <w:rPr>
          <w:b/>
          <w:lang w:val="en-US"/>
        </w:rPr>
        <w:t>–</w:t>
      </w:r>
      <w:r>
        <w:rPr>
          <w:b/>
          <w:lang w:val="en-US"/>
        </w:rPr>
        <w:tab/>
      </w:r>
      <w:r>
        <w:rPr>
          <w:bCs/>
          <w:lang w:val="en-US"/>
        </w:rPr>
        <w:t>For all GSO systems considered in this study, the application of a “raised cosine” mask resolves most potential interference problems caused by Earth-to-space links between earth stations and satellites. However, the probability of main-lobe to main-lobe configurations which exists for earth stations located near the equator which would lead to very significant augmentation of the interfering levels indicated in Table 65 (up to about 88 dB), must be investigated further (dynamic analysis);</w:t>
      </w:r>
    </w:p>
    <w:p w:rsidR="00B9359B" w:rsidRDefault="009A5268">
      <w:pPr>
        <w:pStyle w:val="enumlev1"/>
        <w:rPr>
          <w:lang w:val="en-US"/>
        </w:rPr>
      </w:pPr>
      <w:r>
        <w:rPr>
          <w:bCs/>
          <w:lang w:val="en-US"/>
        </w:rPr>
        <w:t>–</w:t>
      </w:r>
      <w:r>
        <w:rPr>
          <w:bCs/>
          <w:lang w:val="en-US"/>
        </w:rPr>
        <w:tab/>
        <w:t>The conclusion is similar with non-GSO networks, except for systems having a wide necessary bandwidth du</w:t>
      </w:r>
      <w:r>
        <w:rPr>
          <w:lang w:val="en-US"/>
        </w:rPr>
        <w:t>e to the higher probability of main-lobe to main-lobe coincidences. The LEOSAT-1 system raises particular concerns because of its wide necessary bandwidth and because of its orbit, close to an EESS orbit. This might result in long duration main</w:t>
      </w:r>
      <w:r>
        <w:rPr>
          <w:lang w:val="en-US"/>
        </w:rPr>
        <w:noBreakHyphen/>
        <w:t>lobe to main-lobe coincidences leading to unacceptable interference events and possibly damages to the sensor’s receivers, even under application of the raised cosine mask. However, in view of the large number of satellites specified in the above system concept, the actual implementation of this network is unlikely within this configuration (840 satellites initially planned).</w:t>
      </w:r>
    </w:p>
    <w:p w:rsidR="00B9359B" w:rsidRDefault="009A5268">
      <w:pPr>
        <w:pStyle w:val="Heading3"/>
        <w:rPr>
          <w:lang w:val="en-US"/>
        </w:rPr>
      </w:pPr>
      <w:bookmarkStart w:id="428" w:name="_Toc51045828"/>
      <w:r>
        <w:rPr>
          <w:lang w:val="en-US"/>
        </w:rPr>
        <w:t>4.5.2</w:t>
      </w:r>
      <w:r>
        <w:rPr>
          <w:lang w:val="en-US"/>
        </w:rPr>
        <w:tab/>
        <w:t>Conically scanned sensors</w:t>
      </w:r>
      <w:bookmarkEnd w:id="428"/>
    </w:p>
    <w:p w:rsidR="00B9359B" w:rsidRDefault="009A5268">
      <w:pPr>
        <w:rPr>
          <w:lang w:val="en-US"/>
        </w:rPr>
      </w:pPr>
      <w:r>
        <w:rPr>
          <w:lang w:val="en-US"/>
        </w:rPr>
        <w:t>On the basis of the results presented in Tables 60 and 61, Tables 72 and 73 present the minimum frequency offset between the centre of the necessary bandwidth and the lower limit of the allocated band, that is required to protect the passive sensor from interference generated by the FSS uplinks. The frequency offsets are computed on the basis of a raised cosine mask.</w:t>
      </w:r>
    </w:p>
    <w:p w:rsidR="00B9359B" w:rsidRDefault="009A5268">
      <w:pPr>
        <w:rPr>
          <w:lang w:val="en-US"/>
        </w:rPr>
      </w:pPr>
      <w:r>
        <w:rPr>
          <w:lang w:val="en-US"/>
        </w:rPr>
        <w:t>Note that the minimum frequency offset is half the necessary bandwidth, i.e. 50%.</w:t>
      </w:r>
    </w:p>
    <w:p w:rsidR="00B9359B" w:rsidRDefault="009A5268">
      <w:pPr>
        <w:rPr>
          <w:lang w:val="en-US"/>
        </w:rPr>
      </w:pPr>
      <w:r>
        <w:rPr>
          <w:lang w:val="en-US"/>
        </w:rPr>
        <w:br w:type="page"/>
        <w:t xml:space="preserve">It should be noted that there is a 300 MHz separation between the FSS/MSS allocation and the EESS (passive) allocation. Therefore, the minimum frequency separation between the centre of the necessary bandwidth, which is the reference in the mask, is </w:t>
      </w:r>
      <w:r>
        <w:rPr>
          <w:i/>
          <w:iCs/>
          <w:lang w:val="en-US"/>
        </w:rPr>
        <w:t>B</w:t>
      </w:r>
      <w:r>
        <w:rPr>
          <w:i/>
          <w:iCs/>
          <w:vertAlign w:val="subscript"/>
          <w:lang w:val="en-US"/>
        </w:rPr>
        <w:t>N</w:t>
      </w:r>
      <w:r>
        <w:rPr>
          <w:lang w:val="en-US"/>
        </w:rPr>
        <w:t>/2 </w:t>
      </w:r>
      <w:r>
        <w:rPr>
          <w:rFonts w:ascii="Symbol" w:hAnsi="Symbol"/>
          <w:lang w:val="en-US"/>
        </w:rPr>
        <w:t></w:t>
      </w:r>
      <w:r>
        <w:rPr>
          <w:lang w:val="en-US"/>
        </w:rPr>
        <w:t> 300 MHz.</w:t>
      </w:r>
    </w:p>
    <w:p w:rsidR="00B9359B" w:rsidRDefault="009A5268">
      <w:pPr>
        <w:shd w:val="pct10" w:color="auto" w:fill="auto"/>
        <w:rPr>
          <w:lang w:val="en-US"/>
        </w:rPr>
      </w:pPr>
      <w:r>
        <w:rPr>
          <w:lang w:val="en-US"/>
        </w:rPr>
        <w:t>Shaded areas in the tables indicate that the margins are positive and no harmful interference is predicted. They are provided as a visual aid to assess the extent of the interference problem.</w:t>
      </w:r>
    </w:p>
    <w:p w:rsidR="00B9359B" w:rsidRDefault="00B9359B">
      <w:pPr>
        <w:rPr>
          <w:lang w:val="en-US"/>
        </w:rPr>
      </w:pPr>
    </w:p>
    <w:p w:rsidR="00B9359B" w:rsidRDefault="009A5268">
      <w:pPr>
        <w:pStyle w:val="TableNo"/>
        <w:rPr>
          <w:lang w:val="en-US"/>
        </w:rPr>
      </w:pPr>
      <w:r>
        <w:rPr>
          <w:lang w:val="en-US"/>
        </w:rPr>
        <w:t>TABLE  72</w:t>
      </w:r>
    </w:p>
    <w:p w:rsidR="00B9359B" w:rsidRDefault="009A5268">
      <w:pPr>
        <w:pStyle w:val="Tabletitle"/>
        <w:rPr>
          <w:lang w:val="en-US"/>
        </w:rPr>
      </w:pPr>
      <w:r>
        <w:rPr>
          <w:lang w:val="en-US"/>
        </w:rPr>
        <w:t>Calculation of the frequency offset required to protect the allocated passive band</w:t>
      </w:r>
      <w:r>
        <w:rPr>
          <w:lang w:val="en-US"/>
        </w:rPr>
        <w:br/>
        <w:t>using the raised cosine mask (GSO systems)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0"/>
        <w:gridCol w:w="15"/>
        <w:gridCol w:w="1044"/>
        <w:gridCol w:w="1087"/>
        <w:gridCol w:w="1022"/>
        <w:gridCol w:w="14"/>
        <w:gridCol w:w="14"/>
        <w:gridCol w:w="1014"/>
        <w:gridCol w:w="35"/>
        <w:gridCol w:w="948"/>
        <w:gridCol w:w="980"/>
        <w:gridCol w:w="1116"/>
      </w:tblGrid>
      <w:tr w:rsidR="00B9359B">
        <w:tc>
          <w:tcPr>
            <w:tcW w:w="2350" w:type="dxa"/>
            <w:tcBorders>
              <w:bottom w:val="single" w:sz="4" w:space="0" w:color="auto"/>
            </w:tcBorders>
            <w:vAlign w:val="center"/>
          </w:tcPr>
          <w:p w:rsidR="00B9359B" w:rsidRDefault="009A5268">
            <w:pPr>
              <w:pStyle w:val="Tablehead"/>
              <w:framePr w:hSpace="181" w:wrap="notBeside" w:vAnchor="text" w:hAnchor="text" w:xAlign="center" w:y="1"/>
              <w:ind w:left="-57" w:right="-57"/>
              <w:jc w:val="left"/>
              <w:rPr>
                <w:sz w:val="20"/>
                <w:lang w:val="en-US"/>
              </w:rPr>
            </w:pPr>
            <w:r>
              <w:rPr>
                <w:sz w:val="20"/>
                <w:lang w:val="en-US"/>
              </w:rPr>
              <w:t>System</w:t>
            </w:r>
          </w:p>
        </w:tc>
        <w:tc>
          <w:tcPr>
            <w:tcW w:w="1059" w:type="dxa"/>
            <w:gridSpan w:val="2"/>
            <w:tcBorders>
              <w:bottom w:val="single" w:sz="4" w:space="0" w:color="auto"/>
            </w:tcBorders>
            <w:vAlign w:val="center"/>
          </w:tcPr>
          <w:p w:rsidR="00B9359B" w:rsidRDefault="009A5268">
            <w:pPr>
              <w:pStyle w:val="Tablehead"/>
              <w:framePr w:hSpace="181" w:wrap="notBeside" w:vAnchor="text" w:hAnchor="text" w:xAlign="center" w:y="1"/>
              <w:ind w:left="-57" w:right="-57"/>
              <w:rPr>
                <w:sz w:val="20"/>
                <w:lang w:val="en-US"/>
              </w:rPr>
            </w:pPr>
            <w:r>
              <w:rPr>
                <w:sz w:val="20"/>
                <w:lang w:val="en-US"/>
              </w:rPr>
              <w:t>GSO-Ka-1</w:t>
            </w:r>
          </w:p>
        </w:tc>
        <w:tc>
          <w:tcPr>
            <w:tcW w:w="1087" w:type="dxa"/>
            <w:tcBorders>
              <w:bottom w:val="single" w:sz="4" w:space="0" w:color="auto"/>
            </w:tcBorders>
            <w:vAlign w:val="center"/>
          </w:tcPr>
          <w:p w:rsidR="00B9359B" w:rsidRDefault="009A5268">
            <w:pPr>
              <w:pStyle w:val="Tablehead"/>
              <w:framePr w:hSpace="181" w:wrap="notBeside" w:vAnchor="text" w:hAnchor="text" w:xAlign="center" w:y="1"/>
              <w:ind w:left="-57" w:right="-57"/>
              <w:rPr>
                <w:sz w:val="20"/>
                <w:lang w:val="en-US"/>
              </w:rPr>
            </w:pPr>
            <w:r>
              <w:rPr>
                <w:sz w:val="20"/>
                <w:lang w:val="en-US"/>
              </w:rPr>
              <w:t>GSO residential terminal</w:t>
            </w:r>
          </w:p>
        </w:tc>
        <w:tc>
          <w:tcPr>
            <w:tcW w:w="1022" w:type="dxa"/>
            <w:tcBorders>
              <w:bottom w:val="single" w:sz="4" w:space="0" w:color="auto"/>
            </w:tcBorders>
            <w:vAlign w:val="center"/>
          </w:tcPr>
          <w:p w:rsidR="00B9359B" w:rsidRDefault="009A5268">
            <w:pPr>
              <w:pStyle w:val="Tablehead"/>
              <w:framePr w:hSpace="181" w:wrap="notBeside" w:vAnchor="text" w:hAnchor="text" w:xAlign="center" w:y="1"/>
              <w:ind w:left="-57" w:right="-57"/>
              <w:rPr>
                <w:sz w:val="20"/>
                <w:lang w:val="en-US"/>
              </w:rPr>
            </w:pPr>
            <w:r>
              <w:rPr>
                <w:sz w:val="20"/>
                <w:lang w:val="en-US"/>
              </w:rPr>
              <w:t>GSO-20</w:t>
            </w:r>
          </w:p>
        </w:tc>
        <w:tc>
          <w:tcPr>
            <w:tcW w:w="1042" w:type="dxa"/>
            <w:gridSpan w:val="3"/>
            <w:tcBorders>
              <w:bottom w:val="single" w:sz="4" w:space="0" w:color="auto"/>
            </w:tcBorders>
            <w:vAlign w:val="center"/>
          </w:tcPr>
          <w:p w:rsidR="00B9359B" w:rsidRDefault="009A5268">
            <w:pPr>
              <w:pStyle w:val="Tablehead"/>
              <w:framePr w:hSpace="181" w:wrap="notBeside" w:vAnchor="text" w:hAnchor="text" w:xAlign="center" w:y="1"/>
              <w:ind w:left="-57" w:right="-57"/>
              <w:rPr>
                <w:sz w:val="20"/>
                <w:lang w:val="en-US"/>
              </w:rPr>
            </w:pPr>
            <w:r>
              <w:rPr>
                <w:sz w:val="20"/>
                <w:lang w:val="en-US"/>
              </w:rPr>
              <w:t>GSO-F</w:t>
            </w:r>
          </w:p>
        </w:tc>
        <w:tc>
          <w:tcPr>
            <w:tcW w:w="983" w:type="dxa"/>
            <w:gridSpan w:val="2"/>
            <w:tcBorders>
              <w:bottom w:val="single" w:sz="4" w:space="0" w:color="auto"/>
            </w:tcBorders>
            <w:vAlign w:val="center"/>
          </w:tcPr>
          <w:p w:rsidR="00B9359B" w:rsidRDefault="009A5268">
            <w:pPr>
              <w:pStyle w:val="Tablehead"/>
              <w:framePr w:hSpace="181" w:wrap="notBeside" w:vAnchor="text" w:hAnchor="text" w:xAlign="center" w:y="1"/>
              <w:ind w:left="-57" w:right="-57"/>
              <w:rPr>
                <w:sz w:val="20"/>
                <w:lang w:val="en-US"/>
              </w:rPr>
            </w:pPr>
            <w:r>
              <w:rPr>
                <w:sz w:val="20"/>
                <w:lang w:val="en-US"/>
              </w:rPr>
              <w:t>GSO-G</w:t>
            </w:r>
          </w:p>
        </w:tc>
        <w:tc>
          <w:tcPr>
            <w:tcW w:w="980" w:type="dxa"/>
            <w:tcBorders>
              <w:bottom w:val="single" w:sz="4" w:space="0" w:color="auto"/>
            </w:tcBorders>
            <w:vAlign w:val="center"/>
          </w:tcPr>
          <w:p w:rsidR="00B9359B" w:rsidRDefault="009A5268">
            <w:pPr>
              <w:pStyle w:val="Tablehead"/>
              <w:framePr w:hSpace="181" w:wrap="notBeside" w:vAnchor="text" w:hAnchor="text" w:xAlign="center" w:y="1"/>
              <w:ind w:left="-57" w:right="-57"/>
              <w:rPr>
                <w:sz w:val="20"/>
                <w:lang w:val="en-US"/>
              </w:rPr>
            </w:pPr>
            <w:r>
              <w:rPr>
                <w:sz w:val="20"/>
                <w:lang w:val="en-US"/>
              </w:rPr>
              <w:t>GSO-H</w:t>
            </w:r>
          </w:p>
        </w:tc>
        <w:tc>
          <w:tcPr>
            <w:tcW w:w="1116" w:type="dxa"/>
            <w:tcBorders>
              <w:bottom w:val="single" w:sz="4" w:space="0" w:color="auto"/>
            </w:tcBorders>
            <w:vAlign w:val="center"/>
          </w:tcPr>
          <w:p w:rsidR="00B9359B" w:rsidRDefault="009A5268">
            <w:pPr>
              <w:pStyle w:val="Tablehead"/>
              <w:framePr w:hSpace="181" w:wrap="notBeside" w:vAnchor="text" w:hAnchor="text" w:xAlign="center" w:y="1"/>
              <w:ind w:left="-57" w:right="-57"/>
              <w:rPr>
                <w:sz w:val="20"/>
                <w:lang w:val="en-US"/>
              </w:rPr>
            </w:pPr>
            <w:r>
              <w:rPr>
                <w:sz w:val="20"/>
                <w:lang w:val="en-US"/>
              </w:rPr>
              <w:t>GSO-13</w:t>
            </w:r>
          </w:p>
        </w:tc>
      </w:tr>
      <w:tr w:rsidR="00B9359B">
        <w:trPr>
          <w:cantSplit/>
        </w:trPr>
        <w:tc>
          <w:tcPr>
            <w:tcW w:w="2350" w:type="dxa"/>
            <w:tcBorders>
              <w:bottom w:val="single" w:sz="4" w:space="0" w:color="auto"/>
            </w:tcBorders>
            <w:shd w:val="clear" w:color="auto" w:fill="FFFFFF"/>
          </w:tcPr>
          <w:p w:rsidR="00B9359B" w:rsidRDefault="009A5268">
            <w:pPr>
              <w:pStyle w:val="Tabletext"/>
              <w:framePr w:hSpace="181" w:wrap="notBeside" w:vAnchor="text" w:hAnchor="text" w:xAlign="center" w:y="1"/>
              <w:jc w:val="left"/>
              <w:rPr>
                <w:sz w:val="20"/>
                <w:lang w:val="en-US"/>
              </w:rPr>
            </w:pPr>
            <w:r>
              <w:rPr>
                <w:bCs/>
                <w:sz w:val="20"/>
                <w:lang w:val="en-US"/>
              </w:rPr>
              <w:t>Necessary bandwidth (MHz)</w:t>
            </w:r>
          </w:p>
        </w:tc>
        <w:tc>
          <w:tcPr>
            <w:tcW w:w="1059" w:type="dxa"/>
            <w:gridSpan w:val="2"/>
            <w:tcBorders>
              <w:bottom w:val="single" w:sz="4" w:space="0" w:color="auto"/>
            </w:tcBorders>
            <w:shd w:val="clear" w:color="auto" w:fill="FFFFFF"/>
          </w:tcPr>
          <w:p w:rsidR="00B9359B" w:rsidRDefault="009A5268">
            <w:pPr>
              <w:pStyle w:val="Tabletext"/>
              <w:framePr w:hSpace="181" w:wrap="notBeside" w:vAnchor="text" w:hAnchor="text" w:xAlign="center" w:y="1"/>
              <w:jc w:val="center"/>
              <w:rPr>
                <w:sz w:val="20"/>
                <w:lang w:val="en-US"/>
              </w:rPr>
            </w:pPr>
            <w:r>
              <w:rPr>
                <w:sz w:val="20"/>
                <w:lang w:val="en-US"/>
              </w:rPr>
              <w:t>186.6</w:t>
            </w:r>
          </w:p>
        </w:tc>
        <w:tc>
          <w:tcPr>
            <w:tcW w:w="1087" w:type="dxa"/>
            <w:tcBorders>
              <w:bottom w:val="single" w:sz="4" w:space="0" w:color="auto"/>
            </w:tcBorders>
            <w:shd w:val="clear" w:color="auto" w:fill="FFFFFF"/>
          </w:tcPr>
          <w:p w:rsidR="00B9359B" w:rsidRDefault="009A5268">
            <w:pPr>
              <w:pStyle w:val="Tabletext"/>
              <w:framePr w:hSpace="181" w:wrap="notBeside" w:vAnchor="text" w:hAnchor="text" w:xAlign="center" w:y="1"/>
              <w:jc w:val="center"/>
              <w:rPr>
                <w:sz w:val="20"/>
                <w:lang w:val="en-US"/>
              </w:rPr>
            </w:pPr>
            <w:r>
              <w:rPr>
                <w:sz w:val="20"/>
                <w:lang w:val="en-US"/>
              </w:rPr>
              <w:t>3</w:t>
            </w:r>
          </w:p>
        </w:tc>
        <w:tc>
          <w:tcPr>
            <w:tcW w:w="1022" w:type="dxa"/>
            <w:tcBorders>
              <w:bottom w:val="single" w:sz="4" w:space="0" w:color="auto"/>
            </w:tcBorders>
            <w:shd w:val="clear" w:color="auto" w:fill="FFFFFF"/>
          </w:tcPr>
          <w:p w:rsidR="00B9359B" w:rsidRDefault="009A5268">
            <w:pPr>
              <w:pStyle w:val="Tabletext"/>
              <w:framePr w:hSpace="181" w:wrap="notBeside" w:vAnchor="text" w:hAnchor="text" w:xAlign="center" w:y="1"/>
              <w:jc w:val="center"/>
              <w:rPr>
                <w:sz w:val="20"/>
                <w:lang w:val="en-US"/>
              </w:rPr>
            </w:pPr>
            <w:r>
              <w:rPr>
                <w:sz w:val="20"/>
                <w:lang w:val="en-US"/>
              </w:rPr>
              <w:t>500</w:t>
            </w:r>
          </w:p>
        </w:tc>
        <w:tc>
          <w:tcPr>
            <w:tcW w:w="1042" w:type="dxa"/>
            <w:gridSpan w:val="3"/>
            <w:tcBorders>
              <w:bottom w:val="single" w:sz="4" w:space="0" w:color="auto"/>
            </w:tcBorders>
            <w:shd w:val="clear" w:color="auto" w:fill="FFFFFF"/>
          </w:tcPr>
          <w:p w:rsidR="00B9359B" w:rsidRDefault="009A5268">
            <w:pPr>
              <w:pStyle w:val="Tabletext"/>
              <w:framePr w:hSpace="181" w:wrap="notBeside" w:vAnchor="text" w:hAnchor="text" w:xAlign="center" w:y="1"/>
              <w:jc w:val="center"/>
              <w:rPr>
                <w:sz w:val="20"/>
                <w:lang w:val="en-US"/>
              </w:rPr>
            </w:pPr>
            <w:r>
              <w:rPr>
                <w:sz w:val="20"/>
                <w:lang w:val="en-US"/>
              </w:rPr>
              <w:t>125</w:t>
            </w:r>
          </w:p>
        </w:tc>
        <w:tc>
          <w:tcPr>
            <w:tcW w:w="983" w:type="dxa"/>
            <w:gridSpan w:val="2"/>
            <w:tcBorders>
              <w:bottom w:val="single" w:sz="4" w:space="0" w:color="auto"/>
            </w:tcBorders>
            <w:shd w:val="clear" w:color="auto" w:fill="FFFFFF"/>
          </w:tcPr>
          <w:p w:rsidR="00B9359B" w:rsidRDefault="009A5268">
            <w:pPr>
              <w:pStyle w:val="Tabletext"/>
              <w:framePr w:hSpace="181" w:wrap="notBeside" w:vAnchor="text" w:hAnchor="text" w:xAlign="center" w:y="1"/>
              <w:jc w:val="center"/>
              <w:rPr>
                <w:sz w:val="20"/>
                <w:lang w:val="en-US"/>
              </w:rPr>
            </w:pPr>
            <w:r>
              <w:rPr>
                <w:sz w:val="20"/>
                <w:lang w:val="en-US"/>
              </w:rPr>
              <w:t>0.0768</w:t>
            </w:r>
          </w:p>
        </w:tc>
        <w:tc>
          <w:tcPr>
            <w:tcW w:w="980" w:type="dxa"/>
            <w:tcBorders>
              <w:bottom w:val="single" w:sz="4" w:space="0" w:color="auto"/>
            </w:tcBorders>
            <w:shd w:val="clear" w:color="auto" w:fill="FFFFFF"/>
          </w:tcPr>
          <w:p w:rsidR="00B9359B" w:rsidRDefault="009A5268">
            <w:pPr>
              <w:pStyle w:val="Tabletext"/>
              <w:framePr w:hSpace="181" w:wrap="notBeside" w:vAnchor="text" w:hAnchor="text" w:xAlign="center" w:y="1"/>
              <w:jc w:val="center"/>
              <w:rPr>
                <w:sz w:val="20"/>
                <w:lang w:val="en-US"/>
              </w:rPr>
            </w:pPr>
            <w:r>
              <w:rPr>
                <w:sz w:val="20"/>
                <w:lang w:val="en-US"/>
              </w:rPr>
              <w:t>0.0768</w:t>
            </w:r>
          </w:p>
        </w:tc>
        <w:tc>
          <w:tcPr>
            <w:tcW w:w="1116" w:type="dxa"/>
            <w:tcBorders>
              <w:bottom w:val="single" w:sz="4" w:space="0" w:color="auto"/>
            </w:tcBorders>
            <w:shd w:val="clear" w:color="auto" w:fill="FFFFFF"/>
          </w:tcPr>
          <w:p w:rsidR="00B9359B" w:rsidRDefault="009A5268">
            <w:pPr>
              <w:pStyle w:val="Tabletext"/>
              <w:framePr w:hSpace="181" w:wrap="notBeside" w:vAnchor="text" w:hAnchor="text" w:xAlign="center" w:y="1"/>
              <w:jc w:val="center"/>
              <w:rPr>
                <w:sz w:val="20"/>
                <w:lang w:val="en-US"/>
              </w:rPr>
            </w:pPr>
            <w:r>
              <w:rPr>
                <w:sz w:val="20"/>
                <w:lang w:val="en-US"/>
              </w:rPr>
              <w:t>0.340</w:t>
            </w:r>
          </w:p>
        </w:tc>
      </w:tr>
      <w:tr w:rsidR="00B9359B">
        <w:trPr>
          <w:cantSplit/>
        </w:trPr>
        <w:tc>
          <w:tcPr>
            <w:tcW w:w="9639" w:type="dxa"/>
            <w:gridSpan w:val="12"/>
            <w:shd w:val="clear" w:color="auto" w:fill="FFFFFF"/>
          </w:tcPr>
          <w:p w:rsidR="00B9359B" w:rsidRDefault="009A5268">
            <w:pPr>
              <w:pStyle w:val="Tabletext"/>
              <w:framePr w:hSpace="181" w:wrap="notBeside" w:vAnchor="text" w:hAnchor="text" w:xAlign="center" w:y="1"/>
              <w:spacing w:before="80" w:after="80"/>
              <w:rPr>
                <w:b/>
                <w:i/>
                <w:iCs/>
                <w:sz w:val="20"/>
                <w:lang w:val="en-US"/>
              </w:rPr>
            </w:pPr>
            <w:r>
              <w:rPr>
                <w:i/>
                <w:iCs/>
                <w:sz w:val="20"/>
                <w:lang w:val="en-US"/>
              </w:rPr>
              <w:t>Case 1 – Transmitter mainbeam</w:t>
            </w:r>
          </w:p>
        </w:tc>
      </w:tr>
      <w:tr w:rsidR="00B9359B">
        <w:tc>
          <w:tcPr>
            <w:tcW w:w="2365" w:type="dxa"/>
            <w:gridSpan w:val="2"/>
          </w:tcPr>
          <w:p w:rsidR="00B9359B" w:rsidRDefault="009A5268">
            <w:pPr>
              <w:pStyle w:val="Tabletext"/>
              <w:framePr w:hSpace="181" w:wrap="notBeside" w:vAnchor="text" w:hAnchor="text" w:xAlign="center" w:y="1"/>
              <w:ind w:right="-57"/>
              <w:jc w:val="left"/>
              <w:rPr>
                <w:sz w:val="20"/>
                <w:lang w:val="en-US"/>
              </w:rPr>
            </w:pPr>
            <w:r>
              <w:rPr>
                <w:sz w:val="20"/>
                <w:lang w:val="en-US"/>
              </w:rPr>
              <w:t>Conical scan mainbeam (dB)</w:t>
            </w:r>
          </w:p>
        </w:tc>
        <w:tc>
          <w:tcPr>
            <w:tcW w:w="1044" w:type="dxa"/>
          </w:tcPr>
          <w:p w:rsidR="00B9359B" w:rsidRDefault="009A5268">
            <w:pPr>
              <w:pStyle w:val="Tabletext"/>
              <w:framePr w:hSpace="181" w:wrap="notBeside" w:vAnchor="text" w:hAnchor="text" w:xAlign="center" w:y="1"/>
              <w:jc w:val="center"/>
              <w:rPr>
                <w:sz w:val="20"/>
                <w:lang w:val="en-US"/>
              </w:rPr>
            </w:pPr>
            <w:r>
              <w:rPr>
                <w:sz w:val="20"/>
                <w:lang w:val="en-US"/>
              </w:rPr>
              <w:t>–92.3</w:t>
            </w:r>
          </w:p>
        </w:tc>
        <w:tc>
          <w:tcPr>
            <w:tcW w:w="1087" w:type="dxa"/>
          </w:tcPr>
          <w:p w:rsidR="00B9359B" w:rsidRDefault="009A5268">
            <w:pPr>
              <w:pStyle w:val="Tabletext"/>
              <w:framePr w:hSpace="181" w:wrap="notBeside" w:vAnchor="text" w:hAnchor="text" w:xAlign="center" w:y="1"/>
              <w:jc w:val="center"/>
              <w:rPr>
                <w:sz w:val="20"/>
                <w:lang w:val="en-US"/>
              </w:rPr>
            </w:pPr>
            <w:r>
              <w:rPr>
                <w:sz w:val="20"/>
                <w:lang w:val="en-US"/>
              </w:rPr>
              <w:t>–66.8</w:t>
            </w:r>
          </w:p>
        </w:tc>
        <w:tc>
          <w:tcPr>
            <w:tcW w:w="1050" w:type="dxa"/>
            <w:gridSpan w:val="3"/>
          </w:tcPr>
          <w:p w:rsidR="00B9359B" w:rsidRDefault="009A5268">
            <w:pPr>
              <w:pStyle w:val="Tabletext"/>
              <w:framePr w:hSpace="181" w:wrap="notBeside" w:vAnchor="text" w:hAnchor="text" w:xAlign="center" w:y="1"/>
              <w:jc w:val="center"/>
              <w:rPr>
                <w:sz w:val="20"/>
                <w:lang w:val="en-US"/>
              </w:rPr>
            </w:pPr>
            <w:r>
              <w:rPr>
                <w:sz w:val="20"/>
                <w:lang w:val="en-US"/>
              </w:rPr>
              <w:t>–73.3</w:t>
            </w:r>
          </w:p>
        </w:tc>
        <w:tc>
          <w:tcPr>
            <w:tcW w:w="1049" w:type="dxa"/>
            <w:gridSpan w:val="2"/>
          </w:tcPr>
          <w:p w:rsidR="00B9359B" w:rsidRDefault="009A5268">
            <w:pPr>
              <w:pStyle w:val="Tabletext"/>
              <w:framePr w:hSpace="181" w:wrap="notBeside" w:vAnchor="text" w:hAnchor="text" w:xAlign="center" w:y="1"/>
              <w:jc w:val="center"/>
              <w:rPr>
                <w:sz w:val="20"/>
                <w:lang w:val="en-US"/>
              </w:rPr>
            </w:pPr>
            <w:r>
              <w:rPr>
                <w:sz w:val="20"/>
                <w:lang w:val="en-US"/>
              </w:rPr>
              <w:t>–70.5</w:t>
            </w:r>
          </w:p>
        </w:tc>
        <w:tc>
          <w:tcPr>
            <w:tcW w:w="948" w:type="dxa"/>
          </w:tcPr>
          <w:p w:rsidR="00B9359B" w:rsidRDefault="009A5268">
            <w:pPr>
              <w:pStyle w:val="Tabletext"/>
              <w:framePr w:hSpace="181" w:wrap="notBeside" w:vAnchor="text" w:hAnchor="text" w:xAlign="center" w:y="1"/>
              <w:jc w:val="center"/>
              <w:rPr>
                <w:sz w:val="20"/>
                <w:lang w:val="en-US"/>
              </w:rPr>
            </w:pPr>
            <w:r>
              <w:rPr>
                <w:sz w:val="20"/>
                <w:lang w:val="en-US"/>
              </w:rPr>
              <w:t>–85.8</w:t>
            </w:r>
          </w:p>
        </w:tc>
        <w:tc>
          <w:tcPr>
            <w:tcW w:w="980" w:type="dxa"/>
          </w:tcPr>
          <w:p w:rsidR="00B9359B" w:rsidRDefault="009A5268">
            <w:pPr>
              <w:pStyle w:val="Tabletext"/>
              <w:framePr w:hSpace="181" w:wrap="notBeside" w:vAnchor="text" w:hAnchor="text" w:xAlign="center" w:y="1"/>
              <w:jc w:val="center"/>
              <w:rPr>
                <w:sz w:val="20"/>
                <w:lang w:val="en-US"/>
              </w:rPr>
            </w:pPr>
            <w:r>
              <w:rPr>
                <w:sz w:val="20"/>
                <w:lang w:val="en-US"/>
              </w:rPr>
              <w:t>–79.8</w:t>
            </w:r>
          </w:p>
        </w:tc>
        <w:tc>
          <w:tcPr>
            <w:tcW w:w="1116" w:type="dxa"/>
          </w:tcPr>
          <w:p w:rsidR="00B9359B" w:rsidRDefault="009A5268">
            <w:pPr>
              <w:pStyle w:val="Tabletext"/>
              <w:framePr w:hSpace="181" w:wrap="notBeside" w:vAnchor="text" w:hAnchor="text" w:xAlign="center" w:y="1"/>
              <w:jc w:val="center"/>
              <w:rPr>
                <w:sz w:val="20"/>
                <w:lang w:val="en-US"/>
              </w:rPr>
            </w:pPr>
            <w:r>
              <w:rPr>
                <w:sz w:val="20"/>
                <w:lang w:val="en-US"/>
              </w:rPr>
              <w:t>–62.6</w:t>
            </w:r>
          </w:p>
        </w:tc>
      </w:tr>
      <w:tr w:rsidR="00B9359B">
        <w:tc>
          <w:tcPr>
            <w:tcW w:w="2365" w:type="dxa"/>
            <w:gridSpan w:val="2"/>
          </w:tcPr>
          <w:p w:rsidR="00B9359B" w:rsidRDefault="009A5268">
            <w:pPr>
              <w:pStyle w:val="Tabletext"/>
              <w:framePr w:hSpace="181" w:wrap="notBeside" w:vAnchor="text" w:hAnchor="text" w:xAlign="center" w:y="1"/>
              <w:ind w:right="-57"/>
              <w:jc w:val="left"/>
              <w:rPr>
                <w:sz w:val="20"/>
                <w:lang w:val="en-US"/>
              </w:rPr>
            </w:pPr>
            <w:r>
              <w:rPr>
                <w:sz w:val="20"/>
                <w:lang w:val="en-US"/>
              </w:rPr>
              <w:t xml:space="preserve">Offset from centre </w:t>
            </w:r>
            <w:r>
              <w:rPr>
                <w:i/>
                <w:iCs/>
                <w:sz w:val="20"/>
                <w:lang w:val="en-US"/>
              </w:rPr>
              <w:t>B</w:t>
            </w:r>
            <w:r>
              <w:rPr>
                <w:i/>
                <w:iCs/>
                <w:sz w:val="20"/>
                <w:vertAlign w:val="subscript"/>
                <w:lang w:val="en-US"/>
              </w:rPr>
              <w:t>N</w:t>
            </w:r>
            <w:r>
              <w:rPr>
                <w:sz w:val="20"/>
                <w:lang w:val="en-US"/>
              </w:rPr>
              <w:t xml:space="preserve"> (%)</w:t>
            </w:r>
          </w:p>
        </w:tc>
        <w:tc>
          <w:tcPr>
            <w:tcW w:w="1044" w:type="dxa"/>
          </w:tcPr>
          <w:p w:rsidR="00B9359B" w:rsidRDefault="009A5268">
            <w:pPr>
              <w:pStyle w:val="Tabletext"/>
              <w:framePr w:hSpace="181" w:wrap="notBeside" w:vAnchor="text" w:hAnchor="text" w:xAlign="center" w:y="1"/>
              <w:jc w:val="center"/>
              <w:rPr>
                <w:sz w:val="20"/>
                <w:lang w:val="en-US"/>
              </w:rPr>
            </w:pPr>
            <w:r>
              <w:rPr>
                <w:rFonts w:ascii="Symbol" w:hAnsi="Symbol"/>
                <w:sz w:val="20"/>
              </w:rPr>
              <w:t></w:t>
            </w:r>
            <w:r>
              <w:rPr>
                <w:rFonts w:ascii="Tms Rmn" w:hAnsi="Tms Rmn"/>
                <w:sz w:val="12"/>
                <w:lang w:val="en-US"/>
              </w:rPr>
              <w:t> </w:t>
            </w:r>
            <w:r>
              <w:rPr>
                <w:sz w:val="20"/>
                <w:lang w:val="en-US"/>
              </w:rPr>
              <w:t>1 000</w:t>
            </w:r>
          </w:p>
        </w:tc>
        <w:tc>
          <w:tcPr>
            <w:tcW w:w="1087" w:type="dxa"/>
          </w:tcPr>
          <w:p w:rsidR="00B9359B" w:rsidRDefault="009A5268">
            <w:pPr>
              <w:pStyle w:val="Tabletext"/>
              <w:framePr w:hSpace="181" w:wrap="notBeside" w:vAnchor="text" w:hAnchor="text" w:xAlign="center" w:y="1"/>
              <w:jc w:val="center"/>
              <w:rPr>
                <w:sz w:val="20"/>
                <w:lang w:val="en-US"/>
              </w:rPr>
            </w:pPr>
            <w:r>
              <w:rPr>
                <w:sz w:val="20"/>
                <w:lang w:val="en-US"/>
              </w:rPr>
              <w:t>394</w:t>
            </w:r>
          </w:p>
        </w:tc>
        <w:tc>
          <w:tcPr>
            <w:tcW w:w="1050" w:type="dxa"/>
            <w:gridSpan w:val="3"/>
          </w:tcPr>
          <w:p w:rsidR="00B9359B" w:rsidRDefault="009A5268">
            <w:pPr>
              <w:pStyle w:val="Tabletext"/>
              <w:framePr w:hSpace="181" w:wrap="notBeside" w:vAnchor="text" w:hAnchor="text" w:xAlign="center" w:y="1"/>
              <w:jc w:val="center"/>
              <w:rPr>
                <w:sz w:val="20"/>
                <w:lang w:val="en-US"/>
              </w:rPr>
            </w:pPr>
            <w:r>
              <w:rPr>
                <w:sz w:val="20"/>
                <w:lang w:val="en-US"/>
              </w:rPr>
              <w:t>533</w:t>
            </w:r>
          </w:p>
        </w:tc>
        <w:tc>
          <w:tcPr>
            <w:tcW w:w="1049" w:type="dxa"/>
            <w:gridSpan w:val="2"/>
          </w:tcPr>
          <w:p w:rsidR="00B9359B" w:rsidRDefault="009A5268">
            <w:pPr>
              <w:pStyle w:val="Tabletext"/>
              <w:framePr w:hSpace="181" w:wrap="notBeside" w:vAnchor="text" w:hAnchor="text" w:xAlign="center" w:y="1"/>
              <w:jc w:val="center"/>
              <w:rPr>
                <w:sz w:val="20"/>
                <w:lang w:val="en-US"/>
              </w:rPr>
            </w:pPr>
            <w:r>
              <w:rPr>
                <w:sz w:val="20"/>
                <w:lang w:val="en-US"/>
              </w:rPr>
              <w:t>475</w:t>
            </w:r>
          </w:p>
        </w:tc>
        <w:tc>
          <w:tcPr>
            <w:tcW w:w="948" w:type="dxa"/>
          </w:tcPr>
          <w:p w:rsidR="00B9359B" w:rsidRDefault="009A5268">
            <w:pPr>
              <w:pStyle w:val="Tabletext"/>
              <w:framePr w:hSpace="181" w:wrap="notBeside" w:vAnchor="text" w:hAnchor="text" w:xAlign="center" w:y="1"/>
              <w:jc w:val="center"/>
              <w:rPr>
                <w:sz w:val="20"/>
                <w:lang w:val="en-US"/>
              </w:rPr>
            </w:pPr>
            <w:r>
              <w:rPr>
                <w:sz w:val="20"/>
                <w:lang w:val="en-US"/>
              </w:rPr>
              <w:t>957</w:t>
            </w:r>
          </w:p>
        </w:tc>
        <w:tc>
          <w:tcPr>
            <w:tcW w:w="980" w:type="dxa"/>
          </w:tcPr>
          <w:p w:rsidR="00B9359B" w:rsidRDefault="009A5268">
            <w:pPr>
              <w:pStyle w:val="Tabletext"/>
              <w:framePr w:hSpace="181" w:wrap="notBeside" w:vAnchor="text" w:hAnchor="text" w:xAlign="center" w:y="1"/>
              <w:jc w:val="center"/>
              <w:rPr>
                <w:sz w:val="20"/>
                <w:lang w:val="en-US"/>
              </w:rPr>
            </w:pPr>
            <w:r>
              <w:rPr>
                <w:sz w:val="20"/>
                <w:lang w:val="en-US"/>
              </w:rPr>
              <w:t>725</w:t>
            </w:r>
          </w:p>
        </w:tc>
        <w:tc>
          <w:tcPr>
            <w:tcW w:w="1116" w:type="dxa"/>
          </w:tcPr>
          <w:p w:rsidR="00B9359B" w:rsidRDefault="009A5268">
            <w:pPr>
              <w:pStyle w:val="Tabletext"/>
              <w:framePr w:hSpace="181" w:wrap="notBeside" w:vAnchor="text" w:hAnchor="text" w:xAlign="center" w:y="1"/>
              <w:jc w:val="center"/>
              <w:rPr>
                <w:sz w:val="20"/>
                <w:lang w:val="en-US"/>
              </w:rPr>
            </w:pPr>
            <w:r>
              <w:rPr>
                <w:sz w:val="20"/>
                <w:lang w:val="en-US"/>
              </w:rPr>
              <w:t>329</w:t>
            </w:r>
          </w:p>
        </w:tc>
      </w:tr>
      <w:tr w:rsidR="00B9359B">
        <w:tc>
          <w:tcPr>
            <w:tcW w:w="2365" w:type="dxa"/>
            <w:gridSpan w:val="2"/>
          </w:tcPr>
          <w:p w:rsidR="00B9359B" w:rsidRDefault="009A5268">
            <w:pPr>
              <w:pStyle w:val="Tabletext"/>
              <w:framePr w:hSpace="181" w:wrap="notBeside" w:vAnchor="text" w:hAnchor="text" w:xAlign="center" w:y="1"/>
              <w:ind w:right="-57"/>
              <w:jc w:val="left"/>
              <w:rPr>
                <w:sz w:val="20"/>
                <w:lang w:val="en-US"/>
              </w:rPr>
            </w:pPr>
            <w:r>
              <w:rPr>
                <w:bCs/>
                <w:sz w:val="20"/>
                <w:lang w:val="en-US"/>
              </w:rPr>
              <w:t xml:space="preserve">Offset from centre </w:t>
            </w:r>
            <w:r>
              <w:rPr>
                <w:i/>
                <w:iCs/>
                <w:sz w:val="20"/>
                <w:lang w:val="en-US"/>
              </w:rPr>
              <w:t>B</w:t>
            </w:r>
            <w:r>
              <w:rPr>
                <w:i/>
                <w:iCs/>
                <w:sz w:val="20"/>
                <w:vertAlign w:val="subscript"/>
                <w:lang w:val="en-US"/>
              </w:rPr>
              <w:t>N</w:t>
            </w:r>
          </w:p>
        </w:tc>
        <w:tc>
          <w:tcPr>
            <w:tcW w:w="1044" w:type="dxa"/>
          </w:tcPr>
          <w:p w:rsidR="00B9359B" w:rsidRDefault="009A5268">
            <w:pPr>
              <w:pStyle w:val="Tabletext"/>
              <w:framePr w:hSpace="181" w:wrap="notBeside" w:vAnchor="text" w:hAnchor="text" w:xAlign="center" w:y="1"/>
              <w:jc w:val="center"/>
              <w:rPr>
                <w:sz w:val="20"/>
                <w:lang w:val="en-US"/>
              </w:rPr>
            </w:pPr>
            <w:r>
              <w:rPr>
                <w:rFonts w:ascii="Symbol" w:hAnsi="Symbol"/>
                <w:sz w:val="20"/>
              </w:rPr>
              <w:t></w:t>
            </w:r>
            <w:r>
              <w:rPr>
                <w:rFonts w:ascii="Tms Rmn" w:hAnsi="Tms Rmn"/>
                <w:sz w:val="12"/>
                <w:lang w:val="en-US"/>
              </w:rPr>
              <w:t> </w:t>
            </w:r>
            <w:r>
              <w:rPr>
                <w:sz w:val="20"/>
                <w:lang w:val="en-US"/>
              </w:rPr>
              <w:t>1.9 GHz</w:t>
            </w:r>
          </w:p>
        </w:tc>
        <w:tc>
          <w:tcPr>
            <w:tcW w:w="1087" w:type="dxa"/>
          </w:tcPr>
          <w:p w:rsidR="00B9359B" w:rsidRDefault="009A5268">
            <w:pPr>
              <w:pStyle w:val="Tabletext"/>
              <w:framePr w:hSpace="181" w:wrap="notBeside" w:vAnchor="text" w:hAnchor="text" w:xAlign="center" w:y="1"/>
              <w:jc w:val="center"/>
              <w:rPr>
                <w:sz w:val="20"/>
                <w:lang w:val="en-US"/>
              </w:rPr>
            </w:pPr>
            <w:r>
              <w:rPr>
                <w:sz w:val="20"/>
                <w:lang w:val="en-US"/>
              </w:rPr>
              <w:t>11.8 MHz</w:t>
            </w:r>
          </w:p>
        </w:tc>
        <w:tc>
          <w:tcPr>
            <w:tcW w:w="1050" w:type="dxa"/>
            <w:gridSpan w:val="3"/>
          </w:tcPr>
          <w:p w:rsidR="00B9359B" w:rsidRDefault="009A5268">
            <w:pPr>
              <w:pStyle w:val="Tabletext"/>
              <w:framePr w:hSpace="181" w:wrap="notBeside" w:vAnchor="text" w:hAnchor="text" w:xAlign="center" w:y="1"/>
              <w:jc w:val="center"/>
              <w:rPr>
                <w:sz w:val="20"/>
                <w:lang w:val="en-US"/>
              </w:rPr>
            </w:pPr>
            <w:r>
              <w:rPr>
                <w:sz w:val="20"/>
                <w:lang w:val="en-US"/>
              </w:rPr>
              <w:t>2.7 GHz</w:t>
            </w:r>
          </w:p>
        </w:tc>
        <w:tc>
          <w:tcPr>
            <w:tcW w:w="1049" w:type="dxa"/>
            <w:gridSpan w:val="2"/>
          </w:tcPr>
          <w:p w:rsidR="00B9359B" w:rsidRDefault="009A5268">
            <w:pPr>
              <w:pStyle w:val="Tabletext"/>
              <w:framePr w:hSpace="181" w:wrap="notBeside" w:vAnchor="text" w:hAnchor="text" w:xAlign="center" w:y="1"/>
              <w:jc w:val="center"/>
              <w:rPr>
                <w:sz w:val="20"/>
                <w:lang w:val="en-US"/>
              </w:rPr>
            </w:pPr>
            <w:r>
              <w:rPr>
                <w:sz w:val="20"/>
                <w:lang w:val="en-US"/>
              </w:rPr>
              <w:t>594 MHz</w:t>
            </w:r>
          </w:p>
        </w:tc>
        <w:tc>
          <w:tcPr>
            <w:tcW w:w="948" w:type="dxa"/>
          </w:tcPr>
          <w:p w:rsidR="00B9359B" w:rsidRDefault="009A5268">
            <w:pPr>
              <w:pStyle w:val="Tabletext"/>
              <w:framePr w:hSpace="181" w:wrap="notBeside" w:vAnchor="text" w:hAnchor="text" w:xAlign="center" w:y="1"/>
              <w:jc w:val="center"/>
              <w:rPr>
                <w:sz w:val="20"/>
                <w:lang w:val="en-US"/>
              </w:rPr>
            </w:pPr>
            <w:r>
              <w:rPr>
                <w:sz w:val="20"/>
                <w:lang w:val="en-US"/>
              </w:rPr>
              <w:t>0.8 MHz</w:t>
            </w:r>
          </w:p>
        </w:tc>
        <w:tc>
          <w:tcPr>
            <w:tcW w:w="980" w:type="dxa"/>
          </w:tcPr>
          <w:p w:rsidR="00B9359B" w:rsidRDefault="009A5268">
            <w:pPr>
              <w:pStyle w:val="Tabletext"/>
              <w:framePr w:hSpace="181" w:wrap="notBeside" w:vAnchor="text" w:hAnchor="text" w:xAlign="center" w:y="1"/>
              <w:jc w:val="center"/>
              <w:rPr>
                <w:sz w:val="20"/>
                <w:lang w:val="en-US"/>
              </w:rPr>
            </w:pPr>
            <w:r>
              <w:rPr>
                <w:sz w:val="20"/>
                <w:lang w:val="en-US"/>
              </w:rPr>
              <w:t>0.6 MHz</w:t>
            </w:r>
          </w:p>
        </w:tc>
        <w:tc>
          <w:tcPr>
            <w:tcW w:w="1116" w:type="dxa"/>
          </w:tcPr>
          <w:p w:rsidR="00B9359B" w:rsidRDefault="009A5268">
            <w:pPr>
              <w:pStyle w:val="Tabletext"/>
              <w:framePr w:hSpace="181" w:wrap="notBeside" w:vAnchor="text" w:hAnchor="text" w:xAlign="center" w:y="1"/>
              <w:jc w:val="center"/>
              <w:rPr>
                <w:sz w:val="20"/>
                <w:lang w:val="en-US"/>
              </w:rPr>
            </w:pPr>
            <w:r>
              <w:rPr>
                <w:sz w:val="20"/>
                <w:lang w:val="en-US"/>
              </w:rPr>
              <w:t>1.2 MHz</w:t>
            </w:r>
          </w:p>
        </w:tc>
      </w:tr>
      <w:tr w:rsidR="00B9359B">
        <w:tc>
          <w:tcPr>
            <w:tcW w:w="2365" w:type="dxa"/>
            <w:gridSpan w:val="2"/>
          </w:tcPr>
          <w:p w:rsidR="00B9359B" w:rsidRDefault="009A5268">
            <w:pPr>
              <w:pStyle w:val="Tabletext"/>
              <w:framePr w:hSpace="181" w:wrap="notBeside" w:vAnchor="text" w:hAnchor="text" w:xAlign="center" w:y="1"/>
              <w:ind w:right="-57"/>
              <w:jc w:val="left"/>
              <w:rPr>
                <w:sz w:val="20"/>
                <w:lang w:val="en-US"/>
              </w:rPr>
            </w:pPr>
            <w:r>
              <w:rPr>
                <w:bCs/>
                <w:sz w:val="20"/>
                <w:lang w:val="en-US"/>
              </w:rPr>
              <w:t>Required additional guardband</w:t>
            </w:r>
          </w:p>
        </w:tc>
        <w:tc>
          <w:tcPr>
            <w:tcW w:w="1044" w:type="dxa"/>
          </w:tcPr>
          <w:p w:rsidR="00B9359B" w:rsidRDefault="009A5268">
            <w:pPr>
              <w:pStyle w:val="Tabletext"/>
              <w:framePr w:hSpace="181" w:wrap="notBeside" w:vAnchor="text" w:hAnchor="text" w:xAlign="center" w:y="1"/>
              <w:jc w:val="center"/>
              <w:rPr>
                <w:sz w:val="20"/>
                <w:lang w:val="en-US"/>
              </w:rPr>
            </w:pPr>
            <w:r>
              <w:rPr>
                <w:rFonts w:ascii="Symbol" w:hAnsi="Symbol"/>
                <w:sz w:val="20"/>
              </w:rPr>
              <w:t></w:t>
            </w:r>
            <w:r>
              <w:rPr>
                <w:rFonts w:ascii="Tms Rmn" w:hAnsi="Tms Rmn"/>
                <w:sz w:val="12"/>
                <w:lang w:val="en-US"/>
              </w:rPr>
              <w:t> </w:t>
            </w:r>
            <w:r>
              <w:rPr>
                <w:sz w:val="20"/>
                <w:lang w:val="en-US"/>
              </w:rPr>
              <w:t>1.5 GHz</w:t>
            </w:r>
          </w:p>
        </w:tc>
        <w:tc>
          <w:tcPr>
            <w:tcW w:w="1087" w:type="dxa"/>
          </w:tcPr>
          <w:p w:rsidR="00B9359B" w:rsidRDefault="009A5268">
            <w:pPr>
              <w:pStyle w:val="Tabletext"/>
              <w:framePr w:hSpace="181" w:wrap="notBeside" w:vAnchor="text" w:hAnchor="text" w:xAlign="center" w:y="1"/>
              <w:jc w:val="center"/>
              <w:rPr>
                <w:sz w:val="20"/>
                <w:lang w:val="en-US"/>
              </w:rPr>
            </w:pPr>
            <w:r>
              <w:rPr>
                <w:sz w:val="20"/>
                <w:lang w:val="en-US"/>
              </w:rPr>
              <w:t>0</w:t>
            </w:r>
          </w:p>
        </w:tc>
        <w:tc>
          <w:tcPr>
            <w:tcW w:w="1050" w:type="dxa"/>
            <w:gridSpan w:val="3"/>
          </w:tcPr>
          <w:p w:rsidR="00B9359B" w:rsidRDefault="009A5268">
            <w:pPr>
              <w:pStyle w:val="Tabletext"/>
              <w:framePr w:hSpace="181" w:wrap="notBeside" w:vAnchor="text" w:hAnchor="text" w:xAlign="center" w:y="1"/>
              <w:jc w:val="center"/>
              <w:rPr>
                <w:sz w:val="20"/>
                <w:lang w:val="en-US"/>
              </w:rPr>
            </w:pPr>
            <w:r>
              <w:rPr>
                <w:sz w:val="20"/>
                <w:lang w:val="en-US"/>
              </w:rPr>
              <w:t>2.15 GHz</w:t>
            </w:r>
          </w:p>
        </w:tc>
        <w:tc>
          <w:tcPr>
            <w:tcW w:w="1049" w:type="dxa"/>
            <w:gridSpan w:val="2"/>
          </w:tcPr>
          <w:p w:rsidR="00B9359B" w:rsidRDefault="009A5268">
            <w:pPr>
              <w:pStyle w:val="Tabletext"/>
              <w:framePr w:hSpace="181" w:wrap="notBeside" w:vAnchor="text" w:hAnchor="text" w:xAlign="center" w:y="1"/>
              <w:jc w:val="center"/>
              <w:rPr>
                <w:sz w:val="20"/>
                <w:lang w:val="en-US"/>
              </w:rPr>
            </w:pPr>
            <w:r>
              <w:rPr>
                <w:sz w:val="20"/>
                <w:lang w:val="en-US"/>
              </w:rPr>
              <w:t>232 MHz</w:t>
            </w:r>
          </w:p>
        </w:tc>
        <w:tc>
          <w:tcPr>
            <w:tcW w:w="948" w:type="dxa"/>
          </w:tcPr>
          <w:p w:rsidR="00B9359B" w:rsidRDefault="009A5268">
            <w:pPr>
              <w:pStyle w:val="Tabletext"/>
              <w:framePr w:hSpace="181" w:wrap="notBeside" w:vAnchor="text" w:hAnchor="text" w:xAlign="center" w:y="1"/>
              <w:jc w:val="center"/>
              <w:rPr>
                <w:sz w:val="20"/>
                <w:lang w:val="en-US"/>
              </w:rPr>
            </w:pPr>
            <w:r>
              <w:rPr>
                <w:sz w:val="20"/>
                <w:lang w:val="en-US"/>
              </w:rPr>
              <w:t>0</w:t>
            </w:r>
          </w:p>
        </w:tc>
        <w:tc>
          <w:tcPr>
            <w:tcW w:w="980" w:type="dxa"/>
          </w:tcPr>
          <w:p w:rsidR="00B9359B" w:rsidRDefault="009A5268">
            <w:pPr>
              <w:pStyle w:val="Tabletext"/>
              <w:framePr w:hSpace="181" w:wrap="notBeside" w:vAnchor="text" w:hAnchor="text" w:xAlign="center" w:y="1"/>
              <w:jc w:val="center"/>
              <w:rPr>
                <w:sz w:val="20"/>
                <w:lang w:val="en-US"/>
              </w:rPr>
            </w:pPr>
            <w:r>
              <w:rPr>
                <w:sz w:val="20"/>
                <w:lang w:val="en-US"/>
              </w:rPr>
              <w:t>0</w:t>
            </w:r>
          </w:p>
        </w:tc>
        <w:tc>
          <w:tcPr>
            <w:tcW w:w="1116" w:type="dxa"/>
          </w:tcPr>
          <w:p w:rsidR="00B9359B" w:rsidRDefault="009A5268">
            <w:pPr>
              <w:pStyle w:val="Tabletext"/>
              <w:framePr w:hSpace="181" w:wrap="notBeside" w:vAnchor="text" w:hAnchor="text" w:xAlign="center" w:y="1"/>
              <w:jc w:val="center"/>
              <w:rPr>
                <w:sz w:val="20"/>
                <w:lang w:val="en-US"/>
              </w:rPr>
            </w:pPr>
            <w:r>
              <w:rPr>
                <w:sz w:val="20"/>
                <w:lang w:val="en-US"/>
              </w:rPr>
              <w:t>0</w:t>
            </w:r>
          </w:p>
        </w:tc>
      </w:tr>
      <w:tr w:rsidR="00B9359B">
        <w:tc>
          <w:tcPr>
            <w:tcW w:w="2365" w:type="dxa"/>
            <w:gridSpan w:val="2"/>
          </w:tcPr>
          <w:p w:rsidR="00B9359B" w:rsidRDefault="009A5268">
            <w:pPr>
              <w:pStyle w:val="Tabletext"/>
              <w:framePr w:hSpace="181" w:wrap="notBeside" w:vAnchor="text" w:hAnchor="text" w:xAlign="center" w:y="1"/>
              <w:ind w:right="-57"/>
              <w:jc w:val="left"/>
              <w:rPr>
                <w:sz w:val="20"/>
                <w:lang w:val="en-US"/>
              </w:rPr>
            </w:pPr>
            <w:r>
              <w:rPr>
                <w:sz w:val="20"/>
                <w:lang w:val="en-US"/>
              </w:rPr>
              <w:t>Conical scan side-lobe (dB)</w:t>
            </w:r>
          </w:p>
        </w:tc>
        <w:tc>
          <w:tcPr>
            <w:tcW w:w="1044" w:type="dxa"/>
          </w:tcPr>
          <w:p w:rsidR="00B9359B" w:rsidRDefault="009A5268">
            <w:pPr>
              <w:pStyle w:val="Tabletext"/>
              <w:framePr w:hSpace="181" w:wrap="notBeside" w:vAnchor="text" w:hAnchor="text" w:xAlign="center" w:y="1"/>
              <w:jc w:val="center"/>
              <w:rPr>
                <w:sz w:val="20"/>
                <w:lang w:val="en-US"/>
              </w:rPr>
            </w:pPr>
            <w:r>
              <w:rPr>
                <w:sz w:val="20"/>
              </w:rPr>
              <w:sym w:font="Symbol" w:char="F02D"/>
            </w:r>
            <w:r>
              <w:rPr>
                <w:sz w:val="20"/>
                <w:lang w:val="en-US"/>
              </w:rPr>
              <w:t>52.5</w:t>
            </w:r>
          </w:p>
        </w:tc>
        <w:tc>
          <w:tcPr>
            <w:tcW w:w="1087" w:type="dxa"/>
          </w:tcPr>
          <w:p w:rsidR="00B9359B" w:rsidRDefault="009A5268">
            <w:pPr>
              <w:pStyle w:val="Tabletext"/>
              <w:framePr w:hSpace="181" w:wrap="notBeside" w:vAnchor="text" w:hAnchor="text" w:xAlign="center" w:y="1"/>
              <w:jc w:val="center"/>
              <w:rPr>
                <w:sz w:val="20"/>
                <w:lang w:val="en-US"/>
              </w:rPr>
            </w:pPr>
            <w:r>
              <w:rPr>
                <w:sz w:val="20"/>
              </w:rPr>
              <w:sym w:font="Symbol" w:char="F02D"/>
            </w:r>
            <w:r>
              <w:rPr>
                <w:sz w:val="20"/>
                <w:lang w:val="en-US"/>
              </w:rPr>
              <w:t>27</w:t>
            </w:r>
          </w:p>
        </w:tc>
        <w:tc>
          <w:tcPr>
            <w:tcW w:w="1050" w:type="dxa"/>
            <w:gridSpan w:val="3"/>
          </w:tcPr>
          <w:p w:rsidR="00B9359B" w:rsidRDefault="009A5268">
            <w:pPr>
              <w:pStyle w:val="Tabletext"/>
              <w:framePr w:hSpace="181" w:wrap="notBeside" w:vAnchor="text" w:hAnchor="text" w:xAlign="center" w:y="1"/>
              <w:jc w:val="center"/>
              <w:rPr>
                <w:sz w:val="20"/>
                <w:lang w:val="en-US"/>
              </w:rPr>
            </w:pPr>
            <w:r>
              <w:rPr>
                <w:sz w:val="20"/>
              </w:rPr>
              <w:sym w:font="Symbol" w:char="F02D"/>
            </w:r>
            <w:r>
              <w:rPr>
                <w:sz w:val="20"/>
                <w:lang w:val="en-US"/>
              </w:rPr>
              <w:t>33.5</w:t>
            </w:r>
          </w:p>
        </w:tc>
        <w:tc>
          <w:tcPr>
            <w:tcW w:w="1049" w:type="dxa"/>
            <w:gridSpan w:val="2"/>
          </w:tcPr>
          <w:p w:rsidR="00B9359B" w:rsidRDefault="009A5268">
            <w:pPr>
              <w:pStyle w:val="Tabletext"/>
              <w:framePr w:hSpace="181" w:wrap="notBeside" w:vAnchor="text" w:hAnchor="text" w:xAlign="center" w:y="1"/>
              <w:jc w:val="center"/>
              <w:rPr>
                <w:sz w:val="20"/>
                <w:lang w:val="en-US"/>
              </w:rPr>
            </w:pPr>
            <w:r>
              <w:rPr>
                <w:sz w:val="20"/>
              </w:rPr>
              <w:sym w:font="Symbol" w:char="F02D"/>
            </w:r>
            <w:r>
              <w:rPr>
                <w:sz w:val="20"/>
                <w:lang w:val="en-US"/>
              </w:rPr>
              <w:t>30.7</w:t>
            </w:r>
          </w:p>
        </w:tc>
        <w:tc>
          <w:tcPr>
            <w:tcW w:w="948" w:type="dxa"/>
          </w:tcPr>
          <w:p w:rsidR="00B9359B" w:rsidRDefault="009A5268">
            <w:pPr>
              <w:pStyle w:val="Tabletext"/>
              <w:framePr w:hSpace="181" w:wrap="notBeside" w:vAnchor="text" w:hAnchor="text" w:xAlign="center" w:y="1"/>
              <w:jc w:val="center"/>
              <w:rPr>
                <w:sz w:val="20"/>
                <w:lang w:val="en-US"/>
              </w:rPr>
            </w:pPr>
            <w:r>
              <w:rPr>
                <w:sz w:val="20"/>
              </w:rPr>
              <w:sym w:font="Symbol" w:char="F02D"/>
            </w:r>
            <w:r>
              <w:rPr>
                <w:sz w:val="20"/>
                <w:lang w:val="en-US"/>
              </w:rPr>
              <w:t>46</w:t>
            </w:r>
          </w:p>
        </w:tc>
        <w:tc>
          <w:tcPr>
            <w:tcW w:w="980" w:type="dxa"/>
          </w:tcPr>
          <w:p w:rsidR="00B9359B" w:rsidRDefault="009A5268">
            <w:pPr>
              <w:pStyle w:val="Tabletext"/>
              <w:framePr w:hSpace="181" w:wrap="notBeside" w:vAnchor="text" w:hAnchor="text" w:xAlign="center" w:y="1"/>
              <w:jc w:val="center"/>
              <w:rPr>
                <w:sz w:val="20"/>
                <w:lang w:val="en-US"/>
              </w:rPr>
            </w:pPr>
            <w:r>
              <w:rPr>
                <w:sz w:val="20"/>
              </w:rPr>
              <w:sym w:font="Symbol" w:char="F02D"/>
            </w:r>
            <w:r>
              <w:rPr>
                <w:sz w:val="20"/>
                <w:lang w:val="en-US"/>
              </w:rPr>
              <w:t>40</w:t>
            </w:r>
          </w:p>
        </w:tc>
        <w:tc>
          <w:tcPr>
            <w:tcW w:w="1116" w:type="dxa"/>
          </w:tcPr>
          <w:p w:rsidR="00B9359B" w:rsidRDefault="009A5268">
            <w:pPr>
              <w:pStyle w:val="Tabletext"/>
              <w:framePr w:hSpace="181" w:wrap="notBeside" w:vAnchor="text" w:hAnchor="text" w:xAlign="center" w:y="1"/>
              <w:jc w:val="center"/>
              <w:rPr>
                <w:sz w:val="20"/>
                <w:lang w:val="en-US"/>
              </w:rPr>
            </w:pPr>
            <w:r>
              <w:rPr>
                <w:sz w:val="20"/>
              </w:rPr>
              <w:sym w:font="Symbol" w:char="F02D"/>
            </w:r>
            <w:r>
              <w:rPr>
                <w:sz w:val="20"/>
                <w:lang w:val="en-US"/>
              </w:rPr>
              <w:t>22.8</w:t>
            </w:r>
          </w:p>
        </w:tc>
      </w:tr>
      <w:tr w:rsidR="00B9359B">
        <w:tc>
          <w:tcPr>
            <w:tcW w:w="2365" w:type="dxa"/>
            <w:gridSpan w:val="2"/>
          </w:tcPr>
          <w:p w:rsidR="00B9359B" w:rsidRDefault="009A5268">
            <w:pPr>
              <w:pStyle w:val="Tabletext"/>
              <w:framePr w:hSpace="181" w:wrap="notBeside" w:vAnchor="text" w:hAnchor="text" w:xAlign="center" w:y="1"/>
              <w:ind w:right="-57"/>
              <w:jc w:val="left"/>
              <w:rPr>
                <w:sz w:val="20"/>
                <w:lang w:val="en-US"/>
              </w:rPr>
            </w:pPr>
            <w:r>
              <w:rPr>
                <w:sz w:val="20"/>
                <w:lang w:val="en-US"/>
              </w:rPr>
              <w:t xml:space="preserve">Offset from centre </w:t>
            </w:r>
            <w:r>
              <w:rPr>
                <w:i/>
                <w:iCs/>
                <w:sz w:val="20"/>
                <w:lang w:val="en-US"/>
              </w:rPr>
              <w:t>B</w:t>
            </w:r>
            <w:r>
              <w:rPr>
                <w:i/>
                <w:iCs/>
                <w:sz w:val="20"/>
                <w:vertAlign w:val="subscript"/>
                <w:lang w:val="en-US"/>
              </w:rPr>
              <w:t>N</w:t>
            </w:r>
            <w:r>
              <w:rPr>
                <w:sz w:val="20"/>
                <w:lang w:val="en-US"/>
              </w:rPr>
              <w:t xml:space="preserve"> (%)</w:t>
            </w:r>
          </w:p>
        </w:tc>
        <w:tc>
          <w:tcPr>
            <w:tcW w:w="1044" w:type="dxa"/>
          </w:tcPr>
          <w:p w:rsidR="00B9359B" w:rsidRDefault="009A5268">
            <w:pPr>
              <w:pStyle w:val="Tabletext"/>
              <w:framePr w:hSpace="181" w:wrap="notBeside" w:vAnchor="text" w:hAnchor="text" w:xAlign="center" w:y="1"/>
              <w:jc w:val="center"/>
              <w:rPr>
                <w:sz w:val="20"/>
                <w:lang w:val="en-US"/>
              </w:rPr>
            </w:pPr>
            <w:r>
              <w:rPr>
                <w:sz w:val="20"/>
                <w:lang w:val="en-US"/>
              </w:rPr>
              <w:t>217</w:t>
            </w:r>
          </w:p>
        </w:tc>
        <w:tc>
          <w:tcPr>
            <w:tcW w:w="1087" w:type="dxa"/>
          </w:tcPr>
          <w:p w:rsidR="00B9359B" w:rsidRDefault="009A5268">
            <w:pPr>
              <w:pStyle w:val="Tabletext"/>
              <w:framePr w:hSpace="181" w:wrap="notBeside" w:vAnchor="text" w:hAnchor="text" w:xAlign="center" w:y="1"/>
              <w:jc w:val="center"/>
              <w:rPr>
                <w:sz w:val="20"/>
                <w:lang w:val="en-US"/>
              </w:rPr>
            </w:pPr>
            <w:r>
              <w:rPr>
                <w:sz w:val="20"/>
                <w:lang w:val="en-US"/>
              </w:rPr>
              <w:t>78</w:t>
            </w:r>
          </w:p>
        </w:tc>
        <w:tc>
          <w:tcPr>
            <w:tcW w:w="1050" w:type="dxa"/>
            <w:gridSpan w:val="3"/>
          </w:tcPr>
          <w:p w:rsidR="00B9359B" w:rsidRDefault="009A5268">
            <w:pPr>
              <w:pStyle w:val="Tabletext"/>
              <w:framePr w:hSpace="181" w:wrap="notBeside" w:vAnchor="text" w:hAnchor="text" w:xAlign="center" w:y="1"/>
              <w:jc w:val="center"/>
              <w:rPr>
                <w:sz w:val="20"/>
                <w:lang w:val="en-US"/>
              </w:rPr>
            </w:pPr>
            <w:r>
              <w:rPr>
                <w:sz w:val="20"/>
                <w:lang w:val="en-US"/>
              </w:rPr>
              <w:t>88</w:t>
            </w:r>
          </w:p>
        </w:tc>
        <w:tc>
          <w:tcPr>
            <w:tcW w:w="1049" w:type="dxa"/>
            <w:gridSpan w:val="2"/>
          </w:tcPr>
          <w:p w:rsidR="00B9359B" w:rsidRDefault="009A5268">
            <w:pPr>
              <w:pStyle w:val="Tabletext"/>
              <w:framePr w:hSpace="181" w:wrap="notBeside" w:vAnchor="text" w:hAnchor="text" w:xAlign="center" w:y="1"/>
              <w:jc w:val="center"/>
              <w:rPr>
                <w:sz w:val="20"/>
                <w:lang w:val="en-US"/>
              </w:rPr>
            </w:pPr>
            <w:r>
              <w:rPr>
                <w:sz w:val="20"/>
                <w:lang w:val="en-US"/>
              </w:rPr>
              <w:t>83</w:t>
            </w:r>
          </w:p>
        </w:tc>
        <w:tc>
          <w:tcPr>
            <w:tcW w:w="948" w:type="dxa"/>
          </w:tcPr>
          <w:p w:rsidR="00B9359B" w:rsidRDefault="009A5268">
            <w:pPr>
              <w:pStyle w:val="Tabletext"/>
              <w:framePr w:hSpace="181" w:wrap="notBeside" w:vAnchor="text" w:hAnchor="text" w:xAlign="center" w:y="1"/>
              <w:jc w:val="center"/>
              <w:rPr>
                <w:sz w:val="20"/>
                <w:lang w:val="en-US"/>
              </w:rPr>
            </w:pPr>
            <w:r>
              <w:rPr>
                <w:sz w:val="20"/>
                <w:lang w:val="en-US"/>
              </w:rPr>
              <w:t>165</w:t>
            </w:r>
          </w:p>
        </w:tc>
        <w:tc>
          <w:tcPr>
            <w:tcW w:w="980" w:type="dxa"/>
          </w:tcPr>
          <w:p w:rsidR="00B9359B" w:rsidRDefault="009A5268">
            <w:pPr>
              <w:pStyle w:val="Tabletext"/>
              <w:framePr w:hSpace="181" w:wrap="notBeside" w:vAnchor="text" w:hAnchor="text" w:xAlign="center" w:y="1"/>
              <w:jc w:val="center"/>
              <w:rPr>
                <w:sz w:val="20"/>
                <w:lang w:val="en-US"/>
              </w:rPr>
            </w:pPr>
            <w:r>
              <w:rPr>
                <w:sz w:val="20"/>
                <w:lang w:val="en-US"/>
              </w:rPr>
              <w:t>125</w:t>
            </w:r>
          </w:p>
        </w:tc>
        <w:tc>
          <w:tcPr>
            <w:tcW w:w="1116" w:type="dxa"/>
          </w:tcPr>
          <w:p w:rsidR="00B9359B" w:rsidRDefault="009A5268">
            <w:pPr>
              <w:pStyle w:val="Tabletext"/>
              <w:framePr w:hSpace="181" w:wrap="notBeside" w:vAnchor="text" w:hAnchor="text" w:xAlign="center" w:y="1"/>
              <w:jc w:val="center"/>
              <w:rPr>
                <w:sz w:val="20"/>
                <w:lang w:val="en-US"/>
              </w:rPr>
            </w:pPr>
            <w:r>
              <w:rPr>
                <w:sz w:val="20"/>
                <w:lang w:val="en-US"/>
              </w:rPr>
              <w:t>71</w:t>
            </w:r>
          </w:p>
        </w:tc>
      </w:tr>
      <w:tr w:rsidR="00B9359B">
        <w:tc>
          <w:tcPr>
            <w:tcW w:w="2365" w:type="dxa"/>
            <w:gridSpan w:val="2"/>
          </w:tcPr>
          <w:p w:rsidR="00B9359B" w:rsidRDefault="009A5268">
            <w:pPr>
              <w:pStyle w:val="Tabletext"/>
              <w:framePr w:hSpace="181" w:wrap="notBeside" w:vAnchor="text" w:hAnchor="text" w:xAlign="center" w:y="1"/>
              <w:ind w:right="-57"/>
              <w:jc w:val="left"/>
              <w:rPr>
                <w:sz w:val="20"/>
                <w:lang w:val="en-US"/>
              </w:rPr>
            </w:pPr>
            <w:r>
              <w:rPr>
                <w:bCs/>
                <w:sz w:val="20"/>
                <w:lang w:val="en-US"/>
              </w:rPr>
              <w:t xml:space="preserve">Offset from centre </w:t>
            </w:r>
            <w:r>
              <w:rPr>
                <w:i/>
                <w:iCs/>
                <w:sz w:val="20"/>
                <w:lang w:val="en-US"/>
              </w:rPr>
              <w:t>B</w:t>
            </w:r>
            <w:r>
              <w:rPr>
                <w:i/>
                <w:iCs/>
                <w:sz w:val="20"/>
                <w:vertAlign w:val="subscript"/>
                <w:lang w:val="en-US"/>
              </w:rPr>
              <w:t>N</w:t>
            </w:r>
            <w:r>
              <w:rPr>
                <w:sz w:val="20"/>
                <w:lang w:val="en-US"/>
              </w:rPr>
              <w:t xml:space="preserve"> (MHz)</w:t>
            </w:r>
          </w:p>
        </w:tc>
        <w:tc>
          <w:tcPr>
            <w:tcW w:w="1044" w:type="dxa"/>
          </w:tcPr>
          <w:p w:rsidR="00B9359B" w:rsidRDefault="009A5268">
            <w:pPr>
              <w:pStyle w:val="Tabletext"/>
              <w:framePr w:hSpace="181" w:wrap="notBeside" w:vAnchor="text" w:hAnchor="text" w:xAlign="center" w:y="1"/>
              <w:jc w:val="center"/>
              <w:rPr>
                <w:sz w:val="20"/>
                <w:lang w:val="en-US"/>
              </w:rPr>
            </w:pPr>
            <w:r>
              <w:rPr>
                <w:sz w:val="20"/>
                <w:lang w:val="en-US"/>
              </w:rPr>
              <w:t>405</w:t>
            </w:r>
          </w:p>
        </w:tc>
        <w:tc>
          <w:tcPr>
            <w:tcW w:w="1087" w:type="dxa"/>
          </w:tcPr>
          <w:p w:rsidR="00B9359B" w:rsidRDefault="009A5268">
            <w:pPr>
              <w:pStyle w:val="Tabletext"/>
              <w:framePr w:hSpace="181" w:wrap="notBeside" w:vAnchor="text" w:hAnchor="text" w:xAlign="center" w:y="1"/>
              <w:jc w:val="center"/>
              <w:rPr>
                <w:sz w:val="20"/>
                <w:lang w:val="en-US"/>
              </w:rPr>
            </w:pPr>
            <w:r>
              <w:rPr>
                <w:sz w:val="20"/>
                <w:lang w:val="en-US"/>
              </w:rPr>
              <w:t>2.4</w:t>
            </w:r>
          </w:p>
        </w:tc>
        <w:tc>
          <w:tcPr>
            <w:tcW w:w="1050" w:type="dxa"/>
            <w:gridSpan w:val="3"/>
          </w:tcPr>
          <w:p w:rsidR="00B9359B" w:rsidRDefault="009A5268">
            <w:pPr>
              <w:pStyle w:val="Tabletext"/>
              <w:framePr w:hSpace="181" w:wrap="notBeside" w:vAnchor="text" w:hAnchor="text" w:xAlign="center" w:y="1"/>
              <w:jc w:val="center"/>
              <w:rPr>
                <w:sz w:val="20"/>
                <w:lang w:val="en-US"/>
              </w:rPr>
            </w:pPr>
            <w:r>
              <w:rPr>
                <w:sz w:val="20"/>
                <w:lang w:val="en-US"/>
              </w:rPr>
              <w:t>440</w:t>
            </w:r>
          </w:p>
        </w:tc>
        <w:tc>
          <w:tcPr>
            <w:tcW w:w="1049" w:type="dxa"/>
            <w:gridSpan w:val="2"/>
          </w:tcPr>
          <w:p w:rsidR="00B9359B" w:rsidRDefault="009A5268">
            <w:pPr>
              <w:pStyle w:val="Tabletext"/>
              <w:framePr w:hSpace="181" w:wrap="notBeside" w:vAnchor="text" w:hAnchor="text" w:xAlign="center" w:y="1"/>
              <w:jc w:val="center"/>
              <w:rPr>
                <w:sz w:val="20"/>
                <w:lang w:val="en-US"/>
              </w:rPr>
            </w:pPr>
            <w:r>
              <w:rPr>
                <w:sz w:val="20"/>
                <w:lang w:val="en-US"/>
              </w:rPr>
              <w:t>104</w:t>
            </w:r>
          </w:p>
        </w:tc>
        <w:tc>
          <w:tcPr>
            <w:tcW w:w="948" w:type="dxa"/>
          </w:tcPr>
          <w:p w:rsidR="00B9359B" w:rsidRDefault="009A5268">
            <w:pPr>
              <w:pStyle w:val="Tabletext"/>
              <w:framePr w:hSpace="181" w:wrap="notBeside" w:vAnchor="text" w:hAnchor="text" w:xAlign="center" w:y="1"/>
              <w:jc w:val="center"/>
              <w:rPr>
                <w:sz w:val="20"/>
                <w:lang w:val="en-US"/>
              </w:rPr>
            </w:pPr>
            <w:r>
              <w:rPr>
                <w:sz w:val="20"/>
                <w:lang w:val="en-US"/>
              </w:rPr>
              <w:t>0.13</w:t>
            </w:r>
          </w:p>
        </w:tc>
        <w:tc>
          <w:tcPr>
            <w:tcW w:w="980" w:type="dxa"/>
          </w:tcPr>
          <w:p w:rsidR="00B9359B" w:rsidRDefault="009A5268">
            <w:pPr>
              <w:pStyle w:val="Tabletext"/>
              <w:framePr w:hSpace="181" w:wrap="notBeside" w:vAnchor="text" w:hAnchor="text" w:xAlign="center" w:y="1"/>
              <w:jc w:val="center"/>
              <w:rPr>
                <w:sz w:val="20"/>
                <w:lang w:val="en-US"/>
              </w:rPr>
            </w:pPr>
            <w:r>
              <w:rPr>
                <w:sz w:val="20"/>
                <w:lang w:val="en-US"/>
              </w:rPr>
              <w:t>0.96</w:t>
            </w:r>
          </w:p>
        </w:tc>
        <w:tc>
          <w:tcPr>
            <w:tcW w:w="1116" w:type="dxa"/>
          </w:tcPr>
          <w:p w:rsidR="00B9359B" w:rsidRDefault="009A5268">
            <w:pPr>
              <w:pStyle w:val="Tabletext"/>
              <w:framePr w:hSpace="181" w:wrap="notBeside" w:vAnchor="text" w:hAnchor="text" w:xAlign="center" w:y="1"/>
              <w:jc w:val="center"/>
              <w:rPr>
                <w:sz w:val="20"/>
                <w:lang w:val="en-US"/>
              </w:rPr>
            </w:pPr>
            <w:r>
              <w:rPr>
                <w:sz w:val="20"/>
                <w:lang w:val="en-US"/>
              </w:rPr>
              <w:t>0.25</w:t>
            </w:r>
          </w:p>
        </w:tc>
      </w:tr>
      <w:tr w:rsidR="00B9359B">
        <w:tc>
          <w:tcPr>
            <w:tcW w:w="2365" w:type="dxa"/>
            <w:gridSpan w:val="2"/>
          </w:tcPr>
          <w:p w:rsidR="00B9359B" w:rsidRDefault="009A5268">
            <w:pPr>
              <w:pStyle w:val="Tabletext"/>
              <w:framePr w:hSpace="181" w:wrap="notBeside" w:vAnchor="text" w:hAnchor="text" w:xAlign="center" w:y="1"/>
              <w:jc w:val="left"/>
              <w:rPr>
                <w:sz w:val="20"/>
                <w:lang w:val="en-US"/>
              </w:rPr>
            </w:pPr>
            <w:r>
              <w:rPr>
                <w:bCs/>
                <w:sz w:val="20"/>
                <w:lang w:val="en-US"/>
              </w:rPr>
              <w:t>Required additional guardband (MHz)</w:t>
            </w:r>
          </w:p>
        </w:tc>
        <w:tc>
          <w:tcPr>
            <w:tcW w:w="1044" w:type="dxa"/>
          </w:tcPr>
          <w:p w:rsidR="00B9359B" w:rsidRDefault="009A5268">
            <w:pPr>
              <w:pStyle w:val="Tabletext"/>
              <w:framePr w:hSpace="181" w:wrap="notBeside" w:vAnchor="text" w:hAnchor="text" w:xAlign="center" w:y="1"/>
              <w:jc w:val="center"/>
              <w:rPr>
                <w:sz w:val="20"/>
                <w:lang w:val="en-US"/>
              </w:rPr>
            </w:pPr>
            <w:r>
              <w:rPr>
                <w:sz w:val="20"/>
                <w:lang w:val="en-US"/>
              </w:rPr>
              <w:t>12</w:t>
            </w:r>
          </w:p>
        </w:tc>
        <w:tc>
          <w:tcPr>
            <w:tcW w:w="1087" w:type="dxa"/>
          </w:tcPr>
          <w:p w:rsidR="00B9359B" w:rsidRDefault="009A5268">
            <w:pPr>
              <w:pStyle w:val="Tabletext"/>
              <w:framePr w:hSpace="181" w:wrap="notBeside" w:vAnchor="text" w:hAnchor="text" w:xAlign="center" w:y="1"/>
              <w:jc w:val="center"/>
              <w:rPr>
                <w:sz w:val="20"/>
                <w:lang w:val="en-US"/>
              </w:rPr>
            </w:pPr>
            <w:r>
              <w:rPr>
                <w:sz w:val="20"/>
                <w:lang w:val="en-US"/>
              </w:rPr>
              <w:t>0</w:t>
            </w:r>
          </w:p>
        </w:tc>
        <w:tc>
          <w:tcPr>
            <w:tcW w:w="1050" w:type="dxa"/>
            <w:gridSpan w:val="3"/>
          </w:tcPr>
          <w:p w:rsidR="00B9359B" w:rsidRDefault="009A5268">
            <w:pPr>
              <w:pStyle w:val="Tabletext"/>
              <w:framePr w:hSpace="181" w:wrap="notBeside" w:vAnchor="text" w:hAnchor="text" w:xAlign="center" w:y="1"/>
              <w:jc w:val="center"/>
              <w:rPr>
                <w:sz w:val="20"/>
                <w:lang w:val="en-US"/>
              </w:rPr>
            </w:pPr>
            <w:r>
              <w:rPr>
                <w:sz w:val="20"/>
                <w:lang w:val="en-US"/>
              </w:rPr>
              <w:t>0</w:t>
            </w:r>
          </w:p>
        </w:tc>
        <w:tc>
          <w:tcPr>
            <w:tcW w:w="1049" w:type="dxa"/>
            <w:gridSpan w:val="2"/>
          </w:tcPr>
          <w:p w:rsidR="00B9359B" w:rsidRDefault="009A5268">
            <w:pPr>
              <w:pStyle w:val="Tabletext"/>
              <w:framePr w:hSpace="181" w:wrap="notBeside" w:vAnchor="text" w:hAnchor="text" w:xAlign="center" w:y="1"/>
              <w:jc w:val="center"/>
              <w:rPr>
                <w:sz w:val="20"/>
                <w:lang w:val="en-US"/>
              </w:rPr>
            </w:pPr>
            <w:r>
              <w:rPr>
                <w:sz w:val="20"/>
                <w:lang w:val="en-US"/>
              </w:rPr>
              <w:t>0</w:t>
            </w:r>
          </w:p>
        </w:tc>
        <w:tc>
          <w:tcPr>
            <w:tcW w:w="948" w:type="dxa"/>
          </w:tcPr>
          <w:p w:rsidR="00B9359B" w:rsidRDefault="009A5268">
            <w:pPr>
              <w:pStyle w:val="Tabletext"/>
              <w:framePr w:hSpace="181" w:wrap="notBeside" w:vAnchor="text" w:hAnchor="text" w:xAlign="center" w:y="1"/>
              <w:jc w:val="center"/>
              <w:rPr>
                <w:sz w:val="20"/>
                <w:lang w:val="en-US"/>
              </w:rPr>
            </w:pPr>
            <w:r>
              <w:rPr>
                <w:sz w:val="20"/>
                <w:lang w:val="en-US"/>
              </w:rPr>
              <w:t>0</w:t>
            </w:r>
          </w:p>
        </w:tc>
        <w:tc>
          <w:tcPr>
            <w:tcW w:w="980" w:type="dxa"/>
          </w:tcPr>
          <w:p w:rsidR="00B9359B" w:rsidRDefault="009A5268">
            <w:pPr>
              <w:pStyle w:val="Tabletext"/>
              <w:framePr w:hSpace="181" w:wrap="notBeside" w:vAnchor="text" w:hAnchor="text" w:xAlign="center" w:y="1"/>
              <w:jc w:val="center"/>
              <w:rPr>
                <w:sz w:val="20"/>
                <w:lang w:val="en-US"/>
              </w:rPr>
            </w:pPr>
            <w:r>
              <w:rPr>
                <w:sz w:val="20"/>
                <w:lang w:val="en-US"/>
              </w:rPr>
              <w:t>0</w:t>
            </w:r>
          </w:p>
        </w:tc>
        <w:tc>
          <w:tcPr>
            <w:tcW w:w="1116" w:type="dxa"/>
          </w:tcPr>
          <w:p w:rsidR="00B9359B" w:rsidRDefault="009A5268">
            <w:pPr>
              <w:pStyle w:val="Tabletext"/>
              <w:framePr w:hSpace="181" w:wrap="notBeside" w:vAnchor="text" w:hAnchor="text" w:xAlign="center" w:y="1"/>
              <w:jc w:val="center"/>
              <w:rPr>
                <w:sz w:val="20"/>
                <w:lang w:val="en-US"/>
              </w:rPr>
            </w:pPr>
            <w:r>
              <w:rPr>
                <w:sz w:val="20"/>
                <w:lang w:val="en-US"/>
              </w:rPr>
              <w:t>0</w:t>
            </w:r>
          </w:p>
        </w:tc>
      </w:tr>
      <w:tr w:rsidR="00B9359B">
        <w:trPr>
          <w:cantSplit/>
        </w:trPr>
        <w:tc>
          <w:tcPr>
            <w:tcW w:w="9639" w:type="dxa"/>
            <w:gridSpan w:val="12"/>
            <w:shd w:val="clear" w:color="auto" w:fill="FFFFFF"/>
          </w:tcPr>
          <w:p w:rsidR="00B9359B" w:rsidRDefault="009A5268">
            <w:pPr>
              <w:pStyle w:val="Tabletext"/>
              <w:framePr w:hSpace="181" w:wrap="notBeside" w:vAnchor="text" w:hAnchor="text" w:xAlign="center" w:y="1"/>
              <w:spacing w:before="80" w:after="80"/>
              <w:rPr>
                <w:b/>
                <w:i/>
                <w:iCs/>
                <w:sz w:val="20"/>
                <w:lang w:val="en-US"/>
              </w:rPr>
            </w:pPr>
            <w:r>
              <w:rPr>
                <w:i/>
                <w:iCs/>
                <w:sz w:val="20"/>
                <w:lang w:val="en-US"/>
              </w:rPr>
              <w:t>Case 2 – Transmitter side-lobe</w:t>
            </w:r>
          </w:p>
        </w:tc>
      </w:tr>
      <w:tr w:rsidR="00B9359B">
        <w:tc>
          <w:tcPr>
            <w:tcW w:w="2350" w:type="dxa"/>
          </w:tcPr>
          <w:p w:rsidR="00B9359B" w:rsidRDefault="009A5268">
            <w:pPr>
              <w:pStyle w:val="Tabletext"/>
              <w:framePr w:hSpace="181" w:wrap="notBeside" w:vAnchor="text" w:hAnchor="text" w:xAlign="center" w:y="1"/>
              <w:ind w:right="-57"/>
              <w:jc w:val="left"/>
              <w:rPr>
                <w:sz w:val="20"/>
                <w:lang w:val="en-US"/>
              </w:rPr>
            </w:pPr>
            <w:r>
              <w:rPr>
                <w:bCs/>
                <w:sz w:val="20"/>
                <w:lang w:val="en-US"/>
              </w:rPr>
              <w:t>Conical scan mainbeam (dB)</w:t>
            </w:r>
          </w:p>
        </w:tc>
        <w:tc>
          <w:tcPr>
            <w:tcW w:w="1059" w:type="dxa"/>
            <w:gridSpan w:val="2"/>
            <w:tcBorders>
              <w:bottom w:val="nil"/>
            </w:tcBorders>
          </w:tcPr>
          <w:p w:rsidR="00B9359B" w:rsidRDefault="009A5268">
            <w:pPr>
              <w:pStyle w:val="Tabletext"/>
              <w:framePr w:hSpace="181" w:wrap="notBeside" w:vAnchor="text" w:hAnchor="text" w:xAlign="center" w:y="1"/>
              <w:jc w:val="center"/>
              <w:rPr>
                <w:sz w:val="20"/>
                <w:lang w:val="en-US"/>
              </w:rPr>
            </w:pPr>
            <w:r>
              <w:rPr>
                <w:sz w:val="20"/>
                <w:lang w:val="en-US"/>
              </w:rPr>
              <w:t>–18.9</w:t>
            </w:r>
          </w:p>
        </w:tc>
        <w:tc>
          <w:tcPr>
            <w:tcW w:w="1087" w:type="dxa"/>
            <w:tcBorders>
              <w:bottom w:val="nil"/>
            </w:tcBorders>
          </w:tcPr>
          <w:p w:rsidR="00B9359B" w:rsidRDefault="009A5268">
            <w:pPr>
              <w:pStyle w:val="Tabletext"/>
              <w:framePr w:hSpace="181" w:wrap="notBeside" w:vAnchor="text" w:hAnchor="text" w:xAlign="center" w:y="1"/>
              <w:jc w:val="center"/>
              <w:rPr>
                <w:sz w:val="20"/>
                <w:lang w:val="en-US"/>
              </w:rPr>
            </w:pPr>
            <w:r>
              <w:rPr>
                <w:sz w:val="20"/>
                <w:lang w:val="en-US"/>
              </w:rPr>
              <w:t>–11.3</w:t>
            </w:r>
          </w:p>
        </w:tc>
        <w:tc>
          <w:tcPr>
            <w:tcW w:w="1036" w:type="dxa"/>
            <w:gridSpan w:val="2"/>
            <w:tcBorders>
              <w:bottom w:val="nil"/>
            </w:tcBorders>
          </w:tcPr>
          <w:p w:rsidR="00B9359B" w:rsidRDefault="009A5268">
            <w:pPr>
              <w:pStyle w:val="Tabletext"/>
              <w:framePr w:hSpace="181" w:wrap="notBeside" w:vAnchor="text" w:hAnchor="text" w:xAlign="center" w:y="1"/>
              <w:jc w:val="center"/>
              <w:rPr>
                <w:sz w:val="20"/>
                <w:lang w:val="en-US"/>
              </w:rPr>
            </w:pPr>
            <w:r>
              <w:rPr>
                <w:sz w:val="20"/>
                <w:lang w:val="en-US"/>
              </w:rPr>
              <w:t>–19.4</w:t>
            </w:r>
          </w:p>
        </w:tc>
        <w:tc>
          <w:tcPr>
            <w:tcW w:w="1028" w:type="dxa"/>
            <w:gridSpan w:val="2"/>
            <w:tcBorders>
              <w:bottom w:val="nil"/>
            </w:tcBorders>
          </w:tcPr>
          <w:p w:rsidR="00B9359B" w:rsidRDefault="009A5268">
            <w:pPr>
              <w:pStyle w:val="Tabletext"/>
              <w:framePr w:hSpace="181" w:wrap="notBeside" w:vAnchor="text" w:hAnchor="text" w:xAlign="center" w:y="1"/>
              <w:jc w:val="center"/>
              <w:rPr>
                <w:sz w:val="20"/>
                <w:lang w:val="en-US"/>
              </w:rPr>
            </w:pPr>
            <w:r>
              <w:rPr>
                <w:sz w:val="20"/>
                <w:lang w:val="en-US"/>
              </w:rPr>
              <w:t>–3.3</w:t>
            </w:r>
          </w:p>
        </w:tc>
        <w:tc>
          <w:tcPr>
            <w:tcW w:w="983" w:type="dxa"/>
            <w:gridSpan w:val="2"/>
            <w:tcBorders>
              <w:bottom w:val="nil"/>
            </w:tcBorders>
          </w:tcPr>
          <w:p w:rsidR="00B9359B" w:rsidRDefault="009A5268">
            <w:pPr>
              <w:pStyle w:val="Tabletext"/>
              <w:framePr w:hSpace="181" w:wrap="notBeside" w:vAnchor="text" w:hAnchor="text" w:xAlign="center" w:y="1"/>
              <w:jc w:val="center"/>
              <w:rPr>
                <w:sz w:val="20"/>
                <w:lang w:val="en-US"/>
              </w:rPr>
            </w:pPr>
            <w:r>
              <w:rPr>
                <w:sz w:val="20"/>
                <w:lang w:val="en-US"/>
              </w:rPr>
              <w:t>–30.1</w:t>
            </w:r>
          </w:p>
        </w:tc>
        <w:tc>
          <w:tcPr>
            <w:tcW w:w="980" w:type="dxa"/>
            <w:tcBorders>
              <w:bottom w:val="nil"/>
            </w:tcBorders>
          </w:tcPr>
          <w:p w:rsidR="00B9359B" w:rsidRDefault="009A5268">
            <w:pPr>
              <w:pStyle w:val="Tabletext"/>
              <w:framePr w:hSpace="181" w:wrap="notBeside" w:vAnchor="text" w:hAnchor="text" w:xAlign="center" w:y="1"/>
              <w:jc w:val="center"/>
              <w:rPr>
                <w:sz w:val="20"/>
                <w:lang w:val="en-US"/>
              </w:rPr>
            </w:pPr>
            <w:r>
              <w:rPr>
                <w:sz w:val="20"/>
                <w:lang w:val="en-US"/>
              </w:rPr>
              <w:t>–14.6</w:t>
            </w:r>
          </w:p>
        </w:tc>
        <w:tc>
          <w:tcPr>
            <w:tcW w:w="1116" w:type="dxa"/>
            <w:tcBorders>
              <w:bottom w:val="nil"/>
            </w:tcBorders>
          </w:tcPr>
          <w:p w:rsidR="00B9359B" w:rsidRDefault="009A5268">
            <w:pPr>
              <w:pStyle w:val="Tabletext"/>
              <w:framePr w:hSpace="181" w:wrap="notBeside" w:vAnchor="text" w:hAnchor="text" w:xAlign="center" w:y="1"/>
              <w:jc w:val="center"/>
              <w:rPr>
                <w:sz w:val="20"/>
                <w:lang w:val="en-US"/>
              </w:rPr>
            </w:pPr>
            <w:r>
              <w:rPr>
                <w:sz w:val="20"/>
                <w:lang w:val="en-US"/>
              </w:rPr>
              <w:t>–8.3</w:t>
            </w:r>
          </w:p>
        </w:tc>
      </w:tr>
      <w:tr w:rsidR="00B9359B">
        <w:tc>
          <w:tcPr>
            <w:tcW w:w="2350" w:type="dxa"/>
          </w:tcPr>
          <w:p w:rsidR="00B9359B" w:rsidRDefault="009A5268">
            <w:pPr>
              <w:pStyle w:val="Tabletext"/>
              <w:framePr w:hSpace="181" w:wrap="notBeside" w:vAnchor="text" w:hAnchor="text" w:xAlign="center" w:y="1"/>
              <w:ind w:right="-57"/>
              <w:jc w:val="left"/>
              <w:rPr>
                <w:sz w:val="20"/>
                <w:lang w:val="en-US"/>
              </w:rPr>
            </w:pPr>
            <w:r>
              <w:rPr>
                <w:bCs/>
                <w:sz w:val="20"/>
                <w:lang w:val="en-US"/>
              </w:rPr>
              <w:t xml:space="preserve">Offset from centre </w:t>
            </w:r>
            <w:r>
              <w:rPr>
                <w:i/>
                <w:iCs/>
                <w:sz w:val="20"/>
                <w:lang w:val="en-US"/>
              </w:rPr>
              <w:t>B</w:t>
            </w:r>
            <w:r>
              <w:rPr>
                <w:i/>
                <w:iCs/>
                <w:sz w:val="20"/>
                <w:vertAlign w:val="subscript"/>
                <w:lang w:val="en-US"/>
              </w:rPr>
              <w:t>N</w:t>
            </w:r>
            <w:r>
              <w:rPr>
                <w:sz w:val="20"/>
                <w:lang w:val="en-US"/>
              </w:rPr>
              <w:t xml:space="preserve"> (%)</w:t>
            </w:r>
          </w:p>
        </w:tc>
        <w:tc>
          <w:tcPr>
            <w:tcW w:w="1059" w:type="dxa"/>
            <w:gridSpan w:val="2"/>
          </w:tcPr>
          <w:p w:rsidR="00B9359B" w:rsidRDefault="009A5268">
            <w:pPr>
              <w:pStyle w:val="Tabletext"/>
              <w:framePr w:hSpace="181" w:wrap="notBeside" w:vAnchor="text" w:hAnchor="text" w:xAlign="center" w:y="1"/>
              <w:jc w:val="center"/>
              <w:rPr>
                <w:sz w:val="20"/>
                <w:lang w:val="en-US"/>
              </w:rPr>
            </w:pPr>
            <w:r>
              <w:rPr>
                <w:sz w:val="20"/>
                <w:lang w:val="en-US"/>
              </w:rPr>
              <w:t>65</w:t>
            </w:r>
          </w:p>
        </w:tc>
        <w:tc>
          <w:tcPr>
            <w:tcW w:w="1087" w:type="dxa"/>
          </w:tcPr>
          <w:p w:rsidR="00B9359B" w:rsidRDefault="009A5268">
            <w:pPr>
              <w:pStyle w:val="Tabletext"/>
              <w:framePr w:hSpace="181" w:wrap="notBeside" w:vAnchor="text" w:hAnchor="text" w:xAlign="center" w:y="1"/>
              <w:jc w:val="center"/>
              <w:rPr>
                <w:sz w:val="20"/>
                <w:lang w:val="en-US"/>
              </w:rPr>
            </w:pPr>
            <w:r>
              <w:rPr>
                <w:sz w:val="20"/>
                <w:lang w:val="en-US"/>
              </w:rPr>
              <w:t>50</w:t>
            </w:r>
          </w:p>
        </w:tc>
        <w:tc>
          <w:tcPr>
            <w:tcW w:w="1036" w:type="dxa"/>
            <w:gridSpan w:val="2"/>
          </w:tcPr>
          <w:p w:rsidR="00B9359B" w:rsidRDefault="009A5268">
            <w:pPr>
              <w:pStyle w:val="Tabletext"/>
              <w:framePr w:hSpace="181" w:wrap="notBeside" w:vAnchor="text" w:hAnchor="text" w:xAlign="center" w:y="1"/>
              <w:jc w:val="center"/>
              <w:rPr>
                <w:sz w:val="20"/>
                <w:lang w:val="en-US"/>
              </w:rPr>
            </w:pPr>
            <w:r>
              <w:rPr>
                <w:sz w:val="20"/>
                <w:lang w:val="en-US"/>
              </w:rPr>
              <w:t>70</w:t>
            </w:r>
          </w:p>
        </w:tc>
        <w:tc>
          <w:tcPr>
            <w:tcW w:w="1028" w:type="dxa"/>
            <w:gridSpan w:val="2"/>
          </w:tcPr>
          <w:p w:rsidR="00B9359B" w:rsidRDefault="009A5268">
            <w:pPr>
              <w:pStyle w:val="Tabletext"/>
              <w:framePr w:hSpace="181" w:wrap="notBeside" w:vAnchor="text" w:hAnchor="text" w:xAlign="center" w:y="1"/>
              <w:jc w:val="center"/>
              <w:rPr>
                <w:sz w:val="20"/>
                <w:lang w:val="en-US"/>
              </w:rPr>
            </w:pPr>
            <w:r>
              <w:rPr>
                <w:sz w:val="20"/>
                <w:lang w:val="en-US"/>
              </w:rPr>
              <w:t>50</w:t>
            </w:r>
          </w:p>
        </w:tc>
        <w:tc>
          <w:tcPr>
            <w:tcW w:w="983" w:type="dxa"/>
            <w:gridSpan w:val="2"/>
          </w:tcPr>
          <w:p w:rsidR="00B9359B" w:rsidRDefault="009A5268">
            <w:pPr>
              <w:pStyle w:val="Tabletext"/>
              <w:framePr w:hSpace="181" w:wrap="notBeside" w:vAnchor="text" w:hAnchor="text" w:xAlign="center" w:y="1"/>
              <w:jc w:val="center"/>
              <w:rPr>
                <w:sz w:val="20"/>
                <w:lang w:val="en-US"/>
              </w:rPr>
            </w:pPr>
            <w:r>
              <w:rPr>
                <w:sz w:val="20"/>
                <w:lang w:val="en-US"/>
              </w:rPr>
              <w:t>80</w:t>
            </w:r>
          </w:p>
        </w:tc>
        <w:tc>
          <w:tcPr>
            <w:tcW w:w="980" w:type="dxa"/>
          </w:tcPr>
          <w:p w:rsidR="00B9359B" w:rsidRDefault="009A5268">
            <w:pPr>
              <w:pStyle w:val="Tabletext"/>
              <w:framePr w:hSpace="181" w:wrap="notBeside" w:vAnchor="text" w:hAnchor="text" w:xAlign="center" w:y="1"/>
              <w:jc w:val="center"/>
              <w:rPr>
                <w:sz w:val="20"/>
                <w:lang w:val="en-US"/>
              </w:rPr>
            </w:pPr>
            <w:r>
              <w:rPr>
                <w:sz w:val="20"/>
                <w:lang w:val="en-US"/>
              </w:rPr>
              <w:t>50</w:t>
            </w:r>
          </w:p>
        </w:tc>
        <w:tc>
          <w:tcPr>
            <w:tcW w:w="1116" w:type="dxa"/>
          </w:tcPr>
          <w:p w:rsidR="00B9359B" w:rsidRDefault="009A5268">
            <w:pPr>
              <w:pStyle w:val="Tabletext"/>
              <w:framePr w:hSpace="181" w:wrap="notBeside" w:vAnchor="text" w:hAnchor="text" w:xAlign="center" w:y="1"/>
              <w:jc w:val="center"/>
              <w:rPr>
                <w:sz w:val="20"/>
                <w:lang w:val="en-US"/>
              </w:rPr>
            </w:pPr>
            <w:r>
              <w:rPr>
                <w:sz w:val="20"/>
                <w:lang w:val="en-US"/>
              </w:rPr>
              <w:t>50</w:t>
            </w:r>
          </w:p>
        </w:tc>
      </w:tr>
      <w:tr w:rsidR="00B9359B">
        <w:tc>
          <w:tcPr>
            <w:tcW w:w="2350" w:type="dxa"/>
            <w:tcBorders>
              <w:bottom w:val="nil"/>
            </w:tcBorders>
          </w:tcPr>
          <w:p w:rsidR="00B9359B" w:rsidRDefault="009A5268">
            <w:pPr>
              <w:pStyle w:val="Tabletext"/>
              <w:framePr w:hSpace="181" w:wrap="notBeside" w:vAnchor="text" w:hAnchor="text" w:xAlign="center" w:y="1"/>
              <w:ind w:right="-57"/>
              <w:jc w:val="left"/>
              <w:rPr>
                <w:sz w:val="20"/>
                <w:lang w:val="en-US"/>
              </w:rPr>
            </w:pPr>
            <w:r>
              <w:rPr>
                <w:bCs/>
                <w:sz w:val="20"/>
                <w:lang w:val="en-US"/>
              </w:rPr>
              <w:t xml:space="preserve">Offset from centre </w:t>
            </w:r>
            <w:r>
              <w:rPr>
                <w:i/>
                <w:iCs/>
                <w:sz w:val="20"/>
                <w:lang w:val="en-US"/>
              </w:rPr>
              <w:t>B</w:t>
            </w:r>
            <w:r>
              <w:rPr>
                <w:i/>
                <w:iCs/>
                <w:sz w:val="20"/>
                <w:vertAlign w:val="subscript"/>
                <w:lang w:val="en-US"/>
              </w:rPr>
              <w:t>N</w:t>
            </w:r>
            <w:r>
              <w:rPr>
                <w:sz w:val="20"/>
                <w:lang w:val="en-US"/>
              </w:rPr>
              <w:t xml:space="preserve"> (MHz)</w:t>
            </w:r>
          </w:p>
        </w:tc>
        <w:tc>
          <w:tcPr>
            <w:tcW w:w="1059" w:type="dxa"/>
            <w:gridSpan w:val="2"/>
            <w:tcBorders>
              <w:bottom w:val="nil"/>
            </w:tcBorders>
          </w:tcPr>
          <w:p w:rsidR="00B9359B" w:rsidRDefault="009A5268">
            <w:pPr>
              <w:pStyle w:val="Tabletext"/>
              <w:framePr w:hSpace="181" w:wrap="notBeside" w:vAnchor="text" w:hAnchor="text" w:xAlign="center" w:y="1"/>
              <w:jc w:val="center"/>
              <w:rPr>
                <w:sz w:val="20"/>
                <w:lang w:val="en-US"/>
              </w:rPr>
            </w:pPr>
            <w:r>
              <w:rPr>
                <w:sz w:val="20"/>
                <w:lang w:val="en-US"/>
              </w:rPr>
              <w:t>122</w:t>
            </w:r>
          </w:p>
        </w:tc>
        <w:tc>
          <w:tcPr>
            <w:tcW w:w="1087" w:type="dxa"/>
            <w:tcBorders>
              <w:bottom w:val="nil"/>
            </w:tcBorders>
          </w:tcPr>
          <w:p w:rsidR="00B9359B" w:rsidRDefault="009A5268">
            <w:pPr>
              <w:pStyle w:val="Tabletext"/>
              <w:framePr w:hSpace="181" w:wrap="notBeside" w:vAnchor="text" w:hAnchor="text" w:xAlign="center" w:y="1"/>
              <w:jc w:val="center"/>
              <w:rPr>
                <w:sz w:val="20"/>
                <w:lang w:val="en-US"/>
              </w:rPr>
            </w:pPr>
            <w:r>
              <w:rPr>
                <w:sz w:val="20"/>
                <w:lang w:val="en-US"/>
              </w:rPr>
              <w:t>1.5</w:t>
            </w:r>
          </w:p>
        </w:tc>
        <w:tc>
          <w:tcPr>
            <w:tcW w:w="1036" w:type="dxa"/>
            <w:gridSpan w:val="2"/>
            <w:tcBorders>
              <w:bottom w:val="nil"/>
            </w:tcBorders>
          </w:tcPr>
          <w:p w:rsidR="00B9359B" w:rsidRDefault="009A5268">
            <w:pPr>
              <w:pStyle w:val="Tabletext"/>
              <w:framePr w:hSpace="181" w:wrap="notBeside" w:vAnchor="text" w:hAnchor="text" w:xAlign="center" w:y="1"/>
              <w:jc w:val="center"/>
              <w:rPr>
                <w:sz w:val="20"/>
                <w:lang w:val="en-US"/>
              </w:rPr>
            </w:pPr>
            <w:r>
              <w:rPr>
                <w:sz w:val="20"/>
                <w:lang w:val="en-US"/>
              </w:rPr>
              <w:t>350</w:t>
            </w:r>
          </w:p>
        </w:tc>
        <w:tc>
          <w:tcPr>
            <w:tcW w:w="1028" w:type="dxa"/>
            <w:gridSpan w:val="2"/>
            <w:tcBorders>
              <w:bottom w:val="nil"/>
            </w:tcBorders>
          </w:tcPr>
          <w:p w:rsidR="00B9359B" w:rsidRDefault="009A5268">
            <w:pPr>
              <w:pStyle w:val="Tabletext"/>
              <w:framePr w:hSpace="181" w:wrap="notBeside" w:vAnchor="text" w:hAnchor="text" w:xAlign="center" w:y="1"/>
              <w:jc w:val="center"/>
              <w:rPr>
                <w:sz w:val="20"/>
                <w:lang w:val="en-US"/>
              </w:rPr>
            </w:pPr>
            <w:r>
              <w:rPr>
                <w:sz w:val="20"/>
                <w:lang w:val="en-US"/>
              </w:rPr>
              <w:t>125</w:t>
            </w:r>
          </w:p>
        </w:tc>
        <w:tc>
          <w:tcPr>
            <w:tcW w:w="983" w:type="dxa"/>
            <w:gridSpan w:val="2"/>
            <w:tcBorders>
              <w:bottom w:val="nil"/>
            </w:tcBorders>
          </w:tcPr>
          <w:p w:rsidR="00B9359B" w:rsidRDefault="009A5268">
            <w:pPr>
              <w:pStyle w:val="Tabletext"/>
              <w:framePr w:hSpace="181" w:wrap="notBeside" w:vAnchor="text" w:hAnchor="text" w:xAlign="center" w:y="1"/>
              <w:jc w:val="center"/>
              <w:rPr>
                <w:sz w:val="20"/>
                <w:lang w:val="en-US"/>
              </w:rPr>
            </w:pPr>
            <w:r>
              <w:rPr>
                <w:sz w:val="20"/>
                <w:lang w:val="en-US"/>
              </w:rPr>
              <w:t>0.07</w:t>
            </w:r>
          </w:p>
        </w:tc>
        <w:tc>
          <w:tcPr>
            <w:tcW w:w="980" w:type="dxa"/>
            <w:tcBorders>
              <w:bottom w:val="nil"/>
            </w:tcBorders>
          </w:tcPr>
          <w:p w:rsidR="00B9359B" w:rsidRDefault="009A5268">
            <w:pPr>
              <w:pStyle w:val="Tabletext"/>
              <w:framePr w:hSpace="181" w:wrap="notBeside" w:vAnchor="text" w:hAnchor="text" w:xAlign="center" w:y="1"/>
              <w:jc w:val="center"/>
              <w:rPr>
                <w:sz w:val="20"/>
                <w:lang w:val="en-US"/>
              </w:rPr>
            </w:pPr>
            <w:r>
              <w:rPr>
                <w:sz w:val="20"/>
                <w:lang w:val="en-US"/>
              </w:rPr>
              <w:t>0.04</w:t>
            </w:r>
          </w:p>
        </w:tc>
        <w:tc>
          <w:tcPr>
            <w:tcW w:w="1116" w:type="dxa"/>
            <w:tcBorders>
              <w:bottom w:val="nil"/>
            </w:tcBorders>
          </w:tcPr>
          <w:p w:rsidR="00B9359B" w:rsidRDefault="009A5268">
            <w:pPr>
              <w:pStyle w:val="Tabletext"/>
              <w:framePr w:hSpace="181" w:wrap="notBeside" w:vAnchor="text" w:hAnchor="text" w:xAlign="center" w:y="1"/>
              <w:jc w:val="center"/>
              <w:rPr>
                <w:sz w:val="20"/>
                <w:lang w:val="en-US"/>
              </w:rPr>
            </w:pPr>
            <w:r>
              <w:rPr>
                <w:sz w:val="20"/>
                <w:lang w:val="en-US"/>
              </w:rPr>
              <w:t>0.17</w:t>
            </w:r>
          </w:p>
        </w:tc>
      </w:tr>
      <w:tr w:rsidR="00B9359B">
        <w:tc>
          <w:tcPr>
            <w:tcW w:w="2350" w:type="dxa"/>
            <w:tcBorders>
              <w:bottom w:val="nil"/>
            </w:tcBorders>
          </w:tcPr>
          <w:p w:rsidR="00B9359B" w:rsidRDefault="009A5268">
            <w:pPr>
              <w:pStyle w:val="Tabletext"/>
              <w:framePr w:hSpace="181" w:wrap="notBeside" w:vAnchor="text" w:hAnchor="text" w:xAlign="center" w:y="1"/>
              <w:ind w:right="-57"/>
              <w:jc w:val="left"/>
              <w:rPr>
                <w:sz w:val="20"/>
                <w:lang w:val="en-US"/>
              </w:rPr>
            </w:pPr>
            <w:r>
              <w:rPr>
                <w:bCs/>
                <w:sz w:val="20"/>
                <w:lang w:val="en-US"/>
              </w:rPr>
              <w:t>Required additional guardband (MHz)</w:t>
            </w:r>
          </w:p>
        </w:tc>
        <w:tc>
          <w:tcPr>
            <w:tcW w:w="1059" w:type="dxa"/>
            <w:gridSpan w:val="2"/>
            <w:tcBorders>
              <w:bottom w:val="single" w:sz="4" w:space="0" w:color="auto"/>
            </w:tcBorders>
          </w:tcPr>
          <w:p w:rsidR="00B9359B" w:rsidRDefault="009A5268">
            <w:pPr>
              <w:pStyle w:val="Tabletext"/>
              <w:framePr w:hSpace="181" w:wrap="notBeside" w:vAnchor="text" w:hAnchor="text" w:xAlign="center" w:y="1"/>
              <w:jc w:val="center"/>
              <w:rPr>
                <w:sz w:val="20"/>
                <w:lang w:val="en-US"/>
              </w:rPr>
            </w:pPr>
            <w:r>
              <w:rPr>
                <w:sz w:val="20"/>
                <w:lang w:val="en-US"/>
              </w:rPr>
              <w:t>0</w:t>
            </w:r>
          </w:p>
        </w:tc>
        <w:tc>
          <w:tcPr>
            <w:tcW w:w="1087" w:type="dxa"/>
            <w:tcBorders>
              <w:bottom w:val="single" w:sz="4" w:space="0" w:color="auto"/>
            </w:tcBorders>
          </w:tcPr>
          <w:p w:rsidR="00B9359B" w:rsidRDefault="009A5268">
            <w:pPr>
              <w:pStyle w:val="Tabletext"/>
              <w:framePr w:hSpace="181" w:wrap="notBeside" w:vAnchor="text" w:hAnchor="text" w:xAlign="center" w:y="1"/>
              <w:jc w:val="center"/>
              <w:rPr>
                <w:sz w:val="20"/>
                <w:lang w:val="en-US"/>
              </w:rPr>
            </w:pPr>
            <w:r>
              <w:rPr>
                <w:sz w:val="20"/>
                <w:lang w:val="en-US"/>
              </w:rPr>
              <w:t>0</w:t>
            </w:r>
          </w:p>
        </w:tc>
        <w:tc>
          <w:tcPr>
            <w:tcW w:w="1036" w:type="dxa"/>
            <w:gridSpan w:val="2"/>
            <w:tcBorders>
              <w:bottom w:val="single" w:sz="4" w:space="0" w:color="auto"/>
            </w:tcBorders>
          </w:tcPr>
          <w:p w:rsidR="00B9359B" w:rsidRDefault="009A5268">
            <w:pPr>
              <w:pStyle w:val="Tabletext"/>
              <w:framePr w:hSpace="181" w:wrap="notBeside" w:vAnchor="text" w:hAnchor="text" w:xAlign="center" w:y="1"/>
              <w:jc w:val="center"/>
              <w:rPr>
                <w:sz w:val="20"/>
                <w:lang w:val="en-US"/>
              </w:rPr>
            </w:pPr>
            <w:r>
              <w:rPr>
                <w:sz w:val="20"/>
                <w:lang w:val="en-US"/>
              </w:rPr>
              <w:t>0</w:t>
            </w:r>
          </w:p>
        </w:tc>
        <w:tc>
          <w:tcPr>
            <w:tcW w:w="1028" w:type="dxa"/>
            <w:gridSpan w:val="2"/>
            <w:tcBorders>
              <w:bottom w:val="single" w:sz="4" w:space="0" w:color="auto"/>
            </w:tcBorders>
          </w:tcPr>
          <w:p w:rsidR="00B9359B" w:rsidRDefault="009A5268">
            <w:pPr>
              <w:pStyle w:val="Tabletext"/>
              <w:framePr w:hSpace="181" w:wrap="notBeside" w:vAnchor="text" w:hAnchor="text" w:xAlign="center" w:y="1"/>
              <w:jc w:val="center"/>
              <w:rPr>
                <w:sz w:val="20"/>
                <w:lang w:val="en-US"/>
              </w:rPr>
            </w:pPr>
            <w:r>
              <w:rPr>
                <w:sz w:val="20"/>
                <w:lang w:val="en-US"/>
              </w:rPr>
              <w:t>0</w:t>
            </w:r>
          </w:p>
        </w:tc>
        <w:tc>
          <w:tcPr>
            <w:tcW w:w="983" w:type="dxa"/>
            <w:gridSpan w:val="2"/>
            <w:tcBorders>
              <w:bottom w:val="single" w:sz="4" w:space="0" w:color="auto"/>
            </w:tcBorders>
          </w:tcPr>
          <w:p w:rsidR="00B9359B" w:rsidRDefault="009A5268">
            <w:pPr>
              <w:pStyle w:val="Tabletext"/>
              <w:framePr w:hSpace="181" w:wrap="notBeside" w:vAnchor="text" w:hAnchor="text" w:xAlign="center" w:y="1"/>
              <w:jc w:val="center"/>
              <w:rPr>
                <w:sz w:val="20"/>
                <w:lang w:val="en-US"/>
              </w:rPr>
            </w:pPr>
            <w:r>
              <w:rPr>
                <w:sz w:val="20"/>
                <w:lang w:val="en-US"/>
              </w:rPr>
              <w:t>0</w:t>
            </w:r>
          </w:p>
        </w:tc>
        <w:tc>
          <w:tcPr>
            <w:tcW w:w="980" w:type="dxa"/>
            <w:tcBorders>
              <w:bottom w:val="single" w:sz="4" w:space="0" w:color="auto"/>
            </w:tcBorders>
          </w:tcPr>
          <w:p w:rsidR="00B9359B" w:rsidRDefault="009A5268">
            <w:pPr>
              <w:pStyle w:val="Tabletext"/>
              <w:framePr w:hSpace="181" w:wrap="notBeside" w:vAnchor="text" w:hAnchor="text" w:xAlign="center" w:y="1"/>
              <w:jc w:val="center"/>
              <w:rPr>
                <w:sz w:val="20"/>
                <w:lang w:val="en-US"/>
              </w:rPr>
            </w:pPr>
            <w:r>
              <w:rPr>
                <w:sz w:val="20"/>
                <w:lang w:val="en-US"/>
              </w:rPr>
              <w:t>0</w:t>
            </w:r>
          </w:p>
        </w:tc>
        <w:tc>
          <w:tcPr>
            <w:tcW w:w="1116" w:type="dxa"/>
            <w:tcBorders>
              <w:bottom w:val="single" w:sz="4" w:space="0" w:color="auto"/>
            </w:tcBorders>
          </w:tcPr>
          <w:p w:rsidR="00B9359B" w:rsidRDefault="009A5268">
            <w:pPr>
              <w:pStyle w:val="Tabletext"/>
              <w:framePr w:hSpace="181" w:wrap="notBeside" w:vAnchor="text" w:hAnchor="text" w:xAlign="center" w:y="1"/>
              <w:jc w:val="center"/>
              <w:rPr>
                <w:sz w:val="20"/>
                <w:lang w:val="en-US"/>
              </w:rPr>
            </w:pPr>
            <w:r>
              <w:rPr>
                <w:sz w:val="20"/>
                <w:lang w:val="en-US"/>
              </w:rPr>
              <w:t>0</w:t>
            </w:r>
          </w:p>
        </w:tc>
      </w:tr>
      <w:tr w:rsidR="00B9359B">
        <w:tc>
          <w:tcPr>
            <w:tcW w:w="2350" w:type="dxa"/>
          </w:tcPr>
          <w:p w:rsidR="00B9359B" w:rsidRDefault="009A5268">
            <w:pPr>
              <w:pStyle w:val="Tabletext"/>
              <w:framePr w:hSpace="181" w:wrap="notBeside" w:vAnchor="text" w:hAnchor="text" w:xAlign="center" w:y="1"/>
              <w:ind w:right="-57"/>
              <w:jc w:val="left"/>
              <w:rPr>
                <w:sz w:val="20"/>
                <w:lang w:val="en-US"/>
              </w:rPr>
            </w:pPr>
            <w:r>
              <w:rPr>
                <w:bCs/>
                <w:sz w:val="20"/>
                <w:lang w:val="en-US"/>
              </w:rPr>
              <w:t>Conical scan side-lobe (dB)</w:t>
            </w:r>
          </w:p>
        </w:tc>
        <w:tc>
          <w:tcPr>
            <w:tcW w:w="1059" w:type="dxa"/>
            <w:gridSpan w:val="2"/>
            <w:shd w:val="pct10" w:color="auto" w:fill="auto"/>
          </w:tcPr>
          <w:p w:rsidR="00B9359B" w:rsidRDefault="009A5268">
            <w:pPr>
              <w:pStyle w:val="Tabletext"/>
              <w:framePr w:hSpace="181" w:wrap="notBeside" w:vAnchor="text" w:hAnchor="text" w:xAlign="center" w:y="1"/>
              <w:jc w:val="center"/>
              <w:rPr>
                <w:sz w:val="20"/>
                <w:lang w:val="en-US"/>
              </w:rPr>
            </w:pPr>
            <w:r>
              <w:rPr>
                <w:rFonts w:ascii="Symbol" w:hAnsi="Symbol"/>
                <w:sz w:val="20"/>
                <w:lang w:val="en-US"/>
              </w:rPr>
              <w:t></w:t>
            </w:r>
            <w:r>
              <w:rPr>
                <w:sz w:val="20"/>
                <w:lang w:val="en-US"/>
              </w:rPr>
              <w:t>20.9</w:t>
            </w:r>
          </w:p>
        </w:tc>
        <w:tc>
          <w:tcPr>
            <w:tcW w:w="1087" w:type="dxa"/>
            <w:shd w:val="pct10" w:color="auto" w:fill="auto"/>
          </w:tcPr>
          <w:p w:rsidR="00B9359B" w:rsidRDefault="009A5268">
            <w:pPr>
              <w:pStyle w:val="Tabletext"/>
              <w:framePr w:hSpace="181" w:wrap="notBeside" w:vAnchor="text" w:hAnchor="text" w:xAlign="center" w:y="1"/>
              <w:jc w:val="center"/>
              <w:rPr>
                <w:sz w:val="20"/>
                <w:lang w:val="en-US"/>
              </w:rPr>
            </w:pPr>
            <w:r>
              <w:rPr>
                <w:rFonts w:ascii="Symbol" w:hAnsi="Symbol"/>
                <w:sz w:val="20"/>
                <w:lang w:val="en-US"/>
              </w:rPr>
              <w:t></w:t>
            </w:r>
            <w:r>
              <w:rPr>
                <w:sz w:val="20"/>
                <w:lang w:val="en-US"/>
              </w:rPr>
              <w:t>28.5</w:t>
            </w:r>
          </w:p>
        </w:tc>
        <w:tc>
          <w:tcPr>
            <w:tcW w:w="1036" w:type="dxa"/>
            <w:gridSpan w:val="2"/>
            <w:shd w:val="pct10" w:color="auto" w:fill="auto"/>
          </w:tcPr>
          <w:p w:rsidR="00B9359B" w:rsidRDefault="009A5268">
            <w:pPr>
              <w:pStyle w:val="Tabletext"/>
              <w:framePr w:hSpace="181" w:wrap="notBeside" w:vAnchor="text" w:hAnchor="text" w:xAlign="center" w:y="1"/>
              <w:jc w:val="center"/>
              <w:rPr>
                <w:sz w:val="20"/>
                <w:lang w:val="en-US"/>
              </w:rPr>
            </w:pPr>
            <w:r>
              <w:rPr>
                <w:rFonts w:ascii="Symbol" w:hAnsi="Symbol"/>
                <w:sz w:val="20"/>
                <w:lang w:val="en-US"/>
              </w:rPr>
              <w:t></w:t>
            </w:r>
            <w:r>
              <w:rPr>
                <w:sz w:val="20"/>
                <w:lang w:val="en-US"/>
              </w:rPr>
              <w:t>20.4</w:t>
            </w:r>
          </w:p>
        </w:tc>
        <w:tc>
          <w:tcPr>
            <w:tcW w:w="1028" w:type="dxa"/>
            <w:gridSpan w:val="2"/>
            <w:shd w:val="pct10" w:color="auto" w:fill="auto"/>
          </w:tcPr>
          <w:p w:rsidR="00B9359B" w:rsidRDefault="009A5268">
            <w:pPr>
              <w:pStyle w:val="Tabletext"/>
              <w:framePr w:hSpace="181" w:wrap="notBeside" w:vAnchor="text" w:hAnchor="text" w:xAlign="center" w:y="1"/>
              <w:jc w:val="center"/>
              <w:rPr>
                <w:sz w:val="20"/>
                <w:lang w:val="en-US"/>
              </w:rPr>
            </w:pPr>
            <w:r>
              <w:rPr>
                <w:rFonts w:ascii="Symbol" w:hAnsi="Symbol"/>
                <w:sz w:val="20"/>
                <w:lang w:val="en-US"/>
              </w:rPr>
              <w:t></w:t>
            </w:r>
            <w:r>
              <w:rPr>
                <w:sz w:val="20"/>
                <w:lang w:val="en-US"/>
              </w:rPr>
              <w:t>36.5</w:t>
            </w:r>
          </w:p>
        </w:tc>
        <w:tc>
          <w:tcPr>
            <w:tcW w:w="983" w:type="dxa"/>
            <w:gridSpan w:val="2"/>
            <w:shd w:val="pct10" w:color="auto" w:fill="auto"/>
          </w:tcPr>
          <w:p w:rsidR="00B9359B" w:rsidRDefault="009A5268">
            <w:pPr>
              <w:pStyle w:val="Tabletext"/>
              <w:framePr w:hSpace="181" w:wrap="notBeside" w:vAnchor="text" w:hAnchor="text" w:xAlign="center" w:y="1"/>
              <w:jc w:val="center"/>
              <w:rPr>
                <w:sz w:val="20"/>
                <w:lang w:val="en-US"/>
              </w:rPr>
            </w:pPr>
            <w:r>
              <w:rPr>
                <w:rFonts w:ascii="Symbol" w:hAnsi="Symbol"/>
                <w:sz w:val="20"/>
                <w:lang w:val="en-US"/>
              </w:rPr>
              <w:t></w:t>
            </w:r>
            <w:r>
              <w:rPr>
                <w:sz w:val="20"/>
                <w:lang w:val="en-US"/>
              </w:rPr>
              <w:t>9.7</w:t>
            </w:r>
          </w:p>
        </w:tc>
        <w:tc>
          <w:tcPr>
            <w:tcW w:w="980" w:type="dxa"/>
            <w:shd w:val="pct10" w:color="auto" w:fill="auto"/>
          </w:tcPr>
          <w:p w:rsidR="00B9359B" w:rsidRDefault="009A5268">
            <w:pPr>
              <w:pStyle w:val="Tabletext"/>
              <w:framePr w:hSpace="181" w:wrap="notBeside" w:vAnchor="text" w:hAnchor="text" w:xAlign="center" w:y="1"/>
              <w:jc w:val="center"/>
              <w:rPr>
                <w:sz w:val="20"/>
                <w:lang w:val="en-US"/>
              </w:rPr>
            </w:pPr>
            <w:r>
              <w:rPr>
                <w:rFonts w:ascii="Symbol" w:hAnsi="Symbol"/>
                <w:sz w:val="20"/>
                <w:lang w:val="en-US"/>
              </w:rPr>
              <w:t></w:t>
            </w:r>
            <w:r>
              <w:rPr>
                <w:sz w:val="20"/>
                <w:lang w:val="en-US"/>
              </w:rPr>
              <w:t>15.4</w:t>
            </w:r>
          </w:p>
        </w:tc>
        <w:tc>
          <w:tcPr>
            <w:tcW w:w="1116" w:type="dxa"/>
            <w:shd w:val="pct10" w:color="auto" w:fill="auto"/>
          </w:tcPr>
          <w:p w:rsidR="00B9359B" w:rsidRDefault="009A5268">
            <w:pPr>
              <w:pStyle w:val="Tabletext"/>
              <w:framePr w:hSpace="181" w:wrap="notBeside" w:vAnchor="text" w:hAnchor="text" w:xAlign="center" w:y="1"/>
              <w:jc w:val="center"/>
              <w:rPr>
                <w:sz w:val="20"/>
                <w:lang w:val="en-US"/>
              </w:rPr>
            </w:pPr>
            <w:r>
              <w:rPr>
                <w:rFonts w:ascii="Symbol" w:hAnsi="Symbol"/>
                <w:sz w:val="20"/>
              </w:rPr>
              <w:t></w:t>
            </w:r>
            <w:r>
              <w:rPr>
                <w:sz w:val="20"/>
                <w:lang w:val="en-US"/>
              </w:rPr>
              <w:t>31.5</w:t>
            </w:r>
          </w:p>
        </w:tc>
      </w:tr>
    </w:tbl>
    <w:p w:rsidR="00B9359B" w:rsidRDefault="00B9359B">
      <w:pPr>
        <w:pStyle w:val="Tablefin"/>
      </w:pPr>
    </w:p>
    <w:p w:rsidR="00B9359B" w:rsidRDefault="00B9359B">
      <w:pPr>
        <w:rPr>
          <w:lang w:val="en-GB"/>
        </w:rPr>
      </w:pPr>
    </w:p>
    <w:p w:rsidR="00B9359B" w:rsidRDefault="009A5268">
      <w:pPr>
        <w:pStyle w:val="TableNo"/>
        <w:rPr>
          <w:lang w:val="en-US"/>
        </w:rPr>
      </w:pPr>
      <w:r>
        <w:rPr>
          <w:lang w:val="en-US"/>
        </w:rPr>
        <w:br w:type="page"/>
        <w:t>TABLE  73</w:t>
      </w:r>
    </w:p>
    <w:p w:rsidR="00B9359B" w:rsidRDefault="009A5268">
      <w:pPr>
        <w:pStyle w:val="Tabletitle"/>
        <w:rPr>
          <w:lang w:val="en-US"/>
        </w:rPr>
      </w:pPr>
      <w:r>
        <w:rPr>
          <w:lang w:val="en-US"/>
        </w:rPr>
        <w:t>Calculation of the frequency offset required to protect the allocated passive band</w:t>
      </w:r>
      <w:r>
        <w:rPr>
          <w:lang w:val="en-US"/>
        </w:rPr>
        <w:br/>
        <w:t>using the raised cosine mask (N-GSO systems)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71"/>
        <w:gridCol w:w="1477"/>
        <w:gridCol w:w="1161"/>
        <w:gridCol w:w="1055"/>
        <w:gridCol w:w="1375"/>
      </w:tblGrid>
      <w:tr w:rsidR="00B9359B">
        <w:trPr>
          <w:cantSplit/>
        </w:trPr>
        <w:tc>
          <w:tcPr>
            <w:tcW w:w="4387" w:type="dxa"/>
          </w:tcPr>
          <w:p w:rsidR="00B9359B" w:rsidRDefault="009A5268">
            <w:pPr>
              <w:pStyle w:val="Tablehead"/>
              <w:framePr w:hSpace="181" w:wrap="notBeside" w:vAnchor="text" w:hAnchor="text" w:xAlign="center" w:y="1"/>
              <w:jc w:val="left"/>
              <w:rPr>
                <w:lang w:val="en-US"/>
              </w:rPr>
            </w:pPr>
            <w:r>
              <w:rPr>
                <w:lang w:val="en-US"/>
              </w:rPr>
              <w:t>System</w:t>
            </w:r>
          </w:p>
        </w:tc>
        <w:tc>
          <w:tcPr>
            <w:tcW w:w="1417" w:type="dxa"/>
          </w:tcPr>
          <w:p w:rsidR="00B9359B" w:rsidRDefault="009A5268">
            <w:pPr>
              <w:pStyle w:val="Tablehead"/>
              <w:framePr w:hSpace="181" w:wrap="notBeside" w:vAnchor="text" w:hAnchor="text" w:xAlign="center" w:y="1"/>
              <w:rPr>
                <w:lang w:val="en-US"/>
              </w:rPr>
            </w:pPr>
            <w:r>
              <w:rPr>
                <w:lang w:val="en-US"/>
              </w:rPr>
              <w:t>LEOSAT-2</w:t>
            </w:r>
          </w:p>
        </w:tc>
        <w:tc>
          <w:tcPr>
            <w:tcW w:w="1114" w:type="dxa"/>
          </w:tcPr>
          <w:p w:rsidR="00B9359B" w:rsidRDefault="009A5268">
            <w:pPr>
              <w:pStyle w:val="Tablehead"/>
              <w:framePr w:hSpace="181" w:wrap="notBeside" w:vAnchor="text" w:hAnchor="text" w:xAlign="center" w:y="1"/>
              <w:rPr>
                <w:lang w:val="en-US"/>
              </w:rPr>
            </w:pPr>
            <w:r>
              <w:rPr>
                <w:lang w:val="en-US"/>
              </w:rPr>
              <w:t>LEO-A</w:t>
            </w:r>
          </w:p>
        </w:tc>
        <w:tc>
          <w:tcPr>
            <w:tcW w:w="1012" w:type="dxa"/>
          </w:tcPr>
          <w:p w:rsidR="00B9359B" w:rsidRDefault="009A5268">
            <w:pPr>
              <w:pStyle w:val="Tablehead"/>
              <w:framePr w:hSpace="181" w:wrap="notBeside" w:vAnchor="text" w:hAnchor="text" w:xAlign="center" w:y="1"/>
              <w:rPr>
                <w:lang w:val="es-ES"/>
              </w:rPr>
            </w:pPr>
            <w:r>
              <w:rPr>
                <w:lang w:val="es-ES"/>
              </w:rPr>
              <w:t>LEO-B</w:t>
            </w:r>
          </w:p>
        </w:tc>
        <w:tc>
          <w:tcPr>
            <w:tcW w:w="1319" w:type="dxa"/>
          </w:tcPr>
          <w:p w:rsidR="00B9359B" w:rsidRDefault="009A5268">
            <w:pPr>
              <w:pStyle w:val="Tablehead"/>
              <w:framePr w:hSpace="181" w:wrap="notBeside" w:vAnchor="text" w:hAnchor="text" w:xAlign="center" w:y="1"/>
              <w:rPr>
                <w:lang w:val="es-ES"/>
              </w:rPr>
            </w:pPr>
            <w:r>
              <w:rPr>
                <w:lang w:val="es-ES"/>
              </w:rPr>
              <w:t>LEOSAT-1</w:t>
            </w:r>
          </w:p>
        </w:tc>
      </w:tr>
      <w:tr w:rsidR="00B9359B">
        <w:trPr>
          <w:cantSplit/>
        </w:trPr>
        <w:tc>
          <w:tcPr>
            <w:tcW w:w="4387" w:type="dxa"/>
            <w:tcBorders>
              <w:bottom w:val="single" w:sz="4" w:space="0" w:color="auto"/>
            </w:tcBorders>
          </w:tcPr>
          <w:p w:rsidR="00B9359B" w:rsidRDefault="009A5268">
            <w:pPr>
              <w:pStyle w:val="Tabletext"/>
              <w:framePr w:hSpace="181" w:wrap="notBeside" w:vAnchor="text" w:hAnchor="text" w:xAlign="center" w:y="1"/>
              <w:jc w:val="left"/>
              <w:rPr>
                <w:lang w:val="en-US"/>
              </w:rPr>
            </w:pPr>
            <w:r>
              <w:rPr>
                <w:bCs/>
                <w:sz w:val="20"/>
                <w:lang w:val="en-US"/>
              </w:rPr>
              <w:t>Necessary bandwidth (MHz)</w:t>
            </w:r>
          </w:p>
        </w:tc>
        <w:tc>
          <w:tcPr>
            <w:tcW w:w="1417" w:type="dxa"/>
            <w:tcBorders>
              <w:bottom w:val="single" w:sz="4" w:space="0" w:color="auto"/>
            </w:tcBorders>
          </w:tcPr>
          <w:p w:rsidR="00B9359B" w:rsidRDefault="009A5268">
            <w:pPr>
              <w:pStyle w:val="Tabletext"/>
              <w:framePr w:hSpace="181" w:wrap="notBeside" w:vAnchor="text" w:hAnchor="text" w:xAlign="center" w:y="1"/>
              <w:jc w:val="center"/>
              <w:rPr>
                <w:lang w:val="en-US"/>
              </w:rPr>
            </w:pPr>
            <w:r>
              <w:rPr>
                <w:lang w:val="en-US"/>
              </w:rPr>
              <w:t>311</w:t>
            </w:r>
          </w:p>
        </w:tc>
        <w:tc>
          <w:tcPr>
            <w:tcW w:w="1114" w:type="dxa"/>
            <w:tcBorders>
              <w:bottom w:val="single" w:sz="4" w:space="0" w:color="auto"/>
            </w:tcBorders>
          </w:tcPr>
          <w:p w:rsidR="00B9359B" w:rsidRDefault="009A5268">
            <w:pPr>
              <w:pStyle w:val="Tabletext"/>
              <w:framePr w:hSpace="181" w:wrap="notBeside" w:vAnchor="text" w:hAnchor="text" w:xAlign="center" w:y="1"/>
              <w:jc w:val="center"/>
              <w:rPr>
                <w:lang w:val="en-US"/>
              </w:rPr>
            </w:pPr>
            <w:r>
              <w:rPr>
                <w:lang w:val="en-US"/>
              </w:rPr>
              <w:t>4.37</w:t>
            </w:r>
          </w:p>
        </w:tc>
        <w:tc>
          <w:tcPr>
            <w:tcW w:w="1012" w:type="dxa"/>
            <w:tcBorders>
              <w:bottom w:val="single" w:sz="4" w:space="0" w:color="auto"/>
            </w:tcBorders>
          </w:tcPr>
          <w:p w:rsidR="00B9359B" w:rsidRDefault="009A5268">
            <w:pPr>
              <w:pStyle w:val="Tabletext"/>
              <w:framePr w:hSpace="181" w:wrap="notBeside" w:vAnchor="text" w:hAnchor="text" w:xAlign="center" w:y="1"/>
              <w:jc w:val="center"/>
              <w:rPr>
                <w:lang w:val="en-US"/>
              </w:rPr>
            </w:pPr>
            <w:r>
              <w:rPr>
                <w:lang w:val="en-US"/>
              </w:rPr>
              <w:t>2.5</w:t>
            </w:r>
          </w:p>
        </w:tc>
        <w:tc>
          <w:tcPr>
            <w:tcW w:w="1319" w:type="dxa"/>
            <w:tcBorders>
              <w:bottom w:val="single" w:sz="4" w:space="0" w:color="auto"/>
            </w:tcBorders>
          </w:tcPr>
          <w:p w:rsidR="00B9359B" w:rsidRDefault="009A5268">
            <w:pPr>
              <w:pStyle w:val="Tabletext"/>
              <w:framePr w:hSpace="181" w:wrap="notBeside" w:vAnchor="text" w:hAnchor="text" w:xAlign="center" w:y="1"/>
              <w:jc w:val="center"/>
              <w:rPr>
                <w:lang w:val="en-US"/>
              </w:rPr>
            </w:pPr>
            <w:r>
              <w:rPr>
                <w:lang w:val="en-US"/>
              </w:rPr>
              <w:t>500</w:t>
            </w:r>
          </w:p>
        </w:tc>
      </w:tr>
      <w:tr w:rsidR="00B9359B">
        <w:trPr>
          <w:cantSplit/>
        </w:trPr>
        <w:tc>
          <w:tcPr>
            <w:tcW w:w="9249" w:type="dxa"/>
            <w:gridSpan w:val="5"/>
            <w:shd w:val="clear" w:color="auto" w:fill="FFFFFF"/>
          </w:tcPr>
          <w:p w:rsidR="00B9359B" w:rsidRDefault="009A5268">
            <w:pPr>
              <w:pStyle w:val="Tabletext"/>
              <w:framePr w:hSpace="181" w:wrap="notBeside" w:vAnchor="text" w:hAnchor="text" w:xAlign="center" w:y="1"/>
              <w:spacing w:before="80" w:after="80"/>
              <w:jc w:val="left"/>
              <w:rPr>
                <w:i/>
                <w:iCs/>
                <w:lang w:val="en-US"/>
              </w:rPr>
            </w:pPr>
            <w:r>
              <w:rPr>
                <w:i/>
                <w:iCs/>
                <w:lang w:val="en-US"/>
              </w:rPr>
              <w:t>Case 1 – Transmitter mainbeam</w:t>
            </w:r>
          </w:p>
        </w:tc>
      </w:tr>
      <w:tr w:rsidR="00B9359B">
        <w:trPr>
          <w:cantSplit/>
        </w:trPr>
        <w:tc>
          <w:tcPr>
            <w:tcW w:w="4387" w:type="dxa"/>
          </w:tcPr>
          <w:p w:rsidR="00B9359B" w:rsidRDefault="009A5268">
            <w:pPr>
              <w:pStyle w:val="Tabletext"/>
              <w:framePr w:hSpace="181" w:wrap="notBeside" w:vAnchor="text" w:hAnchor="text" w:xAlign="center" w:y="1"/>
              <w:jc w:val="left"/>
              <w:rPr>
                <w:lang w:val="en-US"/>
              </w:rPr>
            </w:pPr>
            <w:r>
              <w:rPr>
                <w:lang w:val="en-US"/>
              </w:rPr>
              <w:t>Conical scan mainbeam (dB)</w:t>
            </w:r>
          </w:p>
        </w:tc>
        <w:tc>
          <w:tcPr>
            <w:tcW w:w="1417" w:type="dxa"/>
          </w:tcPr>
          <w:p w:rsidR="00B9359B" w:rsidRDefault="009A5268">
            <w:pPr>
              <w:pStyle w:val="Tabletext"/>
              <w:framePr w:hSpace="181" w:wrap="notBeside" w:vAnchor="text" w:hAnchor="text" w:xAlign="center" w:y="1"/>
              <w:jc w:val="center"/>
              <w:rPr>
                <w:lang w:val="en-US"/>
              </w:rPr>
            </w:pPr>
            <w:r>
              <w:rPr>
                <w:lang w:val="en-US"/>
              </w:rPr>
              <w:t>–73.8</w:t>
            </w:r>
          </w:p>
        </w:tc>
        <w:tc>
          <w:tcPr>
            <w:tcW w:w="1114" w:type="dxa"/>
          </w:tcPr>
          <w:p w:rsidR="00B9359B" w:rsidRDefault="009A5268">
            <w:pPr>
              <w:pStyle w:val="Tabletext"/>
              <w:framePr w:hSpace="181" w:wrap="notBeside" w:vAnchor="text" w:hAnchor="text" w:xAlign="center" w:y="1"/>
              <w:jc w:val="center"/>
              <w:rPr>
                <w:lang w:val="en-US"/>
              </w:rPr>
            </w:pPr>
            <w:r>
              <w:rPr>
                <w:lang w:val="en-US"/>
              </w:rPr>
              <w:t>–61.8</w:t>
            </w:r>
          </w:p>
        </w:tc>
        <w:tc>
          <w:tcPr>
            <w:tcW w:w="1012" w:type="dxa"/>
          </w:tcPr>
          <w:p w:rsidR="00B9359B" w:rsidRDefault="009A5268">
            <w:pPr>
              <w:pStyle w:val="Tabletext"/>
              <w:framePr w:hSpace="181" w:wrap="notBeside" w:vAnchor="text" w:hAnchor="text" w:xAlign="center" w:y="1"/>
              <w:jc w:val="center"/>
              <w:rPr>
                <w:lang w:val="en-US"/>
              </w:rPr>
            </w:pPr>
            <w:r>
              <w:rPr>
                <w:lang w:val="en-US"/>
              </w:rPr>
              <w:t>–72.55</w:t>
            </w:r>
          </w:p>
        </w:tc>
        <w:tc>
          <w:tcPr>
            <w:tcW w:w="1319" w:type="dxa"/>
          </w:tcPr>
          <w:p w:rsidR="00B9359B" w:rsidRDefault="009A5268">
            <w:pPr>
              <w:pStyle w:val="Tabletext"/>
              <w:framePr w:hSpace="181" w:wrap="notBeside" w:vAnchor="text" w:hAnchor="text" w:xAlign="center" w:y="1"/>
              <w:jc w:val="center"/>
              <w:rPr>
                <w:lang w:val="en-US"/>
              </w:rPr>
            </w:pPr>
            <w:r>
              <w:rPr>
                <w:lang w:val="en-US"/>
              </w:rPr>
              <w:t>–</w:t>
            </w:r>
            <w:r>
              <w:rPr>
                <w:sz w:val="4"/>
                <w:lang w:val="en-US"/>
              </w:rPr>
              <w:t> </w:t>
            </w:r>
            <w:r>
              <w:rPr>
                <w:lang w:val="en-US"/>
              </w:rPr>
              <w:t>44.9</w:t>
            </w:r>
          </w:p>
        </w:tc>
      </w:tr>
      <w:tr w:rsidR="00B9359B">
        <w:trPr>
          <w:cantSplit/>
        </w:trPr>
        <w:tc>
          <w:tcPr>
            <w:tcW w:w="4387" w:type="dxa"/>
          </w:tcPr>
          <w:p w:rsidR="00B9359B" w:rsidRDefault="009A5268">
            <w:pPr>
              <w:pStyle w:val="Tabletext"/>
              <w:framePr w:hSpace="181" w:wrap="notBeside" w:vAnchor="text" w:hAnchor="text" w:xAlign="center" w:y="1"/>
              <w:jc w:val="left"/>
              <w:rPr>
                <w:lang w:val="en-US"/>
              </w:rPr>
            </w:pPr>
            <w:r>
              <w:rPr>
                <w:lang w:val="en-US"/>
              </w:rPr>
              <w:t xml:space="preserve">Offset from centre </w:t>
            </w:r>
            <w:r>
              <w:rPr>
                <w:i/>
                <w:iCs/>
                <w:lang w:val="en-US"/>
              </w:rPr>
              <w:t>B</w:t>
            </w:r>
            <w:r>
              <w:rPr>
                <w:i/>
                <w:iCs/>
                <w:vertAlign w:val="subscript"/>
                <w:lang w:val="en-US"/>
              </w:rPr>
              <w:t xml:space="preserve">N </w:t>
            </w:r>
            <w:r>
              <w:rPr>
                <w:lang w:val="en-US"/>
              </w:rPr>
              <w:t>(%)</w:t>
            </w:r>
          </w:p>
        </w:tc>
        <w:tc>
          <w:tcPr>
            <w:tcW w:w="1417" w:type="dxa"/>
          </w:tcPr>
          <w:p w:rsidR="00B9359B" w:rsidRDefault="009A5268">
            <w:pPr>
              <w:pStyle w:val="Tabletext"/>
              <w:framePr w:hSpace="181" w:wrap="notBeside" w:vAnchor="text" w:hAnchor="text" w:xAlign="center" w:y="1"/>
              <w:jc w:val="center"/>
              <w:rPr>
                <w:lang w:val="en-US"/>
              </w:rPr>
            </w:pPr>
            <w:r>
              <w:rPr>
                <w:lang w:val="en-US"/>
              </w:rPr>
              <w:t>547</w:t>
            </w:r>
          </w:p>
        </w:tc>
        <w:tc>
          <w:tcPr>
            <w:tcW w:w="1114" w:type="dxa"/>
          </w:tcPr>
          <w:p w:rsidR="00B9359B" w:rsidRDefault="009A5268">
            <w:pPr>
              <w:pStyle w:val="Tabletext"/>
              <w:framePr w:hSpace="181" w:wrap="notBeside" w:vAnchor="text" w:hAnchor="text" w:xAlign="center" w:y="1"/>
              <w:jc w:val="center"/>
              <w:rPr>
                <w:lang w:val="en-US"/>
              </w:rPr>
            </w:pPr>
            <w:r>
              <w:rPr>
                <w:lang w:val="en-US"/>
              </w:rPr>
              <w:t>323</w:t>
            </w:r>
          </w:p>
        </w:tc>
        <w:tc>
          <w:tcPr>
            <w:tcW w:w="1012" w:type="dxa"/>
          </w:tcPr>
          <w:p w:rsidR="00B9359B" w:rsidRDefault="009A5268">
            <w:pPr>
              <w:pStyle w:val="Tabletext"/>
              <w:framePr w:hSpace="181" w:wrap="notBeside" w:vAnchor="text" w:hAnchor="text" w:xAlign="center" w:y="1"/>
              <w:jc w:val="center"/>
              <w:rPr>
                <w:lang w:val="en-US"/>
              </w:rPr>
            </w:pPr>
            <w:r>
              <w:rPr>
                <w:lang w:val="en-US"/>
              </w:rPr>
              <w:t>523</w:t>
            </w:r>
          </w:p>
        </w:tc>
        <w:tc>
          <w:tcPr>
            <w:tcW w:w="1319" w:type="dxa"/>
          </w:tcPr>
          <w:p w:rsidR="00B9359B" w:rsidRDefault="009A5268">
            <w:pPr>
              <w:pStyle w:val="Tabletext"/>
              <w:framePr w:hSpace="181" w:wrap="notBeside" w:vAnchor="text" w:hAnchor="text" w:xAlign="center" w:y="1"/>
              <w:jc w:val="center"/>
              <w:rPr>
                <w:lang w:val="en-US"/>
              </w:rPr>
            </w:pPr>
            <w:r>
              <w:rPr>
                <w:lang w:val="en-US"/>
              </w:rPr>
              <w:t>142</w:t>
            </w:r>
          </w:p>
        </w:tc>
      </w:tr>
      <w:tr w:rsidR="00B9359B">
        <w:trPr>
          <w:cantSplit/>
        </w:trPr>
        <w:tc>
          <w:tcPr>
            <w:tcW w:w="4387" w:type="dxa"/>
          </w:tcPr>
          <w:p w:rsidR="00B9359B" w:rsidRDefault="009A5268">
            <w:pPr>
              <w:pStyle w:val="Tabletext"/>
              <w:framePr w:hSpace="181" w:wrap="notBeside" w:vAnchor="text" w:hAnchor="text" w:xAlign="center" w:y="1"/>
              <w:jc w:val="left"/>
              <w:rPr>
                <w:lang w:val="en-US"/>
              </w:rPr>
            </w:pPr>
            <w:r>
              <w:rPr>
                <w:lang w:val="en-US"/>
              </w:rPr>
              <w:t xml:space="preserve">Offset from centre </w:t>
            </w:r>
            <w:r>
              <w:rPr>
                <w:i/>
                <w:iCs/>
                <w:lang w:val="en-US"/>
              </w:rPr>
              <w:t>B</w:t>
            </w:r>
            <w:r>
              <w:rPr>
                <w:i/>
                <w:iCs/>
                <w:vertAlign w:val="subscript"/>
                <w:lang w:val="en-US"/>
              </w:rPr>
              <w:t xml:space="preserve">N </w:t>
            </w:r>
            <w:r>
              <w:rPr>
                <w:lang w:val="en-US"/>
              </w:rPr>
              <w:t>(MHz)</w:t>
            </w:r>
          </w:p>
        </w:tc>
        <w:tc>
          <w:tcPr>
            <w:tcW w:w="1417" w:type="dxa"/>
          </w:tcPr>
          <w:p w:rsidR="00B9359B" w:rsidRDefault="009A5268">
            <w:pPr>
              <w:pStyle w:val="Tabletext"/>
              <w:framePr w:hSpace="181" w:wrap="notBeside" w:vAnchor="text" w:hAnchor="text" w:xAlign="center" w:y="1"/>
              <w:jc w:val="center"/>
              <w:rPr>
                <w:lang w:val="en-US"/>
              </w:rPr>
            </w:pPr>
            <w:r>
              <w:rPr>
                <w:lang w:val="en-US"/>
              </w:rPr>
              <w:t>1</w:t>
            </w:r>
            <w:r>
              <w:rPr>
                <w:rFonts w:ascii="Tms Rmn" w:hAnsi="Tms Rmn"/>
                <w:sz w:val="12"/>
                <w:lang w:val="en-US"/>
              </w:rPr>
              <w:t> </w:t>
            </w:r>
            <w:r>
              <w:rPr>
                <w:lang w:val="en-US"/>
              </w:rPr>
              <w:t>700</w:t>
            </w:r>
          </w:p>
        </w:tc>
        <w:tc>
          <w:tcPr>
            <w:tcW w:w="1114" w:type="dxa"/>
          </w:tcPr>
          <w:p w:rsidR="00B9359B" w:rsidRDefault="009A5268">
            <w:pPr>
              <w:pStyle w:val="Tabletext"/>
              <w:framePr w:hSpace="181" w:wrap="notBeside" w:vAnchor="text" w:hAnchor="text" w:xAlign="center" w:y="1"/>
              <w:jc w:val="center"/>
              <w:rPr>
                <w:lang w:val="en-US"/>
              </w:rPr>
            </w:pPr>
            <w:r>
              <w:rPr>
                <w:lang w:val="en-US"/>
              </w:rPr>
              <w:t>14.2</w:t>
            </w:r>
          </w:p>
        </w:tc>
        <w:tc>
          <w:tcPr>
            <w:tcW w:w="1012" w:type="dxa"/>
          </w:tcPr>
          <w:p w:rsidR="00B9359B" w:rsidRDefault="009A5268">
            <w:pPr>
              <w:pStyle w:val="Tabletext"/>
              <w:framePr w:hSpace="181" w:wrap="notBeside" w:vAnchor="text" w:hAnchor="text" w:xAlign="center" w:y="1"/>
              <w:jc w:val="center"/>
              <w:rPr>
                <w:lang w:val="en-US"/>
              </w:rPr>
            </w:pPr>
            <w:r>
              <w:rPr>
                <w:lang w:val="en-US"/>
              </w:rPr>
              <w:t>13.1</w:t>
            </w:r>
          </w:p>
        </w:tc>
        <w:tc>
          <w:tcPr>
            <w:tcW w:w="1319" w:type="dxa"/>
          </w:tcPr>
          <w:p w:rsidR="00B9359B" w:rsidRDefault="009A5268">
            <w:pPr>
              <w:pStyle w:val="Tabletext"/>
              <w:framePr w:hSpace="181" w:wrap="notBeside" w:vAnchor="text" w:hAnchor="text" w:xAlign="center" w:y="1"/>
              <w:jc w:val="center"/>
              <w:rPr>
                <w:lang w:val="en-US"/>
              </w:rPr>
            </w:pPr>
            <w:r>
              <w:rPr>
                <w:lang w:val="en-US"/>
              </w:rPr>
              <w:t>710</w:t>
            </w:r>
          </w:p>
        </w:tc>
      </w:tr>
      <w:tr w:rsidR="00B9359B">
        <w:trPr>
          <w:cantSplit/>
        </w:trPr>
        <w:tc>
          <w:tcPr>
            <w:tcW w:w="4387" w:type="dxa"/>
          </w:tcPr>
          <w:p w:rsidR="00B9359B" w:rsidRDefault="009A5268">
            <w:pPr>
              <w:pStyle w:val="Tabletext"/>
              <w:framePr w:hSpace="181" w:wrap="notBeside" w:vAnchor="text" w:hAnchor="text" w:xAlign="center" w:y="1"/>
              <w:jc w:val="left"/>
              <w:rPr>
                <w:lang w:val="en-US"/>
              </w:rPr>
            </w:pPr>
            <w:r>
              <w:rPr>
                <w:lang w:val="en-US"/>
              </w:rPr>
              <w:t>Required additional guardband (MHz)</w:t>
            </w:r>
          </w:p>
        </w:tc>
        <w:tc>
          <w:tcPr>
            <w:tcW w:w="1417" w:type="dxa"/>
          </w:tcPr>
          <w:p w:rsidR="00B9359B" w:rsidRDefault="009A5268">
            <w:pPr>
              <w:pStyle w:val="Tabletext"/>
              <w:framePr w:hSpace="181" w:wrap="notBeside" w:vAnchor="text" w:hAnchor="text" w:xAlign="center" w:y="1"/>
              <w:jc w:val="center"/>
              <w:rPr>
                <w:lang w:val="en-US"/>
              </w:rPr>
            </w:pPr>
            <w:r>
              <w:rPr>
                <w:lang w:val="en-US"/>
              </w:rPr>
              <w:t>1</w:t>
            </w:r>
            <w:r>
              <w:rPr>
                <w:rFonts w:ascii="Tms Rmn" w:hAnsi="Tms Rmn"/>
                <w:sz w:val="12"/>
                <w:lang w:val="en-US"/>
              </w:rPr>
              <w:t> </w:t>
            </w:r>
            <w:r>
              <w:rPr>
                <w:lang w:val="en-US"/>
              </w:rPr>
              <w:t>250</w:t>
            </w:r>
          </w:p>
        </w:tc>
        <w:tc>
          <w:tcPr>
            <w:tcW w:w="1114" w:type="dxa"/>
          </w:tcPr>
          <w:p w:rsidR="00B9359B" w:rsidRDefault="009A5268">
            <w:pPr>
              <w:pStyle w:val="Tabletext"/>
              <w:framePr w:hSpace="181" w:wrap="notBeside" w:vAnchor="text" w:hAnchor="text" w:xAlign="center" w:y="1"/>
              <w:jc w:val="center"/>
              <w:rPr>
                <w:lang w:val="en-US"/>
              </w:rPr>
            </w:pPr>
            <w:r>
              <w:rPr>
                <w:lang w:val="en-US"/>
              </w:rPr>
              <w:t>0</w:t>
            </w:r>
          </w:p>
        </w:tc>
        <w:tc>
          <w:tcPr>
            <w:tcW w:w="1012" w:type="dxa"/>
          </w:tcPr>
          <w:p w:rsidR="00B9359B" w:rsidRDefault="009A5268">
            <w:pPr>
              <w:pStyle w:val="Tabletext"/>
              <w:framePr w:hSpace="181" w:wrap="notBeside" w:vAnchor="text" w:hAnchor="text" w:xAlign="center" w:y="1"/>
              <w:jc w:val="center"/>
              <w:rPr>
                <w:lang w:val="en-US"/>
              </w:rPr>
            </w:pPr>
            <w:r>
              <w:rPr>
                <w:lang w:val="en-US"/>
              </w:rPr>
              <w:t>0</w:t>
            </w:r>
          </w:p>
        </w:tc>
        <w:tc>
          <w:tcPr>
            <w:tcW w:w="1319" w:type="dxa"/>
          </w:tcPr>
          <w:p w:rsidR="00B9359B" w:rsidRDefault="009A5268">
            <w:pPr>
              <w:pStyle w:val="Tabletext"/>
              <w:framePr w:hSpace="181" w:wrap="notBeside" w:vAnchor="text" w:hAnchor="text" w:xAlign="center" w:y="1"/>
              <w:jc w:val="center"/>
              <w:rPr>
                <w:lang w:val="en-US"/>
              </w:rPr>
            </w:pPr>
            <w:r>
              <w:rPr>
                <w:lang w:val="en-US"/>
              </w:rPr>
              <w:t>160</w:t>
            </w:r>
          </w:p>
        </w:tc>
      </w:tr>
      <w:tr w:rsidR="00B9359B">
        <w:trPr>
          <w:cantSplit/>
        </w:trPr>
        <w:tc>
          <w:tcPr>
            <w:tcW w:w="4387" w:type="dxa"/>
          </w:tcPr>
          <w:p w:rsidR="00B9359B" w:rsidRDefault="009A5268">
            <w:pPr>
              <w:pStyle w:val="Tabletext"/>
              <w:framePr w:hSpace="181" w:wrap="notBeside" w:vAnchor="text" w:hAnchor="text" w:xAlign="center" w:y="1"/>
              <w:jc w:val="left"/>
              <w:rPr>
                <w:lang w:val="en-US"/>
              </w:rPr>
            </w:pPr>
            <w:r>
              <w:rPr>
                <w:lang w:val="en-US"/>
              </w:rPr>
              <w:t>Conical scan side-lobe (dB)</w:t>
            </w:r>
          </w:p>
        </w:tc>
        <w:tc>
          <w:tcPr>
            <w:tcW w:w="1417" w:type="dxa"/>
          </w:tcPr>
          <w:p w:rsidR="00B9359B" w:rsidRDefault="009A5268">
            <w:pPr>
              <w:pStyle w:val="Tabletext"/>
              <w:framePr w:hSpace="181" w:wrap="notBeside" w:vAnchor="text" w:hAnchor="text" w:xAlign="center" w:y="1"/>
              <w:jc w:val="center"/>
              <w:rPr>
                <w:lang w:val="en-US"/>
              </w:rPr>
            </w:pPr>
            <w:r>
              <w:rPr>
                <w:lang w:val="en-US"/>
              </w:rPr>
              <w:t>–34.0</w:t>
            </w:r>
          </w:p>
        </w:tc>
        <w:tc>
          <w:tcPr>
            <w:tcW w:w="1114" w:type="dxa"/>
          </w:tcPr>
          <w:p w:rsidR="00B9359B" w:rsidRDefault="009A5268">
            <w:pPr>
              <w:pStyle w:val="Tabletext"/>
              <w:framePr w:hSpace="181" w:wrap="notBeside" w:vAnchor="text" w:hAnchor="text" w:xAlign="center" w:y="1"/>
              <w:jc w:val="center"/>
              <w:rPr>
                <w:lang w:val="en-US"/>
              </w:rPr>
            </w:pPr>
            <w:r>
              <w:rPr>
                <w:lang w:val="en-US"/>
              </w:rPr>
              <w:t>–22.0</w:t>
            </w:r>
          </w:p>
        </w:tc>
        <w:tc>
          <w:tcPr>
            <w:tcW w:w="1012" w:type="dxa"/>
          </w:tcPr>
          <w:p w:rsidR="00B9359B" w:rsidRDefault="009A5268">
            <w:pPr>
              <w:pStyle w:val="Tabletext"/>
              <w:framePr w:hSpace="181" w:wrap="notBeside" w:vAnchor="text" w:hAnchor="text" w:xAlign="center" w:y="1"/>
              <w:jc w:val="center"/>
              <w:rPr>
                <w:lang w:val="en-US"/>
              </w:rPr>
            </w:pPr>
            <w:r>
              <w:rPr>
                <w:lang w:val="en-US"/>
              </w:rPr>
              <w:t>–32.75</w:t>
            </w:r>
          </w:p>
        </w:tc>
        <w:tc>
          <w:tcPr>
            <w:tcW w:w="1319" w:type="dxa"/>
          </w:tcPr>
          <w:p w:rsidR="00B9359B" w:rsidRDefault="009A5268">
            <w:pPr>
              <w:pStyle w:val="Tabletext"/>
              <w:framePr w:hSpace="181" w:wrap="notBeside" w:vAnchor="text" w:hAnchor="text" w:xAlign="center" w:y="1"/>
              <w:jc w:val="center"/>
              <w:rPr>
                <w:lang w:val="en-US"/>
              </w:rPr>
            </w:pPr>
            <w:r>
              <w:rPr>
                <w:lang w:val="en-US"/>
              </w:rPr>
              <w:t>–5.1</w:t>
            </w:r>
          </w:p>
        </w:tc>
      </w:tr>
      <w:tr w:rsidR="00B9359B">
        <w:trPr>
          <w:cantSplit/>
        </w:trPr>
        <w:tc>
          <w:tcPr>
            <w:tcW w:w="4387" w:type="dxa"/>
          </w:tcPr>
          <w:p w:rsidR="00B9359B" w:rsidRDefault="009A5268">
            <w:pPr>
              <w:pStyle w:val="Tabletext"/>
              <w:framePr w:hSpace="181" w:wrap="notBeside" w:vAnchor="text" w:hAnchor="text" w:xAlign="center" w:y="1"/>
              <w:jc w:val="left"/>
              <w:rPr>
                <w:lang w:val="en-US"/>
              </w:rPr>
            </w:pPr>
            <w:r>
              <w:rPr>
                <w:lang w:val="en-US"/>
              </w:rPr>
              <w:t xml:space="preserve">Offset from centre </w:t>
            </w:r>
            <w:r>
              <w:rPr>
                <w:i/>
                <w:iCs/>
                <w:lang w:val="en-US"/>
              </w:rPr>
              <w:t>B</w:t>
            </w:r>
            <w:r>
              <w:rPr>
                <w:i/>
                <w:iCs/>
                <w:vertAlign w:val="subscript"/>
                <w:lang w:val="en-US"/>
              </w:rPr>
              <w:t xml:space="preserve">N </w:t>
            </w:r>
            <w:r>
              <w:rPr>
                <w:lang w:val="en-US"/>
              </w:rPr>
              <w:t>(%)</w:t>
            </w:r>
          </w:p>
        </w:tc>
        <w:tc>
          <w:tcPr>
            <w:tcW w:w="1417" w:type="dxa"/>
          </w:tcPr>
          <w:p w:rsidR="00B9359B" w:rsidRDefault="009A5268">
            <w:pPr>
              <w:pStyle w:val="Tabletext"/>
              <w:framePr w:hSpace="181" w:wrap="notBeside" w:vAnchor="text" w:hAnchor="text" w:xAlign="center" w:y="1"/>
              <w:jc w:val="center"/>
              <w:rPr>
                <w:lang w:val="en-US"/>
              </w:rPr>
            </w:pPr>
            <w:r>
              <w:rPr>
                <w:lang w:val="en-US"/>
              </w:rPr>
              <w:t>89</w:t>
            </w:r>
          </w:p>
        </w:tc>
        <w:tc>
          <w:tcPr>
            <w:tcW w:w="1114" w:type="dxa"/>
          </w:tcPr>
          <w:p w:rsidR="00B9359B" w:rsidRDefault="009A5268">
            <w:pPr>
              <w:pStyle w:val="Tabletext"/>
              <w:framePr w:hSpace="181" w:wrap="notBeside" w:vAnchor="text" w:hAnchor="text" w:xAlign="center" w:y="1"/>
              <w:jc w:val="center"/>
              <w:rPr>
                <w:lang w:val="en-US"/>
              </w:rPr>
            </w:pPr>
            <w:r>
              <w:rPr>
                <w:lang w:val="en-US"/>
              </w:rPr>
              <w:t>75</w:t>
            </w:r>
          </w:p>
        </w:tc>
        <w:tc>
          <w:tcPr>
            <w:tcW w:w="1012" w:type="dxa"/>
          </w:tcPr>
          <w:p w:rsidR="00B9359B" w:rsidRDefault="009A5268">
            <w:pPr>
              <w:pStyle w:val="Tabletext"/>
              <w:framePr w:hSpace="181" w:wrap="notBeside" w:vAnchor="text" w:hAnchor="text" w:xAlign="center" w:y="1"/>
              <w:jc w:val="center"/>
              <w:rPr>
                <w:lang w:val="en-US"/>
              </w:rPr>
            </w:pPr>
            <w:r>
              <w:rPr>
                <w:lang w:val="en-US"/>
              </w:rPr>
              <w:t>87</w:t>
            </w:r>
          </w:p>
        </w:tc>
        <w:tc>
          <w:tcPr>
            <w:tcW w:w="1319" w:type="dxa"/>
          </w:tcPr>
          <w:p w:rsidR="00B9359B" w:rsidRDefault="009A5268">
            <w:pPr>
              <w:pStyle w:val="Tabletext"/>
              <w:framePr w:hSpace="181" w:wrap="notBeside" w:vAnchor="text" w:hAnchor="text" w:xAlign="center" w:y="1"/>
              <w:jc w:val="center"/>
              <w:rPr>
                <w:lang w:val="en-US"/>
              </w:rPr>
            </w:pPr>
            <w:r>
              <w:rPr>
                <w:lang w:val="en-US"/>
              </w:rPr>
              <w:t>50</w:t>
            </w:r>
          </w:p>
        </w:tc>
      </w:tr>
      <w:tr w:rsidR="00B9359B">
        <w:trPr>
          <w:cantSplit/>
        </w:trPr>
        <w:tc>
          <w:tcPr>
            <w:tcW w:w="4387" w:type="dxa"/>
          </w:tcPr>
          <w:p w:rsidR="00B9359B" w:rsidRDefault="009A5268">
            <w:pPr>
              <w:pStyle w:val="Tabletext"/>
              <w:framePr w:hSpace="181" w:wrap="notBeside" w:vAnchor="text" w:hAnchor="text" w:xAlign="center" w:y="1"/>
              <w:jc w:val="left"/>
              <w:rPr>
                <w:lang w:val="en-US"/>
              </w:rPr>
            </w:pPr>
            <w:r>
              <w:rPr>
                <w:lang w:val="en-US"/>
              </w:rPr>
              <w:t xml:space="preserve">Offset from centre </w:t>
            </w:r>
            <w:r>
              <w:rPr>
                <w:i/>
                <w:iCs/>
                <w:lang w:val="en-US"/>
              </w:rPr>
              <w:t>B</w:t>
            </w:r>
            <w:r>
              <w:rPr>
                <w:i/>
                <w:iCs/>
                <w:vertAlign w:val="subscript"/>
                <w:lang w:val="en-US"/>
              </w:rPr>
              <w:t xml:space="preserve">N </w:t>
            </w:r>
            <w:r>
              <w:rPr>
                <w:lang w:val="en-US"/>
              </w:rPr>
              <w:t>(MHz)</w:t>
            </w:r>
          </w:p>
        </w:tc>
        <w:tc>
          <w:tcPr>
            <w:tcW w:w="1417" w:type="dxa"/>
          </w:tcPr>
          <w:p w:rsidR="00B9359B" w:rsidRDefault="009A5268">
            <w:pPr>
              <w:pStyle w:val="Tabletext"/>
              <w:framePr w:hSpace="181" w:wrap="notBeside" w:vAnchor="text" w:hAnchor="text" w:xAlign="center" w:y="1"/>
              <w:jc w:val="center"/>
              <w:rPr>
                <w:lang w:val="en-US"/>
              </w:rPr>
            </w:pPr>
            <w:r>
              <w:rPr>
                <w:lang w:val="en-US"/>
              </w:rPr>
              <w:t>277</w:t>
            </w:r>
          </w:p>
        </w:tc>
        <w:tc>
          <w:tcPr>
            <w:tcW w:w="1114" w:type="dxa"/>
          </w:tcPr>
          <w:p w:rsidR="00B9359B" w:rsidRDefault="009A5268">
            <w:pPr>
              <w:pStyle w:val="Tabletext"/>
              <w:framePr w:hSpace="181" w:wrap="notBeside" w:vAnchor="text" w:hAnchor="text" w:xAlign="center" w:y="1"/>
              <w:jc w:val="center"/>
              <w:rPr>
                <w:lang w:val="en-US"/>
              </w:rPr>
            </w:pPr>
            <w:r>
              <w:rPr>
                <w:lang w:val="en-US"/>
              </w:rPr>
              <w:t>3.3</w:t>
            </w:r>
          </w:p>
        </w:tc>
        <w:tc>
          <w:tcPr>
            <w:tcW w:w="1012" w:type="dxa"/>
          </w:tcPr>
          <w:p w:rsidR="00B9359B" w:rsidRDefault="009A5268">
            <w:pPr>
              <w:pStyle w:val="Tabletext"/>
              <w:framePr w:hSpace="181" w:wrap="notBeside" w:vAnchor="text" w:hAnchor="text" w:xAlign="center" w:y="1"/>
              <w:jc w:val="center"/>
              <w:rPr>
                <w:lang w:val="en-US"/>
              </w:rPr>
            </w:pPr>
            <w:r>
              <w:rPr>
                <w:lang w:val="en-US"/>
              </w:rPr>
              <w:t>2.2</w:t>
            </w:r>
          </w:p>
        </w:tc>
        <w:tc>
          <w:tcPr>
            <w:tcW w:w="1319" w:type="dxa"/>
          </w:tcPr>
          <w:p w:rsidR="00B9359B" w:rsidRDefault="009A5268">
            <w:pPr>
              <w:pStyle w:val="Tabletext"/>
              <w:framePr w:hSpace="181" w:wrap="notBeside" w:vAnchor="text" w:hAnchor="text" w:xAlign="center" w:y="1"/>
              <w:jc w:val="center"/>
              <w:rPr>
                <w:lang w:val="en-US"/>
              </w:rPr>
            </w:pPr>
            <w:r>
              <w:rPr>
                <w:lang w:val="en-US"/>
              </w:rPr>
              <w:t>250</w:t>
            </w:r>
          </w:p>
        </w:tc>
      </w:tr>
      <w:tr w:rsidR="00B9359B">
        <w:trPr>
          <w:cantSplit/>
        </w:trPr>
        <w:tc>
          <w:tcPr>
            <w:tcW w:w="4387" w:type="dxa"/>
            <w:tcBorders>
              <w:bottom w:val="single" w:sz="4" w:space="0" w:color="auto"/>
            </w:tcBorders>
          </w:tcPr>
          <w:p w:rsidR="00B9359B" w:rsidRDefault="009A5268">
            <w:pPr>
              <w:pStyle w:val="Tabletext"/>
              <w:framePr w:hSpace="181" w:wrap="notBeside" w:vAnchor="text" w:hAnchor="text" w:xAlign="center" w:y="1"/>
              <w:jc w:val="left"/>
              <w:rPr>
                <w:lang w:val="en-US"/>
              </w:rPr>
            </w:pPr>
            <w:r>
              <w:rPr>
                <w:lang w:val="en-US"/>
              </w:rPr>
              <w:t>Required additional guardband (MHz)</w:t>
            </w:r>
          </w:p>
        </w:tc>
        <w:tc>
          <w:tcPr>
            <w:tcW w:w="1417" w:type="dxa"/>
            <w:tcBorders>
              <w:bottom w:val="single" w:sz="4" w:space="0" w:color="auto"/>
            </w:tcBorders>
          </w:tcPr>
          <w:p w:rsidR="00B9359B" w:rsidRDefault="009A5268">
            <w:pPr>
              <w:pStyle w:val="Tabletext"/>
              <w:framePr w:hSpace="181" w:wrap="notBeside" w:vAnchor="text" w:hAnchor="text" w:xAlign="center" w:y="1"/>
              <w:jc w:val="center"/>
              <w:rPr>
                <w:lang w:val="en-US"/>
              </w:rPr>
            </w:pPr>
            <w:r>
              <w:rPr>
                <w:lang w:val="en-US"/>
              </w:rPr>
              <w:t>0</w:t>
            </w:r>
          </w:p>
        </w:tc>
        <w:tc>
          <w:tcPr>
            <w:tcW w:w="1114" w:type="dxa"/>
            <w:tcBorders>
              <w:bottom w:val="single" w:sz="4" w:space="0" w:color="auto"/>
            </w:tcBorders>
          </w:tcPr>
          <w:p w:rsidR="00B9359B" w:rsidRDefault="009A5268">
            <w:pPr>
              <w:pStyle w:val="Tabletext"/>
              <w:framePr w:hSpace="181" w:wrap="notBeside" w:vAnchor="text" w:hAnchor="text" w:xAlign="center" w:y="1"/>
              <w:jc w:val="center"/>
              <w:rPr>
                <w:lang w:val="en-US"/>
              </w:rPr>
            </w:pPr>
            <w:r>
              <w:rPr>
                <w:lang w:val="en-US"/>
              </w:rPr>
              <w:t>0</w:t>
            </w:r>
          </w:p>
        </w:tc>
        <w:tc>
          <w:tcPr>
            <w:tcW w:w="1012" w:type="dxa"/>
            <w:tcBorders>
              <w:bottom w:val="single" w:sz="4" w:space="0" w:color="auto"/>
            </w:tcBorders>
          </w:tcPr>
          <w:p w:rsidR="00B9359B" w:rsidRDefault="009A5268">
            <w:pPr>
              <w:pStyle w:val="Tabletext"/>
              <w:framePr w:hSpace="181" w:wrap="notBeside" w:vAnchor="text" w:hAnchor="text" w:xAlign="center" w:y="1"/>
              <w:jc w:val="center"/>
              <w:rPr>
                <w:lang w:val="en-US"/>
              </w:rPr>
            </w:pPr>
            <w:r>
              <w:rPr>
                <w:lang w:val="en-US"/>
              </w:rPr>
              <w:t>0</w:t>
            </w:r>
          </w:p>
        </w:tc>
        <w:tc>
          <w:tcPr>
            <w:tcW w:w="1319" w:type="dxa"/>
            <w:tcBorders>
              <w:bottom w:val="single" w:sz="4" w:space="0" w:color="auto"/>
            </w:tcBorders>
          </w:tcPr>
          <w:p w:rsidR="00B9359B" w:rsidRDefault="009A5268">
            <w:pPr>
              <w:pStyle w:val="Tabletext"/>
              <w:framePr w:hSpace="181" w:wrap="notBeside" w:vAnchor="text" w:hAnchor="text" w:xAlign="center" w:y="1"/>
              <w:jc w:val="center"/>
              <w:rPr>
                <w:lang w:val="en-US"/>
              </w:rPr>
            </w:pPr>
            <w:r>
              <w:rPr>
                <w:lang w:val="en-US"/>
              </w:rPr>
              <w:t>0</w:t>
            </w:r>
          </w:p>
        </w:tc>
      </w:tr>
      <w:tr w:rsidR="00B9359B">
        <w:trPr>
          <w:cantSplit/>
        </w:trPr>
        <w:tc>
          <w:tcPr>
            <w:tcW w:w="9249" w:type="dxa"/>
            <w:gridSpan w:val="5"/>
            <w:shd w:val="clear" w:color="auto" w:fill="FFFFFF"/>
          </w:tcPr>
          <w:p w:rsidR="00B9359B" w:rsidRDefault="009A5268">
            <w:pPr>
              <w:pStyle w:val="Tabletext"/>
              <w:framePr w:hSpace="181" w:wrap="notBeside" w:vAnchor="text" w:hAnchor="text" w:xAlign="center" w:y="1"/>
              <w:spacing w:before="80" w:after="80"/>
              <w:jc w:val="left"/>
              <w:rPr>
                <w:i/>
                <w:iCs/>
                <w:lang w:val="en-US"/>
              </w:rPr>
            </w:pPr>
            <w:r>
              <w:rPr>
                <w:bCs/>
                <w:i/>
                <w:iCs/>
                <w:lang w:val="en-US"/>
              </w:rPr>
              <w:t>Case 2 – Transmitter side-lobe</w:t>
            </w:r>
          </w:p>
        </w:tc>
      </w:tr>
      <w:tr w:rsidR="00B9359B">
        <w:trPr>
          <w:cantSplit/>
        </w:trPr>
        <w:tc>
          <w:tcPr>
            <w:tcW w:w="4387" w:type="dxa"/>
          </w:tcPr>
          <w:p w:rsidR="00B9359B" w:rsidRDefault="009A5268">
            <w:pPr>
              <w:pStyle w:val="Tabletext"/>
              <w:framePr w:hSpace="181" w:wrap="notBeside" w:vAnchor="text" w:hAnchor="text" w:xAlign="center" w:y="1"/>
              <w:jc w:val="left"/>
              <w:rPr>
                <w:lang w:val="en-US"/>
              </w:rPr>
            </w:pPr>
            <w:r>
              <w:rPr>
                <w:lang w:val="en-US"/>
              </w:rPr>
              <w:t>Conical scan mainbeam (dB)</w:t>
            </w:r>
          </w:p>
        </w:tc>
        <w:tc>
          <w:tcPr>
            <w:tcW w:w="1417" w:type="dxa"/>
          </w:tcPr>
          <w:p w:rsidR="00B9359B" w:rsidRDefault="009A5268">
            <w:pPr>
              <w:pStyle w:val="Tabletext"/>
              <w:framePr w:hSpace="181" w:wrap="notBeside" w:vAnchor="text" w:hAnchor="text" w:xAlign="center" w:y="1"/>
              <w:jc w:val="center"/>
              <w:rPr>
                <w:lang w:val="en-US"/>
              </w:rPr>
            </w:pPr>
            <w:r>
              <w:rPr>
                <w:bCs/>
                <w:lang w:val="en-US"/>
              </w:rPr>
              <w:t>N/A</w:t>
            </w:r>
          </w:p>
        </w:tc>
        <w:tc>
          <w:tcPr>
            <w:tcW w:w="1114" w:type="dxa"/>
            <w:tcBorders>
              <w:bottom w:val="nil"/>
            </w:tcBorders>
          </w:tcPr>
          <w:p w:rsidR="00B9359B" w:rsidRDefault="009A5268">
            <w:pPr>
              <w:pStyle w:val="Tabletext"/>
              <w:framePr w:hSpace="181" w:wrap="notBeside" w:vAnchor="text" w:hAnchor="text" w:xAlign="center" w:y="1"/>
              <w:jc w:val="center"/>
              <w:rPr>
                <w:lang w:val="en-US"/>
              </w:rPr>
            </w:pPr>
            <w:r>
              <w:rPr>
                <w:lang w:val="en-US"/>
              </w:rPr>
              <w:t>–5.5</w:t>
            </w:r>
          </w:p>
        </w:tc>
        <w:tc>
          <w:tcPr>
            <w:tcW w:w="1012" w:type="dxa"/>
            <w:tcBorders>
              <w:bottom w:val="nil"/>
            </w:tcBorders>
          </w:tcPr>
          <w:p w:rsidR="00B9359B" w:rsidRDefault="009A5268">
            <w:pPr>
              <w:pStyle w:val="Tabletext"/>
              <w:framePr w:hSpace="181" w:wrap="notBeside" w:vAnchor="text" w:hAnchor="text" w:xAlign="center" w:y="1"/>
              <w:jc w:val="center"/>
              <w:rPr>
                <w:lang w:val="en-US"/>
              </w:rPr>
            </w:pPr>
            <w:r>
              <w:rPr>
                <w:lang w:val="en-US"/>
              </w:rPr>
              <w:t>–7.75</w:t>
            </w:r>
          </w:p>
        </w:tc>
        <w:tc>
          <w:tcPr>
            <w:tcW w:w="1319" w:type="dxa"/>
            <w:tcBorders>
              <w:bottom w:val="nil"/>
            </w:tcBorders>
          </w:tcPr>
          <w:p w:rsidR="00B9359B" w:rsidRDefault="009A5268">
            <w:pPr>
              <w:pStyle w:val="Tabletext"/>
              <w:framePr w:hSpace="181" w:wrap="notBeside" w:vAnchor="text" w:hAnchor="text" w:xAlign="center" w:y="1"/>
              <w:jc w:val="center"/>
              <w:rPr>
                <w:lang w:val="en-US"/>
              </w:rPr>
            </w:pPr>
            <w:r>
              <w:rPr>
                <w:lang w:val="en-US"/>
              </w:rPr>
              <w:t>–8.9</w:t>
            </w:r>
          </w:p>
        </w:tc>
      </w:tr>
      <w:tr w:rsidR="00B9359B">
        <w:trPr>
          <w:cantSplit/>
        </w:trPr>
        <w:tc>
          <w:tcPr>
            <w:tcW w:w="4387" w:type="dxa"/>
          </w:tcPr>
          <w:p w:rsidR="00B9359B" w:rsidRDefault="009A5268">
            <w:pPr>
              <w:pStyle w:val="Tabletext"/>
              <w:framePr w:hSpace="181" w:wrap="notBeside" w:vAnchor="text" w:hAnchor="text" w:xAlign="center" w:y="1"/>
              <w:jc w:val="left"/>
              <w:rPr>
                <w:lang w:val="en-US"/>
              </w:rPr>
            </w:pPr>
            <w:r>
              <w:rPr>
                <w:lang w:val="en-US"/>
              </w:rPr>
              <w:t xml:space="preserve">Offset from centre </w:t>
            </w:r>
            <w:r>
              <w:rPr>
                <w:i/>
                <w:iCs/>
                <w:lang w:val="en-US"/>
              </w:rPr>
              <w:t>B</w:t>
            </w:r>
            <w:r>
              <w:rPr>
                <w:i/>
                <w:iCs/>
                <w:vertAlign w:val="subscript"/>
                <w:lang w:val="en-US"/>
              </w:rPr>
              <w:t xml:space="preserve">N </w:t>
            </w:r>
            <w:r>
              <w:rPr>
                <w:lang w:val="en-US"/>
              </w:rPr>
              <w:t>(%)</w:t>
            </w:r>
          </w:p>
        </w:tc>
        <w:tc>
          <w:tcPr>
            <w:tcW w:w="1417" w:type="dxa"/>
          </w:tcPr>
          <w:p w:rsidR="00B9359B" w:rsidRDefault="00B9359B">
            <w:pPr>
              <w:pStyle w:val="Tabletext"/>
              <w:framePr w:hSpace="181" w:wrap="notBeside" w:vAnchor="text" w:hAnchor="text" w:xAlign="center" w:y="1"/>
              <w:jc w:val="center"/>
              <w:rPr>
                <w:lang w:val="en-US"/>
              </w:rPr>
            </w:pPr>
          </w:p>
        </w:tc>
        <w:tc>
          <w:tcPr>
            <w:tcW w:w="1114" w:type="dxa"/>
          </w:tcPr>
          <w:p w:rsidR="00B9359B" w:rsidRDefault="009A5268">
            <w:pPr>
              <w:pStyle w:val="Tabletext"/>
              <w:framePr w:hSpace="181" w:wrap="notBeside" w:vAnchor="text" w:hAnchor="text" w:xAlign="center" w:y="1"/>
              <w:jc w:val="center"/>
              <w:rPr>
                <w:lang w:val="en-US"/>
              </w:rPr>
            </w:pPr>
            <w:r>
              <w:rPr>
                <w:lang w:val="en-US"/>
              </w:rPr>
              <w:t>50</w:t>
            </w:r>
          </w:p>
        </w:tc>
        <w:tc>
          <w:tcPr>
            <w:tcW w:w="1012" w:type="dxa"/>
          </w:tcPr>
          <w:p w:rsidR="00B9359B" w:rsidRDefault="009A5268">
            <w:pPr>
              <w:pStyle w:val="Tabletext"/>
              <w:framePr w:hSpace="181" w:wrap="notBeside" w:vAnchor="text" w:hAnchor="text" w:xAlign="center" w:y="1"/>
              <w:jc w:val="center"/>
              <w:rPr>
                <w:lang w:val="en-US"/>
              </w:rPr>
            </w:pPr>
            <w:r>
              <w:rPr>
                <w:lang w:val="en-US"/>
              </w:rPr>
              <w:t>50</w:t>
            </w:r>
          </w:p>
        </w:tc>
        <w:tc>
          <w:tcPr>
            <w:tcW w:w="1319" w:type="dxa"/>
          </w:tcPr>
          <w:p w:rsidR="00B9359B" w:rsidRDefault="009A5268">
            <w:pPr>
              <w:pStyle w:val="Tabletext"/>
              <w:framePr w:hSpace="181" w:wrap="notBeside" w:vAnchor="text" w:hAnchor="text" w:xAlign="center" w:y="1"/>
              <w:jc w:val="center"/>
              <w:rPr>
                <w:lang w:val="en-US"/>
              </w:rPr>
            </w:pPr>
            <w:r>
              <w:rPr>
                <w:lang w:val="en-US"/>
              </w:rPr>
              <w:t>50</w:t>
            </w:r>
          </w:p>
        </w:tc>
      </w:tr>
      <w:tr w:rsidR="00B9359B">
        <w:trPr>
          <w:cantSplit/>
        </w:trPr>
        <w:tc>
          <w:tcPr>
            <w:tcW w:w="4387" w:type="dxa"/>
          </w:tcPr>
          <w:p w:rsidR="00B9359B" w:rsidRDefault="009A5268">
            <w:pPr>
              <w:pStyle w:val="Tabletext"/>
              <w:framePr w:hSpace="181" w:wrap="notBeside" w:vAnchor="text" w:hAnchor="text" w:xAlign="center" w:y="1"/>
              <w:jc w:val="left"/>
              <w:rPr>
                <w:lang w:val="en-US"/>
              </w:rPr>
            </w:pPr>
            <w:r>
              <w:rPr>
                <w:lang w:val="en-US"/>
              </w:rPr>
              <w:t xml:space="preserve">Offset from centre </w:t>
            </w:r>
            <w:r>
              <w:rPr>
                <w:i/>
                <w:iCs/>
                <w:lang w:val="en-US"/>
              </w:rPr>
              <w:t>B</w:t>
            </w:r>
            <w:r>
              <w:rPr>
                <w:i/>
                <w:iCs/>
                <w:vertAlign w:val="subscript"/>
                <w:lang w:val="en-US"/>
              </w:rPr>
              <w:t xml:space="preserve">N </w:t>
            </w:r>
            <w:r>
              <w:rPr>
                <w:lang w:val="en-US"/>
              </w:rPr>
              <w:t>(MHz)</w:t>
            </w:r>
          </w:p>
        </w:tc>
        <w:tc>
          <w:tcPr>
            <w:tcW w:w="1417" w:type="dxa"/>
          </w:tcPr>
          <w:p w:rsidR="00B9359B" w:rsidRDefault="00B9359B">
            <w:pPr>
              <w:pStyle w:val="Tabletext"/>
              <w:framePr w:hSpace="181" w:wrap="notBeside" w:vAnchor="text" w:hAnchor="text" w:xAlign="center" w:y="1"/>
              <w:jc w:val="center"/>
              <w:rPr>
                <w:lang w:val="en-US"/>
              </w:rPr>
            </w:pPr>
          </w:p>
        </w:tc>
        <w:tc>
          <w:tcPr>
            <w:tcW w:w="1114" w:type="dxa"/>
          </w:tcPr>
          <w:p w:rsidR="00B9359B" w:rsidRDefault="009A5268">
            <w:pPr>
              <w:pStyle w:val="Tabletext"/>
              <w:framePr w:hSpace="181" w:wrap="notBeside" w:vAnchor="text" w:hAnchor="text" w:xAlign="center" w:y="1"/>
              <w:jc w:val="center"/>
              <w:rPr>
                <w:lang w:val="en-US"/>
              </w:rPr>
            </w:pPr>
            <w:r>
              <w:rPr>
                <w:lang w:val="en-US"/>
              </w:rPr>
              <w:t>2.2</w:t>
            </w:r>
          </w:p>
        </w:tc>
        <w:tc>
          <w:tcPr>
            <w:tcW w:w="1012" w:type="dxa"/>
          </w:tcPr>
          <w:p w:rsidR="00B9359B" w:rsidRDefault="009A5268">
            <w:pPr>
              <w:pStyle w:val="Tabletext"/>
              <w:framePr w:hSpace="181" w:wrap="notBeside" w:vAnchor="text" w:hAnchor="text" w:xAlign="center" w:y="1"/>
              <w:jc w:val="center"/>
              <w:rPr>
                <w:lang w:val="en-US"/>
              </w:rPr>
            </w:pPr>
            <w:r>
              <w:rPr>
                <w:lang w:val="en-US"/>
              </w:rPr>
              <w:t>1.25</w:t>
            </w:r>
          </w:p>
        </w:tc>
        <w:tc>
          <w:tcPr>
            <w:tcW w:w="1319" w:type="dxa"/>
          </w:tcPr>
          <w:p w:rsidR="00B9359B" w:rsidRDefault="009A5268">
            <w:pPr>
              <w:pStyle w:val="Tabletext"/>
              <w:framePr w:hSpace="181" w:wrap="notBeside" w:vAnchor="text" w:hAnchor="text" w:xAlign="center" w:y="1"/>
              <w:jc w:val="center"/>
              <w:rPr>
                <w:lang w:val="en-US"/>
              </w:rPr>
            </w:pPr>
            <w:r>
              <w:rPr>
                <w:lang w:val="en-US"/>
              </w:rPr>
              <w:t>250</w:t>
            </w:r>
          </w:p>
        </w:tc>
      </w:tr>
      <w:tr w:rsidR="00B9359B">
        <w:trPr>
          <w:cantSplit/>
        </w:trPr>
        <w:tc>
          <w:tcPr>
            <w:tcW w:w="4387" w:type="dxa"/>
          </w:tcPr>
          <w:p w:rsidR="00B9359B" w:rsidRDefault="009A5268">
            <w:pPr>
              <w:pStyle w:val="Tabletext"/>
              <w:framePr w:hSpace="181" w:wrap="notBeside" w:vAnchor="text" w:hAnchor="text" w:xAlign="center" w:y="1"/>
              <w:jc w:val="left"/>
              <w:rPr>
                <w:lang w:val="en-US"/>
              </w:rPr>
            </w:pPr>
            <w:r>
              <w:rPr>
                <w:lang w:val="en-US"/>
              </w:rPr>
              <w:t>Required additional guardband (MHz)</w:t>
            </w:r>
          </w:p>
        </w:tc>
        <w:tc>
          <w:tcPr>
            <w:tcW w:w="1417" w:type="dxa"/>
          </w:tcPr>
          <w:p w:rsidR="00B9359B" w:rsidRDefault="00B9359B">
            <w:pPr>
              <w:pStyle w:val="Tabletext"/>
              <w:framePr w:hSpace="181" w:wrap="notBeside" w:vAnchor="text" w:hAnchor="text" w:xAlign="center" w:y="1"/>
              <w:jc w:val="center"/>
              <w:rPr>
                <w:lang w:val="en-US"/>
              </w:rPr>
            </w:pPr>
          </w:p>
        </w:tc>
        <w:tc>
          <w:tcPr>
            <w:tcW w:w="1114" w:type="dxa"/>
            <w:tcBorders>
              <w:bottom w:val="single" w:sz="4" w:space="0" w:color="auto"/>
            </w:tcBorders>
          </w:tcPr>
          <w:p w:rsidR="00B9359B" w:rsidRDefault="009A5268">
            <w:pPr>
              <w:pStyle w:val="Tabletext"/>
              <w:framePr w:hSpace="181" w:wrap="notBeside" w:vAnchor="text" w:hAnchor="text" w:xAlign="center" w:y="1"/>
              <w:jc w:val="center"/>
              <w:rPr>
                <w:lang w:val="en-US"/>
              </w:rPr>
            </w:pPr>
            <w:r>
              <w:rPr>
                <w:lang w:val="en-US"/>
              </w:rPr>
              <w:t>0</w:t>
            </w:r>
          </w:p>
        </w:tc>
        <w:tc>
          <w:tcPr>
            <w:tcW w:w="1012" w:type="dxa"/>
            <w:tcBorders>
              <w:bottom w:val="single" w:sz="4" w:space="0" w:color="auto"/>
            </w:tcBorders>
          </w:tcPr>
          <w:p w:rsidR="00B9359B" w:rsidRDefault="009A5268">
            <w:pPr>
              <w:pStyle w:val="Tabletext"/>
              <w:framePr w:hSpace="181" w:wrap="notBeside" w:vAnchor="text" w:hAnchor="text" w:xAlign="center" w:y="1"/>
              <w:jc w:val="center"/>
              <w:rPr>
                <w:lang w:val="en-US"/>
              </w:rPr>
            </w:pPr>
            <w:r>
              <w:rPr>
                <w:lang w:val="en-US"/>
              </w:rPr>
              <w:t>0</w:t>
            </w:r>
          </w:p>
        </w:tc>
        <w:tc>
          <w:tcPr>
            <w:tcW w:w="1319" w:type="dxa"/>
            <w:tcBorders>
              <w:bottom w:val="single" w:sz="4" w:space="0" w:color="auto"/>
            </w:tcBorders>
          </w:tcPr>
          <w:p w:rsidR="00B9359B" w:rsidRDefault="009A5268">
            <w:pPr>
              <w:pStyle w:val="Tabletext"/>
              <w:framePr w:hSpace="181" w:wrap="notBeside" w:vAnchor="text" w:hAnchor="text" w:xAlign="center" w:y="1"/>
              <w:jc w:val="center"/>
              <w:rPr>
                <w:lang w:val="en-US"/>
              </w:rPr>
            </w:pPr>
            <w:r>
              <w:rPr>
                <w:lang w:val="en-US"/>
              </w:rPr>
              <w:t>0</w:t>
            </w:r>
          </w:p>
        </w:tc>
      </w:tr>
      <w:tr w:rsidR="00B9359B">
        <w:trPr>
          <w:cantSplit/>
        </w:trPr>
        <w:tc>
          <w:tcPr>
            <w:tcW w:w="4387" w:type="dxa"/>
          </w:tcPr>
          <w:p w:rsidR="00B9359B" w:rsidRDefault="009A5268">
            <w:pPr>
              <w:pStyle w:val="Tabletext"/>
              <w:framePr w:hSpace="181" w:wrap="notBeside" w:vAnchor="text" w:hAnchor="text" w:xAlign="center" w:y="1"/>
              <w:jc w:val="left"/>
              <w:rPr>
                <w:lang w:val="en-US"/>
              </w:rPr>
            </w:pPr>
            <w:r>
              <w:rPr>
                <w:bCs/>
                <w:lang w:val="en-US"/>
              </w:rPr>
              <w:t>Conical scan side-lobe (dB)</w:t>
            </w:r>
          </w:p>
        </w:tc>
        <w:tc>
          <w:tcPr>
            <w:tcW w:w="1417" w:type="dxa"/>
          </w:tcPr>
          <w:p w:rsidR="00B9359B" w:rsidRDefault="009A5268">
            <w:pPr>
              <w:pStyle w:val="Tabletext"/>
              <w:framePr w:hSpace="181" w:wrap="notBeside" w:vAnchor="text" w:hAnchor="text" w:xAlign="center" w:y="1"/>
              <w:jc w:val="center"/>
              <w:rPr>
                <w:lang w:val="en-US"/>
              </w:rPr>
            </w:pPr>
            <w:r>
              <w:rPr>
                <w:bCs/>
                <w:lang w:val="en-US"/>
              </w:rPr>
              <w:t>N/A</w:t>
            </w:r>
          </w:p>
        </w:tc>
        <w:tc>
          <w:tcPr>
            <w:tcW w:w="1114" w:type="dxa"/>
            <w:shd w:val="pct10" w:color="auto" w:fill="auto"/>
          </w:tcPr>
          <w:p w:rsidR="00B9359B" w:rsidRDefault="009A5268">
            <w:pPr>
              <w:pStyle w:val="Tabletext"/>
              <w:framePr w:hSpace="181" w:wrap="notBeside" w:vAnchor="text" w:hAnchor="text" w:xAlign="center" w:y="1"/>
              <w:jc w:val="center"/>
              <w:rPr>
                <w:lang w:val="en-US"/>
              </w:rPr>
            </w:pPr>
            <w:r>
              <w:rPr>
                <w:rFonts w:ascii="Symbol" w:hAnsi="Symbol"/>
                <w:lang w:val="en-US"/>
              </w:rPr>
              <w:t></w:t>
            </w:r>
            <w:r>
              <w:rPr>
                <w:lang w:val="en-US"/>
              </w:rPr>
              <w:t>34.3</w:t>
            </w:r>
          </w:p>
        </w:tc>
        <w:tc>
          <w:tcPr>
            <w:tcW w:w="1012" w:type="dxa"/>
            <w:shd w:val="pct10" w:color="auto" w:fill="auto"/>
          </w:tcPr>
          <w:p w:rsidR="00B9359B" w:rsidRDefault="009A5268">
            <w:pPr>
              <w:pStyle w:val="Tabletext"/>
              <w:framePr w:hSpace="181" w:wrap="notBeside" w:vAnchor="text" w:hAnchor="text" w:xAlign="center" w:y="1"/>
              <w:jc w:val="center"/>
              <w:rPr>
                <w:lang w:val="en-US"/>
              </w:rPr>
            </w:pPr>
            <w:r>
              <w:rPr>
                <w:rFonts w:ascii="Symbol" w:hAnsi="Symbol"/>
                <w:lang w:val="en-US"/>
              </w:rPr>
              <w:t></w:t>
            </w:r>
            <w:r>
              <w:rPr>
                <w:lang w:val="en-US"/>
              </w:rPr>
              <w:t>32.05</w:t>
            </w:r>
          </w:p>
        </w:tc>
        <w:tc>
          <w:tcPr>
            <w:tcW w:w="1319" w:type="dxa"/>
            <w:shd w:val="pct10" w:color="auto" w:fill="auto"/>
          </w:tcPr>
          <w:p w:rsidR="00B9359B" w:rsidRDefault="009A5268">
            <w:pPr>
              <w:pStyle w:val="Tabletext"/>
              <w:framePr w:hSpace="181" w:wrap="notBeside" w:vAnchor="text" w:hAnchor="text" w:xAlign="center" w:y="1"/>
              <w:jc w:val="center"/>
              <w:rPr>
                <w:lang w:val="en-US"/>
              </w:rPr>
            </w:pPr>
            <w:r>
              <w:rPr>
                <w:rFonts w:ascii="Symbol" w:hAnsi="Symbol"/>
              </w:rPr>
              <w:t></w:t>
            </w:r>
            <w:r>
              <w:rPr>
                <w:lang w:val="en-US"/>
              </w:rPr>
              <w:t>30.9</w:t>
            </w:r>
          </w:p>
        </w:tc>
      </w:tr>
    </w:tbl>
    <w:p w:rsidR="00B9359B" w:rsidRDefault="00B9359B">
      <w:pPr>
        <w:pStyle w:val="Tablefin"/>
        <w:rPr>
          <w:lang w:val="en-US"/>
        </w:rPr>
      </w:pPr>
    </w:p>
    <w:p w:rsidR="00B9359B" w:rsidRDefault="00B9359B">
      <w:pPr>
        <w:rPr>
          <w:lang w:val="en-US"/>
        </w:rPr>
      </w:pPr>
    </w:p>
    <w:p w:rsidR="00B9359B" w:rsidRDefault="009A5268">
      <w:pPr>
        <w:rPr>
          <w:lang w:val="en-US"/>
        </w:rPr>
      </w:pPr>
      <w:r>
        <w:rPr>
          <w:lang w:val="en-US"/>
        </w:rPr>
        <w:t>In most cases, it appears that application of the raised cosine mask is a satisfactory solution to protect the passive sensors against unwanted emissions generated by the FSS non</w:t>
      </w:r>
      <w:r>
        <w:rPr>
          <w:lang w:val="en-US"/>
        </w:rPr>
        <w:noBreakHyphen/>
        <w:t>GSO and GSO earth stations, except in case of main-lobe to main-lobe coincidences and aggregate impact of multiple earth stations in dynamic simulations which still require further investigations.</w:t>
      </w:r>
    </w:p>
    <w:p w:rsidR="00B9359B" w:rsidRDefault="009A5268">
      <w:pPr>
        <w:rPr>
          <w:lang w:val="en-US"/>
        </w:rPr>
      </w:pPr>
      <w:r>
        <w:rPr>
          <w:lang w:val="en-US"/>
        </w:rPr>
        <w:t>However, a few systems using simultaneously a wide necessary bandwidth and a high e.i.r.p. raise serious concerns in case of main-lobe to main-lobe configurations. These are the GSO Ka</w:t>
      </w:r>
      <w:r>
        <w:rPr>
          <w:lang w:val="en-US"/>
        </w:rPr>
        <w:noBreakHyphen/>
        <w:t>1, the GSO</w:t>
      </w:r>
      <w:r>
        <w:rPr>
          <w:lang w:val="en-US"/>
        </w:rPr>
        <w:noBreakHyphen/>
        <w:t>20 and the LEOSAT</w:t>
      </w:r>
      <w:r>
        <w:rPr>
          <w:lang w:val="en-US"/>
        </w:rPr>
        <w:noBreakHyphen/>
        <w:t>2 for which the frequency offset required to protect the passive band is not practicable. Further consideration should be given to these systems.</w:t>
      </w:r>
    </w:p>
    <w:p w:rsidR="00B9359B" w:rsidRDefault="009A5268">
      <w:pPr>
        <w:pStyle w:val="Heading1"/>
        <w:rPr>
          <w:lang w:val="en-US"/>
        </w:rPr>
      </w:pPr>
      <w:bookmarkStart w:id="429" w:name="_Toc51045829"/>
      <w:r>
        <w:rPr>
          <w:lang w:val="en-US"/>
        </w:rPr>
        <w:t>5</w:t>
      </w:r>
      <w:r>
        <w:rPr>
          <w:lang w:val="en-US"/>
        </w:rPr>
        <w:tab/>
        <w:t>Mitigation technique</w:t>
      </w:r>
      <w:bookmarkEnd w:id="429"/>
    </w:p>
    <w:p w:rsidR="00B9359B" w:rsidRDefault="009A5268">
      <w:pPr>
        <w:pStyle w:val="Heading2"/>
        <w:rPr>
          <w:lang w:val="en-US"/>
        </w:rPr>
      </w:pPr>
      <w:bookmarkStart w:id="430" w:name="_Toc51045830"/>
      <w:r>
        <w:rPr>
          <w:lang w:val="en-US"/>
        </w:rPr>
        <w:t>5.1</w:t>
      </w:r>
      <w:r>
        <w:rPr>
          <w:lang w:val="en-US"/>
        </w:rPr>
        <w:tab/>
        <w:t>EESS</w:t>
      </w:r>
      <w:bookmarkEnd w:id="430"/>
      <w:r>
        <w:rPr>
          <w:lang w:val="en-US"/>
        </w:rPr>
        <w:t xml:space="preserve"> (passive)</w:t>
      </w:r>
    </w:p>
    <w:p w:rsidR="00B9359B" w:rsidRDefault="009A5268">
      <w:pPr>
        <w:rPr>
          <w:lang w:val="en-US"/>
        </w:rPr>
      </w:pPr>
      <w:r>
        <w:rPr>
          <w:lang w:val="en-US"/>
        </w:rPr>
        <w:t>This subject needs further investigation.</w:t>
      </w:r>
    </w:p>
    <w:p w:rsidR="00B9359B" w:rsidRDefault="009A5268">
      <w:pPr>
        <w:pStyle w:val="Heading2"/>
        <w:rPr>
          <w:lang w:val="en-US"/>
        </w:rPr>
      </w:pPr>
      <w:bookmarkStart w:id="431" w:name="_Toc51045831"/>
      <w:r>
        <w:rPr>
          <w:lang w:val="en-US"/>
        </w:rPr>
        <w:br w:type="page"/>
        <w:t>5.2</w:t>
      </w:r>
      <w:r>
        <w:rPr>
          <w:lang w:val="en-US"/>
        </w:rPr>
        <w:tab/>
        <w:t>FSS and MSS</w:t>
      </w:r>
      <w:bookmarkEnd w:id="431"/>
    </w:p>
    <w:p w:rsidR="00B9359B" w:rsidRDefault="009A5268">
      <w:pPr>
        <w:rPr>
          <w:lang w:val="en-US"/>
        </w:rPr>
      </w:pPr>
      <w:r>
        <w:rPr>
          <w:lang w:val="en-US"/>
        </w:rPr>
        <w:t>The results of the analysis (see Tables 60 and 61 for the conically scanned sensor, and Tables 62 to 64 for the nadir sensor) indicate that, in most cases, the 300 MHz separation between the FSS and the EESS allocations and the application of the raised cosine mask offer adequate protection of the passive sensors. Some critical issues involving main-lobe to main-lobe alignment with systems implementing simultaneously high e.i.r.p. and wide necessary bandwidth remain unsolved and require further consideration. Because the likelihood of main-lobe to main-lobe coincidences may be high in case of non-GSO FSS systems and in case of GSO FSS earth stations close to equator, no additional frequency offset can be implemented with such systems, with a view of providing protection for the adjacent passive allocation.</w:t>
      </w:r>
    </w:p>
    <w:p w:rsidR="00B9359B" w:rsidRDefault="009A5268">
      <w:pPr>
        <w:pStyle w:val="Heading2"/>
        <w:rPr>
          <w:lang w:val="en-US"/>
        </w:rPr>
      </w:pPr>
      <w:bookmarkStart w:id="432" w:name="_Toc51045832"/>
      <w:r>
        <w:rPr>
          <w:lang w:val="en-US"/>
        </w:rPr>
        <w:t>5.3</w:t>
      </w:r>
      <w:r>
        <w:rPr>
          <w:lang w:val="en-US"/>
        </w:rPr>
        <w:tab/>
        <w:t>Potential impact</w:t>
      </w:r>
      <w:bookmarkEnd w:id="432"/>
    </w:p>
    <w:p w:rsidR="00B9359B" w:rsidRDefault="009A5268">
      <w:pPr>
        <w:pStyle w:val="Heading3"/>
        <w:rPr>
          <w:lang w:val="en-US"/>
        </w:rPr>
      </w:pPr>
      <w:bookmarkStart w:id="433" w:name="_Toc51045833"/>
      <w:r>
        <w:rPr>
          <w:lang w:val="en-US"/>
        </w:rPr>
        <w:t>5.3.1</w:t>
      </w:r>
      <w:r>
        <w:rPr>
          <w:lang w:val="en-US"/>
        </w:rPr>
        <w:tab/>
        <w:t>EESS (passive)</w:t>
      </w:r>
      <w:bookmarkEnd w:id="433"/>
    </w:p>
    <w:p w:rsidR="00B9359B" w:rsidRDefault="009A5268">
      <w:pPr>
        <w:rPr>
          <w:lang w:val="en-US"/>
        </w:rPr>
      </w:pPr>
      <w:r>
        <w:rPr>
          <w:lang w:val="en-US"/>
        </w:rPr>
        <w:t>The potential impact on the EESS (passive) cannot be assessed until the mitigation techniques (see § 5.1) are finalized.</w:t>
      </w:r>
    </w:p>
    <w:p w:rsidR="00B9359B" w:rsidRDefault="009A5268">
      <w:pPr>
        <w:pStyle w:val="Heading3"/>
        <w:rPr>
          <w:lang w:val="en-US"/>
        </w:rPr>
      </w:pPr>
      <w:bookmarkStart w:id="434" w:name="_Toc51045834"/>
      <w:r>
        <w:rPr>
          <w:lang w:val="en-US"/>
        </w:rPr>
        <w:t>5.3.2</w:t>
      </w:r>
      <w:r>
        <w:rPr>
          <w:lang w:val="en-US"/>
        </w:rPr>
        <w:tab/>
        <w:t>FSS and MSS</w:t>
      </w:r>
      <w:bookmarkEnd w:id="434"/>
    </w:p>
    <w:p w:rsidR="00B9359B" w:rsidRDefault="009A5268">
      <w:pPr>
        <w:rPr>
          <w:lang w:val="en-US"/>
        </w:rPr>
      </w:pPr>
      <w:r>
        <w:rPr>
          <w:lang w:val="en-US"/>
        </w:rPr>
        <w:t>This Annex is based upon the use of the raised cosine spectral representation. The implication of such a spectral representation is being reviewed within the ITU</w:t>
      </w:r>
      <w:r>
        <w:rPr>
          <w:lang w:val="en-US"/>
        </w:rPr>
        <w:noBreakHyphen/>
        <w:t>R.</w:t>
      </w:r>
    </w:p>
    <w:p w:rsidR="00B9359B" w:rsidRDefault="009A5268">
      <w:pPr>
        <w:pStyle w:val="Heading1"/>
        <w:rPr>
          <w:lang w:val="en-US"/>
        </w:rPr>
      </w:pPr>
      <w:bookmarkStart w:id="435" w:name="_Toc51045835"/>
      <w:r>
        <w:rPr>
          <w:lang w:val="en-US"/>
        </w:rPr>
        <w:t>6</w:t>
      </w:r>
      <w:r>
        <w:rPr>
          <w:lang w:val="en-US"/>
        </w:rPr>
        <w:tab/>
        <w:t>Results of studies</w:t>
      </w:r>
      <w:bookmarkEnd w:id="435"/>
    </w:p>
    <w:p w:rsidR="00B9359B" w:rsidRDefault="009A5268">
      <w:pPr>
        <w:pStyle w:val="Heading2"/>
        <w:rPr>
          <w:lang w:val="en-US"/>
        </w:rPr>
      </w:pPr>
      <w:bookmarkStart w:id="436" w:name="_Toc51045836"/>
      <w:r>
        <w:rPr>
          <w:lang w:val="en-US"/>
        </w:rPr>
        <w:t>6.1</w:t>
      </w:r>
      <w:r>
        <w:rPr>
          <w:lang w:val="en-US"/>
        </w:rPr>
        <w:tab/>
        <w:t>Summary</w:t>
      </w:r>
      <w:bookmarkEnd w:id="436"/>
    </w:p>
    <w:p w:rsidR="00B9359B" w:rsidRDefault="009A5268">
      <w:pPr>
        <w:rPr>
          <w:lang w:val="en-US"/>
        </w:rPr>
      </w:pPr>
      <w:r>
        <w:rPr>
          <w:lang w:val="en-US"/>
        </w:rPr>
        <w:t>This Annex has addressed the protection issue of the passive band 31.3-31.5 GHz taking into account various EESS sensors. Depending on the FSS characteristics, the level above the threshold may be in the order of 88 dB in the case of main-lobe to main-lobe alignment: such a level has the potential to cause damage to the sensors.</w:t>
      </w:r>
    </w:p>
    <w:p w:rsidR="00B9359B" w:rsidRDefault="009A5268">
      <w:pPr>
        <w:rPr>
          <w:lang w:val="en-US"/>
        </w:rPr>
      </w:pPr>
      <w:r>
        <w:rPr>
          <w:lang w:val="en-US"/>
        </w:rPr>
        <w:t xml:space="preserve">It has to be noted that for most of the GSO and non-GSO networks which have been considered in the study, the protection of the EESS (passive) band 31.3-31.5 GHz takes advantage of the 300 MHz separation between the two services if an appropriate attenuation is used. However, further investigation will be required for other kinds of networks. </w:t>
      </w:r>
    </w:p>
    <w:p w:rsidR="00B9359B" w:rsidRDefault="009A5268">
      <w:pPr>
        <w:rPr>
          <w:lang w:val="en-US"/>
        </w:rPr>
      </w:pPr>
      <w:r>
        <w:rPr>
          <w:lang w:val="en-US"/>
        </w:rPr>
        <w:t>It should be noted that due to the lack of information on the current use of the 30-31 GHz band by FSS/MSS systems and the appropriate system characteristics, characteristics of FSS/MSS systems used in a nearby band have been assumed for the purpose of this study. Therefore, it may be expected that some of the conclusions of this Annex may be changed.</w:t>
      </w:r>
    </w:p>
    <w:p w:rsidR="00B9359B" w:rsidRDefault="009A5268">
      <w:pPr>
        <w:pStyle w:val="Heading2"/>
        <w:rPr>
          <w:lang w:val="en-US"/>
        </w:rPr>
      </w:pPr>
      <w:bookmarkStart w:id="437" w:name="_Toc51045837"/>
      <w:r>
        <w:rPr>
          <w:lang w:val="en-US"/>
        </w:rPr>
        <w:t>6.2</w:t>
      </w:r>
      <w:r>
        <w:rPr>
          <w:lang w:val="en-US"/>
        </w:rPr>
        <w:tab/>
        <w:t>Conclusions</w:t>
      </w:r>
      <w:bookmarkEnd w:id="437"/>
    </w:p>
    <w:p w:rsidR="00B9359B" w:rsidRDefault="009A5268">
      <w:pPr>
        <w:rPr>
          <w:lang w:val="en-US"/>
        </w:rPr>
      </w:pPr>
      <w:r>
        <w:rPr>
          <w:lang w:val="en-US"/>
        </w:rPr>
        <w:t>This analysis shows that further work on applicable mitigation techniques is necessary. Except for the specific case of main-lobe to main-lobe alignment which has a probability below 0.01% to occur according to the dynamic analysis, and the aggregate impact of multiple earth stations in the dynamic simulation which still requires some further investigation, based on the known characteristics of the FSS/MSS systems used in the study, the band 31.3-31.5 GHz may be protected if the raised cosine attenuation is used or any modulation technique providing a similar or better attenuation.</w:t>
      </w:r>
    </w:p>
    <w:p w:rsidR="00B9359B" w:rsidRDefault="009A5268">
      <w:pPr>
        <w:pStyle w:val="AnnexNoTitle"/>
        <w:rPr>
          <w:lang w:val="en-US"/>
        </w:rPr>
      </w:pPr>
      <w:r>
        <w:rPr>
          <w:lang w:val="en-US"/>
        </w:rPr>
        <w:br w:type="page"/>
        <w:t>Annex 15</w:t>
      </w:r>
      <w:r>
        <w:rPr>
          <w:lang w:val="en-US"/>
        </w:rPr>
        <w:br/>
      </w:r>
      <w:r>
        <w:rPr>
          <w:lang w:val="en-US"/>
        </w:rPr>
        <w:br/>
        <w:t>Compatibility analysis between EESS (passive) systems operating</w:t>
      </w:r>
      <w:r>
        <w:rPr>
          <w:lang w:val="en-US"/>
        </w:rPr>
        <w:br/>
        <w:t>in the 31.3-31.5 GHz band and fixed service (FS) systems</w:t>
      </w:r>
      <w:r>
        <w:rPr>
          <w:lang w:val="en-US"/>
        </w:rPr>
        <w:br/>
        <w:t>operating in the 31-31.3 GHz band</w:t>
      </w:r>
    </w:p>
    <w:p w:rsidR="00B9359B" w:rsidRDefault="009A5268">
      <w:pPr>
        <w:pStyle w:val="Heading1"/>
        <w:rPr>
          <w:lang w:val="en-US"/>
        </w:rPr>
      </w:pPr>
      <w:bookmarkStart w:id="438" w:name="_Toc51045838"/>
      <w:r>
        <w:rPr>
          <w:lang w:val="en-US"/>
        </w:rPr>
        <w:t>1</w:t>
      </w:r>
      <w:r>
        <w:rPr>
          <w:lang w:val="en-US"/>
        </w:rPr>
        <w:tab/>
        <w:t>EESS (passive)</w:t>
      </w:r>
      <w:bookmarkEnd w:id="438"/>
    </w:p>
    <w:p w:rsidR="00B9359B" w:rsidRDefault="009A5268">
      <w:pPr>
        <w:pStyle w:val="Heading2"/>
        <w:rPr>
          <w:lang w:val="en-US"/>
        </w:rPr>
      </w:pPr>
      <w:bookmarkStart w:id="439" w:name="_Toc51045839"/>
      <w:r>
        <w:rPr>
          <w:lang w:val="en-US"/>
        </w:rPr>
        <w:t>1.1</w:t>
      </w:r>
      <w:r>
        <w:rPr>
          <w:lang w:val="en-US"/>
        </w:rPr>
        <w:tab/>
        <w:t>Allocated band</w:t>
      </w:r>
      <w:bookmarkEnd w:id="439"/>
    </w:p>
    <w:p w:rsidR="00B9359B" w:rsidRDefault="009A5268">
      <w:pPr>
        <w:rPr>
          <w:lang w:val="en-US"/>
        </w:rPr>
      </w:pPr>
      <w:r>
        <w:rPr>
          <w:lang w:val="en-US"/>
        </w:rPr>
        <w:t>The 31-31.3 GHz band is allocated to FS and this band is adjacent to the 31.3-31.5 GHz band allocated to the EESS. This Annex provides calculations of levels of unwanted emissions from FS systems operating below 31.3 GHz that may fall within the 31.3-31.5 GHz band.</w:t>
      </w:r>
    </w:p>
    <w:p w:rsidR="00B9359B" w:rsidRDefault="009A5268">
      <w:pPr>
        <w:rPr>
          <w:lang w:val="en-US"/>
        </w:rPr>
      </w:pPr>
      <w:r>
        <w:rPr>
          <w:lang w:val="en-US"/>
        </w:rPr>
        <w:t>It should be noted that according to RR No. 5.340, all emissions are prohibited in the 31.3-31.5 GHz band.</w:t>
      </w:r>
    </w:p>
    <w:p w:rsidR="00B9359B" w:rsidRDefault="009A5268">
      <w:pPr>
        <w:rPr>
          <w:lang w:val="en-US"/>
        </w:rPr>
      </w:pPr>
      <w:r>
        <w:rPr>
          <w:lang w:val="en-US"/>
        </w:rPr>
        <w:t>The allocations adjacent to the 31.3-31.5 GHz passive bands are shown in Table 74.</w:t>
      </w:r>
    </w:p>
    <w:p w:rsidR="00B9359B" w:rsidRDefault="009A5268">
      <w:pPr>
        <w:pStyle w:val="TableNo"/>
        <w:rPr>
          <w:lang w:val="en-US"/>
        </w:rPr>
      </w:pPr>
      <w:r>
        <w:rPr>
          <w:lang w:val="en-US"/>
        </w:rPr>
        <w:t>TABLE  74</w:t>
      </w:r>
    </w:p>
    <w:p w:rsidR="00B9359B" w:rsidRDefault="009A5268">
      <w:pPr>
        <w:pStyle w:val="Tabletitle"/>
        <w:rPr>
          <w:lang w:val="en-US"/>
        </w:rPr>
      </w:pPr>
      <w:r>
        <w:rPr>
          <w:lang w:val="en-US"/>
        </w:rPr>
        <w:t>Adjacent band allocations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7"/>
        <w:gridCol w:w="2732"/>
        <w:gridCol w:w="3410"/>
      </w:tblGrid>
      <w:tr w:rsidR="00B9359B" w:rsidRPr="00D35B94">
        <w:tc>
          <w:tcPr>
            <w:tcW w:w="3497" w:type="dxa"/>
          </w:tcPr>
          <w:p w:rsidR="00B9359B" w:rsidRDefault="009A5268">
            <w:pPr>
              <w:pStyle w:val="Tablehead"/>
              <w:framePr w:hSpace="181" w:wrap="notBeside" w:vAnchor="text" w:hAnchor="text" w:xAlign="center" w:y="1"/>
              <w:rPr>
                <w:lang w:val="en-US"/>
              </w:rPr>
            </w:pPr>
            <w:r>
              <w:rPr>
                <w:lang w:val="en-US"/>
              </w:rPr>
              <w:t>Services in lower allocated band</w:t>
            </w:r>
          </w:p>
        </w:tc>
        <w:tc>
          <w:tcPr>
            <w:tcW w:w="2732" w:type="dxa"/>
          </w:tcPr>
          <w:p w:rsidR="00B9359B" w:rsidRDefault="009A5268">
            <w:pPr>
              <w:pStyle w:val="Tablehead"/>
              <w:framePr w:hSpace="181" w:wrap="notBeside" w:vAnchor="text" w:hAnchor="text" w:xAlign="center" w:y="1"/>
              <w:rPr>
                <w:lang w:val="en-US"/>
              </w:rPr>
            </w:pPr>
            <w:r>
              <w:rPr>
                <w:lang w:val="en-US"/>
              </w:rPr>
              <w:t>Passive band</w:t>
            </w:r>
          </w:p>
        </w:tc>
        <w:tc>
          <w:tcPr>
            <w:tcW w:w="3410" w:type="dxa"/>
          </w:tcPr>
          <w:p w:rsidR="00B9359B" w:rsidRDefault="009A5268">
            <w:pPr>
              <w:pStyle w:val="Tablehead"/>
              <w:framePr w:hSpace="181" w:wrap="notBeside" w:vAnchor="text" w:hAnchor="text" w:xAlign="center" w:y="1"/>
              <w:rPr>
                <w:lang w:val="en-US"/>
              </w:rPr>
            </w:pPr>
            <w:r>
              <w:rPr>
                <w:lang w:val="en-US"/>
              </w:rPr>
              <w:t>Services in upper allocated band</w:t>
            </w:r>
          </w:p>
        </w:tc>
      </w:tr>
      <w:tr w:rsidR="00B9359B">
        <w:tc>
          <w:tcPr>
            <w:tcW w:w="3497" w:type="dxa"/>
          </w:tcPr>
          <w:p w:rsidR="00B9359B" w:rsidRDefault="009A5268">
            <w:pPr>
              <w:pStyle w:val="Tablehead"/>
              <w:framePr w:hSpace="181" w:wrap="notBeside" w:vAnchor="text" w:hAnchor="text" w:xAlign="center" w:y="1"/>
              <w:rPr>
                <w:lang w:val="en-US"/>
              </w:rPr>
            </w:pPr>
            <w:r>
              <w:rPr>
                <w:lang w:val="en-US"/>
              </w:rPr>
              <w:t>31-31.3 GHz</w:t>
            </w:r>
          </w:p>
        </w:tc>
        <w:tc>
          <w:tcPr>
            <w:tcW w:w="2732" w:type="dxa"/>
          </w:tcPr>
          <w:p w:rsidR="00B9359B" w:rsidRDefault="009A5268">
            <w:pPr>
              <w:pStyle w:val="Tablehead"/>
              <w:framePr w:hSpace="181" w:wrap="notBeside" w:vAnchor="text" w:hAnchor="text" w:xAlign="center" w:y="1"/>
              <w:rPr>
                <w:lang w:val="en-US"/>
              </w:rPr>
            </w:pPr>
            <w:r>
              <w:rPr>
                <w:lang w:val="en-US"/>
              </w:rPr>
              <w:t>31.3-31.5 GHz</w:t>
            </w:r>
          </w:p>
        </w:tc>
        <w:tc>
          <w:tcPr>
            <w:tcW w:w="3410" w:type="dxa"/>
          </w:tcPr>
          <w:p w:rsidR="00B9359B" w:rsidRDefault="009A5268">
            <w:pPr>
              <w:pStyle w:val="Tablehead"/>
              <w:framePr w:hSpace="181" w:wrap="notBeside" w:vAnchor="text" w:hAnchor="text" w:xAlign="center" w:y="1"/>
              <w:rPr>
                <w:lang w:val="en-US"/>
              </w:rPr>
            </w:pPr>
            <w:r>
              <w:rPr>
                <w:lang w:val="en-US"/>
              </w:rPr>
              <w:t>31.5-31.8 GHz</w:t>
            </w:r>
          </w:p>
        </w:tc>
      </w:tr>
      <w:tr w:rsidR="00B9359B" w:rsidRPr="00D35B94">
        <w:tc>
          <w:tcPr>
            <w:tcW w:w="3497" w:type="dxa"/>
          </w:tcPr>
          <w:p w:rsidR="00B9359B" w:rsidRDefault="009A5268">
            <w:pPr>
              <w:pStyle w:val="Tabletext"/>
              <w:framePr w:hSpace="181" w:wrap="notBeside" w:vAnchor="text" w:hAnchor="text" w:xAlign="center" w:y="1"/>
              <w:spacing w:before="60" w:after="60"/>
              <w:rPr>
                <w:lang w:val="en-US"/>
              </w:rPr>
            </w:pPr>
            <w:r>
              <w:rPr>
                <w:lang w:val="en-US"/>
              </w:rPr>
              <w:t>FIXED</w:t>
            </w:r>
          </w:p>
          <w:p w:rsidR="00B9359B" w:rsidRDefault="009A5268">
            <w:pPr>
              <w:pStyle w:val="Tabletext"/>
              <w:framePr w:hSpace="181" w:wrap="notBeside" w:vAnchor="text" w:hAnchor="text" w:xAlign="center" w:y="1"/>
              <w:spacing w:before="60" w:after="60"/>
              <w:rPr>
                <w:lang w:val="en-US"/>
              </w:rPr>
            </w:pPr>
            <w:r>
              <w:rPr>
                <w:lang w:val="en-US"/>
              </w:rPr>
              <w:t>MOBILE</w:t>
            </w:r>
          </w:p>
          <w:p w:rsidR="00B9359B" w:rsidRDefault="009A5268">
            <w:pPr>
              <w:pStyle w:val="Tabletext"/>
              <w:framePr w:hSpace="181" w:wrap="notBeside" w:vAnchor="text" w:hAnchor="text" w:xAlign="center" w:y="1"/>
              <w:spacing w:before="60" w:after="60"/>
              <w:jc w:val="left"/>
              <w:rPr>
                <w:lang w:val="en-US"/>
              </w:rPr>
            </w:pPr>
            <w:r>
              <w:rPr>
                <w:lang w:val="en-US"/>
              </w:rPr>
              <w:t>Standard frequency and time signal-satellite (space-to-Earth)</w:t>
            </w:r>
          </w:p>
          <w:p w:rsidR="00B9359B" w:rsidRDefault="009A5268">
            <w:pPr>
              <w:pStyle w:val="Tabletext"/>
              <w:framePr w:hSpace="181" w:wrap="notBeside" w:vAnchor="text" w:hAnchor="text" w:xAlign="center" w:y="1"/>
              <w:spacing w:before="60" w:after="60"/>
              <w:jc w:val="left"/>
              <w:rPr>
                <w:lang w:val="en-US"/>
              </w:rPr>
            </w:pPr>
            <w:r>
              <w:rPr>
                <w:lang w:val="en-US"/>
              </w:rPr>
              <w:t>Space research  5.544</w:t>
            </w:r>
          </w:p>
        </w:tc>
        <w:tc>
          <w:tcPr>
            <w:tcW w:w="2732" w:type="dxa"/>
          </w:tcPr>
          <w:p w:rsidR="00B9359B" w:rsidRDefault="009A5268">
            <w:pPr>
              <w:pStyle w:val="Tabletext"/>
              <w:framePr w:hSpace="181" w:wrap="notBeside" w:vAnchor="text" w:hAnchor="text" w:xAlign="center" w:y="1"/>
              <w:spacing w:before="60" w:after="60"/>
              <w:jc w:val="left"/>
              <w:rPr>
                <w:lang w:val="en-US"/>
              </w:rPr>
            </w:pPr>
            <w:r>
              <w:rPr>
                <w:lang w:val="en-US"/>
              </w:rPr>
              <w:t>EARTH  EXPLORATION-SATELLITE (passive)</w:t>
            </w:r>
          </w:p>
          <w:p w:rsidR="00B9359B" w:rsidRDefault="009A5268">
            <w:pPr>
              <w:pStyle w:val="Tabletext"/>
              <w:framePr w:hSpace="181" w:wrap="notBeside" w:vAnchor="text" w:hAnchor="text" w:xAlign="center" w:y="1"/>
              <w:spacing w:before="60" w:after="60"/>
              <w:rPr>
                <w:lang w:val="en-US"/>
              </w:rPr>
            </w:pPr>
            <w:r>
              <w:rPr>
                <w:lang w:val="en-US"/>
              </w:rPr>
              <w:t>RADIO  ASTRONOMY</w:t>
            </w:r>
          </w:p>
          <w:p w:rsidR="00B9359B" w:rsidRDefault="009A5268">
            <w:pPr>
              <w:framePr w:hSpace="181" w:wrap="notBeside" w:vAnchor="text" w:hAnchor="text" w:xAlign="center" w:y="1"/>
              <w:spacing w:before="60" w:after="60"/>
              <w:jc w:val="left"/>
              <w:rPr>
                <w:lang w:val="en-US"/>
              </w:rPr>
            </w:pPr>
            <w:r>
              <w:rPr>
                <w:lang w:val="en-US"/>
              </w:rPr>
              <w:t>SPACE  RESEARCH (passive)</w:t>
            </w:r>
          </w:p>
        </w:tc>
        <w:tc>
          <w:tcPr>
            <w:tcW w:w="3410" w:type="dxa"/>
          </w:tcPr>
          <w:p w:rsidR="00B9359B" w:rsidRDefault="009A5268">
            <w:pPr>
              <w:pStyle w:val="Tabletext"/>
              <w:framePr w:hSpace="181" w:wrap="notBeside" w:vAnchor="text" w:hAnchor="text" w:xAlign="center" w:y="1"/>
              <w:spacing w:before="60" w:after="60"/>
              <w:jc w:val="left"/>
              <w:rPr>
                <w:lang w:val="en-US"/>
              </w:rPr>
            </w:pPr>
            <w:r>
              <w:rPr>
                <w:lang w:val="en-US"/>
              </w:rPr>
              <w:t>EARTH  EXPLORATION-SATELLITE (passive)</w:t>
            </w:r>
          </w:p>
          <w:p w:rsidR="00B9359B" w:rsidRDefault="009A5268">
            <w:pPr>
              <w:pStyle w:val="Tabletext"/>
              <w:framePr w:hSpace="181" w:wrap="notBeside" w:vAnchor="text" w:hAnchor="text" w:xAlign="center" w:y="1"/>
              <w:spacing w:before="60" w:after="60"/>
              <w:rPr>
                <w:lang w:val="en-US"/>
              </w:rPr>
            </w:pPr>
            <w:r>
              <w:rPr>
                <w:lang w:val="en-US"/>
              </w:rPr>
              <w:t>RADIO  ASTRONOMY</w:t>
            </w:r>
          </w:p>
          <w:p w:rsidR="00B9359B" w:rsidRDefault="009A5268">
            <w:pPr>
              <w:pStyle w:val="Tabletext"/>
              <w:framePr w:hSpace="181" w:wrap="notBeside" w:vAnchor="text" w:hAnchor="text" w:xAlign="center" w:y="1"/>
              <w:spacing w:before="60" w:after="60"/>
              <w:jc w:val="left"/>
              <w:rPr>
                <w:lang w:val="en-US"/>
              </w:rPr>
            </w:pPr>
            <w:r>
              <w:rPr>
                <w:lang w:val="en-US"/>
              </w:rPr>
              <w:t>SPACE  RESEARCH (passive)</w:t>
            </w:r>
          </w:p>
          <w:p w:rsidR="00B9359B" w:rsidRDefault="009A5268">
            <w:pPr>
              <w:pStyle w:val="Tabletext"/>
              <w:framePr w:hSpace="181" w:wrap="notBeside" w:vAnchor="text" w:hAnchor="text" w:xAlign="center" w:y="1"/>
              <w:spacing w:before="60" w:after="60"/>
              <w:rPr>
                <w:lang w:val="en-US"/>
              </w:rPr>
            </w:pPr>
            <w:r>
              <w:rPr>
                <w:lang w:val="en-US"/>
              </w:rPr>
              <w:t>Fixed (Regions 1 and 3)</w:t>
            </w:r>
          </w:p>
          <w:p w:rsidR="00B9359B" w:rsidRDefault="009A5268">
            <w:pPr>
              <w:pStyle w:val="Tabletext"/>
              <w:framePr w:hSpace="181" w:wrap="notBeside" w:vAnchor="text" w:hAnchor="text" w:xAlign="center" w:y="1"/>
              <w:spacing w:before="60" w:after="60"/>
              <w:jc w:val="left"/>
              <w:rPr>
                <w:lang w:val="en-US"/>
              </w:rPr>
            </w:pPr>
            <w:r>
              <w:rPr>
                <w:lang w:val="en-US"/>
              </w:rPr>
              <w:t>Mobile except aeronautical mobile (Regions 1 and 3)</w:t>
            </w:r>
          </w:p>
        </w:tc>
      </w:tr>
    </w:tbl>
    <w:p w:rsidR="00B9359B" w:rsidRDefault="00B9359B">
      <w:pPr>
        <w:pStyle w:val="Tablefin"/>
        <w:rPr>
          <w:lang w:val="en-US"/>
        </w:rPr>
      </w:pPr>
    </w:p>
    <w:p w:rsidR="00B9359B" w:rsidRDefault="009A5268">
      <w:pPr>
        <w:pStyle w:val="Heading2"/>
        <w:rPr>
          <w:lang w:val="en-US"/>
        </w:rPr>
      </w:pPr>
      <w:bookmarkStart w:id="440" w:name="_Toc51045840"/>
      <w:r>
        <w:rPr>
          <w:lang w:val="en-US"/>
        </w:rPr>
        <w:t>1.2</w:t>
      </w:r>
      <w:r>
        <w:rPr>
          <w:lang w:val="en-US"/>
        </w:rPr>
        <w:tab/>
        <w:t>Application</w:t>
      </w:r>
      <w:bookmarkEnd w:id="440"/>
    </w:p>
    <w:p w:rsidR="00B9359B" w:rsidRDefault="009A5268">
      <w:pPr>
        <w:rPr>
          <w:lang w:val="en-US"/>
        </w:rPr>
      </w:pPr>
      <w:r>
        <w:rPr>
          <w:lang w:val="en-US"/>
        </w:rPr>
        <w:t>This band is one of the bands used for close-to-nadir atmospheric sounding in conjunction with the bands such as 23.8 GHz and 50.3 GHz for the characterization each layer of the Earth’s atmosphere.</w:t>
      </w:r>
    </w:p>
    <w:p w:rsidR="00B9359B" w:rsidRDefault="009A5268">
      <w:pPr>
        <w:rPr>
          <w:lang w:val="en-US" w:eastAsia="fr-FR"/>
        </w:rPr>
      </w:pPr>
      <w:r>
        <w:rPr>
          <w:lang w:val="en-US" w:eastAsia="fr-FR"/>
        </w:rPr>
        <w:t>In the band 31 GHz, a 416 MHz bandwidth is required to get 0.2 K of accuracy in the 31 GHz band. That means the passive microwave users community needs to protect both the 31.3-31.5 GHz band and the 31.5-31.8 GHz band.</w:t>
      </w:r>
    </w:p>
    <w:p w:rsidR="00B9359B" w:rsidRDefault="009A5268">
      <w:pPr>
        <w:rPr>
          <w:lang w:val="en-US"/>
        </w:rPr>
      </w:pPr>
      <w:r>
        <w:rPr>
          <w:lang w:val="en-US"/>
        </w:rPr>
        <w:br w:type="page"/>
        <w:t>This band will also be used in conjunction with the band 31.5-31.8 GHz as a “split window”. This will allow a comparison of the measurements conducted in the two sub-bands to check the quality of the data. This will then allow using the full band when the quality is expected good to increase the sensitivity of the sensor.</w:t>
      </w:r>
    </w:p>
    <w:p w:rsidR="00B9359B" w:rsidRDefault="009A5268">
      <w:pPr>
        <w:pStyle w:val="Heading2"/>
        <w:rPr>
          <w:lang w:val="en-US"/>
        </w:rPr>
      </w:pPr>
      <w:bookmarkStart w:id="441" w:name="_Toc51045841"/>
      <w:r>
        <w:rPr>
          <w:lang w:val="en-US"/>
        </w:rPr>
        <w:t>1.3</w:t>
      </w:r>
      <w:r>
        <w:rPr>
          <w:lang w:val="en-US"/>
        </w:rPr>
        <w:tab/>
        <w:t>Required protection criteria</w:t>
      </w:r>
      <w:bookmarkEnd w:id="441"/>
    </w:p>
    <w:p w:rsidR="00B9359B" w:rsidRDefault="009A5268">
      <w:pPr>
        <w:pStyle w:val="enumlev1"/>
        <w:tabs>
          <w:tab w:val="clear" w:pos="794"/>
          <w:tab w:val="clear" w:pos="1191"/>
          <w:tab w:val="clear" w:pos="1588"/>
          <w:tab w:val="clear" w:pos="1985"/>
          <w:tab w:val="left" w:pos="3515"/>
        </w:tabs>
        <w:ind w:left="3515" w:hanging="3515"/>
        <w:rPr>
          <w:lang w:val="en-US"/>
        </w:rPr>
      </w:pPr>
      <w:bookmarkStart w:id="442" w:name="_Toc51045842"/>
      <w:r>
        <w:rPr>
          <w:lang w:val="en-US"/>
        </w:rPr>
        <w:t>Recommendation ITU-R SA.515 –</w:t>
      </w:r>
      <w:r>
        <w:rPr>
          <w:lang w:val="en-US"/>
        </w:rPr>
        <w:tab/>
        <w:t>Frequency bands and bandwidths used for satellite passive sensing.</w:t>
      </w:r>
    </w:p>
    <w:p w:rsidR="00B9359B" w:rsidRDefault="009A5268">
      <w:pPr>
        <w:pStyle w:val="enumlev1"/>
        <w:tabs>
          <w:tab w:val="clear" w:pos="794"/>
          <w:tab w:val="clear" w:pos="1191"/>
          <w:tab w:val="clear" w:pos="1588"/>
          <w:tab w:val="clear" w:pos="1985"/>
          <w:tab w:val="left" w:pos="3515"/>
        </w:tabs>
        <w:ind w:left="3515" w:hanging="3515"/>
        <w:rPr>
          <w:lang w:val="en-US"/>
        </w:rPr>
      </w:pPr>
      <w:r>
        <w:rPr>
          <w:lang w:val="en-US"/>
        </w:rPr>
        <w:t>Recommendation ITU-R SA.1028 –</w:t>
      </w:r>
      <w:r>
        <w:rPr>
          <w:lang w:val="en-US"/>
        </w:rPr>
        <w:tab/>
        <w:t>Performance criteria for satellite passive remote sensing.</w:t>
      </w:r>
    </w:p>
    <w:p w:rsidR="00B9359B" w:rsidRDefault="009A5268">
      <w:pPr>
        <w:pStyle w:val="enumlev1"/>
        <w:tabs>
          <w:tab w:val="clear" w:pos="794"/>
          <w:tab w:val="clear" w:pos="1191"/>
          <w:tab w:val="clear" w:pos="1588"/>
          <w:tab w:val="clear" w:pos="1985"/>
          <w:tab w:val="left" w:pos="3515"/>
        </w:tabs>
        <w:ind w:left="3515" w:hanging="3515"/>
        <w:rPr>
          <w:lang w:val="en-US"/>
        </w:rPr>
      </w:pPr>
      <w:r>
        <w:rPr>
          <w:lang w:val="en-US"/>
        </w:rPr>
        <w:t>Recommendation ITU-R SA.1029 –</w:t>
      </w:r>
      <w:r>
        <w:rPr>
          <w:lang w:val="en-US"/>
        </w:rPr>
        <w:tab/>
        <w:t>Interference criteria for satellite passive remote sensing.</w:t>
      </w:r>
    </w:p>
    <w:p w:rsidR="00B9359B" w:rsidRDefault="009A5268">
      <w:pPr>
        <w:pStyle w:val="Heading2"/>
        <w:rPr>
          <w:lang w:val="en-US"/>
        </w:rPr>
      </w:pPr>
      <w:r>
        <w:rPr>
          <w:lang w:val="en-US"/>
        </w:rPr>
        <w:t>1.4</w:t>
      </w:r>
      <w:r>
        <w:rPr>
          <w:lang w:val="en-US"/>
        </w:rPr>
        <w:tab/>
        <w:t>Operational characteristics</w:t>
      </w:r>
      <w:bookmarkEnd w:id="442"/>
    </w:p>
    <w:p w:rsidR="00B9359B" w:rsidRDefault="009A5268">
      <w:pPr>
        <w:rPr>
          <w:lang w:val="en-US"/>
        </w:rPr>
      </w:pPr>
      <w:r>
        <w:rPr>
          <w:lang w:val="en-US"/>
        </w:rPr>
        <w:t>The following operational characteristics are considered for the EESS system:</w:t>
      </w:r>
    </w:p>
    <w:p w:rsidR="00B9359B" w:rsidRDefault="009A5268">
      <w:pPr>
        <w:pStyle w:val="enumlev1"/>
        <w:rPr>
          <w:lang w:val="en-US"/>
        </w:rPr>
      </w:pPr>
      <w:r>
        <w:rPr>
          <w:lang w:val="en-US"/>
        </w:rPr>
        <w:t>–</w:t>
      </w:r>
      <w:r>
        <w:rPr>
          <w:lang w:val="en-US"/>
        </w:rPr>
        <w:tab/>
        <w:t>The EESS sensor is assumed to have an antenna with a peak gain of 45 dBi.</w:t>
      </w:r>
    </w:p>
    <w:p w:rsidR="00B9359B" w:rsidRDefault="009A5268">
      <w:pPr>
        <w:pStyle w:val="enumlev1"/>
        <w:rPr>
          <w:lang w:val="en-US"/>
        </w:rPr>
      </w:pPr>
      <w:r>
        <w:rPr>
          <w:lang w:val="en-US"/>
        </w:rPr>
        <w:t>–</w:t>
      </w:r>
      <w:r>
        <w:rPr>
          <w:lang w:val="en-US"/>
        </w:rPr>
        <w:tab/>
        <w:t>The EESS sensor is pointing in the nadir direction.</w:t>
      </w:r>
    </w:p>
    <w:p w:rsidR="00B9359B" w:rsidRDefault="009A5268">
      <w:pPr>
        <w:pStyle w:val="enumlev1"/>
        <w:rPr>
          <w:lang w:val="en-US"/>
        </w:rPr>
      </w:pPr>
      <w:r>
        <w:rPr>
          <w:lang w:val="en-US"/>
        </w:rPr>
        <w:t>–</w:t>
      </w:r>
      <w:r>
        <w:rPr>
          <w:lang w:val="en-US"/>
        </w:rPr>
        <w:tab/>
        <w:t>The pixel size for a sensor at an altitude of 850 km is 201 km</w:t>
      </w:r>
      <w:r>
        <w:rPr>
          <w:vertAlign w:val="superscript"/>
          <w:lang w:val="en-US"/>
        </w:rPr>
        <w:t>2</w:t>
      </w:r>
      <w:r>
        <w:rPr>
          <w:lang w:val="en-US"/>
        </w:rPr>
        <w:t xml:space="preserve"> (16 km diameter).</w:t>
      </w:r>
    </w:p>
    <w:p w:rsidR="00B9359B" w:rsidRDefault="009A5268">
      <w:pPr>
        <w:pStyle w:val="Heading1"/>
        <w:rPr>
          <w:lang w:val="en-US"/>
        </w:rPr>
      </w:pPr>
      <w:bookmarkStart w:id="443" w:name="_Toc51045843"/>
      <w:r>
        <w:rPr>
          <w:lang w:val="en-US"/>
        </w:rPr>
        <w:t>2</w:t>
      </w:r>
      <w:r>
        <w:rPr>
          <w:lang w:val="en-US"/>
        </w:rPr>
        <w:tab/>
        <w:t>FS</w:t>
      </w:r>
      <w:bookmarkEnd w:id="443"/>
    </w:p>
    <w:p w:rsidR="00B9359B" w:rsidRDefault="009A5268">
      <w:pPr>
        <w:pStyle w:val="Heading2"/>
        <w:rPr>
          <w:lang w:val="en-US"/>
        </w:rPr>
      </w:pPr>
      <w:bookmarkStart w:id="444" w:name="_Toc51045844"/>
      <w:r>
        <w:rPr>
          <w:lang w:val="en-US"/>
        </w:rPr>
        <w:t>2.1</w:t>
      </w:r>
      <w:r>
        <w:rPr>
          <w:lang w:val="en-US"/>
        </w:rPr>
        <w:tab/>
        <w:t>Allocated band</w:t>
      </w:r>
      <w:bookmarkEnd w:id="444"/>
    </w:p>
    <w:p w:rsidR="00B9359B" w:rsidRDefault="009A5268">
      <w:pPr>
        <w:rPr>
          <w:lang w:val="en-US"/>
        </w:rPr>
      </w:pPr>
      <w:r>
        <w:rPr>
          <w:lang w:val="en-US"/>
        </w:rPr>
        <w:t>See Table 74.</w:t>
      </w:r>
    </w:p>
    <w:p w:rsidR="00B9359B" w:rsidRDefault="009A5268">
      <w:pPr>
        <w:pStyle w:val="Heading2"/>
        <w:rPr>
          <w:lang w:val="en-US"/>
        </w:rPr>
      </w:pPr>
      <w:bookmarkStart w:id="445" w:name="_Toc51045845"/>
      <w:r>
        <w:rPr>
          <w:lang w:val="en-US"/>
        </w:rPr>
        <w:t>2.2</w:t>
      </w:r>
      <w:r>
        <w:rPr>
          <w:lang w:val="en-US"/>
        </w:rPr>
        <w:tab/>
        <w:t>Application</w:t>
      </w:r>
      <w:bookmarkEnd w:id="445"/>
    </w:p>
    <w:p w:rsidR="00B9359B" w:rsidRDefault="009A5268">
      <w:pPr>
        <w:rPr>
          <w:lang w:val="en-US"/>
        </w:rPr>
      </w:pPr>
      <w:r>
        <w:rPr>
          <w:lang w:val="en-US"/>
        </w:rPr>
        <w:t>This band may be used for both point-to-point (P-P) FS systems and P-MP FS systems.</w:t>
      </w:r>
    </w:p>
    <w:p w:rsidR="00B9359B" w:rsidRDefault="009A5268">
      <w:pPr>
        <w:pStyle w:val="Heading2"/>
        <w:rPr>
          <w:lang w:val="en-US"/>
        </w:rPr>
      </w:pPr>
      <w:bookmarkStart w:id="446" w:name="_Toc51045846"/>
      <w:r>
        <w:rPr>
          <w:lang w:val="en-US"/>
        </w:rPr>
        <w:t>2.3</w:t>
      </w:r>
      <w:r>
        <w:rPr>
          <w:lang w:val="en-US"/>
        </w:rPr>
        <w:tab/>
        <w:t>Levels based on existing ITU documents</w:t>
      </w:r>
      <w:bookmarkEnd w:id="446"/>
    </w:p>
    <w:p w:rsidR="00B9359B" w:rsidRDefault="009A5268">
      <w:pPr>
        <w:rPr>
          <w:lang w:val="en-US"/>
        </w:rPr>
      </w:pPr>
      <w:r>
        <w:rPr>
          <w:lang w:val="en-US"/>
        </w:rPr>
        <w:t>The following ITU-R Recommendations provide information on unwanted emissions of FS systems:</w:t>
      </w:r>
    </w:p>
    <w:p w:rsidR="00B9359B" w:rsidRDefault="009A5268">
      <w:pPr>
        <w:pStyle w:val="enumlev1"/>
        <w:tabs>
          <w:tab w:val="clear" w:pos="794"/>
          <w:tab w:val="clear" w:pos="1191"/>
          <w:tab w:val="clear" w:pos="1588"/>
          <w:tab w:val="clear" w:pos="1985"/>
          <w:tab w:val="left" w:pos="3374"/>
          <w:tab w:val="left" w:pos="3402"/>
        </w:tabs>
        <w:ind w:left="3060" w:hanging="3060"/>
        <w:rPr>
          <w:lang w:val="en-US"/>
        </w:rPr>
      </w:pPr>
      <w:r>
        <w:rPr>
          <w:lang w:val="en-US"/>
        </w:rPr>
        <w:t xml:space="preserve">Recommendation ITU-R F.1191 – Bandwidths and unwanted emissions of digital fixed service </w:t>
      </w:r>
      <w:r>
        <w:rPr>
          <w:lang w:val="en-US"/>
        </w:rPr>
        <w:tab/>
        <w:t>systems.</w:t>
      </w:r>
    </w:p>
    <w:p w:rsidR="00B9359B" w:rsidRDefault="009A5268">
      <w:pPr>
        <w:pStyle w:val="enumlev1"/>
        <w:rPr>
          <w:lang w:val="en-US"/>
        </w:rPr>
      </w:pPr>
      <w:r>
        <w:rPr>
          <w:lang w:val="en-US"/>
        </w:rPr>
        <w:t>Recommendation ITU-R SM.329 – Unwanted emissions in the spurious domain.</w:t>
      </w:r>
    </w:p>
    <w:p w:rsidR="00B9359B" w:rsidRDefault="009A5268">
      <w:pPr>
        <w:pStyle w:val="enumlev1"/>
        <w:rPr>
          <w:lang w:val="en-US"/>
        </w:rPr>
      </w:pPr>
      <w:r>
        <w:rPr>
          <w:lang w:val="en-US"/>
        </w:rPr>
        <w:t>Recommendation ITU-R SM.1541 – Unwanted emissions in the out-of-band domain.</w:t>
      </w:r>
    </w:p>
    <w:p w:rsidR="00B9359B" w:rsidRDefault="009A5268">
      <w:pPr>
        <w:pStyle w:val="Heading2"/>
        <w:rPr>
          <w:lang w:val="en-US"/>
        </w:rPr>
      </w:pPr>
      <w:bookmarkStart w:id="447" w:name="_Toc51045847"/>
      <w:r>
        <w:rPr>
          <w:lang w:val="en-US"/>
        </w:rPr>
        <w:t>2.4</w:t>
      </w:r>
      <w:r>
        <w:rPr>
          <w:lang w:val="en-US"/>
        </w:rPr>
        <w:tab/>
        <w:t>Transmitter characteristics</w:t>
      </w:r>
      <w:bookmarkEnd w:id="447"/>
    </w:p>
    <w:p w:rsidR="00B9359B" w:rsidRDefault="009A5268">
      <w:pPr>
        <w:rPr>
          <w:lang w:val="en-US"/>
        </w:rPr>
      </w:pPr>
      <w:r>
        <w:rPr>
          <w:lang w:val="en-US"/>
        </w:rPr>
        <w:t>The following characteristics were considered for P-P and P-MP FS systems operating in this band.</w:t>
      </w:r>
    </w:p>
    <w:p w:rsidR="00B9359B" w:rsidRDefault="009A5268">
      <w:pPr>
        <w:pStyle w:val="TableNo"/>
        <w:rPr>
          <w:lang w:val="en-US"/>
        </w:rPr>
      </w:pPr>
      <w:r>
        <w:rPr>
          <w:lang w:val="en-US"/>
        </w:rPr>
        <w:br w:type="page"/>
        <w:t>TABLE  75</w:t>
      </w:r>
    </w:p>
    <w:p w:rsidR="00B9359B" w:rsidRDefault="009A5268">
      <w:pPr>
        <w:pStyle w:val="Tabletitle"/>
        <w:rPr>
          <w:lang w:val="en-US"/>
        </w:rPr>
      </w:pPr>
      <w:r>
        <w:rPr>
          <w:lang w:val="en-US"/>
        </w:rPr>
        <w:t>Characteristics of P-P systems</w:t>
      </w:r>
      <w:r>
        <w:rPr>
          <w:lang w:val="en-US"/>
        </w:rPr>
        <w:br/>
        <w:t>(Recommendation ITU-R F.758)*</w:t>
      </w:r>
    </w:p>
    <w:tbl>
      <w:tblPr>
        <w:tblW w:w="9639" w:type="dxa"/>
        <w:tblLayout w:type="fixed"/>
        <w:tblCellMar>
          <w:left w:w="107" w:type="dxa"/>
          <w:right w:w="107" w:type="dxa"/>
        </w:tblCellMar>
        <w:tblLook w:val="0000" w:firstRow="0" w:lastRow="0" w:firstColumn="0" w:lastColumn="0" w:noHBand="0" w:noVBand="0"/>
      </w:tblPr>
      <w:tblGrid>
        <w:gridCol w:w="5421"/>
        <w:gridCol w:w="2109"/>
        <w:gridCol w:w="2109"/>
      </w:tblGrid>
      <w:tr w:rsidR="00B9359B">
        <w:trPr>
          <w:cantSplit/>
        </w:trPr>
        <w:tc>
          <w:tcPr>
            <w:tcW w:w="5103" w:type="dxa"/>
            <w:tcBorders>
              <w:top w:val="single" w:sz="4" w:space="0" w:color="auto"/>
              <w:left w:val="single" w:sz="4" w:space="0" w:color="auto"/>
              <w:bottom w:val="single" w:sz="4" w:space="0" w:color="auto"/>
              <w:right w:val="single" w:sz="4" w:space="0" w:color="auto"/>
            </w:tcBorders>
          </w:tcPr>
          <w:p w:rsidR="00B9359B" w:rsidRDefault="009A5268">
            <w:pPr>
              <w:pStyle w:val="Tabletext"/>
              <w:framePr w:hSpace="181" w:wrap="notBeside" w:vAnchor="text" w:hAnchor="text" w:xAlign="center" w:y="1"/>
              <w:spacing w:before="50" w:after="50"/>
              <w:jc w:val="left"/>
              <w:rPr>
                <w:lang w:val="en-US"/>
              </w:rPr>
            </w:pPr>
            <w:r>
              <w:rPr>
                <w:lang w:val="en-US"/>
              </w:rPr>
              <w:t>Channel spacing (MHz)</w:t>
            </w:r>
          </w:p>
        </w:tc>
        <w:tc>
          <w:tcPr>
            <w:tcW w:w="1985" w:type="dxa"/>
            <w:tcBorders>
              <w:top w:val="single" w:sz="4" w:space="0" w:color="auto"/>
              <w:left w:val="single" w:sz="4" w:space="0" w:color="auto"/>
              <w:bottom w:val="single" w:sz="4" w:space="0" w:color="auto"/>
              <w:right w:val="single" w:sz="4" w:space="0" w:color="auto"/>
            </w:tcBorders>
          </w:tcPr>
          <w:p w:rsidR="00B9359B" w:rsidRDefault="009A5268">
            <w:pPr>
              <w:pStyle w:val="Tabletext"/>
              <w:framePr w:hSpace="181" w:wrap="notBeside" w:vAnchor="text" w:hAnchor="text" w:xAlign="center" w:y="1"/>
              <w:spacing w:before="50" w:after="50"/>
              <w:jc w:val="center"/>
              <w:rPr>
                <w:lang w:val="en-US"/>
              </w:rPr>
            </w:pPr>
            <w:r>
              <w:rPr>
                <w:lang w:val="en-US"/>
              </w:rPr>
              <w:t>56</w:t>
            </w:r>
          </w:p>
        </w:tc>
        <w:tc>
          <w:tcPr>
            <w:tcW w:w="1985" w:type="dxa"/>
            <w:tcBorders>
              <w:top w:val="single" w:sz="4" w:space="0" w:color="auto"/>
              <w:left w:val="single" w:sz="4" w:space="0" w:color="auto"/>
              <w:bottom w:val="single" w:sz="4" w:space="0" w:color="auto"/>
              <w:right w:val="single" w:sz="4" w:space="0" w:color="auto"/>
            </w:tcBorders>
          </w:tcPr>
          <w:p w:rsidR="00B9359B" w:rsidRDefault="009A5268">
            <w:pPr>
              <w:pStyle w:val="Tabletext"/>
              <w:framePr w:hSpace="181" w:wrap="notBeside" w:vAnchor="text" w:hAnchor="text" w:xAlign="center" w:y="1"/>
              <w:spacing w:before="50" w:after="50"/>
              <w:jc w:val="center"/>
              <w:rPr>
                <w:lang w:val="en-US"/>
              </w:rPr>
            </w:pPr>
            <w:r>
              <w:rPr>
                <w:lang w:val="en-US"/>
              </w:rPr>
              <w:t>3,5</w:t>
            </w:r>
          </w:p>
        </w:tc>
      </w:tr>
      <w:tr w:rsidR="00B9359B">
        <w:trPr>
          <w:cantSplit/>
        </w:trPr>
        <w:tc>
          <w:tcPr>
            <w:tcW w:w="5103" w:type="dxa"/>
            <w:tcBorders>
              <w:top w:val="single" w:sz="4" w:space="0" w:color="auto"/>
              <w:left w:val="single" w:sz="4" w:space="0" w:color="auto"/>
              <w:bottom w:val="single" w:sz="4" w:space="0" w:color="auto"/>
              <w:right w:val="single" w:sz="4" w:space="0" w:color="auto"/>
            </w:tcBorders>
          </w:tcPr>
          <w:p w:rsidR="00B9359B" w:rsidRDefault="009A5268">
            <w:pPr>
              <w:pStyle w:val="Tabletext"/>
              <w:framePr w:hSpace="181" w:wrap="notBeside" w:vAnchor="text" w:hAnchor="text" w:xAlign="center" w:y="1"/>
              <w:spacing w:before="50" w:after="50"/>
              <w:jc w:val="left"/>
              <w:rPr>
                <w:lang w:val="en-US"/>
              </w:rPr>
            </w:pPr>
            <w:r>
              <w:rPr>
                <w:lang w:val="en-US"/>
              </w:rPr>
              <w:t>Antenna gain (maximum) (dBi)</w:t>
            </w:r>
          </w:p>
        </w:tc>
        <w:tc>
          <w:tcPr>
            <w:tcW w:w="1985" w:type="dxa"/>
            <w:tcBorders>
              <w:top w:val="single" w:sz="4" w:space="0" w:color="auto"/>
              <w:left w:val="single" w:sz="4" w:space="0" w:color="auto"/>
              <w:bottom w:val="single" w:sz="4" w:space="0" w:color="auto"/>
              <w:right w:val="single" w:sz="4" w:space="0" w:color="auto"/>
            </w:tcBorders>
          </w:tcPr>
          <w:p w:rsidR="00B9359B" w:rsidRDefault="009A5268">
            <w:pPr>
              <w:pStyle w:val="Tabletext"/>
              <w:framePr w:hSpace="181" w:wrap="notBeside" w:vAnchor="text" w:hAnchor="text" w:xAlign="center" w:y="1"/>
              <w:spacing w:before="50" w:after="50"/>
              <w:jc w:val="center"/>
              <w:rPr>
                <w:lang w:val="en-US"/>
              </w:rPr>
            </w:pPr>
            <w:r>
              <w:rPr>
                <w:lang w:val="en-US"/>
              </w:rPr>
              <w:t>45</w:t>
            </w:r>
          </w:p>
        </w:tc>
        <w:tc>
          <w:tcPr>
            <w:tcW w:w="1985" w:type="dxa"/>
            <w:tcBorders>
              <w:top w:val="single" w:sz="4" w:space="0" w:color="auto"/>
              <w:left w:val="single" w:sz="4" w:space="0" w:color="auto"/>
              <w:bottom w:val="single" w:sz="4" w:space="0" w:color="auto"/>
              <w:right w:val="single" w:sz="4" w:space="0" w:color="auto"/>
            </w:tcBorders>
          </w:tcPr>
          <w:p w:rsidR="00B9359B" w:rsidRDefault="009A5268">
            <w:pPr>
              <w:pStyle w:val="Tabletext"/>
              <w:framePr w:hSpace="181" w:wrap="notBeside" w:vAnchor="text" w:hAnchor="text" w:xAlign="center" w:y="1"/>
              <w:spacing w:before="50" w:after="50"/>
              <w:jc w:val="center"/>
              <w:rPr>
                <w:lang w:val="en-US"/>
              </w:rPr>
            </w:pPr>
            <w:r>
              <w:rPr>
                <w:lang w:val="en-US"/>
              </w:rPr>
              <w:t>45</w:t>
            </w:r>
          </w:p>
        </w:tc>
      </w:tr>
      <w:tr w:rsidR="00B9359B">
        <w:trPr>
          <w:cantSplit/>
        </w:trPr>
        <w:tc>
          <w:tcPr>
            <w:tcW w:w="5103" w:type="dxa"/>
            <w:tcBorders>
              <w:top w:val="single" w:sz="4" w:space="0" w:color="auto"/>
              <w:left w:val="single" w:sz="4" w:space="0" w:color="auto"/>
              <w:bottom w:val="single" w:sz="4" w:space="0" w:color="auto"/>
              <w:right w:val="single" w:sz="4" w:space="0" w:color="auto"/>
            </w:tcBorders>
          </w:tcPr>
          <w:p w:rsidR="00B9359B" w:rsidRDefault="009A5268">
            <w:pPr>
              <w:pStyle w:val="Tabletext"/>
              <w:framePr w:hSpace="181" w:wrap="notBeside" w:vAnchor="text" w:hAnchor="text" w:xAlign="center" w:y="1"/>
              <w:spacing w:before="50" w:after="50"/>
              <w:jc w:val="left"/>
              <w:rPr>
                <w:lang w:val="en-US"/>
              </w:rPr>
            </w:pPr>
            <w:r>
              <w:rPr>
                <w:lang w:val="en-US"/>
              </w:rPr>
              <w:t>Feeder/multiplexer loss (minimum) (dB)</w:t>
            </w:r>
          </w:p>
        </w:tc>
        <w:tc>
          <w:tcPr>
            <w:tcW w:w="1985" w:type="dxa"/>
            <w:tcBorders>
              <w:top w:val="single" w:sz="4" w:space="0" w:color="auto"/>
              <w:left w:val="single" w:sz="4" w:space="0" w:color="auto"/>
              <w:bottom w:val="single" w:sz="4" w:space="0" w:color="auto"/>
              <w:right w:val="single" w:sz="4" w:space="0" w:color="auto"/>
            </w:tcBorders>
          </w:tcPr>
          <w:p w:rsidR="00B9359B" w:rsidRDefault="009A5268">
            <w:pPr>
              <w:pStyle w:val="Tabletext"/>
              <w:framePr w:hSpace="181" w:wrap="notBeside" w:vAnchor="text" w:hAnchor="text" w:xAlign="center" w:y="1"/>
              <w:spacing w:before="50" w:after="50"/>
              <w:jc w:val="center"/>
              <w:rPr>
                <w:lang w:val="en-US"/>
              </w:rPr>
            </w:pPr>
            <w:r>
              <w:rPr>
                <w:lang w:val="en-US"/>
              </w:rPr>
              <w:t>0</w:t>
            </w:r>
          </w:p>
        </w:tc>
        <w:tc>
          <w:tcPr>
            <w:tcW w:w="1985" w:type="dxa"/>
            <w:tcBorders>
              <w:top w:val="single" w:sz="4" w:space="0" w:color="auto"/>
              <w:left w:val="single" w:sz="4" w:space="0" w:color="auto"/>
              <w:bottom w:val="single" w:sz="4" w:space="0" w:color="auto"/>
              <w:right w:val="single" w:sz="4" w:space="0" w:color="auto"/>
            </w:tcBorders>
          </w:tcPr>
          <w:p w:rsidR="00B9359B" w:rsidRDefault="009A5268">
            <w:pPr>
              <w:pStyle w:val="Tabletext"/>
              <w:framePr w:hSpace="181" w:wrap="notBeside" w:vAnchor="text" w:hAnchor="text" w:xAlign="center" w:y="1"/>
              <w:spacing w:before="50" w:after="50"/>
              <w:jc w:val="center"/>
              <w:rPr>
                <w:lang w:val="en-US"/>
              </w:rPr>
            </w:pPr>
            <w:r>
              <w:rPr>
                <w:lang w:val="en-US"/>
              </w:rPr>
              <w:t>0</w:t>
            </w:r>
          </w:p>
        </w:tc>
      </w:tr>
      <w:tr w:rsidR="00B9359B">
        <w:trPr>
          <w:cantSplit/>
        </w:trPr>
        <w:tc>
          <w:tcPr>
            <w:tcW w:w="5103" w:type="dxa"/>
            <w:tcBorders>
              <w:top w:val="single" w:sz="4" w:space="0" w:color="auto"/>
              <w:left w:val="single" w:sz="4" w:space="0" w:color="auto"/>
              <w:bottom w:val="single" w:sz="4" w:space="0" w:color="auto"/>
              <w:right w:val="single" w:sz="4" w:space="0" w:color="auto"/>
            </w:tcBorders>
          </w:tcPr>
          <w:p w:rsidR="00B9359B" w:rsidRDefault="009A5268">
            <w:pPr>
              <w:pStyle w:val="Tabletext"/>
              <w:framePr w:hSpace="181" w:wrap="notBeside" w:vAnchor="text" w:hAnchor="text" w:xAlign="center" w:y="1"/>
              <w:spacing w:before="50" w:after="50"/>
              <w:jc w:val="left"/>
              <w:rPr>
                <w:lang w:val="en-US"/>
              </w:rPr>
            </w:pPr>
            <w:r>
              <w:rPr>
                <w:lang w:val="en-US"/>
              </w:rPr>
              <w:t>Antenna type</w:t>
            </w:r>
          </w:p>
        </w:tc>
        <w:tc>
          <w:tcPr>
            <w:tcW w:w="1985" w:type="dxa"/>
            <w:tcBorders>
              <w:top w:val="single" w:sz="4" w:space="0" w:color="auto"/>
              <w:left w:val="single" w:sz="4" w:space="0" w:color="auto"/>
              <w:bottom w:val="single" w:sz="4" w:space="0" w:color="auto"/>
              <w:right w:val="single" w:sz="4" w:space="0" w:color="auto"/>
            </w:tcBorders>
          </w:tcPr>
          <w:p w:rsidR="00B9359B" w:rsidRDefault="009A5268">
            <w:pPr>
              <w:pStyle w:val="Tabletext"/>
              <w:framePr w:hSpace="181" w:wrap="notBeside" w:vAnchor="text" w:hAnchor="text" w:xAlign="center" w:y="1"/>
              <w:spacing w:before="50" w:after="50"/>
              <w:jc w:val="center"/>
              <w:rPr>
                <w:lang w:val="en-US"/>
              </w:rPr>
            </w:pPr>
            <w:r>
              <w:rPr>
                <w:lang w:val="en-US"/>
              </w:rPr>
              <w:t>Dish</w:t>
            </w:r>
          </w:p>
        </w:tc>
        <w:tc>
          <w:tcPr>
            <w:tcW w:w="1985" w:type="dxa"/>
            <w:tcBorders>
              <w:top w:val="single" w:sz="4" w:space="0" w:color="auto"/>
              <w:left w:val="single" w:sz="4" w:space="0" w:color="auto"/>
              <w:bottom w:val="single" w:sz="4" w:space="0" w:color="auto"/>
              <w:right w:val="single" w:sz="4" w:space="0" w:color="auto"/>
            </w:tcBorders>
          </w:tcPr>
          <w:p w:rsidR="00B9359B" w:rsidRDefault="009A5268">
            <w:pPr>
              <w:pStyle w:val="Tabletext"/>
              <w:framePr w:hSpace="181" w:wrap="notBeside" w:vAnchor="text" w:hAnchor="text" w:xAlign="center" w:y="1"/>
              <w:spacing w:before="50" w:after="50"/>
              <w:jc w:val="center"/>
              <w:rPr>
                <w:lang w:val="en-US"/>
              </w:rPr>
            </w:pPr>
            <w:r>
              <w:rPr>
                <w:lang w:val="en-US"/>
              </w:rPr>
              <w:t>Dish</w:t>
            </w:r>
          </w:p>
        </w:tc>
      </w:tr>
      <w:tr w:rsidR="00B9359B">
        <w:trPr>
          <w:cantSplit/>
        </w:trPr>
        <w:tc>
          <w:tcPr>
            <w:tcW w:w="5103" w:type="dxa"/>
            <w:tcBorders>
              <w:top w:val="single" w:sz="4" w:space="0" w:color="auto"/>
              <w:left w:val="single" w:sz="4" w:space="0" w:color="auto"/>
              <w:bottom w:val="single" w:sz="4" w:space="0" w:color="auto"/>
              <w:right w:val="single" w:sz="4" w:space="0" w:color="auto"/>
            </w:tcBorders>
          </w:tcPr>
          <w:p w:rsidR="00B9359B" w:rsidRDefault="009A5268">
            <w:pPr>
              <w:pStyle w:val="Tabletext"/>
              <w:framePr w:hSpace="181" w:wrap="notBeside" w:vAnchor="text" w:hAnchor="text" w:xAlign="center" w:y="1"/>
              <w:spacing w:before="50" w:after="50"/>
              <w:jc w:val="left"/>
              <w:rPr>
                <w:lang w:val="en-US"/>
              </w:rPr>
            </w:pPr>
            <w:r>
              <w:rPr>
                <w:lang w:val="en-US"/>
              </w:rPr>
              <w:t>Maximum Tx output power (dBW)</w:t>
            </w:r>
          </w:p>
        </w:tc>
        <w:tc>
          <w:tcPr>
            <w:tcW w:w="1985" w:type="dxa"/>
            <w:tcBorders>
              <w:top w:val="single" w:sz="4" w:space="0" w:color="auto"/>
              <w:left w:val="single" w:sz="4" w:space="0" w:color="auto"/>
              <w:bottom w:val="single" w:sz="4" w:space="0" w:color="auto"/>
              <w:right w:val="single" w:sz="4" w:space="0" w:color="auto"/>
            </w:tcBorders>
          </w:tcPr>
          <w:p w:rsidR="00B9359B" w:rsidRDefault="009A5268">
            <w:pPr>
              <w:pStyle w:val="Tabletext"/>
              <w:framePr w:hSpace="181" w:wrap="notBeside" w:vAnchor="text" w:hAnchor="text" w:xAlign="center" w:y="1"/>
              <w:spacing w:before="50" w:after="50"/>
              <w:jc w:val="center"/>
              <w:rPr>
                <w:lang w:val="en-US"/>
              </w:rPr>
            </w:pPr>
            <w:r>
              <w:rPr>
                <w:lang w:val="en-US"/>
              </w:rPr>
              <w:t>0</w:t>
            </w:r>
          </w:p>
        </w:tc>
        <w:tc>
          <w:tcPr>
            <w:tcW w:w="1985" w:type="dxa"/>
            <w:tcBorders>
              <w:top w:val="single" w:sz="4" w:space="0" w:color="auto"/>
              <w:left w:val="single" w:sz="4" w:space="0" w:color="auto"/>
              <w:bottom w:val="single" w:sz="4" w:space="0" w:color="auto"/>
              <w:right w:val="single" w:sz="4" w:space="0" w:color="auto"/>
            </w:tcBorders>
          </w:tcPr>
          <w:p w:rsidR="00B9359B" w:rsidRDefault="009A5268">
            <w:pPr>
              <w:pStyle w:val="Tabletext"/>
              <w:framePr w:hSpace="181" w:wrap="notBeside" w:vAnchor="text" w:hAnchor="text" w:xAlign="center" w:y="1"/>
              <w:spacing w:before="50" w:after="50"/>
              <w:jc w:val="center"/>
              <w:rPr>
                <w:lang w:val="en-US"/>
              </w:rPr>
            </w:pPr>
            <w:r>
              <w:rPr>
                <w:lang w:val="en-US"/>
              </w:rPr>
              <w:t>0</w:t>
            </w:r>
          </w:p>
        </w:tc>
      </w:tr>
      <w:tr w:rsidR="00B9359B">
        <w:trPr>
          <w:cantSplit/>
        </w:trPr>
        <w:tc>
          <w:tcPr>
            <w:tcW w:w="5103" w:type="dxa"/>
            <w:tcBorders>
              <w:top w:val="single" w:sz="4" w:space="0" w:color="auto"/>
              <w:left w:val="single" w:sz="4" w:space="0" w:color="auto"/>
              <w:bottom w:val="single" w:sz="4" w:space="0" w:color="auto"/>
              <w:right w:val="single" w:sz="4" w:space="0" w:color="auto"/>
            </w:tcBorders>
          </w:tcPr>
          <w:p w:rsidR="00B9359B" w:rsidRDefault="009A5268">
            <w:pPr>
              <w:pStyle w:val="Tabletext"/>
              <w:framePr w:hSpace="181" w:wrap="notBeside" w:vAnchor="text" w:hAnchor="text" w:xAlign="center" w:y="1"/>
              <w:spacing w:before="50" w:after="50"/>
              <w:jc w:val="left"/>
              <w:rPr>
                <w:lang w:val="en-US"/>
              </w:rPr>
            </w:pPr>
            <w:r>
              <w:rPr>
                <w:lang w:val="en-US"/>
              </w:rPr>
              <w:t>e.i.r.p. (maximum) (dBW)</w:t>
            </w:r>
          </w:p>
        </w:tc>
        <w:tc>
          <w:tcPr>
            <w:tcW w:w="1985" w:type="dxa"/>
            <w:tcBorders>
              <w:top w:val="single" w:sz="4" w:space="0" w:color="auto"/>
              <w:left w:val="single" w:sz="4" w:space="0" w:color="auto"/>
              <w:bottom w:val="single" w:sz="4" w:space="0" w:color="auto"/>
              <w:right w:val="single" w:sz="4" w:space="0" w:color="auto"/>
            </w:tcBorders>
          </w:tcPr>
          <w:p w:rsidR="00B9359B" w:rsidRDefault="009A5268">
            <w:pPr>
              <w:pStyle w:val="Tabletext"/>
              <w:framePr w:hSpace="181" w:wrap="notBeside" w:vAnchor="text" w:hAnchor="text" w:xAlign="center" w:y="1"/>
              <w:spacing w:before="50" w:after="50"/>
              <w:jc w:val="center"/>
              <w:rPr>
                <w:lang w:val="en-US"/>
              </w:rPr>
            </w:pPr>
            <w:r>
              <w:rPr>
                <w:lang w:val="en-US"/>
              </w:rPr>
              <w:t>45</w:t>
            </w:r>
          </w:p>
        </w:tc>
        <w:tc>
          <w:tcPr>
            <w:tcW w:w="1985" w:type="dxa"/>
            <w:tcBorders>
              <w:top w:val="single" w:sz="4" w:space="0" w:color="auto"/>
              <w:left w:val="single" w:sz="4" w:space="0" w:color="auto"/>
              <w:bottom w:val="single" w:sz="4" w:space="0" w:color="auto"/>
              <w:right w:val="single" w:sz="4" w:space="0" w:color="auto"/>
            </w:tcBorders>
          </w:tcPr>
          <w:p w:rsidR="00B9359B" w:rsidRDefault="009A5268">
            <w:pPr>
              <w:pStyle w:val="Tabletext"/>
              <w:framePr w:hSpace="181" w:wrap="notBeside" w:vAnchor="text" w:hAnchor="text" w:xAlign="center" w:y="1"/>
              <w:spacing w:before="50" w:after="50"/>
              <w:jc w:val="center"/>
              <w:rPr>
                <w:lang w:val="en-US"/>
              </w:rPr>
            </w:pPr>
            <w:r>
              <w:rPr>
                <w:lang w:val="en-US"/>
              </w:rPr>
              <w:t>45</w:t>
            </w:r>
          </w:p>
        </w:tc>
      </w:tr>
      <w:tr w:rsidR="00B9359B" w:rsidRPr="00D35B94">
        <w:trPr>
          <w:cantSplit/>
        </w:trPr>
        <w:tc>
          <w:tcPr>
            <w:tcW w:w="1985" w:type="dxa"/>
            <w:gridSpan w:val="3"/>
            <w:tcBorders>
              <w:top w:val="single" w:sz="4" w:space="0" w:color="auto"/>
            </w:tcBorders>
          </w:tcPr>
          <w:p w:rsidR="00B9359B" w:rsidRDefault="009A5268">
            <w:pPr>
              <w:pStyle w:val="Tablelegend"/>
              <w:framePr w:hSpace="181" w:wrap="notBeside" w:vAnchor="text" w:hAnchor="text" w:xAlign="center" w:y="1"/>
              <w:rPr>
                <w:lang w:val="en-US"/>
              </w:rPr>
            </w:pPr>
            <w:r>
              <w:rPr>
                <w:lang w:val="en-US"/>
              </w:rPr>
              <w:t>*</w:t>
            </w:r>
            <w:r>
              <w:rPr>
                <w:lang w:val="en-US"/>
              </w:rPr>
              <w:tab/>
              <w:t>Since Recommendation ITU-R F.758 does not provide any information on P-P systems to be deployed in this band, these parameters are based on those of systems to be deployed in the band 37-39.5 GHz, with the appropriate antenna gain.</w:t>
            </w:r>
          </w:p>
        </w:tc>
      </w:tr>
    </w:tbl>
    <w:p w:rsidR="00B9359B" w:rsidRDefault="00B9359B">
      <w:pPr>
        <w:pStyle w:val="Tablefin"/>
        <w:spacing w:before="0"/>
        <w:rPr>
          <w:lang w:val="en-US"/>
        </w:rPr>
      </w:pPr>
    </w:p>
    <w:p w:rsidR="00B9359B" w:rsidRDefault="009A5268">
      <w:pPr>
        <w:pStyle w:val="TableNo"/>
        <w:rPr>
          <w:lang w:val="en-US"/>
        </w:rPr>
      </w:pPr>
      <w:r>
        <w:rPr>
          <w:lang w:val="en-US"/>
        </w:rPr>
        <w:t>TABLE  76</w:t>
      </w:r>
    </w:p>
    <w:p w:rsidR="00B9359B" w:rsidRDefault="009A5268">
      <w:pPr>
        <w:pStyle w:val="Tabletitle"/>
        <w:rPr>
          <w:lang w:val="en-US"/>
        </w:rPr>
      </w:pPr>
      <w:r>
        <w:rPr>
          <w:lang w:val="en-US"/>
        </w:rPr>
        <w:t xml:space="preserve">Characteristics of P-MP systems </w:t>
      </w:r>
      <w:r>
        <w:rPr>
          <w:lang w:val="en-US"/>
        </w:rPr>
        <w:br/>
        <w:t>(Recommendation ITU-R F.758)</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421"/>
        <w:gridCol w:w="2109"/>
        <w:gridCol w:w="2109"/>
      </w:tblGrid>
      <w:tr w:rsidR="00B9359B">
        <w:trPr>
          <w:cantSplit/>
        </w:trPr>
        <w:tc>
          <w:tcPr>
            <w:tcW w:w="5421" w:type="dxa"/>
          </w:tcPr>
          <w:p w:rsidR="00B9359B" w:rsidRDefault="009A5268">
            <w:pPr>
              <w:pStyle w:val="Tabletext"/>
              <w:framePr w:hSpace="181" w:wrap="notBeside" w:vAnchor="text" w:hAnchor="text" w:xAlign="center" w:y="1"/>
              <w:spacing w:before="50" w:after="50"/>
              <w:rPr>
                <w:lang w:val="en-US"/>
              </w:rPr>
            </w:pPr>
            <w:r>
              <w:rPr>
                <w:lang w:val="en-US"/>
              </w:rPr>
              <w:t>Channel spacing (MHz)</w:t>
            </w:r>
          </w:p>
        </w:tc>
        <w:tc>
          <w:tcPr>
            <w:tcW w:w="2109" w:type="dxa"/>
          </w:tcPr>
          <w:p w:rsidR="00B9359B" w:rsidRDefault="009A5268">
            <w:pPr>
              <w:pStyle w:val="Tabletext"/>
              <w:framePr w:hSpace="181" w:wrap="notBeside" w:vAnchor="text" w:hAnchor="text" w:xAlign="center" w:y="1"/>
              <w:spacing w:before="50" w:after="50"/>
              <w:jc w:val="center"/>
              <w:rPr>
                <w:lang w:val="en-US"/>
              </w:rPr>
            </w:pPr>
            <w:r>
              <w:rPr>
                <w:lang w:val="en-US"/>
              </w:rPr>
              <w:t>50</w:t>
            </w:r>
          </w:p>
        </w:tc>
        <w:tc>
          <w:tcPr>
            <w:tcW w:w="2109" w:type="dxa"/>
          </w:tcPr>
          <w:p w:rsidR="00B9359B" w:rsidRDefault="009A5268">
            <w:pPr>
              <w:pStyle w:val="Tabletext"/>
              <w:framePr w:hSpace="181" w:wrap="notBeside" w:vAnchor="text" w:hAnchor="text" w:xAlign="center" w:y="1"/>
              <w:spacing w:before="50" w:after="50"/>
              <w:jc w:val="center"/>
              <w:rPr>
                <w:lang w:val="en-US"/>
              </w:rPr>
            </w:pPr>
            <w:r>
              <w:rPr>
                <w:lang w:val="en-US"/>
              </w:rPr>
              <w:t>2,5</w:t>
            </w:r>
          </w:p>
        </w:tc>
      </w:tr>
      <w:tr w:rsidR="00B9359B">
        <w:trPr>
          <w:cantSplit/>
        </w:trPr>
        <w:tc>
          <w:tcPr>
            <w:tcW w:w="5421" w:type="dxa"/>
          </w:tcPr>
          <w:p w:rsidR="00B9359B" w:rsidRDefault="009A5268">
            <w:pPr>
              <w:pStyle w:val="Tabletext"/>
              <w:framePr w:hSpace="181" w:wrap="notBeside" w:vAnchor="text" w:hAnchor="text" w:xAlign="center" w:y="1"/>
              <w:spacing w:before="50" w:after="50"/>
              <w:rPr>
                <w:lang w:val="en-US"/>
              </w:rPr>
            </w:pPr>
            <w:r>
              <w:rPr>
                <w:lang w:val="en-US"/>
              </w:rPr>
              <w:t>Direction of transmission</w:t>
            </w:r>
          </w:p>
        </w:tc>
        <w:tc>
          <w:tcPr>
            <w:tcW w:w="2109" w:type="dxa"/>
          </w:tcPr>
          <w:p w:rsidR="00B9359B" w:rsidRDefault="009A5268">
            <w:pPr>
              <w:pStyle w:val="Tabletext"/>
              <w:framePr w:hSpace="181" w:wrap="notBeside" w:vAnchor="text" w:hAnchor="text" w:xAlign="center" w:y="1"/>
              <w:spacing w:before="50" w:after="50"/>
              <w:jc w:val="center"/>
              <w:rPr>
                <w:lang w:val="en-US"/>
              </w:rPr>
            </w:pPr>
            <w:r>
              <w:rPr>
                <w:lang w:val="en-US"/>
              </w:rPr>
              <w:t>Hub to RT</w:t>
            </w:r>
          </w:p>
        </w:tc>
        <w:tc>
          <w:tcPr>
            <w:tcW w:w="2109" w:type="dxa"/>
          </w:tcPr>
          <w:p w:rsidR="00B9359B" w:rsidRDefault="009A5268">
            <w:pPr>
              <w:pStyle w:val="Tabletext"/>
              <w:framePr w:hSpace="181" w:wrap="notBeside" w:vAnchor="text" w:hAnchor="text" w:xAlign="center" w:y="1"/>
              <w:spacing w:before="50" w:after="50"/>
              <w:jc w:val="center"/>
              <w:rPr>
                <w:lang w:val="en-US"/>
              </w:rPr>
            </w:pPr>
            <w:r>
              <w:rPr>
                <w:lang w:val="en-US"/>
              </w:rPr>
              <w:t>RT to Hub</w:t>
            </w:r>
          </w:p>
        </w:tc>
      </w:tr>
      <w:tr w:rsidR="00B9359B">
        <w:trPr>
          <w:cantSplit/>
        </w:trPr>
        <w:tc>
          <w:tcPr>
            <w:tcW w:w="5421" w:type="dxa"/>
          </w:tcPr>
          <w:p w:rsidR="00B9359B" w:rsidRDefault="009A5268">
            <w:pPr>
              <w:pStyle w:val="Tabletext"/>
              <w:framePr w:hSpace="181" w:wrap="notBeside" w:vAnchor="text" w:hAnchor="text" w:xAlign="center" w:y="1"/>
              <w:spacing w:before="50" w:after="50"/>
              <w:rPr>
                <w:lang w:val="en-US"/>
              </w:rPr>
            </w:pPr>
            <w:r>
              <w:rPr>
                <w:lang w:val="en-US"/>
              </w:rPr>
              <w:t>Antenna gain (maximum) (dBi)</w:t>
            </w:r>
          </w:p>
        </w:tc>
        <w:tc>
          <w:tcPr>
            <w:tcW w:w="2109" w:type="dxa"/>
          </w:tcPr>
          <w:p w:rsidR="00B9359B" w:rsidRDefault="009A5268">
            <w:pPr>
              <w:pStyle w:val="Tabletext"/>
              <w:framePr w:hSpace="181" w:wrap="notBeside" w:vAnchor="text" w:hAnchor="text" w:xAlign="center" w:y="1"/>
              <w:spacing w:before="50" w:after="50"/>
              <w:jc w:val="center"/>
              <w:rPr>
                <w:lang w:val="en-US"/>
              </w:rPr>
            </w:pPr>
            <w:r>
              <w:rPr>
                <w:lang w:val="en-US"/>
              </w:rPr>
              <w:t>15</w:t>
            </w:r>
          </w:p>
        </w:tc>
        <w:tc>
          <w:tcPr>
            <w:tcW w:w="2109" w:type="dxa"/>
          </w:tcPr>
          <w:p w:rsidR="00B9359B" w:rsidRDefault="009A5268">
            <w:pPr>
              <w:pStyle w:val="Tabletext"/>
              <w:framePr w:hSpace="181" w:wrap="notBeside" w:vAnchor="text" w:hAnchor="text" w:xAlign="center" w:y="1"/>
              <w:spacing w:before="50" w:after="50"/>
              <w:jc w:val="center"/>
              <w:rPr>
                <w:lang w:val="en-US"/>
              </w:rPr>
            </w:pPr>
            <w:r>
              <w:rPr>
                <w:lang w:val="en-US"/>
              </w:rPr>
              <w:t>36</w:t>
            </w:r>
          </w:p>
        </w:tc>
      </w:tr>
      <w:tr w:rsidR="00B9359B">
        <w:trPr>
          <w:cantSplit/>
        </w:trPr>
        <w:tc>
          <w:tcPr>
            <w:tcW w:w="5421" w:type="dxa"/>
          </w:tcPr>
          <w:p w:rsidR="00B9359B" w:rsidRDefault="009A5268">
            <w:pPr>
              <w:pStyle w:val="Tabletext"/>
              <w:framePr w:hSpace="181" w:wrap="notBeside" w:vAnchor="text" w:hAnchor="text" w:xAlign="center" w:y="1"/>
              <w:spacing w:before="50" w:after="50"/>
              <w:rPr>
                <w:lang w:val="en-US"/>
              </w:rPr>
            </w:pPr>
            <w:r>
              <w:rPr>
                <w:lang w:val="en-US"/>
              </w:rPr>
              <w:t>Feeder/multiplexer loss (minimum) (dB)</w:t>
            </w:r>
          </w:p>
        </w:tc>
        <w:tc>
          <w:tcPr>
            <w:tcW w:w="2109" w:type="dxa"/>
          </w:tcPr>
          <w:p w:rsidR="00B9359B" w:rsidRDefault="009A5268">
            <w:pPr>
              <w:pStyle w:val="Tabletext"/>
              <w:framePr w:hSpace="181" w:wrap="notBeside" w:vAnchor="text" w:hAnchor="text" w:xAlign="center" w:y="1"/>
              <w:spacing w:before="50" w:after="50"/>
              <w:jc w:val="center"/>
              <w:rPr>
                <w:lang w:val="en-US"/>
              </w:rPr>
            </w:pPr>
            <w:r>
              <w:rPr>
                <w:lang w:val="en-US"/>
              </w:rPr>
              <w:t>0</w:t>
            </w:r>
          </w:p>
        </w:tc>
        <w:tc>
          <w:tcPr>
            <w:tcW w:w="2109" w:type="dxa"/>
          </w:tcPr>
          <w:p w:rsidR="00B9359B" w:rsidRDefault="009A5268">
            <w:pPr>
              <w:pStyle w:val="Tabletext"/>
              <w:framePr w:hSpace="181" w:wrap="notBeside" w:vAnchor="text" w:hAnchor="text" w:xAlign="center" w:y="1"/>
              <w:spacing w:before="50" w:after="50"/>
              <w:jc w:val="center"/>
              <w:rPr>
                <w:lang w:val="en-US"/>
              </w:rPr>
            </w:pPr>
            <w:r>
              <w:rPr>
                <w:lang w:val="en-US"/>
              </w:rPr>
              <w:t>0</w:t>
            </w:r>
          </w:p>
        </w:tc>
      </w:tr>
      <w:tr w:rsidR="00B9359B">
        <w:trPr>
          <w:cantSplit/>
        </w:trPr>
        <w:tc>
          <w:tcPr>
            <w:tcW w:w="5421" w:type="dxa"/>
          </w:tcPr>
          <w:p w:rsidR="00B9359B" w:rsidRDefault="009A5268">
            <w:pPr>
              <w:pStyle w:val="Tabletext"/>
              <w:framePr w:hSpace="181" w:wrap="notBeside" w:vAnchor="text" w:hAnchor="text" w:xAlign="center" w:y="1"/>
              <w:spacing w:before="50" w:after="50"/>
              <w:rPr>
                <w:lang w:val="en-US"/>
              </w:rPr>
            </w:pPr>
            <w:r>
              <w:rPr>
                <w:lang w:val="en-US"/>
              </w:rPr>
              <w:t>Antenna type</w:t>
            </w:r>
          </w:p>
        </w:tc>
        <w:tc>
          <w:tcPr>
            <w:tcW w:w="2109" w:type="dxa"/>
          </w:tcPr>
          <w:p w:rsidR="00B9359B" w:rsidRDefault="009A5268">
            <w:pPr>
              <w:pStyle w:val="Tabletext"/>
              <w:framePr w:hSpace="181" w:wrap="notBeside" w:vAnchor="text" w:hAnchor="text" w:xAlign="center" w:y="1"/>
              <w:spacing w:before="50" w:after="50"/>
              <w:jc w:val="center"/>
              <w:rPr>
                <w:lang w:val="en-US"/>
              </w:rPr>
            </w:pPr>
            <w:r>
              <w:rPr>
                <w:lang w:val="en-US"/>
              </w:rPr>
              <w:t>15</w:t>
            </w:r>
            <w:r>
              <w:rPr>
                <w:rFonts w:ascii="Symbol" w:hAnsi="Symbol"/>
                <w:lang w:val="en-US"/>
              </w:rPr>
              <w:t></w:t>
            </w:r>
            <w:r>
              <w:rPr>
                <w:lang w:val="en-US"/>
              </w:rPr>
              <w:t> </w:t>
            </w:r>
            <w:r>
              <w:rPr>
                <w:rFonts w:ascii="Symbol" w:hAnsi="Symbol"/>
              </w:rPr>
              <w:t></w:t>
            </w:r>
            <w:r>
              <w:rPr>
                <w:lang w:val="en-US"/>
              </w:rPr>
              <w:t> 90</w:t>
            </w:r>
            <w:r>
              <w:rPr>
                <w:rFonts w:ascii="Symbol" w:hAnsi="Symbol"/>
                <w:lang w:val="en-US"/>
              </w:rPr>
              <w:t></w:t>
            </w:r>
            <w:r>
              <w:rPr>
                <w:lang w:val="en-US"/>
              </w:rPr>
              <w:t xml:space="preserve"> horn</w:t>
            </w:r>
          </w:p>
        </w:tc>
        <w:tc>
          <w:tcPr>
            <w:tcW w:w="2109" w:type="dxa"/>
          </w:tcPr>
          <w:p w:rsidR="00B9359B" w:rsidRDefault="009A5268">
            <w:pPr>
              <w:pStyle w:val="Tabletext"/>
              <w:framePr w:hSpace="181" w:wrap="notBeside" w:vAnchor="text" w:hAnchor="text" w:xAlign="center" w:y="1"/>
              <w:spacing w:before="50" w:after="50"/>
              <w:jc w:val="center"/>
              <w:rPr>
                <w:lang w:val="en-US"/>
              </w:rPr>
            </w:pPr>
            <w:r>
              <w:rPr>
                <w:lang w:val="en-US"/>
              </w:rPr>
              <w:t>2</w:t>
            </w:r>
            <w:r>
              <w:rPr>
                <w:rFonts w:ascii="Symbol" w:hAnsi="Symbol"/>
                <w:lang w:val="en-US"/>
              </w:rPr>
              <w:t></w:t>
            </w:r>
            <w:r>
              <w:rPr>
                <w:lang w:val="en-US"/>
              </w:rPr>
              <w:t> </w:t>
            </w:r>
            <w:r>
              <w:rPr>
                <w:rFonts w:ascii="Symbol" w:hAnsi="Symbol"/>
              </w:rPr>
              <w:t></w:t>
            </w:r>
            <w:r>
              <w:rPr>
                <w:lang w:val="en-US"/>
              </w:rPr>
              <w:t> 2</w:t>
            </w:r>
            <w:r>
              <w:rPr>
                <w:rFonts w:ascii="Symbol" w:hAnsi="Symbol"/>
                <w:lang w:val="en-US"/>
              </w:rPr>
              <w:t></w:t>
            </w:r>
            <w:r>
              <w:rPr>
                <w:lang w:val="en-US"/>
              </w:rPr>
              <w:t xml:space="preserve"> Dish</w:t>
            </w:r>
          </w:p>
        </w:tc>
      </w:tr>
      <w:tr w:rsidR="00B9359B">
        <w:trPr>
          <w:cantSplit/>
        </w:trPr>
        <w:tc>
          <w:tcPr>
            <w:tcW w:w="5421" w:type="dxa"/>
          </w:tcPr>
          <w:p w:rsidR="00B9359B" w:rsidRDefault="009A5268">
            <w:pPr>
              <w:pStyle w:val="Tabletext"/>
              <w:framePr w:hSpace="181" w:wrap="notBeside" w:vAnchor="text" w:hAnchor="text" w:xAlign="center" w:y="1"/>
              <w:spacing w:before="50" w:after="50"/>
              <w:rPr>
                <w:lang w:val="en-US"/>
              </w:rPr>
            </w:pPr>
            <w:r>
              <w:rPr>
                <w:lang w:val="en-US"/>
              </w:rPr>
              <w:t>Maximum Tx output power (dBW)</w:t>
            </w:r>
          </w:p>
        </w:tc>
        <w:tc>
          <w:tcPr>
            <w:tcW w:w="2109" w:type="dxa"/>
          </w:tcPr>
          <w:p w:rsidR="00B9359B" w:rsidRDefault="009A5268">
            <w:pPr>
              <w:pStyle w:val="Tabletext"/>
              <w:framePr w:hSpace="181" w:wrap="notBeside" w:vAnchor="text" w:hAnchor="text" w:xAlign="center" w:y="1"/>
              <w:spacing w:before="50" w:after="50"/>
              <w:jc w:val="center"/>
              <w:rPr>
                <w:lang w:val="en-US"/>
              </w:rPr>
            </w:pPr>
            <w:r>
              <w:rPr>
                <w:lang w:val="en-US"/>
              </w:rPr>
              <w:t>10</w:t>
            </w:r>
          </w:p>
        </w:tc>
        <w:tc>
          <w:tcPr>
            <w:tcW w:w="2109" w:type="dxa"/>
          </w:tcPr>
          <w:p w:rsidR="00B9359B" w:rsidRDefault="009A5268">
            <w:pPr>
              <w:pStyle w:val="Tabletext"/>
              <w:framePr w:hSpace="181" w:wrap="notBeside" w:vAnchor="text" w:hAnchor="text" w:xAlign="center" w:y="1"/>
              <w:spacing w:before="50" w:after="50"/>
              <w:jc w:val="center"/>
              <w:rPr>
                <w:lang w:val="en-US"/>
              </w:rPr>
            </w:pPr>
            <w:r>
              <w:rPr>
                <w:lang w:val="en-US"/>
              </w:rPr>
              <w:t>4</w:t>
            </w:r>
          </w:p>
        </w:tc>
      </w:tr>
      <w:tr w:rsidR="00B9359B">
        <w:trPr>
          <w:cantSplit/>
        </w:trPr>
        <w:tc>
          <w:tcPr>
            <w:tcW w:w="5421" w:type="dxa"/>
            <w:tcBorders>
              <w:bottom w:val="single" w:sz="4" w:space="0" w:color="auto"/>
            </w:tcBorders>
          </w:tcPr>
          <w:p w:rsidR="00B9359B" w:rsidRDefault="009A5268">
            <w:pPr>
              <w:pStyle w:val="Tabletext"/>
              <w:framePr w:hSpace="181" w:wrap="notBeside" w:vAnchor="text" w:hAnchor="text" w:xAlign="center" w:y="1"/>
              <w:spacing w:before="50" w:after="50"/>
              <w:rPr>
                <w:lang w:val="en-US"/>
              </w:rPr>
            </w:pPr>
            <w:r>
              <w:rPr>
                <w:lang w:val="en-US"/>
              </w:rPr>
              <w:t>e.i.r.p. (maximum) (dBW)</w:t>
            </w:r>
          </w:p>
        </w:tc>
        <w:tc>
          <w:tcPr>
            <w:tcW w:w="2109" w:type="dxa"/>
            <w:tcBorders>
              <w:bottom w:val="single" w:sz="4" w:space="0" w:color="auto"/>
            </w:tcBorders>
          </w:tcPr>
          <w:p w:rsidR="00B9359B" w:rsidRDefault="009A5268">
            <w:pPr>
              <w:pStyle w:val="Tabletext"/>
              <w:framePr w:hSpace="181" w:wrap="notBeside" w:vAnchor="text" w:hAnchor="text" w:xAlign="center" w:y="1"/>
              <w:spacing w:before="50" w:after="50"/>
              <w:jc w:val="center"/>
              <w:rPr>
                <w:lang w:val="en-US"/>
              </w:rPr>
            </w:pPr>
            <w:r>
              <w:rPr>
                <w:lang w:val="en-US"/>
              </w:rPr>
              <w:t>25</w:t>
            </w:r>
          </w:p>
        </w:tc>
        <w:tc>
          <w:tcPr>
            <w:tcW w:w="2109" w:type="dxa"/>
            <w:tcBorders>
              <w:bottom w:val="single" w:sz="4" w:space="0" w:color="auto"/>
            </w:tcBorders>
          </w:tcPr>
          <w:p w:rsidR="00B9359B" w:rsidRDefault="009A5268">
            <w:pPr>
              <w:pStyle w:val="Tabletext"/>
              <w:framePr w:hSpace="181" w:wrap="notBeside" w:vAnchor="text" w:hAnchor="text" w:xAlign="center" w:y="1"/>
              <w:spacing w:before="50" w:after="50"/>
              <w:jc w:val="center"/>
              <w:rPr>
                <w:lang w:val="en-US"/>
              </w:rPr>
            </w:pPr>
            <w:r>
              <w:rPr>
                <w:lang w:val="en-US"/>
              </w:rPr>
              <w:t>40</w:t>
            </w:r>
          </w:p>
        </w:tc>
      </w:tr>
      <w:tr w:rsidR="00B9359B">
        <w:trPr>
          <w:cantSplit/>
        </w:trPr>
        <w:tc>
          <w:tcPr>
            <w:tcW w:w="9639" w:type="dxa"/>
            <w:gridSpan w:val="3"/>
            <w:tcBorders>
              <w:left w:val="nil"/>
              <w:bottom w:val="nil"/>
              <w:right w:val="nil"/>
            </w:tcBorders>
          </w:tcPr>
          <w:p w:rsidR="00B9359B" w:rsidRDefault="009A5268">
            <w:pPr>
              <w:pStyle w:val="Tablelegend"/>
              <w:framePr w:hSpace="181" w:wrap="notBeside" w:vAnchor="text" w:hAnchor="text" w:xAlign="center" w:y="1"/>
              <w:rPr>
                <w:lang w:val="en-US"/>
              </w:rPr>
            </w:pPr>
            <w:r>
              <w:rPr>
                <w:lang w:val="en-US"/>
              </w:rPr>
              <w:t>RT:  remote terminal.</w:t>
            </w:r>
          </w:p>
        </w:tc>
      </w:tr>
    </w:tbl>
    <w:p w:rsidR="00B9359B" w:rsidRDefault="00B9359B">
      <w:pPr>
        <w:pStyle w:val="Tablefin"/>
        <w:spacing w:before="0"/>
      </w:pPr>
    </w:p>
    <w:p w:rsidR="00B9359B" w:rsidRDefault="009A5268">
      <w:pPr>
        <w:pStyle w:val="Heading2"/>
        <w:rPr>
          <w:lang w:val="en-US"/>
        </w:rPr>
      </w:pPr>
      <w:bookmarkStart w:id="448" w:name="_Toc51045848"/>
      <w:r>
        <w:rPr>
          <w:lang w:val="en-US"/>
        </w:rPr>
        <w:t>2.5</w:t>
      </w:r>
      <w:r>
        <w:rPr>
          <w:lang w:val="en-US"/>
        </w:rPr>
        <w:tab/>
        <w:t>Operational characteristics</w:t>
      </w:r>
      <w:bookmarkEnd w:id="448"/>
    </w:p>
    <w:p w:rsidR="00B9359B" w:rsidRDefault="009A5268">
      <w:pPr>
        <w:pStyle w:val="Heading3"/>
        <w:rPr>
          <w:lang w:val="en-US"/>
        </w:rPr>
      </w:pPr>
      <w:bookmarkStart w:id="449" w:name="_Toc51045849"/>
      <w:r>
        <w:rPr>
          <w:lang w:val="en-US"/>
        </w:rPr>
        <w:t>2.5.1</w:t>
      </w:r>
      <w:r>
        <w:rPr>
          <w:lang w:val="en-US"/>
        </w:rPr>
        <w:tab/>
        <w:t>P-MP operational characteristics</w:t>
      </w:r>
      <w:bookmarkEnd w:id="449"/>
    </w:p>
    <w:p w:rsidR="00B9359B" w:rsidRDefault="009A5268">
      <w:pPr>
        <w:rPr>
          <w:lang w:val="en-US"/>
        </w:rPr>
      </w:pPr>
      <w:r>
        <w:rPr>
          <w:lang w:val="en-US"/>
        </w:rPr>
        <w:t>It is proposed to use as a first step a density of terminals of 1 terminal per km</w:t>
      </w:r>
      <w:r>
        <w:rPr>
          <w:vertAlign w:val="superscript"/>
          <w:lang w:val="en-US"/>
        </w:rPr>
        <w:t>2</w:t>
      </w:r>
      <w:r>
        <w:rPr>
          <w:rStyle w:val="FootnoteReference"/>
          <w:lang w:val="en-US"/>
        </w:rPr>
        <w:footnoteReference w:customMarkFollows="1" w:id="5"/>
        <w:t>*</w:t>
      </w:r>
      <w:r>
        <w:rPr>
          <w:lang w:val="en-US"/>
        </w:rPr>
        <w:t>.</w:t>
      </w:r>
    </w:p>
    <w:p w:rsidR="00B9359B" w:rsidRDefault="009A5268">
      <w:pPr>
        <w:pStyle w:val="Heading3"/>
        <w:rPr>
          <w:lang w:val="en-US"/>
        </w:rPr>
      </w:pPr>
      <w:bookmarkStart w:id="450" w:name="_Toc51045850"/>
      <w:r>
        <w:rPr>
          <w:lang w:val="en-US"/>
        </w:rPr>
        <w:t>2.5.2</w:t>
      </w:r>
      <w:r>
        <w:rPr>
          <w:lang w:val="en-US"/>
        </w:rPr>
        <w:tab/>
        <w:t>P-MP operational characteristics</w:t>
      </w:r>
      <w:bookmarkEnd w:id="450"/>
    </w:p>
    <w:p w:rsidR="00B9359B" w:rsidRDefault="009A5268">
      <w:pPr>
        <w:rPr>
          <w:lang w:val="en-US"/>
        </w:rPr>
      </w:pPr>
      <w:r>
        <w:rPr>
          <w:lang w:val="en-US"/>
        </w:rPr>
        <w:t>It is proposed to use as a first step a density of terminals of 0.3 terminals per km</w:t>
      </w:r>
      <w:r>
        <w:rPr>
          <w:sz w:val="28"/>
          <w:vertAlign w:val="superscript"/>
          <w:lang w:val="en-US"/>
        </w:rPr>
        <w:t>2*</w:t>
      </w:r>
      <w:r>
        <w:rPr>
          <w:lang w:val="en-US"/>
        </w:rPr>
        <w:t>.</w:t>
      </w:r>
    </w:p>
    <w:p w:rsidR="00B9359B" w:rsidRDefault="009A5268">
      <w:pPr>
        <w:pStyle w:val="enumlev1"/>
        <w:rPr>
          <w:bCs/>
          <w:lang w:val="en-US"/>
        </w:rPr>
      </w:pPr>
      <w:r>
        <w:rPr>
          <w:b/>
          <w:lang w:val="en-US"/>
        </w:rPr>
        <w:t>–</w:t>
      </w:r>
      <w:r>
        <w:rPr>
          <w:b/>
          <w:lang w:val="en-US"/>
        </w:rPr>
        <w:tab/>
      </w:r>
      <w:r>
        <w:rPr>
          <w:bCs/>
          <w:i/>
          <w:iCs/>
          <w:lang w:val="en-US"/>
        </w:rPr>
        <w:t>Frequency reuse</w:t>
      </w:r>
      <w:r>
        <w:rPr>
          <w:bCs/>
          <w:lang w:val="en-US"/>
        </w:rPr>
        <w:t>:  a frequency reuse of 2 is commonly used and is considered as a typical scenario. A frequency reuse factor of 1 is to be considered as a worst-case situation, which occurs rarely.</w:t>
      </w:r>
    </w:p>
    <w:p w:rsidR="00B9359B" w:rsidRDefault="00B9359B">
      <w:pPr>
        <w:spacing w:before="0"/>
        <w:rPr>
          <w:lang w:val="en-US"/>
        </w:rPr>
      </w:pPr>
    </w:p>
    <w:p w:rsidR="00B9359B" w:rsidRDefault="009A5268">
      <w:pPr>
        <w:pStyle w:val="enumlev1"/>
        <w:rPr>
          <w:lang w:val="en-US"/>
        </w:rPr>
      </w:pPr>
      <w:r>
        <w:rPr>
          <w:bCs/>
          <w:lang w:val="en-US"/>
        </w:rPr>
        <w:br w:type="page"/>
        <w:t>–</w:t>
      </w:r>
      <w:r>
        <w:rPr>
          <w:bCs/>
          <w:lang w:val="en-US"/>
        </w:rPr>
        <w:tab/>
      </w:r>
      <w:r>
        <w:rPr>
          <w:bCs/>
          <w:i/>
          <w:iCs/>
          <w:lang w:val="en-US"/>
        </w:rPr>
        <w:t>Sector antenna</w:t>
      </w:r>
      <w:r>
        <w:rPr>
          <w:lang w:val="en-US"/>
        </w:rPr>
        <w:t>:</w:t>
      </w:r>
      <w:r>
        <w:rPr>
          <w:bCs/>
          <w:lang w:val="en-US"/>
        </w:rPr>
        <w:t xml:space="preserve">  the </w:t>
      </w:r>
      <w:r>
        <w:rPr>
          <w:lang w:val="en-US"/>
        </w:rPr>
        <w:t>typical sector antenna width is 90</w:t>
      </w:r>
      <w:r>
        <w:rPr>
          <w:rFonts w:ascii="Symbol" w:hAnsi="Symbol"/>
          <w:lang w:val="en-US"/>
        </w:rPr>
        <w:t></w:t>
      </w:r>
      <w:r>
        <w:rPr>
          <w:lang w:val="en-US"/>
        </w:rPr>
        <w:t>. In some cases, 45</w:t>
      </w:r>
      <w:r>
        <w:rPr>
          <w:rFonts w:ascii="Symbol" w:hAnsi="Symbol"/>
          <w:lang w:val="en-US"/>
        </w:rPr>
        <w:t></w:t>
      </w:r>
      <w:r>
        <w:rPr>
          <w:lang w:val="en-US"/>
        </w:rPr>
        <w:t xml:space="preserve"> sector antennas are foreseen where high amount of traffic capacities have to be transported from one station location.</w:t>
      </w:r>
    </w:p>
    <w:p w:rsidR="00B9359B" w:rsidRDefault="009A5268">
      <w:pPr>
        <w:rPr>
          <w:lang w:val="en-US"/>
        </w:rPr>
      </w:pPr>
      <w:r>
        <w:rPr>
          <w:lang w:val="en-US"/>
        </w:rPr>
        <w:t>Based on these considerations, a hub of a P-MP cell may serve typically two co-channel subscribers within a given cell.</w:t>
      </w:r>
    </w:p>
    <w:p w:rsidR="00B9359B" w:rsidRDefault="009A5268">
      <w:pPr>
        <w:pStyle w:val="Heading2"/>
        <w:rPr>
          <w:lang w:val="en-US"/>
        </w:rPr>
      </w:pPr>
      <w:bookmarkStart w:id="451" w:name="_Toc51045851"/>
      <w:r>
        <w:rPr>
          <w:lang w:val="en-US"/>
        </w:rPr>
        <w:t>2.6</w:t>
      </w:r>
      <w:r>
        <w:rPr>
          <w:lang w:val="en-US"/>
        </w:rPr>
        <w:tab/>
        <w:t>In band transmit power</w:t>
      </w:r>
      <w:bookmarkEnd w:id="451"/>
    </w:p>
    <w:p w:rsidR="00B9359B" w:rsidRDefault="009A5268">
      <w:pPr>
        <w:rPr>
          <w:lang w:val="en-US"/>
        </w:rPr>
      </w:pPr>
      <w:r>
        <w:rPr>
          <w:lang w:val="en-US"/>
        </w:rPr>
        <w:t>See Tables 75 and 76.</w:t>
      </w:r>
    </w:p>
    <w:p w:rsidR="00B9359B" w:rsidRDefault="009A5268">
      <w:pPr>
        <w:pStyle w:val="Heading1"/>
        <w:rPr>
          <w:lang w:val="en-US"/>
        </w:rPr>
      </w:pPr>
      <w:bookmarkStart w:id="452" w:name="_Toc51045852"/>
      <w:r>
        <w:rPr>
          <w:lang w:val="en-US"/>
        </w:rPr>
        <w:t>3</w:t>
      </w:r>
      <w:r>
        <w:rPr>
          <w:lang w:val="en-US"/>
        </w:rPr>
        <w:tab/>
        <w:t>Compatibility threshold (if applicable)</w:t>
      </w:r>
      <w:bookmarkEnd w:id="452"/>
    </w:p>
    <w:p w:rsidR="00B9359B" w:rsidRDefault="009A5268">
      <w:pPr>
        <w:rPr>
          <w:lang w:val="en-US"/>
        </w:rPr>
      </w:pPr>
      <w:r>
        <w:rPr>
          <w:lang w:val="en-US"/>
        </w:rPr>
        <w:t xml:space="preserve">The passive sensor protection criterion is </w:t>
      </w:r>
      <w:r>
        <w:sym w:font="Symbol" w:char="F02D"/>
      </w:r>
      <w:r>
        <w:rPr>
          <w:lang w:val="en-US"/>
        </w:rPr>
        <w:t>163 dBW in a 100 MHz bandwidth (not to be exceeded for more than 0.01% of time as stipulated by Recommendation ITU</w:t>
      </w:r>
      <w:r>
        <w:rPr>
          <w:lang w:val="en-US"/>
        </w:rPr>
        <w:noBreakHyphen/>
        <w:t>R SA.1029).</w:t>
      </w:r>
    </w:p>
    <w:p w:rsidR="00B9359B" w:rsidRDefault="009A5268">
      <w:pPr>
        <w:rPr>
          <w:lang w:val="en-US"/>
        </w:rPr>
      </w:pPr>
      <w:r>
        <w:rPr>
          <w:lang w:val="en-US"/>
        </w:rPr>
        <w:t>Interference is potentially received from several sources from multiple services simultaneously. The value listed in Recommendation ITU-R SA.1029 (for a specific band) is the maximum allowable interference level for the passive sensor.</w:t>
      </w:r>
    </w:p>
    <w:p w:rsidR="00B9359B" w:rsidRDefault="009A5268">
      <w:pPr>
        <w:rPr>
          <w:lang w:val="en-US"/>
        </w:rPr>
      </w:pPr>
      <w:r>
        <w:rPr>
          <w:lang w:val="en-US"/>
        </w:rPr>
        <w:t>This Annex provides an analysis of the interference generated by a single active service.</w:t>
      </w:r>
    </w:p>
    <w:p w:rsidR="00B9359B" w:rsidRDefault="009A5268">
      <w:pPr>
        <w:rPr>
          <w:lang w:val="en-US"/>
        </w:rPr>
      </w:pPr>
      <w:r>
        <w:rPr>
          <w:lang w:val="en-US"/>
        </w:rPr>
        <w:t>Further work is needed to address the impact of these multiple active services operating above and below the passive band.</w:t>
      </w:r>
    </w:p>
    <w:p w:rsidR="00B9359B" w:rsidRDefault="009A5268">
      <w:pPr>
        <w:pStyle w:val="Heading1"/>
        <w:rPr>
          <w:lang w:val="en-US"/>
        </w:rPr>
      </w:pPr>
      <w:bookmarkStart w:id="453" w:name="_Toc51045853"/>
      <w:r>
        <w:rPr>
          <w:lang w:val="en-US"/>
        </w:rPr>
        <w:t>4</w:t>
      </w:r>
      <w:r>
        <w:rPr>
          <w:lang w:val="en-US"/>
        </w:rPr>
        <w:tab/>
        <w:t>Interference assessment</w:t>
      </w:r>
      <w:bookmarkEnd w:id="453"/>
    </w:p>
    <w:p w:rsidR="00B9359B" w:rsidRDefault="009A5268">
      <w:pPr>
        <w:pStyle w:val="Heading2"/>
        <w:rPr>
          <w:lang w:val="en-US"/>
        </w:rPr>
      </w:pPr>
      <w:bookmarkStart w:id="454" w:name="_Toc51045854"/>
      <w:r>
        <w:rPr>
          <w:lang w:val="en-US"/>
        </w:rPr>
        <w:t>4.1</w:t>
      </w:r>
      <w:r>
        <w:rPr>
          <w:lang w:val="en-US"/>
        </w:rPr>
        <w:tab/>
        <w:t>Methodology used to assess the interference level</w:t>
      </w:r>
      <w:bookmarkEnd w:id="454"/>
    </w:p>
    <w:p w:rsidR="00B9359B" w:rsidRDefault="009A5268">
      <w:pPr>
        <w:rPr>
          <w:lang w:val="en-US"/>
        </w:rPr>
      </w:pPr>
      <w:r>
        <w:rPr>
          <w:lang w:val="en-US"/>
        </w:rPr>
        <w:t>The first step of this approach is to calculate the acceptable power resulting from a deployment of FS systems that may fall within an EESS pixel.</w:t>
      </w:r>
    </w:p>
    <w:p w:rsidR="00B9359B" w:rsidRDefault="009A5268">
      <w:pPr>
        <w:pStyle w:val="Equation"/>
        <w:jc w:val="center"/>
        <w:rPr>
          <w:lang w:val="en-US"/>
        </w:rPr>
      </w:pPr>
      <w:r>
        <w:rPr>
          <w:lang w:val="en-US"/>
        </w:rPr>
        <w:t xml:space="preserve">Aggregate power at the Earth in 100 MHz </w:t>
      </w:r>
      <w:r>
        <w:rPr>
          <w:rFonts w:ascii="Symbol" w:hAnsi="Symbol"/>
          <w:lang w:val="en-US"/>
        </w:rPr>
        <w:t></w:t>
      </w:r>
      <w:r>
        <w:rPr>
          <w:lang w:val="en-US"/>
        </w:rPr>
        <w:t xml:space="preserve"> EESS protection criteria (dB(W/100 MHz)) – </w:t>
      </w:r>
      <w:r>
        <w:rPr>
          <w:lang w:val="en-US"/>
        </w:rPr>
        <w:br/>
        <w:t xml:space="preserve">EESS gain </w:t>
      </w:r>
      <w:r>
        <w:rPr>
          <w:rFonts w:ascii="Symbol" w:hAnsi="Symbol"/>
          <w:lang w:val="en-US"/>
        </w:rPr>
        <w:t></w:t>
      </w:r>
      <w:r>
        <w:rPr>
          <w:lang w:val="en-US"/>
        </w:rPr>
        <w:t xml:space="preserve"> free space loss</w:t>
      </w:r>
    </w:p>
    <w:p w:rsidR="00B9359B" w:rsidRDefault="009A5268">
      <w:pPr>
        <w:rPr>
          <w:lang w:val="en-US"/>
        </w:rPr>
      </w:pPr>
      <w:r>
        <w:rPr>
          <w:lang w:val="en-US"/>
        </w:rPr>
        <w:t>Then it is possible to derive the unwanted level of emissions per FS system falling into the EESS 100 MHz reference bandwidth:</w:t>
      </w:r>
    </w:p>
    <w:p w:rsidR="00B9359B" w:rsidRDefault="009A5268">
      <w:pPr>
        <w:pStyle w:val="Equation"/>
        <w:jc w:val="center"/>
        <w:rPr>
          <w:lang w:val="en-US"/>
        </w:rPr>
      </w:pPr>
      <w:r>
        <w:rPr>
          <w:lang w:val="en-US"/>
        </w:rPr>
        <w:t xml:space="preserve">Power per Tx (dB(W/100 MHz)) </w:t>
      </w:r>
      <w:r>
        <w:rPr>
          <w:rFonts w:ascii="Symbol" w:hAnsi="Symbol"/>
          <w:b/>
          <w:lang w:val="en-US"/>
        </w:rPr>
        <w:t></w:t>
      </w:r>
      <w:r>
        <w:rPr>
          <w:lang w:val="en-US"/>
        </w:rPr>
        <w:t xml:space="preserve"> Aggregate power at the Earth in 100 MHz –</w:t>
      </w:r>
      <w:r>
        <w:rPr>
          <w:lang w:val="en-US"/>
        </w:rPr>
        <w:br/>
      </w:r>
      <w:r>
        <w:rPr>
          <w:i/>
          <w:iCs/>
          <w:lang w:val="en-US"/>
        </w:rPr>
        <w:t>N</w:t>
      </w:r>
      <w:r>
        <w:rPr>
          <w:i/>
          <w:iCs/>
          <w:vertAlign w:val="subscript"/>
          <w:lang w:val="en-US"/>
        </w:rPr>
        <w:t>b</w:t>
      </w:r>
      <w:r>
        <w:rPr>
          <w:lang w:val="en-US"/>
        </w:rPr>
        <w:t xml:space="preserve"> Tx (in EESS pixel) – FS Gain in the EESS direction</w:t>
      </w:r>
    </w:p>
    <w:p w:rsidR="00B9359B" w:rsidRDefault="009A5268">
      <w:pPr>
        <w:pStyle w:val="Heading2"/>
        <w:rPr>
          <w:lang w:val="en-US"/>
        </w:rPr>
      </w:pPr>
      <w:bookmarkStart w:id="455" w:name="_Toc51045855"/>
      <w:r>
        <w:rPr>
          <w:lang w:val="en-US"/>
        </w:rPr>
        <w:t>4.2</w:t>
      </w:r>
      <w:r>
        <w:rPr>
          <w:lang w:val="en-US"/>
        </w:rPr>
        <w:tab/>
        <w:t>Calculation</w:t>
      </w:r>
      <w:bookmarkEnd w:id="455"/>
    </w:p>
    <w:p w:rsidR="00B9359B" w:rsidRDefault="009A5268">
      <w:pPr>
        <w:rPr>
          <w:lang w:val="en-US"/>
        </w:rPr>
      </w:pPr>
      <w:r>
        <w:rPr>
          <w:lang w:val="en-US"/>
        </w:rPr>
        <w:t>For P-P systems, Recommendation ITU-R F.1245 was used to derive the antenna gain in the zenith direction. The density of terminals operating at the same frequency is assumed to be one terminal per km</w:t>
      </w:r>
      <w:r>
        <w:rPr>
          <w:vertAlign w:val="superscript"/>
          <w:lang w:val="en-US"/>
        </w:rPr>
        <w:t>2</w:t>
      </w:r>
      <w:r>
        <w:rPr>
          <w:lang w:val="en-US"/>
        </w:rPr>
        <w:t>.</w:t>
      </w:r>
    </w:p>
    <w:p w:rsidR="00B9359B" w:rsidRDefault="009A5268">
      <w:pPr>
        <w:rPr>
          <w:lang w:val="en-US"/>
        </w:rPr>
      </w:pPr>
      <w:r>
        <w:rPr>
          <w:lang w:val="en-US"/>
        </w:rPr>
        <w:t>For P-MP terminal stations, Recommendation ITU-R F.1245 was used to derive the antenna gain in the zenith direction. For P-MP central stations, Recommendation ITU</w:t>
      </w:r>
      <w:r>
        <w:rPr>
          <w:lang w:val="en-US"/>
        </w:rPr>
        <w:noBreakHyphen/>
        <w:t>R F.1336 was used to derive the antenna gain in the zenith direction. The density of site of central station operating at the same frequency is assumed to be 0.3 terminals per km</w:t>
      </w:r>
      <w:r>
        <w:rPr>
          <w:vertAlign w:val="superscript"/>
          <w:lang w:val="en-US"/>
        </w:rPr>
        <w:t>2</w:t>
      </w:r>
      <w:r>
        <w:rPr>
          <w:lang w:val="en-US"/>
        </w:rPr>
        <w:t>. On the same site, two central stations may use the same frequency assuming 90</w:t>
      </w:r>
      <w:r>
        <w:rPr>
          <w:rFonts w:ascii="Symbol" w:hAnsi="Symbol"/>
          <w:lang w:val="en-US"/>
        </w:rPr>
        <w:t></w:t>
      </w:r>
      <w:r>
        <w:rPr>
          <w:lang w:val="en-US"/>
        </w:rPr>
        <w:t>sector antenna. Therefore within the same cell two terminal stations may use the same frequency.</w:t>
      </w:r>
    </w:p>
    <w:p w:rsidR="00B9359B" w:rsidRDefault="009A5268">
      <w:pPr>
        <w:pStyle w:val="TableNo"/>
        <w:spacing w:before="0"/>
        <w:rPr>
          <w:lang w:val="en-US"/>
        </w:rPr>
      </w:pPr>
      <w:r>
        <w:rPr>
          <w:lang w:val="en-US"/>
        </w:rPr>
        <w:br w:type="page"/>
        <w:t>TABLE  77</w:t>
      </w:r>
    </w:p>
    <w:p w:rsidR="00B9359B" w:rsidRDefault="009A5268">
      <w:pPr>
        <w:pStyle w:val="Tabletitle"/>
        <w:rPr>
          <w:lang w:val="en-US"/>
        </w:rPr>
      </w:pPr>
      <w:r>
        <w:rPr>
          <w:lang w:val="en-US"/>
        </w:rPr>
        <w:t xml:space="preserve">Acceptable unwanted emissions level per P-P </w:t>
      </w:r>
      <w:r>
        <w:rPr>
          <w:lang w:val="en-US"/>
        </w:rPr>
        <w:br/>
        <w:t>FS system falling into the EESS band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1418"/>
        <w:gridCol w:w="1418"/>
      </w:tblGrid>
      <w:tr w:rsidR="00B9359B">
        <w:trPr>
          <w:trHeight w:val="255"/>
        </w:trPr>
        <w:tc>
          <w:tcPr>
            <w:tcW w:w="4536" w:type="dxa"/>
            <w:vAlign w:val="bottom"/>
          </w:tcPr>
          <w:p w:rsidR="00B9359B" w:rsidRDefault="009A5268">
            <w:pPr>
              <w:pStyle w:val="Tabletext"/>
              <w:framePr w:hSpace="181" w:wrap="notBeside" w:vAnchor="text" w:hAnchor="text" w:xAlign="center" w:y="1"/>
              <w:spacing w:before="20" w:after="20"/>
              <w:ind w:left="113"/>
              <w:rPr>
                <w:rFonts w:eastAsia="Arial Unicode MS"/>
                <w:lang w:val="en-US"/>
              </w:rPr>
            </w:pPr>
            <w:r>
              <w:rPr>
                <w:lang w:val="en-US"/>
              </w:rPr>
              <w:t>Frequency (GHz)</w:t>
            </w:r>
          </w:p>
        </w:tc>
        <w:tc>
          <w:tcPr>
            <w:tcW w:w="2836" w:type="dxa"/>
            <w:gridSpan w:val="2"/>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31.3</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20" w:after="20"/>
              <w:ind w:left="113"/>
              <w:rPr>
                <w:rFonts w:eastAsia="Arial Unicode MS"/>
                <w:lang w:val="en-US"/>
              </w:rPr>
            </w:pPr>
            <w:r>
              <w:rPr>
                <w:lang w:val="en-US"/>
              </w:rPr>
              <w:t>Interference criteria (dB(W/100 MHz))</w:t>
            </w:r>
          </w:p>
        </w:tc>
        <w:tc>
          <w:tcPr>
            <w:tcW w:w="2836" w:type="dxa"/>
            <w:gridSpan w:val="2"/>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sym w:font="Symbol" w:char="F02D"/>
            </w:r>
            <w:r>
              <w:rPr>
                <w:lang w:val="en-US"/>
              </w:rPr>
              <w:t>163</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20" w:after="20"/>
              <w:ind w:left="113"/>
              <w:rPr>
                <w:rFonts w:eastAsia="Arial Unicode MS"/>
                <w:lang w:val="en-US"/>
              </w:rPr>
            </w:pPr>
            <w:r>
              <w:rPr>
                <w:lang w:val="en-US"/>
              </w:rPr>
              <w:t>Altitude (km)</w:t>
            </w:r>
          </w:p>
        </w:tc>
        <w:tc>
          <w:tcPr>
            <w:tcW w:w="2836" w:type="dxa"/>
            <w:gridSpan w:val="2"/>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850</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20" w:after="20"/>
              <w:ind w:left="113"/>
              <w:rPr>
                <w:rFonts w:eastAsia="Arial Unicode MS"/>
                <w:lang w:val="en-US"/>
              </w:rPr>
            </w:pPr>
            <w:r>
              <w:rPr>
                <w:lang w:val="en-US"/>
              </w:rPr>
              <w:t>Reference bandwidth (MHz)</w:t>
            </w:r>
          </w:p>
        </w:tc>
        <w:tc>
          <w:tcPr>
            <w:tcW w:w="2836" w:type="dxa"/>
            <w:gridSpan w:val="2"/>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100</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20" w:after="20"/>
              <w:ind w:left="113"/>
              <w:rPr>
                <w:rFonts w:eastAsia="Arial Unicode MS"/>
                <w:lang w:val="en-US"/>
              </w:rPr>
            </w:pPr>
            <w:r>
              <w:rPr>
                <w:lang w:val="en-US"/>
              </w:rPr>
              <w:t>Gain EESS</w:t>
            </w:r>
          </w:p>
        </w:tc>
        <w:tc>
          <w:tcPr>
            <w:tcW w:w="2836" w:type="dxa"/>
            <w:gridSpan w:val="2"/>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45</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20" w:after="20"/>
              <w:ind w:left="113"/>
              <w:rPr>
                <w:rFonts w:eastAsia="Arial Unicode MS"/>
                <w:lang w:val="en-US"/>
              </w:rPr>
            </w:pPr>
            <w:r>
              <w:rPr>
                <w:lang w:val="en-US"/>
              </w:rPr>
              <w:t>Free space loss</w:t>
            </w:r>
          </w:p>
        </w:tc>
        <w:tc>
          <w:tcPr>
            <w:tcW w:w="2836" w:type="dxa"/>
            <w:gridSpan w:val="2"/>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181</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20" w:after="20"/>
              <w:ind w:left="113"/>
              <w:rPr>
                <w:rFonts w:eastAsia="Arial Unicode MS"/>
                <w:lang w:val="en-US"/>
              </w:rPr>
            </w:pPr>
            <w:r>
              <w:rPr>
                <w:lang w:val="en-US"/>
              </w:rPr>
              <w:t>Aggregate at the Earth (dB(W/100 MHz))</w:t>
            </w:r>
          </w:p>
        </w:tc>
        <w:tc>
          <w:tcPr>
            <w:tcW w:w="2836" w:type="dxa"/>
            <w:gridSpan w:val="2"/>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sym w:font="Symbol" w:char="F02D"/>
            </w:r>
            <w:r>
              <w:rPr>
                <w:lang w:val="en-US"/>
              </w:rPr>
              <w:t>27</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20" w:after="20"/>
              <w:ind w:left="113"/>
              <w:rPr>
                <w:rFonts w:eastAsia="Arial Unicode MS"/>
                <w:lang w:val="en-US"/>
              </w:rPr>
            </w:pPr>
            <w:r>
              <w:rPr>
                <w:lang w:val="en-US"/>
              </w:rPr>
              <w:t>Aggregate at the Earth in dB(W/MHz)</w:t>
            </w:r>
          </w:p>
        </w:tc>
        <w:tc>
          <w:tcPr>
            <w:tcW w:w="2836" w:type="dxa"/>
            <w:gridSpan w:val="2"/>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sym w:font="Symbol" w:char="F02D"/>
            </w:r>
            <w:r>
              <w:rPr>
                <w:lang w:val="en-US"/>
              </w:rPr>
              <w:t>47.1</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20" w:after="20"/>
              <w:ind w:left="113"/>
              <w:rPr>
                <w:rFonts w:eastAsia="Arial Unicode MS"/>
                <w:i/>
                <w:iCs/>
                <w:lang w:val="en-US"/>
              </w:rPr>
            </w:pPr>
            <w:r>
              <w:rPr>
                <w:rFonts w:eastAsia="Arial Unicode MS"/>
                <w:i/>
                <w:iCs/>
                <w:lang w:val="en-US"/>
              </w:rPr>
              <w:t>Station type</w:t>
            </w:r>
          </w:p>
        </w:tc>
        <w:tc>
          <w:tcPr>
            <w:tcW w:w="1418"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rFonts w:eastAsia="Arial Unicode MS"/>
                <w:lang w:val="en-US"/>
              </w:rPr>
              <w:t>CS</w:t>
            </w:r>
          </w:p>
        </w:tc>
        <w:tc>
          <w:tcPr>
            <w:tcW w:w="1418"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rFonts w:eastAsia="Arial Unicode MS"/>
                <w:lang w:val="en-US"/>
              </w:rPr>
              <w:t>TS</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20" w:after="20"/>
              <w:ind w:left="284" w:right="284"/>
              <w:rPr>
                <w:rFonts w:eastAsia="Arial Unicode MS"/>
                <w:lang w:val="en-US"/>
              </w:rPr>
            </w:pPr>
            <w:r>
              <w:rPr>
                <w:lang w:val="en-US"/>
              </w:rPr>
              <w:t>Channel spacing (MHz)</w:t>
            </w:r>
          </w:p>
        </w:tc>
        <w:tc>
          <w:tcPr>
            <w:tcW w:w="1418"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56</w:t>
            </w:r>
          </w:p>
        </w:tc>
        <w:tc>
          <w:tcPr>
            <w:tcW w:w="1418"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3.5</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20" w:after="20"/>
              <w:ind w:left="284" w:right="284"/>
              <w:rPr>
                <w:rFonts w:eastAsia="Arial Unicode MS"/>
                <w:lang w:val="en-US"/>
              </w:rPr>
            </w:pPr>
            <w:r>
              <w:rPr>
                <w:lang w:val="en-US"/>
              </w:rPr>
              <w:t>FS antenna gain</w:t>
            </w:r>
          </w:p>
        </w:tc>
        <w:tc>
          <w:tcPr>
            <w:tcW w:w="1418"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45</w:t>
            </w:r>
          </w:p>
        </w:tc>
        <w:tc>
          <w:tcPr>
            <w:tcW w:w="1418"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45</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20" w:after="20"/>
              <w:ind w:left="284" w:right="284"/>
              <w:rPr>
                <w:rFonts w:eastAsia="Arial Unicode MS"/>
                <w:lang w:val="en-US"/>
              </w:rPr>
            </w:pPr>
            <w:r>
              <w:rPr>
                <w:lang w:val="en-US"/>
              </w:rPr>
              <w:t>FS gain in the EESS direction</w:t>
            </w:r>
          </w:p>
        </w:tc>
        <w:tc>
          <w:tcPr>
            <w:tcW w:w="1418"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sym w:font="Symbol" w:char="F02D"/>
            </w:r>
            <w:r>
              <w:rPr>
                <w:lang w:val="en-US"/>
              </w:rPr>
              <w:t>12.3</w:t>
            </w:r>
          </w:p>
        </w:tc>
        <w:tc>
          <w:tcPr>
            <w:tcW w:w="1418"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sym w:font="Symbol" w:char="F02D"/>
            </w:r>
            <w:r>
              <w:rPr>
                <w:lang w:val="en-US"/>
              </w:rPr>
              <w:t>12.3</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20" w:after="20"/>
              <w:ind w:left="284" w:right="284"/>
              <w:rPr>
                <w:rFonts w:eastAsia="Arial Unicode MS"/>
                <w:lang w:val="en-US"/>
              </w:rPr>
            </w:pPr>
            <w:r>
              <w:rPr>
                <w:lang w:val="en-US"/>
              </w:rPr>
              <w:t>Aggregate power (dB(W/MHz))</w:t>
            </w:r>
          </w:p>
        </w:tc>
        <w:tc>
          <w:tcPr>
            <w:tcW w:w="1418"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sym w:font="Symbol" w:char="F02D"/>
            </w:r>
            <w:r>
              <w:rPr>
                <w:lang w:val="en-US"/>
              </w:rPr>
              <w:t>34.8</w:t>
            </w:r>
          </w:p>
        </w:tc>
        <w:tc>
          <w:tcPr>
            <w:tcW w:w="1418"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sym w:font="Symbol" w:char="F02D"/>
            </w:r>
            <w:r>
              <w:rPr>
                <w:lang w:val="en-US"/>
              </w:rPr>
              <w:t>34.8</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20" w:after="20"/>
              <w:ind w:left="284" w:right="284"/>
              <w:rPr>
                <w:rFonts w:eastAsia="Arial Unicode MS"/>
                <w:lang w:val="en-US"/>
              </w:rPr>
            </w:pPr>
            <w:r>
              <w:rPr>
                <w:lang w:val="en-US"/>
              </w:rPr>
              <w:t>Density of systems per km</w:t>
            </w:r>
            <w:r>
              <w:rPr>
                <w:vertAlign w:val="superscript"/>
                <w:lang w:val="en-US"/>
              </w:rPr>
              <w:t>2</w:t>
            </w:r>
          </w:p>
        </w:tc>
        <w:tc>
          <w:tcPr>
            <w:tcW w:w="1418"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1.0</w:t>
            </w:r>
          </w:p>
        </w:tc>
        <w:tc>
          <w:tcPr>
            <w:tcW w:w="1418"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1.0</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20" w:after="20"/>
              <w:ind w:left="284" w:right="284"/>
              <w:rPr>
                <w:rFonts w:eastAsia="Arial Unicode MS"/>
                <w:lang w:val="en-US"/>
              </w:rPr>
            </w:pPr>
            <w:r>
              <w:rPr>
                <w:lang w:val="en-US"/>
              </w:rPr>
              <w:t>Pixel size (km</w:t>
            </w:r>
            <w:r>
              <w:rPr>
                <w:vertAlign w:val="superscript"/>
                <w:lang w:val="en-US"/>
              </w:rPr>
              <w:t>2</w:t>
            </w:r>
            <w:r>
              <w:rPr>
                <w:lang w:val="en-US"/>
              </w:rPr>
              <w:t>)</w:t>
            </w:r>
          </w:p>
        </w:tc>
        <w:tc>
          <w:tcPr>
            <w:tcW w:w="1418"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201</w:t>
            </w:r>
          </w:p>
        </w:tc>
        <w:tc>
          <w:tcPr>
            <w:tcW w:w="1418"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201</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20" w:after="20"/>
              <w:ind w:left="284" w:right="284"/>
              <w:rPr>
                <w:rFonts w:eastAsia="Arial Unicode MS"/>
                <w:lang w:val="en-US"/>
              </w:rPr>
            </w:pPr>
            <w:r>
              <w:rPr>
                <w:i/>
                <w:iCs/>
                <w:lang w:val="en-US"/>
              </w:rPr>
              <w:t>N</w:t>
            </w:r>
            <w:r>
              <w:rPr>
                <w:i/>
                <w:iCs/>
                <w:vertAlign w:val="subscript"/>
                <w:lang w:val="en-US"/>
              </w:rPr>
              <w:t>b</w:t>
            </w:r>
            <w:r>
              <w:t xml:space="preserve"> </w:t>
            </w:r>
            <w:r>
              <w:rPr>
                <w:lang w:val="en-US"/>
              </w:rPr>
              <w:t>Tx</w:t>
            </w:r>
          </w:p>
        </w:tc>
        <w:tc>
          <w:tcPr>
            <w:tcW w:w="1418"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201</w:t>
            </w:r>
          </w:p>
        </w:tc>
        <w:tc>
          <w:tcPr>
            <w:tcW w:w="1418"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201</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20" w:after="20"/>
              <w:ind w:left="284" w:right="284"/>
              <w:rPr>
                <w:rFonts w:eastAsia="Arial Unicode MS"/>
                <w:lang w:val="en-US"/>
              </w:rPr>
            </w:pPr>
            <w:r>
              <w:rPr>
                <w:lang w:val="en-US"/>
              </w:rPr>
              <w:t>Power per Tx (dB(W/MHz))</w:t>
            </w:r>
          </w:p>
        </w:tc>
        <w:tc>
          <w:tcPr>
            <w:tcW w:w="1418"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sym w:font="Symbol" w:char="F02D"/>
            </w:r>
            <w:r>
              <w:rPr>
                <w:lang w:val="en-US"/>
              </w:rPr>
              <w:t>57.8</w:t>
            </w:r>
          </w:p>
        </w:tc>
        <w:tc>
          <w:tcPr>
            <w:tcW w:w="1418"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sym w:font="Symbol" w:char="F02D"/>
            </w:r>
            <w:r>
              <w:rPr>
                <w:lang w:val="en-US"/>
              </w:rPr>
              <w:t>57.8</w:t>
            </w:r>
          </w:p>
        </w:tc>
      </w:tr>
      <w:tr w:rsidR="00B9359B">
        <w:trPr>
          <w:trHeight w:val="255"/>
        </w:trPr>
        <w:tc>
          <w:tcPr>
            <w:tcW w:w="4536" w:type="dxa"/>
            <w:tcBorders>
              <w:bottom w:val="single" w:sz="4" w:space="0" w:color="auto"/>
            </w:tcBorders>
            <w:vAlign w:val="bottom"/>
          </w:tcPr>
          <w:p w:rsidR="00B9359B" w:rsidRDefault="009A5268">
            <w:pPr>
              <w:pStyle w:val="Tabletext"/>
              <w:framePr w:hSpace="181" w:wrap="notBeside" w:vAnchor="text" w:hAnchor="text" w:xAlign="center" w:y="1"/>
              <w:spacing w:before="20" w:after="20"/>
              <w:ind w:left="284" w:right="284"/>
              <w:rPr>
                <w:rFonts w:eastAsia="Arial Unicode MS"/>
                <w:lang w:val="en-US"/>
              </w:rPr>
            </w:pPr>
            <w:r>
              <w:rPr>
                <w:lang w:val="en-US"/>
              </w:rPr>
              <w:t>Power per Tx (dB(W/100 MHz))</w:t>
            </w:r>
          </w:p>
        </w:tc>
        <w:tc>
          <w:tcPr>
            <w:tcW w:w="1418" w:type="dxa"/>
            <w:tcBorders>
              <w:bottom w:val="single" w:sz="4" w:space="0" w:color="auto"/>
            </w:tcBorders>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sym w:font="Symbol" w:char="F02D"/>
            </w:r>
            <w:r>
              <w:rPr>
                <w:lang w:val="en-US"/>
              </w:rPr>
              <w:t>37.8</w:t>
            </w:r>
          </w:p>
        </w:tc>
        <w:tc>
          <w:tcPr>
            <w:tcW w:w="1418" w:type="dxa"/>
            <w:tcBorders>
              <w:bottom w:val="single" w:sz="4" w:space="0" w:color="auto"/>
            </w:tcBorders>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sym w:font="Symbol" w:char="F02D"/>
            </w:r>
            <w:r>
              <w:rPr>
                <w:lang w:val="en-US"/>
              </w:rPr>
              <w:t>37.8</w:t>
            </w:r>
          </w:p>
        </w:tc>
      </w:tr>
      <w:tr w:rsidR="00B9359B">
        <w:trPr>
          <w:cantSplit/>
          <w:trHeight w:val="255"/>
        </w:trPr>
        <w:tc>
          <w:tcPr>
            <w:tcW w:w="7372" w:type="dxa"/>
            <w:gridSpan w:val="3"/>
            <w:tcBorders>
              <w:left w:val="nil"/>
              <w:bottom w:val="nil"/>
              <w:right w:val="nil"/>
            </w:tcBorders>
            <w:vAlign w:val="bottom"/>
          </w:tcPr>
          <w:p w:rsidR="00B9359B" w:rsidRDefault="009A5268">
            <w:pPr>
              <w:pStyle w:val="Tablelegend"/>
              <w:framePr w:hSpace="181" w:wrap="notBeside" w:vAnchor="text" w:hAnchor="text" w:xAlign="center" w:y="1"/>
              <w:spacing w:before="90" w:after="0"/>
              <w:rPr>
                <w:lang w:val="en-US"/>
              </w:rPr>
            </w:pPr>
            <w:r>
              <w:rPr>
                <w:lang w:val="en-US"/>
              </w:rPr>
              <w:t>CS:</w:t>
            </w:r>
            <w:r>
              <w:rPr>
                <w:lang w:val="en-US"/>
              </w:rPr>
              <w:tab/>
              <w:t>Central station.</w:t>
            </w:r>
          </w:p>
          <w:p w:rsidR="00B9359B" w:rsidRDefault="009A5268">
            <w:pPr>
              <w:pStyle w:val="Tablelegend"/>
              <w:spacing w:before="90" w:after="0"/>
            </w:pPr>
            <w:r>
              <w:rPr>
                <w:lang w:val="en-US"/>
              </w:rPr>
              <w:t>TS:</w:t>
            </w:r>
            <w:r>
              <w:rPr>
                <w:lang w:val="en-US"/>
              </w:rPr>
              <w:tab/>
              <w:t>Terminal station.</w:t>
            </w:r>
          </w:p>
        </w:tc>
      </w:tr>
    </w:tbl>
    <w:p w:rsidR="00B9359B" w:rsidRDefault="00B9359B">
      <w:pPr>
        <w:pStyle w:val="Tablefin"/>
        <w:spacing w:before="0"/>
        <w:rPr>
          <w:sz w:val="6"/>
        </w:rPr>
      </w:pPr>
    </w:p>
    <w:p w:rsidR="00B9359B" w:rsidRDefault="009A5268">
      <w:pPr>
        <w:pStyle w:val="TableNo"/>
        <w:spacing w:before="100"/>
        <w:rPr>
          <w:lang w:val="en-US" w:eastAsia="fr-FR"/>
        </w:rPr>
      </w:pPr>
      <w:r>
        <w:rPr>
          <w:lang w:val="en-US" w:eastAsia="fr-FR"/>
        </w:rPr>
        <w:t>TABLE  78</w:t>
      </w:r>
    </w:p>
    <w:p w:rsidR="00B9359B" w:rsidRDefault="009A5268">
      <w:pPr>
        <w:pStyle w:val="Tabletitle"/>
        <w:rPr>
          <w:lang w:val="en-US" w:eastAsia="fr-FR"/>
        </w:rPr>
      </w:pPr>
      <w:r>
        <w:rPr>
          <w:lang w:val="en-US" w:eastAsia="fr-FR"/>
        </w:rPr>
        <w:t xml:space="preserve">Acceptable unwanted emissions level </w:t>
      </w:r>
      <w:r>
        <w:rPr>
          <w:lang w:val="en-US"/>
        </w:rPr>
        <w:t>p</w:t>
      </w:r>
      <w:r>
        <w:rPr>
          <w:lang w:val="en-US" w:eastAsia="fr-FR"/>
        </w:rPr>
        <w:t>er P-MP</w:t>
      </w:r>
      <w:r>
        <w:rPr>
          <w:lang w:val="en-US" w:eastAsia="fr-FR"/>
        </w:rPr>
        <w:br/>
        <w:t>FS system falling into the EESS band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1418"/>
        <w:gridCol w:w="1418"/>
      </w:tblGrid>
      <w:tr w:rsidR="00B9359B">
        <w:trPr>
          <w:trHeight w:val="255"/>
        </w:trPr>
        <w:tc>
          <w:tcPr>
            <w:tcW w:w="4536" w:type="dxa"/>
            <w:vAlign w:val="bottom"/>
          </w:tcPr>
          <w:p w:rsidR="00B9359B" w:rsidRDefault="009A5268">
            <w:pPr>
              <w:pStyle w:val="Tabletext"/>
              <w:framePr w:hSpace="181" w:wrap="notBeside" w:vAnchor="text" w:hAnchor="text" w:xAlign="center" w:y="1"/>
              <w:spacing w:before="20" w:after="20"/>
              <w:ind w:left="113"/>
              <w:rPr>
                <w:rFonts w:eastAsia="Arial Unicode MS"/>
                <w:lang w:val="en-US"/>
              </w:rPr>
            </w:pPr>
            <w:r>
              <w:rPr>
                <w:lang w:val="en-US"/>
              </w:rPr>
              <w:t>Frequency (GHz)</w:t>
            </w:r>
          </w:p>
        </w:tc>
        <w:tc>
          <w:tcPr>
            <w:tcW w:w="2836" w:type="dxa"/>
            <w:gridSpan w:val="2"/>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31.3</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20" w:after="20"/>
              <w:ind w:left="113"/>
              <w:rPr>
                <w:rFonts w:eastAsia="Arial Unicode MS"/>
                <w:lang w:val="en-US"/>
              </w:rPr>
            </w:pPr>
            <w:r>
              <w:rPr>
                <w:lang w:val="en-US"/>
              </w:rPr>
              <w:t>Interference criteria (dB(W/100 MHz))</w:t>
            </w:r>
          </w:p>
        </w:tc>
        <w:tc>
          <w:tcPr>
            <w:tcW w:w="2836" w:type="dxa"/>
            <w:gridSpan w:val="2"/>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sym w:font="Symbol" w:char="F02D"/>
            </w:r>
            <w:r>
              <w:rPr>
                <w:lang w:val="en-US"/>
              </w:rPr>
              <w:t>163</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20" w:after="20"/>
              <w:ind w:left="113"/>
              <w:rPr>
                <w:rFonts w:eastAsia="Arial Unicode MS"/>
                <w:lang w:val="en-US"/>
              </w:rPr>
            </w:pPr>
            <w:r>
              <w:rPr>
                <w:lang w:val="en-US"/>
              </w:rPr>
              <w:t>Altitude (km)</w:t>
            </w:r>
          </w:p>
        </w:tc>
        <w:tc>
          <w:tcPr>
            <w:tcW w:w="2836" w:type="dxa"/>
            <w:gridSpan w:val="2"/>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850</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20" w:after="20"/>
              <w:ind w:left="113"/>
              <w:rPr>
                <w:rFonts w:eastAsia="Arial Unicode MS"/>
                <w:lang w:val="en-US"/>
              </w:rPr>
            </w:pPr>
            <w:r>
              <w:rPr>
                <w:lang w:val="en-US"/>
              </w:rPr>
              <w:t>Reference bandwidth (MHz)</w:t>
            </w:r>
          </w:p>
        </w:tc>
        <w:tc>
          <w:tcPr>
            <w:tcW w:w="2836" w:type="dxa"/>
            <w:gridSpan w:val="2"/>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100</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20" w:after="20"/>
              <w:ind w:left="113"/>
              <w:rPr>
                <w:rFonts w:eastAsia="Arial Unicode MS"/>
                <w:lang w:val="en-US"/>
              </w:rPr>
            </w:pPr>
            <w:r>
              <w:rPr>
                <w:lang w:val="en-US"/>
              </w:rPr>
              <w:t>Gain EESS</w:t>
            </w:r>
          </w:p>
        </w:tc>
        <w:tc>
          <w:tcPr>
            <w:tcW w:w="2836" w:type="dxa"/>
            <w:gridSpan w:val="2"/>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45</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20" w:after="20"/>
              <w:ind w:left="113"/>
              <w:rPr>
                <w:rFonts w:eastAsia="Arial Unicode MS"/>
                <w:lang w:val="en-US"/>
              </w:rPr>
            </w:pPr>
            <w:r>
              <w:rPr>
                <w:lang w:val="en-US"/>
              </w:rPr>
              <w:t>Free space loss</w:t>
            </w:r>
          </w:p>
        </w:tc>
        <w:tc>
          <w:tcPr>
            <w:tcW w:w="2836" w:type="dxa"/>
            <w:gridSpan w:val="2"/>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181</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20" w:after="20"/>
              <w:ind w:left="113"/>
              <w:rPr>
                <w:rFonts w:eastAsia="Arial Unicode MS"/>
                <w:lang w:val="en-US"/>
              </w:rPr>
            </w:pPr>
            <w:r>
              <w:rPr>
                <w:lang w:val="en-US"/>
              </w:rPr>
              <w:t>Aggregate at the Earth (dB(W/100 MHz))</w:t>
            </w:r>
          </w:p>
        </w:tc>
        <w:tc>
          <w:tcPr>
            <w:tcW w:w="2836" w:type="dxa"/>
            <w:gridSpan w:val="2"/>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sym w:font="Symbol" w:char="F02D"/>
            </w:r>
            <w:r>
              <w:rPr>
                <w:lang w:val="en-US"/>
              </w:rPr>
              <w:t>27</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20" w:after="20"/>
              <w:ind w:left="113"/>
              <w:rPr>
                <w:rFonts w:eastAsia="Arial Unicode MS"/>
                <w:lang w:val="en-US"/>
              </w:rPr>
            </w:pPr>
            <w:r>
              <w:rPr>
                <w:lang w:val="en-US"/>
              </w:rPr>
              <w:t>Aggregate at the Earth (dB(W/MHz))</w:t>
            </w:r>
          </w:p>
        </w:tc>
        <w:tc>
          <w:tcPr>
            <w:tcW w:w="2836" w:type="dxa"/>
            <w:gridSpan w:val="2"/>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sym w:font="Symbol" w:char="F02D"/>
            </w:r>
            <w:r>
              <w:rPr>
                <w:lang w:val="en-US"/>
              </w:rPr>
              <w:t>47.1</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20" w:after="20"/>
              <w:ind w:left="113"/>
              <w:rPr>
                <w:i/>
                <w:iCs/>
                <w:lang w:val="en-US"/>
              </w:rPr>
            </w:pPr>
            <w:r>
              <w:rPr>
                <w:i/>
                <w:iCs/>
                <w:lang w:val="en-US"/>
              </w:rPr>
              <w:t>Station type</w:t>
            </w:r>
          </w:p>
        </w:tc>
        <w:tc>
          <w:tcPr>
            <w:tcW w:w="1418" w:type="dxa"/>
            <w:vAlign w:val="bottom"/>
          </w:tcPr>
          <w:p w:rsidR="00B9359B" w:rsidRDefault="009A5268">
            <w:pPr>
              <w:pStyle w:val="Tabletext"/>
              <w:framePr w:hSpace="181" w:wrap="notBeside" w:vAnchor="text" w:hAnchor="text" w:xAlign="center" w:y="1"/>
              <w:spacing w:before="20" w:after="20"/>
              <w:jc w:val="center"/>
              <w:rPr>
                <w:lang w:val="en-US"/>
              </w:rPr>
            </w:pPr>
            <w:r>
              <w:rPr>
                <w:lang w:val="en-US"/>
              </w:rPr>
              <w:t>CS</w:t>
            </w:r>
          </w:p>
        </w:tc>
        <w:tc>
          <w:tcPr>
            <w:tcW w:w="1418" w:type="dxa"/>
            <w:vAlign w:val="bottom"/>
          </w:tcPr>
          <w:p w:rsidR="00B9359B" w:rsidRDefault="009A5268">
            <w:pPr>
              <w:pStyle w:val="Tabletext"/>
              <w:framePr w:hSpace="181" w:wrap="notBeside" w:vAnchor="text" w:hAnchor="text" w:xAlign="center" w:y="1"/>
              <w:spacing w:before="20" w:after="20"/>
              <w:jc w:val="center"/>
              <w:rPr>
                <w:lang w:val="en-US"/>
              </w:rPr>
            </w:pPr>
            <w:r>
              <w:rPr>
                <w:lang w:val="en-US"/>
              </w:rPr>
              <w:t>TS</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20" w:after="20"/>
              <w:ind w:left="284" w:right="284"/>
              <w:rPr>
                <w:rFonts w:eastAsia="Arial Unicode MS"/>
                <w:lang w:val="en-US"/>
              </w:rPr>
            </w:pPr>
            <w:r>
              <w:rPr>
                <w:lang w:val="en-US"/>
              </w:rPr>
              <w:t>Channel spacing (MHz)</w:t>
            </w:r>
          </w:p>
        </w:tc>
        <w:tc>
          <w:tcPr>
            <w:tcW w:w="1418"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50</w:t>
            </w:r>
          </w:p>
        </w:tc>
        <w:tc>
          <w:tcPr>
            <w:tcW w:w="1418"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2.5</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20" w:after="20"/>
              <w:ind w:left="284" w:right="284"/>
              <w:rPr>
                <w:rFonts w:eastAsia="Arial Unicode MS"/>
                <w:lang w:val="en-US"/>
              </w:rPr>
            </w:pPr>
            <w:r>
              <w:rPr>
                <w:lang w:val="en-US"/>
              </w:rPr>
              <w:t>FS antenna gain</w:t>
            </w:r>
          </w:p>
        </w:tc>
        <w:tc>
          <w:tcPr>
            <w:tcW w:w="1418"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15</w:t>
            </w:r>
          </w:p>
        </w:tc>
        <w:tc>
          <w:tcPr>
            <w:tcW w:w="1418"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36</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20" w:after="20"/>
              <w:ind w:left="284" w:right="284"/>
              <w:rPr>
                <w:rFonts w:eastAsia="Arial Unicode MS"/>
                <w:lang w:val="en-US"/>
              </w:rPr>
            </w:pPr>
            <w:r>
              <w:rPr>
                <w:lang w:val="en-US"/>
              </w:rPr>
              <w:t>FS gain in the EESS direction</w:t>
            </w:r>
          </w:p>
        </w:tc>
        <w:tc>
          <w:tcPr>
            <w:tcW w:w="1418"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sym w:font="Symbol" w:char="F02D"/>
            </w:r>
            <w:r>
              <w:rPr>
                <w:lang w:val="en-US"/>
              </w:rPr>
              <w:t>11.6</w:t>
            </w:r>
          </w:p>
        </w:tc>
        <w:tc>
          <w:tcPr>
            <w:tcW w:w="1418"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sym w:font="Symbol" w:char="F02D"/>
            </w:r>
            <w:r>
              <w:rPr>
                <w:lang w:val="en-US"/>
              </w:rPr>
              <w:t>10.1</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20" w:after="20"/>
              <w:ind w:left="284" w:right="284"/>
              <w:rPr>
                <w:rFonts w:eastAsia="Arial Unicode MS"/>
                <w:lang w:val="en-US"/>
              </w:rPr>
            </w:pPr>
            <w:r>
              <w:rPr>
                <w:lang w:val="en-US"/>
              </w:rPr>
              <w:t>Aggregate power (dB(W/MHz))</w:t>
            </w:r>
          </w:p>
        </w:tc>
        <w:tc>
          <w:tcPr>
            <w:tcW w:w="1418"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sym w:font="Symbol" w:char="F02D"/>
            </w:r>
            <w:r>
              <w:rPr>
                <w:lang w:val="en-US"/>
              </w:rPr>
              <w:t>35.5</w:t>
            </w:r>
          </w:p>
        </w:tc>
        <w:tc>
          <w:tcPr>
            <w:tcW w:w="1418"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sym w:font="Symbol" w:char="F02D"/>
            </w:r>
            <w:r>
              <w:rPr>
                <w:lang w:val="en-US"/>
              </w:rPr>
              <w:t>37.0</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20" w:after="20"/>
              <w:ind w:left="284" w:right="284"/>
              <w:rPr>
                <w:rFonts w:eastAsia="Arial Unicode MS"/>
                <w:lang w:val="en-US"/>
              </w:rPr>
            </w:pPr>
            <w:r>
              <w:rPr>
                <w:lang w:val="en-US"/>
              </w:rPr>
              <w:t>Density of systems per km</w:t>
            </w:r>
            <w:r>
              <w:rPr>
                <w:sz w:val="26"/>
                <w:vertAlign w:val="superscript"/>
                <w:lang w:val="en-US"/>
              </w:rPr>
              <w:t>2</w:t>
            </w:r>
          </w:p>
        </w:tc>
        <w:tc>
          <w:tcPr>
            <w:tcW w:w="1418"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0.6</w:t>
            </w:r>
          </w:p>
        </w:tc>
        <w:tc>
          <w:tcPr>
            <w:tcW w:w="1418"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0.6</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20" w:after="20"/>
              <w:ind w:left="284" w:right="284"/>
              <w:rPr>
                <w:rFonts w:eastAsia="Arial Unicode MS"/>
                <w:lang w:val="en-US"/>
              </w:rPr>
            </w:pPr>
            <w:r>
              <w:rPr>
                <w:lang w:val="en-US"/>
              </w:rPr>
              <w:t>Pixel size (km</w:t>
            </w:r>
            <w:r>
              <w:rPr>
                <w:sz w:val="26"/>
                <w:vertAlign w:val="superscript"/>
                <w:lang w:val="en-US"/>
              </w:rPr>
              <w:t>2</w:t>
            </w:r>
            <w:r>
              <w:rPr>
                <w:lang w:val="en-US"/>
              </w:rPr>
              <w:t>)</w:t>
            </w:r>
          </w:p>
        </w:tc>
        <w:tc>
          <w:tcPr>
            <w:tcW w:w="1418"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201</w:t>
            </w:r>
          </w:p>
        </w:tc>
        <w:tc>
          <w:tcPr>
            <w:tcW w:w="1418"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201</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20" w:after="20"/>
              <w:ind w:left="284" w:right="284"/>
              <w:rPr>
                <w:rFonts w:eastAsia="Arial Unicode MS"/>
                <w:lang w:val="en-US"/>
              </w:rPr>
            </w:pPr>
            <w:r>
              <w:rPr>
                <w:i/>
                <w:iCs/>
                <w:lang w:val="en-US"/>
              </w:rPr>
              <w:t>N</w:t>
            </w:r>
            <w:r>
              <w:rPr>
                <w:i/>
                <w:iCs/>
                <w:vertAlign w:val="subscript"/>
                <w:lang w:val="en-US"/>
              </w:rPr>
              <w:t>b</w:t>
            </w:r>
            <w:r>
              <w:rPr>
                <w:lang w:val="en-US"/>
              </w:rPr>
              <w:t xml:space="preserve"> Tx</w:t>
            </w:r>
          </w:p>
        </w:tc>
        <w:tc>
          <w:tcPr>
            <w:tcW w:w="1418"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121</w:t>
            </w:r>
          </w:p>
        </w:tc>
        <w:tc>
          <w:tcPr>
            <w:tcW w:w="1418"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121</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20" w:after="20"/>
              <w:ind w:left="284" w:right="284"/>
              <w:rPr>
                <w:rFonts w:eastAsia="Arial Unicode MS"/>
                <w:lang w:val="en-US"/>
              </w:rPr>
            </w:pPr>
            <w:r>
              <w:rPr>
                <w:lang w:val="en-US"/>
              </w:rPr>
              <w:t>Power per Tx (dB(W/MHz))</w:t>
            </w:r>
          </w:p>
        </w:tc>
        <w:tc>
          <w:tcPr>
            <w:tcW w:w="1418"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sym w:font="Symbol" w:char="F02D"/>
            </w:r>
            <w:r>
              <w:rPr>
                <w:lang w:val="en-US"/>
              </w:rPr>
              <w:t>56.3</w:t>
            </w:r>
          </w:p>
        </w:tc>
        <w:tc>
          <w:tcPr>
            <w:tcW w:w="1418"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sym w:font="Symbol" w:char="F02D"/>
            </w:r>
            <w:r>
              <w:rPr>
                <w:lang w:val="en-US"/>
              </w:rPr>
              <w:t>57.8</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20" w:after="20"/>
              <w:ind w:left="284" w:right="284"/>
              <w:rPr>
                <w:rFonts w:eastAsia="Arial Unicode MS"/>
                <w:lang w:val="en-US"/>
              </w:rPr>
            </w:pPr>
            <w:r>
              <w:rPr>
                <w:lang w:val="en-US"/>
              </w:rPr>
              <w:t>Power per Tx (dB(W/100 MHz))</w:t>
            </w:r>
          </w:p>
        </w:tc>
        <w:tc>
          <w:tcPr>
            <w:tcW w:w="1418"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sym w:font="Symbol" w:char="F02D"/>
            </w:r>
            <w:r>
              <w:rPr>
                <w:lang w:val="en-US"/>
              </w:rPr>
              <w:t>36.3</w:t>
            </w:r>
          </w:p>
        </w:tc>
        <w:tc>
          <w:tcPr>
            <w:tcW w:w="1418"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sym w:font="Symbol" w:char="F02D"/>
            </w:r>
            <w:r>
              <w:rPr>
                <w:lang w:val="en-US"/>
              </w:rPr>
              <w:t>37.8</w:t>
            </w:r>
          </w:p>
        </w:tc>
      </w:tr>
    </w:tbl>
    <w:p w:rsidR="00B9359B" w:rsidRDefault="00B9359B">
      <w:pPr>
        <w:pStyle w:val="Tablefin"/>
        <w:spacing w:before="0"/>
        <w:rPr>
          <w:sz w:val="2"/>
        </w:rPr>
      </w:pPr>
    </w:p>
    <w:p w:rsidR="00B9359B" w:rsidRDefault="009A5268">
      <w:pPr>
        <w:pStyle w:val="Heading2"/>
        <w:rPr>
          <w:lang w:val="en-US"/>
        </w:rPr>
      </w:pPr>
      <w:bookmarkStart w:id="456" w:name="_Toc51045856"/>
      <w:r>
        <w:rPr>
          <w:lang w:val="en-US"/>
        </w:rPr>
        <w:br w:type="page"/>
        <w:t>4.3</w:t>
      </w:r>
      <w:r>
        <w:rPr>
          <w:lang w:val="en-US"/>
        </w:rPr>
        <w:tab/>
        <w:t>Value achieved</w:t>
      </w:r>
      <w:bookmarkEnd w:id="456"/>
    </w:p>
    <w:p w:rsidR="00B9359B" w:rsidRDefault="009A5268">
      <w:pPr>
        <w:pStyle w:val="Heading3"/>
        <w:rPr>
          <w:lang w:val="en-US"/>
        </w:rPr>
      </w:pPr>
      <w:bookmarkStart w:id="457" w:name="_Toc51045857"/>
      <w:r>
        <w:rPr>
          <w:lang w:val="en-US"/>
        </w:rPr>
        <w:t>4.3.1</w:t>
      </w:r>
      <w:r>
        <w:rPr>
          <w:lang w:val="en-US"/>
        </w:rPr>
        <w:tab/>
        <w:t>Level of unwanted emissions based on ITU-R Recommendations</w:t>
      </w:r>
      <w:bookmarkEnd w:id="457"/>
    </w:p>
    <w:p w:rsidR="00B9359B" w:rsidRDefault="009A5268">
      <w:pPr>
        <w:rPr>
          <w:lang w:val="en-US"/>
        </w:rPr>
      </w:pPr>
      <w:r>
        <w:rPr>
          <w:lang w:val="en-US"/>
        </w:rPr>
        <w:t>As a first step approach, only unwanted emissions falling into the spurious domain are considered (if the guardband is larger than the OoB domain). Then, levels of attenuation provided in RR Appendix 3 and Recommendation ITU-R SM.329 are used to derive the levels of unwanted emissions from FS falling within the spurious emission domain (offset higher than 250% of the necessary bandwidth or channel separation compared to the centre frequency of the FS signal). In the case of FS systems, the attenuation specified in RR Appendix 3 should be in dBc, the minimum of 70 dBc or (43 </w:t>
      </w:r>
      <w:r>
        <w:rPr>
          <w:rFonts w:ascii="Symbol" w:hAnsi="Symbol"/>
          <w:lang w:val="en-US"/>
        </w:rPr>
        <w:t></w:t>
      </w:r>
      <w:r>
        <w:rPr>
          <w:lang w:val="en-US"/>
        </w:rPr>
        <w:t> 10 log (</w:t>
      </w:r>
      <w:r>
        <w:rPr>
          <w:i/>
          <w:iCs/>
          <w:lang w:val="en-US"/>
        </w:rPr>
        <w:t>P</w:t>
      </w:r>
      <w:r>
        <w:rPr>
          <w:lang w:val="en-US"/>
        </w:rPr>
        <w:t>)).</w:t>
      </w:r>
    </w:p>
    <w:p w:rsidR="00B9359B" w:rsidRDefault="009A5268">
      <w:pPr>
        <w:rPr>
          <w:lang w:val="en-US"/>
        </w:rPr>
      </w:pPr>
      <w:r>
        <w:rPr>
          <w:lang w:val="en-US"/>
        </w:rPr>
        <w:t>Based on the first step approach, for a system operating with an output power of 0 dBW and a channel spacing of 56 MHz (see Table 74).</w:t>
      </w:r>
    </w:p>
    <w:p w:rsidR="00B9359B" w:rsidRDefault="009A5268">
      <w:pPr>
        <w:rPr>
          <w:lang w:val="en-US"/>
        </w:rPr>
      </w:pPr>
      <w:r>
        <w:rPr>
          <w:lang w:val="en-US"/>
        </w:rPr>
        <w:t>The spurious emission limits for this system is:</w:t>
      </w:r>
    </w:p>
    <w:p w:rsidR="00B9359B" w:rsidRDefault="009A5268">
      <w:pPr>
        <w:pStyle w:val="Equation"/>
        <w:jc w:val="center"/>
        <w:rPr>
          <w:lang w:val="en-US"/>
        </w:rPr>
      </w:pPr>
      <w:r>
        <w:rPr>
          <w:i/>
          <w:iCs/>
          <w:lang w:val="en-US"/>
        </w:rPr>
        <w:t>P</w:t>
      </w:r>
      <w:r>
        <w:rPr>
          <w:lang w:val="en-US"/>
        </w:rPr>
        <w:t xml:space="preserve"> (dBW) – (43 </w:t>
      </w:r>
      <w:r>
        <w:rPr>
          <w:rFonts w:ascii="Symbol" w:hAnsi="Symbol"/>
          <w:lang w:val="en-US"/>
        </w:rPr>
        <w:t></w:t>
      </w:r>
      <w:r>
        <w:rPr>
          <w:lang w:val="en-US"/>
        </w:rPr>
        <w:t xml:space="preserve"> </w:t>
      </w:r>
      <w:r>
        <w:rPr>
          <w:i/>
          <w:iCs/>
          <w:lang w:val="en-US"/>
        </w:rPr>
        <w:t>P</w:t>
      </w:r>
      <w:r>
        <w:rPr>
          <w:lang w:val="en-US"/>
        </w:rPr>
        <w:t>)                dB in a 1 MHz reference bandwidth</w:t>
      </w:r>
    </w:p>
    <w:p w:rsidR="00B9359B" w:rsidRDefault="009A5268">
      <w:pPr>
        <w:rPr>
          <w:lang w:val="en-US"/>
        </w:rPr>
      </w:pPr>
      <w:r>
        <w:rPr>
          <w:lang w:val="en-US"/>
        </w:rPr>
        <w:t>Table 79 provides the level of unwanted emissions that may fall in a 100 MHz reference bandwidth.</w:t>
      </w:r>
    </w:p>
    <w:p w:rsidR="00B9359B" w:rsidRDefault="009A5268">
      <w:pPr>
        <w:pStyle w:val="TableNo"/>
        <w:rPr>
          <w:lang w:val="en-US" w:eastAsia="fr-FR"/>
        </w:rPr>
      </w:pPr>
      <w:r>
        <w:rPr>
          <w:lang w:val="en-US" w:eastAsia="fr-FR"/>
        </w:rPr>
        <w:t>TABLE  79</w:t>
      </w:r>
    </w:p>
    <w:p w:rsidR="00B9359B" w:rsidRDefault="009A5268">
      <w:pPr>
        <w:pStyle w:val="Tabletitle"/>
        <w:rPr>
          <w:lang w:val="en-US" w:eastAsia="fr-FR"/>
        </w:rPr>
      </w:pPr>
      <w:r>
        <w:rPr>
          <w:lang w:val="en-US" w:eastAsia="fr-FR"/>
        </w:rPr>
        <w:t>Calculation of the level of unwanted emissions that may fall within a 100 MHz bandwidth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835"/>
        <w:gridCol w:w="2835"/>
      </w:tblGrid>
      <w:tr w:rsidR="00B9359B" w:rsidRPr="00D35B94">
        <w:tc>
          <w:tcPr>
            <w:tcW w:w="3969" w:type="dxa"/>
            <w:vAlign w:val="center"/>
          </w:tcPr>
          <w:p w:rsidR="00B9359B" w:rsidRDefault="009A5268">
            <w:pPr>
              <w:pStyle w:val="Tablehead"/>
              <w:framePr w:hSpace="181" w:wrap="notBeside" w:vAnchor="text" w:hAnchor="text" w:xAlign="center" w:y="1"/>
              <w:rPr>
                <w:lang w:val="en-US"/>
              </w:rPr>
            </w:pPr>
            <w:r>
              <w:rPr>
                <w:lang w:val="en-US"/>
              </w:rPr>
              <w:t>FS System</w:t>
            </w:r>
          </w:p>
        </w:tc>
        <w:tc>
          <w:tcPr>
            <w:tcW w:w="2835" w:type="dxa"/>
            <w:vAlign w:val="center"/>
          </w:tcPr>
          <w:p w:rsidR="00B9359B" w:rsidRDefault="009A5268">
            <w:pPr>
              <w:pStyle w:val="Tablehead"/>
              <w:framePr w:hSpace="181" w:wrap="notBeside" w:vAnchor="text" w:hAnchor="text" w:xAlign="center" w:y="1"/>
              <w:rPr>
                <w:lang w:val="en-US"/>
              </w:rPr>
            </w:pPr>
            <w:r>
              <w:rPr>
                <w:lang w:val="en-US"/>
              </w:rPr>
              <w:t>Level of spurious emissions</w:t>
            </w:r>
            <w:r>
              <w:rPr>
                <w:lang w:val="en-US"/>
              </w:rPr>
              <w:br/>
              <w:t>per 1 MHz</w:t>
            </w:r>
            <w:r>
              <w:rPr>
                <w:lang w:val="en-US"/>
              </w:rPr>
              <w:br/>
              <w:t>(dBW)</w:t>
            </w:r>
          </w:p>
        </w:tc>
        <w:tc>
          <w:tcPr>
            <w:tcW w:w="2835" w:type="dxa"/>
            <w:vAlign w:val="center"/>
          </w:tcPr>
          <w:p w:rsidR="00B9359B" w:rsidRDefault="009A5268">
            <w:pPr>
              <w:pStyle w:val="Tablehead"/>
              <w:framePr w:hSpace="181" w:wrap="notBeside" w:vAnchor="text" w:hAnchor="text" w:xAlign="center" w:y="1"/>
              <w:rPr>
                <w:lang w:val="en-US"/>
              </w:rPr>
            </w:pPr>
            <w:r>
              <w:rPr>
                <w:lang w:val="en-US"/>
              </w:rPr>
              <w:t>Level of spurious emissions per 100 MHz</w:t>
            </w:r>
            <w:r>
              <w:rPr>
                <w:lang w:val="en-US"/>
              </w:rPr>
              <w:br/>
              <w:t>(dBW)</w:t>
            </w:r>
          </w:p>
        </w:tc>
      </w:tr>
      <w:tr w:rsidR="00B9359B">
        <w:tc>
          <w:tcPr>
            <w:tcW w:w="3969" w:type="dxa"/>
          </w:tcPr>
          <w:p w:rsidR="00B9359B" w:rsidRDefault="009A5268">
            <w:pPr>
              <w:pStyle w:val="Tabletext"/>
              <w:framePr w:hSpace="181" w:wrap="notBeside" w:vAnchor="text" w:hAnchor="text" w:xAlign="center" w:y="1"/>
              <w:spacing w:before="60" w:after="60"/>
              <w:rPr>
                <w:lang w:val="en-US"/>
              </w:rPr>
            </w:pPr>
            <w:r>
              <w:rPr>
                <w:lang w:val="en-US"/>
              </w:rPr>
              <w:t>P-P 56 MHz (Table 75)</w:t>
            </w:r>
          </w:p>
        </w:tc>
        <w:tc>
          <w:tcPr>
            <w:tcW w:w="2835" w:type="dxa"/>
          </w:tcPr>
          <w:p w:rsidR="00B9359B" w:rsidRDefault="009A5268">
            <w:pPr>
              <w:pStyle w:val="Tabletext"/>
              <w:framePr w:hSpace="181" w:wrap="notBeside" w:vAnchor="text" w:hAnchor="text" w:xAlign="center" w:y="1"/>
              <w:spacing w:before="60" w:after="60"/>
              <w:jc w:val="center"/>
              <w:rPr>
                <w:lang w:val="en-US"/>
              </w:rPr>
            </w:pPr>
            <w:r>
              <w:sym w:font="Symbol" w:char="F02D"/>
            </w:r>
            <w:r>
              <w:rPr>
                <w:lang w:val="en-US"/>
              </w:rPr>
              <w:t xml:space="preserve">43 </w:t>
            </w:r>
          </w:p>
        </w:tc>
        <w:tc>
          <w:tcPr>
            <w:tcW w:w="2835" w:type="dxa"/>
          </w:tcPr>
          <w:p w:rsidR="00B9359B" w:rsidRDefault="009A5268">
            <w:pPr>
              <w:pStyle w:val="Tabletext"/>
              <w:framePr w:hSpace="181" w:wrap="notBeside" w:vAnchor="text" w:hAnchor="text" w:xAlign="center" w:y="1"/>
              <w:spacing w:before="60" w:after="60"/>
              <w:jc w:val="center"/>
              <w:rPr>
                <w:lang w:val="en-US"/>
              </w:rPr>
            </w:pPr>
            <w:r>
              <w:sym w:font="Symbol" w:char="F02D"/>
            </w:r>
            <w:r>
              <w:rPr>
                <w:lang w:val="en-US"/>
              </w:rPr>
              <w:t xml:space="preserve">23 </w:t>
            </w:r>
          </w:p>
        </w:tc>
      </w:tr>
      <w:tr w:rsidR="00B9359B">
        <w:tc>
          <w:tcPr>
            <w:tcW w:w="3969" w:type="dxa"/>
          </w:tcPr>
          <w:p w:rsidR="00B9359B" w:rsidRDefault="009A5268">
            <w:pPr>
              <w:pStyle w:val="Tabletext"/>
              <w:framePr w:hSpace="181" w:wrap="notBeside" w:vAnchor="text" w:hAnchor="text" w:xAlign="center" w:y="1"/>
              <w:spacing w:before="60" w:after="60"/>
              <w:rPr>
                <w:lang w:val="en-US"/>
              </w:rPr>
            </w:pPr>
            <w:r>
              <w:rPr>
                <w:lang w:val="en-US"/>
              </w:rPr>
              <w:t>P-P 3.5 MHz (Table 75)</w:t>
            </w:r>
          </w:p>
        </w:tc>
        <w:tc>
          <w:tcPr>
            <w:tcW w:w="2835" w:type="dxa"/>
          </w:tcPr>
          <w:p w:rsidR="00B9359B" w:rsidRDefault="009A5268">
            <w:pPr>
              <w:pStyle w:val="Tabletext"/>
              <w:framePr w:hSpace="181" w:wrap="notBeside" w:vAnchor="text" w:hAnchor="text" w:xAlign="center" w:y="1"/>
              <w:spacing w:before="60" w:after="60"/>
              <w:jc w:val="center"/>
              <w:rPr>
                <w:lang w:val="en-US"/>
              </w:rPr>
            </w:pPr>
            <w:r>
              <w:sym w:font="Symbol" w:char="F02D"/>
            </w:r>
            <w:r>
              <w:rPr>
                <w:lang w:val="en-US"/>
              </w:rPr>
              <w:t xml:space="preserve">43 </w:t>
            </w:r>
          </w:p>
        </w:tc>
        <w:tc>
          <w:tcPr>
            <w:tcW w:w="2835" w:type="dxa"/>
          </w:tcPr>
          <w:p w:rsidR="00B9359B" w:rsidRDefault="009A5268">
            <w:pPr>
              <w:pStyle w:val="Tabletext"/>
              <w:framePr w:hSpace="181" w:wrap="notBeside" w:vAnchor="text" w:hAnchor="text" w:xAlign="center" w:y="1"/>
              <w:spacing w:before="60" w:after="60"/>
              <w:jc w:val="center"/>
              <w:rPr>
                <w:lang w:val="en-US"/>
              </w:rPr>
            </w:pPr>
            <w:r>
              <w:sym w:font="Symbol" w:char="F02D"/>
            </w:r>
            <w:r>
              <w:rPr>
                <w:lang w:val="en-US"/>
              </w:rPr>
              <w:t xml:space="preserve">23 </w:t>
            </w:r>
          </w:p>
        </w:tc>
      </w:tr>
      <w:tr w:rsidR="00B9359B">
        <w:tc>
          <w:tcPr>
            <w:tcW w:w="3969" w:type="dxa"/>
          </w:tcPr>
          <w:p w:rsidR="00B9359B" w:rsidRDefault="009A5268">
            <w:pPr>
              <w:pStyle w:val="Tabletext"/>
              <w:framePr w:hSpace="181" w:wrap="notBeside" w:vAnchor="text" w:hAnchor="text" w:xAlign="center" w:y="1"/>
              <w:spacing w:before="60" w:after="60"/>
              <w:rPr>
                <w:lang w:val="en-US"/>
              </w:rPr>
            </w:pPr>
            <w:r>
              <w:rPr>
                <w:lang w:val="en-US"/>
              </w:rPr>
              <w:t>P-MP 50 MHz (Table 76)</w:t>
            </w:r>
          </w:p>
        </w:tc>
        <w:tc>
          <w:tcPr>
            <w:tcW w:w="2835" w:type="dxa"/>
          </w:tcPr>
          <w:p w:rsidR="00B9359B" w:rsidRDefault="009A5268">
            <w:pPr>
              <w:pStyle w:val="Tabletext"/>
              <w:framePr w:hSpace="181" w:wrap="notBeside" w:vAnchor="text" w:hAnchor="text" w:xAlign="center" w:y="1"/>
              <w:spacing w:before="60" w:after="60"/>
              <w:jc w:val="center"/>
              <w:rPr>
                <w:lang w:val="en-US"/>
              </w:rPr>
            </w:pPr>
            <w:r>
              <w:sym w:font="Symbol" w:char="F02D"/>
            </w:r>
            <w:r>
              <w:rPr>
                <w:lang w:val="en-US"/>
              </w:rPr>
              <w:t xml:space="preserve">43 </w:t>
            </w:r>
          </w:p>
        </w:tc>
        <w:tc>
          <w:tcPr>
            <w:tcW w:w="2835" w:type="dxa"/>
          </w:tcPr>
          <w:p w:rsidR="00B9359B" w:rsidRDefault="009A5268">
            <w:pPr>
              <w:pStyle w:val="Tabletext"/>
              <w:framePr w:hSpace="181" w:wrap="notBeside" w:vAnchor="text" w:hAnchor="text" w:xAlign="center" w:y="1"/>
              <w:spacing w:before="60" w:after="60"/>
              <w:jc w:val="center"/>
              <w:rPr>
                <w:lang w:val="en-US"/>
              </w:rPr>
            </w:pPr>
            <w:r>
              <w:sym w:font="Symbol" w:char="F02D"/>
            </w:r>
            <w:r>
              <w:rPr>
                <w:lang w:val="en-US"/>
              </w:rPr>
              <w:t xml:space="preserve">23 </w:t>
            </w:r>
          </w:p>
        </w:tc>
      </w:tr>
      <w:tr w:rsidR="00B9359B">
        <w:tc>
          <w:tcPr>
            <w:tcW w:w="3969" w:type="dxa"/>
          </w:tcPr>
          <w:p w:rsidR="00B9359B" w:rsidRDefault="009A5268">
            <w:pPr>
              <w:pStyle w:val="Tabletext"/>
              <w:framePr w:hSpace="181" w:wrap="notBeside" w:vAnchor="text" w:hAnchor="text" w:xAlign="center" w:y="1"/>
              <w:spacing w:before="60" w:after="60"/>
              <w:rPr>
                <w:lang w:val="en-US"/>
              </w:rPr>
            </w:pPr>
            <w:r>
              <w:rPr>
                <w:lang w:val="en-US"/>
              </w:rPr>
              <w:t>P-MP 2.5 MHz (Table 76)</w:t>
            </w:r>
          </w:p>
        </w:tc>
        <w:tc>
          <w:tcPr>
            <w:tcW w:w="2835" w:type="dxa"/>
          </w:tcPr>
          <w:p w:rsidR="00B9359B" w:rsidRDefault="009A5268">
            <w:pPr>
              <w:pStyle w:val="Tabletext"/>
              <w:framePr w:hSpace="181" w:wrap="notBeside" w:vAnchor="text" w:hAnchor="text" w:xAlign="center" w:y="1"/>
              <w:spacing w:before="60" w:after="60"/>
              <w:jc w:val="center"/>
              <w:rPr>
                <w:lang w:val="en-US"/>
              </w:rPr>
            </w:pPr>
            <w:r>
              <w:sym w:font="Symbol" w:char="F02D"/>
            </w:r>
            <w:r>
              <w:rPr>
                <w:lang w:val="en-US"/>
              </w:rPr>
              <w:t xml:space="preserve">43 </w:t>
            </w:r>
          </w:p>
        </w:tc>
        <w:tc>
          <w:tcPr>
            <w:tcW w:w="2835" w:type="dxa"/>
          </w:tcPr>
          <w:p w:rsidR="00B9359B" w:rsidRDefault="009A5268">
            <w:pPr>
              <w:pStyle w:val="Tabletext"/>
              <w:framePr w:hSpace="181" w:wrap="notBeside" w:vAnchor="text" w:hAnchor="text" w:xAlign="center" w:y="1"/>
              <w:spacing w:before="60" w:after="60"/>
              <w:jc w:val="center"/>
              <w:rPr>
                <w:lang w:val="en-US"/>
              </w:rPr>
            </w:pPr>
            <w:r>
              <w:sym w:font="Symbol" w:char="F02D"/>
            </w:r>
            <w:r>
              <w:rPr>
                <w:lang w:val="en-US"/>
              </w:rPr>
              <w:t xml:space="preserve">23 </w:t>
            </w:r>
          </w:p>
        </w:tc>
      </w:tr>
    </w:tbl>
    <w:p w:rsidR="00B9359B" w:rsidRDefault="00B9359B">
      <w:pPr>
        <w:pStyle w:val="Tablefin"/>
      </w:pPr>
    </w:p>
    <w:p w:rsidR="00B9359B" w:rsidRDefault="009A5268">
      <w:pPr>
        <w:rPr>
          <w:lang w:val="en-US"/>
        </w:rPr>
      </w:pPr>
      <w:r>
        <w:rPr>
          <w:lang w:val="en-US"/>
        </w:rPr>
        <w:t>This first step approach leads to the conclusion that even if only unwanted emissions falling into the spurious domain are considered then the EESS protection criteria is not met.</w:t>
      </w:r>
    </w:p>
    <w:p w:rsidR="00B9359B" w:rsidRDefault="009A5268">
      <w:pPr>
        <w:pStyle w:val="Heading3"/>
        <w:rPr>
          <w:lang w:val="en-US"/>
        </w:rPr>
      </w:pPr>
      <w:bookmarkStart w:id="458" w:name="_Toc51045858"/>
      <w:r>
        <w:rPr>
          <w:lang w:val="en-US"/>
        </w:rPr>
        <w:t>4.3.2</w:t>
      </w:r>
      <w:r>
        <w:rPr>
          <w:lang w:val="en-US"/>
        </w:rPr>
        <w:tab/>
        <w:t>Refinement of the calculations</w:t>
      </w:r>
      <w:bookmarkEnd w:id="458"/>
    </w:p>
    <w:p w:rsidR="00B9359B" w:rsidRDefault="009A5268">
      <w:pPr>
        <w:rPr>
          <w:lang w:val="en-US"/>
        </w:rPr>
      </w:pPr>
      <w:r>
        <w:rPr>
          <w:lang w:val="en-US"/>
        </w:rPr>
        <w:t>Since the first step of the calculation has shown that the EESS interference criteria will not be met, the refinement of the calculations will take into account characteristics of unwanted emissions systems that will be deployed in this band. In particular, the following sections are based on characteristics of systems provided in the European Telecommunications Standard Institute (ETSI). The approach, which is described in the following sections, was used within the European Conference of Postal and Telecommunications Administrations (CEPT) to derive the required guardband so that the unwanted emissions from FS systems falling into the EESS band met the EESS interference criteria given in § 4.2 (</w:t>
      </w:r>
      <w:r>
        <w:sym w:font="Symbol" w:char="F02D"/>
      </w:r>
      <w:r>
        <w:rPr>
          <w:lang w:val="en-US"/>
        </w:rPr>
        <w:t xml:space="preserve">37.8 dB(W/100 MHz)). These results were taken into account to develop channel arrangements for FS systems operating in the 31-31.3 GHz band. </w:t>
      </w:r>
    </w:p>
    <w:p w:rsidR="00B9359B" w:rsidRDefault="009A5268">
      <w:pPr>
        <w:pStyle w:val="Heading4"/>
        <w:rPr>
          <w:lang w:val="en-US"/>
        </w:rPr>
      </w:pPr>
      <w:bookmarkStart w:id="459" w:name="_Toc51045859"/>
      <w:r>
        <w:rPr>
          <w:lang w:val="en-US"/>
        </w:rPr>
        <w:br w:type="page"/>
        <w:t>4.3.2.1</w:t>
      </w:r>
      <w:r>
        <w:rPr>
          <w:lang w:val="en-US"/>
        </w:rPr>
        <w:tab/>
        <w:t>P-P FS systems</w:t>
      </w:r>
      <w:bookmarkEnd w:id="459"/>
    </w:p>
    <w:p w:rsidR="00B9359B" w:rsidRDefault="009A5268">
      <w:pPr>
        <w:pStyle w:val="Heading5"/>
        <w:rPr>
          <w:lang w:val="en-US"/>
        </w:rPr>
      </w:pPr>
      <w:bookmarkStart w:id="460" w:name="_Toc51045860"/>
      <w:r>
        <w:rPr>
          <w:lang w:val="en-US" w:eastAsia="fr-FR"/>
        </w:rPr>
        <w:t>4.3.2.1.1</w:t>
      </w:r>
      <w:r>
        <w:rPr>
          <w:lang w:val="en-US" w:eastAsia="fr-FR"/>
        </w:rPr>
        <w:tab/>
        <w:t>OoB emissions masks for P-P systems</w:t>
      </w:r>
      <w:bookmarkEnd w:id="460"/>
    </w:p>
    <w:p w:rsidR="00B9359B" w:rsidRDefault="009A5268">
      <w:pPr>
        <w:rPr>
          <w:lang w:val="en-US"/>
        </w:rPr>
      </w:pPr>
      <w:r>
        <w:rPr>
          <w:lang w:val="en-US"/>
        </w:rPr>
        <w:t>For the purpose of these analyses, we consider OoB mask given in ETSI Standard EN 300 197 provides OoB mask for fixed radio systems; P-P equipment; parameters for radio systems for the transmissions of digital signal operating at 32 GHz and 38 GHz.</w:t>
      </w:r>
    </w:p>
    <w:p w:rsidR="00B9359B" w:rsidRDefault="009A5268">
      <w:pPr>
        <w:rPr>
          <w:lang w:val="en-US"/>
        </w:rPr>
      </w:pPr>
      <w:r>
        <w:rPr>
          <w:lang w:val="en-US"/>
        </w:rPr>
        <w:t>The analysis considers the worst case of OoB emissions masks given in the ETSI Standard EN 300 197, this leads to consider the following masks (see Fig. 49).</w:t>
      </w:r>
    </w:p>
    <w:p w:rsidR="00B9359B" w:rsidRDefault="009A5268">
      <w:pPr>
        <w:pStyle w:val="FigureNo"/>
      </w:pPr>
      <w:r>
        <w:object w:dxaOrig="5363" w:dyaOrig="5098">
          <v:shape id="_x0000_i1085" type="#_x0000_t75" style="width:268.1pt;height:254.15pt" o:ole="">
            <v:imagedata r:id="rId105" o:title=""/>
          </v:shape>
          <o:OLEObject Type="Embed" ProgID="Designer.Drawing.7" ShapeID="_x0000_i1085" DrawAspect="Content" ObjectID="_1629894591" r:id="rId106"/>
        </w:object>
      </w:r>
    </w:p>
    <w:p w:rsidR="00B9359B" w:rsidRDefault="009A5268">
      <w:pPr>
        <w:pStyle w:val="Note"/>
        <w:rPr>
          <w:lang w:val="en-US"/>
        </w:rPr>
      </w:pPr>
      <w:r>
        <w:rPr>
          <w:lang w:val="en-US"/>
        </w:rPr>
        <w:t>NOTE 1 </w:t>
      </w:r>
      <w:r>
        <w:sym w:font="Symbol" w:char="F02D"/>
      </w:r>
      <w:r>
        <w:rPr>
          <w:lang w:val="en-US"/>
        </w:rPr>
        <w:t> </w:t>
      </w:r>
      <w:r>
        <w:rPr>
          <w:lang w:val="en-US" w:eastAsia="fr-FR"/>
        </w:rPr>
        <w:t>The 0 dB level shown on the spectrum masks relates to the spectral power density of the nominal centre frequency disregarding residual carrier.</w:t>
      </w:r>
    </w:p>
    <w:p w:rsidR="00B9359B" w:rsidRDefault="009A5268">
      <w:pPr>
        <w:rPr>
          <w:lang w:val="en-US"/>
        </w:rPr>
      </w:pPr>
      <w:r>
        <w:rPr>
          <w:lang w:val="en-US"/>
        </w:rPr>
        <w:t xml:space="preserve">Table 80 provides the values of </w:t>
      </w:r>
      <w:r>
        <w:rPr>
          <w:i/>
          <w:lang w:val="en-US"/>
        </w:rPr>
        <w:t>f</w:t>
      </w:r>
      <w:r>
        <w:rPr>
          <w:i/>
          <w:vertAlign w:val="subscript"/>
          <w:lang w:val="en-US"/>
        </w:rPr>
        <w:t>i</w:t>
      </w:r>
      <w:r>
        <w:rPr>
          <w:lang w:val="en-US"/>
        </w:rPr>
        <w:t xml:space="preserve"> depending on channel spacing, which may extend from 3.5 MHz to 56 MHz according to EN 300 197.</w:t>
      </w:r>
    </w:p>
    <w:p w:rsidR="00B9359B" w:rsidRDefault="009A5268">
      <w:pPr>
        <w:pStyle w:val="TableNo"/>
        <w:rPr>
          <w:lang w:val="en-US"/>
        </w:rPr>
      </w:pPr>
      <w:r>
        <w:rPr>
          <w:lang w:val="en-US"/>
        </w:rPr>
        <w:t>TABLE  80</w:t>
      </w:r>
    </w:p>
    <w:p w:rsidR="00B9359B" w:rsidRDefault="009A5268">
      <w:pPr>
        <w:pStyle w:val="Tabletitle"/>
        <w:rPr>
          <w:lang w:val="en-US"/>
        </w:rPr>
      </w:pPr>
      <w:r>
        <w:rPr>
          <w:lang w:val="en-US"/>
        </w:rPr>
        <w:t>Break points of the OoB emissions mask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3"/>
        <w:gridCol w:w="992"/>
        <w:gridCol w:w="1134"/>
        <w:gridCol w:w="1134"/>
        <w:gridCol w:w="1134"/>
        <w:gridCol w:w="1134"/>
        <w:gridCol w:w="1134"/>
      </w:tblGrid>
      <w:tr w:rsidR="00B9359B">
        <w:tc>
          <w:tcPr>
            <w:tcW w:w="1913" w:type="dxa"/>
          </w:tcPr>
          <w:p w:rsidR="00B9359B" w:rsidRDefault="009A5268">
            <w:pPr>
              <w:pStyle w:val="Tablehead"/>
              <w:framePr w:hSpace="181" w:wrap="notBeside" w:vAnchor="text" w:hAnchor="text" w:xAlign="center" w:y="1"/>
              <w:rPr>
                <w:lang w:val="en-US"/>
              </w:rPr>
            </w:pPr>
            <w:r>
              <w:rPr>
                <w:lang w:val="en-US"/>
              </w:rPr>
              <w:t>Channel spacing</w:t>
            </w:r>
            <w:r>
              <w:rPr>
                <w:lang w:val="en-US"/>
              </w:rPr>
              <w:br/>
              <w:t>(MHz)</w:t>
            </w:r>
          </w:p>
        </w:tc>
        <w:tc>
          <w:tcPr>
            <w:tcW w:w="992" w:type="dxa"/>
          </w:tcPr>
          <w:p w:rsidR="00B9359B" w:rsidRDefault="009A5268">
            <w:pPr>
              <w:pStyle w:val="Tablehead"/>
              <w:framePr w:hSpace="181" w:wrap="notBeside" w:vAnchor="text" w:hAnchor="text" w:xAlign="center" w:y="1"/>
              <w:rPr>
                <w:lang w:val="en-US"/>
              </w:rPr>
            </w:pPr>
            <w:r>
              <w:rPr>
                <w:lang w:val="en-US"/>
              </w:rPr>
              <w:t>K1</w:t>
            </w:r>
            <w:r>
              <w:rPr>
                <w:lang w:val="en-US"/>
              </w:rPr>
              <w:br/>
              <w:t>(dB)</w:t>
            </w:r>
          </w:p>
        </w:tc>
        <w:tc>
          <w:tcPr>
            <w:tcW w:w="1134" w:type="dxa"/>
          </w:tcPr>
          <w:p w:rsidR="00B9359B" w:rsidRDefault="009A5268">
            <w:pPr>
              <w:pStyle w:val="Tablehead"/>
              <w:framePr w:hSpace="181" w:wrap="notBeside" w:vAnchor="text" w:hAnchor="text" w:xAlign="center" w:y="1"/>
              <w:rPr>
                <w:lang w:val="en-US"/>
              </w:rPr>
            </w:pPr>
            <w:r>
              <w:rPr>
                <w:i/>
                <w:lang w:val="en-US"/>
              </w:rPr>
              <w:t>f</w:t>
            </w:r>
            <w:r>
              <w:rPr>
                <w:vertAlign w:val="subscript"/>
                <w:lang w:val="en-US"/>
              </w:rPr>
              <w:t>1</w:t>
            </w:r>
            <w:r>
              <w:rPr>
                <w:lang w:val="en-US"/>
              </w:rPr>
              <w:br/>
              <w:t>(MHz)</w:t>
            </w:r>
          </w:p>
        </w:tc>
        <w:tc>
          <w:tcPr>
            <w:tcW w:w="1134" w:type="dxa"/>
          </w:tcPr>
          <w:p w:rsidR="00B9359B" w:rsidRDefault="009A5268">
            <w:pPr>
              <w:pStyle w:val="Tablehead"/>
              <w:framePr w:hSpace="181" w:wrap="notBeside" w:vAnchor="text" w:hAnchor="text" w:xAlign="center" w:y="1"/>
              <w:rPr>
                <w:lang w:val="en-US"/>
              </w:rPr>
            </w:pPr>
            <w:r>
              <w:rPr>
                <w:i/>
                <w:lang w:val="en-US"/>
              </w:rPr>
              <w:t>f</w:t>
            </w:r>
            <w:r>
              <w:rPr>
                <w:vertAlign w:val="subscript"/>
                <w:lang w:val="en-US"/>
              </w:rPr>
              <w:t>2</w:t>
            </w:r>
            <w:r>
              <w:rPr>
                <w:lang w:val="en-US"/>
              </w:rPr>
              <w:br/>
              <w:t>(MHz)</w:t>
            </w:r>
          </w:p>
        </w:tc>
        <w:tc>
          <w:tcPr>
            <w:tcW w:w="1134" w:type="dxa"/>
          </w:tcPr>
          <w:p w:rsidR="00B9359B" w:rsidRDefault="009A5268">
            <w:pPr>
              <w:pStyle w:val="Tablehead"/>
              <w:framePr w:hSpace="181" w:wrap="notBeside" w:vAnchor="text" w:hAnchor="text" w:xAlign="center" w:y="1"/>
              <w:rPr>
                <w:lang w:val="en-US"/>
              </w:rPr>
            </w:pPr>
            <w:r>
              <w:rPr>
                <w:i/>
                <w:lang w:val="en-US"/>
              </w:rPr>
              <w:t>f</w:t>
            </w:r>
            <w:r>
              <w:rPr>
                <w:vertAlign w:val="subscript"/>
                <w:lang w:val="en-US"/>
              </w:rPr>
              <w:t>3</w:t>
            </w:r>
            <w:r>
              <w:rPr>
                <w:lang w:val="en-US"/>
              </w:rPr>
              <w:br/>
              <w:t>(MHz)</w:t>
            </w:r>
          </w:p>
        </w:tc>
        <w:tc>
          <w:tcPr>
            <w:tcW w:w="1134" w:type="dxa"/>
          </w:tcPr>
          <w:p w:rsidR="00B9359B" w:rsidRDefault="009A5268">
            <w:pPr>
              <w:pStyle w:val="Tablehead"/>
              <w:framePr w:hSpace="181" w:wrap="notBeside" w:vAnchor="text" w:hAnchor="text" w:xAlign="center" w:y="1"/>
              <w:rPr>
                <w:lang w:val="en-US"/>
              </w:rPr>
            </w:pPr>
            <w:r>
              <w:rPr>
                <w:i/>
                <w:lang w:val="en-US"/>
              </w:rPr>
              <w:t>f</w:t>
            </w:r>
            <w:r>
              <w:rPr>
                <w:vertAlign w:val="subscript"/>
                <w:lang w:val="en-US"/>
              </w:rPr>
              <w:t>4</w:t>
            </w:r>
            <w:r>
              <w:rPr>
                <w:lang w:val="en-US"/>
              </w:rPr>
              <w:br/>
              <w:t>(MHz)</w:t>
            </w:r>
          </w:p>
        </w:tc>
        <w:tc>
          <w:tcPr>
            <w:tcW w:w="1134" w:type="dxa"/>
          </w:tcPr>
          <w:p w:rsidR="00B9359B" w:rsidRDefault="009A5268">
            <w:pPr>
              <w:pStyle w:val="Tablehead"/>
              <w:framePr w:hSpace="181" w:wrap="notBeside" w:vAnchor="text" w:hAnchor="text" w:xAlign="center" w:y="1"/>
              <w:rPr>
                <w:lang w:val="en-US"/>
              </w:rPr>
            </w:pPr>
            <w:r>
              <w:rPr>
                <w:i/>
                <w:lang w:val="en-US"/>
              </w:rPr>
              <w:t>f</w:t>
            </w:r>
            <w:r>
              <w:rPr>
                <w:vertAlign w:val="subscript"/>
                <w:lang w:val="en-US"/>
              </w:rPr>
              <w:t>5</w:t>
            </w:r>
            <w:r>
              <w:rPr>
                <w:lang w:val="en-US"/>
              </w:rPr>
              <w:br/>
              <w:t>(MHz)</w:t>
            </w:r>
          </w:p>
        </w:tc>
      </w:tr>
      <w:tr w:rsidR="00B9359B">
        <w:tc>
          <w:tcPr>
            <w:tcW w:w="1913" w:type="dxa"/>
          </w:tcPr>
          <w:p w:rsidR="00B9359B" w:rsidRDefault="009A5268">
            <w:pPr>
              <w:pStyle w:val="Tabletext"/>
              <w:framePr w:hSpace="181" w:wrap="notBeside" w:vAnchor="text" w:hAnchor="text" w:xAlign="center" w:y="1"/>
              <w:spacing w:before="60" w:after="60"/>
              <w:jc w:val="center"/>
              <w:rPr>
                <w:bCs/>
                <w:lang w:val="en-US"/>
              </w:rPr>
            </w:pPr>
            <w:r>
              <w:rPr>
                <w:bCs/>
                <w:lang w:val="en-US"/>
              </w:rPr>
              <w:t>3.5</w:t>
            </w:r>
          </w:p>
        </w:tc>
        <w:tc>
          <w:tcPr>
            <w:tcW w:w="992" w:type="dxa"/>
          </w:tcPr>
          <w:p w:rsidR="00B9359B" w:rsidRDefault="009A5268">
            <w:pPr>
              <w:pStyle w:val="Tabletext"/>
              <w:framePr w:hSpace="181" w:wrap="notBeside" w:vAnchor="text" w:hAnchor="text" w:xAlign="center" w:y="1"/>
              <w:spacing w:before="60" w:after="60"/>
              <w:jc w:val="center"/>
              <w:rPr>
                <w:lang w:val="en-US"/>
              </w:rPr>
            </w:pPr>
            <w:r>
              <w:rPr>
                <w:rFonts w:ascii="Symbol" w:hAnsi="Symbol"/>
                <w:lang w:val="en-US"/>
              </w:rPr>
              <w:t></w:t>
            </w:r>
            <w:r>
              <w:rPr>
                <w:lang w:val="en-US"/>
              </w:rPr>
              <w:t>1</w:t>
            </w:r>
          </w:p>
        </w:tc>
        <w:tc>
          <w:tcPr>
            <w:tcW w:w="1134" w:type="dxa"/>
          </w:tcPr>
          <w:p w:rsidR="00B9359B" w:rsidRDefault="009A5268">
            <w:pPr>
              <w:pStyle w:val="Tabletext"/>
              <w:framePr w:hSpace="181" w:wrap="notBeside" w:vAnchor="text" w:hAnchor="text" w:xAlign="center" w:y="1"/>
              <w:spacing w:before="60" w:after="60"/>
              <w:jc w:val="center"/>
              <w:rPr>
                <w:bCs/>
                <w:lang w:val="en-US"/>
              </w:rPr>
            </w:pPr>
            <w:r>
              <w:rPr>
                <w:bCs/>
                <w:lang w:val="en-US"/>
              </w:rPr>
              <w:t>1.3</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2</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2.3</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4.3</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8.75</w:t>
            </w:r>
          </w:p>
        </w:tc>
      </w:tr>
      <w:tr w:rsidR="00B9359B">
        <w:tc>
          <w:tcPr>
            <w:tcW w:w="1913" w:type="dxa"/>
          </w:tcPr>
          <w:p w:rsidR="00B9359B" w:rsidRDefault="009A5268">
            <w:pPr>
              <w:pStyle w:val="Tabletext"/>
              <w:framePr w:hSpace="181" w:wrap="notBeside" w:vAnchor="text" w:hAnchor="text" w:xAlign="center" w:y="1"/>
              <w:spacing w:before="60" w:after="60"/>
              <w:jc w:val="center"/>
              <w:rPr>
                <w:bCs/>
                <w:lang w:val="en-US"/>
              </w:rPr>
            </w:pPr>
            <w:r>
              <w:rPr>
                <w:bCs/>
                <w:lang w:val="en-US"/>
              </w:rPr>
              <w:t>7</w:t>
            </w:r>
          </w:p>
        </w:tc>
        <w:tc>
          <w:tcPr>
            <w:tcW w:w="992" w:type="dxa"/>
          </w:tcPr>
          <w:p w:rsidR="00B9359B" w:rsidRDefault="009A5268">
            <w:pPr>
              <w:pStyle w:val="Tabletext"/>
              <w:framePr w:hSpace="181" w:wrap="notBeside" w:vAnchor="text" w:hAnchor="text" w:xAlign="center" w:y="1"/>
              <w:spacing w:before="60" w:after="60"/>
              <w:jc w:val="center"/>
              <w:rPr>
                <w:lang w:val="en-US"/>
              </w:rPr>
            </w:pPr>
            <w:r>
              <w:rPr>
                <w:rFonts w:ascii="Symbol" w:hAnsi="Symbol"/>
                <w:lang w:val="en-US"/>
              </w:rPr>
              <w:t></w:t>
            </w:r>
            <w:r>
              <w:rPr>
                <w:lang w:val="en-US"/>
              </w:rPr>
              <w:t>1</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2.8</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5.6</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7</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14</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17.5</w:t>
            </w:r>
          </w:p>
        </w:tc>
      </w:tr>
      <w:tr w:rsidR="00B9359B">
        <w:tc>
          <w:tcPr>
            <w:tcW w:w="1913" w:type="dxa"/>
          </w:tcPr>
          <w:p w:rsidR="00B9359B" w:rsidRDefault="009A5268">
            <w:pPr>
              <w:pStyle w:val="Tabletext"/>
              <w:framePr w:hSpace="181" w:wrap="notBeside" w:vAnchor="text" w:hAnchor="text" w:xAlign="center" w:y="1"/>
              <w:spacing w:before="60" w:after="60"/>
              <w:jc w:val="center"/>
              <w:rPr>
                <w:bCs/>
                <w:lang w:val="en-US"/>
              </w:rPr>
            </w:pPr>
            <w:r>
              <w:rPr>
                <w:bCs/>
                <w:lang w:val="en-US"/>
              </w:rPr>
              <w:t>14</w:t>
            </w:r>
          </w:p>
        </w:tc>
        <w:tc>
          <w:tcPr>
            <w:tcW w:w="992" w:type="dxa"/>
          </w:tcPr>
          <w:p w:rsidR="00B9359B" w:rsidRDefault="009A5268">
            <w:pPr>
              <w:pStyle w:val="Tabletext"/>
              <w:framePr w:hSpace="181" w:wrap="notBeside" w:vAnchor="text" w:hAnchor="text" w:xAlign="center" w:y="1"/>
              <w:spacing w:before="60" w:after="60"/>
              <w:jc w:val="center"/>
              <w:rPr>
                <w:lang w:val="en-US"/>
              </w:rPr>
            </w:pPr>
            <w:r>
              <w:rPr>
                <w:rFonts w:ascii="Symbol" w:hAnsi="Symbol"/>
                <w:lang w:val="en-US"/>
              </w:rPr>
              <w:t></w:t>
            </w:r>
            <w:r>
              <w:rPr>
                <w:lang w:val="en-US"/>
              </w:rPr>
              <w:t>1</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5.6</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11.2</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14</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28</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35</w:t>
            </w:r>
          </w:p>
        </w:tc>
      </w:tr>
      <w:tr w:rsidR="00B9359B">
        <w:tc>
          <w:tcPr>
            <w:tcW w:w="1913" w:type="dxa"/>
          </w:tcPr>
          <w:p w:rsidR="00B9359B" w:rsidRDefault="009A5268">
            <w:pPr>
              <w:pStyle w:val="Tabletext"/>
              <w:framePr w:hSpace="181" w:wrap="notBeside" w:vAnchor="text" w:hAnchor="text" w:xAlign="center" w:y="1"/>
              <w:spacing w:before="60" w:after="60"/>
              <w:jc w:val="center"/>
              <w:rPr>
                <w:bCs/>
                <w:lang w:val="en-US"/>
              </w:rPr>
            </w:pPr>
            <w:r>
              <w:rPr>
                <w:bCs/>
                <w:lang w:val="en-US"/>
              </w:rPr>
              <w:t>28</w:t>
            </w:r>
          </w:p>
        </w:tc>
        <w:tc>
          <w:tcPr>
            <w:tcW w:w="992" w:type="dxa"/>
          </w:tcPr>
          <w:p w:rsidR="00B9359B" w:rsidRDefault="009A5268">
            <w:pPr>
              <w:pStyle w:val="Tabletext"/>
              <w:framePr w:hSpace="181" w:wrap="notBeside" w:vAnchor="text" w:hAnchor="text" w:xAlign="center" w:y="1"/>
              <w:spacing w:before="60" w:after="60"/>
              <w:jc w:val="center"/>
              <w:rPr>
                <w:lang w:val="en-US"/>
              </w:rPr>
            </w:pPr>
            <w:r>
              <w:rPr>
                <w:rFonts w:ascii="Symbol" w:hAnsi="Symbol"/>
                <w:lang w:val="en-US"/>
              </w:rPr>
              <w:t></w:t>
            </w:r>
            <w:r>
              <w:rPr>
                <w:lang w:val="en-US"/>
              </w:rPr>
              <w:t>1</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11</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19</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25</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45</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70</w:t>
            </w:r>
          </w:p>
        </w:tc>
      </w:tr>
      <w:tr w:rsidR="00B9359B">
        <w:tc>
          <w:tcPr>
            <w:tcW w:w="1913" w:type="dxa"/>
          </w:tcPr>
          <w:p w:rsidR="00B9359B" w:rsidRDefault="009A5268">
            <w:pPr>
              <w:pStyle w:val="Tabletext"/>
              <w:framePr w:hSpace="181" w:wrap="notBeside" w:vAnchor="text" w:hAnchor="text" w:xAlign="center" w:y="1"/>
              <w:spacing w:before="60" w:after="60"/>
              <w:jc w:val="center"/>
              <w:rPr>
                <w:bCs/>
                <w:lang w:val="en-US"/>
              </w:rPr>
            </w:pPr>
            <w:r>
              <w:rPr>
                <w:bCs/>
                <w:lang w:val="en-US"/>
              </w:rPr>
              <w:t>56</w:t>
            </w:r>
          </w:p>
        </w:tc>
        <w:tc>
          <w:tcPr>
            <w:tcW w:w="992" w:type="dxa"/>
          </w:tcPr>
          <w:p w:rsidR="00B9359B" w:rsidRDefault="009A5268">
            <w:pPr>
              <w:pStyle w:val="Tabletext"/>
              <w:framePr w:hSpace="181" w:wrap="notBeside" w:vAnchor="text" w:hAnchor="text" w:xAlign="center" w:y="1"/>
              <w:spacing w:before="60" w:after="60"/>
              <w:jc w:val="center"/>
              <w:rPr>
                <w:lang w:val="en-US"/>
              </w:rPr>
            </w:pPr>
            <w:r>
              <w:rPr>
                <w:rFonts w:ascii="Symbol" w:hAnsi="Symbol"/>
                <w:lang w:val="en-US"/>
              </w:rPr>
              <w:t></w:t>
            </w:r>
            <w:r>
              <w:rPr>
                <w:lang w:val="en-US"/>
              </w:rPr>
              <w:t>1</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18</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32</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40</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70</w:t>
            </w:r>
          </w:p>
        </w:tc>
        <w:tc>
          <w:tcPr>
            <w:tcW w:w="1134" w:type="dxa"/>
          </w:tcPr>
          <w:p w:rsidR="00B9359B" w:rsidRDefault="009A5268">
            <w:pPr>
              <w:pStyle w:val="Tabletext"/>
              <w:framePr w:hSpace="181" w:wrap="notBeside" w:vAnchor="text" w:hAnchor="text" w:xAlign="center" w:y="1"/>
              <w:spacing w:before="60" w:after="60"/>
              <w:jc w:val="center"/>
              <w:rPr>
                <w:lang w:val="en-US"/>
              </w:rPr>
            </w:pPr>
            <w:r>
              <w:rPr>
                <w:lang w:val="en-US"/>
              </w:rPr>
              <w:t>140</w:t>
            </w:r>
          </w:p>
        </w:tc>
      </w:tr>
    </w:tbl>
    <w:p w:rsidR="00B9359B" w:rsidRDefault="00B9359B">
      <w:pPr>
        <w:pStyle w:val="Tablefin"/>
        <w:rPr>
          <w:lang w:eastAsia="fr-FR"/>
        </w:rPr>
      </w:pPr>
    </w:p>
    <w:p w:rsidR="00B9359B" w:rsidRDefault="009A5268">
      <w:pPr>
        <w:pStyle w:val="Heading5"/>
        <w:rPr>
          <w:lang w:val="en-US" w:eastAsia="fr-FR"/>
        </w:rPr>
      </w:pPr>
      <w:bookmarkStart w:id="461" w:name="_Toc51045861"/>
      <w:r>
        <w:rPr>
          <w:lang w:val="en-US" w:eastAsia="fr-FR"/>
        </w:rPr>
        <w:br w:type="page"/>
        <w:t>4.3.2.1.2</w:t>
      </w:r>
      <w:r>
        <w:rPr>
          <w:lang w:val="en-US" w:eastAsia="fr-FR"/>
        </w:rPr>
        <w:tab/>
        <w:t>Spurious emissions levels for P-P systems</w:t>
      </w:r>
      <w:bookmarkEnd w:id="461"/>
    </w:p>
    <w:p w:rsidR="00B9359B" w:rsidRDefault="009A5268">
      <w:pPr>
        <w:rPr>
          <w:lang w:val="en-US"/>
        </w:rPr>
      </w:pPr>
      <w:r>
        <w:rPr>
          <w:lang w:val="en-US"/>
        </w:rPr>
        <w:t>Recommendation ITU-R SM.329 gives information on the levels of spurious emissions, in particular, this analysis consider levels adopted in Europe and used by some other countries (Category B levels).</w:t>
      </w:r>
    </w:p>
    <w:p w:rsidR="00B9359B" w:rsidRDefault="009A5268">
      <w:pPr>
        <w:rPr>
          <w:lang w:val="en-US"/>
        </w:rPr>
      </w:pPr>
      <w:r>
        <w:rPr>
          <w:lang w:val="en-US"/>
        </w:rPr>
        <w:t xml:space="preserve">For P-P system operating with a channel spacing, </w:t>
      </w:r>
      <w:r>
        <w:rPr>
          <w:i/>
          <w:iCs/>
          <w:lang w:val="en-US"/>
        </w:rPr>
        <w:t>C</w:t>
      </w:r>
      <w:r>
        <w:rPr>
          <w:i/>
          <w:iCs/>
          <w:vertAlign w:val="subscript"/>
          <w:lang w:val="en-US"/>
        </w:rPr>
        <w:t>s</w:t>
      </w:r>
      <w:r>
        <w:rPr>
          <w:lang w:val="en-US"/>
        </w:rPr>
        <w:t xml:space="preserve">, higher than 10 MHz, the spurious emission limit is </w:t>
      </w:r>
      <w:r>
        <w:rPr>
          <w:rFonts w:ascii="Symbol" w:hAnsi="Symbol"/>
          <w:lang w:val="en-US"/>
        </w:rPr>
        <w:noBreakHyphen/>
      </w:r>
      <w:r>
        <w:rPr>
          <w:lang w:val="en-US"/>
        </w:rPr>
        <w:t>60 dB(W/MHz).</w:t>
      </w:r>
    </w:p>
    <w:p w:rsidR="00B9359B" w:rsidRDefault="009A5268">
      <w:pPr>
        <w:rPr>
          <w:lang w:val="en-US"/>
        </w:rPr>
      </w:pPr>
      <w:r>
        <w:rPr>
          <w:lang w:val="en-US"/>
        </w:rPr>
        <w:t xml:space="preserve">In case of P-P systems operating with a </w:t>
      </w:r>
      <w:r>
        <w:rPr>
          <w:i/>
          <w:iCs/>
          <w:lang w:val="en-US"/>
        </w:rPr>
        <w:t>C</w:t>
      </w:r>
      <w:r>
        <w:rPr>
          <w:i/>
          <w:iCs/>
          <w:vertAlign w:val="subscript"/>
          <w:lang w:val="en-US"/>
        </w:rPr>
        <w:t>s</w:t>
      </w:r>
      <w:r>
        <w:rPr>
          <w:lang w:val="en-US"/>
        </w:rPr>
        <w:t xml:space="preserve"> lower than 10 MHz, there is a step before reaching this </w:t>
      </w:r>
      <w:r>
        <w:rPr>
          <w:rFonts w:ascii="Symbol" w:hAnsi="Symbol"/>
          <w:lang w:val="en-US"/>
        </w:rPr>
        <w:noBreakHyphen/>
      </w:r>
      <w:r>
        <w:rPr>
          <w:lang w:val="en-US"/>
        </w:rPr>
        <w:t>60 dB(W/MHz) value. From an offset of 2.5 </w:t>
      </w:r>
      <w:r>
        <w:rPr>
          <w:rFonts w:ascii="Symbol" w:hAnsi="Symbol"/>
        </w:rPr>
        <w:t></w:t>
      </w:r>
      <w:r>
        <w:rPr>
          <w:lang w:val="en-US"/>
        </w:rPr>
        <w:t> </w:t>
      </w:r>
      <w:r>
        <w:rPr>
          <w:i/>
          <w:iCs/>
          <w:lang w:val="en-US"/>
        </w:rPr>
        <w:t>C</w:t>
      </w:r>
      <w:r>
        <w:rPr>
          <w:i/>
          <w:iCs/>
          <w:vertAlign w:val="subscript"/>
          <w:lang w:val="en-US"/>
        </w:rPr>
        <w:t xml:space="preserve">s </w:t>
      </w:r>
      <w:r>
        <w:rPr>
          <w:lang w:val="en-US"/>
        </w:rPr>
        <w:t xml:space="preserve">compared to the centre frequency to an offset of 70 MHz, the limit is equal to </w:t>
      </w:r>
      <w:r>
        <w:rPr>
          <w:rFonts w:ascii="Symbol" w:hAnsi="Symbol"/>
          <w:lang w:val="en-US"/>
        </w:rPr>
        <w:noBreakHyphen/>
      </w:r>
      <w:r>
        <w:rPr>
          <w:lang w:val="en-US"/>
        </w:rPr>
        <w:t xml:space="preserve">50 dB(W/MHz) (or </w:t>
      </w:r>
      <w:r>
        <w:rPr>
          <w:rFonts w:ascii="Symbol" w:hAnsi="Symbol"/>
          <w:lang w:val="en-US"/>
        </w:rPr>
        <w:noBreakHyphen/>
      </w:r>
      <w:r>
        <w:rPr>
          <w:lang w:val="en-US"/>
        </w:rPr>
        <w:t>60 dBW in a 100 kHz reference bandwidth).</w:t>
      </w:r>
    </w:p>
    <w:p w:rsidR="00B9359B" w:rsidRDefault="009A5268">
      <w:pPr>
        <w:rPr>
          <w:lang w:val="en-US"/>
        </w:rPr>
      </w:pPr>
      <w:r>
        <w:rPr>
          <w:lang w:val="en-US"/>
        </w:rPr>
        <w:t xml:space="preserve">In case of P-P systems operating with a </w:t>
      </w:r>
      <w:r>
        <w:rPr>
          <w:i/>
          <w:iCs/>
          <w:lang w:val="en-US"/>
        </w:rPr>
        <w:t>C</w:t>
      </w:r>
      <w:r>
        <w:rPr>
          <w:i/>
          <w:iCs/>
          <w:vertAlign w:val="subscript"/>
          <w:lang w:val="en-US"/>
        </w:rPr>
        <w:t>s</w:t>
      </w:r>
      <w:r>
        <w:rPr>
          <w:lang w:val="en-US"/>
        </w:rPr>
        <w:t xml:space="preserve"> lower than 10 MHz, to obtain more realistic results we made the assumption that there is a linear decreasing between the –50 dB(W/MHz) point on the mask and the point corresponding to the level of </w:t>
      </w:r>
      <w:r>
        <w:rPr>
          <w:rFonts w:ascii="Symbol" w:hAnsi="Symbol"/>
          <w:lang w:val="en-US"/>
        </w:rPr>
        <w:noBreakHyphen/>
      </w:r>
      <w:r>
        <w:rPr>
          <w:lang w:val="en-US"/>
        </w:rPr>
        <w:t>60 dB(W/MHz).</w:t>
      </w:r>
    </w:p>
    <w:p w:rsidR="00B9359B" w:rsidRDefault="009A5268">
      <w:pPr>
        <w:rPr>
          <w:lang w:val="en-US"/>
        </w:rPr>
      </w:pPr>
      <w:r>
        <w:rPr>
          <w:lang w:val="en-US"/>
        </w:rPr>
        <w:t xml:space="preserve">Figure 50 provides an example of unwanted emissions mask for system using a </w:t>
      </w:r>
      <w:r>
        <w:rPr>
          <w:i/>
          <w:iCs/>
          <w:lang w:val="en-US"/>
        </w:rPr>
        <w:t>C</w:t>
      </w:r>
      <w:r>
        <w:rPr>
          <w:i/>
          <w:iCs/>
          <w:vertAlign w:val="subscript"/>
          <w:lang w:val="en-US"/>
        </w:rPr>
        <w:t>s</w:t>
      </w:r>
      <w:r>
        <w:rPr>
          <w:lang w:val="en-US"/>
        </w:rPr>
        <w:t xml:space="preserve"> of 3.5 MHz.</w:t>
      </w:r>
    </w:p>
    <w:p w:rsidR="00B9359B" w:rsidRDefault="00B9359B">
      <w:pPr>
        <w:rPr>
          <w:lang w:val="en-US"/>
        </w:rPr>
      </w:pPr>
    </w:p>
    <w:p w:rsidR="00B9359B" w:rsidRDefault="00B9359B">
      <w:pPr>
        <w:rPr>
          <w:lang w:val="en-US"/>
        </w:rPr>
      </w:pPr>
    </w:p>
    <w:p w:rsidR="00B9359B" w:rsidRDefault="009A5268">
      <w:pPr>
        <w:pStyle w:val="FigureNo"/>
      </w:pPr>
      <w:r>
        <w:object w:dxaOrig="6567" w:dyaOrig="6005">
          <v:shape id="_x0000_i1086" type="#_x0000_t75" style="width:328.3pt;height:299.8pt" o:ole="">
            <v:imagedata r:id="rId107" o:title=""/>
          </v:shape>
          <o:OLEObject Type="Embed" ProgID="Designer.Drawing.7" ShapeID="_x0000_i1086" DrawAspect="Content" ObjectID="_1629894592" r:id="rId108"/>
        </w:object>
      </w:r>
    </w:p>
    <w:p w:rsidR="00B9359B" w:rsidRDefault="00B9359B">
      <w:pPr>
        <w:rPr>
          <w:lang w:val="en-US" w:eastAsia="fr-FR"/>
        </w:rPr>
      </w:pPr>
      <w:bookmarkStart w:id="462" w:name="_Toc51045862"/>
    </w:p>
    <w:p w:rsidR="00B9359B" w:rsidRDefault="00B9359B">
      <w:pPr>
        <w:pStyle w:val="Normalaftertitle"/>
        <w:spacing w:before="120"/>
        <w:rPr>
          <w:lang w:val="en-US" w:eastAsia="fr-FR"/>
        </w:rPr>
      </w:pPr>
    </w:p>
    <w:p w:rsidR="00B9359B" w:rsidRDefault="009A5268">
      <w:pPr>
        <w:pStyle w:val="Heading5"/>
        <w:rPr>
          <w:lang w:val="en-US" w:eastAsia="fr-FR"/>
        </w:rPr>
      </w:pPr>
      <w:r>
        <w:rPr>
          <w:lang w:val="en-US" w:eastAsia="fr-FR"/>
        </w:rPr>
        <w:br w:type="page"/>
        <w:t>4.3.2.1.3</w:t>
      </w:r>
      <w:r>
        <w:rPr>
          <w:lang w:val="en-US" w:eastAsia="fr-FR"/>
        </w:rPr>
        <w:tab/>
        <w:t>Results of the calculations for P-P systems</w:t>
      </w:r>
      <w:bookmarkEnd w:id="462"/>
    </w:p>
    <w:p w:rsidR="00B9359B" w:rsidRDefault="009A5268">
      <w:pPr>
        <w:rPr>
          <w:lang w:val="en-US" w:eastAsia="fr-FR"/>
        </w:rPr>
      </w:pPr>
      <w:r>
        <w:rPr>
          <w:lang w:val="en-US"/>
        </w:rPr>
        <w:t>The following sections derived the levels of unwanted emissions, which may be received by the EESS system in a 100 MHz reference bandwidth, depending on the guardband.</w:t>
      </w:r>
    </w:p>
    <w:p w:rsidR="00B9359B" w:rsidRDefault="009A5268">
      <w:pPr>
        <w:rPr>
          <w:lang w:val="en-US" w:eastAsia="fr-FR"/>
        </w:rPr>
      </w:pPr>
      <w:r>
        <w:rPr>
          <w:lang w:val="en-US" w:eastAsia="fr-FR"/>
        </w:rPr>
        <w:t>It should be noted that ETSI standards provide a maximum output power of 0 dBW for P</w:t>
      </w:r>
      <w:r>
        <w:rPr>
          <w:lang w:val="en-US" w:eastAsia="fr-FR"/>
        </w:rPr>
        <w:noBreakHyphen/>
        <w:t>P systems to be deployed in this band.</w:t>
      </w:r>
    </w:p>
    <w:p w:rsidR="00B9359B" w:rsidRDefault="009A5268">
      <w:pPr>
        <w:pStyle w:val="Heading6"/>
        <w:rPr>
          <w:lang w:val="en-US" w:eastAsia="fr-FR"/>
        </w:rPr>
      </w:pPr>
      <w:bookmarkStart w:id="463" w:name="_Toc51045863"/>
      <w:r>
        <w:rPr>
          <w:lang w:val="en-US" w:eastAsia="fr-FR"/>
        </w:rPr>
        <w:t>4.3.2.1.3.1</w:t>
      </w:r>
      <w:r>
        <w:rPr>
          <w:lang w:val="en-US" w:eastAsia="fr-FR"/>
        </w:rPr>
        <w:tab/>
        <w:t>3.5 MHz channel P-P spacing</w:t>
      </w:r>
      <w:bookmarkEnd w:id="463"/>
    </w:p>
    <w:p w:rsidR="00B9359B" w:rsidRDefault="009A5268">
      <w:pPr>
        <w:rPr>
          <w:lang w:val="en-US"/>
        </w:rPr>
      </w:pPr>
      <w:r>
        <w:rPr>
          <w:lang w:val="en-US"/>
        </w:rPr>
        <w:t xml:space="preserve">Figure 51 provides the result of the calculation for a 3.5 MHz </w:t>
      </w:r>
      <w:r>
        <w:rPr>
          <w:i/>
          <w:iCs/>
          <w:lang w:val="en-US"/>
        </w:rPr>
        <w:t>C</w:t>
      </w:r>
      <w:r>
        <w:rPr>
          <w:i/>
          <w:iCs/>
          <w:vertAlign w:val="subscript"/>
          <w:lang w:val="en-US"/>
        </w:rPr>
        <w:t>s</w:t>
      </w:r>
      <w:r>
        <w:rPr>
          <w:lang w:val="en-US" w:eastAsia="fr-FR"/>
        </w:rPr>
        <w:t xml:space="preserve"> P</w:t>
      </w:r>
      <w:r>
        <w:rPr>
          <w:lang w:val="en-US" w:eastAsia="fr-FR"/>
        </w:rPr>
        <w:noBreakHyphen/>
        <w:t>P</w:t>
      </w:r>
      <w:r>
        <w:rPr>
          <w:lang w:val="en-US"/>
        </w:rPr>
        <w:t xml:space="preserve"> system.</w:t>
      </w:r>
    </w:p>
    <w:p w:rsidR="00B9359B" w:rsidRDefault="00B9359B">
      <w:pPr>
        <w:rPr>
          <w:lang w:val="en-US"/>
        </w:rPr>
      </w:pPr>
    </w:p>
    <w:p w:rsidR="00B9359B" w:rsidRDefault="00B9359B">
      <w:pPr>
        <w:rPr>
          <w:lang w:val="en-US"/>
        </w:rPr>
      </w:pPr>
    </w:p>
    <w:p w:rsidR="00B9359B" w:rsidRDefault="009A5268">
      <w:pPr>
        <w:pStyle w:val="FigureNo"/>
      </w:pPr>
      <w:r>
        <w:object w:dxaOrig="5324" w:dyaOrig="5852">
          <v:shape id="_x0000_i1087" type="#_x0000_t75" style="width:267.05pt;height:292.85pt" o:ole="">
            <v:imagedata r:id="rId109" o:title=""/>
          </v:shape>
          <o:OLEObject Type="Embed" ProgID="Designer.Drawing.7" ShapeID="_x0000_i1087" DrawAspect="Content" ObjectID="_1629894593" r:id="rId110"/>
        </w:object>
      </w:r>
    </w:p>
    <w:p w:rsidR="00B9359B" w:rsidRDefault="00B9359B">
      <w:pPr>
        <w:rPr>
          <w:lang w:val="en-US"/>
        </w:rPr>
      </w:pPr>
    </w:p>
    <w:p w:rsidR="00B9359B" w:rsidRDefault="00B9359B">
      <w:pPr>
        <w:rPr>
          <w:lang w:val="en-US"/>
        </w:rPr>
      </w:pPr>
    </w:p>
    <w:p w:rsidR="00B9359B" w:rsidRDefault="009A5268">
      <w:pPr>
        <w:rPr>
          <w:lang w:val="en-US"/>
        </w:rPr>
      </w:pPr>
      <w:r>
        <w:rPr>
          <w:lang w:val="en-US"/>
        </w:rPr>
        <w:t xml:space="preserve">The term </w:t>
      </w:r>
      <w:r>
        <w:rPr>
          <w:i/>
          <w:iCs/>
          <w:lang w:val="en-US"/>
        </w:rPr>
        <w:t>Z</w:t>
      </w:r>
      <w:r>
        <w:rPr>
          <w:vertAlign w:val="subscript"/>
          <w:lang w:val="en-US"/>
        </w:rPr>
        <w:t>2</w:t>
      </w:r>
      <w:r>
        <w:rPr>
          <w:i/>
          <w:iCs/>
          <w:lang w:val="en-US"/>
        </w:rPr>
        <w:t>S</w:t>
      </w:r>
      <w:r>
        <w:rPr>
          <w:lang w:val="en-US"/>
        </w:rPr>
        <w:t>, is defined in Recommendation ITU-R F.746 as the upper separation between the centre frequency of the final channel and the upper edge of the band. This leads to a guardband of 28.75 </w:t>
      </w:r>
      <w:r>
        <w:rPr>
          <w:rFonts w:ascii="Symbol" w:hAnsi="Symbol"/>
          <w:lang w:val="en-US"/>
        </w:rPr>
        <w:noBreakHyphen/>
      </w:r>
      <w:r>
        <w:rPr>
          <w:lang w:val="en-US"/>
        </w:rPr>
        <w:t> 3.5/2 </w:t>
      </w:r>
      <w:r>
        <w:rPr>
          <w:rFonts w:ascii="Symbol" w:hAnsi="Symbol"/>
          <w:lang w:val="en-US"/>
        </w:rPr>
        <w:t></w:t>
      </w:r>
      <w:r>
        <w:rPr>
          <w:lang w:val="en-US"/>
        </w:rPr>
        <w:t xml:space="preserve"> 27 MHz assuming that there is a linear decrease between the </w:t>
      </w:r>
      <w:r>
        <w:rPr>
          <w:rFonts w:ascii="Symbol" w:hAnsi="Symbol"/>
          <w:lang w:val="en-US"/>
        </w:rPr>
        <w:noBreakHyphen/>
      </w:r>
      <w:r>
        <w:rPr>
          <w:lang w:val="en-US"/>
        </w:rPr>
        <w:t xml:space="preserve">50 dB(W/MHz) point on the mask and the point corresponding to the level of </w:t>
      </w:r>
      <w:r>
        <w:rPr>
          <w:rFonts w:ascii="Symbol" w:hAnsi="Symbol"/>
          <w:lang w:val="en-US"/>
        </w:rPr>
        <w:noBreakHyphen/>
      </w:r>
      <w:r>
        <w:rPr>
          <w:lang w:val="en-US"/>
        </w:rPr>
        <w:t>60 dB(W/MHz).</w:t>
      </w:r>
    </w:p>
    <w:p w:rsidR="00B9359B" w:rsidRDefault="009A5268">
      <w:pPr>
        <w:rPr>
          <w:lang w:val="en-US"/>
        </w:rPr>
      </w:pPr>
      <w:r>
        <w:rPr>
          <w:lang w:val="en-US"/>
        </w:rPr>
        <w:t>In this case, the guardband is larger than the OoB domain, and then only spurious emissions will fall in the EESS band.</w:t>
      </w:r>
    </w:p>
    <w:p w:rsidR="00B9359B" w:rsidRDefault="009A5268">
      <w:pPr>
        <w:pStyle w:val="Heading6"/>
        <w:rPr>
          <w:lang w:val="en-US" w:eastAsia="fr-FR"/>
        </w:rPr>
      </w:pPr>
      <w:bookmarkStart w:id="464" w:name="_Toc51045864"/>
      <w:r>
        <w:rPr>
          <w:lang w:val="en-US" w:eastAsia="fr-FR"/>
        </w:rPr>
        <w:br w:type="page"/>
        <w:t>4.3.2.1.3.2</w:t>
      </w:r>
      <w:r>
        <w:rPr>
          <w:b w:val="0"/>
          <w:lang w:val="en-US" w:eastAsia="fr-FR"/>
        </w:rPr>
        <w:tab/>
      </w:r>
      <w:r>
        <w:rPr>
          <w:lang w:val="en-US" w:eastAsia="fr-FR"/>
        </w:rPr>
        <w:t>7 MHz channel spacing P-P systems</w:t>
      </w:r>
      <w:bookmarkEnd w:id="464"/>
    </w:p>
    <w:p w:rsidR="00B9359B" w:rsidRDefault="009A5268">
      <w:pPr>
        <w:rPr>
          <w:lang w:val="en-US"/>
        </w:rPr>
      </w:pPr>
      <w:r>
        <w:rPr>
          <w:lang w:val="en-US"/>
        </w:rPr>
        <w:t xml:space="preserve">Figure 52 provides the result of the calculation for a 7 MHz </w:t>
      </w:r>
      <w:r>
        <w:rPr>
          <w:i/>
          <w:iCs/>
          <w:lang w:val="en-US"/>
        </w:rPr>
        <w:t>C</w:t>
      </w:r>
      <w:r>
        <w:rPr>
          <w:i/>
          <w:iCs/>
          <w:vertAlign w:val="subscript"/>
          <w:lang w:val="en-US"/>
        </w:rPr>
        <w:t>s</w:t>
      </w:r>
      <w:r>
        <w:rPr>
          <w:lang w:val="en-US"/>
        </w:rPr>
        <w:t xml:space="preserve"> </w:t>
      </w:r>
      <w:r>
        <w:rPr>
          <w:lang w:val="en-US" w:eastAsia="fr-FR"/>
        </w:rPr>
        <w:t>P</w:t>
      </w:r>
      <w:r>
        <w:rPr>
          <w:lang w:val="en-US" w:eastAsia="fr-FR"/>
        </w:rPr>
        <w:noBreakHyphen/>
        <w:t>P</w:t>
      </w:r>
      <w:r>
        <w:rPr>
          <w:lang w:val="en-US"/>
        </w:rPr>
        <w:t xml:space="preserve"> system. </w:t>
      </w:r>
    </w:p>
    <w:p w:rsidR="00B9359B" w:rsidRDefault="00B9359B">
      <w:pPr>
        <w:pStyle w:val="Normalaftertitle"/>
        <w:spacing w:before="120"/>
        <w:rPr>
          <w:lang w:val="en-US"/>
        </w:rPr>
      </w:pPr>
    </w:p>
    <w:p w:rsidR="00B9359B" w:rsidRDefault="00B9359B">
      <w:pPr>
        <w:rPr>
          <w:lang w:val="en-US"/>
        </w:rPr>
      </w:pPr>
    </w:p>
    <w:p w:rsidR="00B9359B" w:rsidRDefault="009A5268">
      <w:pPr>
        <w:pStyle w:val="FigureNo"/>
      </w:pPr>
      <w:r>
        <w:object w:dxaOrig="5324" w:dyaOrig="5895">
          <v:shape id="_x0000_i1088" type="#_x0000_t75" style="width:267.05pt;height:294.45pt" o:ole="">
            <v:imagedata r:id="rId111" o:title=""/>
          </v:shape>
          <o:OLEObject Type="Embed" ProgID="Designer.Drawing.7" ShapeID="_x0000_i1088" DrawAspect="Content" ObjectID="_1629894594" r:id="rId112"/>
        </w:object>
      </w:r>
    </w:p>
    <w:p w:rsidR="00B9359B" w:rsidRDefault="00B9359B">
      <w:pPr>
        <w:rPr>
          <w:lang w:val="en-US"/>
        </w:rPr>
      </w:pPr>
    </w:p>
    <w:p w:rsidR="00B9359B" w:rsidRDefault="00B9359B">
      <w:pPr>
        <w:rPr>
          <w:lang w:val="en-US"/>
        </w:rPr>
      </w:pPr>
    </w:p>
    <w:p w:rsidR="00B9359B" w:rsidRDefault="009A5268">
      <w:pPr>
        <w:rPr>
          <w:lang w:val="en-US"/>
        </w:rPr>
      </w:pPr>
      <w:r>
        <w:rPr>
          <w:lang w:val="en-US"/>
        </w:rPr>
        <w:t xml:space="preserve">The term </w:t>
      </w:r>
      <w:r>
        <w:rPr>
          <w:i/>
          <w:iCs/>
          <w:lang w:val="en-US"/>
        </w:rPr>
        <w:t>Z</w:t>
      </w:r>
      <w:r>
        <w:rPr>
          <w:vertAlign w:val="subscript"/>
          <w:lang w:val="en-US"/>
        </w:rPr>
        <w:t>2</w:t>
      </w:r>
      <w:r>
        <w:rPr>
          <w:i/>
          <w:iCs/>
          <w:lang w:val="en-US"/>
        </w:rPr>
        <w:t>S</w:t>
      </w:r>
      <w:r>
        <w:rPr>
          <w:lang w:val="en-US"/>
        </w:rPr>
        <w:t>, is defined in Recommendation ITU-R F.746 as the upper separation between the centre frequency of the final channel and the upper edge of the band. This leads to a guardband of 27.5 </w:t>
      </w:r>
      <w:r>
        <w:rPr>
          <w:rFonts w:ascii="Symbol" w:hAnsi="Symbol"/>
          <w:lang w:val="en-US"/>
        </w:rPr>
        <w:noBreakHyphen/>
      </w:r>
      <w:r>
        <w:rPr>
          <w:lang w:val="en-US"/>
        </w:rPr>
        <w:t> 7/2 </w:t>
      </w:r>
      <w:r>
        <w:rPr>
          <w:rFonts w:ascii="Symbol" w:hAnsi="Symbol"/>
          <w:lang w:val="en-US"/>
        </w:rPr>
        <w:t></w:t>
      </w:r>
      <w:r>
        <w:rPr>
          <w:lang w:val="en-US"/>
        </w:rPr>
        <w:t xml:space="preserve"> 24 MHz assuming that there is a linear decreasing between the </w:t>
      </w:r>
      <w:r>
        <w:rPr>
          <w:rFonts w:ascii="Symbol" w:hAnsi="Symbol"/>
          <w:lang w:val="en-US"/>
        </w:rPr>
        <w:noBreakHyphen/>
      </w:r>
      <w:r>
        <w:rPr>
          <w:lang w:val="en-US"/>
        </w:rPr>
        <w:t xml:space="preserve">50 dB(W/MHz) point on the mask and the point corresponding to the level of </w:t>
      </w:r>
      <w:r>
        <w:rPr>
          <w:rFonts w:ascii="Symbol" w:hAnsi="Symbol"/>
          <w:lang w:val="en-US"/>
        </w:rPr>
        <w:noBreakHyphen/>
      </w:r>
      <w:r>
        <w:rPr>
          <w:lang w:val="en-US"/>
        </w:rPr>
        <w:t>60 dB(W/MHz).</w:t>
      </w:r>
    </w:p>
    <w:p w:rsidR="00B9359B" w:rsidRDefault="009A5268">
      <w:pPr>
        <w:rPr>
          <w:lang w:val="en-US"/>
        </w:rPr>
      </w:pPr>
      <w:r>
        <w:rPr>
          <w:lang w:val="en-US"/>
        </w:rPr>
        <w:t>In this case, the guardband is larger than the OoB domain, and then only spurious emissions will fall in the EESS band.</w:t>
      </w:r>
    </w:p>
    <w:p w:rsidR="00B9359B" w:rsidRDefault="009A5268">
      <w:pPr>
        <w:pStyle w:val="Heading6"/>
        <w:rPr>
          <w:lang w:val="en-US" w:eastAsia="fr-FR"/>
        </w:rPr>
      </w:pPr>
      <w:bookmarkStart w:id="465" w:name="_Toc51045865"/>
      <w:r>
        <w:rPr>
          <w:lang w:val="en-US" w:eastAsia="fr-FR"/>
        </w:rPr>
        <w:t>4.3.2.1.3.3</w:t>
      </w:r>
      <w:r>
        <w:rPr>
          <w:lang w:val="en-US" w:eastAsia="fr-FR"/>
        </w:rPr>
        <w:tab/>
        <w:t>14 MHz channel spacing P-P systems</w:t>
      </w:r>
      <w:bookmarkEnd w:id="465"/>
    </w:p>
    <w:p w:rsidR="00B9359B" w:rsidRDefault="009A5268">
      <w:pPr>
        <w:rPr>
          <w:lang w:val="en-US"/>
        </w:rPr>
      </w:pPr>
      <w:r>
        <w:rPr>
          <w:lang w:val="en-US"/>
        </w:rPr>
        <w:t xml:space="preserve">Since the channel spacing is larger than 10 MHz, in this case there is no need make the assumptions considered in the previous part for spurious emissions. Figure 53 provides the result of the calculation for a 14 MHz </w:t>
      </w:r>
      <w:r>
        <w:rPr>
          <w:i/>
          <w:iCs/>
          <w:lang w:val="en-US"/>
        </w:rPr>
        <w:t>C</w:t>
      </w:r>
      <w:r>
        <w:rPr>
          <w:i/>
          <w:iCs/>
          <w:vertAlign w:val="subscript"/>
          <w:lang w:val="en-US"/>
        </w:rPr>
        <w:t>s</w:t>
      </w:r>
      <w:r>
        <w:rPr>
          <w:lang w:val="en-US"/>
        </w:rPr>
        <w:t xml:space="preserve"> P</w:t>
      </w:r>
      <w:r>
        <w:rPr>
          <w:lang w:val="en-US"/>
        </w:rPr>
        <w:noBreakHyphen/>
        <w:t>P system.</w:t>
      </w:r>
    </w:p>
    <w:p w:rsidR="00B9359B" w:rsidRDefault="009A5268">
      <w:pPr>
        <w:pStyle w:val="FigureNo"/>
        <w:spacing w:before="0" w:after="60"/>
      </w:pPr>
      <w:r>
        <w:rPr>
          <w:lang w:val="en-US"/>
        </w:rPr>
        <w:br w:type="page"/>
      </w:r>
      <w:r>
        <w:object w:dxaOrig="5324" w:dyaOrig="5895">
          <v:shape id="_x0000_i1089" type="#_x0000_t75" style="width:267.05pt;height:294.45pt" o:ole="">
            <v:imagedata r:id="rId113" o:title=""/>
          </v:shape>
          <o:OLEObject Type="Embed" ProgID="Designer.Drawing.7" ShapeID="_x0000_i1089" DrawAspect="Content" ObjectID="_1629894595" r:id="rId114"/>
        </w:object>
      </w:r>
    </w:p>
    <w:p w:rsidR="00B9359B" w:rsidRDefault="009A5268">
      <w:pPr>
        <w:rPr>
          <w:lang w:val="en-US"/>
        </w:rPr>
      </w:pPr>
      <w:r>
        <w:rPr>
          <w:lang w:val="en-US"/>
        </w:rPr>
        <w:t>This leads to a guardband of 22 – 14/2 </w:t>
      </w:r>
      <w:r>
        <w:rPr>
          <w:rFonts w:ascii="Symbol" w:hAnsi="Symbol"/>
          <w:lang w:val="en-US"/>
        </w:rPr>
        <w:t></w:t>
      </w:r>
      <w:r>
        <w:rPr>
          <w:lang w:val="en-US"/>
        </w:rPr>
        <w:t> 15 MHz.</w:t>
      </w:r>
    </w:p>
    <w:p w:rsidR="00B9359B" w:rsidRDefault="009A5268">
      <w:pPr>
        <w:pStyle w:val="Heading6"/>
        <w:rPr>
          <w:lang w:val="en-US" w:eastAsia="fr-FR"/>
        </w:rPr>
      </w:pPr>
      <w:bookmarkStart w:id="466" w:name="_Toc51045866"/>
      <w:r>
        <w:rPr>
          <w:lang w:val="en-US" w:eastAsia="fr-FR"/>
        </w:rPr>
        <w:t>4.3.2.1.3.4</w:t>
      </w:r>
      <w:r>
        <w:rPr>
          <w:lang w:val="en-US" w:eastAsia="fr-FR"/>
        </w:rPr>
        <w:tab/>
        <w:t>28 MHz channel spacing P-P systems</w:t>
      </w:r>
      <w:bookmarkEnd w:id="466"/>
    </w:p>
    <w:p w:rsidR="00B9359B" w:rsidRDefault="009A5268">
      <w:pPr>
        <w:rPr>
          <w:lang w:val="en-US"/>
        </w:rPr>
      </w:pPr>
      <w:r>
        <w:rPr>
          <w:lang w:val="en-US"/>
        </w:rPr>
        <w:t xml:space="preserve">Figure 54 provides the result of the calculation for a 28 MHz </w:t>
      </w:r>
      <w:r>
        <w:rPr>
          <w:i/>
          <w:iCs/>
          <w:lang w:val="en-US"/>
        </w:rPr>
        <w:t>C</w:t>
      </w:r>
      <w:r>
        <w:rPr>
          <w:i/>
          <w:iCs/>
          <w:vertAlign w:val="subscript"/>
          <w:lang w:val="en-US"/>
        </w:rPr>
        <w:t>s</w:t>
      </w:r>
      <w:r>
        <w:rPr>
          <w:lang w:val="en-US"/>
        </w:rPr>
        <w:t xml:space="preserve"> P</w:t>
      </w:r>
      <w:r>
        <w:rPr>
          <w:lang w:val="en-US"/>
        </w:rPr>
        <w:noBreakHyphen/>
        <w:t>P system.</w:t>
      </w:r>
    </w:p>
    <w:p w:rsidR="00B9359B" w:rsidRDefault="009A5268">
      <w:pPr>
        <w:pStyle w:val="FigureNo"/>
        <w:spacing w:before="240" w:after="60"/>
        <w:rPr>
          <w:lang w:val="en-US"/>
        </w:rPr>
      </w:pPr>
      <w:r>
        <w:rPr>
          <w:lang w:val="en-US"/>
        </w:rPr>
        <w:object w:dxaOrig="5372" w:dyaOrig="5838">
          <v:shape id="_x0000_i1090" type="#_x0000_t75" style="width:268.65pt;height:292.3pt" o:ole="">
            <v:imagedata r:id="rId115" o:title=""/>
          </v:shape>
          <o:OLEObject Type="Embed" ProgID="Designer.Drawing.7" ShapeID="_x0000_i1090" DrawAspect="Content" ObjectID="_1629894596" r:id="rId116"/>
        </w:object>
      </w:r>
    </w:p>
    <w:p w:rsidR="00B9359B" w:rsidRDefault="009A5268">
      <w:pPr>
        <w:rPr>
          <w:lang w:val="en-US"/>
        </w:rPr>
      </w:pPr>
      <w:r>
        <w:rPr>
          <w:lang w:val="en-US"/>
        </w:rPr>
        <w:t>This leads to a guardband of 34 – 28/2 </w:t>
      </w:r>
      <w:r>
        <w:rPr>
          <w:rFonts w:ascii="Symbol" w:hAnsi="Symbol"/>
          <w:lang w:val="en-US"/>
        </w:rPr>
        <w:t></w:t>
      </w:r>
      <w:r>
        <w:rPr>
          <w:lang w:val="en-US"/>
        </w:rPr>
        <w:t> 20 MHz.</w:t>
      </w:r>
    </w:p>
    <w:p w:rsidR="00B9359B" w:rsidRDefault="009A5268">
      <w:pPr>
        <w:pStyle w:val="Heading6"/>
        <w:rPr>
          <w:lang w:val="en-US" w:eastAsia="fr-FR"/>
        </w:rPr>
      </w:pPr>
      <w:bookmarkStart w:id="467" w:name="_Toc51045867"/>
      <w:r>
        <w:rPr>
          <w:lang w:val="en-US" w:eastAsia="fr-FR"/>
        </w:rPr>
        <w:br w:type="page"/>
        <w:t>4.3.2.1.3.5</w:t>
      </w:r>
      <w:r>
        <w:rPr>
          <w:lang w:val="en-US" w:eastAsia="fr-FR"/>
        </w:rPr>
        <w:tab/>
        <w:t>56 MHz channel spacing P-P systems</w:t>
      </w:r>
      <w:bookmarkEnd w:id="467"/>
    </w:p>
    <w:p w:rsidR="00B9359B" w:rsidRDefault="009A5268">
      <w:pPr>
        <w:rPr>
          <w:lang w:val="en-US"/>
        </w:rPr>
      </w:pPr>
      <w:r>
        <w:rPr>
          <w:lang w:val="en-US"/>
        </w:rPr>
        <w:t xml:space="preserve">Figure 55 provides the result of the calculation for a 56 MHz </w:t>
      </w:r>
      <w:r>
        <w:rPr>
          <w:i/>
          <w:iCs/>
          <w:lang w:val="en-US"/>
        </w:rPr>
        <w:t>C</w:t>
      </w:r>
      <w:r>
        <w:rPr>
          <w:i/>
          <w:iCs/>
          <w:vertAlign w:val="subscript"/>
          <w:lang w:val="en-US"/>
        </w:rPr>
        <w:t>s</w:t>
      </w:r>
      <w:r>
        <w:rPr>
          <w:lang w:val="en-US"/>
        </w:rPr>
        <w:t xml:space="preserve"> P</w:t>
      </w:r>
      <w:r>
        <w:rPr>
          <w:lang w:val="en-US"/>
        </w:rPr>
        <w:noBreakHyphen/>
        <w:t>P system.</w:t>
      </w:r>
    </w:p>
    <w:p w:rsidR="00B9359B" w:rsidRDefault="009A5268">
      <w:pPr>
        <w:pStyle w:val="FigureNo"/>
        <w:spacing w:before="360" w:after="120"/>
      </w:pPr>
      <w:r>
        <w:object w:dxaOrig="5372" w:dyaOrig="5838">
          <v:shape id="_x0000_i1091" type="#_x0000_t75" style="width:268.65pt;height:292.3pt" o:ole="">
            <v:imagedata r:id="rId117" o:title=""/>
          </v:shape>
          <o:OLEObject Type="Embed" ProgID="Designer.Drawing.7" ShapeID="_x0000_i1091" DrawAspect="Content" ObjectID="_1629894597" r:id="rId118"/>
        </w:object>
      </w:r>
    </w:p>
    <w:p w:rsidR="00B9359B" w:rsidRDefault="009A5268">
      <w:pPr>
        <w:rPr>
          <w:lang w:val="en-US" w:eastAsia="fr-FR"/>
        </w:rPr>
      </w:pPr>
      <w:r>
        <w:rPr>
          <w:lang w:val="en-US"/>
        </w:rPr>
        <w:t>This leads to a guardband of 49 – 56/2 </w:t>
      </w:r>
      <w:r>
        <w:rPr>
          <w:rFonts w:ascii="Symbol" w:hAnsi="Symbol"/>
          <w:lang w:val="en-US"/>
        </w:rPr>
        <w:t></w:t>
      </w:r>
      <w:r>
        <w:rPr>
          <w:lang w:val="en-US"/>
        </w:rPr>
        <w:t> 21 MHz.</w:t>
      </w:r>
    </w:p>
    <w:p w:rsidR="00B9359B" w:rsidRDefault="009A5268">
      <w:pPr>
        <w:pStyle w:val="Heading6"/>
        <w:rPr>
          <w:lang w:val="en-US"/>
        </w:rPr>
      </w:pPr>
      <w:bookmarkStart w:id="468" w:name="_Toc51045868"/>
      <w:r>
        <w:rPr>
          <w:lang w:val="en-US"/>
        </w:rPr>
        <w:t>4.3.2.1.3.6</w:t>
      </w:r>
      <w:r>
        <w:rPr>
          <w:lang w:val="en-US"/>
        </w:rPr>
        <w:tab/>
        <w:t>Summary of the results for P-P systems</w:t>
      </w:r>
      <w:bookmarkEnd w:id="468"/>
    </w:p>
    <w:p w:rsidR="00B9359B" w:rsidRDefault="009A5268">
      <w:pPr>
        <w:rPr>
          <w:lang w:val="en-US"/>
        </w:rPr>
      </w:pPr>
      <w:r>
        <w:rPr>
          <w:lang w:val="en-US"/>
        </w:rPr>
        <w:t xml:space="preserve">Table 81 provides a summary of the results calculated for P-P systems using a </w:t>
      </w:r>
      <w:r>
        <w:rPr>
          <w:i/>
          <w:iCs/>
          <w:lang w:val="en-US"/>
        </w:rPr>
        <w:t>C</w:t>
      </w:r>
      <w:r>
        <w:rPr>
          <w:i/>
          <w:iCs/>
          <w:vertAlign w:val="subscript"/>
          <w:lang w:val="en-US"/>
        </w:rPr>
        <w:t>s</w:t>
      </w:r>
      <w:r>
        <w:rPr>
          <w:lang w:val="en-US"/>
        </w:rPr>
        <w:t xml:space="preserve"> ranging from 3.5 MHz to 56 MHz.</w:t>
      </w:r>
    </w:p>
    <w:p w:rsidR="00B9359B" w:rsidRDefault="009A5268">
      <w:pPr>
        <w:pStyle w:val="TableNo"/>
        <w:rPr>
          <w:lang w:val="en-US" w:eastAsia="fr-FR"/>
        </w:rPr>
      </w:pPr>
      <w:r>
        <w:rPr>
          <w:lang w:val="en-US" w:eastAsia="fr-FR"/>
        </w:rPr>
        <w:t>TABLE  81</w:t>
      </w:r>
    </w:p>
    <w:p w:rsidR="00B9359B" w:rsidRDefault="009A5268">
      <w:pPr>
        <w:pStyle w:val="Tabletitle"/>
        <w:rPr>
          <w:lang w:val="en-US" w:eastAsia="fr-FR"/>
        </w:rPr>
      </w:pPr>
      <w:r>
        <w:rPr>
          <w:lang w:val="en-US" w:eastAsia="fr-FR"/>
        </w:rPr>
        <w:t xml:space="preserve">Guardband depending on the </w:t>
      </w:r>
      <w:r>
        <w:rPr>
          <w:i/>
          <w:iCs/>
          <w:lang w:val="en-US"/>
        </w:rPr>
        <w:t>C</w:t>
      </w:r>
      <w:r>
        <w:rPr>
          <w:i/>
          <w:iCs/>
          <w:vertAlign w:val="subscript"/>
          <w:lang w:val="en-US"/>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2126"/>
        <w:gridCol w:w="2665"/>
      </w:tblGrid>
      <w:tr w:rsidR="00B9359B">
        <w:tc>
          <w:tcPr>
            <w:tcW w:w="3119" w:type="dxa"/>
          </w:tcPr>
          <w:p w:rsidR="00B9359B" w:rsidRDefault="009A5268">
            <w:pPr>
              <w:pStyle w:val="Tablehead"/>
              <w:framePr w:hSpace="181" w:wrap="notBeside" w:vAnchor="text" w:hAnchor="text" w:xAlign="center" w:y="1"/>
              <w:rPr>
                <w:lang w:val="en-US"/>
              </w:rPr>
            </w:pPr>
            <w:r>
              <w:rPr>
                <w:lang w:val="en-US"/>
              </w:rPr>
              <w:t xml:space="preserve">Channel spacing </w:t>
            </w:r>
            <w:r>
              <w:rPr>
                <w:lang w:val="en-US"/>
              </w:rPr>
              <w:br/>
              <w:t>(MHz)</w:t>
            </w:r>
          </w:p>
        </w:tc>
        <w:tc>
          <w:tcPr>
            <w:tcW w:w="2126" w:type="dxa"/>
          </w:tcPr>
          <w:p w:rsidR="00B9359B" w:rsidRDefault="009A5268">
            <w:pPr>
              <w:pStyle w:val="Tablehead"/>
              <w:framePr w:hSpace="181" w:wrap="notBeside" w:vAnchor="text" w:hAnchor="text" w:xAlign="center" w:y="1"/>
              <w:rPr>
                <w:lang w:val="en-US"/>
              </w:rPr>
            </w:pPr>
            <w:r>
              <w:rPr>
                <w:i/>
                <w:iCs/>
                <w:lang w:val="en-US"/>
              </w:rPr>
              <w:t>Z</w:t>
            </w:r>
            <w:r>
              <w:rPr>
                <w:sz w:val="26"/>
                <w:vertAlign w:val="subscript"/>
                <w:lang w:val="en-US"/>
              </w:rPr>
              <w:t>2</w:t>
            </w:r>
            <w:r>
              <w:rPr>
                <w:i/>
                <w:iCs/>
                <w:lang w:val="en-US"/>
              </w:rPr>
              <w:t>S</w:t>
            </w:r>
            <w:r>
              <w:rPr>
                <w:lang w:val="en-US"/>
              </w:rPr>
              <w:t xml:space="preserve"> </w:t>
            </w:r>
            <w:r>
              <w:rPr>
                <w:lang w:val="en-US"/>
              </w:rPr>
              <w:br/>
              <w:t>(MHz)</w:t>
            </w:r>
          </w:p>
        </w:tc>
        <w:tc>
          <w:tcPr>
            <w:tcW w:w="2665" w:type="dxa"/>
          </w:tcPr>
          <w:p w:rsidR="00B9359B" w:rsidRDefault="009A5268">
            <w:pPr>
              <w:pStyle w:val="Tablehead"/>
              <w:framePr w:hSpace="181" w:wrap="notBeside" w:vAnchor="text" w:hAnchor="text" w:xAlign="center" w:y="1"/>
              <w:rPr>
                <w:lang w:val="en-US"/>
              </w:rPr>
            </w:pPr>
            <w:r>
              <w:rPr>
                <w:lang w:val="en-US"/>
              </w:rPr>
              <w:t xml:space="preserve">Guardband </w:t>
            </w:r>
            <w:r>
              <w:rPr>
                <w:lang w:val="en-US"/>
              </w:rPr>
              <w:br/>
              <w:t>(MHz)</w:t>
            </w:r>
          </w:p>
        </w:tc>
      </w:tr>
      <w:tr w:rsidR="00B9359B">
        <w:tc>
          <w:tcPr>
            <w:tcW w:w="3119"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eastAsia="fr-FR"/>
              </w:rPr>
            </w:pPr>
            <w:r>
              <w:rPr>
                <w:lang w:val="en-US" w:eastAsia="fr-FR"/>
              </w:rPr>
              <w:t>3.5</w:t>
            </w:r>
          </w:p>
        </w:tc>
        <w:tc>
          <w:tcPr>
            <w:tcW w:w="2126"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28.75</w:t>
            </w:r>
          </w:p>
        </w:tc>
        <w:tc>
          <w:tcPr>
            <w:tcW w:w="2665"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27</w:t>
            </w:r>
          </w:p>
        </w:tc>
      </w:tr>
      <w:tr w:rsidR="00B9359B">
        <w:tc>
          <w:tcPr>
            <w:tcW w:w="3119"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eastAsia="fr-FR"/>
              </w:rPr>
            </w:pPr>
            <w:r>
              <w:rPr>
                <w:lang w:val="en-US" w:eastAsia="fr-FR"/>
              </w:rPr>
              <w:t>7</w:t>
            </w:r>
          </w:p>
        </w:tc>
        <w:tc>
          <w:tcPr>
            <w:tcW w:w="2126"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27.5</w:t>
            </w:r>
          </w:p>
        </w:tc>
        <w:tc>
          <w:tcPr>
            <w:tcW w:w="2665"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24</w:t>
            </w:r>
          </w:p>
        </w:tc>
      </w:tr>
      <w:tr w:rsidR="00B9359B">
        <w:tc>
          <w:tcPr>
            <w:tcW w:w="3119"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eastAsia="fr-FR"/>
              </w:rPr>
            </w:pPr>
            <w:r>
              <w:rPr>
                <w:lang w:val="en-US" w:eastAsia="fr-FR"/>
              </w:rPr>
              <w:t>14</w:t>
            </w:r>
          </w:p>
        </w:tc>
        <w:tc>
          <w:tcPr>
            <w:tcW w:w="2126"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22</w:t>
            </w:r>
          </w:p>
        </w:tc>
        <w:tc>
          <w:tcPr>
            <w:tcW w:w="2665"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15</w:t>
            </w:r>
          </w:p>
        </w:tc>
      </w:tr>
      <w:tr w:rsidR="00B9359B">
        <w:tc>
          <w:tcPr>
            <w:tcW w:w="3119"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28</w:t>
            </w:r>
          </w:p>
        </w:tc>
        <w:tc>
          <w:tcPr>
            <w:tcW w:w="2126"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34</w:t>
            </w:r>
          </w:p>
        </w:tc>
        <w:tc>
          <w:tcPr>
            <w:tcW w:w="2665"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20</w:t>
            </w:r>
          </w:p>
        </w:tc>
      </w:tr>
      <w:tr w:rsidR="00B9359B">
        <w:tc>
          <w:tcPr>
            <w:tcW w:w="3119"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eastAsia="fr-FR"/>
              </w:rPr>
            </w:pPr>
            <w:r>
              <w:rPr>
                <w:lang w:val="en-US" w:eastAsia="fr-FR"/>
              </w:rPr>
              <w:t>56</w:t>
            </w:r>
          </w:p>
        </w:tc>
        <w:tc>
          <w:tcPr>
            <w:tcW w:w="2126"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49</w:t>
            </w:r>
          </w:p>
        </w:tc>
        <w:tc>
          <w:tcPr>
            <w:tcW w:w="2665"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21</w:t>
            </w:r>
          </w:p>
        </w:tc>
      </w:tr>
    </w:tbl>
    <w:p w:rsidR="00B9359B" w:rsidRDefault="00B9359B">
      <w:pPr>
        <w:pStyle w:val="Tablefin"/>
        <w:spacing w:before="0"/>
      </w:pPr>
    </w:p>
    <w:p w:rsidR="00B9359B" w:rsidRDefault="009A5268">
      <w:pPr>
        <w:pStyle w:val="Heading4"/>
        <w:rPr>
          <w:lang w:val="en-US"/>
        </w:rPr>
      </w:pPr>
      <w:bookmarkStart w:id="469" w:name="_Toc51045869"/>
      <w:r>
        <w:rPr>
          <w:lang w:val="en-US"/>
        </w:rPr>
        <w:t>4.3.2.2</w:t>
      </w:r>
      <w:r>
        <w:rPr>
          <w:lang w:val="en-US"/>
        </w:rPr>
        <w:tab/>
        <w:t>P-MP FS systems</w:t>
      </w:r>
      <w:bookmarkEnd w:id="469"/>
    </w:p>
    <w:p w:rsidR="00B9359B" w:rsidRDefault="009A5268">
      <w:pPr>
        <w:rPr>
          <w:lang w:val="en-US"/>
        </w:rPr>
      </w:pPr>
      <w:r>
        <w:rPr>
          <w:lang w:val="en-US"/>
        </w:rPr>
        <w:t>It should be noted that the acceptable unwanted emissions level per P-MP FS system level, which is obtained in case of terminal station (see Table 79) is the same as the acceptable unwanted emissions level per P</w:t>
      </w:r>
      <w:r>
        <w:rPr>
          <w:lang w:val="en-US"/>
        </w:rPr>
        <w:noBreakHyphen/>
        <w:t>P FS system level (see Table 78).</w:t>
      </w:r>
    </w:p>
    <w:p w:rsidR="00B9359B" w:rsidRDefault="009A5268">
      <w:pPr>
        <w:pStyle w:val="Heading5"/>
        <w:rPr>
          <w:lang w:val="en-US"/>
        </w:rPr>
      </w:pPr>
      <w:bookmarkStart w:id="470" w:name="_Toc51045870"/>
      <w:r>
        <w:rPr>
          <w:lang w:val="en-US" w:eastAsia="fr-FR"/>
        </w:rPr>
        <w:br w:type="page"/>
        <w:t>4.3.2.2.1</w:t>
      </w:r>
      <w:r>
        <w:rPr>
          <w:lang w:val="en-US" w:eastAsia="fr-FR"/>
        </w:rPr>
        <w:tab/>
        <w:t xml:space="preserve">OoB emissions masks for P-MP </w:t>
      </w:r>
      <w:r>
        <w:rPr>
          <w:lang w:val="en-US"/>
        </w:rPr>
        <w:t>systems</w:t>
      </w:r>
      <w:bookmarkEnd w:id="470"/>
    </w:p>
    <w:p w:rsidR="00B9359B" w:rsidRDefault="009A5268">
      <w:pPr>
        <w:rPr>
          <w:lang w:val="en-US"/>
        </w:rPr>
      </w:pPr>
      <w:r>
        <w:rPr>
          <w:lang w:val="en-US"/>
        </w:rPr>
        <w:t xml:space="preserve">For the purpose of these analyses, we consider the OoB masks given in the ETSI standard which provides information on </w:t>
      </w:r>
      <w:r>
        <w:rPr>
          <w:snapToGrid w:val="0"/>
          <w:lang w:val="en-US"/>
        </w:rPr>
        <w:t>fixed radio systems;</w:t>
      </w:r>
      <w:r>
        <w:rPr>
          <w:lang w:val="en-US"/>
        </w:rPr>
        <w:t xml:space="preserve"> </w:t>
      </w:r>
      <w:r>
        <w:rPr>
          <w:snapToGrid w:val="0"/>
          <w:lang w:val="en-US"/>
        </w:rPr>
        <w:t>multipoint equipment, and multipoint digital radio systems operating in the 31 GHz to 33.4 GHz (32 GHz) frequency range</w:t>
      </w:r>
      <w:r>
        <w:rPr>
          <w:lang w:val="en-US"/>
        </w:rPr>
        <w:t>. The first step of the analysis is to determine the worst-case OoB emissions masks. This leads to consider the following cases shown in Fig. 56.</w:t>
      </w:r>
    </w:p>
    <w:p w:rsidR="00B9359B" w:rsidRDefault="00AB52AF">
      <w:pPr>
        <w:pStyle w:val="FigureNo"/>
      </w:pPr>
      <w:r>
        <w:pict>
          <v:shape id="_x0000_i1092" type="#_x0000_t75" style="width:224.6pt;height:312.2pt">
            <v:imagedata r:id="rId119" o:title=""/>
          </v:shape>
        </w:pict>
      </w:r>
    </w:p>
    <w:p w:rsidR="00B9359B" w:rsidRDefault="009A5268">
      <w:pPr>
        <w:rPr>
          <w:lang w:val="en-US"/>
        </w:rPr>
      </w:pPr>
      <w:r>
        <w:rPr>
          <w:lang w:val="en-US"/>
        </w:rPr>
        <w:t xml:space="preserve">Table 82 provides the corresponding break points for type A systems, depending on the </w:t>
      </w:r>
      <w:r>
        <w:rPr>
          <w:i/>
          <w:iCs/>
          <w:lang w:val="en-US"/>
        </w:rPr>
        <w:t>C</w:t>
      </w:r>
      <w:r>
        <w:rPr>
          <w:i/>
          <w:iCs/>
          <w:vertAlign w:val="subscript"/>
          <w:lang w:val="en-US"/>
        </w:rPr>
        <w:t>s</w:t>
      </w:r>
      <w:r>
        <w:rPr>
          <w:lang w:val="en-US"/>
        </w:rPr>
        <w:t>, which may extend from 3.5 MHz to 112 MHz according to the ETSI standard.</w:t>
      </w:r>
    </w:p>
    <w:p w:rsidR="00B9359B" w:rsidRDefault="009A5268">
      <w:pPr>
        <w:pStyle w:val="TableNo"/>
        <w:rPr>
          <w:lang w:val="en-US"/>
        </w:rPr>
      </w:pPr>
      <w:r>
        <w:rPr>
          <w:lang w:val="en-US"/>
        </w:rPr>
        <w:t>TABLE  82</w:t>
      </w:r>
    </w:p>
    <w:p w:rsidR="00B9359B" w:rsidRDefault="009A5268">
      <w:pPr>
        <w:pStyle w:val="Tabletitle"/>
        <w:rPr>
          <w:lang w:val="en-US"/>
        </w:rPr>
      </w:pPr>
      <w:r>
        <w:rPr>
          <w:lang w:val="en-US"/>
        </w:rPr>
        <w:t>Break points of the OoB emissions mask</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19"/>
        <w:gridCol w:w="1304"/>
        <w:gridCol w:w="1304"/>
        <w:gridCol w:w="1304"/>
        <w:gridCol w:w="1304"/>
        <w:gridCol w:w="1304"/>
      </w:tblGrid>
      <w:tr w:rsidR="00B9359B">
        <w:tc>
          <w:tcPr>
            <w:tcW w:w="3119" w:type="dxa"/>
          </w:tcPr>
          <w:p w:rsidR="00B9359B" w:rsidRDefault="009A5268">
            <w:pPr>
              <w:pStyle w:val="Tablehead"/>
              <w:framePr w:hSpace="181" w:wrap="notBeside" w:vAnchor="text" w:hAnchor="text" w:xAlign="center" w:y="1"/>
              <w:spacing w:before="60" w:after="60"/>
              <w:rPr>
                <w:lang w:val="en-US"/>
              </w:rPr>
            </w:pPr>
            <w:r>
              <w:rPr>
                <w:lang w:val="en-US"/>
              </w:rPr>
              <w:t xml:space="preserve">Co-polar channel spacing </w:t>
            </w:r>
            <w:r>
              <w:rPr>
                <w:lang w:val="en-US"/>
              </w:rPr>
              <w:br/>
              <w:t xml:space="preserve">Points in Fig. 56 </w:t>
            </w:r>
            <w:r>
              <w:rPr>
                <w:lang w:val="en-US"/>
              </w:rPr>
              <w:br/>
              <w:t>(MHz)</w:t>
            </w:r>
          </w:p>
        </w:tc>
        <w:tc>
          <w:tcPr>
            <w:tcW w:w="1304" w:type="dxa"/>
          </w:tcPr>
          <w:p w:rsidR="00B9359B" w:rsidRDefault="009A5268">
            <w:pPr>
              <w:pStyle w:val="Tablehead"/>
              <w:framePr w:hSpace="181" w:wrap="notBeside" w:vAnchor="text" w:hAnchor="text" w:xAlign="center" w:y="1"/>
              <w:spacing w:before="60" w:after="60"/>
              <w:rPr>
                <w:lang w:val="en-US"/>
              </w:rPr>
            </w:pPr>
            <w:r>
              <w:rPr>
                <w:lang w:val="en-US"/>
              </w:rPr>
              <w:t>0 dB</w:t>
            </w:r>
            <w:r>
              <w:rPr>
                <w:lang w:val="en-US"/>
              </w:rPr>
              <w:br/>
              <w:t>Point A (MHz)</w:t>
            </w:r>
          </w:p>
        </w:tc>
        <w:tc>
          <w:tcPr>
            <w:tcW w:w="1304" w:type="dxa"/>
          </w:tcPr>
          <w:p w:rsidR="00B9359B" w:rsidRDefault="009A5268">
            <w:pPr>
              <w:pStyle w:val="Tablehead"/>
              <w:framePr w:hSpace="181" w:wrap="notBeside" w:vAnchor="text" w:hAnchor="text" w:xAlign="center" w:y="1"/>
              <w:spacing w:before="60" w:after="60"/>
              <w:rPr>
                <w:lang w:val="en-US"/>
              </w:rPr>
            </w:pPr>
            <w:r>
              <w:sym w:font="Symbol" w:char="F02D"/>
            </w:r>
            <w:r>
              <w:rPr>
                <w:lang w:val="en-US"/>
              </w:rPr>
              <w:t>23 dB</w:t>
            </w:r>
            <w:r>
              <w:rPr>
                <w:lang w:val="en-US"/>
              </w:rPr>
              <w:br/>
              <w:t>Point B (MHz)</w:t>
            </w:r>
          </w:p>
        </w:tc>
        <w:tc>
          <w:tcPr>
            <w:tcW w:w="1304" w:type="dxa"/>
          </w:tcPr>
          <w:p w:rsidR="00B9359B" w:rsidRDefault="009A5268">
            <w:pPr>
              <w:pStyle w:val="Tablehead"/>
              <w:framePr w:hSpace="181" w:wrap="notBeside" w:vAnchor="text" w:hAnchor="text" w:xAlign="center" w:y="1"/>
              <w:spacing w:before="60" w:after="60"/>
              <w:rPr>
                <w:lang w:val="en-US"/>
              </w:rPr>
            </w:pPr>
            <w:r>
              <w:sym w:font="Symbol" w:char="F02D"/>
            </w:r>
            <w:r>
              <w:rPr>
                <w:lang w:val="en-US"/>
              </w:rPr>
              <w:t>23 dB</w:t>
            </w:r>
            <w:r>
              <w:rPr>
                <w:lang w:val="en-US"/>
              </w:rPr>
              <w:br/>
              <w:t>Point C (MHz)</w:t>
            </w:r>
          </w:p>
        </w:tc>
        <w:tc>
          <w:tcPr>
            <w:tcW w:w="1304" w:type="dxa"/>
          </w:tcPr>
          <w:p w:rsidR="00B9359B" w:rsidRDefault="009A5268">
            <w:pPr>
              <w:pStyle w:val="Tablehead"/>
              <w:framePr w:hSpace="181" w:wrap="notBeside" w:vAnchor="text" w:hAnchor="text" w:xAlign="center" w:y="1"/>
              <w:spacing w:before="60" w:after="60"/>
              <w:rPr>
                <w:lang w:val="en-US"/>
              </w:rPr>
            </w:pPr>
            <w:r>
              <w:sym w:font="Symbol" w:char="F02D"/>
            </w:r>
            <w:r>
              <w:rPr>
                <w:lang w:val="en-US"/>
              </w:rPr>
              <w:t>45 dB</w:t>
            </w:r>
            <w:r>
              <w:rPr>
                <w:lang w:val="en-US"/>
              </w:rPr>
              <w:br/>
              <w:t>Point D (MHz)</w:t>
            </w:r>
          </w:p>
        </w:tc>
        <w:tc>
          <w:tcPr>
            <w:tcW w:w="1304" w:type="dxa"/>
          </w:tcPr>
          <w:p w:rsidR="00B9359B" w:rsidRDefault="009A5268">
            <w:pPr>
              <w:pStyle w:val="Tablehead"/>
              <w:framePr w:hSpace="181" w:wrap="notBeside" w:vAnchor="text" w:hAnchor="text" w:xAlign="center" w:y="1"/>
              <w:spacing w:before="60" w:after="60"/>
              <w:rPr>
                <w:lang w:val="en-US"/>
              </w:rPr>
            </w:pPr>
            <w:r>
              <w:sym w:font="Symbol" w:char="F02D"/>
            </w:r>
            <w:r>
              <w:rPr>
                <w:lang w:val="en-US"/>
              </w:rPr>
              <w:t>45 dB</w:t>
            </w:r>
            <w:r>
              <w:rPr>
                <w:lang w:val="en-US"/>
              </w:rPr>
              <w:br/>
              <w:t>Point E (MHz)</w:t>
            </w:r>
          </w:p>
        </w:tc>
      </w:tr>
      <w:tr w:rsidR="00B9359B">
        <w:tc>
          <w:tcPr>
            <w:tcW w:w="3119" w:type="dxa"/>
          </w:tcPr>
          <w:p w:rsidR="00B9359B" w:rsidRDefault="009A5268">
            <w:pPr>
              <w:pStyle w:val="Tabletext"/>
              <w:framePr w:hSpace="181" w:wrap="notBeside" w:vAnchor="text" w:hAnchor="text" w:xAlign="center" w:y="1"/>
              <w:jc w:val="center"/>
              <w:rPr>
                <w:lang w:val="en-US"/>
              </w:rPr>
            </w:pPr>
            <w:r>
              <w:rPr>
                <w:lang w:val="en-US"/>
              </w:rPr>
              <w:t>3.5</w:t>
            </w:r>
          </w:p>
        </w:tc>
        <w:tc>
          <w:tcPr>
            <w:tcW w:w="1304" w:type="dxa"/>
          </w:tcPr>
          <w:p w:rsidR="00B9359B" w:rsidRDefault="009A5268">
            <w:pPr>
              <w:pStyle w:val="Tabletext"/>
              <w:framePr w:hSpace="181" w:wrap="notBeside" w:vAnchor="text" w:hAnchor="text" w:xAlign="center" w:y="1"/>
              <w:jc w:val="center"/>
              <w:rPr>
                <w:lang w:val="en-US"/>
              </w:rPr>
            </w:pPr>
            <w:r>
              <w:rPr>
                <w:lang w:val="en-US"/>
              </w:rPr>
              <w:t>1.5</w:t>
            </w:r>
          </w:p>
        </w:tc>
        <w:tc>
          <w:tcPr>
            <w:tcW w:w="1304" w:type="dxa"/>
          </w:tcPr>
          <w:p w:rsidR="00B9359B" w:rsidRDefault="009A5268">
            <w:pPr>
              <w:pStyle w:val="Tabletext"/>
              <w:framePr w:hSpace="181" w:wrap="notBeside" w:vAnchor="text" w:hAnchor="text" w:xAlign="center" w:y="1"/>
              <w:jc w:val="center"/>
              <w:rPr>
                <w:lang w:val="en-US"/>
              </w:rPr>
            </w:pPr>
            <w:r>
              <w:rPr>
                <w:lang w:val="en-US"/>
              </w:rPr>
              <w:t>2.8</w:t>
            </w:r>
          </w:p>
        </w:tc>
        <w:tc>
          <w:tcPr>
            <w:tcW w:w="1304" w:type="dxa"/>
          </w:tcPr>
          <w:p w:rsidR="00B9359B" w:rsidRDefault="009A5268">
            <w:pPr>
              <w:pStyle w:val="Tabletext"/>
              <w:framePr w:hSpace="181" w:wrap="notBeside" w:vAnchor="text" w:hAnchor="text" w:xAlign="center" w:y="1"/>
              <w:jc w:val="center"/>
              <w:rPr>
                <w:lang w:val="en-US"/>
              </w:rPr>
            </w:pPr>
            <w:r>
              <w:rPr>
                <w:lang w:val="en-US"/>
              </w:rPr>
              <w:t>3.7</w:t>
            </w:r>
          </w:p>
        </w:tc>
        <w:tc>
          <w:tcPr>
            <w:tcW w:w="1304" w:type="dxa"/>
          </w:tcPr>
          <w:p w:rsidR="00B9359B" w:rsidRDefault="009A5268">
            <w:pPr>
              <w:pStyle w:val="Tabletext"/>
              <w:framePr w:hSpace="181" w:wrap="notBeside" w:vAnchor="text" w:hAnchor="text" w:xAlign="center" w:y="1"/>
              <w:jc w:val="center"/>
              <w:rPr>
                <w:lang w:val="en-US"/>
              </w:rPr>
            </w:pPr>
            <w:r>
              <w:rPr>
                <w:lang w:val="en-US"/>
              </w:rPr>
              <w:t>7</w:t>
            </w:r>
          </w:p>
        </w:tc>
        <w:tc>
          <w:tcPr>
            <w:tcW w:w="1304" w:type="dxa"/>
          </w:tcPr>
          <w:p w:rsidR="00B9359B" w:rsidRDefault="009A5268">
            <w:pPr>
              <w:pStyle w:val="Tabletext"/>
              <w:framePr w:hSpace="181" w:wrap="notBeside" w:vAnchor="text" w:hAnchor="text" w:xAlign="center" w:y="1"/>
              <w:jc w:val="center"/>
              <w:rPr>
                <w:lang w:val="en-US"/>
              </w:rPr>
            </w:pPr>
            <w:r>
              <w:rPr>
                <w:lang w:val="en-US"/>
              </w:rPr>
              <w:t>8.75</w:t>
            </w:r>
          </w:p>
        </w:tc>
      </w:tr>
      <w:tr w:rsidR="00B9359B">
        <w:tc>
          <w:tcPr>
            <w:tcW w:w="3119" w:type="dxa"/>
          </w:tcPr>
          <w:p w:rsidR="00B9359B" w:rsidRDefault="009A5268">
            <w:pPr>
              <w:pStyle w:val="Tabletext"/>
              <w:framePr w:hSpace="181" w:wrap="notBeside" w:vAnchor="text" w:hAnchor="text" w:xAlign="center" w:y="1"/>
              <w:jc w:val="center"/>
              <w:rPr>
                <w:lang w:val="en-US"/>
              </w:rPr>
            </w:pPr>
            <w:r>
              <w:rPr>
                <w:lang w:val="en-US"/>
              </w:rPr>
              <w:t>7</w:t>
            </w:r>
          </w:p>
        </w:tc>
        <w:tc>
          <w:tcPr>
            <w:tcW w:w="1304" w:type="dxa"/>
          </w:tcPr>
          <w:p w:rsidR="00B9359B" w:rsidRDefault="009A5268">
            <w:pPr>
              <w:pStyle w:val="Tabletext"/>
              <w:framePr w:hSpace="181" w:wrap="notBeside" w:vAnchor="text" w:hAnchor="text" w:xAlign="center" w:y="1"/>
              <w:jc w:val="center"/>
              <w:rPr>
                <w:lang w:val="en-US"/>
              </w:rPr>
            </w:pPr>
            <w:r>
              <w:rPr>
                <w:lang w:val="en-US"/>
              </w:rPr>
              <w:t>2.8</w:t>
            </w:r>
          </w:p>
        </w:tc>
        <w:tc>
          <w:tcPr>
            <w:tcW w:w="1304" w:type="dxa"/>
          </w:tcPr>
          <w:p w:rsidR="00B9359B" w:rsidRDefault="009A5268">
            <w:pPr>
              <w:pStyle w:val="Tabletext"/>
              <w:framePr w:hSpace="181" w:wrap="notBeside" w:vAnchor="text" w:hAnchor="text" w:xAlign="center" w:y="1"/>
              <w:jc w:val="center"/>
              <w:rPr>
                <w:lang w:val="en-US"/>
              </w:rPr>
            </w:pPr>
            <w:r>
              <w:rPr>
                <w:lang w:val="en-US"/>
              </w:rPr>
              <w:t>5.6</w:t>
            </w:r>
          </w:p>
        </w:tc>
        <w:tc>
          <w:tcPr>
            <w:tcW w:w="1304" w:type="dxa"/>
          </w:tcPr>
          <w:p w:rsidR="00B9359B" w:rsidRDefault="009A5268">
            <w:pPr>
              <w:pStyle w:val="Tabletext"/>
              <w:framePr w:hSpace="181" w:wrap="notBeside" w:vAnchor="text" w:hAnchor="text" w:xAlign="center" w:y="1"/>
              <w:jc w:val="center"/>
              <w:rPr>
                <w:lang w:val="en-US"/>
              </w:rPr>
            </w:pPr>
            <w:r>
              <w:rPr>
                <w:lang w:val="en-US"/>
              </w:rPr>
              <w:t>7</w:t>
            </w:r>
          </w:p>
        </w:tc>
        <w:tc>
          <w:tcPr>
            <w:tcW w:w="1304" w:type="dxa"/>
          </w:tcPr>
          <w:p w:rsidR="00B9359B" w:rsidRDefault="009A5268">
            <w:pPr>
              <w:pStyle w:val="Tabletext"/>
              <w:framePr w:hSpace="181" w:wrap="notBeside" w:vAnchor="text" w:hAnchor="text" w:xAlign="center" w:y="1"/>
              <w:jc w:val="center"/>
              <w:rPr>
                <w:lang w:val="en-US"/>
              </w:rPr>
            </w:pPr>
            <w:r>
              <w:rPr>
                <w:lang w:val="en-US"/>
              </w:rPr>
              <w:t>14</w:t>
            </w:r>
          </w:p>
        </w:tc>
        <w:tc>
          <w:tcPr>
            <w:tcW w:w="1304" w:type="dxa"/>
          </w:tcPr>
          <w:p w:rsidR="00B9359B" w:rsidRDefault="009A5268">
            <w:pPr>
              <w:pStyle w:val="Tabletext"/>
              <w:framePr w:hSpace="181" w:wrap="notBeside" w:vAnchor="text" w:hAnchor="text" w:xAlign="center" w:y="1"/>
              <w:jc w:val="center"/>
              <w:rPr>
                <w:lang w:val="en-US"/>
              </w:rPr>
            </w:pPr>
            <w:r>
              <w:rPr>
                <w:lang w:val="en-US"/>
              </w:rPr>
              <w:t>17.5</w:t>
            </w:r>
          </w:p>
        </w:tc>
      </w:tr>
      <w:tr w:rsidR="00B9359B">
        <w:tc>
          <w:tcPr>
            <w:tcW w:w="3119" w:type="dxa"/>
          </w:tcPr>
          <w:p w:rsidR="00B9359B" w:rsidRDefault="009A5268">
            <w:pPr>
              <w:pStyle w:val="Tabletext"/>
              <w:framePr w:hSpace="181" w:wrap="notBeside" w:vAnchor="text" w:hAnchor="text" w:xAlign="center" w:y="1"/>
              <w:jc w:val="center"/>
              <w:rPr>
                <w:lang w:val="en-US"/>
              </w:rPr>
            </w:pPr>
            <w:r>
              <w:rPr>
                <w:lang w:val="en-US"/>
              </w:rPr>
              <w:t>14</w:t>
            </w:r>
          </w:p>
        </w:tc>
        <w:tc>
          <w:tcPr>
            <w:tcW w:w="1304" w:type="dxa"/>
          </w:tcPr>
          <w:p w:rsidR="00B9359B" w:rsidRDefault="009A5268">
            <w:pPr>
              <w:pStyle w:val="Tabletext"/>
              <w:framePr w:hSpace="181" w:wrap="notBeside" w:vAnchor="text" w:hAnchor="text" w:xAlign="center" w:y="1"/>
              <w:jc w:val="center"/>
              <w:rPr>
                <w:lang w:val="en-US"/>
              </w:rPr>
            </w:pPr>
            <w:r>
              <w:rPr>
                <w:lang w:val="en-US"/>
              </w:rPr>
              <w:t>5.6</w:t>
            </w:r>
          </w:p>
        </w:tc>
        <w:tc>
          <w:tcPr>
            <w:tcW w:w="1304" w:type="dxa"/>
          </w:tcPr>
          <w:p w:rsidR="00B9359B" w:rsidRDefault="009A5268">
            <w:pPr>
              <w:pStyle w:val="Tabletext"/>
              <w:framePr w:hSpace="181" w:wrap="notBeside" w:vAnchor="text" w:hAnchor="text" w:xAlign="center" w:y="1"/>
              <w:jc w:val="center"/>
              <w:rPr>
                <w:lang w:val="en-US"/>
              </w:rPr>
            </w:pPr>
            <w:r>
              <w:rPr>
                <w:lang w:val="en-US"/>
              </w:rPr>
              <w:t>11.2</w:t>
            </w:r>
          </w:p>
        </w:tc>
        <w:tc>
          <w:tcPr>
            <w:tcW w:w="1304" w:type="dxa"/>
          </w:tcPr>
          <w:p w:rsidR="00B9359B" w:rsidRDefault="009A5268">
            <w:pPr>
              <w:pStyle w:val="Tabletext"/>
              <w:framePr w:hSpace="181" w:wrap="notBeside" w:vAnchor="text" w:hAnchor="text" w:xAlign="center" w:y="1"/>
              <w:jc w:val="center"/>
              <w:rPr>
                <w:lang w:val="en-US"/>
              </w:rPr>
            </w:pPr>
            <w:r>
              <w:rPr>
                <w:lang w:val="en-US"/>
              </w:rPr>
              <w:t>14</w:t>
            </w:r>
          </w:p>
        </w:tc>
        <w:tc>
          <w:tcPr>
            <w:tcW w:w="1304" w:type="dxa"/>
          </w:tcPr>
          <w:p w:rsidR="00B9359B" w:rsidRDefault="009A5268">
            <w:pPr>
              <w:pStyle w:val="Tabletext"/>
              <w:framePr w:hSpace="181" w:wrap="notBeside" w:vAnchor="text" w:hAnchor="text" w:xAlign="center" w:y="1"/>
              <w:jc w:val="center"/>
              <w:rPr>
                <w:lang w:val="en-US"/>
              </w:rPr>
            </w:pPr>
            <w:r>
              <w:rPr>
                <w:lang w:val="en-US"/>
              </w:rPr>
              <w:t>28</w:t>
            </w:r>
          </w:p>
        </w:tc>
        <w:tc>
          <w:tcPr>
            <w:tcW w:w="1304" w:type="dxa"/>
          </w:tcPr>
          <w:p w:rsidR="00B9359B" w:rsidRDefault="009A5268">
            <w:pPr>
              <w:pStyle w:val="Tabletext"/>
              <w:framePr w:hSpace="181" w:wrap="notBeside" w:vAnchor="text" w:hAnchor="text" w:xAlign="center" w:y="1"/>
              <w:jc w:val="center"/>
              <w:rPr>
                <w:lang w:val="en-US"/>
              </w:rPr>
            </w:pPr>
            <w:r>
              <w:rPr>
                <w:lang w:val="en-US"/>
              </w:rPr>
              <w:t>35</w:t>
            </w:r>
          </w:p>
        </w:tc>
      </w:tr>
      <w:tr w:rsidR="00B9359B">
        <w:tc>
          <w:tcPr>
            <w:tcW w:w="3119" w:type="dxa"/>
          </w:tcPr>
          <w:p w:rsidR="00B9359B" w:rsidRDefault="009A5268">
            <w:pPr>
              <w:pStyle w:val="Tabletext"/>
              <w:framePr w:hSpace="181" w:wrap="notBeside" w:vAnchor="text" w:hAnchor="text" w:xAlign="center" w:y="1"/>
              <w:jc w:val="center"/>
              <w:rPr>
                <w:lang w:val="en-US"/>
              </w:rPr>
            </w:pPr>
            <w:r>
              <w:rPr>
                <w:lang w:val="en-US"/>
              </w:rPr>
              <w:t>28</w:t>
            </w:r>
          </w:p>
        </w:tc>
        <w:tc>
          <w:tcPr>
            <w:tcW w:w="1304" w:type="dxa"/>
          </w:tcPr>
          <w:p w:rsidR="00B9359B" w:rsidRDefault="009A5268">
            <w:pPr>
              <w:pStyle w:val="Tabletext"/>
              <w:framePr w:hSpace="181" w:wrap="notBeside" w:vAnchor="text" w:hAnchor="text" w:xAlign="center" w:y="1"/>
              <w:jc w:val="center"/>
              <w:rPr>
                <w:lang w:val="en-US"/>
              </w:rPr>
            </w:pPr>
            <w:r>
              <w:rPr>
                <w:lang w:val="en-US"/>
              </w:rPr>
              <w:t>11.2</w:t>
            </w:r>
          </w:p>
        </w:tc>
        <w:tc>
          <w:tcPr>
            <w:tcW w:w="1304" w:type="dxa"/>
          </w:tcPr>
          <w:p w:rsidR="00B9359B" w:rsidRDefault="009A5268">
            <w:pPr>
              <w:pStyle w:val="Tabletext"/>
              <w:framePr w:hSpace="181" w:wrap="notBeside" w:vAnchor="text" w:hAnchor="text" w:xAlign="center" w:y="1"/>
              <w:jc w:val="center"/>
              <w:rPr>
                <w:lang w:val="en-US"/>
              </w:rPr>
            </w:pPr>
            <w:r>
              <w:rPr>
                <w:lang w:val="en-US"/>
              </w:rPr>
              <w:t>22.4</w:t>
            </w:r>
          </w:p>
        </w:tc>
        <w:tc>
          <w:tcPr>
            <w:tcW w:w="1304" w:type="dxa"/>
          </w:tcPr>
          <w:p w:rsidR="00B9359B" w:rsidRDefault="009A5268">
            <w:pPr>
              <w:pStyle w:val="Tabletext"/>
              <w:framePr w:hSpace="181" w:wrap="notBeside" w:vAnchor="text" w:hAnchor="text" w:xAlign="center" w:y="1"/>
              <w:jc w:val="center"/>
              <w:rPr>
                <w:lang w:val="en-US"/>
              </w:rPr>
            </w:pPr>
            <w:r>
              <w:rPr>
                <w:lang w:val="en-US"/>
              </w:rPr>
              <w:t>28</w:t>
            </w:r>
          </w:p>
        </w:tc>
        <w:tc>
          <w:tcPr>
            <w:tcW w:w="1304" w:type="dxa"/>
          </w:tcPr>
          <w:p w:rsidR="00B9359B" w:rsidRDefault="009A5268">
            <w:pPr>
              <w:pStyle w:val="Tabletext"/>
              <w:framePr w:hSpace="181" w:wrap="notBeside" w:vAnchor="text" w:hAnchor="text" w:xAlign="center" w:y="1"/>
              <w:jc w:val="center"/>
              <w:rPr>
                <w:lang w:val="en-US"/>
              </w:rPr>
            </w:pPr>
            <w:r>
              <w:rPr>
                <w:lang w:val="en-US"/>
              </w:rPr>
              <w:t>56</w:t>
            </w:r>
          </w:p>
        </w:tc>
        <w:tc>
          <w:tcPr>
            <w:tcW w:w="1304" w:type="dxa"/>
          </w:tcPr>
          <w:p w:rsidR="00B9359B" w:rsidRDefault="009A5268">
            <w:pPr>
              <w:pStyle w:val="Tabletext"/>
              <w:framePr w:hSpace="181" w:wrap="notBeside" w:vAnchor="text" w:hAnchor="text" w:xAlign="center" w:y="1"/>
              <w:jc w:val="center"/>
              <w:rPr>
                <w:lang w:val="en-US"/>
              </w:rPr>
            </w:pPr>
            <w:r>
              <w:rPr>
                <w:lang w:val="en-US"/>
              </w:rPr>
              <w:t>70</w:t>
            </w:r>
          </w:p>
        </w:tc>
      </w:tr>
      <w:tr w:rsidR="00B9359B">
        <w:tc>
          <w:tcPr>
            <w:tcW w:w="3119" w:type="dxa"/>
          </w:tcPr>
          <w:p w:rsidR="00B9359B" w:rsidRDefault="009A5268">
            <w:pPr>
              <w:pStyle w:val="Tabletext"/>
              <w:framePr w:hSpace="181" w:wrap="notBeside" w:vAnchor="text" w:hAnchor="text" w:xAlign="center" w:y="1"/>
              <w:jc w:val="center"/>
              <w:rPr>
                <w:lang w:val="en-US"/>
              </w:rPr>
            </w:pPr>
            <w:r>
              <w:rPr>
                <w:lang w:val="en-US"/>
              </w:rPr>
              <w:t>56</w:t>
            </w:r>
          </w:p>
        </w:tc>
        <w:tc>
          <w:tcPr>
            <w:tcW w:w="1304" w:type="dxa"/>
          </w:tcPr>
          <w:p w:rsidR="00B9359B" w:rsidRDefault="009A5268">
            <w:pPr>
              <w:pStyle w:val="Tabletext"/>
              <w:framePr w:hSpace="181" w:wrap="notBeside" w:vAnchor="text" w:hAnchor="text" w:xAlign="center" w:y="1"/>
              <w:jc w:val="center"/>
              <w:rPr>
                <w:lang w:val="en-US"/>
              </w:rPr>
            </w:pPr>
            <w:r>
              <w:rPr>
                <w:lang w:val="en-US"/>
              </w:rPr>
              <w:t>22.5</w:t>
            </w:r>
          </w:p>
        </w:tc>
        <w:tc>
          <w:tcPr>
            <w:tcW w:w="1304" w:type="dxa"/>
          </w:tcPr>
          <w:p w:rsidR="00B9359B" w:rsidRDefault="009A5268">
            <w:pPr>
              <w:pStyle w:val="Tabletext"/>
              <w:framePr w:hSpace="181" w:wrap="notBeside" w:vAnchor="text" w:hAnchor="text" w:xAlign="center" w:y="1"/>
              <w:jc w:val="center"/>
              <w:rPr>
                <w:lang w:val="en-US"/>
              </w:rPr>
            </w:pPr>
            <w:r>
              <w:rPr>
                <w:lang w:val="en-US"/>
              </w:rPr>
              <w:t>45</w:t>
            </w:r>
          </w:p>
        </w:tc>
        <w:tc>
          <w:tcPr>
            <w:tcW w:w="1304" w:type="dxa"/>
          </w:tcPr>
          <w:p w:rsidR="00B9359B" w:rsidRDefault="009A5268">
            <w:pPr>
              <w:pStyle w:val="Tabletext"/>
              <w:framePr w:hSpace="181" w:wrap="notBeside" w:vAnchor="text" w:hAnchor="text" w:xAlign="center" w:y="1"/>
              <w:jc w:val="center"/>
              <w:rPr>
                <w:lang w:val="en-US"/>
              </w:rPr>
            </w:pPr>
            <w:r>
              <w:rPr>
                <w:lang w:val="en-US"/>
              </w:rPr>
              <w:t>56</w:t>
            </w:r>
          </w:p>
        </w:tc>
        <w:tc>
          <w:tcPr>
            <w:tcW w:w="1304" w:type="dxa"/>
          </w:tcPr>
          <w:p w:rsidR="00B9359B" w:rsidRDefault="009A5268">
            <w:pPr>
              <w:pStyle w:val="Tabletext"/>
              <w:framePr w:hSpace="181" w:wrap="notBeside" w:vAnchor="text" w:hAnchor="text" w:xAlign="center" w:y="1"/>
              <w:jc w:val="center"/>
              <w:rPr>
                <w:lang w:val="en-US"/>
              </w:rPr>
            </w:pPr>
            <w:r>
              <w:rPr>
                <w:lang w:val="en-US"/>
              </w:rPr>
              <w:t>112</w:t>
            </w:r>
          </w:p>
        </w:tc>
        <w:tc>
          <w:tcPr>
            <w:tcW w:w="1304" w:type="dxa"/>
          </w:tcPr>
          <w:p w:rsidR="00B9359B" w:rsidRDefault="009A5268">
            <w:pPr>
              <w:pStyle w:val="Tabletext"/>
              <w:framePr w:hSpace="181" w:wrap="notBeside" w:vAnchor="text" w:hAnchor="text" w:xAlign="center" w:y="1"/>
              <w:jc w:val="center"/>
              <w:rPr>
                <w:lang w:val="en-US"/>
              </w:rPr>
            </w:pPr>
            <w:r>
              <w:rPr>
                <w:lang w:val="en-US"/>
              </w:rPr>
              <w:t>140</w:t>
            </w:r>
          </w:p>
        </w:tc>
      </w:tr>
      <w:tr w:rsidR="00B9359B">
        <w:tc>
          <w:tcPr>
            <w:tcW w:w="3119" w:type="dxa"/>
          </w:tcPr>
          <w:p w:rsidR="00B9359B" w:rsidRDefault="009A5268">
            <w:pPr>
              <w:pStyle w:val="Tabletext"/>
              <w:framePr w:hSpace="181" w:wrap="notBeside" w:vAnchor="text" w:hAnchor="text" w:xAlign="center" w:y="1"/>
              <w:jc w:val="center"/>
              <w:rPr>
                <w:lang w:val="en-US"/>
              </w:rPr>
            </w:pPr>
            <w:r>
              <w:rPr>
                <w:lang w:val="en-US"/>
              </w:rPr>
              <w:t>112</w:t>
            </w:r>
          </w:p>
        </w:tc>
        <w:tc>
          <w:tcPr>
            <w:tcW w:w="1304" w:type="dxa"/>
          </w:tcPr>
          <w:p w:rsidR="00B9359B" w:rsidRDefault="009A5268">
            <w:pPr>
              <w:pStyle w:val="Tabletext"/>
              <w:framePr w:hSpace="181" w:wrap="notBeside" w:vAnchor="text" w:hAnchor="text" w:xAlign="center" w:y="1"/>
              <w:jc w:val="center"/>
              <w:rPr>
                <w:lang w:val="en-US"/>
              </w:rPr>
            </w:pPr>
            <w:r>
              <w:rPr>
                <w:lang w:val="en-US"/>
              </w:rPr>
              <w:t>45</w:t>
            </w:r>
          </w:p>
        </w:tc>
        <w:tc>
          <w:tcPr>
            <w:tcW w:w="1304" w:type="dxa"/>
          </w:tcPr>
          <w:p w:rsidR="00B9359B" w:rsidRDefault="009A5268">
            <w:pPr>
              <w:pStyle w:val="Tabletext"/>
              <w:framePr w:hSpace="181" w:wrap="notBeside" w:vAnchor="text" w:hAnchor="text" w:xAlign="center" w:y="1"/>
              <w:jc w:val="center"/>
              <w:rPr>
                <w:lang w:val="en-US"/>
              </w:rPr>
            </w:pPr>
            <w:r>
              <w:rPr>
                <w:lang w:val="en-US"/>
              </w:rPr>
              <w:t>90</w:t>
            </w:r>
          </w:p>
        </w:tc>
        <w:tc>
          <w:tcPr>
            <w:tcW w:w="1304" w:type="dxa"/>
          </w:tcPr>
          <w:p w:rsidR="00B9359B" w:rsidRDefault="009A5268">
            <w:pPr>
              <w:pStyle w:val="Tabletext"/>
              <w:framePr w:hSpace="181" w:wrap="notBeside" w:vAnchor="text" w:hAnchor="text" w:xAlign="center" w:y="1"/>
              <w:jc w:val="center"/>
              <w:rPr>
                <w:lang w:val="en-US"/>
              </w:rPr>
            </w:pPr>
            <w:r>
              <w:rPr>
                <w:lang w:val="en-US"/>
              </w:rPr>
              <w:t>112</w:t>
            </w:r>
          </w:p>
        </w:tc>
        <w:tc>
          <w:tcPr>
            <w:tcW w:w="1304" w:type="dxa"/>
          </w:tcPr>
          <w:p w:rsidR="00B9359B" w:rsidRDefault="009A5268">
            <w:pPr>
              <w:pStyle w:val="Tabletext"/>
              <w:framePr w:hSpace="181" w:wrap="notBeside" w:vAnchor="text" w:hAnchor="text" w:xAlign="center" w:y="1"/>
              <w:jc w:val="center"/>
              <w:rPr>
                <w:lang w:val="en-US"/>
              </w:rPr>
            </w:pPr>
            <w:r>
              <w:rPr>
                <w:lang w:val="en-US"/>
              </w:rPr>
              <w:t>224</w:t>
            </w:r>
          </w:p>
        </w:tc>
        <w:tc>
          <w:tcPr>
            <w:tcW w:w="1304" w:type="dxa"/>
          </w:tcPr>
          <w:p w:rsidR="00B9359B" w:rsidRDefault="009A5268">
            <w:pPr>
              <w:pStyle w:val="Tabletext"/>
              <w:framePr w:hSpace="181" w:wrap="notBeside" w:vAnchor="text" w:hAnchor="text" w:xAlign="center" w:y="1"/>
              <w:jc w:val="center"/>
              <w:rPr>
                <w:lang w:val="en-US"/>
              </w:rPr>
            </w:pPr>
            <w:r>
              <w:rPr>
                <w:lang w:val="en-US"/>
              </w:rPr>
              <w:t>280</w:t>
            </w:r>
          </w:p>
        </w:tc>
      </w:tr>
    </w:tbl>
    <w:p w:rsidR="00B9359B" w:rsidRDefault="00B9359B">
      <w:pPr>
        <w:pStyle w:val="Tablefin"/>
        <w:spacing w:before="0"/>
        <w:rPr>
          <w:lang w:eastAsia="fr-FR"/>
        </w:rPr>
      </w:pPr>
    </w:p>
    <w:p w:rsidR="00B9359B" w:rsidRDefault="009A5268">
      <w:pPr>
        <w:rPr>
          <w:lang w:val="en-US" w:eastAsia="fr-FR"/>
        </w:rPr>
      </w:pPr>
      <w:r>
        <w:rPr>
          <w:lang w:val="en-US" w:eastAsia="fr-FR"/>
        </w:rPr>
        <w:t>It should be noted that these masks are applicable both for terminal stations and for base stations.</w:t>
      </w:r>
    </w:p>
    <w:p w:rsidR="00B9359B" w:rsidRDefault="009A5268">
      <w:pPr>
        <w:pStyle w:val="Heading5"/>
        <w:rPr>
          <w:lang w:val="en-US"/>
        </w:rPr>
      </w:pPr>
      <w:bookmarkStart w:id="471" w:name="_Toc51045871"/>
      <w:r>
        <w:rPr>
          <w:lang w:val="en-US" w:eastAsia="fr-FR"/>
        </w:rPr>
        <w:br w:type="page"/>
        <w:t>4.3.2.2.2</w:t>
      </w:r>
      <w:r>
        <w:rPr>
          <w:lang w:val="en-US" w:eastAsia="fr-FR"/>
        </w:rPr>
        <w:tab/>
      </w:r>
      <w:r>
        <w:rPr>
          <w:lang w:val="en-US"/>
        </w:rPr>
        <w:t>Levels of spurious emissions for P-MP systems</w:t>
      </w:r>
      <w:bookmarkEnd w:id="471"/>
    </w:p>
    <w:p w:rsidR="00B9359B" w:rsidRDefault="009A5268">
      <w:pPr>
        <w:rPr>
          <w:lang w:val="en-US"/>
        </w:rPr>
      </w:pPr>
      <w:r>
        <w:rPr>
          <w:lang w:val="en-US"/>
        </w:rPr>
        <w:t>EN 301 390 provides the levels of spurious emissions for P-P systems (the same as those given in Recommendation ITU-R SM.329 under Category B) and for P</w:t>
      </w:r>
      <w:r>
        <w:rPr>
          <w:lang w:val="en-US"/>
        </w:rPr>
        <w:noBreakHyphen/>
        <w:t>MP systems.</w:t>
      </w:r>
    </w:p>
    <w:p w:rsidR="00B9359B" w:rsidRDefault="009A5268">
      <w:pPr>
        <w:rPr>
          <w:lang w:val="en-US"/>
        </w:rPr>
      </w:pPr>
      <w:r>
        <w:rPr>
          <w:lang w:val="en-US"/>
        </w:rPr>
        <w:t>Tables 83 and 84 provide the comparison of limits depending on the type of system.</w:t>
      </w:r>
    </w:p>
    <w:p w:rsidR="00B9359B" w:rsidRDefault="009A5268">
      <w:pPr>
        <w:pStyle w:val="TableNo"/>
        <w:rPr>
          <w:lang w:val="en-US"/>
        </w:rPr>
      </w:pPr>
      <w:r>
        <w:rPr>
          <w:lang w:val="en-US"/>
        </w:rPr>
        <w:t>TABLE  83</w:t>
      </w:r>
    </w:p>
    <w:p w:rsidR="00B9359B" w:rsidRDefault="009A5268">
      <w:pPr>
        <w:pStyle w:val="Tabletitle"/>
        <w:rPr>
          <w:lang w:val="en-US"/>
        </w:rPr>
      </w:pPr>
      <w:r>
        <w:rPr>
          <w:lang w:val="en-US"/>
        </w:rPr>
        <w:t xml:space="preserve">Spurious limits in case of systems using a </w:t>
      </w:r>
      <w:r>
        <w:rPr>
          <w:i/>
          <w:iCs/>
          <w:lang w:val="en-US"/>
        </w:rPr>
        <w:t>C</w:t>
      </w:r>
      <w:r>
        <w:rPr>
          <w:i/>
          <w:iCs/>
          <w:vertAlign w:val="subscript"/>
          <w:lang w:val="en-US"/>
        </w:rPr>
        <w:t>s</w:t>
      </w:r>
      <w:r>
        <w:rPr>
          <w:lang w:val="en-US"/>
        </w:rPr>
        <w:t xml:space="preserve"> smaller than 10 MHz</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5"/>
        <w:gridCol w:w="1919"/>
        <w:gridCol w:w="1695"/>
        <w:gridCol w:w="1695"/>
        <w:gridCol w:w="1695"/>
      </w:tblGrid>
      <w:tr w:rsidR="00B9359B">
        <w:tc>
          <w:tcPr>
            <w:tcW w:w="2635" w:type="dxa"/>
          </w:tcPr>
          <w:p w:rsidR="00B9359B" w:rsidRDefault="009A5268">
            <w:pPr>
              <w:pStyle w:val="Tabletext"/>
              <w:framePr w:hSpace="181" w:wrap="notBeside" w:vAnchor="text" w:hAnchor="text" w:xAlign="center" w:y="1"/>
              <w:spacing w:before="60" w:after="60"/>
              <w:ind w:left="-57" w:right="-57"/>
              <w:jc w:val="left"/>
              <w:rPr>
                <w:lang w:val="en-US"/>
              </w:rPr>
            </w:pPr>
            <w:r>
              <w:rPr>
                <w:lang w:val="en-US"/>
              </w:rPr>
              <w:t>Frequency offset</w:t>
            </w:r>
          </w:p>
        </w:tc>
        <w:tc>
          <w:tcPr>
            <w:tcW w:w="1919" w:type="dxa"/>
            <w:vAlign w:val="center"/>
          </w:tcPr>
          <w:p w:rsidR="00B9359B" w:rsidRDefault="009A5268">
            <w:pPr>
              <w:pStyle w:val="Tabletext"/>
              <w:framePr w:hSpace="181" w:wrap="notBeside" w:vAnchor="text" w:hAnchor="text" w:xAlign="center" w:y="1"/>
              <w:spacing w:before="60" w:after="60"/>
              <w:ind w:left="-57" w:right="-57"/>
              <w:jc w:val="center"/>
              <w:rPr>
                <w:lang w:val="en-US"/>
              </w:rPr>
            </w:pPr>
            <w:r>
              <w:rPr>
                <w:lang w:val="en-US"/>
              </w:rPr>
              <w:t>2.5 </w:t>
            </w:r>
            <w:r>
              <w:rPr>
                <w:rFonts w:ascii="Symbol" w:hAnsi="Symbol"/>
              </w:rPr>
              <w:sym w:font="Symbol" w:char="F0B4"/>
            </w:r>
            <w:r>
              <w:rPr>
                <w:lang w:val="en-US"/>
              </w:rPr>
              <w:t> </w:t>
            </w:r>
            <w:r>
              <w:rPr>
                <w:i/>
                <w:iCs/>
                <w:lang w:val="en-US"/>
              </w:rPr>
              <w:t>C</w:t>
            </w:r>
            <w:r>
              <w:rPr>
                <w:i/>
                <w:iCs/>
                <w:vertAlign w:val="subscript"/>
                <w:lang w:val="en-US"/>
              </w:rPr>
              <w:t>s</w:t>
            </w:r>
            <w:r>
              <w:rPr>
                <w:lang w:val="en-US"/>
              </w:rPr>
              <w:t> – 56 MHz</w:t>
            </w:r>
          </w:p>
        </w:tc>
        <w:tc>
          <w:tcPr>
            <w:tcW w:w="1695" w:type="dxa"/>
            <w:vAlign w:val="center"/>
          </w:tcPr>
          <w:p w:rsidR="00B9359B" w:rsidRDefault="009A5268">
            <w:pPr>
              <w:pStyle w:val="Tabletext"/>
              <w:framePr w:hSpace="181" w:wrap="notBeside" w:vAnchor="text" w:hAnchor="text" w:xAlign="center" w:y="1"/>
              <w:spacing w:before="60" w:after="60"/>
              <w:ind w:left="-57" w:right="-57"/>
              <w:jc w:val="center"/>
              <w:rPr>
                <w:lang w:val="en-US"/>
              </w:rPr>
            </w:pPr>
            <w:r>
              <w:rPr>
                <w:lang w:val="en-US"/>
              </w:rPr>
              <w:t>56</w:t>
            </w:r>
            <w:r>
              <w:rPr>
                <w:lang w:val="en-US"/>
              </w:rPr>
              <w:noBreakHyphen/>
              <w:t>70 MHz</w:t>
            </w:r>
          </w:p>
        </w:tc>
        <w:tc>
          <w:tcPr>
            <w:tcW w:w="1695" w:type="dxa"/>
            <w:vAlign w:val="center"/>
          </w:tcPr>
          <w:p w:rsidR="00B9359B" w:rsidRDefault="009A5268">
            <w:pPr>
              <w:pStyle w:val="Tabletext"/>
              <w:framePr w:hSpace="181" w:wrap="notBeside" w:vAnchor="text" w:hAnchor="text" w:xAlign="center" w:y="1"/>
              <w:spacing w:before="60" w:after="60"/>
              <w:ind w:left="-57" w:right="-57"/>
              <w:jc w:val="center"/>
              <w:rPr>
                <w:caps/>
                <w:lang w:val="en-US" w:eastAsia="fr-FR"/>
              </w:rPr>
            </w:pPr>
            <w:r>
              <w:rPr>
                <w:caps/>
                <w:lang w:val="en-US" w:eastAsia="fr-FR"/>
              </w:rPr>
              <w:t>70</w:t>
            </w:r>
            <w:r>
              <w:rPr>
                <w:caps/>
                <w:lang w:val="en-US" w:eastAsia="fr-FR"/>
              </w:rPr>
              <w:noBreakHyphen/>
              <w:t>112 MH</w:t>
            </w:r>
            <w:r>
              <w:rPr>
                <w:lang w:val="en-US" w:eastAsia="fr-FR"/>
              </w:rPr>
              <w:t>z</w:t>
            </w:r>
          </w:p>
        </w:tc>
        <w:tc>
          <w:tcPr>
            <w:tcW w:w="1695" w:type="dxa"/>
            <w:vAlign w:val="center"/>
          </w:tcPr>
          <w:p w:rsidR="00B9359B" w:rsidRDefault="009A5268">
            <w:pPr>
              <w:pStyle w:val="Tabletext"/>
              <w:framePr w:hSpace="181" w:wrap="notBeside" w:vAnchor="text" w:hAnchor="text" w:xAlign="center" w:y="1"/>
              <w:spacing w:before="60" w:after="60"/>
              <w:ind w:left="-57" w:right="-57"/>
              <w:jc w:val="center"/>
              <w:rPr>
                <w:lang w:val="en-US"/>
              </w:rPr>
            </w:pPr>
            <w:r>
              <w:rPr>
                <w:rFonts w:ascii="Symbol" w:hAnsi="Symbol"/>
              </w:rPr>
              <w:t></w:t>
            </w:r>
            <w:r>
              <w:rPr>
                <w:rFonts w:ascii="Tms Rmn" w:hAnsi="Tms Rmn"/>
                <w:sz w:val="12"/>
                <w:lang w:val="en-US"/>
              </w:rPr>
              <w:t> </w:t>
            </w:r>
            <w:r>
              <w:rPr>
                <w:lang w:val="en-US"/>
              </w:rPr>
              <w:t>112 MHz</w:t>
            </w:r>
          </w:p>
        </w:tc>
      </w:tr>
      <w:tr w:rsidR="00B9359B">
        <w:tc>
          <w:tcPr>
            <w:tcW w:w="2635" w:type="dxa"/>
          </w:tcPr>
          <w:p w:rsidR="00B9359B" w:rsidRDefault="009A5268">
            <w:pPr>
              <w:pStyle w:val="Tabletext"/>
              <w:framePr w:hSpace="181" w:wrap="notBeside" w:vAnchor="text" w:hAnchor="text" w:xAlign="center" w:y="1"/>
              <w:spacing w:before="60" w:after="60"/>
              <w:ind w:left="-57" w:right="-57"/>
              <w:jc w:val="left"/>
              <w:rPr>
                <w:lang w:val="en-US"/>
              </w:rPr>
            </w:pPr>
            <w:r>
              <w:rPr>
                <w:lang w:val="en-US"/>
              </w:rPr>
              <w:t>P-P limit (Category B) (dB(W/MHz))</w:t>
            </w:r>
          </w:p>
        </w:tc>
        <w:tc>
          <w:tcPr>
            <w:tcW w:w="1919" w:type="dxa"/>
          </w:tcPr>
          <w:p w:rsidR="00B9359B" w:rsidRDefault="009A5268">
            <w:pPr>
              <w:pStyle w:val="Tabletext"/>
              <w:framePr w:hSpace="181" w:wrap="notBeside" w:vAnchor="text" w:hAnchor="text" w:xAlign="center" w:y="1"/>
              <w:spacing w:before="60" w:after="60"/>
              <w:ind w:left="-57" w:right="-57"/>
              <w:jc w:val="center"/>
              <w:rPr>
                <w:lang w:val="en-US"/>
              </w:rPr>
            </w:pPr>
            <w:r>
              <w:sym w:font="Symbol" w:char="F02D"/>
            </w:r>
            <w:r>
              <w:rPr>
                <w:lang w:val="en-US"/>
              </w:rPr>
              <w:t xml:space="preserve">50 </w:t>
            </w:r>
          </w:p>
        </w:tc>
        <w:tc>
          <w:tcPr>
            <w:tcW w:w="1695" w:type="dxa"/>
          </w:tcPr>
          <w:p w:rsidR="00B9359B" w:rsidRDefault="009A5268">
            <w:pPr>
              <w:pStyle w:val="Tabletext"/>
              <w:framePr w:hSpace="181" w:wrap="notBeside" w:vAnchor="text" w:hAnchor="text" w:xAlign="center" w:y="1"/>
              <w:spacing w:before="60" w:after="60"/>
              <w:ind w:left="-57" w:right="-57"/>
              <w:jc w:val="center"/>
              <w:rPr>
                <w:lang w:val="en-US"/>
              </w:rPr>
            </w:pPr>
            <w:r>
              <w:sym w:font="Symbol" w:char="F02D"/>
            </w:r>
            <w:r>
              <w:rPr>
                <w:lang w:val="en-US"/>
              </w:rPr>
              <w:t xml:space="preserve">50 </w:t>
            </w:r>
          </w:p>
        </w:tc>
        <w:tc>
          <w:tcPr>
            <w:tcW w:w="1695" w:type="dxa"/>
          </w:tcPr>
          <w:p w:rsidR="00B9359B" w:rsidRDefault="009A5268">
            <w:pPr>
              <w:pStyle w:val="Tabletext"/>
              <w:framePr w:hSpace="181" w:wrap="notBeside" w:vAnchor="text" w:hAnchor="text" w:xAlign="center" w:y="1"/>
              <w:spacing w:before="60" w:after="60"/>
              <w:ind w:left="-57" w:right="-57"/>
              <w:jc w:val="center"/>
              <w:rPr>
                <w:lang w:val="en-US"/>
              </w:rPr>
            </w:pPr>
            <w:r>
              <w:sym w:font="Symbol" w:char="F02D"/>
            </w:r>
            <w:r>
              <w:rPr>
                <w:lang w:val="en-US"/>
              </w:rPr>
              <w:t xml:space="preserve">60 </w:t>
            </w:r>
          </w:p>
        </w:tc>
        <w:tc>
          <w:tcPr>
            <w:tcW w:w="1695" w:type="dxa"/>
          </w:tcPr>
          <w:p w:rsidR="00B9359B" w:rsidRDefault="009A5268">
            <w:pPr>
              <w:pStyle w:val="Tabletext"/>
              <w:framePr w:hSpace="181" w:wrap="notBeside" w:vAnchor="text" w:hAnchor="text" w:xAlign="center" w:y="1"/>
              <w:spacing w:before="60" w:after="60"/>
              <w:ind w:left="-57" w:right="-57"/>
              <w:jc w:val="center"/>
              <w:rPr>
                <w:lang w:val="en-US"/>
              </w:rPr>
            </w:pPr>
            <w:r>
              <w:sym w:font="Symbol" w:char="F02D"/>
            </w:r>
            <w:r>
              <w:rPr>
                <w:lang w:val="en-US"/>
              </w:rPr>
              <w:t xml:space="preserve">60 </w:t>
            </w:r>
          </w:p>
        </w:tc>
      </w:tr>
      <w:tr w:rsidR="00B9359B">
        <w:tc>
          <w:tcPr>
            <w:tcW w:w="2635" w:type="dxa"/>
          </w:tcPr>
          <w:p w:rsidR="00B9359B" w:rsidRDefault="009A5268">
            <w:pPr>
              <w:pStyle w:val="Tabletext"/>
              <w:framePr w:hSpace="181" w:wrap="notBeside" w:vAnchor="text" w:hAnchor="text" w:xAlign="center" w:y="1"/>
              <w:spacing w:before="60" w:after="60"/>
              <w:ind w:left="-57" w:right="-57"/>
              <w:jc w:val="left"/>
              <w:rPr>
                <w:lang w:val="fr-CH"/>
              </w:rPr>
            </w:pPr>
            <w:r>
              <w:t xml:space="preserve">P-MP limit (EN 301 390) </w:t>
            </w:r>
            <w:r>
              <w:rPr>
                <w:lang w:val="fr-CH"/>
              </w:rPr>
              <w:t>(dB(W/MHz))</w:t>
            </w:r>
          </w:p>
        </w:tc>
        <w:tc>
          <w:tcPr>
            <w:tcW w:w="1919" w:type="dxa"/>
          </w:tcPr>
          <w:p w:rsidR="00B9359B" w:rsidRDefault="009A5268">
            <w:pPr>
              <w:pStyle w:val="Tabletext"/>
              <w:framePr w:hSpace="181" w:wrap="notBeside" w:vAnchor="text" w:hAnchor="text" w:xAlign="center" w:y="1"/>
              <w:spacing w:before="60" w:after="60"/>
              <w:ind w:left="-57" w:right="-57"/>
              <w:jc w:val="center"/>
              <w:rPr>
                <w:lang w:val="en-US"/>
              </w:rPr>
            </w:pPr>
            <w:r>
              <w:sym w:font="Symbol" w:char="F02D"/>
            </w:r>
            <w:r>
              <w:rPr>
                <w:lang w:val="en-US"/>
              </w:rPr>
              <w:t xml:space="preserve">50 </w:t>
            </w:r>
          </w:p>
        </w:tc>
        <w:tc>
          <w:tcPr>
            <w:tcW w:w="1695" w:type="dxa"/>
          </w:tcPr>
          <w:p w:rsidR="00B9359B" w:rsidRDefault="009A5268">
            <w:pPr>
              <w:pStyle w:val="Tabletext"/>
              <w:framePr w:hSpace="181" w:wrap="notBeside" w:vAnchor="text" w:hAnchor="text" w:xAlign="center" w:y="1"/>
              <w:spacing w:before="60" w:after="60"/>
              <w:ind w:left="-57" w:right="-57"/>
              <w:jc w:val="center"/>
              <w:rPr>
                <w:lang w:val="en-US"/>
              </w:rPr>
            </w:pPr>
            <w:r>
              <w:sym w:font="Symbol" w:char="F02D"/>
            </w:r>
            <w:r>
              <w:rPr>
                <w:lang w:val="en-US"/>
              </w:rPr>
              <w:t xml:space="preserve">60 </w:t>
            </w:r>
          </w:p>
        </w:tc>
        <w:tc>
          <w:tcPr>
            <w:tcW w:w="1695" w:type="dxa"/>
          </w:tcPr>
          <w:p w:rsidR="00B9359B" w:rsidRDefault="009A5268">
            <w:pPr>
              <w:pStyle w:val="Tabletext"/>
              <w:framePr w:hSpace="181" w:wrap="notBeside" w:vAnchor="text" w:hAnchor="text" w:xAlign="center" w:y="1"/>
              <w:spacing w:before="60" w:after="60"/>
              <w:ind w:left="-57" w:right="-57"/>
              <w:jc w:val="center"/>
              <w:rPr>
                <w:lang w:val="en-US"/>
              </w:rPr>
            </w:pPr>
            <w:r>
              <w:sym w:font="Symbol" w:char="F02D"/>
            </w:r>
            <w:r>
              <w:rPr>
                <w:lang w:val="en-US"/>
              </w:rPr>
              <w:t xml:space="preserve">60 </w:t>
            </w:r>
          </w:p>
        </w:tc>
        <w:tc>
          <w:tcPr>
            <w:tcW w:w="1695" w:type="dxa"/>
          </w:tcPr>
          <w:p w:rsidR="00B9359B" w:rsidRDefault="009A5268">
            <w:pPr>
              <w:pStyle w:val="Tabletext"/>
              <w:framePr w:hSpace="181" w:wrap="notBeside" w:vAnchor="text" w:hAnchor="text" w:xAlign="center" w:y="1"/>
              <w:spacing w:before="60" w:after="60"/>
              <w:ind w:left="-57" w:right="-57"/>
              <w:jc w:val="center"/>
              <w:rPr>
                <w:lang w:val="en-US" w:eastAsia="fr-FR"/>
              </w:rPr>
            </w:pPr>
            <w:r>
              <w:sym w:font="Symbol" w:char="F02D"/>
            </w:r>
            <w:r>
              <w:rPr>
                <w:lang w:val="en-US" w:eastAsia="fr-FR"/>
              </w:rPr>
              <w:t xml:space="preserve">70 </w:t>
            </w:r>
          </w:p>
        </w:tc>
      </w:tr>
    </w:tbl>
    <w:p w:rsidR="00B9359B" w:rsidRDefault="00B9359B">
      <w:pPr>
        <w:pStyle w:val="Tablefin"/>
      </w:pPr>
    </w:p>
    <w:p w:rsidR="00B9359B" w:rsidRDefault="009A5268">
      <w:pPr>
        <w:pStyle w:val="TableNo"/>
        <w:rPr>
          <w:lang w:val="en-US"/>
        </w:rPr>
      </w:pPr>
      <w:r>
        <w:rPr>
          <w:lang w:val="en-US"/>
        </w:rPr>
        <w:t>TABLE  84</w:t>
      </w:r>
    </w:p>
    <w:p w:rsidR="00B9359B" w:rsidRDefault="009A5268">
      <w:pPr>
        <w:pStyle w:val="Tabletitle"/>
        <w:spacing w:before="120"/>
        <w:rPr>
          <w:lang w:val="en-US"/>
        </w:rPr>
      </w:pPr>
      <w:r>
        <w:rPr>
          <w:lang w:val="en-US"/>
        </w:rPr>
        <w:t xml:space="preserve">Spurious limits in case of systems using a </w:t>
      </w:r>
      <w:r>
        <w:rPr>
          <w:i/>
          <w:iCs/>
          <w:lang w:val="en-US"/>
        </w:rPr>
        <w:t>C</w:t>
      </w:r>
      <w:r>
        <w:rPr>
          <w:i/>
          <w:iCs/>
          <w:vertAlign w:val="subscript"/>
          <w:lang w:val="en-US"/>
        </w:rPr>
        <w:t>s</w:t>
      </w:r>
      <w:r>
        <w:rPr>
          <w:lang w:val="en-US"/>
        </w:rPr>
        <w:t xml:space="preserve"> higher than 10 MHz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33"/>
        <w:gridCol w:w="3411"/>
        <w:gridCol w:w="2383"/>
      </w:tblGrid>
      <w:tr w:rsidR="00B9359B">
        <w:trPr>
          <w:cantSplit/>
        </w:trPr>
        <w:tc>
          <w:tcPr>
            <w:tcW w:w="3033" w:type="dxa"/>
          </w:tcPr>
          <w:p w:rsidR="00B9359B" w:rsidRDefault="009A5268">
            <w:pPr>
              <w:pStyle w:val="Tabletext"/>
              <w:framePr w:hSpace="181" w:wrap="notBeside" w:vAnchor="text" w:hAnchor="text" w:xAlign="center" w:y="1"/>
              <w:tabs>
                <w:tab w:val="clear" w:pos="2552"/>
                <w:tab w:val="left" w:pos="3530"/>
              </w:tabs>
              <w:spacing w:before="60" w:after="60"/>
              <w:rPr>
                <w:lang w:val="en-US"/>
              </w:rPr>
            </w:pPr>
            <w:r>
              <w:rPr>
                <w:lang w:val="en-US"/>
              </w:rPr>
              <w:t>Frequency offset</w:t>
            </w:r>
          </w:p>
        </w:tc>
        <w:tc>
          <w:tcPr>
            <w:tcW w:w="3411" w:type="dxa"/>
          </w:tcPr>
          <w:p w:rsidR="00B9359B" w:rsidRDefault="009A5268">
            <w:pPr>
              <w:pStyle w:val="Tabletext"/>
              <w:framePr w:hSpace="181" w:wrap="notBeside" w:vAnchor="text" w:hAnchor="text" w:xAlign="center" w:y="1"/>
              <w:spacing w:before="60" w:after="60"/>
              <w:jc w:val="center"/>
              <w:rPr>
                <w:lang w:val="fr-CH"/>
              </w:rPr>
            </w:pPr>
            <w:r>
              <w:rPr>
                <w:lang w:val="fr-CH"/>
              </w:rPr>
              <w:t xml:space="preserve">2.5 </w:t>
            </w:r>
            <w:r>
              <w:sym w:font="Symbol" w:char="F0B4"/>
            </w:r>
            <w:r>
              <w:rPr>
                <w:lang w:val="fr-CH"/>
              </w:rPr>
              <w:t xml:space="preserve"> </w:t>
            </w:r>
            <w:r>
              <w:rPr>
                <w:i/>
                <w:iCs/>
                <w:lang w:val="fr-CH"/>
              </w:rPr>
              <w:t>C</w:t>
            </w:r>
            <w:r>
              <w:rPr>
                <w:i/>
                <w:iCs/>
                <w:vertAlign w:val="subscript"/>
                <w:lang w:val="fr-CH"/>
              </w:rPr>
              <w:t>s</w:t>
            </w:r>
            <w:r>
              <w:rPr>
                <w:lang w:val="fr-CH"/>
              </w:rPr>
              <w:t xml:space="preserve"> – max (112 MHz; </w:t>
            </w:r>
            <w:r>
              <w:rPr>
                <w:lang w:val="fr-CH"/>
              </w:rPr>
              <w:br/>
              <w:t>4.5 </w:t>
            </w:r>
            <w:r>
              <w:rPr>
                <w:rFonts w:ascii="Symbol" w:hAnsi="Symbol"/>
              </w:rPr>
              <w:sym w:font="Symbol" w:char="F0B4"/>
            </w:r>
            <w:r>
              <w:rPr>
                <w:lang w:val="fr-CH"/>
              </w:rPr>
              <w:t> </w:t>
            </w:r>
            <w:r>
              <w:rPr>
                <w:i/>
                <w:iCs/>
                <w:lang w:val="fr-CH"/>
              </w:rPr>
              <w:t>C</w:t>
            </w:r>
            <w:r>
              <w:rPr>
                <w:i/>
                <w:iCs/>
                <w:vertAlign w:val="subscript"/>
                <w:lang w:val="fr-CH"/>
              </w:rPr>
              <w:t>s</w:t>
            </w:r>
            <w:r>
              <w:rPr>
                <w:lang w:val="fr-CH"/>
              </w:rPr>
              <w:t>)</w:t>
            </w:r>
          </w:p>
        </w:tc>
        <w:tc>
          <w:tcPr>
            <w:tcW w:w="2383" w:type="dxa"/>
          </w:tcPr>
          <w:p w:rsidR="00B9359B" w:rsidRDefault="009A5268">
            <w:pPr>
              <w:pStyle w:val="Tabletext"/>
              <w:framePr w:hSpace="181" w:wrap="notBeside" w:vAnchor="text" w:hAnchor="text" w:xAlign="center" w:y="1"/>
              <w:spacing w:before="60" w:after="60"/>
              <w:jc w:val="center"/>
              <w:rPr>
                <w:lang w:val="fr-CH"/>
              </w:rPr>
            </w:pPr>
            <w:r>
              <w:rPr>
                <w:rFonts w:ascii="Symbol" w:hAnsi="Symbol"/>
              </w:rPr>
              <w:t></w:t>
            </w:r>
            <w:r>
              <w:rPr>
                <w:lang w:val="fr-CH"/>
              </w:rPr>
              <w:t xml:space="preserve"> max (112 MHz; </w:t>
            </w:r>
            <w:r>
              <w:rPr>
                <w:lang w:val="fr-CH"/>
              </w:rPr>
              <w:br/>
              <w:t>4.5 </w:t>
            </w:r>
            <w:r>
              <w:rPr>
                <w:rFonts w:ascii="Symbol" w:hAnsi="Symbol"/>
              </w:rPr>
              <w:sym w:font="Symbol" w:char="F0B4"/>
            </w:r>
            <w:r>
              <w:rPr>
                <w:lang w:val="fr-CH"/>
              </w:rPr>
              <w:t> </w:t>
            </w:r>
            <w:r>
              <w:rPr>
                <w:i/>
                <w:iCs/>
                <w:lang w:val="fr-CH"/>
              </w:rPr>
              <w:t>C</w:t>
            </w:r>
            <w:r>
              <w:rPr>
                <w:i/>
                <w:iCs/>
                <w:vertAlign w:val="subscript"/>
                <w:lang w:val="fr-CH"/>
              </w:rPr>
              <w:t>s</w:t>
            </w:r>
            <w:r>
              <w:rPr>
                <w:lang w:val="fr-CH"/>
              </w:rPr>
              <w:t>)</w:t>
            </w:r>
          </w:p>
        </w:tc>
      </w:tr>
      <w:tr w:rsidR="00B9359B">
        <w:trPr>
          <w:cantSplit/>
        </w:trPr>
        <w:tc>
          <w:tcPr>
            <w:tcW w:w="3033" w:type="dxa"/>
          </w:tcPr>
          <w:p w:rsidR="00B9359B" w:rsidRDefault="009A5268">
            <w:pPr>
              <w:pStyle w:val="Tabletext"/>
              <w:framePr w:hSpace="181" w:wrap="notBeside" w:vAnchor="text" w:hAnchor="text" w:xAlign="center" w:y="1"/>
              <w:tabs>
                <w:tab w:val="clear" w:pos="2552"/>
                <w:tab w:val="left" w:pos="3530"/>
              </w:tabs>
              <w:spacing w:before="60" w:after="60"/>
              <w:jc w:val="left"/>
              <w:rPr>
                <w:lang w:val="en-US"/>
              </w:rPr>
            </w:pPr>
            <w:r>
              <w:rPr>
                <w:lang w:val="en-US"/>
              </w:rPr>
              <w:t>P-P limit (Category B) (dB(W/MHz))</w:t>
            </w:r>
          </w:p>
        </w:tc>
        <w:tc>
          <w:tcPr>
            <w:tcW w:w="3411" w:type="dxa"/>
          </w:tcPr>
          <w:p w:rsidR="00B9359B" w:rsidRDefault="009A5268">
            <w:pPr>
              <w:pStyle w:val="Tabletext"/>
              <w:framePr w:hSpace="181" w:wrap="notBeside" w:vAnchor="text" w:hAnchor="text" w:xAlign="center" w:y="1"/>
              <w:spacing w:before="60" w:after="60"/>
              <w:jc w:val="center"/>
              <w:rPr>
                <w:lang w:val="en-US"/>
              </w:rPr>
            </w:pPr>
            <w:r>
              <w:sym w:font="Symbol" w:char="F02D"/>
            </w:r>
            <w:r>
              <w:rPr>
                <w:lang w:val="en-US"/>
              </w:rPr>
              <w:t xml:space="preserve">60 </w:t>
            </w:r>
          </w:p>
        </w:tc>
        <w:tc>
          <w:tcPr>
            <w:tcW w:w="2383" w:type="dxa"/>
          </w:tcPr>
          <w:p w:rsidR="00B9359B" w:rsidRDefault="009A5268">
            <w:pPr>
              <w:pStyle w:val="Tabletext"/>
              <w:framePr w:hSpace="181" w:wrap="notBeside" w:vAnchor="text" w:hAnchor="text" w:xAlign="center" w:y="1"/>
              <w:spacing w:before="60" w:after="60"/>
              <w:jc w:val="center"/>
              <w:rPr>
                <w:lang w:val="en-US"/>
              </w:rPr>
            </w:pPr>
            <w:r>
              <w:sym w:font="Symbol" w:char="F02D"/>
            </w:r>
            <w:r>
              <w:rPr>
                <w:lang w:val="en-US"/>
              </w:rPr>
              <w:t xml:space="preserve">60 </w:t>
            </w:r>
          </w:p>
        </w:tc>
      </w:tr>
      <w:tr w:rsidR="00B9359B">
        <w:trPr>
          <w:cantSplit/>
        </w:trPr>
        <w:tc>
          <w:tcPr>
            <w:tcW w:w="3033" w:type="dxa"/>
            <w:tcBorders>
              <w:bottom w:val="single" w:sz="4" w:space="0" w:color="auto"/>
            </w:tcBorders>
          </w:tcPr>
          <w:p w:rsidR="00B9359B" w:rsidRDefault="009A5268">
            <w:pPr>
              <w:pStyle w:val="Tabletext"/>
              <w:framePr w:hSpace="181" w:wrap="notBeside" w:vAnchor="text" w:hAnchor="text" w:xAlign="center" w:y="1"/>
              <w:tabs>
                <w:tab w:val="clear" w:pos="2552"/>
                <w:tab w:val="left" w:pos="3530"/>
              </w:tabs>
              <w:spacing w:before="60" w:after="60"/>
              <w:jc w:val="left"/>
              <w:rPr>
                <w:lang w:val="fr-CH"/>
              </w:rPr>
            </w:pPr>
            <w:r>
              <w:t xml:space="preserve">P-MP limit (EN 301 390) </w:t>
            </w:r>
            <w:r>
              <w:rPr>
                <w:lang w:val="fr-CH"/>
              </w:rPr>
              <w:t>(dB(W/MHz))</w:t>
            </w:r>
          </w:p>
        </w:tc>
        <w:tc>
          <w:tcPr>
            <w:tcW w:w="3411" w:type="dxa"/>
            <w:tcBorders>
              <w:bottom w:val="single" w:sz="4" w:space="0" w:color="auto"/>
            </w:tcBorders>
          </w:tcPr>
          <w:p w:rsidR="00B9359B" w:rsidRDefault="009A5268">
            <w:pPr>
              <w:pStyle w:val="Tabletext"/>
              <w:framePr w:hSpace="181" w:wrap="notBeside" w:vAnchor="text" w:hAnchor="text" w:xAlign="center" w:y="1"/>
              <w:spacing w:before="60" w:after="60"/>
              <w:jc w:val="center"/>
              <w:rPr>
                <w:lang w:val="en-US"/>
              </w:rPr>
            </w:pPr>
            <w:r>
              <w:sym w:font="Symbol" w:char="F02D"/>
            </w:r>
            <w:r>
              <w:rPr>
                <w:lang w:val="en-US"/>
              </w:rPr>
              <w:t xml:space="preserve">60 </w:t>
            </w:r>
          </w:p>
        </w:tc>
        <w:tc>
          <w:tcPr>
            <w:tcW w:w="2383" w:type="dxa"/>
            <w:tcBorders>
              <w:bottom w:val="single" w:sz="4" w:space="0" w:color="auto"/>
            </w:tcBorders>
          </w:tcPr>
          <w:p w:rsidR="00B9359B" w:rsidRDefault="009A5268">
            <w:pPr>
              <w:pStyle w:val="Tabletext"/>
              <w:framePr w:hSpace="181" w:wrap="notBeside" w:vAnchor="text" w:hAnchor="text" w:xAlign="center" w:y="1"/>
              <w:spacing w:before="60" w:after="60"/>
              <w:jc w:val="center"/>
              <w:rPr>
                <w:lang w:val="en-US"/>
              </w:rPr>
            </w:pPr>
            <w:r>
              <w:sym w:font="Symbol" w:char="F02D"/>
            </w:r>
            <w:r>
              <w:rPr>
                <w:lang w:val="en-US"/>
              </w:rPr>
              <w:t xml:space="preserve">70 </w:t>
            </w:r>
          </w:p>
        </w:tc>
      </w:tr>
    </w:tbl>
    <w:p w:rsidR="00B9359B" w:rsidRDefault="00B9359B">
      <w:pPr>
        <w:pStyle w:val="Tablefin"/>
        <w:rPr>
          <w:lang w:val="en-US" w:eastAsia="fr-FR"/>
        </w:rPr>
      </w:pPr>
    </w:p>
    <w:p w:rsidR="00B9359B" w:rsidRDefault="009A5268">
      <w:pPr>
        <w:pStyle w:val="Heading5"/>
        <w:rPr>
          <w:lang w:val="en-US"/>
        </w:rPr>
      </w:pPr>
      <w:bookmarkStart w:id="472" w:name="_Toc51045872"/>
      <w:r>
        <w:rPr>
          <w:lang w:val="en-US" w:eastAsia="fr-FR"/>
        </w:rPr>
        <w:t>4.3.2.2.3</w:t>
      </w:r>
      <w:r>
        <w:rPr>
          <w:lang w:val="en-US" w:eastAsia="fr-FR"/>
        </w:rPr>
        <w:tab/>
        <w:t xml:space="preserve">Results of the calculations for </w:t>
      </w:r>
      <w:r>
        <w:rPr>
          <w:lang w:val="en-US"/>
        </w:rPr>
        <w:t>P-MP systems</w:t>
      </w:r>
      <w:bookmarkEnd w:id="472"/>
    </w:p>
    <w:p w:rsidR="00B9359B" w:rsidRDefault="009A5268">
      <w:pPr>
        <w:rPr>
          <w:lang w:val="en-US"/>
        </w:rPr>
      </w:pPr>
      <w:r>
        <w:rPr>
          <w:lang w:val="en-US"/>
        </w:rPr>
        <w:t>The same approach as for P-P system is used.</w:t>
      </w:r>
    </w:p>
    <w:p w:rsidR="00B9359B" w:rsidRDefault="009A5268">
      <w:pPr>
        <w:pStyle w:val="Heading6"/>
        <w:rPr>
          <w:lang w:val="en-US" w:eastAsia="fr-FR"/>
        </w:rPr>
      </w:pPr>
      <w:bookmarkStart w:id="473" w:name="_Toc51045873"/>
      <w:r>
        <w:rPr>
          <w:lang w:val="en-US" w:eastAsia="fr-FR"/>
        </w:rPr>
        <w:t>4.3.2.2.3.1</w:t>
      </w:r>
      <w:r>
        <w:rPr>
          <w:lang w:val="en-US" w:eastAsia="fr-FR"/>
        </w:rPr>
        <w:tab/>
        <w:t>3.5 MHz and 7 MHz channel spacing P-MP systems</w:t>
      </w:r>
      <w:bookmarkEnd w:id="473"/>
    </w:p>
    <w:p w:rsidR="00B9359B" w:rsidRDefault="009A5268">
      <w:pPr>
        <w:rPr>
          <w:lang w:val="en-US" w:eastAsia="fr-FR"/>
        </w:rPr>
      </w:pPr>
      <w:r>
        <w:rPr>
          <w:lang w:val="en-US"/>
        </w:rPr>
        <w:t xml:space="preserve">According to the calculations made in § </w:t>
      </w:r>
      <w:r>
        <w:rPr>
          <w:lang w:val="en-US" w:eastAsia="fr-FR"/>
        </w:rPr>
        <w:t>4.3.2.1.3.1, only spurious emissions will fall in the EESS band (the calculated guardband for P-P systems is larger than the OoB domain).</w:t>
      </w:r>
    </w:p>
    <w:p w:rsidR="00B9359B" w:rsidRDefault="009A5268">
      <w:pPr>
        <w:tabs>
          <w:tab w:val="clear" w:pos="794"/>
        </w:tabs>
        <w:rPr>
          <w:lang w:val="en-US" w:eastAsia="fr-FR"/>
        </w:rPr>
      </w:pPr>
      <w:r>
        <w:rPr>
          <w:lang w:val="en-US" w:eastAsia="fr-FR"/>
        </w:rPr>
        <w:t>Since:</w:t>
      </w:r>
    </w:p>
    <w:p w:rsidR="00B9359B" w:rsidRDefault="009A5268">
      <w:pPr>
        <w:pStyle w:val="enumlev1"/>
        <w:rPr>
          <w:lang w:val="en-US"/>
        </w:rPr>
      </w:pPr>
      <w:r>
        <w:rPr>
          <w:lang w:val="en-US"/>
        </w:rPr>
        <w:t>–</w:t>
      </w:r>
      <w:r>
        <w:rPr>
          <w:lang w:val="en-US"/>
        </w:rPr>
        <w:tab/>
        <w:t>the acceptable unwanted emissions level which is obtained in case of P-MP systems (see Table 79) is the same as the acceptable unwanted emissions level which was considered in the analyses for P-P systems (see Table 78);</w:t>
      </w:r>
    </w:p>
    <w:p w:rsidR="00B9359B" w:rsidRDefault="009A5268">
      <w:pPr>
        <w:pStyle w:val="enumlev1"/>
        <w:rPr>
          <w:lang w:val="en-US"/>
        </w:rPr>
      </w:pPr>
      <w:r>
        <w:rPr>
          <w:lang w:val="en-US"/>
        </w:rPr>
        <w:t>–</w:t>
      </w:r>
      <w:r>
        <w:rPr>
          <w:lang w:val="en-US"/>
        </w:rPr>
        <w:tab/>
      </w:r>
      <w:r>
        <w:rPr>
          <w:lang w:val="en-US" w:eastAsia="fr-FR"/>
        </w:rPr>
        <w:t>the spurious emissions limits for P-MP systems are more stringent than for P</w:t>
      </w:r>
      <w:r>
        <w:rPr>
          <w:lang w:val="en-US" w:eastAsia="fr-FR"/>
        </w:rPr>
        <w:noBreakHyphen/>
        <w:t>P systems,</w:t>
      </w:r>
    </w:p>
    <w:p w:rsidR="00B9359B" w:rsidRDefault="009A5268">
      <w:pPr>
        <w:rPr>
          <w:b/>
          <w:lang w:val="en-US" w:eastAsia="fr-FR"/>
        </w:rPr>
      </w:pPr>
      <w:r>
        <w:rPr>
          <w:lang w:val="en-US" w:eastAsia="fr-FR"/>
        </w:rPr>
        <w:t>it can be directly concluded that the guardband, which was derived for P-P systems, will also cover the case of P</w:t>
      </w:r>
      <w:r>
        <w:rPr>
          <w:lang w:val="en-US" w:eastAsia="fr-FR"/>
        </w:rPr>
        <w:noBreakHyphen/>
        <w:t>MP systems.</w:t>
      </w:r>
    </w:p>
    <w:p w:rsidR="00B9359B" w:rsidRDefault="009A5268">
      <w:pPr>
        <w:pStyle w:val="Heading6"/>
        <w:rPr>
          <w:lang w:val="en-US" w:eastAsia="fr-FR"/>
        </w:rPr>
      </w:pPr>
      <w:bookmarkStart w:id="474" w:name="_Toc51045874"/>
      <w:r>
        <w:rPr>
          <w:lang w:val="en-US" w:eastAsia="fr-FR"/>
        </w:rPr>
        <w:br w:type="page"/>
        <w:t>4.3.2.2.3.2</w:t>
      </w:r>
      <w:r>
        <w:rPr>
          <w:lang w:val="en-US" w:eastAsia="fr-FR"/>
        </w:rPr>
        <w:tab/>
        <w:t>14 MHz channel spacing P-MP systems</w:t>
      </w:r>
      <w:bookmarkEnd w:id="474"/>
    </w:p>
    <w:p w:rsidR="00B9359B" w:rsidRDefault="009A5268">
      <w:pPr>
        <w:tabs>
          <w:tab w:val="clear" w:pos="794"/>
        </w:tabs>
        <w:rPr>
          <w:lang w:val="en-US"/>
        </w:rPr>
      </w:pPr>
      <w:r>
        <w:rPr>
          <w:lang w:val="en-US"/>
        </w:rPr>
        <w:t>Since:</w:t>
      </w:r>
    </w:p>
    <w:p w:rsidR="00B9359B" w:rsidRDefault="009A5268">
      <w:pPr>
        <w:pStyle w:val="enumlev1"/>
        <w:rPr>
          <w:lang w:val="en-US"/>
        </w:rPr>
      </w:pPr>
      <w:r>
        <w:rPr>
          <w:lang w:val="en-US"/>
        </w:rPr>
        <w:t>–</w:t>
      </w:r>
      <w:r>
        <w:rPr>
          <w:lang w:val="en-US"/>
        </w:rPr>
        <w:tab/>
        <w:t>the OoB emissions mask for P-P systems and for P-MP systems are the same (see Table 80 and Table 82);</w:t>
      </w:r>
    </w:p>
    <w:p w:rsidR="00B9359B" w:rsidRDefault="009A5268">
      <w:pPr>
        <w:pStyle w:val="enumlev1"/>
        <w:rPr>
          <w:lang w:val="en-US"/>
        </w:rPr>
      </w:pPr>
      <w:r>
        <w:rPr>
          <w:lang w:val="en-US"/>
        </w:rPr>
        <w:t>–</w:t>
      </w:r>
      <w:r>
        <w:rPr>
          <w:lang w:val="en-US"/>
        </w:rPr>
        <w:tab/>
        <w:t>the acceptable unwanted emissions level which is obtained in case of P-MP systems (see Table 79) is the same as the acceptable unwanted emissions level which was considered in the analyses for P-P systems (see Table 78),</w:t>
      </w:r>
    </w:p>
    <w:p w:rsidR="00B9359B" w:rsidRDefault="009A5268">
      <w:pPr>
        <w:tabs>
          <w:tab w:val="clear" w:pos="794"/>
        </w:tabs>
        <w:rPr>
          <w:lang w:val="en-US" w:eastAsia="fr-FR"/>
        </w:rPr>
      </w:pPr>
      <w:r>
        <w:rPr>
          <w:lang w:val="en-US" w:eastAsia="fr-FR"/>
        </w:rPr>
        <w:t>it can be directly concluded that the guardband, which was derived for P-P systems, will also cover the case of 14 MHz channel spacing P</w:t>
      </w:r>
      <w:r>
        <w:rPr>
          <w:lang w:val="en-US" w:eastAsia="fr-FR"/>
        </w:rPr>
        <w:noBreakHyphen/>
        <w:t>MP systems.</w:t>
      </w:r>
    </w:p>
    <w:p w:rsidR="00B9359B" w:rsidRDefault="009A5268">
      <w:pPr>
        <w:pStyle w:val="Heading6"/>
        <w:rPr>
          <w:lang w:val="en-US" w:eastAsia="fr-FR"/>
        </w:rPr>
      </w:pPr>
      <w:bookmarkStart w:id="475" w:name="_Toc51045875"/>
      <w:r>
        <w:rPr>
          <w:lang w:val="en-US" w:eastAsia="fr-FR"/>
        </w:rPr>
        <w:t>4.3.2.2.3.3</w:t>
      </w:r>
      <w:r>
        <w:rPr>
          <w:lang w:val="en-US" w:eastAsia="fr-FR"/>
        </w:rPr>
        <w:tab/>
        <w:t>28 MHz channel spacing P-MP systems</w:t>
      </w:r>
      <w:bookmarkEnd w:id="475"/>
    </w:p>
    <w:p w:rsidR="00B9359B" w:rsidRDefault="009A5268">
      <w:pPr>
        <w:rPr>
          <w:lang w:val="en-US"/>
        </w:rPr>
      </w:pPr>
      <w:r>
        <w:rPr>
          <w:lang w:val="en-US"/>
        </w:rPr>
        <w:t xml:space="preserve">Figure 57 provides the result of the calculation for a 28 MHz </w:t>
      </w:r>
      <w:r>
        <w:rPr>
          <w:i/>
          <w:iCs/>
          <w:lang w:val="en-US"/>
        </w:rPr>
        <w:t>C</w:t>
      </w:r>
      <w:r>
        <w:rPr>
          <w:i/>
          <w:iCs/>
          <w:vertAlign w:val="subscript"/>
          <w:lang w:val="en-US"/>
        </w:rPr>
        <w:t>s</w:t>
      </w:r>
      <w:r>
        <w:rPr>
          <w:lang w:val="en-US"/>
        </w:rPr>
        <w:t xml:space="preserve"> P</w:t>
      </w:r>
      <w:r>
        <w:rPr>
          <w:lang w:val="en-US"/>
        </w:rPr>
        <w:noBreakHyphen/>
        <w:t>MP system.</w:t>
      </w:r>
    </w:p>
    <w:p w:rsidR="00B9359B" w:rsidRDefault="00B9359B">
      <w:pPr>
        <w:rPr>
          <w:lang w:val="en-US"/>
        </w:rPr>
      </w:pPr>
    </w:p>
    <w:p w:rsidR="00B9359B" w:rsidRDefault="009A5268">
      <w:pPr>
        <w:pStyle w:val="FigureNo"/>
        <w:rPr>
          <w:lang w:val="en-US"/>
        </w:rPr>
      </w:pPr>
      <w:r>
        <w:rPr>
          <w:lang w:val="en-US"/>
        </w:rPr>
        <w:object w:dxaOrig="5377" w:dyaOrig="5972">
          <v:shape id="_x0000_i1093" type="#_x0000_t75" style="width:268.65pt;height:298.75pt" o:ole="">
            <v:imagedata r:id="rId120" o:title=""/>
          </v:shape>
          <o:OLEObject Type="Embed" ProgID="Designer.Drawing.7" ShapeID="_x0000_i1093" DrawAspect="Content" ObjectID="_1629894598" r:id="rId121"/>
        </w:object>
      </w:r>
    </w:p>
    <w:p w:rsidR="00B9359B" w:rsidRDefault="00B9359B">
      <w:pPr>
        <w:rPr>
          <w:lang w:val="en-US"/>
        </w:rPr>
      </w:pPr>
    </w:p>
    <w:p w:rsidR="00B9359B" w:rsidRDefault="009A5268">
      <w:pPr>
        <w:rPr>
          <w:lang w:val="en-US"/>
        </w:rPr>
      </w:pPr>
      <w:r>
        <w:rPr>
          <w:lang w:val="en-US"/>
        </w:rPr>
        <w:t xml:space="preserve">The term </w:t>
      </w:r>
      <w:r>
        <w:rPr>
          <w:i/>
          <w:iCs/>
          <w:lang w:val="en-US"/>
        </w:rPr>
        <w:t>Z</w:t>
      </w:r>
      <w:r>
        <w:rPr>
          <w:vertAlign w:val="subscript"/>
          <w:lang w:val="en-US"/>
        </w:rPr>
        <w:t>2</w:t>
      </w:r>
      <w:r>
        <w:rPr>
          <w:i/>
          <w:iCs/>
          <w:lang w:val="en-US"/>
        </w:rPr>
        <w:t>S</w:t>
      </w:r>
      <w:r>
        <w:rPr>
          <w:lang w:val="en-US"/>
        </w:rPr>
        <w:t>, is defined in Recommendation ITU-R F.746 as the upper separation between the centre frequency of the final channel and the upper edge of the band. This leads to a guardband of 41 </w:t>
      </w:r>
      <w:r>
        <w:rPr>
          <w:rFonts w:ascii="Symbol" w:hAnsi="Symbol"/>
          <w:lang w:val="en-US"/>
        </w:rPr>
        <w:noBreakHyphen/>
      </w:r>
      <w:r>
        <w:rPr>
          <w:lang w:val="en-US"/>
        </w:rPr>
        <w:t> 28/2 </w:t>
      </w:r>
      <w:r>
        <w:rPr>
          <w:rFonts w:ascii="Symbol" w:hAnsi="Symbol"/>
          <w:lang w:val="en-US"/>
        </w:rPr>
        <w:t></w:t>
      </w:r>
      <w:r>
        <w:rPr>
          <w:lang w:val="en-US"/>
        </w:rPr>
        <w:t> 27 MHz.</w:t>
      </w:r>
    </w:p>
    <w:p w:rsidR="00B9359B" w:rsidRDefault="009A5268">
      <w:pPr>
        <w:pStyle w:val="Heading6"/>
        <w:rPr>
          <w:lang w:val="en-US" w:eastAsia="fr-FR"/>
        </w:rPr>
      </w:pPr>
      <w:bookmarkStart w:id="476" w:name="_Toc51045876"/>
      <w:r>
        <w:rPr>
          <w:lang w:val="en-US" w:eastAsia="fr-FR"/>
        </w:rPr>
        <w:t>4.3.2.2.3.4</w:t>
      </w:r>
      <w:r>
        <w:rPr>
          <w:lang w:val="en-US" w:eastAsia="fr-FR"/>
        </w:rPr>
        <w:tab/>
        <w:t xml:space="preserve">56 MHz </w:t>
      </w:r>
      <w:r>
        <w:rPr>
          <w:i/>
          <w:iCs/>
          <w:lang w:val="en-US"/>
        </w:rPr>
        <w:t>C</w:t>
      </w:r>
      <w:r>
        <w:rPr>
          <w:i/>
          <w:iCs/>
          <w:vertAlign w:val="subscript"/>
          <w:lang w:val="en-US"/>
        </w:rPr>
        <w:t>s</w:t>
      </w:r>
      <w:r>
        <w:rPr>
          <w:lang w:val="en-US" w:eastAsia="fr-FR"/>
        </w:rPr>
        <w:t xml:space="preserve"> P-MP systems</w:t>
      </w:r>
      <w:bookmarkEnd w:id="476"/>
    </w:p>
    <w:p w:rsidR="00B9359B" w:rsidRDefault="009A5268">
      <w:pPr>
        <w:rPr>
          <w:lang w:val="en-US"/>
        </w:rPr>
      </w:pPr>
      <w:r>
        <w:rPr>
          <w:lang w:val="en-US"/>
        </w:rPr>
        <w:t xml:space="preserve">Figure 58 provides the result of the calculation for a 56 MHz </w:t>
      </w:r>
      <w:r>
        <w:rPr>
          <w:i/>
          <w:iCs/>
          <w:lang w:val="en-US"/>
        </w:rPr>
        <w:t>C</w:t>
      </w:r>
      <w:r>
        <w:rPr>
          <w:i/>
          <w:iCs/>
          <w:vertAlign w:val="subscript"/>
          <w:lang w:val="en-US"/>
        </w:rPr>
        <w:t>s</w:t>
      </w:r>
      <w:r>
        <w:rPr>
          <w:lang w:val="en-US"/>
        </w:rPr>
        <w:t xml:space="preserve"> P</w:t>
      </w:r>
      <w:r>
        <w:rPr>
          <w:lang w:val="en-US"/>
        </w:rPr>
        <w:noBreakHyphen/>
        <w:t>MP system.</w:t>
      </w:r>
    </w:p>
    <w:p w:rsidR="00B9359B" w:rsidRDefault="009A5268">
      <w:pPr>
        <w:pStyle w:val="FigureNo"/>
        <w:spacing w:before="0" w:after="120"/>
        <w:rPr>
          <w:lang w:val="en-US"/>
        </w:rPr>
      </w:pPr>
      <w:r>
        <w:rPr>
          <w:lang w:val="en-US"/>
        </w:rPr>
        <w:br w:type="page"/>
      </w:r>
      <w:r>
        <w:rPr>
          <w:lang w:val="en-US"/>
        </w:rPr>
        <w:object w:dxaOrig="5372" w:dyaOrig="5881">
          <v:shape id="_x0000_i1094" type="#_x0000_t75" style="width:268.65pt;height:293.9pt" o:ole="">
            <v:imagedata r:id="rId122" o:title=""/>
          </v:shape>
          <o:OLEObject Type="Embed" ProgID="Designer.Drawing.7" ShapeID="_x0000_i1094" DrawAspect="Content" ObjectID="_1629894599" r:id="rId123"/>
        </w:object>
      </w:r>
    </w:p>
    <w:p w:rsidR="00B9359B" w:rsidRDefault="009A5268">
      <w:pPr>
        <w:rPr>
          <w:lang w:val="en-US"/>
        </w:rPr>
      </w:pPr>
      <w:r>
        <w:rPr>
          <w:lang w:val="en-US"/>
        </w:rPr>
        <w:t>This leads, for an output power of 0 dBW, to a guardband of 80 </w:t>
      </w:r>
      <w:r>
        <w:rPr>
          <w:rFonts w:ascii="Symbol" w:hAnsi="Symbol"/>
          <w:lang w:val="en-US"/>
        </w:rPr>
        <w:noBreakHyphen/>
      </w:r>
      <w:r>
        <w:rPr>
          <w:lang w:val="en-US"/>
        </w:rPr>
        <w:t> 56/2 </w:t>
      </w:r>
      <w:r>
        <w:rPr>
          <w:rFonts w:ascii="Symbol" w:hAnsi="Symbol"/>
          <w:lang w:val="en-US"/>
        </w:rPr>
        <w:t></w:t>
      </w:r>
      <w:r>
        <w:rPr>
          <w:lang w:val="en-US"/>
        </w:rPr>
        <w:t> 52 MHz.</w:t>
      </w:r>
    </w:p>
    <w:p w:rsidR="00B9359B" w:rsidRDefault="009A5268">
      <w:pPr>
        <w:pStyle w:val="Heading6"/>
        <w:rPr>
          <w:lang w:val="en-US" w:eastAsia="fr-FR"/>
        </w:rPr>
      </w:pPr>
      <w:bookmarkStart w:id="477" w:name="_Toc51045877"/>
      <w:r>
        <w:rPr>
          <w:lang w:val="en-US" w:eastAsia="fr-FR"/>
        </w:rPr>
        <w:t>4.3.2.2.3.5</w:t>
      </w:r>
      <w:r>
        <w:rPr>
          <w:lang w:val="en-US" w:eastAsia="fr-FR"/>
        </w:rPr>
        <w:tab/>
        <w:t xml:space="preserve">112 MHz </w:t>
      </w:r>
      <w:r>
        <w:rPr>
          <w:i/>
          <w:iCs/>
          <w:lang w:val="en-US"/>
        </w:rPr>
        <w:t>C</w:t>
      </w:r>
      <w:r>
        <w:rPr>
          <w:i/>
          <w:iCs/>
          <w:vertAlign w:val="subscript"/>
          <w:lang w:val="en-US"/>
        </w:rPr>
        <w:t>s</w:t>
      </w:r>
      <w:r>
        <w:rPr>
          <w:lang w:val="en-US" w:eastAsia="fr-FR"/>
        </w:rPr>
        <w:t xml:space="preserve"> P-MP systems</w:t>
      </w:r>
      <w:bookmarkEnd w:id="477"/>
    </w:p>
    <w:p w:rsidR="00B9359B" w:rsidRDefault="009A5268">
      <w:pPr>
        <w:rPr>
          <w:lang w:val="en-US"/>
        </w:rPr>
      </w:pPr>
      <w:r>
        <w:rPr>
          <w:lang w:val="en-US"/>
        </w:rPr>
        <w:t xml:space="preserve">Figure 59 provides the result of the calculation for a 112 MHz </w:t>
      </w:r>
      <w:r>
        <w:rPr>
          <w:i/>
          <w:iCs/>
          <w:lang w:val="en-US"/>
        </w:rPr>
        <w:t>C</w:t>
      </w:r>
      <w:r>
        <w:rPr>
          <w:i/>
          <w:iCs/>
          <w:vertAlign w:val="subscript"/>
          <w:lang w:val="en-US"/>
        </w:rPr>
        <w:t>s</w:t>
      </w:r>
      <w:r>
        <w:rPr>
          <w:lang w:val="en-US"/>
        </w:rPr>
        <w:t xml:space="preserve"> P-MP system.</w:t>
      </w:r>
    </w:p>
    <w:p w:rsidR="00B9359B" w:rsidRDefault="009A5268">
      <w:pPr>
        <w:pStyle w:val="FigureNo"/>
        <w:spacing w:before="240" w:after="0"/>
        <w:rPr>
          <w:lang w:val="en-US"/>
        </w:rPr>
      </w:pPr>
      <w:r>
        <w:rPr>
          <w:lang w:val="en-US"/>
        </w:rPr>
        <w:object w:dxaOrig="5377" w:dyaOrig="5895">
          <v:shape id="_x0000_i1095" type="#_x0000_t75" style="width:268.65pt;height:294.45pt" o:ole="">
            <v:imagedata r:id="rId124" o:title=""/>
          </v:shape>
          <o:OLEObject Type="Embed" ProgID="Designer.Drawing.7" ShapeID="_x0000_i1095" DrawAspect="Content" ObjectID="_1629894600" r:id="rId125"/>
        </w:object>
      </w:r>
    </w:p>
    <w:p w:rsidR="00B9359B" w:rsidRDefault="009A5268">
      <w:pPr>
        <w:rPr>
          <w:lang w:val="en-US"/>
        </w:rPr>
      </w:pPr>
      <w:r>
        <w:rPr>
          <w:lang w:val="en-US"/>
        </w:rPr>
        <w:t>This leads, for an output power of 0 dBW, to a guardband of 152 </w:t>
      </w:r>
      <w:r>
        <w:rPr>
          <w:rFonts w:ascii="Symbol" w:hAnsi="Symbol"/>
          <w:lang w:val="en-US"/>
        </w:rPr>
        <w:noBreakHyphen/>
      </w:r>
      <w:r>
        <w:rPr>
          <w:lang w:val="en-US"/>
        </w:rPr>
        <w:t> 112/2 </w:t>
      </w:r>
      <w:r>
        <w:rPr>
          <w:rFonts w:ascii="Symbol" w:hAnsi="Symbol"/>
          <w:lang w:val="en-US"/>
        </w:rPr>
        <w:t></w:t>
      </w:r>
      <w:r>
        <w:rPr>
          <w:lang w:val="en-US"/>
        </w:rPr>
        <w:t> 96 MHz.</w:t>
      </w:r>
    </w:p>
    <w:p w:rsidR="00B9359B" w:rsidRDefault="009A5268">
      <w:pPr>
        <w:pStyle w:val="Heading3"/>
        <w:rPr>
          <w:lang w:val="en-US"/>
        </w:rPr>
      </w:pPr>
      <w:bookmarkStart w:id="478" w:name="_Toc51045878"/>
      <w:r>
        <w:rPr>
          <w:lang w:val="en-US"/>
        </w:rPr>
        <w:br w:type="page"/>
        <w:t>4.3.3</w:t>
      </w:r>
      <w:r>
        <w:rPr>
          <w:lang w:val="en-US"/>
        </w:rPr>
        <w:tab/>
        <w:t>Summary and conclusions for P-P and P-MP systems</w:t>
      </w:r>
      <w:bookmarkEnd w:id="478"/>
    </w:p>
    <w:p w:rsidR="00B9359B" w:rsidRDefault="009A5268">
      <w:pPr>
        <w:rPr>
          <w:lang w:val="en-US"/>
        </w:rPr>
      </w:pPr>
      <w:r>
        <w:rPr>
          <w:lang w:val="en-US"/>
        </w:rPr>
        <w:t>Table 85 provides a summary of the results. Table 85 provides a summary of the results calculated for P</w:t>
      </w:r>
      <w:r>
        <w:rPr>
          <w:lang w:val="en-US"/>
        </w:rPr>
        <w:noBreakHyphen/>
        <w:t>P and P</w:t>
      </w:r>
      <w:r>
        <w:rPr>
          <w:lang w:val="en-US"/>
        </w:rPr>
        <w:noBreakHyphen/>
        <w:t xml:space="preserve">MP systems using a </w:t>
      </w:r>
      <w:r>
        <w:rPr>
          <w:i/>
          <w:iCs/>
          <w:lang w:val="en-US"/>
        </w:rPr>
        <w:t>C</w:t>
      </w:r>
      <w:r>
        <w:rPr>
          <w:i/>
          <w:iCs/>
          <w:vertAlign w:val="subscript"/>
          <w:lang w:val="en-US"/>
        </w:rPr>
        <w:t>s</w:t>
      </w:r>
      <w:r>
        <w:rPr>
          <w:lang w:val="en-US"/>
        </w:rPr>
        <w:t xml:space="preserve"> from 3.5 MHz to 112 MHz (including the results provided in Table 81).</w:t>
      </w:r>
    </w:p>
    <w:p w:rsidR="00B9359B" w:rsidRDefault="00B9359B">
      <w:pPr>
        <w:rPr>
          <w:lang w:val="en-US"/>
        </w:rPr>
      </w:pPr>
    </w:p>
    <w:p w:rsidR="00B9359B" w:rsidRDefault="009A5268">
      <w:pPr>
        <w:pStyle w:val="TableNo"/>
        <w:rPr>
          <w:lang w:val="en-US" w:eastAsia="fr-FR"/>
        </w:rPr>
      </w:pPr>
      <w:r>
        <w:rPr>
          <w:lang w:val="en-US" w:eastAsia="fr-FR"/>
        </w:rPr>
        <w:t>TABLE  85</w:t>
      </w:r>
    </w:p>
    <w:p w:rsidR="00B9359B" w:rsidRDefault="009A5268">
      <w:pPr>
        <w:pStyle w:val="Tabletitle"/>
        <w:rPr>
          <w:lang w:val="en-US" w:eastAsia="fr-FR"/>
        </w:rPr>
      </w:pPr>
      <w:r>
        <w:rPr>
          <w:lang w:val="en-US" w:eastAsia="fr-FR"/>
        </w:rPr>
        <w:t xml:space="preserve">Guardband depending on the </w:t>
      </w:r>
      <w:r>
        <w:rPr>
          <w:i/>
          <w:iCs/>
          <w:lang w:val="en-US"/>
        </w:rPr>
        <w:t>C</w:t>
      </w:r>
      <w:r>
        <w:rPr>
          <w:i/>
          <w:iCs/>
          <w:vertAlign w:val="subscript"/>
          <w:lang w:val="en-US"/>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2268"/>
        <w:gridCol w:w="2722"/>
      </w:tblGrid>
      <w:tr w:rsidR="00B9359B">
        <w:tc>
          <w:tcPr>
            <w:tcW w:w="2977" w:type="dxa"/>
          </w:tcPr>
          <w:p w:rsidR="00B9359B" w:rsidRDefault="009A5268">
            <w:pPr>
              <w:pStyle w:val="Tablehead"/>
              <w:framePr w:hSpace="181" w:wrap="notBeside" w:vAnchor="text" w:hAnchor="text" w:xAlign="center" w:y="1"/>
              <w:spacing w:before="120" w:after="120"/>
              <w:rPr>
                <w:lang w:val="en-US"/>
              </w:rPr>
            </w:pPr>
            <w:r>
              <w:rPr>
                <w:i/>
                <w:iCs/>
                <w:lang w:val="en-US"/>
              </w:rPr>
              <w:t>C</w:t>
            </w:r>
            <w:r>
              <w:rPr>
                <w:i/>
                <w:iCs/>
                <w:vertAlign w:val="subscript"/>
                <w:lang w:val="en-US"/>
              </w:rPr>
              <w:t>s</w:t>
            </w:r>
            <w:r>
              <w:rPr>
                <w:lang w:val="en-US"/>
              </w:rPr>
              <w:br/>
              <w:t>(MHz)</w:t>
            </w:r>
          </w:p>
        </w:tc>
        <w:tc>
          <w:tcPr>
            <w:tcW w:w="2268" w:type="dxa"/>
          </w:tcPr>
          <w:p w:rsidR="00B9359B" w:rsidRDefault="009A5268">
            <w:pPr>
              <w:pStyle w:val="Tablehead"/>
              <w:framePr w:hSpace="181" w:wrap="notBeside" w:vAnchor="text" w:hAnchor="text" w:xAlign="center" w:y="1"/>
              <w:spacing w:before="120" w:after="120"/>
              <w:rPr>
                <w:lang w:val="en-US"/>
              </w:rPr>
            </w:pPr>
            <w:r>
              <w:rPr>
                <w:i/>
                <w:iCs/>
                <w:lang w:val="en-US"/>
              </w:rPr>
              <w:t>Z</w:t>
            </w:r>
            <w:r>
              <w:rPr>
                <w:vertAlign w:val="subscript"/>
                <w:lang w:val="en-US"/>
              </w:rPr>
              <w:t>2</w:t>
            </w:r>
            <w:r>
              <w:rPr>
                <w:i/>
                <w:iCs/>
                <w:lang w:val="en-US"/>
              </w:rPr>
              <w:t>S</w:t>
            </w:r>
            <w:r>
              <w:rPr>
                <w:lang w:val="en-US"/>
              </w:rPr>
              <w:br/>
              <w:t>(MHz)</w:t>
            </w:r>
          </w:p>
        </w:tc>
        <w:tc>
          <w:tcPr>
            <w:tcW w:w="2722" w:type="dxa"/>
          </w:tcPr>
          <w:p w:rsidR="00B9359B" w:rsidRDefault="009A5268">
            <w:pPr>
              <w:pStyle w:val="Tablehead"/>
              <w:framePr w:hSpace="181" w:wrap="notBeside" w:vAnchor="text" w:hAnchor="text" w:xAlign="center" w:y="1"/>
              <w:spacing w:before="120" w:after="120"/>
              <w:rPr>
                <w:lang w:val="en-US"/>
              </w:rPr>
            </w:pPr>
            <w:r>
              <w:rPr>
                <w:lang w:val="en-US"/>
              </w:rPr>
              <w:t>Guardband</w:t>
            </w:r>
            <w:r>
              <w:rPr>
                <w:lang w:val="en-US"/>
              </w:rPr>
              <w:br/>
              <w:t>(MHz)</w:t>
            </w:r>
          </w:p>
        </w:tc>
      </w:tr>
      <w:tr w:rsidR="00B9359B">
        <w:tc>
          <w:tcPr>
            <w:tcW w:w="2977"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lang w:val="en-US" w:eastAsia="fr-FR"/>
              </w:rPr>
            </w:pPr>
            <w:r>
              <w:rPr>
                <w:lang w:val="en-US" w:eastAsia="fr-FR"/>
              </w:rPr>
              <w:t>3.5</w:t>
            </w:r>
          </w:p>
        </w:tc>
        <w:tc>
          <w:tcPr>
            <w:tcW w:w="226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lang w:val="en-US"/>
              </w:rPr>
            </w:pPr>
            <w:r>
              <w:rPr>
                <w:lang w:val="en-US"/>
              </w:rPr>
              <w:t>28.75</w:t>
            </w:r>
          </w:p>
        </w:tc>
        <w:tc>
          <w:tcPr>
            <w:tcW w:w="2722" w:type="dxa"/>
          </w:tcPr>
          <w:p w:rsidR="00B9359B" w:rsidRDefault="009A5268">
            <w:pPr>
              <w:pStyle w:val="Tabletext"/>
              <w:framePr w:hSpace="181" w:wrap="notBeside" w:vAnchor="text" w:hAnchor="text" w:xAlign="center" w:y="1"/>
              <w:spacing w:before="80" w:after="80"/>
              <w:jc w:val="center"/>
              <w:rPr>
                <w:lang w:val="en-US"/>
              </w:rPr>
            </w:pPr>
            <w:r>
              <w:rPr>
                <w:lang w:val="en-US"/>
              </w:rPr>
              <w:t>27</w:t>
            </w:r>
          </w:p>
        </w:tc>
      </w:tr>
      <w:tr w:rsidR="00B9359B">
        <w:tc>
          <w:tcPr>
            <w:tcW w:w="2977"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lang w:val="en-US" w:eastAsia="fr-FR"/>
              </w:rPr>
            </w:pPr>
            <w:r>
              <w:rPr>
                <w:lang w:val="en-US" w:eastAsia="fr-FR"/>
              </w:rPr>
              <w:t>7</w:t>
            </w:r>
          </w:p>
        </w:tc>
        <w:tc>
          <w:tcPr>
            <w:tcW w:w="226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lang w:val="en-US"/>
              </w:rPr>
            </w:pPr>
            <w:r>
              <w:rPr>
                <w:lang w:val="en-US"/>
              </w:rPr>
              <w:t>27.5</w:t>
            </w:r>
          </w:p>
        </w:tc>
        <w:tc>
          <w:tcPr>
            <w:tcW w:w="2722" w:type="dxa"/>
          </w:tcPr>
          <w:p w:rsidR="00B9359B" w:rsidRDefault="009A5268">
            <w:pPr>
              <w:pStyle w:val="Tabletext"/>
              <w:framePr w:hSpace="181" w:wrap="notBeside" w:vAnchor="text" w:hAnchor="text" w:xAlign="center" w:y="1"/>
              <w:spacing w:before="80" w:after="80"/>
              <w:jc w:val="center"/>
              <w:rPr>
                <w:lang w:val="en-US"/>
              </w:rPr>
            </w:pPr>
            <w:r>
              <w:rPr>
                <w:lang w:val="en-US"/>
              </w:rPr>
              <w:t>24</w:t>
            </w:r>
          </w:p>
        </w:tc>
      </w:tr>
      <w:tr w:rsidR="00B9359B">
        <w:tc>
          <w:tcPr>
            <w:tcW w:w="2977"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lang w:val="en-US" w:eastAsia="fr-FR"/>
              </w:rPr>
            </w:pPr>
            <w:r>
              <w:rPr>
                <w:lang w:val="en-US" w:eastAsia="fr-FR"/>
              </w:rPr>
              <w:t>14</w:t>
            </w:r>
          </w:p>
        </w:tc>
        <w:tc>
          <w:tcPr>
            <w:tcW w:w="226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lang w:val="en-US"/>
              </w:rPr>
            </w:pPr>
            <w:r>
              <w:rPr>
                <w:lang w:val="en-US"/>
              </w:rPr>
              <w:t>22</w:t>
            </w:r>
          </w:p>
        </w:tc>
        <w:tc>
          <w:tcPr>
            <w:tcW w:w="2722" w:type="dxa"/>
          </w:tcPr>
          <w:p w:rsidR="00B9359B" w:rsidRDefault="009A5268">
            <w:pPr>
              <w:pStyle w:val="Tabletext"/>
              <w:framePr w:hSpace="181" w:wrap="notBeside" w:vAnchor="text" w:hAnchor="text" w:xAlign="center" w:y="1"/>
              <w:spacing w:before="80" w:after="80"/>
              <w:jc w:val="center"/>
              <w:rPr>
                <w:lang w:val="en-US"/>
              </w:rPr>
            </w:pPr>
            <w:r>
              <w:rPr>
                <w:lang w:val="en-US"/>
              </w:rPr>
              <w:t>15</w:t>
            </w:r>
          </w:p>
        </w:tc>
      </w:tr>
      <w:tr w:rsidR="00B9359B">
        <w:tc>
          <w:tcPr>
            <w:tcW w:w="2977"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lang w:val="en-US"/>
              </w:rPr>
            </w:pPr>
            <w:r>
              <w:rPr>
                <w:lang w:val="en-US"/>
              </w:rPr>
              <w:t>28</w:t>
            </w:r>
          </w:p>
        </w:tc>
        <w:tc>
          <w:tcPr>
            <w:tcW w:w="226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lang w:val="en-US"/>
              </w:rPr>
            </w:pPr>
            <w:r>
              <w:rPr>
                <w:lang w:val="en-US"/>
              </w:rPr>
              <w:t>41</w:t>
            </w:r>
          </w:p>
        </w:tc>
        <w:tc>
          <w:tcPr>
            <w:tcW w:w="2722" w:type="dxa"/>
          </w:tcPr>
          <w:p w:rsidR="00B9359B" w:rsidRDefault="009A5268">
            <w:pPr>
              <w:pStyle w:val="Tabletext"/>
              <w:framePr w:hSpace="181" w:wrap="notBeside" w:vAnchor="text" w:hAnchor="text" w:xAlign="center" w:y="1"/>
              <w:spacing w:before="80" w:after="80"/>
              <w:jc w:val="center"/>
              <w:rPr>
                <w:lang w:val="en-US"/>
              </w:rPr>
            </w:pPr>
            <w:r>
              <w:rPr>
                <w:lang w:val="en-US"/>
              </w:rPr>
              <w:t>27</w:t>
            </w:r>
          </w:p>
        </w:tc>
      </w:tr>
      <w:tr w:rsidR="00B9359B">
        <w:tc>
          <w:tcPr>
            <w:tcW w:w="2977"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lang w:val="en-US" w:eastAsia="fr-FR"/>
              </w:rPr>
            </w:pPr>
            <w:r>
              <w:rPr>
                <w:lang w:val="en-US" w:eastAsia="fr-FR"/>
              </w:rPr>
              <w:t>56</w:t>
            </w:r>
          </w:p>
        </w:tc>
        <w:tc>
          <w:tcPr>
            <w:tcW w:w="226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lang w:val="en-US"/>
              </w:rPr>
            </w:pPr>
            <w:r>
              <w:rPr>
                <w:lang w:val="en-US"/>
              </w:rPr>
              <w:t>80</w:t>
            </w:r>
          </w:p>
        </w:tc>
        <w:tc>
          <w:tcPr>
            <w:tcW w:w="2722" w:type="dxa"/>
          </w:tcPr>
          <w:p w:rsidR="00B9359B" w:rsidRDefault="009A5268">
            <w:pPr>
              <w:pStyle w:val="Tabletext"/>
              <w:framePr w:hSpace="181" w:wrap="notBeside" w:vAnchor="text" w:hAnchor="text" w:xAlign="center" w:y="1"/>
              <w:spacing w:before="80" w:after="80"/>
              <w:jc w:val="center"/>
              <w:rPr>
                <w:lang w:val="en-US"/>
              </w:rPr>
            </w:pPr>
            <w:r>
              <w:rPr>
                <w:lang w:val="en-US"/>
              </w:rPr>
              <w:t>52</w:t>
            </w:r>
          </w:p>
        </w:tc>
      </w:tr>
      <w:tr w:rsidR="00B9359B">
        <w:tc>
          <w:tcPr>
            <w:tcW w:w="2977"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lang w:val="en-US" w:eastAsia="fr-FR"/>
              </w:rPr>
            </w:pPr>
            <w:r>
              <w:rPr>
                <w:lang w:val="en-US" w:eastAsia="fr-FR"/>
              </w:rPr>
              <w:t>112</w:t>
            </w:r>
          </w:p>
        </w:tc>
        <w:tc>
          <w:tcPr>
            <w:tcW w:w="226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lang w:val="en-US"/>
              </w:rPr>
            </w:pPr>
            <w:r>
              <w:rPr>
                <w:lang w:val="en-US"/>
              </w:rPr>
              <w:t>152</w:t>
            </w:r>
          </w:p>
        </w:tc>
        <w:tc>
          <w:tcPr>
            <w:tcW w:w="2722" w:type="dxa"/>
          </w:tcPr>
          <w:p w:rsidR="00B9359B" w:rsidRDefault="009A5268">
            <w:pPr>
              <w:pStyle w:val="Tabletext"/>
              <w:framePr w:hSpace="181" w:wrap="notBeside" w:vAnchor="text" w:hAnchor="text" w:xAlign="center" w:y="1"/>
              <w:spacing w:before="80" w:after="80"/>
              <w:jc w:val="center"/>
              <w:rPr>
                <w:lang w:val="en-US"/>
              </w:rPr>
            </w:pPr>
            <w:r>
              <w:rPr>
                <w:lang w:val="en-US"/>
              </w:rPr>
              <w:t>96</w:t>
            </w:r>
          </w:p>
        </w:tc>
      </w:tr>
    </w:tbl>
    <w:p w:rsidR="00B9359B" w:rsidRDefault="00B9359B">
      <w:pPr>
        <w:pStyle w:val="Tablefin"/>
      </w:pPr>
    </w:p>
    <w:p w:rsidR="00B9359B" w:rsidRDefault="00B9359B">
      <w:pPr>
        <w:rPr>
          <w:lang w:val="en-GB"/>
        </w:rPr>
      </w:pPr>
    </w:p>
    <w:p w:rsidR="00B9359B" w:rsidRDefault="009A5268">
      <w:pPr>
        <w:rPr>
          <w:lang w:val="en-US"/>
        </w:rPr>
      </w:pPr>
      <w:r>
        <w:rPr>
          <w:lang w:val="en-US"/>
        </w:rPr>
        <w:t xml:space="preserve">The 56 MHz and 112 MHz channel spacing plans are not included in the channel arrangement given in Annex 8 to Recommendation ITU-R F.746 due to the limited number of channels they would allow for. Specifically, they would allow for only one frequency division duplex (FDD) channel for 56 MHz spacing and one </w:t>
      </w:r>
      <w:r>
        <w:rPr>
          <w:lang w:val="en-US" w:eastAsia="fr-FR"/>
        </w:rPr>
        <w:t>time division duplex (</w:t>
      </w:r>
      <w:r>
        <w:rPr>
          <w:lang w:val="en-US"/>
        </w:rPr>
        <w:t xml:space="preserve">TDD) channel for 112 MHz </w:t>
      </w:r>
      <w:r>
        <w:rPr>
          <w:i/>
          <w:iCs/>
          <w:lang w:val="en-US"/>
        </w:rPr>
        <w:t>C</w:t>
      </w:r>
      <w:r>
        <w:rPr>
          <w:i/>
          <w:iCs/>
          <w:vertAlign w:val="subscript"/>
          <w:lang w:val="en-US"/>
        </w:rPr>
        <w:t>s</w:t>
      </w:r>
      <w:r>
        <w:rPr>
          <w:lang w:val="en-US"/>
        </w:rPr>
        <w:t>. The channel arrangement of Annex 8 to Recommendation ITU-R F.746 includes a guardband of 31 MHz in the upper part of the band 31-31.3 GHz.</w:t>
      </w:r>
    </w:p>
    <w:p w:rsidR="00B9359B" w:rsidRDefault="009A5268">
      <w:pPr>
        <w:rPr>
          <w:lang w:val="en-US" w:eastAsia="fr-FR"/>
        </w:rPr>
      </w:pPr>
      <w:r>
        <w:rPr>
          <w:lang w:val="en-US" w:eastAsia="fr-FR"/>
        </w:rPr>
        <w:t>It should be noted that since the guardband included in Annex 8 to Recommendation ITU-R F.746 is larger than the minimum one required for channel spacing of 3.5, 7, 14 and 28 MHz, this gives an additional margin compared to the acceptable power given in Tables 77 and 78.</w:t>
      </w:r>
    </w:p>
    <w:p w:rsidR="00B9359B" w:rsidRPr="00D35B94" w:rsidRDefault="009A5268">
      <w:pPr>
        <w:pStyle w:val="Heading1"/>
        <w:rPr>
          <w:lang w:val="en-GB"/>
        </w:rPr>
      </w:pPr>
      <w:bookmarkStart w:id="479" w:name="_Toc51045879"/>
      <w:r w:rsidRPr="00D35B94">
        <w:rPr>
          <w:lang w:val="en-GB"/>
        </w:rPr>
        <w:t>5</w:t>
      </w:r>
      <w:r w:rsidRPr="00D35B94">
        <w:rPr>
          <w:lang w:val="en-GB"/>
        </w:rPr>
        <w:tab/>
        <w:t>Mitigation techniques</w:t>
      </w:r>
      <w:bookmarkEnd w:id="479"/>
    </w:p>
    <w:p w:rsidR="00B9359B" w:rsidRPr="00D35B94" w:rsidRDefault="009A5268">
      <w:pPr>
        <w:pStyle w:val="Heading2"/>
        <w:rPr>
          <w:lang w:val="en-GB"/>
        </w:rPr>
      </w:pPr>
      <w:bookmarkStart w:id="480" w:name="_Toc51045880"/>
      <w:r w:rsidRPr="00D35B94">
        <w:rPr>
          <w:lang w:val="en-GB"/>
        </w:rPr>
        <w:t>5.1</w:t>
      </w:r>
      <w:r w:rsidRPr="00D35B94">
        <w:rPr>
          <w:lang w:val="en-GB"/>
        </w:rPr>
        <w:tab/>
        <w:t xml:space="preserve">EESS (passive) </w:t>
      </w:r>
      <w:bookmarkEnd w:id="480"/>
    </w:p>
    <w:p w:rsidR="00B9359B" w:rsidRDefault="009A5268">
      <w:pPr>
        <w:rPr>
          <w:lang w:val="en-US"/>
        </w:rPr>
      </w:pPr>
      <w:r>
        <w:rPr>
          <w:lang w:val="en-US"/>
        </w:rPr>
        <w:t>EESS systems cannot implement guardband at the lower edge of the EESS band since they need to operate in the whole 200 MHz allocation.</w:t>
      </w:r>
    </w:p>
    <w:p w:rsidR="00B9359B" w:rsidRDefault="009A5268">
      <w:pPr>
        <w:pStyle w:val="Heading2"/>
        <w:rPr>
          <w:lang w:val="en-US"/>
        </w:rPr>
      </w:pPr>
      <w:bookmarkStart w:id="481" w:name="_Toc51045881"/>
      <w:r>
        <w:rPr>
          <w:lang w:val="en-US"/>
        </w:rPr>
        <w:br w:type="page"/>
        <w:t>5.2</w:t>
      </w:r>
      <w:r>
        <w:rPr>
          <w:lang w:val="en-US"/>
        </w:rPr>
        <w:tab/>
        <w:t>FS</w:t>
      </w:r>
      <w:bookmarkEnd w:id="481"/>
    </w:p>
    <w:p w:rsidR="00B9359B" w:rsidRDefault="009A5268">
      <w:pPr>
        <w:rPr>
          <w:lang w:val="en-US"/>
        </w:rPr>
      </w:pPr>
      <w:r>
        <w:rPr>
          <w:lang w:val="en-US"/>
        </w:rPr>
        <w:t>The use of a guardband of 31 MHz for systems deployed in accordance with Annex 8 to Recom</w:t>
      </w:r>
      <w:r>
        <w:rPr>
          <w:lang w:val="en-US"/>
        </w:rPr>
        <w:softHyphen/>
        <w:t>mendation ITU-R F.746 and, which use more stringent mask for OoB emissions than those given in Recommendation ITU-R SM.1541 and limits for spurious emissions given in Recommendation ITU</w:t>
      </w:r>
      <w:r>
        <w:rPr>
          <w:lang w:val="en-US"/>
        </w:rPr>
        <w:noBreakHyphen/>
        <w:t xml:space="preserve">R SM.329 (Category B) ensure that the levels of unwanted emissions from FS systems falling into the band 31.3-31.5 GHz meet the acceptable power given in Tables 77 and 78 (about </w:t>
      </w:r>
      <w:r>
        <w:rPr>
          <w:rFonts w:ascii="Symbol" w:hAnsi="Symbol"/>
          <w:lang w:val="en-US"/>
        </w:rPr>
        <w:noBreakHyphen/>
      </w:r>
      <w:r>
        <w:rPr>
          <w:lang w:val="en-US"/>
        </w:rPr>
        <w:t>38 dB(W/100 MHz)).</w:t>
      </w:r>
    </w:p>
    <w:p w:rsidR="00B9359B" w:rsidRDefault="009A5268">
      <w:pPr>
        <w:rPr>
          <w:lang w:val="en-US"/>
        </w:rPr>
      </w:pPr>
      <w:r>
        <w:rPr>
          <w:lang w:val="en-US"/>
        </w:rPr>
        <w:t>Other mitigation techniques such as filtering may also be used to ensure that the maximum acceptable power within the passive band may be met.</w:t>
      </w:r>
    </w:p>
    <w:p w:rsidR="00B9359B" w:rsidRDefault="009A5268">
      <w:pPr>
        <w:pStyle w:val="Heading2"/>
        <w:rPr>
          <w:lang w:val="en-US"/>
        </w:rPr>
      </w:pPr>
      <w:bookmarkStart w:id="482" w:name="_Toc51045882"/>
      <w:r>
        <w:rPr>
          <w:lang w:val="en-US"/>
        </w:rPr>
        <w:t>5.3</w:t>
      </w:r>
      <w:r>
        <w:rPr>
          <w:lang w:val="en-US"/>
        </w:rPr>
        <w:tab/>
        <w:t>Potential impact</w:t>
      </w:r>
      <w:bookmarkEnd w:id="482"/>
    </w:p>
    <w:p w:rsidR="00B9359B" w:rsidRDefault="009A5268">
      <w:pPr>
        <w:pStyle w:val="Heading3"/>
        <w:rPr>
          <w:lang w:val="en-US"/>
        </w:rPr>
      </w:pPr>
      <w:bookmarkStart w:id="483" w:name="_Toc51045883"/>
      <w:r>
        <w:rPr>
          <w:lang w:val="en-US"/>
        </w:rPr>
        <w:t>5.3.1</w:t>
      </w:r>
      <w:r>
        <w:rPr>
          <w:lang w:val="en-US"/>
        </w:rPr>
        <w:tab/>
        <w:t>EESS</w:t>
      </w:r>
      <w:bookmarkEnd w:id="483"/>
    </w:p>
    <w:p w:rsidR="00B9359B" w:rsidRDefault="009A5268">
      <w:pPr>
        <w:rPr>
          <w:lang w:val="en-US"/>
        </w:rPr>
      </w:pPr>
      <w:r>
        <w:rPr>
          <w:lang w:val="en-US"/>
        </w:rPr>
        <w:t>No impact.</w:t>
      </w:r>
    </w:p>
    <w:p w:rsidR="00B9359B" w:rsidRDefault="009A5268">
      <w:pPr>
        <w:numPr>
          <w:ilvl w:val="2"/>
          <w:numId w:val="2"/>
        </w:numPr>
        <w:rPr>
          <w:b/>
          <w:lang w:val="en-US"/>
        </w:rPr>
      </w:pPr>
      <w:r>
        <w:rPr>
          <w:b/>
          <w:lang w:val="en-US"/>
        </w:rPr>
        <w:t>FS</w:t>
      </w:r>
    </w:p>
    <w:p w:rsidR="00B9359B" w:rsidRDefault="009A5268">
      <w:pPr>
        <w:rPr>
          <w:lang w:val="en-US"/>
        </w:rPr>
      </w:pPr>
      <w:r>
        <w:rPr>
          <w:lang w:val="en-US"/>
        </w:rPr>
        <w:t xml:space="preserve">If the FS systems implement mitigation techniques using both OoB limits, as well as limits for spurious emissions given in Recommendation ITU-R SM.329 (Category B) then the impact has yet to be determined for FS in countries that do not follow such limits. If other techniques are implemented by the FS to meet </w:t>
      </w:r>
      <w:r>
        <w:rPr>
          <w:rFonts w:ascii="Symbol" w:hAnsi="Symbol"/>
          <w:lang w:val="en-US"/>
        </w:rPr>
        <w:noBreakHyphen/>
      </w:r>
      <w:r>
        <w:rPr>
          <w:lang w:val="en-US"/>
        </w:rPr>
        <w:t>38 dB(W/100 MHz), then the impact of those techniques needs to be determined as well.</w:t>
      </w:r>
    </w:p>
    <w:p w:rsidR="00B9359B" w:rsidRDefault="009A5268">
      <w:pPr>
        <w:pStyle w:val="Heading1"/>
        <w:rPr>
          <w:lang w:val="en-US"/>
        </w:rPr>
      </w:pPr>
      <w:bookmarkStart w:id="484" w:name="_Toc51045884"/>
      <w:r>
        <w:rPr>
          <w:lang w:val="en-US"/>
        </w:rPr>
        <w:t>6</w:t>
      </w:r>
      <w:r>
        <w:rPr>
          <w:lang w:val="en-US"/>
        </w:rPr>
        <w:tab/>
        <w:t>Results of the studies</w:t>
      </w:r>
      <w:bookmarkEnd w:id="484"/>
    </w:p>
    <w:p w:rsidR="00B9359B" w:rsidRDefault="009A5268">
      <w:pPr>
        <w:pStyle w:val="Heading2"/>
        <w:rPr>
          <w:lang w:val="en-US"/>
        </w:rPr>
      </w:pPr>
      <w:bookmarkStart w:id="485" w:name="_Toc51045885"/>
      <w:r>
        <w:rPr>
          <w:lang w:val="en-US"/>
        </w:rPr>
        <w:t>6.1</w:t>
      </w:r>
      <w:r>
        <w:rPr>
          <w:lang w:val="en-US"/>
        </w:rPr>
        <w:tab/>
        <w:t>Summary</w:t>
      </w:r>
      <w:bookmarkEnd w:id="485"/>
    </w:p>
    <w:p w:rsidR="00B9359B" w:rsidRDefault="009A5268">
      <w:pPr>
        <w:rPr>
          <w:lang w:val="en-US"/>
        </w:rPr>
      </w:pPr>
      <w:r>
        <w:rPr>
          <w:lang w:val="en-US"/>
        </w:rPr>
        <w:t>In this Annex, it was shown that FS systems operating in the band 31-31.3 GHz deployed in  Europe using more stringent mask for OoB emissions than those given in Recommendation ITU</w:t>
      </w:r>
      <w:r>
        <w:rPr>
          <w:lang w:val="en-US"/>
        </w:rPr>
        <w:noBreakHyphen/>
        <w:t>R SM.1541 and limits for spurious emissions given in ITU-R SM.329 (Category B) will meet the protection maximum acceptable power –38 dB(W/100 MHz). It should be noted that the densities of terminals that were considered in the compatibility analysis represent a worst-case approach and may be refined.</w:t>
      </w:r>
    </w:p>
    <w:p w:rsidR="00B9359B" w:rsidRDefault="009A5268">
      <w:pPr>
        <w:pStyle w:val="Heading2"/>
        <w:rPr>
          <w:lang w:val="en-US"/>
        </w:rPr>
      </w:pPr>
      <w:bookmarkStart w:id="486" w:name="_Toc51045886"/>
      <w:r>
        <w:rPr>
          <w:lang w:val="en-US"/>
        </w:rPr>
        <w:t>6.2</w:t>
      </w:r>
      <w:r>
        <w:rPr>
          <w:lang w:val="en-US"/>
        </w:rPr>
        <w:tab/>
        <w:t>Conclusion</w:t>
      </w:r>
      <w:bookmarkEnd w:id="486"/>
    </w:p>
    <w:p w:rsidR="00B9359B" w:rsidRDefault="009A5268">
      <w:pPr>
        <w:rPr>
          <w:lang w:val="en-US"/>
        </w:rPr>
      </w:pPr>
      <w:r>
        <w:rPr>
          <w:lang w:val="en-US"/>
        </w:rPr>
        <w:t>When FS systems follow the channel arrangements given in Annex 8 to Recommendation ITU</w:t>
      </w:r>
      <w:r>
        <w:rPr>
          <w:lang w:val="en-US"/>
        </w:rPr>
        <w:noBreakHyphen/>
        <w:t>R F.746 and meet more stringent limits for unwanted emissions than the one given in Recom</w:t>
      </w:r>
      <w:r>
        <w:rPr>
          <w:lang w:val="en-US"/>
        </w:rPr>
        <w:softHyphen/>
        <w:t>mendation ITU-R SM.1541 and in RR Appendix 3, the level of unwanted emissions from FS  systems deployed in the band 31-31.3 GHz may meet –38 dB(W/100 MHz), which would ensure compatibility between FS operating in the band 31-31.3 GHz and EESS operating in the band 31.3-31.5 GHz.</w:t>
      </w:r>
    </w:p>
    <w:p w:rsidR="00B9359B" w:rsidRDefault="009A5268">
      <w:pPr>
        <w:pStyle w:val="AnnexNoTitle"/>
        <w:rPr>
          <w:lang w:val="en-US"/>
        </w:rPr>
      </w:pPr>
      <w:r>
        <w:rPr>
          <w:lang w:val="en-US"/>
        </w:rPr>
        <w:br w:type="page"/>
        <w:t>Annex 16</w:t>
      </w:r>
      <w:r>
        <w:rPr>
          <w:b w:val="0"/>
          <w:lang w:val="en-US"/>
        </w:rPr>
        <w:br/>
      </w:r>
      <w:r>
        <w:rPr>
          <w:b w:val="0"/>
          <w:lang w:val="en-US"/>
        </w:rPr>
        <w:br/>
      </w:r>
      <w:r>
        <w:rPr>
          <w:lang w:val="en-US"/>
        </w:rPr>
        <w:t>Compatibility analysis between EESS (passive) systems</w:t>
      </w:r>
      <w:r>
        <w:rPr>
          <w:lang w:val="en-US"/>
        </w:rPr>
        <w:br/>
        <w:t>operating in the 31.5-31.8 GHz band and FS systems</w:t>
      </w:r>
      <w:r>
        <w:rPr>
          <w:lang w:val="en-US"/>
        </w:rPr>
        <w:br/>
        <w:t>operating in the 31.8-33.4 GHz band</w:t>
      </w:r>
    </w:p>
    <w:p w:rsidR="00B9359B" w:rsidRDefault="009A5268">
      <w:pPr>
        <w:pStyle w:val="Heading1"/>
        <w:rPr>
          <w:lang w:val="en-US"/>
        </w:rPr>
      </w:pPr>
      <w:bookmarkStart w:id="487" w:name="_Toc51045887"/>
      <w:r>
        <w:rPr>
          <w:lang w:val="en-US"/>
        </w:rPr>
        <w:t>1</w:t>
      </w:r>
      <w:r>
        <w:rPr>
          <w:lang w:val="en-US"/>
        </w:rPr>
        <w:tab/>
        <w:t>EESS (passive)</w:t>
      </w:r>
      <w:bookmarkEnd w:id="487"/>
    </w:p>
    <w:p w:rsidR="00B9359B" w:rsidRDefault="009A5268">
      <w:pPr>
        <w:pStyle w:val="Heading2"/>
        <w:rPr>
          <w:lang w:val="en-US"/>
        </w:rPr>
      </w:pPr>
      <w:bookmarkStart w:id="488" w:name="_Toc51045888"/>
      <w:r>
        <w:rPr>
          <w:lang w:val="en-US"/>
        </w:rPr>
        <w:t>1.1</w:t>
      </w:r>
      <w:r>
        <w:rPr>
          <w:lang w:val="en-US"/>
        </w:rPr>
        <w:tab/>
        <w:t>Allocated band</w:t>
      </w:r>
      <w:bookmarkEnd w:id="488"/>
    </w:p>
    <w:p w:rsidR="00B9359B" w:rsidRDefault="009A5268">
      <w:pPr>
        <w:rPr>
          <w:lang w:val="en-US"/>
        </w:rPr>
      </w:pPr>
      <w:r>
        <w:rPr>
          <w:lang w:val="en-US"/>
        </w:rPr>
        <w:t>The 31.8-33.4 GHz band is allocated to FS and this band is adjacent to the 31.5-31.8 GHz band allocated to the EESS. This Annex provides calculations of levels of unwanted emissions from FS system operating above 31.8 GHz that may fall within the 31.5-31.8 GHz band.</w:t>
      </w:r>
    </w:p>
    <w:p w:rsidR="00B9359B" w:rsidRDefault="009A5268">
      <w:pPr>
        <w:rPr>
          <w:lang w:val="en-US"/>
        </w:rPr>
      </w:pPr>
      <w:r>
        <w:rPr>
          <w:lang w:val="en-US"/>
        </w:rPr>
        <w:t>The allocations adjacent to the 31.5-31.8 GHz passive bands are shown in Table 86.</w:t>
      </w:r>
    </w:p>
    <w:p w:rsidR="00B9359B" w:rsidRDefault="009A5268">
      <w:pPr>
        <w:pStyle w:val="TableNo"/>
        <w:rPr>
          <w:lang w:val="en-US"/>
        </w:rPr>
      </w:pPr>
      <w:r>
        <w:rPr>
          <w:lang w:val="en-US"/>
        </w:rPr>
        <w:t>TABLE  86</w:t>
      </w:r>
    </w:p>
    <w:p w:rsidR="00B9359B" w:rsidRDefault="009A5268">
      <w:pPr>
        <w:pStyle w:val="Tabletitle"/>
        <w:rPr>
          <w:lang w:val="en-US"/>
        </w:rPr>
      </w:pPr>
      <w:r>
        <w:rPr>
          <w:lang w:val="en-US"/>
        </w:rPr>
        <w:t>Adjacent band allocations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59"/>
        <w:gridCol w:w="2952"/>
        <w:gridCol w:w="2952"/>
      </w:tblGrid>
      <w:tr w:rsidR="00B9359B" w:rsidRPr="00D35B94">
        <w:tc>
          <w:tcPr>
            <w:tcW w:w="3059" w:type="dxa"/>
            <w:vAlign w:val="center"/>
          </w:tcPr>
          <w:p w:rsidR="00B9359B" w:rsidRDefault="009A5268">
            <w:pPr>
              <w:pStyle w:val="Tablehead"/>
              <w:framePr w:hSpace="181" w:wrap="notBeside" w:vAnchor="text" w:hAnchor="text" w:xAlign="center" w:y="1"/>
              <w:rPr>
                <w:lang w:val="en-US"/>
              </w:rPr>
            </w:pPr>
            <w:r>
              <w:rPr>
                <w:lang w:val="en-US"/>
              </w:rPr>
              <w:t xml:space="preserve">Services in lower </w:t>
            </w:r>
            <w:r>
              <w:rPr>
                <w:lang w:val="en-US"/>
              </w:rPr>
              <w:br/>
              <w:t>allocated band</w:t>
            </w:r>
          </w:p>
        </w:tc>
        <w:tc>
          <w:tcPr>
            <w:tcW w:w="2952" w:type="dxa"/>
            <w:vAlign w:val="center"/>
          </w:tcPr>
          <w:p w:rsidR="00B9359B" w:rsidRDefault="009A5268">
            <w:pPr>
              <w:pStyle w:val="Tablehead"/>
              <w:framePr w:hSpace="181" w:wrap="notBeside" w:vAnchor="text" w:hAnchor="text" w:xAlign="center" w:y="1"/>
              <w:rPr>
                <w:lang w:val="en-US"/>
              </w:rPr>
            </w:pPr>
            <w:r>
              <w:rPr>
                <w:lang w:val="en-US"/>
              </w:rPr>
              <w:t>Passive band</w:t>
            </w:r>
          </w:p>
        </w:tc>
        <w:tc>
          <w:tcPr>
            <w:tcW w:w="2952" w:type="dxa"/>
            <w:vAlign w:val="center"/>
          </w:tcPr>
          <w:p w:rsidR="00B9359B" w:rsidRDefault="009A5268">
            <w:pPr>
              <w:pStyle w:val="Tablehead"/>
              <w:framePr w:hSpace="181" w:wrap="notBeside" w:vAnchor="text" w:hAnchor="text" w:xAlign="center" w:y="1"/>
              <w:rPr>
                <w:lang w:val="en-US"/>
              </w:rPr>
            </w:pPr>
            <w:r>
              <w:rPr>
                <w:lang w:val="en-US"/>
              </w:rPr>
              <w:t xml:space="preserve">Services in upper </w:t>
            </w:r>
            <w:r>
              <w:rPr>
                <w:lang w:val="en-US"/>
              </w:rPr>
              <w:br/>
              <w:t>allocated band</w:t>
            </w:r>
          </w:p>
        </w:tc>
      </w:tr>
      <w:tr w:rsidR="00B9359B">
        <w:tc>
          <w:tcPr>
            <w:tcW w:w="3059" w:type="dxa"/>
          </w:tcPr>
          <w:p w:rsidR="00B9359B" w:rsidRDefault="009A5268">
            <w:pPr>
              <w:pStyle w:val="Tablehead"/>
              <w:framePr w:hSpace="181" w:wrap="notBeside" w:vAnchor="text" w:hAnchor="text" w:xAlign="center" w:y="1"/>
              <w:rPr>
                <w:lang w:val="en-US"/>
              </w:rPr>
            </w:pPr>
            <w:r>
              <w:rPr>
                <w:lang w:val="en-US"/>
              </w:rPr>
              <w:t>31.3-31.5 GHz</w:t>
            </w:r>
          </w:p>
        </w:tc>
        <w:tc>
          <w:tcPr>
            <w:tcW w:w="2952" w:type="dxa"/>
          </w:tcPr>
          <w:p w:rsidR="00B9359B" w:rsidRDefault="009A5268">
            <w:pPr>
              <w:pStyle w:val="Tablehead"/>
              <w:framePr w:hSpace="181" w:wrap="notBeside" w:vAnchor="text" w:hAnchor="text" w:xAlign="center" w:y="1"/>
              <w:rPr>
                <w:lang w:val="en-US"/>
              </w:rPr>
            </w:pPr>
            <w:r>
              <w:rPr>
                <w:lang w:val="en-US"/>
              </w:rPr>
              <w:t>31.5-31.8 GHz</w:t>
            </w:r>
          </w:p>
        </w:tc>
        <w:tc>
          <w:tcPr>
            <w:tcW w:w="2952" w:type="dxa"/>
          </w:tcPr>
          <w:p w:rsidR="00B9359B" w:rsidRDefault="009A5268">
            <w:pPr>
              <w:pStyle w:val="Tablehead"/>
              <w:framePr w:hSpace="181" w:wrap="notBeside" w:vAnchor="text" w:hAnchor="text" w:xAlign="center" w:y="1"/>
              <w:rPr>
                <w:lang w:val="en-US"/>
              </w:rPr>
            </w:pPr>
            <w:r>
              <w:rPr>
                <w:lang w:val="en-US"/>
              </w:rPr>
              <w:t>31.8-32 GHz</w:t>
            </w:r>
          </w:p>
        </w:tc>
      </w:tr>
      <w:tr w:rsidR="00B9359B" w:rsidRPr="00D35B94">
        <w:tc>
          <w:tcPr>
            <w:tcW w:w="3059" w:type="dxa"/>
          </w:tcPr>
          <w:p w:rsidR="00B9359B" w:rsidRDefault="009A5268">
            <w:pPr>
              <w:pStyle w:val="Tabletext"/>
              <w:framePr w:hSpace="181" w:wrap="notBeside" w:vAnchor="text" w:hAnchor="text" w:xAlign="center" w:y="1"/>
              <w:spacing w:before="60" w:after="60"/>
              <w:jc w:val="left"/>
              <w:rPr>
                <w:lang w:val="en-US"/>
              </w:rPr>
            </w:pPr>
            <w:r>
              <w:rPr>
                <w:lang w:val="en-US"/>
              </w:rPr>
              <w:t>EARTH  EXPLORATION-SATELLITE (passive)</w:t>
            </w:r>
          </w:p>
          <w:p w:rsidR="00B9359B" w:rsidRDefault="009A5268">
            <w:pPr>
              <w:pStyle w:val="Tabletext"/>
              <w:framePr w:hSpace="181" w:wrap="notBeside" w:vAnchor="text" w:hAnchor="text" w:xAlign="center" w:y="1"/>
              <w:spacing w:before="60" w:after="60"/>
              <w:jc w:val="left"/>
              <w:rPr>
                <w:lang w:val="en-US"/>
              </w:rPr>
            </w:pPr>
            <w:r>
              <w:rPr>
                <w:lang w:val="en-US"/>
              </w:rPr>
              <w:t>RADIO  ASTRONOMY</w:t>
            </w:r>
          </w:p>
          <w:p w:rsidR="00B9359B" w:rsidRDefault="009A5268">
            <w:pPr>
              <w:pStyle w:val="Tabletext"/>
              <w:framePr w:hSpace="181" w:wrap="notBeside" w:vAnchor="text" w:hAnchor="text" w:xAlign="center" w:y="1"/>
              <w:spacing w:before="60" w:after="60"/>
              <w:jc w:val="left"/>
              <w:rPr>
                <w:lang w:val="en-US"/>
              </w:rPr>
            </w:pPr>
            <w:r>
              <w:rPr>
                <w:lang w:val="en-US"/>
              </w:rPr>
              <w:t>SPACE  RESEARCH (passive)</w:t>
            </w:r>
          </w:p>
        </w:tc>
        <w:tc>
          <w:tcPr>
            <w:tcW w:w="2952" w:type="dxa"/>
          </w:tcPr>
          <w:p w:rsidR="00B9359B" w:rsidRDefault="009A5268">
            <w:pPr>
              <w:pStyle w:val="Tabletext"/>
              <w:framePr w:hSpace="181" w:wrap="notBeside" w:vAnchor="text" w:hAnchor="text" w:xAlign="center" w:y="1"/>
              <w:spacing w:before="60" w:after="60"/>
              <w:jc w:val="left"/>
              <w:rPr>
                <w:lang w:val="en-US"/>
              </w:rPr>
            </w:pPr>
            <w:r>
              <w:rPr>
                <w:lang w:val="en-US"/>
              </w:rPr>
              <w:t>EARTH  EXPLORATION-SATELLITE (passive)</w:t>
            </w:r>
          </w:p>
          <w:p w:rsidR="00B9359B" w:rsidRDefault="009A5268">
            <w:pPr>
              <w:pStyle w:val="Tabletext"/>
              <w:framePr w:hSpace="181" w:wrap="notBeside" w:vAnchor="text" w:hAnchor="text" w:xAlign="center" w:y="1"/>
              <w:spacing w:before="60" w:after="60"/>
              <w:jc w:val="left"/>
              <w:rPr>
                <w:lang w:val="en-US"/>
              </w:rPr>
            </w:pPr>
            <w:r>
              <w:rPr>
                <w:lang w:val="en-US"/>
              </w:rPr>
              <w:t>RADIO  ASTRONOMY</w:t>
            </w:r>
          </w:p>
          <w:p w:rsidR="00B9359B" w:rsidRDefault="009A5268">
            <w:pPr>
              <w:pStyle w:val="Tabletext"/>
              <w:framePr w:hSpace="181" w:wrap="notBeside" w:vAnchor="text" w:hAnchor="text" w:xAlign="center" w:y="1"/>
              <w:spacing w:before="60" w:after="60"/>
              <w:jc w:val="left"/>
              <w:rPr>
                <w:lang w:val="en-US"/>
              </w:rPr>
            </w:pPr>
            <w:r>
              <w:rPr>
                <w:lang w:val="en-US"/>
              </w:rPr>
              <w:t>SPACE  RESEARCH (passive)</w:t>
            </w:r>
          </w:p>
          <w:p w:rsidR="00B9359B" w:rsidRDefault="009A5268">
            <w:pPr>
              <w:pStyle w:val="Tabletext"/>
              <w:framePr w:hSpace="181" w:wrap="notBeside" w:vAnchor="text" w:hAnchor="text" w:xAlign="center" w:y="1"/>
              <w:spacing w:before="60" w:after="60"/>
              <w:jc w:val="left"/>
              <w:rPr>
                <w:lang w:val="en-US"/>
              </w:rPr>
            </w:pPr>
            <w:r>
              <w:rPr>
                <w:lang w:val="en-US"/>
              </w:rPr>
              <w:t>Fixed (Regions 1 and 3)</w:t>
            </w:r>
          </w:p>
          <w:p w:rsidR="00B9359B" w:rsidRDefault="009A5268">
            <w:pPr>
              <w:pStyle w:val="Tabletext"/>
              <w:framePr w:hSpace="181" w:wrap="notBeside" w:vAnchor="text" w:hAnchor="text" w:xAlign="center" w:y="1"/>
              <w:spacing w:before="60" w:after="60"/>
              <w:jc w:val="left"/>
              <w:rPr>
                <w:lang w:val="en-US"/>
              </w:rPr>
            </w:pPr>
            <w:r>
              <w:rPr>
                <w:lang w:val="en-US"/>
              </w:rPr>
              <w:t>Mobile except aeronautical mobile (Regions 1 and 3)</w:t>
            </w:r>
          </w:p>
        </w:tc>
        <w:tc>
          <w:tcPr>
            <w:tcW w:w="2952" w:type="dxa"/>
          </w:tcPr>
          <w:p w:rsidR="00B9359B" w:rsidRDefault="009A5268">
            <w:pPr>
              <w:pStyle w:val="Tabletext"/>
              <w:framePr w:hSpace="181" w:wrap="notBeside" w:vAnchor="text" w:hAnchor="text" w:xAlign="center" w:y="1"/>
              <w:spacing w:before="60" w:after="60"/>
              <w:jc w:val="left"/>
              <w:rPr>
                <w:lang w:val="en-US"/>
              </w:rPr>
            </w:pPr>
            <w:r>
              <w:rPr>
                <w:lang w:val="en-US"/>
              </w:rPr>
              <w:t>FIXED</w:t>
            </w:r>
          </w:p>
          <w:p w:rsidR="00B9359B" w:rsidRDefault="009A5268">
            <w:pPr>
              <w:pStyle w:val="Tabletext"/>
              <w:framePr w:hSpace="181" w:wrap="notBeside" w:vAnchor="text" w:hAnchor="text" w:xAlign="center" w:y="1"/>
              <w:spacing w:before="60" w:after="60"/>
              <w:jc w:val="left"/>
              <w:rPr>
                <w:lang w:val="en-US"/>
              </w:rPr>
            </w:pPr>
            <w:r>
              <w:rPr>
                <w:lang w:val="en-US"/>
              </w:rPr>
              <w:t>RADIONAVIGATION</w:t>
            </w:r>
          </w:p>
          <w:p w:rsidR="00B9359B" w:rsidRDefault="009A5268">
            <w:pPr>
              <w:pStyle w:val="Tabletext"/>
              <w:framePr w:hSpace="181" w:wrap="notBeside" w:vAnchor="text" w:hAnchor="text" w:xAlign="center" w:y="1"/>
              <w:spacing w:before="60" w:after="60"/>
              <w:jc w:val="left"/>
              <w:rPr>
                <w:lang w:val="en-US"/>
              </w:rPr>
            </w:pPr>
            <w:r>
              <w:rPr>
                <w:lang w:val="en-US"/>
              </w:rPr>
              <w:t>SPACE  RESEARCH (deep space) (space-to-Earth)</w:t>
            </w:r>
          </w:p>
        </w:tc>
      </w:tr>
    </w:tbl>
    <w:p w:rsidR="00B9359B" w:rsidRDefault="00B9359B">
      <w:pPr>
        <w:pStyle w:val="Tablefin"/>
      </w:pPr>
    </w:p>
    <w:p w:rsidR="00B9359B" w:rsidRDefault="009A5268">
      <w:pPr>
        <w:pStyle w:val="Heading2"/>
        <w:spacing w:before="360"/>
        <w:rPr>
          <w:lang w:val="en-US"/>
        </w:rPr>
      </w:pPr>
      <w:bookmarkStart w:id="489" w:name="_Toc51045889"/>
      <w:r>
        <w:rPr>
          <w:lang w:val="en-US"/>
        </w:rPr>
        <w:t>1.2</w:t>
      </w:r>
      <w:r>
        <w:rPr>
          <w:lang w:val="en-US"/>
        </w:rPr>
        <w:tab/>
        <w:t>Application</w:t>
      </w:r>
      <w:bookmarkEnd w:id="489"/>
    </w:p>
    <w:p w:rsidR="00B9359B" w:rsidRDefault="009A5268">
      <w:pPr>
        <w:rPr>
          <w:lang w:val="en-US"/>
        </w:rPr>
      </w:pPr>
      <w:r>
        <w:rPr>
          <w:lang w:val="en-US"/>
        </w:rPr>
        <w:t xml:space="preserve">This band is one of the bands used for close-to-nadir atmospheric sounding in conjunction with the bands such as 23.8 GHz and 50.3 GHz for the characterization each layer of the Earth’s atmosphere. </w:t>
      </w:r>
    </w:p>
    <w:p w:rsidR="00B9359B" w:rsidRDefault="009A5268">
      <w:pPr>
        <w:rPr>
          <w:lang w:val="en-US" w:eastAsia="fr-FR"/>
        </w:rPr>
      </w:pPr>
      <w:r>
        <w:rPr>
          <w:lang w:val="en-US" w:eastAsia="fr-FR"/>
        </w:rPr>
        <w:t>In the band 31 GHz, a 416 MHz bandwidth is required to get 0.2 K of accuracy in the 31 GHz band. That means the passive microwave users community needs to protect both the 31.3-31.5 GHz band and the 31.5-31.8 GHz band.</w:t>
      </w:r>
    </w:p>
    <w:p w:rsidR="00B9359B" w:rsidRDefault="009A5268">
      <w:pPr>
        <w:rPr>
          <w:lang w:val="en-US"/>
        </w:rPr>
      </w:pPr>
      <w:r>
        <w:rPr>
          <w:lang w:val="en-US"/>
        </w:rPr>
        <w:t>This band will also be used in conjunction with the band 31.3-31.5 GHz as a “split window”. This will allow a comparison of the measurements conducted in the two sub-bands to check the quality of the data. This will then allow using the full band when the quality is expected good to increase the sensitivity of the sensor.</w:t>
      </w:r>
    </w:p>
    <w:p w:rsidR="00B9359B" w:rsidRDefault="009A5268">
      <w:pPr>
        <w:pStyle w:val="Heading2"/>
        <w:rPr>
          <w:lang w:val="en-US"/>
        </w:rPr>
      </w:pPr>
      <w:bookmarkStart w:id="490" w:name="_Toc51045890"/>
      <w:r>
        <w:rPr>
          <w:lang w:val="en-US"/>
        </w:rPr>
        <w:br w:type="page"/>
        <w:t>1.3</w:t>
      </w:r>
      <w:r>
        <w:rPr>
          <w:lang w:val="en-US"/>
        </w:rPr>
        <w:tab/>
        <w:t>Required protection criteria</w:t>
      </w:r>
      <w:bookmarkEnd w:id="490"/>
    </w:p>
    <w:p w:rsidR="00B9359B" w:rsidRDefault="009A5268">
      <w:pPr>
        <w:pStyle w:val="enumlev1"/>
        <w:tabs>
          <w:tab w:val="clear" w:pos="794"/>
          <w:tab w:val="clear" w:pos="1191"/>
          <w:tab w:val="clear" w:pos="1588"/>
          <w:tab w:val="clear" w:pos="1985"/>
          <w:tab w:val="left" w:pos="3515"/>
        </w:tabs>
        <w:ind w:left="3515" w:hanging="3515"/>
        <w:rPr>
          <w:lang w:val="en-US"/>
        </w:rPr>
      </w:pPr>
      <w:bookmarkStart w:id="491" w:name="_Toc51045891"/>
      <w:r>
        <w:rPr>
          <w:lang w:val="en-US"/>
        </w:rPr>
        <w:t>Recommendation ITU-R SA.515 –</w:t>
      </w:r>
      <w:r>
        <w:rPr>
          <w:lang w:val="en-US"/>
        </w:rPr>
        <w:tab/>
        <w:t>Frequency bands and bandwidths used for satellite passive sensing.</w:t>
      </w:r>
    </w:p>
    <w:p w:rsidR="00B9359B" w:rsidRDefault="009A5268">
      <w:pPr>
        <w:pStyle w:val="enumlev1"/>
        <w:tabs>
          <w:tab w:val="clear" w:pos="794"/>
          <w:tab w:val="clear" w:pos="1191"/>
          <w:tab w:val="clear" w:pos="1588"/>
          <w:tab w:val="clear" w:pos="1985"/>
          <w:tab w:val="left" w:pos="3515"/>
        </w:tabs>
        <w:ind w:left="3515" w:hanging="3515"/>
        <w:rPr>
          <w:lang w:val="en-US"/>
        </w:rPr>
      </w:pPr>
      <w:r>
        <w:rPr>
          <w:lang w:val="en-US"/>
        </w:rPr>
        <w:t>Recommendation ITU-R SA.1028 –</w:t>
      </w:r>
      <w:r>
        <w:rPr>
          <w:lang w:val="en-US"/>
        </w:rPr>
        <w:tab/>
        <w:t>Performance criteria for satellite passive remote sensing.</w:t>
      </w:r>
    </w:p>
    <w:p w:rsidR="00B9359B" w:rsidRDefault="009A5268">
      <w:pPr>
        <w:pStyle w:val="enumlev1"/>
        <w:tabs>
          <w:tab w:val="clear" w:pos="794"/>
          <w:tab w:val="clear" w:pos="1191"/>
          <w:tab w:val="clear" w:pos="1588"/>
          <w:tab w:val="clear" w:pos="1985"/>
          <w:tab w:val="left" w:pos="3515"/>
        </w:tabs>
        <w:ind w:left="3515" w:hanging="3515"/>
        <w:rPr>
          <w:lang w:val="en-US"/>
        </w:rPr>
      </w:pPr>
      <w:r>
        <w:rPr>
          <w:lang w:val="en-US"/>
        </w:rPr>
        <w:t>Recommendation ITU-R SA.1029 –</w:t>
      </w:r>
      <w:r>
        <w:rPr>
          <w:lang w:val="en-US"/>
        </w:rPr>
        <w:tab/>
        <w:t>Interference criteria for satellite passive remote sensing.</w:t>
      </w:r>
    </w:p>
    <w:p w:rsidR="00B9359B" w:rsidRDefault="009A5268">
      <w:pPr>
        <w:pStyle w:val="Heading1"/>
        <w:rPr>
          <w:lang w:val="en-US"/>
        </w:rPr>
      </w:pPr>
      <w:r>
        <w:rPr>
          <w:lang w:val="en-US"/>
        </w:rPr>
        <w:t>1.4</w:t>
      </w:r>
      <w:r>
        <w:rPr>
          <w:lang w:val="en-US"/>
        </w:rPr>
        <w:tab/>
        <w:t>Operational characteristics</w:t>
      </w:r>
      <w:bookmarkEnd w:id="491"/>
    </w:p>
    <w:p w:rsidR="00B9359B" w:rsidRDefault="009A5268">
      <w:pPr>
        <w:rPr>
          <w:lang w:val="en-US"/>
        </w:rPr>
      </w:pPr>
      <w:r>
        <w:rPr>
          <w:lang w:val="en-US"/>
        </w:rPr>
        <w:t>The following operational characteristics are considered for the EESS system:</w:t>
      </w:r>
    </w:p>
    <w:p w:rsidR="00B9359B" w:rsidRDefault="009A5268">
      <w:pPr>
        <w:pStyle w:val="enumlev1"/>
        <w:rPr>
          <w:lang w:val="en-US"/>
        </w:rPr>
      </w:pPr>
      <w:r>
        <w:rPr>
          <w:lang w:val="en-US"/>
        </w:rPr>
        <w:t>–</w:t>
      </w:r>
      <w:r>
        <w:rPr>
          <w:lang w:val="en-US"/>
        </w:rPr>
        <w:tab/>
        <w:t>The EESS sensor is assumed to have a maximum gain on boresight of 45 dBi.</w:t>
      </w:r>
    </w:p>
    <w:p w:rsidR="00B9359B" w:rsidRDefault="009A5268">
      <w:pPr>
        <w:pStyle w:val="enumlev1"/>
        <w:rPr>
          <w:lang w:val="en-US"/>
        </w:rPr>
      </w:pPr>
      <w:r>
        <w:rPr>
          <w:lang w:val="en-US"/>
        </w:rPr>
        <w:t>–</w:t>
      </w:r>
      <w:r>
        <w:rPr>
          <w:lang w:val="en-US"/>
        </w:rPr>
        <w:tab/>
        <w:t>The EESS sensor is pointing in the nadir direction.</w:t>
      </w:r>
    </w:p>
    <w:p w:rsidR="00B9359B" w:rsidRDefault="009A5268">
      <w:pPr>
        <w:pStyle w:val="enumlev1"/>
        <w:rPr>
          <w:lang w:val="en-US"/>
        </w:rPr>
      </w:pPr>
      <w:r>
        <w:rPr>
          <w:lang w:val="en-US"/>
        </w:rPr>
        <w:t>–</w:t>
      </w:r>
      <w:r>
        <w:rPr>
          <w:lang w:val="en-US"/>
        </w:rPr>
        <w:tab/>
        <w:t>The pixel size for a sensor at an altitude of 850 km is 201 km</w:t>
      </w:r>
      <w:r>
        <w:rPr>
          <w:vertAlign w:val="superscript"/>
          <w:lang w:val="en-US"/>
        </w:rPr>
        <w:t>2</w:t>
      </w:r>
      <w:r>
        <w:rPr>
          <w:lang w:val="en-US"/>
        </w:rPr>
        <w:t xml:space="preserve"> (16 km diameter).</w:t>
      </w:r>
    </w:p>
    <w:p w:rsidR="00B9359B" w:rsidRDefault="009A5268">
      <w:pPr>
        <w:pStyle w:val="Heading1"/>
        <w:rPr>
          <w:lang w:val="en-US"/>
        </w:rPr>
      </w:pPr>
      <w:bookmarkStart w:id="492" w:name="_Toc51045892"/>
      <w:r>
        <w:rPr>
          <w:lang w:val="en-US"/>
        </w:rPr>
        <w:t>2</w:t>
      </w:r>
      <w:r>
        <w:rPr>
          <w:lang w:val="en-US"/>
        </w:rPr>
        <w:tab/>
        <w:t>FS</w:t>
      </w:r>
      <w:bookmarkEnd w:id="492"/>
    </w:p>
    <w:p w:rsidR="00B9359B" w:rsidRDefault="009A5268">
      <w:pPr>
        <w:pStyle w:val="Heading2"/>
        <w:rPr>
          <w:lang w:val="en-US"/>
        </w:rPr>
      </w:pPr>
      <w:bookmarkStart w:id="493" w:name="_Toc51045893"/>
      <w:r>
        <w:rPr>
          <w:lang w:val="en-US"/>
        </w:rPr>
        <w:t>2.1</w:t>
      </w:r>
      <w:r>
        <w:rPr>
          <w:lang w:val="en-US"/>
        </w:rPr>
        <w:tab/>
        <w:t>Allocated band</w:t>
      </w:r>
      <w:bookmarkEnd w:id="493"/>
    </w:p>
    <w:p w:rsidR="00B9359B" w:rsidRDefault="009A5268">
      <w:pPr>
        <w:rPr>
          <w:lang w:val="en-US"/>
        </w:rPr>
      </w:pPr>
      <w:r>
        <w:rPr>
          <w:lang w:val="en-US"/>
        </w:rPr>
        <w:t>See Table 86.</w:t>
      </w:r>
    </w:p>
    <w:p w:rsidR="00B9359B" w:rsidRDefault="009A5268">
      <w:pPr>
        <w:pStyle w:val="Heading2"/>
        <w:rPr>
          <w:lang w:val="en-US"/>
        </w:rPr>
      </w:pPr>
      <w:bookmarkStart w:id="494" w:name="_Toc51045894"/>
      <w:r>
        <w:rPr>
          <w:lang w:val="en-US"/>
        </w:rPr>
        <w:t>2.2</w:t>
      </w:r>
      <w:r>
        <w:rPr>
          <w:lang w:val="en-US"/>
        </w:rPr>
        <w:tab/>
        <w:t>Application</w:t>
      </w:r>
      <w:bookmarkEnd w:id="494"/>
    </w:p>
    <w:p w:rsidR="00B9359B" w:rsidRDefault="009A5268">
      <w:pPr>
        <w:rPr>
          <w:lang w:val="en-US"/>
        </w:rPr>
      </w:pPr>
      <w:r>
        <w:rPr>
          <w:lang w:val="en-US"/>
        </w:rPr>
        <w:t xml:space="preserve">According to RR </w:t>
      </w:r>
      <w:r>
        <w:rPr>
          <w:bCs/>
          <w:lang w:val="en-US"/>
        </w:rPr>
        <w:t>No. 5.547</w:t>
      </w:r>
      <w:r>
        <w:rPr>
          <w:lang w:val="en-US"/>
        </w:rPr>
        <w:t>, the band 31.8-33.4 GHz is available for high-density applications in the FS.</w:t>
      </w:r>
    </w:p>
    <w:p w:rsidR="00B9359B" w:rsidRDefault="009A5268">
      <w:pPr>
        <w:rPr>
          <w:lang w:val="en-US"/>
        </w:rPr>
      </w:pPr>
      <w:r>
        <w:rPr>
          <w:lang w:val="en-US"/>
        </w:rPr>
        <w:t>This band may be used for both P-P FS systems and P-MP FS systems.</w:t>
      </w:r>
    </w:p>
    <w:p w:rsidR="00B9359B" w:rsidRDefault="009A5268">
      <w:pPr>
        <w:pStyle w:val="Heading2"/>
        <w:rPr>
          <w:lang w:val="en-US"/>
        </w:rPr>
      </w:pPr>
      <w:bookmarkStart w:id="495" w:name="_Toc51045895"/>
      <w:r>
        <w:rPr>
          <w:lang w:val="en-US"/>
        </w:rPr>
        <w:t>2.3</w:t>
      </w:r>
      <w:r>
        <w:rPr>
          <w:lang w:val="en-US"/>
        </w:rPr>
        <w:tab/>
        <w:t>Levels based on existing ITU documents</w:t>
      </w:r>
      <w:bookmarkEnd w:id="495"/>
    </w:p>
    <w:p w:rsidR="00B9359B" w:rsidRDefault="009A5268">
      <w:pPr>
        <w:rPr>
          <w:lang w:val="en-US"/>
        </w:rPr>
      </w:pPr>
      <w:r>
        <w:rPr>
          <w:lang w:val="en-US"/>
        </w:rPr>
        <w:t>The following ITU-R Recommendations provide information on unwanted emissions of FS systems:</w:t>
      </w:r>
    </w:p>
    <w:p w:rsidR="00B9359B" w:rsidRDefault="009A5268">
      <w:pPr>
        <w:pStyle w:val="enumlev1"/>
        <w:tabs>
          <w:tab w:val="clear" w:pos="794"/>
          <w:tab w:val="clear" w:pos="1191"/>
          <w:tab w:val="clear" w:pos="1588"/>
          <w:tab w:val="clear" w:pos="1985"/>
          <w:tab w:val="left" w:pos="3374"/>
          <w:tab w:val="left" w:pos="3402"/>
        </w:tabs>
        <w:ind w:left="3060" w:hanging="3060"/>
        <w:rPr>
          <w:lang w:val="en-US"/>
        </w:rPr>
      </w:pPr>
      <w:r>
        <w:rPr>
          <w:lang w:val="en-US"/>
        </w:rPr>
        <w:t xml:space="preserve">Recommendation ITU-R F.1191 – Bandwidths and unwanted emissions of digital fixed service </w:t>
      </w:r>
      <w:r>
        <w:rPr>
          <w:lang w:val="en-US"/>
        </w:rPr>
        <w:tab/>
        <w:t>systems.</w:t>
      </w:r>
    </w:p>
    <w:p w:rsidR="00B9359B" w:rsidRDefault="009A5268">
      <w:pPr>
        <w:pStyle w:val="enumlev1"/>
        <w:rPr>
          <w:lang w:val="en-US"/>
        </w:rPr>
      </w:pPr>
      <w:r>
        <w:rPr>
          <w:lang w:val="en-US"/>
        </w:rPr>
        <w:t>Recommendation ITU-R SM.329 – Unwanted emissions in the spurious domain.</w:t>
      </w:r>
    </w:p>
    <w:p w:rsidR="00B9359B" w:rsidRDefault="009A5268">
      <w:pPr>
        <w:pStyle w:val="enumlev1"/>
        <w:rPr>
          <w:lang w:val="en-US"/>
        </w:rPr>
      </w:pPr>
      <w:r>
        <w:rPr>
          <w:lang w:val="en-US"/>
        </w:rPr>
        <w:t>Recommendation ITU-R SM.1541 – Unwanted emissions in the out-of-band domain.</w:t>
      </w:r>
    </w:p>
    <w:p w:rsidR="00B9359B" w:rsidRDefault="009A5268">
      <w:pPr>
        <w:pStyle w:val="Heading2"/>
        <w:rPr>
          <w:lang w:val="en-US"/>
        </w:rPr>
      </w:pPr>
      <w:bookmarkStart w:id="496" w:name="_Toc51045896"/>
      <w:r>
        <w:rPr>
          <w:lang w:val="en-US"/>
        </w:rPr>
        <w:t>2.4</w:t>
      </w:r>
      <w:r>
        <w:rPr>
          <w:lang w:val="en-US"/>
        </w:rPr>
        <w:tab/>
        <w:t>Transmitter characteristics</w:t>
      </w:r>
      <w:bookmarkEnd w:id="496"/>
    </w:p>
    <w:p w:rsidR="00B9359B" w:rsidRDefault="009A5268">
      <w:pPr>
        <w:rPr>
          <w:lang w:val="en-US"/>
        </w:rPr>
      </w:pPr>
      <w:r>
        <w:rPr>
          <w:lang w:val="en-US"/>
        </w:rPr>
        <w:t>The following characteristics (Tables 87 and 88) were considered for P-P and P</w:t>
      </w:r>
      <w:r>
        <w:rPr>
          <w:lang w:val="en-US"/>
        </w:rPr>
        <w:noBreakHyphen/>
        <w:t>MP systems operating in the band 31.8-33.4 GHz.</w:t>
      </w:r>
    </w:p>
    <w:p w:rsidR="00B9359B" w:rsidRDefault="009A5268">
      <w:pPr>
        <w:pStyle w:val="TableNo"/>
        <w:rPr>
          <w:lang w:val="en-US"/>
        </w:rPr>
      </w:pPr>
      <w:r>
        <w:rPr>
          <w:lang w:val="en-US"/>
        </w:rPr>
        <w:br w:type="page"/>
        <w:t>TABLE  87</w:t>
      </w:r>
    </w:p>
    <w:p w:rsidR="00B9359B" w:rsidRDefault="009A5268">
      <w:pPr>
        <w:pStyle w:val="Tabletitle"/>
        <w:rPr>
          <w:lang w:val="en-US"/>
        </w:rPr>
      </w:pPr>
      <w:r>
        <w:rPr>
          <w:lang w:val="en-US"/>
        </w:rPr>
        <w:t xml:space="preserve">Characteristics of P-P systems </w:t>
      </w:r>
      <w:r>
        <w:rPr>
          <w:lang w:val="en-US"/>
        </w:rPr>
        <w:br/>
        <w:t>(Recommendation ITU-R F.758)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727"/>
        <w:gridCol w:w="1985"/>
        <w:gridCol w:w="1985"/>
      </w:tblGrid>
      <w:tr w:rsidR="00B9359B">
        <w:trPr>
          <w:cantSplit/>
        </w:trPr>
        <w:tc>
          <w:tcPr>
            <w:tcW w:w="5727" w:type="dxa"/>
          </w:tcPr>
          <w:p w:rsidR="00B9359B" w:rsidRDefault="009A5268">
            <w:pPr>
              <w:pStyle w:val="Tabletext"/>
              <w:framePr w:hSpace="181" w:wrap="notBeside" w:vAnchor="text" w:hAnchor="text" w:xAlign="center" w:y="1"/>
              <w:spacing w:before="50" w:after="50"/>
              <w:jc w:val="left"/>
              <w:rPr>
                <w:lang w:val="en-US"/>
              </w:rPr>
            </w:pPr>
            <w:r>
              <w:rPr>
                <w:lang w:val="en-US"/>
              </w:rPr>
              <w:t>Channel spacing (MHz)</w:t>
            </w:r>
          </w:p>
        </w:tc>
        <w:tc>
          <w:tcPr>
            <w:tcW w:w="1985" w:type="dxa"/>
          </w:tcPr>
          <w:p w:rsidR="00B9359B" w:rsidRDefault="009A5268">
            <w:pPr>
              <w:pStyle w:val="Tabletext"/>
              <w:framePr w:hSpace="181" w:wrap="notBeside" w:vAnchor="text" w:hAnchor="text" w:xAlign="center" w:y="1"/>
              <w:spacing w:before="50" w:after="50"/>
              <w:jc w:val="center"/>
              <w:rPr>
                <w:lang w:val="en-US"/>
              </w:rPr>
            </w:pPr>
            <w:r>
              <w:rPr>
                <w:lang w:val="en-US"/>
              </w:rPr>
              <w:t>56</w:t>
            </w:r>
          </w:p>
        </w:tc>
        <w:tc>
          <w:tcPr>
            <w:tcW w:w="1985" w:type="dxa"/>
          </w:tcPr>
          <w:p w:rsidR="00B9359B" w:rsidRDefault="009A5268">
            <w:pPr>
              <w:pStyle w:val="Tabletext"/>
              <w:framePr w:hSpace="181" w:wrap="notBeside" w:vAnchor="text" w:hAnchor="text" w:xAlign="center" w:y="1"/>
              <w:spacing w:before="50" w:after="50"/>
              <w:jc w:val="center"/>
              <w:rPr>
                <w:lang w:val="en-US"/>
              </w:rPr>
            </w:pPr>
            <w:r>
              <w:rPr>
                <w:lang w:val="en-US"/>
              </w:rPr>
              <w:t>3,5</w:t>
            </w:r>
          </w:p>
        </w:tc>
      </w:tr>
      <w:tr w:rsidR="00B9359B">
        <w:trPr>
          <w:cantSplit/>
        </w:trPr>
        <w:tc>
          <w:tcPr>
            <w:tcW w:w="5727" w:type="dxa"/>
          </w:tcPr>
          <w:p w:rsidR="00B9359B" w:rsidRDefault="009A5268">
            <w:pPr>
              <w:pStyle w:val="Tabletext"/>
              <w:framePr w:hSpace="181" w:wrap="notBeside" w:vAnchor="text" w:hAnchor="text" w:xAlign="center" w:y="1"/>
              <w:spacing w:before="50" w:after="50"/>
              <w:jc w:val="left"/>
              <w:rPr>
                <w:lang w:val="en-US"/>
              </w:rPr>
            </w:pPr>
            <w:r>
              <w:rPr>
                <w:lang w:val="en-US"/>
              </w:rPr>
              <w:t>Antenna gain (maximum) (dBi)</w:t>
            </w:r>
          </w:p>
        </w:tc>
        <w:tc>
          <w:tcPr>
            <w:tcW w:w="1985" w:type="dxa"/>
          </w:tcPr>
          <w:p w:rsidR="00B9359B" w:rsidRDefault="009A5268">
            <w:pPr>
              <w:pStyle w:val="Tabletext"/>
              <w:framePr w:hSpace="181" w:wrap="notBeside" w:vAnchor="text" w:hAnchor="text" w:xAlign="center" w:y="1"/>
              <w:spacing w:before="50" w:after="50"/>
              <w:jc w:val="center"/>
              <w:rPr>
                <w:lang w:val="en-US"/>
              </w:rPr>
            </w:pPr>
            <w:r>
              <w:rPr>
                <w:lang w:val="en-US"/>
              </w:rPr>
              <w:t>46</w:t>
            </w:r>
          </w:p>
        </w:tc>
        <w:tc>
          <w:tcPr>
            <w:tcW w:w="1985" w:type="dxa"/>
          </w:tcPr>
          <w:p w:rsidR="00B9359B" w:rsidRDefault="009A5268">
            <w:pPr>
              <w:pStyle w:val="Tabletext"/>
              <w:framePr w:hSpace="181" w:wrap="notBeside" w:vAnchor="text" w:hAnchor="text" w:xAlign="center" w:y="1"/>
              <w:spacing w:before="50" w:after="50"/>
              <w:jc w:val="center"/>
              <w:rPr>
                <w:lang w:val="en-US"/>
              </w:rPr>
            </w:pPr>
            <w:r>
              <w:rPr>
                <w:lang w:val="en-US"/>
              </w:rPr>
              <w:t>46</w:t>
            </w:r>
          </w:p>
        </w:tc>
      </w:tr>
      <w:tr w:rsidR="00B9359B">
        <w:trPr>
          <w:cantSplit/>
        </w:trPr>
        <w:tc>
          <w:tcPr>
            <w:tcW w:w="5727" w:type="dxa"/>
          </w:tcPr>
          <w:p w:rsidR="00B9359B" w:rsidRDefault="009A5268">
            <w:pPr>
              <w:pStyle w:val="Tabletext"/>
              <w:framePr w:hSpace="181" w:wrap="notBeside" w:vAnchor="text" w:hAnchor="text" w:xAlign="center" w:y="1"/>
              <w:spacing w:before="50" w:after="50"/>
              <w:jc w:val="left"/>
              <w:rPr>
                <w:lang w:val="en-US"/>
              </w:rPr>
            </w:pPr>
            <w:r>
              <w:rPr>
                <w:lang w:val="en-US"/>
              </w:rPr>
              <w:t>Feeder/multiplexer loss (minimum) (dB)</w:t>
            </w:r>
          </w:p>
        </w:tc>
        <w:tc>
          <w:tcPr>
            <w:tcW w:w="1985" w:type="dxa"/>
          </w:tcPr>
          <w:p w:rsidR="00B9359B" w:rsidRDefault="009A5268">
            <w:pPr>
              <w:pStyle w:val="Tabletext"/>
              <w:framePr w:hSpace="181" w:wrap="notBeside" w:vAnchor="text" w:hAnchor="text" w:xAlign="center" w:y="1"/>
              <w:spacing w:before="50" w:after="50"/>
              <w:jc w:val="center"/>
              <w:rPr>
                <w:lang w:val="en-US"/>
              </w:rPr>
            </w:pPr>
            <w:r>
              <w:rPr>
                <w:lang w:val="en-US"/>
              </w:rPr>
              <w:t>0</w:t>
            </w:r>
          </w:p>
        </w:tc>
        <w:tc>
          <w:tcPr>
            <w:tcW w:w="1985" w:type="dxa"/>
          </w:tcPr>
          <w:p w:rsidR="00B9359B" w:rsidRDefault="009A5268">
            <w:pPr>
              <w:pStyle w:val="Tabletext"/>
              <w:framePr w:hSpace="181" w:wrap="notBeside" w:vAnchor="text" w:hAnchor="text" w:xAlign="center" w:y="1"/>
              <w:spacing w:before="50" w:after="50"/>
              <w:jc w:val="center"/>
              <w:rPr>
                <w:lang w:val="en-US"/>
              </w:rPr>
            </w:pPr>
            <w:r>
              <w:rPr>
                <w:lang w:val="en-US"/>
              </w:rPr>
              <w:t>0</w:t>
            </w:r>
          </w:p>
        </w:tc>
      </w:tr>
      <w:tr w:rsidR="00B9359B">
        <w:trPr>
          <w:cantSplit/>
        </w:trPr>
        <w:tc>
          <w:tcPr>
            <w:tcW w:w="5727" w:type="dxa"/>
          </w:tcPr>
          <w:p w:rsidR="00B9359B" w:rsidRDefault="009A5268">
            <w:pPr>
              <w:pStyle w:val="Tabletext"/>
              <w:framePr w:hSpace="181" w:wrap="notBeside" w:vAnchor="text" w:hAnchor="text" w:xAlign="center" w:y="1"/>
              <w:spacing w:before="50" w:after="50"/>
              <w:jc w:val="left"/>
              <w:rPr>
                <w:lang w:val="en-US"/>
              </w:rPr>
            </w:pPr>
            <w:r>
              <w:rPr>
                <w:lang w:val="en-US"/>
              </w:rPr>
              <w:t>Antenna type</w:t>
            </w:r>
          </w:p>
        </w:tc>
        <w:tc>
          <w:tcPr>
            <w:tcW w:w="1985" w:type="dxa"/>
          </w:tcPr>
          <w:p w:rsidR="00B9359B" w:rsidRDefault="009A5268">
            <w:pPr>
              <w:pStyle w:val="Tabletext"/>
              <w:framePr w:hSpace="181" w:wrap="notBeside" w:vAnchor="text" w:hAnchor="text" w:xAlign="center" w:y="1"/>
              <w:spacing w:before="50" w:after="50"/>
              <w:jc w:val="center"/>
              <w:rPr>
                <w:lang w:val="en-US"/>
              </w:rPr>
            </w:pPr>
            <w:r>
              <w:rPr>
                <w:lang w:val="en-US"/>
              </w:rPr>
              <w:t>Dish</w:t>
            </w:r>
          </w:p>
        </w:tc>
        <w:tc>
          <w:tcPr>
            <w:tcW w:w="1985" w:type="dxa"/>
          </w:tcPr>
          <w:p w:rsidR="00B9359B" w:rsidRDefault="009A5268">
            <w:pPr>
              <w:pStyle w:val="Tabletext"/>
              <w:framePr w:hSpace="181" w:wrap="notBeside" w:vAnchor="text" w:hAnchor="text" w:xAlign="center" w:y="1"/>
              <w:spacing w:before="50" w:after="50"/>
              <w:jc w:val="center"/>
              <w:rPr>
                <w:lang w:val="en-US"/>
              </w:rPr>
            </w:pPr>
            <w:r>
              <w:rPr>
                <w:lang w:val="en-US"/>
              </w:rPr>
              <w:t>Dish</w:t>
            </w:r>
          </w:p>
        </w:tc>
      </w:tr>
      <w:tr w:rsidR="00B9359B">
        <w:trPr>
          <w:cantSplit/>
        </w:trPr>
        <w:tc>
          <w:tcPr>
            <w:tcW w:w="5727" w:type="dxa"/>
          </w:tcPr>
          <w:p w:rsidR="00B9359B" w:rsidRDefault="009A5268">
            <w:pPr>
              <w:pStyle w:val="Tabletext"/>
              <w:framePr w:hSpace="181" w:wrap="notBeside" w:vAnchor="text" w:hAnchor="text" w:xAlign="center" w:y="1"/>
              <w:spacing w:before="50" w:after="50"/>
              <w:jc w:val="left"/>
              <w:rPr>
                <w:lang w:val="en-US"/>
              </w:rPr>
            </w:pPr>
            <w:r>
              <w:rPr>
                <w:lang w:val="en-US"/>
              </w:rPr>
              <w:t>Maximum Tx output power (dBW)</w:t>
            </w:r>
          </w:p>
        </w:tc>
        <w:tc>
          <w:tcPr>
            <w:tcW w:w="1985" w:type="dxa"/>
          </w:tcPr>
          <w:p w:rsidR="00B9359B" w:rsidRDefault="009A5268">
            <w:pPr>
              <w:pStyle w:val="Tabletext"/>
              <w:framePr w:hSpace="181" w:wrap="notBeside" w:vAnchor="text" w:hAnchor="text" w:xAlign="center" w:y="1"/>
              <w:spacing w:before="50" w:after="50"/>
              <w:jc w:val="center"/>
              <w:rPr>
                <w:lang w:val="en-US"/>
              </w:rPr>
            </w:pPr>
            <w:r>
              <w:rPr>
                <w:lang w:val="en-US"/>
              </w:rPr>
              <w:t>–3</w:t>
            </w:r>
          </w:p>
        </w:tc>
        <w:tc>
          <w:tcPr>
            <w:tcW w:w="1985" w:type="dxa"/>
          </w:tcPr>
          <w:p w:rsidR="00B9359B" w:rsidRDefault="009A5268">
            <w:pPr>
              <w:pStyle w:val="Tabletext"/>
              <w:framePr w:hSpace="181" w:wrap="notBeside" w:vAnchor="text" w:hAnchor="text" w:xAlign="center" w:y="1"/>
              <w:spacing w:before="50" w:after="50"/>
              <w:jc w:val="center"/>
              <w:rPr>
                <w:lang w:val="en-US"/>
              </w:rPr>
            </w:pPr>
            <w:r>
              <w:rPr>
                <w:lang w:val="en-US"/>
              </w:rPr>
              <w:t>–3</w:t>
            </w:r>
          </w:p>
        </w:tc>
      </w:tr>
      <w:tr w:rsidR="00B9359B">
        <w:trPr>
          <w:cantSplit/>
        </w:trPr>
        <w:tc>
          <w:tcPr>
            <w:tcW w:w="5727" w:type="dxa"/>
          </w:tcPr>
          <w:p w:rsidR="00B9359B" w:rsidRDefault="009A5268">
            <w:pPr>
              <w:pStyle w:val="Tabletext"/>
              <w:framePr w:hSpace="181" w:wrap="notBeside" w:vAnchor="text" w:hAnchor="text" w:xAlign="center" w:y="1"/>
              <w:spacing w:before="50" w:after="50"/>
              <w:jc w:val="left"/>
              <w:rPr>
                <w:lang w:val="en-US"/>
              </w:rPr>
            </w:pPr>
            <w:r>
              <w:rPr>
                <w:lang w:val="en-US"/>
              </w:rPr>
              <w:t>e.i.r.p. (maximum) (dBW)</w:t>
            </w:r>
          </w:p>
        </w:tc>
        <w:tc>
          <w:tcPr>
            <w:tcW w:w="1985" w:type="dxa"/>
          </w:tcPr>
          <w:p w:rsidR="00B9359B" w:rsidRDefault="009A5268">
            <w:pPr>
              <w:pStyle w:val="Tabletext"/>
              <w:framePr w:hSpace="181" w:wrap="notBeside" w:vAnchor="text" w:hAnchor="text" w:xAlign="center" w:y="1"/>
              <w:spacing w:before="50" w:after="50"/>
              <w:jc w:val="center"/>
              <w:rPr>
                <w:lang w:val="en-US"/>
              </w:rPr>
            </w:pPr>
            <w:r>
              <w:rPr>
                <w:lang w:val="en-US"/>
              </w:rPr>
              <w:t>43</w:t>
            </w:r>
          </w:p>
        </w:tc>
        <w:tc>
          <w:tcPr>
            <w:tcW w:w="1985" w:type="dxa"/>
          </w:tcPr>
          <w:p w:rsidR="00B9359B" w:rsidRDefault="009A5268">
            <w:pPr>
              <w:pStyle w:val="Tabletext"/>
              <w:framePr w:hSpace="181" w:wrap="notBeside" w:vAnchor="text" w:hAnchor="text" w:xAlign="center" w:y="1"/>
              <w:spacing w:before="50" w:after="50"/>
              <w:jc w:val="center"/>
              <w:rPr>
                <w:lang w:val="en-US"/>
              </w:rPr>
            </w:pPr>
            <w:r>
              <w:rPr>
                <w:lang w:val="en-US"/>
              </w:rPr>
              <w:t>43</w:t>
            </w:r>
          </w:p>
        </w:tc>
      </w:tr>
    </w:tbl>
    <w:p w:rsidR="00B9359B" w:rsidRDefault="00B9359B">
      <w:pPr>
        <w:pStyle w:val="Tablefin"/>
        <w:spacing w:before="0"/>
      </w:pPr>
    </w:p>
    <w:p w:rsidR="00B9359B" w:rsidRDefault="009A5268">
      <w:pPr>
        <w:pStyle w:val="TableNo"/>
        <w:rPr>
          <w:lang w:val="en-US"/>
        </w:rPr>
      </w:pPr>
      <w:r>
        <w:rPr>
          <w:lang w:val="en-US"/>
        </w:rPr>
        <w:t>TABLE  88</w:t>
      </w:r>
    </w:p>
    <w:p w:rsidR="00B9359B" w:rsidRDefault="009A5268">
      <w:pPr>
        <w:pStyle w:val="Tabletitle"/>
        <w:rPr>
          <w:lang w:val="en-US"/>
        </w:rPr>
      </w:pPr>
      <w:r>
        <w:rPr>
          <w:lang w:val="en-US"/>
        </w:rPr>
        <w:t xml:space="preserve">Characteristics of P-MP systems </w:t>
      </w:r>
      <w:r>
        <w:rPr>
          <w:lang w:val="en-US"/>
        </w:rPr>
        <w:br/>
        <w:t>(Recommendation ITU-R F.758)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613"/>
        <w:gridCol w:w="2041"/>
        <w:gridCol w:w="2041"/>
      </w:tblGrid>
      <w:tr w:rsidR="00B9359B">
        <w:trPr>
          <w:cantSplit/>
        </w:trPr>
        <w:tc>
          <w:tcPr>
            <w:tcW w:w="5613" w:type="dxa"/>
          </w:tcPr>
          <w:p w:rsidR="00B9359B" w:rsidRDefault="009A5268">
            <w:pPr>
              <w:pStyle w:val="Tabletext"/>
              <w:framePr w:hSpace="181" w:wrap="notBeside" w:vAnchor="text" w:hAnchor="text" w:xAlign="center" w:y="1"/>
              <w:spacing w:before="50" w:after="50"/>
              <w:jc w:val="left"/>
              <w:rPr>
                <w:lang w:val="en-US"/>
              </w:rPr>
            </w:pPr>
            <w:r>
              <w:rPr>
                <w:lang w:val="en-US"/>
              </w:rPr>
              <w:t>Station type</w:t>
            </w:r>
          </w:p>
        </w:tc>
        <w:tc>
          <w:tcPr>
            <w:tcW w:w="2041" w:type="dxa"/>
          </w:tcPr>
          <w:p w:rsidR="00B9359B" w:rsidRDefault="009A5268">
            <w:pPr>
              <w:pStyle w:val="Tabletext"/>
              <w:framePr w:hSpace="181" w:wrap="notBeside" w:vAnchor="text" w:hAnchor="text" w:xAlign="center" w:y="1"/>
              <w:spacing w:before="50" w:after="50"/>
              <w:jc w:val="center"/>
              <w:rPr>
                <w:lang w:val="en-US"/>
              </w:rPr>
            </w:pPr>
            <w:r>
              <w:rPr>
                <w:lang w:val="en-US"/>
              </w:rPr>
              <w:t>CS</w:t>
            </w:r>
          </w:p>
        </w:tc>
        <w:tc>
          <w:tcPr>
            <w:tcW w:w="2041" w:type="dxa"/>
          </w:tcPr>
          <w:p w:rsidR="00B9359B" w:rsidRDefault="009A5268">
            <w:pPr>
              <w:pStyle w:val="Tabletext"/>
              <w:framePr w:hSpace="181" w:wrap="notBeside" w:vAnchor="text" w:hAnchor="text" w:xAlign="center" w:y="1"/>
              <w:spacing w:before="50" w:after="50"/>
              <w:jc w:val="center"/>
              <w:rPr>
                <w:lang w:val="en-US"/>
              </w:rPr>
            </w:pPr>
            <w:r>
              <w:rPr>
                <w:lang w:val="en-US"/>
              </w:rPr>
              <w:t>TS</w:t>
            </w:r>
          </w:p>
        </w:tc>
      </w:tr>
      <w:tr w:rsidR="00B9359B">
        <w:trPr>
          <w:cantSplit/>
        </w:trPr>
        <w:tc>
          <w:tcPr>
            <w:tcW w:w="5613" w:type="dxa"/>
          </w:tcPr>
          <w:p w:rsidR="00B9359B" w:rsidRDefault="009A5268">
            <w:pPr>
              <w:pStyle w:val="Tabletext"/>
              <w:framePr w:hSpace="181" w:wrap="notBeside" w:vAnchor="text" w:hAnchor="text" w:xAlign="center" w:y="1"/>
              <w:spacing w:before="50" w:after="50"/>
              <w:jc w:val="left"/>
              <w:rPr>
                <w:lang w:val="en-US"/>
              </w:rPr>
            </w:pPr>
            <w:r>
              <w:rPr>
                <w:lang w:val="en-US"/>
              </w:rPr>
              <w:t>Channel spacing (MHz)</w:t>
            </w:r>
          </w:p>
        </w:tc>
        <w:tc>
          <w:tcPr>
            <w:tcW w:w="2041" w:type="dxa"/>
          </w:tcPr>
          <w:p w:rsidR="00B9359B" w:rsidRDefault="009A5268">
            <w:pPr>
              <w:pStyle w:val="Tabletext"/>
              <w:framePr w:hSpace="181" w:wrap="notBeside" w:vAnchor="text" w:hAnchor="text" w:xAlign="center" w:y="1"/>
              <w:spacing w:before="50" w:after="50"/>
              <w:jc w:val="center"/>
              <w:rPr>
                <w:lang w:val="en-US"/>
              </w:rPr>
            </w:pPr>
            <w:r>
              <w:rPr>
                <w:lang w:val="en-US"/>
              </w:rPr>
              <w:t>28</w:t>
            </w:r>
          </w:p>
        </w:tc>
        <w:tc>
          <w:tcPr>
            <w:tcW w:w="2041" w:type="dxa"/>
          </w:tcPr>
          <w:p w:rsidR="00B9359B" w:rsidRDefault="009A5268">
            <w:pPr>
              <w:pStyle w:val="Tabletext"/>
              <w:framePr w:hSpace="181" w:wrap="notBeside" w:vAnchor="text" w:hAnchor="text" w:xAlign="center" w:y="1"/>
              <w:spacing w:before="50" w:after="50"/>
              <w:jc w:val="center"/>
              <w:rPr>
                <w:lang w:val="en-US"/>
              </w:rPr>
            </w:pPr>
            <w:r>
              <w:rPr>
                <w:lang w:val="en-US"/>
              </w:rPr>
              <w:t>28</w:t>
            </w:r>
          </w:p>
        </w:tc>
      </w:tr>
      <w:tr w:rsidR="00B9359B">
        <w:trPr>
          <w:cantSplit/>
        </w:trPr>
        <w:tc>
          <w:tcPr>
            <w:tcW w:w="5613" w:type="dxa"/>
          </w:tcPr>
          <w:p w:rsidR="00B9359B" w:rsidRDefault="009A5268">
            <w:pPr>
              <w:pStyle w:val="Tabletext"/>
              <w:framePr w:hSpace="181" w:wrap="notBeside" w:vAnchor="text" w:hAnchor="text" w:xAlign="center" w:y="1"/>
              <w:spacing w:before="50" w:after="50"/>
              <w:jc w:val="left"/>
              <w:rPr>
                <w:lang w:val="en-US"/>
              </w:rPr>
            </w:pPr>
            <w:r>
              <w:rPr>
                <w:lang w:val="en-US"/>
              </w:rPr>
              <w:t>Antenna gain (maximum) (dBi)</w:t>
            </w:r>
          </w:p>
        </w:tc>
        <w:tc>
          <w:tcPr>
            <w:tcW w:w="2041" w:type="dxa"/>
          </w:tcPr>
          <w:p w:rsidR="00B9359B" w:rsidRDefault="009A5268">
            <w:pPr>
              <w:pStyle w:val="Tabletext"/>
              <w:framePr w:hSpace="181" w:wrap="notBeside" w:vAnchor="text" w:hAnchor="text" w:xAlign="center" w:y="1"/>
              <w:spacing w:before="50" w:after="50"/>
              <w:jc w:val="center"/>
              <w:rPr>
                <w:lang w:val="en-US"/>
              </w:rPr>
            </w:pPr>
            <w:r>
              <w:rPr>
                <w:lang w:val="en-US"/>
              </w:rPr>
              <w:t>14</w:t>
            </w:r>
          </w:p>
        </w:tc>
        <w:tc>
          <w:tcPr>
            <w:tcW w:w="2041" w:type="dxa"/>
          </w:tcPr>
          <w:p w:rsidR="00B9359B" w:rsidRDefault="009A5268">
            <w:pPr>
              <w:pStyle w:val="Tabletext"/>
              <w:framePr w:hSpace="181" w:wrap="notBeside" w:vAnchor="text" w:hAnchor="text" w:xAlign="center" w:y="1"/>
              <w:spacing w:before="50" w:after="50"/>
              <w:jc w:val="center"/>
              <w:rPr>
                <w:lang w:val="en-US"/>
              </w:rPr>
            </w:pPr>
            <w:r>
              <w:rPr>
                <w:lang w:val="en-US"/>
              </w:rPr>
              <w:t>Dish 41</w:t>
            </w:r>
            <w:r>
              <w:rPr>
                <w:lang w:val="en-US"/>
              </w:rPr>
              <w:br/>
              <w:t>Planar 28</w:t>
            </w:r>
          </w:p>
        </w:tc>
      </w:tr>
      <w:tr w:rsidR="00B9359B">
        <w:trPr>
          <w:cantSplit/>
        </w:trPr>
        <w:tc>
          <w:tcPr>
            <w:tcW w:w="5613" w:type="dxa"/>
          </w:tcPr>
          <w:p w:rsidR="00B9359B" w:rsidRDefault="009A5268">
            <w:pPr>
              <w:pStyle w:val="Tabletext"/>
              <w:framePr w:hSpace="181" w:wrap="notBeside" w:vAnchor="text" w:hAnchor="text" w:xAlign="center" w:y="1"/>
              <w:spacing w:before="50" w:after="50"/>
              <w:jc w:val="left"/>
              <w:rPr>
                <w:lang w:val="en-US"/>
              </w:rPr>
            </w:pPr>
            <w:r>
              <w:rPr>
                <w:lang w:val="en-US"/>
              </w:rPr>
              <w:t>Feeder/multiplexer loss (minimum) (dB)</w:t>
            </w:r>
          </w:p>
        </w:tc>
        <w:tc>
          <w:tcPr>
            <w:tcW w:w="2041" w:type="dxa"/>
          </w:tcPr>
          <w:p w:rsidR="00B9359B" w:rsidRDefault="009A5268">
            <w:pPr>
              <w:pStyle w:val="Tabletext"/>
              <w:framePr w:hSpace="181" w:wrap="notBeside" w:vAnchor="text" w:hAnchor="text" w:xAlign="center" w:y="1"/>
              <w:spacing w:before="50" w:after="50"/>
              <w:jc w:val="center"/>
              <w:rPr>
                <w:lang w:val="en-US"/>
              </w:rPr>
            </w:pPr>
            <w:r>
              <w:rPr>
                <w:lang w:val="en-US"/>
              </w:rPr>
              <w:t>0</w:t>
            </w:r>
          </w:p>
        </w:tc>
        <w:tc>
          <w:tcPr>
            <w:tcW w:w="2041" w:type="dxa"/>
          </w:tcPr>
          <w:p w:rsidR="00B9359B" w:rsidRDefault="009A5268">
            <w:pPr>
              <w:pStyle w:val="Tabletext"/>
              <w:framePr w:hSpace="181" w:wrap="notBeside" w:vAnchor="text" w:hAnchor="text" w:xAlign="center" w:y="1"/>
              <w:spacing w:before="50" w:after="50"/>
              <w:jc w:val="center"/>
              <w:rPr>
                <w:lang w:val="en-US"/>
              </w:rPr>
            </w:pPr>
            <w:r>
              <w:rPr>
                <w:lang w:val="en-US"/>
              </w:rPr>
              <w:t>0</w:t>
            </w:r>
          </w:p>
        </w:tc>
      </w:tr>
      <w:tr w:rsidR="00B9359B">
        <w:trPr>
          <w:cantSplit/>
        </w:trPr>
        <w:tc>
          <w:tcPr>
            <w:tcW w:w="5613" w:type="dxa"/>
          </w:tcPr>
          <w:p w:rsidR="00B9359B" w:rsidRDefault="009A5268">
            <w:pPr>
              <w:pStyle w:val="Tabletext"/>
              <w:framePr w:hSpace="181" w:wrap="notBeside" w:vAnchor="text" w:hAnchor="text" w:xAlign="center" w:y="1"/>
              <w:spacing w:before="50" w:after="50"/>
              <w:jc w:val="left"/>
              <w:rPr>
                <w:lang w:val="en-US"/>
              </w:rPr>
            </w:pPr>
            <w:r>
              <w:rPr>
                <w:lang w:val="en-US"/>
              </w:rPr>
              <w:t>Antenna beamwidth (3 dB) azimuth/elevation (degrees)</w:t>
            </w:r>
          </w:p>
        </w:tc>
        <w:tc>
          <w:tcPr>
            <w:tcW w:w="2041" w:type="dxa"/>
          </w:tcPr>
          <w:p w:rsidR="00B9359B" w:rsidRDefault="009A5268">
            <w:pPr>
              <w:pStyle w:val="Tabletext"/>
              <w:framePr w:hSpace="181" w:wrap="notBeside" w:vAnchor="text" w:hAnchor="text" w:xAlign="center" w:y="1"/>
              <w:spacing w:before="50" w:after="50"/>
              <w:jc w:val="center"/>
              <w:rPr>
                <w:lang w:val="en-US"/>
              </w:rPr>
            </w:pPr>
            <w:r>
              <w:rPr>
                <w:rFonts w:ascii="Symbol" w:hAnsi="Symbol"/>
              </w:rPr>
              <w:t></w:t>
            </w:r>
            <w:r>
              <w:rPr>
                <w:rFonts w:ascii="Tms Rmn" w:hAnsi="Tms Rmn"/>
                <w:sz w:val="12"/>
                <w:lang w:val="en-US"/>
              </w:rPr>
              <w:t> </w:t>
            </w:r>
            <w:r>
              <w:rPr>
                <w:lang w:val="en-US"/>
              </w:rPr>
              <w:t>15</w:t>
            </w:r>
          </w:p>
        </w:tc>
        <w:tc>
          <w:tcPr>
            <w:tcW w:w="2041" w:type="dxa"/>
          </w:tcPr>
          <w:p w:rsidR="00B9359B" w:rsidRDefault="009A5268">
            <w:pPr>
              <w:pStyle w:val="Tabletext"/>
              <w:framePr w:hSpace="181" w:wrap="notBeside" w:vAnchor="text" w:hAnchor="text" w:xAlign="center" w:y="1"/>
              <w:spacing w:before="50" w:after="50"/>
              <w:jc w:val="center"/>
              <w:rPr>
                <w:lang w:val="en-US"/>
              </w:rPr>
            </w:pPr>
            <w:r>
              <w:rPr>
                <w:lang w:val="en-US"/>
              </w:rPr>
              <w:t>1.2 </w:t>
            </w:r>
            <w:r>
              <w:rPr>
                <w:rFonts w:ascii="Symbol" w:hAnsi="Symbol"/>
              </w:rPr>
              <w:t></w:t>
            </w:r>
            <w:r>
              <w:rPr>
                <w:lang w:val="en-US"/>
              </w:rPr>
              <w:t> 1.2</w:t>
            </w:r>
          </w:p>
        </w:tc>
      </w:tr>
      <w:tr w:rsidR="00B9359B">
        <w:trPr>
          <w:cantSplit/>
        </w:trPr>
        <w:tc>
          <w:tcPr>
            <w:tcW w:w="5613" w:type="dxa"/>
          </w:tcPr>
          <w:p w:rsidR="00B9359B" w:rsidRDefault="009A5268">
            <w:pPr>
              <w:pStyle w:val="Tabletext"/>
              <w:framePr w:hSpace="181" w:wrap="notBeside" w:vAnchor="text" w:hAnchor="text" w:xAlign="center" w:y="1"/>
              <w:spacing w:before="50" w:after="50"/>
              <w:jc w:val="left"/>
              <w:rPr>
                <w:lang w:val="en-US"/>
              </w:rPr>
            </w:pPr>
            <w:r>
              <w:rPr>
                <w:lang w:val="en-US"/>
              </w:rPr>
              <w:t>Maximum Tx output power (dBW)</w:t>
            </w:r>
          </w:p>
        </w:tc>
        <w:tc>
          <w:tcPr>
            <w:tcW w:w="2041"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5</w:t>
            </w:r>
          </w:p>
        </w:tc>
        <w:tc>
          <w:tcPr>
            <w:tcW w:w="2041" w:type="dxa"/>
          </w:tcPr>
          <w:p w:rsidR="00B9359B" w:rsidRDefault="009A5268">
            <w:pPr>
              <w:pStyle w:val="Tabletext"/>
              <w:framePr w:hSpace="181" w:wrap="notBeside" w:vAnchor="text" w:hAnchor="text" w:xAlign="center" w:y="1"/>
              <w:spacing w:before="50" w:after="50"/>
              <w:jc w:val="center"/>
              <w:rPr>
                <w:lang w:val="en-US"/>
              </w:rPr>
            </w:pPr>
            <w:r>
              <w:sym w:font="Symbol" w:char="F02D"/>
            </w:r>
            <w:r>
              <w:rPr>
                <w:lang w:val="en-US"/>
              </w:rPr>
              <w:t>10</w:t>
            </w:r>
          </w:p>
        </w:tc>
      </w:tr>
      <w:tr w:rsidR="00B9359B">
        <w:trPr>
          <w:cantSplit/>
        </w:trPr>
        <w:tc>
          <w:tcPr>
            <w:tcW w:w="5613" w:type="dxa"/>
          </w:tcPr>
          <w:p w:rsidR="00B9359B" w:rsidRDefault="009A5268">
            <w:pPr>
              <w:pStyle w:val="Tabletext"/>
              <w:framePr w:hSpace="181" w:wrap="notBeside" w:vAnchor="text" w:hAnchor="text" w:xAlign="center" w:y="1"/>
              <w:spacing w:before="50" w:after="50"/>
              <w:jc w:val="left"/>
              <w:rPr>
                <w:lang w:val="en-US"/>
              </w:rPr>
            </w:pPr>
            <w:r>
              <w:rPr>
                <w:lang w:val="en-US"/>
              </w:rPr>
              <w:t>e.i.r.p. (maximum) (dBW)</w:t>
            </w:r>
          </w:p>
        </w:tc>
        <w:tc>
          <w:tcPr>
            <w:tcW w:w="2041" w:type="dxa"/>
          </w:tcPr>
          <w:p w:rsidR="00B9359B" w:rsidRDefault="009A5268">
            <w:pPr>
              <w:pStyle w:val="Tabletext"/>
              <w:framePr w:hSpace="181" w:wrap="notBeside" w:vAnchor="text" w:hAnchor="text" w:xAlign="center" w:y="1"/>
              <w:spacing w:before="50" w:after="50"/>
              <w:jc w:val="center"/>
              <w:rPr>
                <w:lang w:val="en-US"/>
              </w:rPr>
            </w:pPr>
            <w:r>
              <w:rPr>
                <w:lang w:val="en-US"/>
              </w:rPr>
              <w:t>9</w:t>
            </w:r>
          </w:p>
        </w:tc>
        <w:tc>
          <w:tcPr>
            <w:tcW w:w="2041" w:type="dxa"/>
          </w:tcPr>
          <w:p w:rsidR="00B9359B" w:rsidRDefault="009A5268">
            <w:pPr>
              <w:pStyle w:val="Tabletext"/>
              <w:framePr w:hSpace="181" w:wrap="notBeside" w:vAnchor="text" w:hAnchor="text" w:xAlign="center" w:y="1"/>
              <w:spacing w:before="50" w:after="50"/>
              <w:jc w:val="center"/>
              <w:rPr>
                <w:lang w:val="en-US"/>
              </w:rPr>
            </w:pPr>
            <w:r>
              <w:rPr>
                <w:lang w:val="en-US"/>
              </w:rPr>
              <w:t>31/18</w:t>
            </w:r>
          </w:p>
        </w:tc>
      </w:tr>
    </w:tbl>
    <w:p w:rsidR="00B9359B" w:rsidRDefault="00B9359B">
      <w:pPr>
        <w:pStyle w:val="Tablefin"/>
        <w:spacing w:before="0"/>
        <w:rPr>
          <w:lang w:val="en-US"/>
        </w:rPr>
      </w:pPr>
    </w:p>
    <w:p w:rsidR="00B9359B" w:rsidRDefault="009A5268">
      <w:pPr>
        <w:pStyle w:val="Heading2"/>
        <w:rPr>
          <w:lang w:val="en-US"/>
        </w:rPr>
      </w:pPr>
      <w:bookmarkStart w:id="497" w:name="_Toc51045897"/>
      <w:r>
        <w:rPr>
          <w:lang w:val="en-US"/>
        </w:rPr>
        <w:t>2.5</w:t>
      </w:r>
      <w:r>
        <w:rPr>
          <w:lang w:val="en-US"/>
        </w:rPr>
        <w:tab/>
        <w:t>Operational characteristics</w:t>
      </w:r>
      <w:bookmarkEnd w:id="497"/>
    </w:p>
    <w:p w:rsidR="00B9359B" w:rsidRDefault="009A5268">
      <w:pPr>
        <w:rPr>
          <w:lang w:val="en-US"/>
        </w:rPr>
      </w:pPr>
      <w:r>
        <w:rPr>
          <w:lang w:val="en-US"/>
        </w:rPr>
        <w:t>Recommendation ITU-R F.1520 provides channel arrangement for systems using 3.5 MHz, 7 MHz, 14 MHz, 28 MHz and 56 MHz channel spacings to be deployed in the band 31.8-33.4 GHz.</w:t>
      </w:r>
    </w:p>
    <w:p w:rsidR="00B9359B" w:rsidRDefault="009A5268">
      <w:pPr>
        <w:pStyle w:val="Heading3"/>
        <w:rPr>
          <w:lang w:val="en-US"/>
        </w:rPr>
      </w:pPr>
      <w:bookmarkStart w:id="498" w:name="_Toc51045898"/>
      <w:r>
        <w:rPr>
          <w:lang w:val="en-US"/>
        </w:rPr>
        <w:t>2.5.1</w:t>
      </w:r>
      <w:r>
        <w:rPr>
          <w:lang w:val="en-US"/>
        </w:rPr>
        <w:tab/>
        <w:t>P-P operational characteristics</w:t>
      </w:r>
      <w:bookmarkEnd w:id="498"/>
    </w:p>
    <w:p w:rsidR="00B9359B" w:rsidRDefault="009A5268">
      <w:pPr>
        <w:rPr>
          <w:lang w:val="en-US"/>
        </w:rPr>
      </w:pPr>
      <w:r>
        <w:rPr>
          <w:lang w:val="en-US"/>
        </w:rPr>
        <w:t>It is proposed to use as a first step a density of terminals of one terminal per km</w:t>
      </w:r>
      <w:r>
        <w:rPr>
          <w:vertAlign w:val="superscript"/>
          <w:lang w:val="en-US"/>
        </w:rPr>
        <w:t>2</w:t>
      </w:r>
      <w:r>
        <w:rPr>
          <w:rStyle w:val="FootnoteReference"/>
          <w:lang w:val="en-US"/>
        </w:rPr>
        <w:footnoteReference w:customMarkFollows="1" w:id="6"/>
        <w:t>*</w:t>
      </w:r>
      <w:r>
        <w:rPr>
          <w:lang w:val="en-US"/>
        </w:rPr>
        <w:t>.</w:t>
      </w:r>
    </w:p>
    <w:p w:rsidR="00B9359B" w:rsidRDefault="009A5268">
      <w:pPr>
        <w:pStyle w:val="Heading3"/>
        <w:rPr>
          <w:lang w:val="en-US"/>
        </w:rPr>
      </w:pPr>
      <w:bookmarkStart w:id="499" w:name="_Toc51045899"/>
      <w:r>
        <w:rPr>
          <w:lang w:val="en-US"/>
        </w:rPr>
        <w:t>2.5.2</w:t>
      </w:r>
      <w:r>
        <w:rPr>
          <w:lang w:val="en-US"/>
        </w:rPr>
        <w:tab/>
        <w:t>P-MP operational characteristics</w:t>
      </w:r>
      <w:bookmarkEnd w:id="499"/>
    </w:p>
    <w:p w:rsidR="00B9359B" w:rsidRDefault="009A5268">
      <w:pPr>
        <w:rPr>
          <w:lang w:val="en-US"/>
        </w:rPr>
      </w:pPr>
      <w:r>
        <w:rPr>
          <w:lang w:val="en-US"/>
        </w:rPr>
        <w:t>It is proposed to use as a first step a density of terminals of 0.3 terminal per km</w:t>
      </w:r>
      <w:r>
        <w:rPr>
          <w:vertAlign w:val="superscript"/>
          <w:lang w:val="en-US"/>
        </w:rPr>
        <w:t>2</w:t>
      </w:r>
      <w:r>
        <w:rPr>
          <w:sz w:val="28"/>
          <w:vertAlign w:val="superscript"/>
          <w:lang w:val="en-US"/>
        </w:rPr>
        <w:t>*</w:t>
      </w:r>
      <w:r>
        <w:rPr>
          <w:lang w:val="en-US"/>
        </w:rPr>
        <w:t>.</w:t>
      </w:r>
    </w:p>
    <w:p w:rsidR="00B9359B" w:rsidRDefault="009A5268">
      <w:pPr>
        <w:pStyle w:val="enumlev1"/>
        <w:rPr>
          <w:lang w:val="en-US"/>
        </w:rPr>
      </w:pPr>
      <w:r>
        <w:rPr>
          <w:b/>
          <w:lang w:val="en-US"/>
        </w:rPr>
        <w:t>–</w:t>
      </w:r>
      <w:r>
        <w:rPr>
          <w:bCs/>
          <w:i/>
          <w:iCs/>
          <w:lang w:val="en-US"/>
        </w:rPr>
        <w:tab/>
        <w:t>Frequency reuse</w:t>
      </w:r>
      <w:r>
        <w:rPr>
          <w:lang w:val="en-US"/>
        </w:rPr>
        <w:t>: a frequency reuse of 2 is commonly used and is considered as a typical scenario. A frequency reuse factor of 1 is to be considered as a worst-case situation, which occurs rarely.</w:t>
      </w:r>
    </w:p>
    <w:p w:rsidR="00B9359B" w:rsidRDefault="009A5268">
      <w:pPr>
        <w:pStyle w:val="enumlev1"/>
        <w:rPr>
          <w:lang w:val="en-US"/>
        </w:rPr>
      </w:pPr>
      <w:r>
        <w:rPr>
          <w:b/>
          <w:lang w:val="en-US"/>
        </w:rPr>
        <w:t>–</w:t>
      </w:r>
      <w:r>
        <w:rPr>
          <w:b/>
          <w:lang w:val="en-US"/>
        </w:rPr>
        <w:tab/>
      </w:r>
      <w:r>
        <w:rPr>
          <w:bCs/>
          <w:i/>
          <w:iCs/>
          <w:lang w:val="en-US"/>
        </w:rPr>
        <w:t>Sector antenna</w:t>
      </w:r>
      <w:r>
        <w:rPr>
          <w:lang w:val="en-US"/>
        </w:rPr>
        <w:t>: the typical sector antenna width is 90</w:t>
      </w:r>
      <w:r>
        <w:rPr>
          <w:rFonts w:ascii="Symbol" w:hAnsi="Symbol"/>
          <w:lang w:val="en-US"/>
        </w:rPr>
        <w:t></w:t>
      </w:r>
      <w:r>
        <w:rPr>
          <w:lang w:val="en-US"/>
        </w:rPr>
        <w:t>. In some cases, 45</w:t>
      </w:r>
      <w:r>
        <w:rPr>
          <w:rFonts w:ascii="Symbol" w:hAnsi="Symbol"/>
          <w:lang w:val="en-US"/>
        </w:rPr>
        <w:t></w:t>
      </w:r>
      <w:r>
        <w:rPr>
          <w:lang w:val="en-US"/>
        </w:rPr>
        <w:t xml:space="preserve"> sector antennas are foreseen where high amount of traffic capacities have to be transported from one station location.</w:t>
      </w:r>
    </w:p>
    <w:p w:rsidR="00B9359B" w:rsidRDefault="00B9359B">
      <w:pPr>
        <w:spacing w:before="0"/>
        <w:rPr>
          <w:lang w:val="en-US"/>
        </w:rPr>
      </w:pPr>
    </w:p>
    <w:p w:rsidR="00B9359B" w:rsidRDefault="009A5268">
      <w:pPr>
        <w:rPr>
          <w:lang w:val="en-US"/>
        </w:rPr>
      </w:pPr>
      <w:r>
        <w:rPr>
          <w:lang w:val="en-US"/>
        </w:rPr>
        <w:br w:type="page"/>
        <w:t>Based on these considerations, a hub of a P-MP cell may serve typically two co-channel subscribers within a given cell.</w:t>
      </w:r>
    </w:p>
    <w:p w:rsidR="00B9359B" w:rsidRDefault="009A5268">
      <w:pPr>
        <w:pStyle w:val="Heading2"/>
        <w:rPr>
          <w:lang w:val="en-US"/>
        </w:rPr>
      </w:pPr>
      <w:bookmarkStart w:id="500" w:name="_Toc51045900"/>
      <w:r>
        <w:rPr>
          <w:lang w:val="en-US"/>
        </w:rPr>
        <w:t>2.6</w:t>
      </w:r>
      <w:r>
        <w:rPr>
          <w:lang w:val="en-US"/>
        </w:rPr>
        <w:tab/>
        <w:t>In band transmit power</w:t>
      </w:r>
      <w:bookmarkEnd w:id="500"/>
    </w:p>
    <w:p w:rsidR="00B9359B" w:rsidRDefault="009A5268">
      <w:pPr>
        <w:rPr>
          <w:lang w:val="en-US"/>
        </w:rPr>
      </w:pPr>
      <w:r>
        <w:rPr>
          <w:lang w:val="en-US"/>
        </w:rPr>
        <w:t>See Tables 87 and 88.</w:t>
      </w:r>
    </w:p>
    <w:p w:rsidR="00B9359B" w:rsidRDefault="009A5268">
      <w:pPr>
        <w:pStyle w:val="Heading1"/>
        <w:rPr>
          <w:lang w:val="en-US"/>
        </w:rPr>
      </w:pPr>
      <w:bookmarkStart w:id="501" w:name="_Toc51045901"/>
      <w:r>
        <w:rPr>
          <w:lang w:val="en-US"/>
        </w:rPr>
        <w:t>3</w:t>
      </w:r>
      <w:r>
        <w:rPr>
          <w:lang w:val="en-US"/>
        </w:rPr>
        <w:tab/>
        <w:t>Compatibility threshold</w:t>
      </w:r>
      <w:bookmarkEnd w:id="501"/>
      <w:r>
        <w:rPr>
          <w:lang w:val="en-US"/>
        </w:rPr>
        <w:t xml:space="preserve"> </w:t>
      </w:r>
    </w:p>
    <w:p w:rsidR="00B9359B" w:rsidRDefault="009A5268">
      <w:pPr>
        <w:rPr>
          <w:lang w:val="en-US"/>
        </w:rPr>
      </w:pPr>
      <w:r>
        <w:rPr>
          <w:lang w:val="en-US"/>
        </w:rPr>
        <w:t>The passive sensor protection criterion is –163 dBW in a 100 MHz bandwidth (not to be exceeded for more than 0.01% of time as stipulated by Recommendation ITU-R SA.1029). Section 2.4 provides a set of characteristics for FS systems to be deployed in this band. Based on this information, it is possible to derive the allowed power from each FS system falling into the EESS band.</w:t>
      </w:r>
    </w:p>
    <w:p w:rsidR="00B9359B" w:rsidRDefault="009A5268">
      <w:pPr>
        <w:rPr>
          <w:lang w:val="en-US"/>
        </w:rPr>
      </w:pPr>
      <w:r>
        <w:rPr>
          <w:lang w:val="en-US"/>
        </w:rPr>
        <w:t>Interference is potentially received from several sources from multiple services simultaneously. The value listed in Recommendation ITU-R SA.1029 (for a specific band) is the maximum allowable interference level for the passive sensor.</w:t>
      </w:r>
    </w:p>
    <w:p w:rsidR="00B9359B" w:rsidRDefault="009A5268">
      <w:pPr>
        <w:rPr>
          <w:lang w:val="en-US"/>
        </w:rPr>
      </w:pPr>
      <w:r>
        <w:rPr>
          <w:lang w:val="en-US"/>
        </w:rPr>
        <w:t>This Annex provides an analysis of the interference generated by a single active service.</w:t>
      </w:r>
    </w:p>
    <w:p w:rsidR="00B9359B" w:rsidRDefault="009A5268">
      <w:pPr>
        <w:rPr>
          <w:lang w:val="en-US"/>
        </w:rPr>
      </w:pPr>
      <w:r>
        <w:rPr>
          <w:lang w:val="en-US"/>
        </w:rPr>
        <w:t>Further work is needed to address the impact of these multiple active services operating above and below the passive band.</w:t>
      </w:r>
    </w:p>
    <w:p w:rsidR="00B9359B" w:rsidRDefault="009A5268">
      <w:pPr>
        <w:pStyle w:val="Heading1"/>
        <w:rPr>
          <w:lang w:val="en-US"/>
        </w:rPr>
      </w:pPr>
      <w:bookmarkStart w:id="502" w:name="_Toc51045902"/>
      <w:r>
        <w:rPr>
          <w:lang w:val="en-US"/>
        </w:rPr>
        <w:t>4</w:t>
      </w:r>
      <w:r>
        <w:rPr>
          <w:lang w:val="en-US"/>
        </w:rPr>
        <w:tab/>
        <w:t>Interference assessment</w:t>
      </w:r>
      <w:bookmarkEnd w:id="502"/>
    </w:p>
    <w:p w:rsidR="00B9359B" w:rsidRDefault="009A5268">
      <w:pPr>
        <w:pStyle w:val="Heading2"/>
        <w:rPr>
          <w:lang w:val="en-US"/>
        </w:rPr>
      </w:pPr>
      <w:bookmarkStart w:id="503" w:name="_Toc51045903"/>
      <w:r>
        <w:rPr>
          <w:lang w:val="en-US"/>
        </w:rPr>
        <w:t>4.1</w:t>
      </w:r>
      <w:r>
        <w:rPr>
          <w:lang w:val="en-US"/>
        </w:rPr>
        <w:tab/>
        <w:t>Methodology to assess the interference level</w:t>
      </w:r>
      <w:bookmarkEnd w:id="503"/>
    </w:p>
    <w:p w:rsidR="00B9359B" w:rsidRDefault="009A5268">
      <w:pPr>
        <w:rPr>
          <w:lang w:val="en-US"/>
        </w:rPr>
      </w:pPr>
      <w:r>
        <w:rPr>
          <w:lang w:val="en-US"/>
        </w:rPr>
        <w:t>The first step of this approach is to calculate the acceptable power resulting from a deployment of FS systems that may fall within an EESS pixel:</w:t>
      </w:r>
    </w:p>
    <w:p w:rsidR="00B9359B" w:rsidRDefault="009A5268">
      <w:pPr>
        <w:pStyle w:val="Equation"/>
        <w:jc w:val="center"/>
        <w:rPr>
          <w:lang w:val="en-US"/>
        </w:rPr>
      </w:pPr>
      <w:r>
        <w:rPr>
          <w:lang w:val="en-US"/>
        </w:rPr>
        <w:t xml:space="preserve">Aggregate power at the Earth in 100 MHz </w:t>
      </w:r>
      <w:r>
        <w:rPr>
          <w:rFonts w:ascii="Symbol" w:hAnsi="Symbol"/>
          <w:lang w:val="en-US"/>
        </w:rPr>
        <w:t></w:t>
      </w:r>
      <w:r>
        <w:rPr>
          <w:lang w:val="en-US"/>
        </w:rPr>
        <w:t xml:space="preserve"> EESS protection criteria (dB(W/100 MHz)) – </w:t>
      </w:r>
      <w:r>
        <w:rPr>
          <w:lang w:val="en-US"/>
        </w:rPr>
        <w:br/>
        <w:t xml:space="preserve">EESS gain </w:t>
      </w:r>
      <w:r>
        <w:rPr>
          <w:rFonts w:ascii="Symbol" w:hAnsi="Symbol"/>
          <w:lang w:val="en-US"/>
        </w:rPr>
        <w:t></w:t>
      </w:r>
      <w:r>
        <w:rPr>
          <w:lang w:val="en-US"/>
        </w:rPr>
        <w:t xml:space="preserve"> free space loss</w:t>
      </w:r>
    </w:p>
    <w:p w:rsidR="00B9359B" w:rsidRDefault="009A5268">
      <w:pPr>
        <w:rPr>
          <w:lang w:val="en-US"/>
        </w:rPr>
      </w:pPr>
      <w:r>
        <w:rPr>
          <w:lang w:val="en-US"/>
        </w:rPr>
        <w:t>Then it is possible to derive the unwanted level of emissions per FS system falling into the EESS bandwidth:</w:t>
      </w:r>
    </w:p>
    <w:p w:rsidR="00B9359B" w:rsidRDefault="009A5268">
      <w:pPr>
        <w:pStyle w:val="Equation"/>
        <w:jc w:val="center"/>
        <w:rPr>
          <w:lang w:val="en-US"/>
        </w:rPr>
      </w:pPr>
      <w:r>
        <w:rPr>
          <w:lang w:val="en-US"/>
        </w:rPr>
        <w:t>Power/Tx (dB(W/100 MHz))</w:t>
      </w:r>
      <w:r>
        <w:rPr>
          <w:b/>
          <w:lang w:val="en-US"/>
        </w:rPr>
        <w:t xml:space="preserve"> </w:t>
      </w:r>
      <w:r>
        <w:rPr>
          <w:rFonts w:ascii="Symbol" w:hAnsi="Symbol"/>
          <w:b/>
          <w:lang w:val="en-US"/>
        </w:rPr>
        <w:t></w:t>
      </w:r>
      <w:r>
        <w:rPr>
          <w:b/>
          <w:lang w:val="en-US"/>
        </w:rPr>
        <w:t xml:space="preserve"> </w:t>
      </w:r>
      <w:r>
        <w:rPr>
          <w:lang w:val="en-US"/>
        </w:rPr>
        <w:t>Aggregate power at the Earth in 100 MHz –</w:t>
      </w:r>
      <w:r>
        <w:rPr>
          <w:lang w:val="en-US"/>
        </w:rPr>
        <w:br/>
      </w:r>
      <w:r>
        <w:rPr>
          <w:i/>
          <w:iCs/>
          <w:lang w:val="en-US"/>
        </w:rPr>
        <w:t>N</w:t>
      </w:r>
      <w:r>
        <w:rPr>
          <w:i/>
          <w:iCs/>
          <w:vertAlign w:val="subscript"/>
          <w:lang w:val="en-US"/>
        </w:rPr>
        <w:t>b</w:t>
      </w:r>
      <w:r>
        <w:rPr>
          <w:lang w:val="en-US"/>
        </w:rPr>
        <w:t xml:space="preserve"> Tx (in EESS pixel) – FS gain in the EESS direction</w:t>
      </w:r>
    </w:p>
    <w:p w:rsidR="00B9359B" w:rsidRDefault="009A5268">
      <w:pPr>
        <w:pStyle w:val="Heading2"/>
        <w:rPr>
          <w:lang w:val="en-US"/>
        </w:rPr>
      </w:pPr>
      <w:bookmarkStart w:id="504" w:name="_Toc51045904"/>
      <w:r>
        <w:rPr>
          <w:lang w:val="en-US"/>
        </w:rPr>
        <w:t>4.2</w:t>
      </w:r>
      <w:r>
        <w:rPr>
          <w:lang w:val="en-US"/>
        </w:rPr>
        <w:tab/>
        <w:t>Calculation</w:t>
      </w:r>
      <w:bookmarkEnd w:id="504"/>
    </w:p>
    <w:p w:rsidR="00B9359B" w:rsidRDefault="009A5268">
      <w:pPr>
        <w:rPr>
          <w:lang w:val="en-US"/>
        </w:rPr>
      </w:pPr>
      <w:r>
        <w:rPr>
          <w:lang w:val="en-US"/>
        </w:rPr>
        <w:t>For P-P systems (see Table 89), Recommendation ITU-R F.1245 was used to derive the antenna gain in the zenith direction. The density of terminals operating at the same frequency is assumed to be one terminal per km</w:t>
      </w:r>
      <w:r>
        <w:rPr>
          <w:vertAlign w:val="superscript"/>
          <w:lang w:val="en-US"/>
        </w:rPr>
        <w:t>2</w:t>
      </w:r>
      <w:r>
        <w:rPr>
          <w:lang w:val="en-US"/>
        </w:rPr>
        <w:t>.</w:t>
      </w:r>
    </w:p>
    <w:p w:rsidR="00B9359B" w:rsidRDefault="009A5268">
      <w:pPr>
        <w:rPr>
          <w:lang w:val="en-US"/>
        </w:rPr>
      </w:pPr>
      <w:r>
        <w:rPr>
          <w:lang w:val="en-US"/>
        </w:rPr>
        <w:t>For P-MP terminal stations (see Table 90), Recommendation ITU-R F.1245 was used to derive the antenna gain in the zenith direction. For P-MP central stations, Recommendation ITU</w:t>
      </w:r>
      <w:r>
        <w:rPr>
          <w:lang w:val="en-US"/>
        </w:rPr>
        <w:noBreakHyphen/>
        <w:t>R F.1336 was used to derive the antenna gain in the zenith direction. The density of site of central station operating at the same frequency is assumed to be 0.3 terminal per km</w:t>
      </w:r>
      <w:r>
        <w:rPr>
          <w:vertAlign w:val="superscript"/>
          <w:lang w:val="en-US"/>
        </w:rPr>
        <w:t>2</w:t>
      </w:r>
      <w:r>
        <w:rPr>
          <w:lang w:val="en-US"/>
        </w:rPr>
        <w:t>. On the same site, two central stations may use the same frequency assuming 90</w:t>
      </w:r>
      <w:r>
        <w:rPr>
          <w:rFonts w:ascii="Symbol" w:hAnsi="Symbol"/>
          <w:lang w:val="en-US"/>
        </w:rPr>
        <w:t></w:t>
      </w:r>
      <w:r>
        <w:rPr>
          <w:lang w:val="en-US"/>
        </w:rPr>
        <w:t xml:space="preserve"> sector antenna. Therefore, two terminal stations may use the same frequency within the same cell.</w:t>
      </w:r>
    </w:p>
    <w:p w:rsidR="00B9359B" w:rsidRDefault="009A5268">
      <w:pPr>
        <w:pStyle w:val="TableNo"/>
        <w:rPr>
          <w:lang w:val="en-US"/>
        </w:rPr>
      </w:pPr>
      <w:r>
        <w:rPr>
          <w:lang w:val="en-US"/>
        </w:rPr>
        <w:br w:type="page"/>
        <w:t>TABLE  89</w:t>
      </w:r>
    </w:p>
    <w:p w:rsidR="00B9359B" w:rsidRDefault="009A5268">
      <w:pPr>
        <w:pStyle w:val="Tabletitle"/>
        <w:rPr>
          <w:lang w:val="en-US"/>
        </w:rPr>
      </w:pPr>
      <w:r>
        <w:rPr>
          <w:lang w:val="en-US"/>
        </w:rPr>
        <w:t xml:space="preserve">Acceptable unwanted emissions level per P-P </w:t>
      </w:r>
      <w:r>
        <w:rPr>
          <w:lang w:val="en-US"/>
        </w:rPr>
        <w:br/>
        <w:t>FS system falling into the EESS band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1418"/>
        <w:gridCol w:w="1418"/>
      </w:tblGrid>
      <w:tr w:rsidR="00B9359B">
        <w:trPr>
          <w:trHeight w:val="255"/>
        </w:trPr>
        <w:tc>
          <w:tcPr>
            <w:tcW w:w="4536" w:type="dxa"/>
            <w:vAlign w:val="bottom"/>
          </w:tcPr>
          <w:p w:rsidR="00B9359B" w:rsidRDefault="009A5268">
            <w:pPr>
              <w:pStyle w:val="Tabletext"/>
              <w:framePr w:hSpace="181" w:wrap="notBeside" w:vAnchor="text" w:hAnchor="text" w:xAlign="center" w:y="1"/>
              <w:spacing w:before="30" w:after="30"/>
              <w:ind w:left="113"/>
              <w:rPr>
                <w:rFonts w:eastAsia="Arial Unicode MS"/>
                <w:lang w:val="en-US"/>
              </w:rPr>
            </w:pPr>
            <w:r>
              <w:rPr>
                <w:lang w:val="en-US"/>
              </w:rPr>
              <w:t>Frequency (GHz)</w:t>
            </w:r>
          </w:p>
        </w:tc>
        <w:tc>
          <w:tcPr>
            <w:tcW w:w="2836" w:type="dxa"/>
            <w:gridSpan w:val="2"/>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31.8</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30" w:after="30"/>
              <w:ind w:left="113"/>
              <w:rPr>
                <w:rFonts w:eastAsia="Arial Unicode MS"/>
                <w:lang w:val="en-US"/>
              </w:rPr>
            </w:pPr>
            <w:r>
              <w:rPr>
                <w:lang w:val="en-US"/>
              </w:rPr>
              <w:t>Interference criteria (dB(W/100 MHz))</w:t>
            </w:r>
          </w:p>
        </w:tc>
        <w:tc>
          <w:tcPr>
            <w:tcW w:w="2836" w:type="dxa"/>
            <w:gridSpan w:val="2"/>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–163</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30" w:after="30"/>
              <w:ind w:left="113"/>
              <w:rPr>
                <w:rFonts w:eastAsia="Arial Unicode MS"/>
                <w:lang w:val="en-US"/>
              </w:rPr>
            </w:pPr>
            <w:r>
              <w:rPr>
                <w:lang w:val="en-US"/>
              </w:rPr>
              <w:t>Altitude (km)</w:t>
            </w:r>
          </w:p>
        </w:tc>
        <w:tc>
          <w:tcPr>
            <w:tcW w:w="2836" w:type="dxa"/>
            <w:gridSpan w:val="2"/>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850</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30" w:after="30"/>
              <w:ind w:left="113"/>
              <w:rPr>
                <w:rFonts w:eastAsia="Arial Unicode MS"/>
                <w:lang w:val="en-US"/>
              </w:rPr>
            </w:pPr>
            <w:r>
              <w:rPr>
                <w:lang w:val="en-US"/>
              </w:rPr>
              <w:t>Reference bandwidth (MHz)</w:t>
            </w:r>
          </w:p>
        </w:tc>
        <w:tc>
          <w:tcPr>
            <w:tcW w:w="2836" w:type="dxa"/>
            <w:gridSpan w:val="2"/>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100</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30" w:after="30"/>
              <w:ind w:left="113"/>
              <w:rPr>
                <w:rFonts w:eastAsia="Arial Unicode MS"/>
                <w:lang w:val="en-US"/>
              </w:rPr>
            </w:pPr>
            <w:r>
              <w:rPr>
                <w:lang w:val="en-US"/>
              </w:rPr>
              <w:t>Gain EESS</w:t>
            </w:r>
          </w:p>
        </w:tc>
        <w:tc>
          <w:tcPr>
            <w:tcW w:w="2836" w:type="dxa"/>
            <w:gridSpan w:val="2"/>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45</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30" w:after="30"/>
              <w:ind w:left="113"/>
              <w:rPr>
                <w:rFonts w:eastAsia="Arial Unicode MS"/>
                <w:lang w:val="en-US"/>
              </w:rPr>
            </w:pPr>
            <w:r>
              <w:rPr>
                <w:lang w:val="en-US"/>
              </w:rPr>
              <w:t>Free space loss</w:t>
            </w:r>
          </w:p>
        </w:tc>
        <w:tc>
          <w:tcPr>
            <w:tcW w:w="2836" w:type="dxa"/>
            <w:gridSpan w:val="2"/>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181</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30" w:after="30"/>
              <w:ind w:left="113"/>
              <w:rPr>
                <w:rFonts w:eastAsia="Arial Unicode MS"/>
                <w:lang w:val="en-US"/>
              </w:rPr>
            </w:pPr>
            <w:r>
              <w:rPr>
                <w:lang w:val="en-US"/>
              </w:rPr>
              <w:t>Aggregate at the Earth (dB(W/100 MHz))</w:t>
            </w:r>
          </w:p>
        </w:tc>
        <w:tc>
          <w:tcPr>
            <w:tcW w:w="2836" w:type="dxa"/>
            <w:gridSpan w:val="2"/>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–27</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30" w:after="30"/>
              <w:ind w:left="113"/>
              <w:rPr>
                <w:rFonts w:eastAsia="Arial Unicode MS"/>
                <w:lang w:val="en-US"/>
              </w:rPr>
            </w:pPr>
            <w:r>
              <w:rPr>
                <w:lang w:val="en-US"/>
              </w:rPr>
              <w:t>Aggregate at the Earth (dB(W/MHz))</w:t>
            </w:r>
          </w:p>
        </w:tc>
        <w:tc>
          <w:tcPr>
            <w:tcW w:w="2836" w:type="dxa"/>
            <w:gridSpan w:val="2"/>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w:t>
            </w:r>
            <w:r>
              <w:rPr>
                <w:sz w:val="4"/>
                <w:lang w:val="en-US"/>
              </w:rPr>
              <w:t> </w:t>
            </w:r>
            <w:r>
              <w:rPr>
                <w:lang w:val="en-US"/>
              </w:rPr>
              <w:t>47.0</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30" w:after="30"/>
              <w:ind w:left="113"/>
              <w:rPr>
                <w:rFonts w:eastAsia="Arial Unicode MS"/>
                <w:i/>
                <w:iCs/>
                <w:lang w:val="en-US"/>
              </w:rPr>
            </w:pPr>
            <w:r>
              <w:rPr>
                <w:rFonts w:eastAsia="Arial Unicode MS"/>
                <w:i/>
                <w:iCs/>
                <w:lang w:val="en-US"/>
              </w:rPr>
              <w:t>Station type</w:t>
            </w:r>
          </w:p>
        </w:tc>
        <w:tc>
          <w:tcPr>
            <w:tcW w:w="1418" w:type="dxa"/>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rFonts w:eastAsia="Arial Unicode MS"/>
                <w:lang w:val="en-US"/>
              </w:rPr>
              <w:t>CS</w:t>
            </w:r>
          </w:p>
        </w:tc>
        <w:tc>
          <w:tcPr>
            <w:tcW w:w="1418" w:type="dxa"/>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rFonts w:eastAsia="Arial Unicode MS"/>
                <w:lang w:val="en-US"/>
              </w:rPr>
              <w:t>TS</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30" w:after="30"/>
              <w:ind w:left="284" w:right="284"/>
              <w:rPr>
                <w:rFonts w:eastAsia="Arial Unicode MS"/>
                <w:lang w:val="en-US"/>
              </w:rPr>
            </w:pPr>
            <w:r>
              <w:rPr>
                <w:lang w:val="en-US"/>
              </w:rPr>
              <w:t>Channel spacing (MHz)</w:t>
            </w:r>
          </w:p>
        </w:tc>
        <w:tc>
          <w:tcPr>
            <w:tcW w:w="1418" w:type="dxa"/>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56.0</w:t>
            </w:r>
          </w:p>
        </w:tc>
        <w:tc>
          <w:tcPr>
            <w:tcW w:w="1418" w:type="dxa"/>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3.5</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30" w:after="30"/>
              <w:ind w:left="284" w:right="284"/>
              <w:rPr>
                <w:rFonts w:eastAsia="Arial Unicode MS"/>
                <w:lang w:val="en-US"/>
              </w:rPr>
            </w:pPr>
            <w:r>
              <w:rPr>
                <w:lang w:val="en-US"/>
              </w:rPr>
              <w:t>FS antenna gain</w:t>
            </w:r>
          </w:p>
        </w:tc>
        <w:tc>
          <w:tcPr>
            <w:tcW w:w="1418" w:type="dxa"/>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46</w:t>
            </w:r>
          </w:p>
        </w:tc>
        <w:tc>
          <w:tcPr>
            <w:tcW w:w="1418" w:type="dxa"/>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46</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30" w:after="30"/>
              <w:ind w:left="284" w:right="284"/>
              <w:rPr>
                <w:rFonts w:eastAsia="Arial Unicode MS"/>
                <w:lang w:val="en-US"/>
              </w:rPr>
            </w:pPr>
            <w:r>
              <w:rPr>
                <w:lang w:val="en-US"/>
              </w:rPr>
              <w:t>FS gain in the EESS direction</w:t>
            </w:r>
          </w:p>
        </w:tc>
        <w:tc>
          <w:tcPr>
            <w:tcW w:w="1418" w:type="dxa"/>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–12.6</w:t>
            </w:r>
          </w:p>
        </w:tc>
        <w:tc>
          <w:tcPr>
            <w:tcW w:w="1418" w:type="dxa"/>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–12.6</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30" w:after="30"/>
              <w:ind w:left="284" w:right="284"/>
              <w:rPr>
                <w:rFonts w:eastAsia="Arial Unicode MS"/>
                <w:lang w:val="en-US"/>
              </w:rPr>
            </w:pPr>
            <w:r>
              <w:rPr>
                <w:lang w:val="en-US"/>
              </w:rPr>
              <w:t>Aggregate power (dB(W/MHz))</w:t>
            </w:r>
          </w:p>
        </w:tc>
        <w:tc>
          <w:tcPr>
            <w:tcW w:w="1418" w:type="dxa"/>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–34.4</w:t>
            </w:r>
          </w:p>
        </w:tc>
        <w:tc>
          <w:tcPr>
            <w:tcW w:w="1418" w:type="dxa"/>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–34.4</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30" w:after="30"/>
              <w:ind w:left="284" w:right="284"/>
              <w:rPr>
                <w:rFonts w:eastAsia="Arial Unicode MS"/>
                <w:lang w:val="en-US"/>
              </w:rPr>
            </w:pPr>
            <w:r>
              <w:rPr>
                <w:lang w:val="en-US"/>
              </w:rPr>
              <w:t>Density of systems/km</w:t>
            </w:r>
            <w:r>
              <w:rPr>
                <w:vertAlign w:val="superscript"/>
                <w:lang w:val="en-US"/>
              </w:rPr>
              <w:t>2</w:t>
            </w:r>
          </w:p>
        </w:tc>
        <w:tc>
          <w:tcPr>
            <w:tcW w:w="1418" w:type="dxa"/>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1.0</w:t>
            </w:r>
          </w:p>
        </w:tc>
        <w:tc>
          <w:tcPr>
            <w:tcW w:w="1418" w:type="dxa"/>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1.0</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30" w:after="30"/>
              <w:ind w:left="284" w:right="284"/>
              <w:rPr>
                <w:rFonts w:eastAsia="Arial Unicode MS"/>
                <w:lang w:val="en-US"/>
              </w:rPr>
            </w:pPr>
            <w:r>
              <w:rPr>
                <w:lang w:val="en-US"/>
              </w:rPr>
              <w:t>Pixel size/km</w:t>
            </w:r>
            <w:r>
              <w:rPr>
                <w:vertAlign w:val="superscript"/>
                <w:lang w:val="en-US"/>
              </w:rPr>
              <w:t>2</w:t>
            </w:r>
          </w:p>
        </w:tc>
        <w:tc>
          <w:tcPr>
            <w:tcW w:w="1418" w:type="dxa"/>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201</w:t>
            </w:r>
          </w:p>
        </w:tc>
        <w:tc>
          <w:tcPr>
            <w:tcW w:w="1418" w:type="dxa"/>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201</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30" w:after="30"/>
              <w:ind w:left="284" w:right="284"/>
              <w:rPr>
                <w:rFonts w:eastAsia="Arial Unicode MS"/>
                <w:lang w:val="en-US"/>
              </w:rPr>
            </w:pPr>
            <w:r>
              <w:rPr>
                <w:i/>
                <w:iCs/>
                <w:lang w:val="en-US"/>
              </w:rPr>
              <w:t>N</w:t>
            </w:r>
            <w:r>
              <w:rPr>
                <w:i/>
                <w:iCs/>
                <w:vertAlign w:val="subscript"/>
                <w:lang w:val="en-US"/>
              </w:rPr>
              <w:t>b</w:t>
            </w:r>
            <w:r>
              <w:rPr>
                <w:lang w:val="en-US"/>
              </w:rPr>
              <w:t xml:space="preserve"> Tx</w:t>
            </w:r>
          </w:p>
        </w:tc>
        <w:tc>
          <w:tcPr>
            <w:tcW w:w="1418" w:type="dxa"/>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201</w:t>
            </w:r>
          </w:p>
        </w:tc>
        <w:tc>
          <w:tcPr>
            <w:tcW w:w="1418" w:type="dxa"/>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201</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30" w:after="30"/>
              <w:ind w:left="284" w:right="284"/>
              <w:rPr>
                <w:rFonts w:eastAsia="Arial Unicode MS"/>
                <w:lang w:val="en-US"/>
              </w:rPr>
            </w:pPr>
            <w:r>
              <w:rPr>
                <w:lang w:val="en-US"/>
              </w:rPr>
              <w:t>Power per Tx (dB(W/MHz))</w:t>
            </w:r>
          </w:p>
        </w:tc>
        <w:tc>
          <w:tcPr>
            <w:tcW w:w="1418" w:type="dxa"/>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–57.4</w:t>
            </w:r>
          </w:p>
        </w:tc>
        <w:tc>
          <w:tcPr>
            <w:tcW w:w="1418" w:type="dxa"/>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–57.4</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30" w:after="30"/>
              <w:ind w:left="284" w:right="284"/>
              <w:rPr>
                <w:rFonts w:eastAsia="Arial Unicode MS"/>
                <w:lang w:val="en-US"/>
              </w:rPr>
            </w:pPr>
            <w:r>
              <w:rPr>
                <w:lang w:val="en-US"/>
              </w:rPr>
              <w:t>Power per Tx (dB(W/100 MHz))</w:t>
            </w:r>
          </w:p>
        </w:tc>
        <w:tc>
          <w:tcPr>
            <w:tcW w:w="1418" w:type="dxa"/>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–37.4</w:t>
            </w:r>
          </w:p>
        </w:tc>
        <w:tc>
          <w:tcPr>
            <w:tcW w:w="1418" w:type="dxa"/>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–37.4</w:t>
            </w:r>
          </w:p>
        </w:tc>
      </w:tr>
    </w:tbl>
    <w:p w:rsidR="00B9359B" w:rsidRDefault="00B9359B">
      <w:pPr>
        <w:pStyle w:val="Tablefin"/>
        <w:spacing w:before="0"/>
        <w:rPr>
          <w:sz w:val="2"/>
        </w:rPr>
      </w:pPr>
    </w:p>
    <w:p w:rsidR="00B9359B" w:rsidRDefault="009A5268">
      <w:pPr>
        <w:pStyle w:val="TableNo"/>
        <w:rPr>
          <w:lang w:val="en-US" w:eastAsia="fr-FR"/>
        </w:rPr>
      </w:pPr>
      <w:r>
        <w:rPr>
          <w:lang w:val="en-US" w:eastAsia="fr-FR"/>
        </w:rPr>
        <w:t>TABLE  90</w:t>
      </w:r>
    </w:p>
    <w:p w:rsidR="00B9359B" w:rsidRDefault="009A5268">
      <w:pPr>
        <w:pStyle w:val="Tabletitle"/>
        <w:rPr>
          <w:lang w:val="en-US"/>
        </w:rPr>
      </w:pPr>
      <w:r>
        <w:rPr>
          <w:lang w:val="en-US" w:eastAsia="fr-FR"/>
        </w:rPr>
        <w:t xml:space="preserve">Acceptable unwanted emissions level per P-MP </w:t>
      </w:r>
      <w:r>
        <w:rPr>
          <w:lang w:val="en-US" w:eastAsia="fr-FR"/>
        </w:rPr>
        <w:br/>
      </w:r>
      <w:r>
        <w:rPr>
          <w:lang w:val="en-US"/>
        </w:rPr>
        <w:t>FS system falling into the EESS band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1418"/>
        <w:gridCol w:w="1418"/>
      </w:tblGrid>
      <w:tr w:rsidR="00B9359B">
        <w:trPr>
          <w:trHeight w:val="255"/>
        </w:trPr>
        <w:tc>
          <w:tcPr>
            <w:tcW w:w="4536" w:type="dxa"/>
            <w:vAlign w:val="bottom"/>
          </w:tcPr>
          <w:p w:rsidR="00B9359B" w:rsidRDefault="009A5268">
            <w:pPr>
              <w:pStyle w:val="Tabletext"/>
              <w:framePr w:hSpace="181" w:wrap="notBeside" w:vAnchor="text" w:hAnchor="text" w:xAlign="center" w:y="1"/>
              <w:spacing w:before="30" w:after="30"/>
              <w:ind w:left="113"/>
              <w:rPr>
                <w:rFonts w:eastAsia="Arial Unicode MS"/>
                <w:lang w:val="en-US"/>
              </w:rPr>
            </w:pPr>
            <w:r>
              <w:rPr>
                <w:lang w:val="en-US"/>
              </w:rPr>
              <w:t>Frequency (GHz)</w:t>
            </w:r>
          </w:p>
        </w:tc>
        <w:tc>
          <w:tcPr>
            <w:tcW w:w="2835" w:type="dxa"/>
            <w:gridSpan w:val="2"/>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31.8</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30" w:after="30"/>
              <w:ind w:left="113"/>
              <w:rPr>
                <w:rFonts w:eastAsia="Arial Unicode MS"/>
                <w:lang w:val="en-US"/>
              </w:rPr>
            </w:pPr>
            <w:r>
              <w:rPr>
                <w:lang w:val="en-US"/>
              </w:rPr>
              <w:t>Interference criteria (dB(W/100 MHz))</w:t>
            </w:r>
          </w:p>
        </w:tc>
        <w:tc>
          <w:tcPr>
            <w:tcW w:w="2835" w:type="dxa"/>
            <w:gridSpan w:val="2"/>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–163</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30" w:after="30"/>
              <w:ind w:left="113"/>
              <w:rPr>
                <w:rFonts w:eastAsia="Arial Unicode MS"/>
                <w:lang w:val="en-US"/>
              </w:rPr>
            </w:pPr>
            <w:r>
              <w:rPr>
                <w:lang w:val="en-US"/>
              </w:rPr>
              <w:t>Altitude (km)</w:t>
            </w:r>
          </w:p>
        </w:tc>
        <w:tc>
          <w:tcPr>
            <w:tcW w:w="2835" w:type="dxa"/>
            <w:gridSpan w:val="2"/>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850</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30" w:after="30"/>
              <w:ind w:left="113"/>
              <w:rPr>
                <w:rFonts w:eastAsia="Arial Unicode MS"/>
                <w:lang w:val="en-US"/>
              </w:rPr>
            </w:pPr>
            <w:r>
              <w:rPr>
                <w:lang w:val="en-US"/>
              </w:rPr>
              <w:t>Reference bandwidth (MHz)</w:t>
            </w:r>
          </w:p>
        </w:tc>
        <w:tc>
          <w:tcPr>
            <w:tcW w:w="2835" w:type="dxa"/>
            <w:gridSpan w:val="2"/>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100</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30" w:after="30"/>
              <w:ind w:left="113"/>
              <w:rPr>
                <w:rFonts w:eastAsia="Arial Unicode MS"/>
                <w:lang w:val="en-US"/>
              </w:rPr>
            </w:pPr>
            <w:r>
              <w:rPr>
                <w:lang w:val="en-US"/>
              </w:rPr>
              <w:t>Gain EESS</w:t>
            </w:r>
          </w:p>
        </w:tc>
        <w:tc>
          <w:tcPr>
            <w:tcW w:w="2835" w:type="dxa"/>
            <w:gridSpan w:val="2"/>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45</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30" w:after="30"/>
              <w:ind w:left="113"/>
              <w:rPr>
                <w:rFonts w:eastAsia="Arial Unicode MS"/>
                <w:lang w:val="en-US"/>
              </w:rPr>
            </w:pPr>
            <w:r>
              <w:rPr>
                <w:lang w:val="en-US"/>
              </w:rPr>
              <w:t>Free space loss</w:t>
            </w:r>
          </w:p>
        </w:tc>
        <w:tc>
          <w:tcPr>
            <w:tcW w:w="2835" w:type="dxa"/>
            <w:gridSpan w:val="2"/>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181</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30" w:after="30"/>
              <w:ind w:left="113"/>
              <w:rPr>
                <w:rFonts w:eastAsia="Arial Unicode MS"/>
                <w:lang w:val="en-US"/>
              </w:rPr>
            </w:pPr>
            <w:r>
              <w:rPr>
                <w:lang w:val="en-US"/>
              </w:rPr>
              <w:t>Aggregate at the Earth (dB(W/100 MHz))</w:t>
            </w:r>
          </w:p>
        </w:tc>
        <w:tc>
          <w:tcPr>
            <w:tcW w:w="2835" w:type="dxa"/>
            <w:gridSpan w:val="2"/>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–27</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30" w:after="30"/>
              <w:ind w:left="113"/>
              <w:rPr>
                <w:rFonts w:eastAsia="Arial Unicode MS"/>
                <w:lang w:val="en-US"/>
              </w:rPr>
            </w:pPr>
            <w:r>
              <w:rPr>
                <w:lang w:val="en-US"/>
              </w:rPr>
              <w:t>Aggregate at the Earth (dB(W/MHz))</w:t>
            </w:r>
          </w:p>
        </w:tc>
        <w:tc>
          <w:tcPr>
            <w:tcW w:w="2835" w:type="dxa"/>
            <w:gridSpan w:val="2"/>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w:t>
            </w:r>
            <w:r>
              <w:rPr>
                <w:sz w:val="4"/>
                <w:lang w:val="en-US"/>
              </w:rPr>
              <w:t> </w:t>
            </w:r>
            <w:r>
              <w:rPr>
                <w:lang w:val="en-US"/>
              </w:rPr>
              <w:t>47.0</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30" w:after="30"/>
              <w:ind w:left="113"/>
              <w:rPr>
                <w:i/>
                <w:iCs/>
                <w:lang w:val="en-US"/>
              </w:rPr>
            </w:pPr>
            <w:r>
              <w:rPr>
                <w:i/>
                <w:iCs/>
                <w:lang w:val="en-US"/>
              </w:rPr>
              <w:t>Station type</w:t>
            </w:r>
          </w:p>
        </w:tc>
        <w:tc>
          <w:tcPr>
            <w:tcW w:w="1418" w:type="dxa"/>
            <w:vAlign w:val="bottom"/>
          </w:tcPr>
          <w:p w:rsidR="00B9359B" w:rsidRDefault="009A5268">
            <w:pPr>
              <w:pStyle w:val="Tabletext"/>
              <w:framePr w:hSpace="181" w:wrap="notBeside" w:vAnchor="text" w:hAnchor="text" w:xAlign="center" w:y="1"/>
              <w:spacing w:before="30" w:after="30"/>
              <w:jc w:val="center"/>
              <w:rPr>
                <w:lang w:val="en-US"/>
              </w:rPr>
            </w:pPr>
            <w:r>
              <w:rPr>
                <w:lang w:val="en-US"/>
              </w:rPr>
              <w:t>CS</w:t>
            </w:r>
          </w:p>
        </w:tc>
        <w:tc>
          <w:tcPr>
            <w:tcW w:w="1418" w:type="dxa"/>
            <w:vAlign w:val="bottom"/>
          </w:tcPr>
          <w:p w:rsidR="00B9359B" w:rsidRDefault="009A5268">
            <w:pPr>
              <w:pStyle w:val="Tabletext"/>
              <w:framePr w:hSpace="181" w:wrap="notBeside" w:vAnchor="text" w:hAnchor="text" w:xAlign="center" w:y="1"/>
              <w:spacing w:before="30" w:after="30"/>
              <w:jc w:val="center"/>
              <w:rPr>
                <w:lang w:val="en-US"/>
              </w:rPr>
            </w:pPr>
            <w:r>
              <w:rPr>
                <w:lang w:val="en-US"/>
              </w:rPr>
              <w:t>TS</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30" w:after="30"/>
              <w:ind w:left="284" w:right="284"/>
              <w:rPr>
                <w:rFonts w:eastAsia="Arial Unicode MS"/>
                <w:lang w:val="en-US"/>
              </w:rPr>
            </w:pPr>
            <w:r>
              <w:rPr>
                <w:lang w:val="en-US"/>
              </w:rPr>
              <w:t>Channel spacing (MHz)</w:t>
            </w:r>
          </w:p>
        </w:tc>
        <w:tc>
          <w:tcPr>
            <w:tcW w:w="1418" w:type="dxa"/>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28</w:t>
            </w:r>
          </w:p>
        </w:tc>
        <w:tc>
          <w:tcPr>
            <w:tcW w:w="1418" w:type="dxa"/>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28</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30" w:after="30"/>
              <w:ind w:left="284" w:right="284"/>
              <w:rPr>
                <w:rFonts w:eastAsia="Arial Unicode MS"/>
                <w:lang w:val="en-US"/>
              </w:rPr>
            </w:pPr>
            <w:r>
              <w:rPr>
                <w:lang w:val="en-US"/>
              </w:rPr>
              <w:t>FS antenna gain</w:t>
            </w:r>
          </w:p>
        </w:tc>
        <w:tc>
          <w:tcPr>
            <w:tcW w:w="1418" w:type="dxa"/>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14</w:t>
            </w:r>
          </w:p>
        </w:tc>
        <w:tc>
          <w:tcPr>
            <w:tcW w:w="1418" w:type="dxa"/>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41</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30" w:after="30"/>
              <w:ind w:left="284" w:right="284"/>
              <w:rPr>
                <w:rFonts w:eastAsia="Arial Unicode MS"/>
                <w:lang w:val="en-US"/>
              </w:rPr>
            </w:pPr>
            <w:r>
              <w:rPr>
                <w:lang w:val="en-US"/>
              </w:rPr>
              <w:t>FS gain in the EESS direction</w:t>
            </w:r>
          </w:p>
        </w:tc>
        <w:tc>
          <w:tcPr>
            <w:tcW w:w="1418" w:type="dxa"/>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–11.5</w:t>
            </w:r>
          </w:p>
        </w:tc>
        <w:tc>
          <w:tcPr>
            <w:tcW w:w="1418" w:type="dxa"/>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–11.3</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30" w:after="30"/>
              <w:ind w:left="284" w:right="284"/>
              <w:rPr>
                <w:rFonts w:eastAsia="Arial Unicode MS"/>
                <w:lang w:val="en-US"/>
              </w:rPr>
            </w:pPr>
            <w:r>
              <w:rPr>
                <w:lang w:val="en-US"/>
              </w:rPr>
              <w:t>Aggregate power (dB(W/MHz))</w:t>
            </w:r>
          </w:p>
        </w:tc>
        <w:tc>
          <w:tcPr>
            <w:tcW w:w="1418" w:type="dxa"/>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–35.4</w:t>
            </w:r>
          </w:p>
        </w:tc>
        <w:tc>
          <w:tcPr>
            <w:tcW w:w="1418" w:type="dxa"/>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–35.7</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30" w:after="30"/>
              <w:ind w:left="284" w:right="284"/>
              <w:rPr>
                <w:rFonts w:eastAsia="Arial Unicode MS"/>
                <w:lang w:val="en-US"/>
              </w:rPr>
            </w:pPr>
            <w:r>
              <w:rPr>
                <w:lang w:val="en-US"/>
              </w:rPr>
              <w:t>Density of systems/km</w:t>
            </w:r>
            <w:r>
              <w:rPr>
                <w:vertAlign w:val="superscript"/>
                <w:lang w:val="en-US"/>
              </w:rPr>
              <w:t>2</w:t>
            </w:r>
          </w:p>
        </w:tc>
        <w:tc>
          <w:tcPr>
            <w:tcW w:w="1418" w:type="dxa"/>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0.6</w:t>
            </w:r>
          </w:p>
        </w:tc>
        <w:tc>
          <w:tcPr>
            <w:tcW w:w="1418" w:type="dxa"/>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0.6</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30" w:after="30"/>
              <w:ind w:left="284" w:right="284"/>
              <w:rPr>
                <w:rFonts w:eastAsia="Arial Unicode MS"/>
                <w:lang w:val="en-US"/>
              </w:rPr>
            </w:pPr>
            <w:r>
              <w:rPr>
                <w:lang w:val="en-US"/>
              </w:rPr>
              <w:t>Pixel size/km</w:t>
            </w:r>
            <w:r>
              <w:rPr>
                <w:vertAlign w:val="superscript"/>
                <w:lang w:val="en-US"/>
              </w:rPr>
              <w:t>2</w:t>
            </w:r>
          </w:p>
        </w:tc>
        <w:tc>
          <w:tcPr>
            <w:tcW w:w="1418" w:type="dxa"/>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201</w:t>
            </w:r>
          </w:p>
        </w:tc>
        <w:tc>
          <w:tcPr>
            <w:tcW w:w="1418" w:type="dxa"/>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201</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30" w:after="30"/>
              <w:ind w:left="284" w:right="284"/>
              <w:rPr>
                <w:rFonts w:eastAsia="Arial Unicode MS"/>
                <w:lang w:val="en-US"/>
              </w:rPr>
            </w:pPr>
            <w:r>
              <w:rPr>
                <w:i/>
                <w:iCs/>
                <w:lang w:val="en-US"/>
              </w:rPr>
              <w:t>N</w:t>
            </w:r>
            <w:r>
              <w:rPr>
                <w:i/>
                <w:iCs/>
                <w:vertAlign w:val="subscript"/>
                <w:lang w:val="en-US"/>
              </w:rPr>
              <w:t>b</w:t>
            </w:r>
            <w:r>
              <w:rPr>
                <w:lang w:val="en-US"/>
              </w:rPr>
              <w:t xml:space="preserve"> Tx</w:t>
            </w:r>
          </w:p>
        </w:tc>
        <w:tc>
          <w:tcPr>
            <w:tcW w:w="1418" w:type="dxa"/>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121</w:t>
            </w:r>
          </w:p>
        </w:tc>
        <w:tc>
          <w:tcPr>
            <w:tcW w:w="1418" w:type="dxa"/>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121</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30" w:after="30"/>
              <w:ind w:left="284" w:right="284"/>
              <w:rPr>
                <w:rFonts w:eastAsia="Arial Unicode MS"/>
                <w:lang w:val="en-US"/>
              </w:rPr>
            </w:pPr>
            <w:r>
              <w:rPr>
                <w:lang w:val="en-US"/>
              </w:rPr>
              <w:t>Power per Tx (dB(W/MHz))</w:t>
            </w:r>
          </w:p>
        </w:tc>
        <w:tc>
          <w:tcPr>
            <w:tcW w:w="1418" w:type="dxa"/>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–56.2</w:t>
            </w:r>
          </w:p>
        </w:tc>
        <w:tc>
          <w:tcPr>
            <w:tcW w:w="1418" w:type="dxa"/>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–56.5</w:t>
            </w:r>
          </w:p>
        </w:tc>
      </w:tr>
      <w:tr w:rsidR="00B9359B">
        <w:trPr>
          <w:trHeight w:val="255"/>
        </w:trPr>
        <w:tc>
          <w:tcPr>
            <w:tcW w:w="4536" w:type="dxa"/>
            <w:vAlign w:val="bottom"/>
          </w:tcPr>
          <w:p w:rsidR="00B9359B" w:rsidRDefault="009A5268">
            <w:pPr>
              <w:pStyle w:val="Tabletext"/>
              <w:framePr w:hSpace="181" w:wrap="notBeside" w:vAnchor="text" w:hAnchor="text" w:xAlign="center" w:y="1"/>
              <w:spacing w:before="30" w:after="30"/>
              <w:ind w:left="284" w:right="284"/>
              <w:rPr>
                <w:rFonts w:eastAsia="Arial Unicode MS"/>
                <w:lang w:val="en-US"/>
              </w:rPr>
            </w:pPr>
            <w:r>
              <w:rPr>
                <w:lang w:val="en-US"/>
              </w:rPr>
              <w:t>Power per Tx (dB(W/100 MHz))</w:t>
            </w:r>
          </w:p>
        </w:tc>
        <w:tc>
          <w:tcPr>
            <w:tcW w:w="1418" w:type="dxa"/>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–36.2</w:t>
            </w:r>
          </w:p>
        </w:tc>
        <w:tc>
          <w:tcPr>
            <w:tcW w:w="1418" w:type="dxa"/>
            <w:vAlign w:val="bottom"/>
          </w:tcPr>
          <w:p w:rsidR="00B9359B" w:rsidRDefault="009A5268">
            <w:pPr>
              <w:pStyle w:val="Tabletext"/>
              <w:framePr w:hSpace="181" w:wrap="notBeside" w:vAnchor="text" w:hAnchor="text" w:xAlign="center" w:y="1"/>
              <w:spacing w:before="30" w:after="30"/>
              <w:jc w:val="center"/>
              <w:rPr>
                <w:rFonts w:eastAsia="Arial Unicode MS"/>
                <w:lang w:val="en-US"/>
              </w:rPr>
            </w:pPr>
            <w:r>
              <w:rPr>
                <w:lang w:val="en-US"/>
              </w:rPr>
              <w:t>–36.5</w:t>
            </w:r>
          </w:p>
        </w:tc>
      </w:tr>
    </w:tbl>
    <w:p w:rsidR="00B9359B" w:rsidRDefault="00B9359B">
      <w:pPr>
        <w:pStyle w:val="Tablefin"/>
        <w:spacing w:before="0"/>
        <w:rPr>
          <w:sz w:val="2"/>
        </w:rPr>
      </w:pPr>
    </w:p>
    <w:p w:rsidR="00B9359B" w:rsidRDefault="009A5268">
      <w:pPr>
        <w:pStyle w:val="Heading2"/>
        <w:rPr>
          <w:lang w:val="en-US"/>
        </w:rPr>
      </w:pPr>
      <w:bookmarkStart w:id="505" w:name="_Toc51045905"/>
      <w:r>
        <w:rPr>
          <w:lang w:val="en-US"/>
        </w:rPr>
        <w:br w:type="page"/>
        <w:t>4.3</w:t>
      </w:r>
      <w:r>
        <w:rPr>
          <w:lang w:val="en-US"/>
        </w:rPr>
        <w:tab/>
        <w:t>Value achieved</w:t>
      </w:r>
      <w:bookmarkEnd w:id="505"/>
    </w:p>
    <w:p w:rsidR="00B9359B" w:rsidRDefault="009A5268">
      <w:pPr>
        <w:pStyle w:val="Heading3"/>
        <w:rPr>
          <w:lang w:val="en-US"/>
        </w:rPr>
      </w:pPr>
      <w:bookmarkStart w:id="506" w:name="_Toc51045906"/>
      <w:r>
        <w:rPr>
          <w:lang w:val="en-US"/>
        </w:rPr>
        <w:t>4.3.1</w:t>
      </w:r>
      <w:r>
        <w:rPr>
          <w:lang w:val="en-US"/>
        </w:rPr>
        <w:tab/>
        <w:t>Level of unwanted emissions based on ITU-R Recommendations</w:t>
      </w:r>
      <w:bookmarkEnd w:id="506"/>
    </w:p>
    <w:p w:rsidR="00B9359B" w:rsidRDefault="009A5268">
      <w:pPr>
        <w:rPr>
          <w:lang w:val="en-US"/>
        </w:rPr>
      </w:pPr>
      <w:r>
        <w:rPr>
          <w:lang w:val="en-US"/>
        </w:rPr>
        <w:t>As a first step approach, only unwanted emissions falling into the spurious emissions are considered (if the guardband is larger than the OoB domain). Then, levels of attenuation provided in RR Appendix 3 and Recommendation ITU-R SM.329 are used to derive the levels of unwanted emissions from FS systems falling within the spurious emission domain (offset higher than 250% of the necessary bandwidth or channel separation compared to the centre frequency of the FS system signal). In the case of FS systems, the attenuation specified in RR Appendix 3 should be in dBc, the minimum of 70 dBc or (43 </w:t>
      </w:r>
      <w:r>
        <w:rPr>
          <w:rFonts w:ascii="Symbol" w:hAnsi="Symbol"/>
          <w:lang w:val="en-US"/>
        </w:rPr>
        <w:t></w:t>
      </w:r>
      <w:r>
        <w:rPr>
          <w:lang w:val="en-US"/>
        </w:rPr>
        <w:t> 10 log (</w:t>
      </w:r>
      <w:r>
        <w:rPr>
          <w:i/>
          <w:iCs/>
          <w:lang w:val="en-US"/>
        </w:rPr>
        <w:t>P</w:t>
      </w:r>
      <w:r>
        <w:rPr>
          <w:lang w:val="en-US"/>
        </w:rPr>
        <w:t>)).</w:t>
      </w:r>
    </w:p>
    <w:p w:rsidR="00B9359B" w:rsidRDefault="009A5268">
      <w:pPr>
        <w:rPr>
          <w:lang w:val="en-US"/>
        </w:rPr>
      </w:pPr>
      <w:r>
        <w:rPr>
          <w:lang w:val="en-US"/>
        </w:rPr>
        <w:t>Based on the first step approach, for a system operating with an output power of 0 dBW and a channel spacing of 56 MHz (see Table 86). The spurious emission limits for this system is:</w:t>
      </w:r>
    </w:p>
    <w:p w:rsidR="00B9359B" w:rsidRDefault="009A5268">
      <w:pPr>
        <w:pStyle w:val="Equation"/>
        <w:tabs>
          <w:tab w:val="clear" w:pos="794"/>
          <w:tab w:val="left" w:pos="2552"/>
        </w:tabs>
        <w:jc w:val="center"/>
        <w:rPr>
          <w:lang w:val="en-US"/>
        </w:rPr>
      </w:pPr>
      <w:r>
        <w:rPr>
          <w:i/>
          <w:iCs/>
          <w:lang w:val="en-US"/>
        </w:rPr>
        <w:t>P</w:t>
      </w:r>
      <w:r>
        <w:rPr>
          <w:lang w:val="en-US"/>
        </w:rPr>
        <w:t xml:space="preserve"> (dBW) – (43 </w:t>
      </w:r>
      <w:r>
        <w:rPr>
          <w:rFonts w:ascii="Symbol" w:hAnsi="Symbol"/>
          <w:lang w:val="en-US"/>
        </w:rPr>
        <w:t></w:t>
      </w:r>
      <w:r>
        <w:rPr>
          <w:lang w:val="en-US"/>
        </w:rPr>
        <w:t xml:space="preserve"> </w:t>
      </w:r>
      <w:r>
        <w:rPr>
          <w:i/>
          <w:iCs/>
          <w:lang w:val="en-US"/>
        </w:rPr>
        <w:t>P</w:t>
      </w:r>
      <w:r>
        <w:rPr>
          <w:lang w:val="en-US"/>
        </w:rPr>
        <w:t>)                dB in a 1 MHz reference bandwidth.</w:t>
      </w:r>
    </w:p>
    <w:p w:rsidR="00B9359B" w:rsidRDefault="009A5268">
      <w:pPr>
        <w:rPr>
          <w:lang w:val="en-US"/>
        </w:rPr>
      </w:pPr>
      <w:r>
        <w:rPr>
          <w:lang w:val="en-US"/>
        </w:rPr>
        <w:t>Table 91 provides the level of unwanted emissions that may fall in a 100 MHz reference bandwidth.</w:t>
      </w:r>
    </w:p>
    <w:p w:rsidR="00B9359B" w:rsidRDefault="009A5268">
      <w:pPr>
        <w:pStyle w:val="TableNo"/>
        <w:rPr>
          <w:lang w:val="en-US" w:eastAsia="fr-FR"/>
        </w:rPr>
      </w:pPr>
      <w:r>
        <w:rPr>
          <w:lang w:val="en-US" w:eastAsia="fr-FR"/>
        </w:rPr>
        <w:t>TABLE  91</w:t>
      </w:r>
    </w:p>
    <w:p w:rsidR="00B9359B" w:rsidRDefault="009A5268">
      <w:pPr>
        <w:pStyle w:val="Tabletitle"/>
        <w:rPr>
          <w:lang w:val="en-US" w:eastAsia="fr-FR"/>
        </w:rPr>
      </w:pPr>
      <w:r>
        <w:rPr>
          <w:lang w:val="en-US" w:eastAsia="fr-FR"/>
        </w:rPr>
        <w:t>Calculation of the level of unwanted emissions that may fall  within</w:t>
      </w:r>
      <w:r>
        <w:rPr>
          <w:lang w:val="en-US" w:eastAsia="fr-FR"/>
        </w:rPr>
        <w:br/>
        <w:t>a 100 MHz bandwidth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835"/>
        <w:gridCol w:w="2835"/>
      </w:tblGrid>
      <w:tr w:rsidR="00B9359B" w:rsidRPr="00D35B94">
        <w:tc>
          <w:tcPr>
            <w:tcW w:w="3969" w:type="dxa"/>
            <w:vAlign w:val="center"/>
          </w:tcPr>
          <w:p w:rsidR="00B9359B" w:rsidRDefault="009A5268">
            <w:pPr>
              <w:pStyle w:val="Tablehead"/>
              <w:framePr w:hSpace="181" w:wrap="notBeside" w:vAnchor="text" w:hAnchor="text" w:xAlign="center" w:y="1"/>
              <w:rPr>
                <w:lang w:val="en-US"/>
              </w:rPr>
            </w:pPr>
            <w:r>
              <w:rPr>
                <w:lang w:val="en-US"/>
              </w:rPr>
              <w:t>FS system</w:t>
            </w:r>
          </w:p>
        </w:tc>
        <w:tc>
          <w:tcPr>
            <w:tcW w:w="2835" w:type="dxa"/>
            <w:vAlign w:val="center"/>
          </w:tcPr>
          <w:p w:rsidR="00B9359B" w:rsidRDefault="009A5268">
            <w:pPr>
              <w:pStyle w:val="Tablehead"/>
              <w:framePr w:hSpace="181" w:wrap="notBeside" w:vAnchor="text" w:hAnchor="text" w:xAlign="center" w:y="1"/>
              <w:rPr>
                <w:lang w:val="en-US"/>
              </w:rPr>
            </w:pPr>
            <w:r>
              <w:rPr>
                <w:lang w:val="en-US"/>
              </w:rPr>
              <w:t>Level of spurious emissions per MHz</w:t>
            </w:r>
            <w:r>
              <w:rPr>
                <w:lang w:val="en-US"/>
              </w:rPr>
              <w:br/>
              <w:t>(dBW)</w:t>
            </w:r>
          </w:p>
        </w:tc>
        <w:tc>
          <w:tcPr>
            <w:tcW w:w="2835" w:type="dxa"/>
            <w:vAlign w:val="center"/>
          </w:tcPr>
          <w:p w:rsidR="00B9359B" w:rsidRDefault="009A5268">
            <w:pPr>
              <w:pStyle w:val="Tablehead"/>
              <w:framePr w:hSpace="181" w:wrap="notBeside" w:vAnchor="text" w:hAnchor="text" w:xAlign="center" w:y="1"/>
              <w:rPr>
                <w:lang w:val="en-US"/>
              </w:rPr>
            </w:pPr>
            <w:r>
              <w:rPr>
                <w:lang w:val="en-US"/>
              </w:rPr>
              <w:t xml:space="preserve">Level of spurious emissions </w:t>
            </w:r>
            <w:r>
              <w:rPr>
                <w:lang w:val="en-US"/>
              </w:rPr>
              <w:br/>
              <w:t>per 100 MHz</w:t>
            </w:r>
            <w:r>
              <w:rPr>
                <w:lang w:val="en-US"/>
              </w:rPr>
              <w:br/>
              <w:t>(dBW)</w:t>
            </w:r>
          </w:p>
        </w:tc>
      </w:tr>
      <w:tr w:rsidR="00B9359B">
        <w:tc>
          <w:tcPr>
            <w:tcW w:w="3969" w:type="dxa"/>
          </w:tcPr>
          <w:p w:rsidR="00B9359B" w:rsidRDefault="009A5268">
            <w:pPr>
              <w:pStyle w:val="Tabletext"/>
              <w:framePr w:hSpace="181" w:wrap="notBeside" w:vAnchor="text" w:hAnchor="text" w:xAlign="center" w:y="1"/>
              <w:spacing w:before="60" w:after="60"/>
              <w:rPr>
                <w:lang w:val="en-US"/>
              </w:rPr>
            </w:pPr>
            <w:r>
              <w:rPr>
                <w:lang w:val="en-US"/>
              </w:rPr>
              <w:t>P-P 56 MHz (Table 87)</w:t>
            </w:r>
          </w:p>
        </w:tc>
        <w:tc>
          <w:tcPr>
            <w:tcW w:w="2835" w:type="dxa"/>
          </w:tcPr>
          <w:p w:rsidR="00B9359B" w:rsidRDefault="009A5268">
            <w:pPr>
              <w:pStyle w:val="Tabletext"/>
              <w:framePr w:hSpace="181" w:wrap="notBeside" w:vAnchor="text" w:hAnchor="text" w:xAlign="center" w:y="1"/>
              <w:spacing w:before="60" w:after="60"/>
              <w:jc w:val="center"/>
              <w:rPr>
                <w:lang w:val="en-US"/>
              </w:rPr>
            </w:pPr>
            <w:r>
              <w:rPr>
                <w:lang w:val="en-US"/>
              </w:rPr>
              <w:t>–</w:t>
            </w:r>
            <w:r>
              <w:rPr>
                <w:sz w:val="4"/>
                <w:lang w:val="en-US"/>
              </w:rPr>
              <w:t> </w:t>
            </w:r>
            <w:r>
              <w:rPr>
                <w:lang w:val="en-US"/>
              </w:rPr>
              <w:t>43</w:t>
            </w:r>
          </w:p>
        </w:tc>
        <w:tc>
          <w:tcPr>
            <w:tcW w:w="2835" w:type="dxa"/>
          </w:tcPr>
          <w:p w:rsidR="00B9359B" w:rsidRDefault="009A5268">
            <w:pPr>
              <w:pStyle w:val="Tabletext"/>
              <w:framePr w:hSpace="181" w:wrap="notBeside" w:vAnchor="text" w:hAnchor="text" w:xAlign="center" w:y="1"/>
              <w:spacing w:before="60" w:after="60"/>
              <w:jc w:val="center"/>
              <w:rPr>
                <w:lang w:val="en-US"/>
              </w:rPr>
            </w:pPr>
            <w:r>
              <w:rPr>
                <w:lang w:val="en-US"/>
              </w:rPr>
              <w:t>–23</w:t>
            </w:r>
          </w:p>
        </w:tc>
      </w:tr>
      <w:tr w:rsidR="00B9359B">
        <w:tc>
          <w:tcPr>
            <w:tcW w:w="3969" w:type="dxa"/>
          </w:tcPr>
          <w:p w:rsidR="00B9359B" w:rsidRDefault="009A5268">
            <w:pPr>
              <w:pStyle w:val="Tabletext"/>
              <w:framePr w:hSpace="181" w:wrap="notBeside" w:vAnchor="text" w:hAnchor="text" w:xAlign="center" w:y="1"/>
              <w:spacing w:before="60" w:after="60"/>
              <w:rPr>
                <w:lang w:val="en-US"/>
              </w:rPr>
            </w:pPr>
            <w:r>
              <w:rPr>
                <w:lang w:val="en-US"/>
              </w:rPr>
              <w:t>P-P 3.5 MHz (Table 87)</w:t>
            </w:r>
          </w:p>
        </w:tc>
        <w:tc>
          <w:tcPr>
            <w:tcW w:w="2835" w:type="dxa"/>
          </w:tcPr>
          <w:p w:rsidR="00B9359B" w:rsidRDefault="009A5268">
            <w:pPr>
              <w:pStyle w:val="Tabletext"/>
              <w:framePr w:hSpace="181" w:wrap="notBeside" w:vAnchor="text" w:hAnchor="text" w:xAlign="center" w:y="1"/>
              <w:spacing w:before="60" w:after="60"/>
              <w:jc w:val="center"/>
              <w:rPr>
                <w:lang w:val="en-US"/>
              </w:rPr>
            </w:pPr>
            <w:r>
              <w:rPr>
                <w:lang w:val="en-US"/>
              </w:rPr>
              <w:t>–</w:t>
            </w:r>
            <w:r>
              <w:rPr>
                <w:sz w:val="4"/>
                <w:lang w:val="en-US"/>
              </w:rPr>
              <w:t> </w:t>
            </w:r>
            <w:r>
              <w:rPr>
                <w:lang w:val="en-US"/>
              </w:rPr>
              <w:t>43</w:t>
            </w:r>
          </w:p>
        </w:tc>
        <w:tc>
          <w:tcPr>
            <w:tcW w:w="2835" w:type="dxa"/>
          </w:tcPr>
          <w:p w:rsidR="00B9359B" w:rsidRDefault="009A5268">
            <w:pPr>
              <w:pStyle w:val="Tabletext"/>
              <w:framePr w:hSpace="181" w:wrap="notBeside" w:vAnchor="text" w:hAnchor="text" w:xAlign="center" w:y="1"/>
              <w:spacing w:before="60" w:after="60"/>
              <w:jc w:val="center"/>
              <w:rPr>
                <w:lang w:val="en-US"/>
              </w:rPr>
            </w:pPr>
            <w:r>
              <w:rPr>
                <w:lang w:val="en-US"/>
              </w:rPr>
              <w:t>–23</w:t>
            </w:r>
          </w:p>
        </w:tc>
      </w:tr>
      <w:tr w:rsidR="00B9359B">
        <w:tc>
          <w:tcPr>
            <w:tcW w:w="3969" w:type="dxa"/>
          </w:tcPr>
          <w:p w:rsidR="00B9359B" w:rsidRDefault="009A5268">
            <w:pPr>
              <w:pStyle w:val="Tabletext"/>
              <w:framePr w:hSpace="181" w:wrap="notBeside" w:vAnchor="text" w:hAnchor="text" w:xAlign="center" w:y="1"/>
              <w:spacing w:before="60" w:after="60"/>
              <w:rPr>
                <w:lang w:val="en-US"/>
              </w:rPr>
            </w:pPr>
            <w:r>
              <w:rPr>
                <w:lang w:val="en-US"/>
              </w:rPr>
              <w:t>P-MP 28 MHz (CS Table 88)</w:t>
            </w:r>
          </w:p>
        </w:tc>
        <w:tc>
          <w:tcPr>
            <w:tcW w:w="2835" w:type="dxa"/>
          </w:tcPr>
          <w:p w:rsidR="00B9359B" w:rsidRDefault="009A5268">
            <w:pPr>
              <w:pStyle w:val="Tabletext"/>
              <w:framePr w:hSpace="181" w:wrap="notBeside" w:vAnchor="text" w:hAnchor="text" w:xAlign="center" w:y="1"/>
              <w:spacing w:before="60" w:after="60"/>
              <w:jc w:val="center"/>
              <w:rPr>
                <w:lang w:val="en-US"/>
              </w:rPr>
            </w:pPr>
            <w:r>
              <w:rPr>
                <w:lang w:val="en-US"/>
              </w:rPr>
              <w:t>–</w:t>
            </w:r>
            <w:r>
              <w:rPr>
                <w:sz w:val="4"/>
                <w:lang w:val="en-US"/>
              </w:rPr>
              <w:t> </w:t>
            </w:r>
            <w:r>
              <w:rPr>
                <w:lang w:val="en-US"/>
              </w:rPr>
              <w:t>43</w:t>
            </w:r>
          </w:p>
        </w:tc>
        <w:tc>
          <w:tcPr>
            <w:tcW w:w="2835" w:type="dxa"/>
          </w:tcPr>
          <w:p w:rsidR="00B9359B" w:rsidRDefault="009A5268">
            <w:pPr>
              <w:pStyle w:val="Tabletext"/>
              <w:framePr w:hSpace="181" w:wrap="notBeside" w:vAnchor="text" w:hAnchor="text" w:xAlign="center" w:y="1"/>
              <w:spacing w:before="60" w:after="60"/>
              <w:jc w:val="center"/>
              <w:rPr>
                <w:lang w:val="en-US"/>
              </w:rPr>
            </w:pPr>
            <w:r>
              <w:rPr>
                <w:lang w:val="en-US"/>
              </w:rPr>
              <w:t>–23</w:t>
            </w:r>
          </w:p>
        </w:tc>
      </w:tr>
      <w:tr w:rsidR="00B9359B">
        <w:tc>
          <w:tcPr>
            <w:tcW w:w="3969" w:type="dxa"/>
          </w:tcPr>
          <w:p w:rsidR="00B9359B" w:rsidRDefault="009A5268">
            <w:pPr>
              <w:pStyle w:val="Tabletext"/>
              <w:framePr w:hSpace="181" w:wrap="notBeside" w:vAnchor="text" w:hAnchor="text" w:xAlign="center" w:y="1"/>
              <w:spacing w:before="60" w:after="60"/>
              <w:rPr>
                <w:lang w:val="en-US"/>
              </w:rPr>
            </w:pPr>
            <w:r>
              <w:rPr>
                <w:lang w:val="en-US"/>
              </w:rPr>
              <w:t>P-MP 28 MHz (TS Table 88)</w:t>
            </w:r>
          </w:p>
        </w:tc>
        <w:tc>
          <w:tcPr>
            <w:tcW w:w="2835" w:type="dxa"/>
          </w:tcPr>
          <w:p w:rsidR="00B9359B" w:rsidRDefault="009A5268">
            <w:pPr>
              <w:pStyle w:val="Tabletext"/>
              <w:framePr w:hSpace="181" w:wrap="notBeside" w:vAnchor="text" w:hAnchor="text" w:xAlign="center" w:y="1"/>
              <w:spacing w:before="60" w:after="60"/>
              <w:jc w:val="center"/>
              <w:rPr>
                <w:lang w:val="en-US"/>
              </w:rPr>
            </w:pPr>
            <w:r>
              <w:rPr>
                <w:lang w:val="en-US"/>
              </w:rPr>
              <w:t>–</w:t>
            </w:r>
            <w:r>
              <w:rPr>
                <w:sz w:val="4"/>
                <w:lang w:val="en-US"/>
              </w:rPr>
              <w:t> </w:t>
            </w:r>
            <w:r>
              <w:rPr>
                <w:lang w:val="en-US"/>
              </w:rPr>
              <w:t>43</w:t>
            </w:r>
          </w:p>
        </w:tc>
        <w:tc>
          <w:tcPr>
            <w:tcW w:w="2835" w:type="dxa"/>
          </w:tcPr>
          <w:p w:rsidR="00B9359B" w:rsidRDefault="009A5268">
            <w:pPr>
              <w:pStyle w:val="Tabletext"/>
              <w:framePr w:hSpace="181" w:wrap="notBeside" w:vAnchor="text" w:hAnchor="text" w:xAlign="center" w:y="1"/>
              <w:spacing w:before="60" w:after="60"/>
              <w:jc w:val="center"/>
              <w:rPr>
                <w:lang w:val="en-US"/>
              </w:rPr>
            </w:pPr>
            <w:r>
              <w:rPr>
                <w:lang w:val="en-US"/>
              </w:rPr>
              <w:t>–23</w:t>
            </w:r>
          </w:p>
        </w:tc>
      </w:tr>
    </w:tbl>
    <w:p w:rsidR="00B9359B" w:rsidRDefault="00B9359B">
      <w:pPr>
        <w:pStyle w:val="Tablefin"/>
      </w:pPr>
    </w:p>
    <w:p w:rsidR="00B9359B" w:rsidRDefault="009A5268">
      <w:pPr>
        <w:rPr>
          <w:lang w:val="en-US"/>
        </w:rPr>
      </w:pPr>
      <w:r>
        <w:rPr>
          <w:lang w:val="en-US"/>
        </w:rPr>
        <w:t>This first step approach leads to the conclusion that even if only unwanted emissions falling into the spurious domain are considered then the EESS protection criteria is not met.</w:t>
      </w:r>
    </w:p>
    <w:p w:rsidR="00B9359B" w:rsidRDefault="009A5268">
      <w:pPr>
        <w:pStyle w:val="Heading3"/>
        <w:rPr>
          <w:lang w:val="en-US"/>
        </w:rPr>
      </w:pPr>
      <w:bookmarkStart w:id="507" w:name="_Toc51045907"/>
      <w:r>
        <w:rPr>
          <w:lang w:val="en-US"/>
        </w:rPr>
        <w:t>4.3.2</w:t>
      </w:r>
      <w:r>
        <w:rPr>
          <w:lang w:val="en-US"/>
        </w:rPr>
        <w:tab/>
        <w:t>Refinement of the calculations</w:t>
      </w:r>
      <w:bookmarkEnd w:id="507"/>
    </w:p>
    <w:p w:rsidR="00B9359B" w:rsidRDefault="009A5268">
      <w:pPr>
        <w:rPr>
          <w:lang w:val="en-US"/>
        </w:rPr>
      </w:pPr>
      <w:r>
        <w:rPr>
          <w:lang w:val="en-US"/>
        </w:rPr>
        <w:t>FS systems deployed in this band may comply with limits given in ETSI Standard EN 300 197 and Category B given in Recommendation ITU-R SM.329 as those that will be deployed in the band 31-31.3 GHz (see Annex 15).</w:t>
      </w:r>
    </w:p>
    <w:p w:rsidR="00B9359B" w:rsidRDefault="009A5268">
      <w:pPr>
        <w:rPr>
          <w:lang w:val="en-US"/>
        </w:rPr>
      </w:pPr>
      <w:r>
        <w:rPr>
          <w:lang w:val="en-US"/>
        </w:rPr>
        <w:br w:type="page"/>
        <w:t>The acceptable powers per terminal that were calculated in Tables 89 and 90 are close to those that were considered in the Annex 15, dealing with compatibility between the EESS (passive) operating in the band 31.3-31.5 GHz and FS systems operating in the band 31.0-31.3 GHz. This means that the guardbands, which were derived in Annex 15, are sufficient to protect EESS operation. The corresponding guardband is provided in Table 92.</w:t>
      </w:r>
    </w:p>
    <w:p w:rsidR="00B9359B" w:rsidRDefault="009A5268">
      <w:pPr>
        <w:pStyle w:val="TableNo"/>
        <w:rPr>
          <w:lang w:val="en-US" w:eastAsia="fr-FR"/>
        </w:rPr>
      </w:pPr>
      <w:r>
        <w:rPr>
          <w:lang w:val="en-US" w:eastAsia="fr-FR"/>
        </w:rPr>
        <w:t>TABLE  92</w:t>
      </w:r>
    </w:p>
    <w:p w:rsidR="00B9359B" w:rsidRDefault="009A5268">
      <w:pPr>
        <w:pStyle w:val="Tabletitle"/>
        <w:rPr>
          <w:lang w:val="en-US" w:eastAsia="fr-FR"/>
        </w:rPr>
      </w:pPr>
      <w:r>
        <w:rPr>
          <w:lang w:val="en-US" w:eastAsia="fr-FR"/>
        </w:rPr>
        <w:t>Guardband depending on the channel spacing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2"/>
        <w:gridCol w:w="2722"/>
        <w:gridCol w:w="2722"/>
      </w:tblGrid>
      <w:tr w:rsidR="00B9359B">
        <w:tc>
          <w:tcPr>
            <w:tcW w:w="2722" w:type="dxa"/>
          </w:tcPr>
          <w:p w:rsidR="00B9359B" w:rsidRDefault="009A5268">
            <w:pPr>
              <w:pStyle w:val="Tablehead"/>
              <w:framePr w:hSpace="181" w:wrap="notBeside" w:vAnchor="text" w:hAnchor="text" w:xAlign="center" w:y="1"/>
              <w:rPr>
                <w:lang w:val="en-US"/>
              </w:rPr>
            </w:pPr>
            <w:r>
              <w:rPr>
                <w:lang w:val="en-US"/>
              </w:rPr>
              <w:t>Channel spacing</w:t>
            </w:r>
            <w:r>
              <w:rPr>
                <w:lang w:val="en-US"/>
              </w:rPr>
              <w:br/>
              <w:t>(MHz)</w:t>
            </w:r>
          </w:p>
        </w:tc>
        <w:tc>
          <w:tcPr>
            <w:tcW w:w="2722" w:type="dxa"/>
          </w:tcPr>
          <w:p w:rsidR="00B9359B" w:rsidRDefault="009A5268">
            <w:pPr>
              <w:pStyle w:val="Tablehead"/>
              <w:framePr w:hSpace="181" w:wrap="notBeside" w:vAnchor="text" w:hAnchor="text" w:xAlign="center" w:y="1"/>
              <w:rPr>
                <w:lang w:val="en-US"/>
              </w:rPr>
            </w:pPr>
            <w:r>
              <w:rPr>
                <w:i/>
                <w:iCs/>
                <w:lang w:val="en-US"/>
              </w:rPr>
              <w:t>Z</w:t>
            </w:r>
            <w:r>
              <w:rPr>
                <w:vertAlign w:val="subscript"/>
                <w:lang w:val="en-US"/>
              </w:rPr>
              <w:t>2</w:t>
            </w:r>
            <w:r>
              <w:rPr>
                <w:i/>
                <w:iCs/>
                <w:lang w:val="en-US"/>
              </w:rPr>
              <w:t>S</w:t>
            </w:r>
            <w:r>
              <w:rPr>
                <w:lang w:val="en-US"/>
              </w:rPr>
              <w:br/>
              <w:t>(MHz)</w:t>
            </w:r>
          </w:p>
        </w:tc>
        <w:tc>
          <w:tcPr>
            <w:tcW w:w="2722" w:type="dxa"/>
          </w:tcPr>
          <w:p w:rsidR="00B9359B" w:rsidRDefault="009A5268">
            <w:pPr>
              <w:pStyle w:val="Tablehead"/>
              <w:framePr w:hSpace="181" w:wrap="notBeside" w:vAnchor="text" w:hAnchor="text" w:xAlign="center" w:y="1"/>
              <w:rPr>
                <w:lang w:val="en-US"/>
              </w:rPr>
            </w:pPr>
            <w:r>
              <w:rPr>
                <w:lang w:val="en-US"/>
              </w:rPr>
              <w:t>Guardband</w:t>
            </w:r>
            <w:r>
              <w:rPr>
                <w:lang w:val="en-US"/>
              </w:rPr>
              <w:br/>
              <w:t>(MHz)</w:t>
            </w:r>
          </w:p>
        </w:tc>
      </w:tr>
      <w:tr w:rsidR="00B9359B">
        <w:tc>
          <w:tcPr>
            <w:tcW w:w="2722"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fr-CH"/>
              </w:rPr>
            </w:pPr>
            <w:r>
              <w:rPr>
                <w:lang w:val="fr-CH"/>
              </w:rPr>
              <w:t>3.5</w:t>
            </w:r>
          </w:p>
        </w:tc>
        <w:tc>
          <w:tcPr>
            <w:tcW w:w="2722"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fr-CH"/>
              </w:rPr>
            </w:pPr>
            <w:r>
              <w:rPr>
                <w:lang w:val="fr-CH"/>
              </w:rPr>
              <w:t>28.75</w:t>
            </w:r>
          </w:p>
        </w:tc>
        <w:tc>
          <w:tcPr>
            <w:tcW w:w="2722"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fr-CH"/>
              </w:rPr>
            </w:pPr>
            <w:r>
              <w:rPr>
                <w:lang w:val="fr-CH"/>
              </w:rPr>
              <w:t>27</w:t>
            </w:r>
          </w:p>
        </w:tc>
      </w:tr>
      <w:tr w:rsidR="00B9359B">
        <w:tc>
          <w:tcPr>
            <w:tcW w:w="2722"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fr-CH"/>
              </w:rPr>
            </w:pPr>
            <w:r>
              <w:rPr>
                <w:lang w:val="fr-CH"/>
              </w:rPr>
              <w:t>7</w:t>
            </w:r>
          </w:p>
        </w:tc>
        <w:tc>
          <w:tcPr>
            <w:tcW w:w="2722"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fr-CH"/>
              </w:rPr>
            </w:pPr>
            <w:r>
              <w:rPr>
                <w:lang w:val="fr-CH"/>
              </w:rPr>
              <w:t>27.5</w:t>
            </w:r>
          </w:p>
        </w:tc>
        <w:tc>
          <w:tcPr>
            <w:tcW w:w="2722"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fr-CH"/>
              </w:rPr>
            </w:pPr>
            <w:r>
              <w:rPr>
                <w:lang w:val="fr-CH"/>
              </w:rPr>
              <w:t>24</w:t>
            </w:r>
          </w:p>
        </w:tc>
      </w:tr>
      <w:tr w:rsidR="00B9359B">
        <w:tc>
          <w:tcPr>
            <w:tcW w:w="2722"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fr-CH"/>
              </w:rPr>
            </w:pPr>
            <w:r>
              <w:rPr>
                <w:lang w:val="fr-CH"/>
              </w:rPr>
              <w:t>14</w:t>
            </w:r>
          </w:p>
        </w:tc>
        <w:tc>
          <w:tcPr>
            <w:tcW w:w="2722"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fr-CH"/>
              </w:rPr>
            </w:pPr>
            <w:r>
              <w:rPr>
                <w:lang w:val="fr-CH"/>
              </w:rPr>
              <w:t>22</w:t>
            </w:r>
          </w:p>
        </w:tc>
        <w:tc>
          <w:tcPr>
            <w:tcW w:w="2722"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fr-CH"/>
              </w:rPr>
            </w:pPr>
            <w:r>
              <w:rPr>
                <w:lang w:val="fr-CH"/>
              </w:rPr>
              <w:t>15</w:t>
            </w:r>
          </w:p>
        </w:tc>
      </w:tr>
      <w:tr w:rsidR="00B9359B">
        <w:tc>
          <w:tcPr>
            <w:tcW w:w="2722"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fr-CH"/>
              </w:rPr>
            </w:pPr>
            <w:r>
              <w:rPr>
                <w:lang w:val="fr-CH"/>
              </w:rPr>
              <w:t>28</w:t>
            </w:r>
          </w:p>
        </w:tc>
        <w:tc>
          <w:tcPr>
            <w:tcW w:w="2722"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fr-CH"/>
              </w:rPr>
            </w:pPr>
            <w:r>
              <w:rPr>
                <w:lang w:val="fr-CH"/>
              </w:rPr>
              <w:t>41</w:t>
            </w:r>
          </w:p>
        </w:tc>
        <w:tc>
          <w:tcPr>
            <w:tcW w:w="2722"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fr-CH"/>
              </w:rPr>
            </w:pPr>
            <w:r>
              <w:rPr>
                <w:lang w:val="fr-CH"/>
              </w:rPr>
              <w:t>27</w:t>
            </w:r>
          </w:p>
        </w:tc>
      </w:tr>
      <w:tr w:rsidR="00B9359B">
        <w:tc>
          <w:tcPr>
            <w:tcW w:w="2722"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fr-CH"/>
              </w:rPr>
            </w:pPr>
            <w:r>
              <w:rPr>
                <w:lang w:val="fr-CH"/>
              </w:rPr>
              <w:t>56</w:t>
            </w:r>
          </w:p>
        </w:tc>
        <w:tc>
          <w:tcPr>
            <w:tcW w:w="2722"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fr-CH"/>
              </w:rPr>
            </w:pPr>
            <w:r>
              <w:rPr>
                <w:lang w:val="fr-CH"/>
              </w:rPr>
              <w:t>80</w:t>
            </w:r>
          </w:p>
        </w:tc>
        <w:tc>
          <w:tcPr>
            <w:tcW w:w="2722"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fr-CH"/>
              </w:rPr>
            </w:pPr>
            <w:r>
              <w:rPr>
                <w:lang w:val="fr-CH"/>
              </w:rPr>
              <w:t>52</w:t>
            </w:r>
          </w:p>
        </w:tc>
      </w:tr>
    </w:tbl>
    <w:p w:rsidR="00B9359B" w:rsidRDefault="00B9359B">
      <w:pPr>
        <w:pStyle w:val="Tablefin"/>
        <w:rPr>
          <w:lang w:val="fr-CH"/>
        </w:rPr>
      </w:pPr>
    </w:p>
    <w:p w:rsidR="00B9359B" w:rsidRDefault="009A5268">
      <w:pPr>
        <w:pStyle w:val="Heading1"/>
        <w:rPr>
          <w:lang w:val="fr-CH"/>
        </w:rPr>
      </w:pPr>
      <w:bookmarkStart w:id="508" w:name="_Toc51045908"/>
      <w:r>
        <w:rPr>
          <w:lang w:val="fr-CH"/>
        </w:rPr>
        <w:t>5</w:t>
      </w:r>
      <w:r>
        <w:rPr>
          <w:lang w:val="fr-CH"/>
        </w:rPr>
        <w:tab/>
        <w:t>Mitigation techniques</w:t>
      </w:r>
      <w:bookmarkEnd w:id="508"/>
    </w:p>
    <w:p w:rsidR="00B9359B" w:rsidRDefault="009A5268">
      <w:pPr>
        <w:pStyle w:val="Heading2"/>
        <w:rPr>
          <w:lang w:val="fr-CH"/>
        </w:rPr>
      </w:pPr>
      <w:bookmarkStart w:id="509" w:name="_Toc51045909"/>
      <w:r>
        <w:rPr>
          <w:lang w:val="fr-CH"/>
        </w:rPr>
        <w:t>5.1</w:t>
      </w:r>
      <w:r>
        <w:rPr>
          <w:lang w:val="fr-CH"/>
        </w:rPr>
        <w:tab/>
        <w:t>EESS (passive) service</w:t>
      </w:r>
      <w:bookmarkEnd w:id="509"/>
    </w:p>
    <w:p w:rsidR="00B9359B" w:rsidRDefault="009A5268">
      <w:pPr>
        <w:rPr>
          <w:lang w:val="en-US"/>
        </w:rPr>
      </w:pPr>
      <w:r>
        <w:rPr>
          <w:lang w:val="en-US"/>
        </w:rPr>
        <w:t>Recommendation ITU-R F.1520 provides channel arrangements for FS systems to be deployed in this band (see Fig. 60).</w:t>
      </w:r>
    </w:p>
    <w:p w:rsidR="00B9359B" w:rsidRDefault="009A5268">
      <w:pPr>
        <w:rPr>
          <w:lang w:val="en-US" w:eastAsia="fr-FR"/>
        </w:rPr>
      </w:pPr>
      <w:r>
        <w:rPr>
          <w:lang w:val="en-US" w:eastAsia="fr-FR"/>
        </w:rPr>
        <w:t xml:space="preserve">Table 93 provides the guardbands recommended in this channel arrangement and the difference with the required guardbands which were calculated in Annex 15, </w:t>
      </w:r>
      <w:r>
        <w:rPr>
          <w:lang w:val="en-US"/>
        </w:rPr>
        <w:t>dealing with compatibility between the EESS (passive) systems operating in the band 31.3-31.5 GHz and FS systems operating in the band 31-31.3 GHz</w:t>
      </w:r>
      <w:r>
        <w:rPr>
          <w:lang w:val="en-US" w:eastAsia="fr-FR"/>
        </w:rPr>
        <w:t>.</w:t>
      </w:r>
    </w:p>
    <w:p w:rsidR="00B9359B" w:rsidRDefault="009A5268">
      <w:pPr>
        <w:rPr>
          <w:lang w:val="en-US"/>
        </w:rPr>
      </w:pPr>
      <w:r>
        <w:rPr>
          <w:lang w:val="en-US"/>
        </w:rPr>
        <w:t>Then, for systems (which used more stringent mask for OoB emissions than those given in Recommendation ITU-R SM.1541 and meet limits given in Recommendation ITU-R SM.329 under Category B within the spurious domain), if a guardband of about 12 MHz is set up within the EESS allocated band, the protection of EESS systems will be ensured.</w:t>
      </w:r>
    </w:p>
    <w:p w:rsidR="00B9359B" w:rsidRDefault="009A5268">
      <w:pPr>
        <w:pStyle w:val="Heading2"/>
        <w:rPr>
          <w:lang w:val="en-US"/>
        </w:rPr>
      </w:pPr>
      <w:bookmarkStart w:id="510" w:name="_Toc51045910"/>
      <w:r>
        <w:rPr>
          <w:lang w:val="en-US"/>
        </w:rPr>
        <w:t>5.2</w:t>
      </w:r>
      <w:r>
        <w:rPr>
          <w:lang w:val="en-US"/>
        </w:rPr>
        <w:tab/>
        <w:t>FS</w:t>
      </w:r>
      <w:bookmarkEnd w:id="510"/>
    </w:p>
    <w:p w:rsidR="00B9359B" w:rsidRDefault="009A5268">
      <w:pPr>
        <w:rPr>
          <w:lang w:val="en-US"/>
        </w:rPr>
      </w:pPr>
      <w:r>
        <w:rPr>
          <w:lang w:val="en-US"/>
        </w:rPr>
        <w:t>The above calculations are based on the assumption that fixed service systems deployed in the band 31.8-33.4 GHz use more stringent mask for OoB emissions than those given in Recommen</w:t>
      </w:r>
      <w:r>
        <w:rPr>
          <w:lang w:val="en-US"/>
        </w:rPr>
        <w:softHyphen/>
        <w:t>dation ITU</w:t>
      </w:r>
      <w:r>
        <w:rPr>
          <w:lang w:val="en-US"/>
        </w:rPr>
        <w:noBreakHyphen/>
        <w:t>R SM.1541 and limits for spurious emissions given in Recommendation ITU</w:t>
      </w:r>
      <w:r>
        <w:rPr>
          <w:lang w:val="en-US"/>
        </w:rPr>
        <w:noBreakHyphen/>
        <w:t>R SM.329 (Category B).</w:t>
      </w:r>
    </w:p>
    <w:p w:rsidR="00B9359B" w:rsidRDefault="009A5268">
      <w:pPr>
        <w:rPr>
          <w:lang w:val="en-US"/>
        </w:rPr>
      </w:pPr>
      <w:r>
        <w:rPr>
          <w:lang w:val="en-US"/>
        </w:rPr>
        <w:t>Other mitigation techniques such as filtering may also be used to decrease the level of unwanted emissions from FS systems falling into the EESS band.</w:t>
      </w:r>
    </w:p>
    <w:p w:rsidR="00B9359B" w:rsidRDefault="009A5268">
      <w:pPr>
        <w:pStyle w:val="FigureNo"/>
        <w:rPr>
          <w:lang w:eastAsia="fr-FR"/>
        </w:rPr>
      </w:pPr>
      <w:r>
        <w:rPr>
          <w:lang w:val="en-US"/>
        </w:rPr>
        <w:br w:type="page"/>
      </w:r>
      <w:r>
        <w:rPr>
          <w:lang w:eastAsia="fr-FR"/>
        </w:rPr>
        <w:object w:dxaOrig="9692" w:dyaOrig="9500">
          <v:shape id="_x0000_i1096" type="#_x0000_t75" style="width:484.1pt;height:475pt" o:ole="">
            <v:imagedata r:id="rId126" o:title=""/>
          </v:shape>
          <o:OLEObject Type="Embed" ProgID="Designer.Drawing.7" ShapeID="_x0000_i1096" DrawAspect="Content" ObjectID="_1629894601" r:id="rId127"/>
        </w:object>
      </w:r>
    </w:p>
    <w:p w:rsidR="00B9359B" w:rsidRDefault="009A5268">
      <w:pPr>
        <w:pStyle w:val="TableNo"/>
        <w:rPr>
          <w:lang w:val="en-US"/>
        </w:rPr>
      </w:pPr>
      <w:r>
        <w:rPr>
          <w:lang w:val="en-US"/>
        </w:rPr>
        <w:t>TABLE  93</w:t>
      </w:r>
    </w:p>
    <w:p w:rsidR="00B9359B" w:rsidRDefault="009A5268">
      <w:pPr>
        <w:pStyle w:val="Tabletitle"/>
        <w:rPr>
          <w:lang w:val="en-US"/>
        </w:rPr>
      </w:pPr>
      <w:r>
        <w:rPr>
          <w:lang w:val="en-US"/>
        </w:rPr>
        <w:t>Comparison of the guardbands</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041"/>
        <w:gridCol w:w="2041"/>
        <w:gridCol w:w="2608"/>
        <w:gridCol w:w="1701"/>
      </w:tblGrid>
      <w:tr w:rsidR="00B9359B">
        <w:tc>
          <w:tcPr>
            <w:tcW w:w="2041" w:type="dxa"/>
            <w:vAlign w:val="center"/>
          </w:tcPr>
          <w:p w:rsidR="00B9359B" w:rsidRDefault="009A5268">
            <w:pPr>
              <w:pStyle w:val="Tablehead"/>
              <w:framePr w:hSpace="181" w:wrap="notBeside" w:vAnchor="text" w:hAnchor="text" w:xAlign="center" w:y="1"/>
              <w:rPr>
                <w:lang w:val="en-US"/>
              </w:rPr>
            </w:pPr>
            <w:r>
              <w:rPr>
                <w:lang w:val="en-US"/>
              </w:rPr>
              <w:t>Channel spacing (MHz)</w:t>
            </w:r>
          </w:p>
        </w:tc>
        <w:tc>
          <w:tcPr>
            <w:tcW w:w="2041" w:type="dxa"/>
            <w:vAlign w:val="center"/>
          </w:tcPr>
          <w:p w:rsidR="00B9359B" w:rsidRDefault="009A5268">
            <w:pPr>
              <w:pStyle w:val="Tablehead"/>
              <w:framePr w:hSpace="181" w:wrap="notBeside" w:vAnchor="text" w:hAnchor="text" w:xAlign="center" w:y="1"/>
              <w:rPr>
                <w:lang w:val="en-US"/>
              </w:rPr>
            </w:pPr>
            <w:r>
              <w:rPr>
                <w:lang w:val="en-US"/>
              </w:rPr>
              <w:t xml:space="preserve">Calculated guardband </w:t>
            </w:r>
            <w:r>
              <w:rPr>
                <w:lang w:val="en-US"/>
              </w:rPr>
              <w:br/>
              <w:t>(MHz)</w:t>
            </w:r>
          </w:p>
        </w:tc>
        <w:tc>
          <w:tcPr>
            <w:tcW w:w="2608" w:type="dxa"/>
            <w:vAlign w:val="center"/>
          </w:tcPr>
          <w:p w:rsidR="00B9359B" w:rsidRDefault="009A5268">
            <w:pPr>
              <w:pStyle w:val="Tablehead"/>
              <w:framePr w:hSpace="181" w:wrap="notBeside" w:vAnchor="text" w:hAnchor="text" w:xAlign="center" w:y="1"/>
              <w:rPr>
                <w:lang w:val="en-US"/>
              </w:rPr>
            </w:pPr>
            <w:r>
              <w:rPr>
                <w:lang w:val="en-US"/>
              </w:rPr>
              <w:t>Guardband included</w:t>
            </w:r>
            <w:r>
              <w:rPr>
                <w:lang w:val="en-US"/>
              </w:rPr>
              <w:br/>
              <w:t>in the plan</w:t>
            </w:r>
            <w:r>
              <w:rPr>
                <w:lang w:val="en-US"/>
              </w:rPr>
              <w:br/>
              <w:t>(MHz)</w:t>
            </w:r>
          </w:p>
        </w:tc>
        <w:tc>
          <w:tcPr>
            <w:tcW w:w="1701" w:type="dxa"/>
            <w:vAlign w:val="center"/>
          </w:tcPr>
          <w:p w:rsidR="00B9359B" w:rsidRDefault="009A5268">
            <w:pPr>
              <w:pStyle w:val="Tablehead"/>
              <w:framePr w:hSpace="181" w:wrap="notBeside" w:vAnchor="text" w:hAnchor="text" w:xAlign="center" w:y="1"/>
              <w:rPr>
                <w:lang w:val="en-US"/>
              </w:rPr>
            </w:pPr>
            <w:r>
              <w:rPr>
                <w:lang w:val="en-US"/>
              </w:rPr>
              <w:t xml:space="preserve">Difference </w:t>
            </w:r>
            <w:r>
              <w:rPr>
                <w:lang w:val="en-US"/>
              </w:rPr>
              <w:br/>
              <w:t>(MHz)</w:t>
            </w:r>
          </w:p>
        </w:tc>
      </w:tr>
      <w:tr w:rsidR="00B9359B">
        <w:tc>
          <w:tcPr>
            <w:tcW w:w="2041"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en-US"/>
              </w:rPr>
              <w:t>3.5</w:t>
            </w:r>
          </w:p>
        </w:tc>
        <w:tc>
          <w:tcPr>
            <w:tcW w:w="2041"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en-US"/>
              </w:rPr>
              <w:t>27</w:t>
            </w:r>
          </w:p>
        </w:tc>
        <w:tc>
          <w:tcPr>
            <w:tcW w:w="260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en-US"/>
              </w:rPr>
              <w:t>15</w:t>
            </w:r>
          </w:p>
        </w:tc>
        <w:tc>
          <w:tcPr>
            <w:tcW w:w="1701"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en-US"/>
              </w:rPr>
              <w:t>12</w:t>
            </w:r>
          </w:p>
        </w:tc>
      </w:tr>
      <w:tr w:rsidR="00B9359B">
        <w:tc>
          <w:tcPr>
            <w:tcW w:w="2041"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en-US"/>
              </w:rPr>
              <w:t>7</w:t>
            </w:r>
          </w:p>
        </w:tc>
        <w:tc>
          <w:tcPr>
            <w:tcW w:w="2041"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en-US"/>
              </w:rPr>
              <w:t>24</w:t>
            </w:r>
          </w:p>
        </w:tc>
        <w:tc>
          <w:tcPr>
            <w:tcW w:w="260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en-US"/>
              </w:rPr>
              <w:t>15</w:t>
            </w:r>
          </w:p>
        </w:tc>
        <w:tc>
          <w:tcPr>
            <w:tcW w:w="1701"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en-US"/>
              </w:rPr>
              <w:t>9</w:t>
            </w:r>
          </w:p>
        </w:tc>
      </w:tr>
      <w:tr w:rsidR="00B9359B">
        <w:tc>
          <w:tcPr>
            <w:tcW w:w="2041"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en-US"/>
              </w:rPr>
              <w:t>14</w:t>
            </w:r>
          </w:p>
        </w:tc>
        <w:tc>
          <w:tcPr>
            <w:tcW w:w="2041"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en-US"/>
              </w:rPr>
              <w:t>15</w:t>
            </w:r>
          </w:p>
        </w:tc>
        <w:tc>
          <w:tcPr>
            <w:tcW w:w="260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en-US"/>
              </w:rPr>
              <w:t>15</w:t>
            </w:r>
          </w:p>
        </w:tc>
        <w:tc>
          <w:tcPr>
            <w:tcW w:w="1701"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en-US"/>
              </w:rPr>
              <w:t>0</w:t>
            </w:r>
          </w:p>
        </w:tc>
      </w:tr>
      <w:tr w:rsidR="00B9359B">
        <w:tc>
          <w:tcPr>
            <w:tcW w:w="2041"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en-US"/>
              </w:rPr>
              <w:t>28</w:t>
            </w:r>
          </w:p>
        </w:tc>
        <w:tc>
          <w:tcPr>
            <w:tcW w:w="2041"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en-US"/>
              </w:rPr>
              <w:t>27</w:t>
            </w:r>
          </w:p>
        </w:tc>
        <w:tc>
          <w:tcPr>
            <w:tcW w:w="260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en-US"/>
              </w:rPr>
              <w:t>15</w:t>
            </w:r>
          </w:p>
        </w:tc>
        <w:tc>
          <w:tcPr>
            <w:tcW w:w="1701"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en-US"/>
              </w:rPr>
              <w:t>12</w:t>
            </w:r>
          </w:p>
        </w:tc>
      </w:tr>
      <w:tr w:rsidR="00B9359B">
        <w:tc>
          <w:tcPr>
            <w:tcW w:w="2041"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en-US"/>
              </w:rPr>
              <w:t>56</w:t>
            </w:r>
          </w:p>
        </w:tc>
        <w:tc>
          <w:tcPr>
            <w:tcW w:w="2041"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en-US"/>
              </w:rPr>
              <w:t>52</w:t>
            </w:r>
          </w:p>
        </w:tc>
        <w:tc>
          <w:tcPr>
            <w:tcW w:w="2608"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en-US"/>
              </w:rPr>
              <w:t>71</w:t>
            </w:r>
          </w:p>
        </w:tc>
        <w:tc>
          <w:tcPr>
            <w:tcW w:w="1701" w:type="dxa"/>
          </w:tcPr>
          <w:p w:rsidR="00B9359B" w:rsidRDefault="009A526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en-US"/>
              </w:rPr>
              <w:t>–19</w:t>
            </w:r>
          </w:p>
        </w:tc>
      </w:tr>
    </w:tbl>
    <w:p w:rsidR="00B9359B" w:rsidRDefault="00B9359B">
      <w:pPr>
        <w:pStyle w:val="Tablefin"/>
        <w:spacing w:before="0"/>
      </w:pPr>
    </w:p>
    <w:p w:rsidR="00B9359B" w:rsidRDefault="009A5268">
      <w:pPr>
        <w:pStyle w:val="Heading2"/>
        <w:rPr>
          <w:lang w:val="en-US"/>
        </w:rPr>
      </w:pPr>
      <w:bookmarkStart w:id="511" w:name="_Toc51045911"/>
      <w:r>
        <w:rPr>
          <w:lang w:val="en-US"/>
        </w:rPr>
        <w:br w:type="page"/>
        <w:t>5.3</w:t>
      </w:r>
      <w:r>
        <w:rPr>
          <w:lang w:val="en-US"/>
        </w:rPr>
        <w:tab/>
        <w:t>Impact of mitigation techniques</w:t>
      </w:r>
      <w:bookmarkEnd w:id="511"/>
    </w:p>
    <w:p w:rsidR="00B9359B" w:rsidRDefault="009A5268">
      <w:pPr>
        <w:pStyle w:val="Heading3"/>
        <w:rPr>
          <w:lang w:val="en-US"/>
        </w:rPr>
      </w:pPr>
      <w:bookmarkStart w:id="512" w:name="_Toc51045912"/>
      <w:r>
        <w:rPr>
          <w:lang w:val="en-US"/>
        </w:rPr>
        <w:t>5.3.1</w:t>
      </w:r>
      <w:r>
        <w:rPr>
          <w:lang w:val="en-US"/>
        </w:rPr>
        <w:tab/>
        <w:t>EESS</w:t>
      </w:r>
      <w:bookmarkEnd w:id="512"/>
    </w:p>
    <w:p w:rsidR="00B9359B" w:rsidRDefault="009A5268">
      <w:pPr>
        <w:rPr>
          <w:lang w:val="en-US"/>
        </w:rPr>
      </w:pPr>
      <w:r>
        <w:rPr>
          <w:lang w:val="en-US"/>
        </w:rPr>
        <w:t>Since:</w:t>
      </w:r>
    </w:p>
    <w:p w:rsidR="00B9359B" w:rsidRDefault="009A5268">
      <w:pPr>
        <w:pStyle w:val="enumlev1"/>
        <w:rPr>
          <w:lang w:val="en-US"/>
        </w:rPr>
      </w:pPr>
      <w:r>
        <w:rPr>
          <w:lang w:val="en-US"/>
        </w:rPr>
        <w:t>–</w:t>
      </w:r>
      <w:r>
        <w:rPr>
          <w:lang w:val="en-US"/>
        </w:rPr>
        <w:tab/>
        <w:t>to satisfy the requirements of EESS system in terms of checking the quality of the measurements conducted in the band 31.3-31.5 GHz (more than 200 MHz are available in the band 31.5-31.8 GHz);</w:t>
      </w:r>
    </w:p>
    <w:p w:rsidR="00B9359B" w:rsidRDefault="009A5268">
      <w:pPr>
        <w:pStyle w:val="enumlev1"/>
        <w:rPr>
          <w:b/>
          <w:lang w:val="en-US"/>
        </w:rPr>
      </w:pPr>
      <w:r>
        <w:rPr>
          <w:lang w:val="en-US"/>
        </w:rPr>
        <w:t>–</w:t>
      </w:r>
      <w:r>
        <w:rPr>
          <w:lang w:val="en-US"/>
        </w:rPr>
        <w:tab/>
        <w:t>to obtain an accuracy better than 0.2 K, since more than 416 MHz are available for measurements,</w:t>
      </w:r>
    </w:p>
    <w:p w:rsidR="00B9359B" w:rsidRDefault="009A5268">
      <w:pPr>
        <w:rPr>
          <w:lang w:val="en-US"/>
        </w:rPr>
      </w:pPr>
      <w:r>
        <w:rPr>
          <w:lang w:val="en-US"/>
        </w:rPr>
        <w:t>the implementation of a 12 MHz in the upper part of the EESS band 31.5-31.8 GHz may have no impact of the operation of EESS sensors.</w:t>
      </w:r>
    </w:p>
    <w:p w:rsidR="00B9359B" w:rsidRDefault="009A5268">
      <w:pPr>
        <w:rPr>
          <w:lang w:val="en-US"/>
        </w:rPr>
      </w:pPr>
      <w:r>
        <w:rPr>
          <w:lang w:val="en-US"/>
        </w:rPr>
        <w:t>If FS systems do not implement mitigations techniques described in § 5.2, then the required guard</w:t>
      </w:r>
      <w:r>
        <w:rPr>
          <w:lang w:val="en-US"/>
        </w:rPr>
        <w:softHyphen/>
        <w:t>band will be larger and this may affect the operation of the EESS sensor.</w:t>
      </w:r>
    </w:p>
    <w:p w:rsidR="00B9359B" w:rsidRDefault="009A5268">
      <w:pPr>
        <w:pStyle w:val="Heading3"/>
        <w:rPr>
          <w:lang w:val="en-US"/>
        </w:rPr>
      </w:pPr>
      <w:bookmarkStart w:id="513" w:name="_Toc51045913"/>
      <w:r>
        <w:rPr>
          <w:lang w:val="en-US"/>
        </w:rPr>
        <w:t>5.3.2</w:t>
      </w:r>
      <w:r>
        <w:rPr>
          <w:lang w:val="en-US"/>
        </w:rPr>
        <w:tab/>
        <w:t>FS</w:t>
      </w:r>
      <w:bookmarkEnd w:id="513"/>
    </w:p>
    <w:p w:rsidR="00B9359B" w:rsidRDefault="009A5268">
      <w:pPr>
        <w:rPr>
          <w:b/>
          <w:lang w:val="en-US"/>
        </w:rPr>
      </w:pPr>
      <w:r>
        <w:rPr>
          <w:lang w:val="en-US"/>
        </w:rPr>
        <w:t>If the FS systems implement more stringent limits for unwanted emissions than those given in Recommendation ITU-R SM.1541 within OoB domain, as well as Category B limit given in Recommendation ITU-R SM.329, then the impact has yet to be determined for FS in countries that do not follow such limits. If the FS implements other techniques, then the impact of those techniques needs to be determined as well.</w:t>
      </w:r>
    </w:p>
    <w:p w:rsidR="00B9359B" w:rsidRDefault="009A5268">
      <w:pPr>
        <w:pStyle w:val="Heading1"/>
        <w:rPr>
          <w:lang w:val="en-US"/>
        </w:rPr>
      </w:pPr>
      <w:bookmarkStart w:id="514" w:name="_Toc51045914"/>
      <w:r>
        <w:rPr>
          <w:lang w:val="en-US"/>
        </w:rPr>
        <w:t>6</w:t>
      </w:r>
      <w:r>
        <w:rPr>
          <w:lang w:val="en-US"/>
        </w:rPr>
        <w:tab/>
        <w:t>Results of studies</w:t>
      </w:r>
      <w:bookmarkEnd w:id="514"/>
    </w:p>
    <w:p w:rsidR="00B9359B" w:rsidRDefault="009A5268">
      <w:pPr>
        <w:pStyle w:val="Heading2"/>
        <w:rPr>
          <w:lang w:val="en-US" w:eastAsia="fr-FR"/>
        </w:rPr>
      </w:pPr>
      <w:bookmarkStart w:id="515" w:name="_Toc51045915"/>
      <w:r>
        <w:rPr>
          <w:lang w:val="en-US" w:eastAsia="fr-FR"/>
        </w:rPr>
        <w:t>6.1</w:t>
      </w:r>
      <w:r>
        <w:rPr>
          <w:lang w:val="en-US" w:eastAsia="fr-FR"/>
        </w:rPr>
        <w:tab/>
        <w:t>Summary</w:t>
      </w:r>
      <w:bookmarkEnd w:id="515"/>
    </w:p>
    <w:p w:rsidR="00B9359B" w:rsidRDefault="009A5268">
      <w:pPr>
        <w:rPr>
          <w:lang w:val="en-US" w:eastAsia="fr-FR"/>
        </w:rPr>
      </w:pPr>
      <w:r>
        <w:rPr>
          <w:lang w:val="en-US" w:eastAsia="fr-FR"/>
        </w:rPr>
        <w:t>The analysis conducted in the previous sections shows that the guardband, which is currently included in the channels arrangements provided in Recommendation ITU-R F.1520 may not be sufficient to reduce the levels of unwanted emissions from FS systems in the band 31.8</w:t>
      </w:r>
      <w:r>
        <w:rPr>
          <w:lang w:val="en-US" w:eastAsia="fr-FR"/>
        </w:rPr>
        <w:noBreakHyphen/>
        <w:t>33.4 GHz to the levels required to meet the EESS protection criteria.</w:t>
      </w:r>
    </w:p>
    <w:p w:rsidR="00B9359B" w:rsidRDefault="009A5268">
      <w:pPr>
        <w:rPr>
          <w:lang w:val="en-US" w:eastAsia="fr-FR"/>
        </w:rPr>
      </w:pPr>
      <w:r>
        <w:rPr>
          <w:lang w:val="en-US" w:eastAsia="fr-FR"/>
        </w:rPr>
        <w:t xml:space="preserve">The EESS designers may consider the possibility of including a guardband </w:t>
      </w:r>
      <w:r>
        <w:rPr>
          <w:lang w:val="en-US"/>
        </w:rPr>
        <w:t>in the upper part of</w:t>
      </w:r>
      <w:r>
        <w:rPr>
          <w:lang w:val="en-US" w:eastAsia="fr-FR"/>
        </w:rPr>
        <w:t xml:space="preserve"> the EESS band 31.5</w:t>
      </w:r>
      <w:r>
        <w:rPr>
          <w:lang w:val="en-US" w:eastAsia="fr-FR"/>
        </w:rPr>
        <w:noBreakHyphen/>
        <w:t>31.8 GHz when designing EESS systems so that the protection of EESS measurements may be ensured. The suitability and applicability of the mitigation techniques in this comprehensive study need to be further investigated.</w:t>
      </w:r>
    </w:p>
    <w:p w:rsidR="00B9359B" w:rsidRDefault="009A5268">
      <w:pPr>
        <w:pStyle w:val="Heading2"/>
        <w:rPr>
          <w:lang w:val="en-US" w:eastAsia="fr-FR"/>
        </w:rPr>
      </w:pPr>
      <w:bookmarkStart w:id="516" w:name="_Toc51045916"/>
      <w:r>
        <w:rPr>
          <w:lang w:val="en-US" w:eastAsia="fr-FR"/>
        </w:rPr>
        <w:t>6.2</w:t>
      </w:r>
      <w:r>
        <w:rPr>
          <w:lang w:val="en-US" w:eastAsia="fr-FR"/>
        </w:rPr>
        <w:tab/>
        <w:t>Conclusion</w:t>
      </w:r>
      <w:bookmarkEnd w:id="516"/>
    </w:p>
    <w:p w:rsidR="00B9359B" w:rsidRDefault="009A5268">
      <w:pPr>
        <w:rPr>
          <w:lang w:val="en-US"/>
        </w:rPr>
      </w:pPr>
      <w:r>
        <w:rPr>
          <w:lang w:val="en-US"/>
        </w:rPr>
        <w:t>Considering FS systems that comply with a more stringent mask for unwanted emissions than those laid out in Recommendation ITU-R SM.1541 and RR Appendix 3, and by taking into account the channel arrangements for fixed service systems in this band (Recommendation ITU-R F.1520), protection of the EESS (passive) may be assured when the EESS (passive) system would include a guardband of at least 12 MHz at the 31.8 GHz band edge. If FS systems cannot comply with the above conditions, much larger guardbands at the band edge would be required to ensure compatibility.</w:t>
      </w:r>
    </w:p>
    <w:p w:rsidR="00B9359B" w:rsidRDefault="009A5268">
      <w:pPr>
        <w:pStyle w:val="AnnexNoTitle"/>
        <w:rPr>
          <w:lang w:val="en-US"/>
        </w:rPr>
      </w:pPr>
      <w:r>
        <w:rPr>
          <w:lang w:val="en-US"/>
        </w:rPr>
        <w:br w:type="page"/>
        <w:t xml:space="preserve">Annex 17 </w:t>
      </w:r>
      <w:r>
        <w:rPr>
          <w:lang w:val="en-US"/>
        </w:rPr>
        <w:br/>
      </w:r>
      <w:r>
        <w:rPr>
          <w:lang w:val="en-US"/>
        </w:rPr>
        <w:br/>
        <w:t>Compatibility between the EESS (passive) in the 31.5-31.8 GHz band</w:t>
      </w:r>
      <w:r>
        <w:rPr>
          <w:lang w:val="en-US"/>
        </w:rPr>
        <w:br/>
        <w:t>and radionavigation systems operating in the 31.8-33.4 GHz band</w:t>
      </w:r>
    </w:p>
    <w:p w:rsidR="00B9359B" w:rsidRDefault="009A5268">
      <w:pPr>
        <w:pStyle w:val="Heading1"/>
        <w:rPr>
          <w:lang w:val="en-US"/>
        </w:rPr>
      </w:pPr>
      <w:bookmarkStart w:id="517" w:name="_Toc51045917"/>
      <w:r>
        <w:rPr>
          <w:lang w:val="en-US"/>
        </w:rPr>
        <w:t>1</w:t>
      </w:r>
      <w:r>
        <w:rPr>
          <w:lang w:val="en-US"/>
        </w:rPr>
        <w:tab/>
        <w:t>EESS (passive)</w:t>
      </w:r>
      <w:bookmarkEnd w:id="517"/>
    </w:p>
    <w:p w:rsidR="00B9359B" w:rsidRDefault="009A5268">
      <w:pPr>
        <w:pStyle w:val="Heading2"/>
        <w:rPr>
          <w:lang w:val="en-US"/>
        </w:rPr>
      </w:pPr>
      <w:bookmarkStart w:id="518" w:name="_Toc51045918"/>
      <w:r>
        <w:rPr>
          <w:lang w:val="en-US"/>
        </w:rPr>
        <w:t>1.1</w:t>
      </w:r>
      <w:r>
        <w:rPr>
          <w:lang w:val="en-US"/>
        </w:rPr>
        <w:tab/>
        <w:t>Allocated band</w:t>
      </w:r>
      <w:bookmarkEnd w:id="518"/>
    </w:p>
    <w:p w:rsidR="00B9359B" w:rsidRDefault="009A5268">
      <w:pPr>
        <w:rPr>
          <w:lang w:val="en-US"/>
        </w:rPr>
      </w:pPr>
      <w:r>
        <w:rPr>
          <w:lang w:val="en-US"/>
        </w:rPr>
        <w:t>The 31.8-33.4 GHz band is allocated to radionavigation service and this band is adjacent to the 31.5-31.8 GHz band allocated to the EESS (passive). This Annex provides calculations of levels of unwanted emissions from radionavigation system operating above 31.8 GHz that may fall within the 31.5-31.8 GHz band.</w:t>
      </w:r>
    </w:p>
    <w:p w:rsidR="00B9359B" w:rsidRDefault="009A5268">
      <w:pPr>
        <w:rPr>
          <w:lang w:val="en-US"/>
        </w:rPr>
      </w:pPr>
      <w:r>
        <w:rPr>
          <w:lang w:val="en-US"/>
        </w:rPr>
        <w:t>The allocations adjacent to the 31.5-31.8 GHz passive bands are shown in Table 94.</w:t>
      </w:r>
    </w:p>
    <w:p w:rsidR="00B9359B" w:rsidRDefault="009A5268">
      <w:pPr>
        <w:pStyle w:val="TableNo"/>
        <w:rPr>
          <w:lang w:val="en-US"/>
        </w:rPr>
      </w:pPr>
      <w:r>
        <w:rPr>
          <w:lang w:val="en-US"/>
        </w:rPr>
        <w:t>TABLE  94</w:t>
      </w:r>
    </w:p>
    <w:p w:rsidR="00B9359B" w:rsidRDefault="009A5268">
      <w:pPr>
        <w:pStyle w:val="Tabletitle"/>
        <w:rPr>
          <w:lang w:val="en-US"/>
        </w:rPr>
      </w:pPr>
      <w:r>
        <w:rPr>
          <w:lang w:val="en-US"/>
        </w:rPr>
        <w:t>Adjacent band allocations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59"/>
        <w:gridCol w:w="3544"/>
        <w:gridCol w:w="2835"/>
      </w:tblGrid>
      <w:tr w:rsidR="00B9359B" w:rsidRPr="00D35B94">
        <w:tc>
          <w:tcPr>
            <w:tcW w:w="3059" w:type="dxa"/>
            <w:vAlign w:val="center"/>
          </w:tcPr>
          <w:p w:rsidR="00B9359B" w:rsidRDefault="009A5268">
            <w:pPr>
              <w:pStyle w:val="Tablehead"/>
              <w:framePr w:hSpace="181" w:wrap="notBeside" w:vAnchor="text" w:hAnchor="text" w:xAlign="center" w:y="1"/>
              <w:rPr>
                <w:lang w:val="en-US"/>
              </w:rPr>
            </w:pPr>
            <w:r>
              <w:rPr>
                <w:lang w:val="en-US"/>
              </w:rPr>
              <w:t xml:space="preserve">Services in lower </w:t>
            </w:r>
            <w:r>
              <w:rPr>
                <w:lang w:val="en-US"/>
              </w:rPr>
              <w:br/>
              <w:t>allocated band</w:t>
            </w:r>
          </w:p>
        </w:tc>
        <w:tc>
          <w:tcPr>
            <w:tcW w:w="3544" w:type="dxa"/>
            <w:vAlign w:val="center"/>
          </w:tcPr>
          <w:p w:rsidR="00B9359B" w:rsidRDefault="009A5268">
            <w:pPr>
              <w:pStyle w:val="Tablehead"/>
              <w:framePr w:hSpace="181" w:wrap="notBeside" w:vAnchor="text" w:hAnchor="text" w:xAlign="center" w:y="1"/>
              <w:rPr>
                <w:lang w:val="en-US"/>
              </w:rPr>
            </w:pPr>
            <w:r>
              <w:rPr>
                <w:lang w:val="en-US"/>
              </w:rPr>
              <w:t>Passive band</w:t>
            </w:r>
          </w:p>
        </w:tc>
        <w:tc>
          <w:tcPr>
            <w:tcW w:w="2835" w:type="dxa"/>
            <w:vAlign w:val="center"/>
          </w:tcPr>
          <w:p w:rsidR="00B9359B" w:rsidRDefault="009A5268">
            <w:pPr>
              <w:pStyle w:val="Tablehead"/>
              <w:framePr w:hSpace="181" w:wrap="notBeside" w:vAnchor="text" w:hAnchor="text" w:xAlign="center" w:y="1"/>
              <w:rPr>
                <w:lang w:val="en-US"/>
              </w:rPr>
            </w:pPr>
            <w:r>
              <w:rPr>
                <w:lang w:val="en-US"/>
              </w:rPr>
              <w:t xml:space="preserve">Services in upper </w:t>
            </w:r>
            <w:r>
              <w:rPr>
                <w:lang w:val="en-US"/>
              </w:rPr>
              <w:br/>
              <w:t>allocated band</w:t>
            </w:r>
          </w:p>
        </w:tc>
      </w:tr>
      <w:tr w:rsidR="00B9359B">
        <w:tc>
          <w:tcPr>
            <w:tcW w:w="3059" w:type="dxa"/>
          </w:tcPr>
          <w:p w:rsidR="00B9359B" w:rsidRDefault="009A5268">
            <w:pPr>
              <w:pStyle w:val="Tablehead"/>
              <w:framePr w:hSpace="181" w:wrap="notBeside" w:vAnchor="text" w:hAnchor="text" w:xAlign="center" w:y="1"/>
              <w:rPr>
                <w:lang w:val="en-US"/>
              </w:rPr>
            </w:pPr>
            <w:r>
              <w:rPr>
                <w:lang w:val="en-US"/>
              </w:rPr>
              <w:t>31.3-31.5 GHz</w:t>
            </w:r>
          </w:p>
        </w:tc>
        <w:tc>
          <w:tcPr>
            <w:tcW w:w="3544" w:type="dxa"/>
          </w:tcPr>
          <w:p w:rsidR="00B9359B" w:rsidRDefault="009A5268">
            <w:pPr>
              <w:pStyle w:val="Tablehead"/>
              <w:framePr w:hSpace="181" w:wrap="notBeside" w:vAnchor="text" w:hAnchor="text" w:xAlign="center" w:y="1"/>
              <w:rPr>
                <w:lang w:val="en-US"/>
              </w:rPr>
            </w:pPr>
            <w:r>
              <w:rPr>
                <w:lang w:val="en-US"/>
              </w:rPr>
              <w:t>31.5-31.8 GHz</w:t>
            </w:r>
          </w:p>
        </w:tc>
        <w:tc>
          <w:tcPr>
            <w:tcW w:w="2835" w:type="dxa"/>
          </w:tcPr>
          <w:p w:rsidR="00B9359B" w:rsidRDefault="009A5268">
            <w:pPr>
              <w:pStyle w:val="Tablehead"/>
              <w:framePr w:hSpace="181" w:wrap="notBeside" w:vAnchor="text" w:hAnchor="text" w:xAlign="center" w:y="1"/>
              <w:rPr>
                <w:lang w:val="en-US"/>
              </w:rPr>
            </w:pPr>
            <w:r>
              <w:rPr>
                <w:lang w:val="en-US"/>
              </w:rPr>
              <w:t>31.8-32 GHz</w:t>
            </w:r>
          </w:p>
        </w:tc>
      </w:tr>
      <w:tr w:rsidR="00B9359B" w:rsidRPr="00D35B94">
        <w:tc>
          <w:tcPr>
            <w:tcW w:w="3059" w:type="dxa"/>
          </w:tcPr>
          <w:p w:rsidR="00B9359B" w:rsidRDefault="009A5268">
            <w:pPr>
              <w:pStyle w:val="Tabletext"/>
              <w:framePr w:hSpace="181" w:wrap="notBeside" w:vAnchor="text" w:hAnchor="text" w:xAlign="center" w:y="1"/>
              <w:spacing w:before="60" w:after="60"/>
              <w:jc w:val="left"/>
              <w:rPr>
                <w:lang w:val="en-US"/>
              </w:rPr>
            </w:pPr>
            <w:r>
              <w:rPr>
                <w:lang w:val="en-US"/>
              </w:rPr>
              <w:t>EARTH  EXPLORATION-SATELLITE (passive)</w:t>
            </w:r>
          </w:p>
          <w:p w:rsidR="00B9359B" w:rsidRDefault="009A5268">
            <w:pPr>
              <w:pStyle w:val="Tabletext"/>
              <w:framePr w:hSpace="181" w:wrap="notBeside" w:vAnchor="text" w:hAnchor="text" w:xAlign="center" w:y="1"/>
              <w:spacing w:before="60" w:after="60"/>
              <w:jc w:val="left"/>
              <w:rPr>
                <w:lang w:val="en-US"/>
              </w:rPr>
            </w:pPr>
            <w:r>
              <w:rPr>
                <w:lang w:val="en-US"/>
              </w:rPr>
              <w:t>RADIO  ASTRONOMY</w:t>
            </w:r>
          </w:p>
          <w:p w:rsidR="00B9359B" w:rsidRDefault="009A5268">
            <w:pPr>
              <w:pStyle w:val="Tabletext"/>
              <w:framePr w:hSpace="181" w:wrap="notBeside" w:vAnchor="text" w:hAnchor="text" w:xAlign="center" w:y="1"/>
              <w:spacing w:before="60" w:after="60"/>
              <w:jc w:val="left"/>
              <w:rPr>
                <w:lang w:val="en-US"/>
              </w:rPr>
            </w:pPr>
            <w:r>
              <w:rPr>
                <w:lang w:val="en-US"/>
              </w:rPr>
              <w:t>SPACE  RESEARCH (passive)</w:t>
            </w:r>
          </w:p>
        </w:tc>
        <w:tc>
          <w:tcPr>
            <w:tcW w:w="3544" w:type="dxa"/>
          </w:tcPr>
          <w:p w:rsidR="00B9359B" w:rsidRDefault="009A5268">
            <w:pPr>
              <w:pStyle w:val="Tabletext"/>
              <w:framePr w:hSpace="181" w:wrap="notBeside" w:vAnchor="text" w:hAnchor="text" w:xAlign="center" w:y="1"/>
              <w:spacing w:before="60" w:after="60"/>
              <w:jc w:val="left"/>
              <w:rPr>
                <w:lang w:val="en-US"/>
              </w:rPr>
            </w:pPr>
            <w:r>
              <w:rPr>
                <w:lang w:val="en-US"/>
              </w:rPr>
              <w:t>EARTH  EXPLORATION-SATELLITE (passive)</w:t>
            </w:r>
          </w:p>
          <w:p w:rsidR="00B9359B" w:rsidRDefault="009A5268">
            <w:pPr>
              <w:pStyle w:val="Tabletext"/>
              <w:framePr w:hSpace="181" w:wrap="notBeside" w:vAnchor="text" w:hAnchor="text" w:xAlign="center" w:y="1"/>
              <w:spacing w:before="60" w:after="60"/>
              <w:jc w:val="left"/>
              <w:rPr>
                <w:lang w:val="en-US"/>
              </w:rPr>
            </w:pPr>
            <w:r>
              <w:rPr>
                <w:lang w:val="en-US"/>
              </w:rPr>
              <w:t>RADIO  ASTRONOMY</w:t>
            </w:r>
          </w:p>
          <w:p w:rsidR="00B9359B" w:rsidRDefault="009A5268">
            <w:pPr>
              <w:pStyle w:val="Tabletext"/>
              <w:framePr w:hSpace="181" w:wrap="notBeside" w:vAnchor="text" w:hAnchor="text" w:xAlign="center" w:y="1"/>
              <w:spacing w:before="60" w:after="60"/>
              <w:jc w:val="left"/>
              <w:rPr>
                <w:lang w:val="en-US"/>
              </w:rPr>
            </w:pPr>
            <w:r>
              <w:rPr>
                <w:lang w:val="en-US"/>
              </w:rPr>
              <w:t>SPACE RESEARCH (passive)</w:t>
            </w:r>
          </w:p>
          <w:p w:rsidR="00B9359B" w:rsidRDefault="009A5268">
            <w:pPr>
              <w:pStyle w:val="Tabletext"/>
              <w:framePr w:hSpace="181" w:wrap="notBeside" w:vAnchor="text" w:hAnchor="text" w:xAlign="center" w:y="1"/>
              <w:spacing w:before="60" w:after="60"/>
              <w:jc w:val="left"/>
              <w:rPr>
                <w:lang w:val="en-US"/>
              </w:rPr>
            </w:pPr>
            <w:r>
              <w:rPr>
                <w:lang w:val="en-US"/>
              </w:rPr>
              <w:t>Fixed (Regions 1 and 3)</w:t>
            </w:r>
          </w:p>
          <w:p w:rsidR="00B9359B" w:rsidRDefault="009A5268">
            <w:pPr>
              <w:pStyle w:val="Tabletext"/>
              <w:framePr w:hSpace="181" w:wrap="notBeside" w:vAnchor="text" w:hAnchor="text" w:xAlign="center" w:y="1"/>
              <w:spacing w:before="60" w:after="60"/>
              <w:jc w:val="left"/>
              <w:rPr>
                <w:lang w:val="en-US"/>
              </w:rPr>
            </w:pPr>
            <w:r>
              <w:rPr>
                <w:lang w:val="en-US"/>
              </w:rPr>
              <w:t>Mobile except aeronautical mobile (Regions 1 and 3)</w:t>
            </w:r>
          </w:p>
        </w:tc>
        <w:tc>
          <w:tcPr>
            <w:tcW w:w="2835" w:type="dxa"/>
          </w:tcPr>
          <w:p w:rsidR="00B9359B" w:rsidRDefault="009A5268">
            <w:pPr>
              <w:pStyle w:val="Tabletext"/>
              <w:framePr w:hSpace="181" w:wrap="notBeside" w:vAnchor="text" w:hAnchor="text" w:xAlign="center" w:y="1"/>
              <w:spacing w:before="60" w:after="60"/>
              <w:jc w:val="left"/>
              <w:rPr>
                <w:lang w:val="en-US"/>
              </w:rPr>
            </w:pPr>
            <w:r>
              <w:rPr>
                <w:lang w:val="en-US"/>
              </w:rPr>
              <w:t>FIXED</w:t>
            </w:r>
          </w:p>
          <w:p w:rsidR="00B9359B" w:rsidRDefault="009A5268">
            <w:pPr>
              <w:pStyle w:val="Tabletext"/>
              <w:framePr w:hSpace="181" w:wrap="notBeside" w:vAnchor="text" w:hAnchor="text" w:xAlign="center" w:y="1"/>
              <w:spacing w:before="60" w:after="60"/>
              <w:jc w:val="left"/>
              <w:rPr>
                <w:lang w:val="en-US"/>
              </w:rPr>
            </w:pPr>
            <w:r>
              <w:rPr>
                <w:lang w:val="en-US"/>
              </w:rPr>
              <w:t>RADIONAVIGATION</w:t>
            </w:r>
          </w:p>
          <w:p w:rsidR="00B9359B" w:rsidRDefault="009A5268">
            <w:pPr>
              <w:pStyle w:val="Tabletext"/>
              <w:framePr w:hSpace="181" w:wrap="notBeside" w:vAnchor="text" w:hAnchor="text" w:xAlign="center" w:y="1"/>
              <w:spacing w:before="60" w:after="60"/>
              <w:jc w:val="left"/>
              <w:rPr>
                <w:lang w:val="en-US"/>
              </w:rPr>
            </w:pPr>
            <w:r>
              <w:rPr>
                <w:lang w:val="en-US"/>
              </w:rPr>
              <w:t>SPACE  RESEARCH</w:t>
            </w:r>
            <w:r>
              <w:rPr>
                <w:lang w:val="en-US"/>
              </w:rPr>
              <w:br/>
              <w:t>(deep space) (space-to-Earth)</w:t>
            </w:r>
          </w:p>
        </w:tc>
      </w:tr>
    </w:tbl>
    <w:p w:rsidR="00B9359B" w:rsidRDefault="00B9359B">
      <w:pPr>
        <w:pStyle w:val="Tablefin"/>
      </w:pPr>
    </w:p>
    <w:p w:rsidR="00B9359B" w:rsidRDefault="009A5268">
      <w:pPr>
        <w:pStyle w:val="Heading2"/>
        <w:rPr>
          <w:lang w:val="en-US"/>
        </w:rPr>
      </w:pPr>
      <w:bookmarkStart w:id="519" w:name="_Toc51045919"/>
      <w:r>
        <w:rPr>
          <w:lang w:val="en-US"/>
        </w:rPr>
        <w:t>1.2</w:t>
      </w:r>
      <w:r>
        <w:rPr>
          <w:lang w:val="en-US"/>
        </w:rPr>
        <w:tab/>
        <w:t>Application</w:t>
      </w:r>
      <w:bookmarkEnd w:id="519"/>
    </w:p>
    <w:p w:rsidR="00B9359B" w:rsidRDefault="009A5268">
      <w:pPr>
        <w:rPr>
          <w:lang w:val="en-US"/>
        </w:rPr>
      </w:pPr>
      <w:r>
        <w:rPr>
          <w:lang w:val="en-US"/>
        </w:rPr>
        <w:t>This band is one of the bands used for close-to-nadir atmospheric sounding in conjunction with bands such as 23.8 GHz and 50.3 GHz for the characterization of each layer of the Earth’s atmosphere.</w:t>
      </w:r>
    </w:p>
    <w:p w:rsidR="00B9359B" w:rsidRDefault="009A5268">
      <w:pPr>
        <w:rPr>
          <w:lang w:val="en-US" w:eastAsia="fr-FR"/>
        </w:rPr>
      </w:pPr>
      <w:r>
        <w:rPr>
          <w:lang w:val="en-US" w:eastAsia="fr-FR"/>
        </w:rPr>
        <w:t xml:space="preserve">In the band 31 GHz, a 416 MHz bandwidth </w:t>
      </w:r>
      <w:r>
        <w:rPr>
          <w:lang w:val="en-US"/>
        </w:rPr>
        <w:t>is</w:t>
      </w:r>
      <w:r>
        <w:rPr>
          <w:lang w:val="en-US" w:eastAsia="fr-FR"/>
        </w:rPr>
        <w:t xml:space="preserve"> required to get 0.2 K of accuracy in the 31 GHz band. That means the passive microwave users community needs to protect both the 31.3-31.5 GHz band and the 31.5-31.8 GHz band.</w:t>
      </w:r>
    </w:p>
    <w:p w:rsidR="00B9359B" w:rsidRDefault="009A5268">
      <w:pPr>
        <w:rPr>
          <w:lang w:val="en-US"/>
        </w:rPr>
      </w:pPr>
      <w:r>
        <w:rPr>
          <w:lang w:val="en-US"/>
        </w:rPr>
        <w:t>This band will also be used in conjunction with the band 31.3-31.5 GHz as a “split window”. A comparison can be made of the measurements conducted in the two sub-bands to check the quality of the data. This will then allow using the full band when the quality is expected to be good to increase the sensitivity of the sensor.</w:t>
      </w:r>
    </w:p>
    <w:p w:rsidR="00B9359B" w:rsidRDefault="009A5268">
      <w:pPr>
        <w:pStyle w:val="Heading2"/>
        <w:rPr>
          <w:lang w:val="en-US"/>
        </w:rPr>
      </w:pPr>
      <w:bookmarkStart w:id="520" w:name="_Toc51045920"/>
      <w:r>
        <w:rPr>
          <w:lang w:val="en-US"/>
        </w:rPr>
        <w:br w:type="page"/>
        <w:t>1.3</w:t>
      </w:r>
      <w:r>
        <w:rPr>
          <w:lang w:val="en-US"/>
        </w:rPr>
        <w:tab/>
        <w:t>Required protection criteria</w:t>
      </w:r>
      <w:bookmarkEnd w:id="520"/>
    </w:p>
    <w:p w:rsidR="00B9359B" w:rsidRDefault="009A5268">
      <w:pPr>
        <w:pStyle w:val="enumlev1"/>
        <w:tabs>
          <w:tab w:val="clear" w:pos="794"/>
          <w:tab w:val="clear" w:pos="1191"/>
          <w:tab w:val="clear" w:pos="1588"/>
          <w:tab w:val="clear" w:pos="1985"/>
          <w:tab w:val="left" w:pos="3515"/>
        </w:tabs>
        <w:ind w:left="3515" w:hanging="3515"/>
        <w:rPr>
          <w:lang w:val="en-US"/>
        </w:rPr>
      </w:pPr>
      <w:bookmarkStart w:id="521" w:name="_Toc51045921"/>
      <w:r>
        <w:rPr>
          <w:lang w:val="en-US"/>
        </w:rPr>
        <w:t>Recommendation ITU-R SA.515 –</w:t>
      </w:r>
      <w:r>
        <w:rPr>
          <w:lang w:val="en-US"/>
        </w:rPr>
        <w:tab/>
        <w:t>Frequency bands and bandwidths used for satellite passive sensing.</w:t>
      </w:r>
    </w:p>
    <w:p w:rsidR="00B9359B" w:rsidRDefault="009A5268">
      <w:pPr>
        <w:pStyle w:val="enumlev1"/>
        <w:tabs>
          <w:tab w:val="clear" w:pos="794"/>
          <w:tab w:val="clear" w:pos="1191"/>
          <w:tab w:val="clear" w:pos="1588"/>
          <w:tab w:val="clear" w:pos="1985"/>
          <w:tab w:val="left" w:pos="3515"/>
        </w:tabs>
        <w:ind w:left="3515" w:hanging="3515"/>
        <w:rPr>
          <w:lang w:val="en-US"/>
        </w:rPr>
      </w:pPr>
      <w:r>
        <w:rPr>
          <w:lang w:val="en-US"/>
        </w:rPr>
        <w:t>Recommendation ITU-R SA.1028 –</w:t>
      </w:r>
      <w:r>
        <w:rPr>
          <w:lang w:val="en-US"/>
        </w:rPr>
        <w:tab/>
        <w:t>Performance criteria for satellite passive remote sensing.</w:t>
      </w:r>
    </w:p>
    <w:p w:rsidR="00B9359B" w:rsidRDefault="009A5268">
      <w:pPr>
        <w:pStyle w:val="enumlev1"/>
        <w:tabs>
          <w:tab w:val="clear" w:pos="794"/>
          <w:tab w:val="clear" w:pos="1191"/>
          <w:tab w:val="clear" w:pos="1588"/>
          <w:tab w:val="clear" w:pos="1985"/>
          <w:tab w:val="left" w:pos="3515"/>
        </w:tabs>
        <w:ind w:left="3515" w:hanging="3515"/>
        <w:rPr>
          <w:lang w:val="en-US"/>
        </w:rPr>
      </w:pPr>
      <w:r>
        <w:rPr>
          <w:lang w:val="en-US"/>
        </w:rPr>
        <w:t>Recommendation ITU-R SA.1029 –</w:t>
      </w:r>
      <w:r>
        <w:rPr>
          <w:lang w:val="en-US"/>
        </w:rPr>
        <w:tab/>
        <w:t>Interference criteria for satellite passive remote sensing.</w:t>
      </w:r>
    </w:p>
    <w:p w:rsidR="00B9359B" w:rsidRDefault="009A5268">
      <w:pPr>
        <w:pStyle w:val="Heading2"/>
        <w:rPr>
          <w:lang w:val="en-US"/>
        </w:rPr>
      </w:pPr>
      <w:r>
        <w:rPr>
          <w:lang w:val="en-US"/>
        </w:rPr>
        <w:t>1.4</w:t>
      </w:r>
      <w:r>
        <w:rPr>
          <w:lang w:val="en-US"/>
        </w:rPr>
        <w:tab/>
        <w:t>Operational characteristics</w:t>
      </w:r>
      <w:bookmarkEnd w:id="521"/>
    </w:p>
    <w:p w:rsidR="00B9359B" w:rsidRDefault="009A5268">
      <w:pPr>
        <w:rPr>
          <w:lang w:val="en-US"/>
        </w:rPr>
      </w:pPr>
      <w:r>
        <w:rPr>
          <w:lang w:val="en-US"/>
        </w:rPr>
        <w:t>The following operational characteristics are considered for the EESS system:</w:t>
      </w:r>
    </w:p>
    <w:p w:rsidR="00B9359B" w:rsidRDefault="009A5268">
      <w:pPr>
        <w:pStyle w:val="enumlev1"/>
        <w:rPr>
          <w:lang w:val="en-US"/>
        </w:rPr>
      </w:pPr>
      <w:r>
        <w:sym w:font="Symbol" w:char="F02D"/>
      </w:r>
      <w:r>
        <w:rPr>
          <w:lang w:val="en-US"/>
        </w:rPr>
        <w:tab/>
        <w:t>The EESS sensor is assumed to have an antenna with a peak gain of 45 dBi.</w:t>
      </w:r>
    </w:p>
    <w:p w:rsidR="00B9359B" w:rsidRDefault="009A5268">
      <w:pPr>
        <w:pStyle w:val="enumlev1"/>
        <w:rPr>
          <w:lang w:val="en-US"/>
        </w:rPr>
      </w:pPr>
      <w:r>
        <w:sym w:font="Symbol" w:char="F02D"/>
      </w:r>
      <w:r>
        <w:rPr>
          <w:lang w:val="en-US"/>
        </w:rPr>
        <w:tab/>
        <w:t>The EESS sensor is pointing in the nadir direction.</w:t>
      </w:r>
    </w:p>
    <w:p w:rsidR="00B9359B" w:rsidRDefault="009A5268">
      <w:pPr>
        <w:pStyle w:val="enumlev1"/>
        <w:rPr>
          <w:lang w:val="en-US"/>
        </w:rPr>
      </w:pPr>
      <w:r>
        <w:sym w:font="Symbol" w:char="F02D"/>
      </w:r>
      <w:r>
        <w:rPr>
          <w:lang w:val="en-US"/>
        </w:rPr>
        <w:tab/>
        <w:t>The pixel size for a sensor at an altitude of 850 km is 201 km</w:t>
      </w:r>
      <w:r>
        <w:rPr>
          <w:vertAlign w:val="superscript"/>
          <w:lang w:val="en-US"/>
        </w:rPr>
        <w:t>2</w:t>
      </w:r>
      <w:r>
        <w:rPr>
          <w:lang w:val="en-US"/>
        </w:rPr>
        <w:t xml:space="preserve"> (16 km diameter).</w:t>
      </w:r>
    </w:p>
    <w:p w:rsidR="00B9359B" w:rsidRDefault="009A5268">
      <w:pPr>
        <w:pStyle w:val="Heading1"/>
        <w:rPr>
          <w:lang w:val="en-US"/>
        </w:rPr>
      </w:pPr>
      <w:bookmarkStart w:id="522" w:name="_Toc51045922"/>
      <w:r>
        <w:rPr>
          <w:lang w:val="en-US"/>
        </w:rPr>
        <w:t>2</w:t>
      </w:r>
      <w:r>
        <w:rPr>
          <w:lang w:val="en-US"/>
        </w:rPr>
        <w:tab/>
        <w:t>Radionavigation service</w:t>
      </w:r>
      <w:bookmarkEnd w:id="522"/>
    </w:p>
    <w:p w:rsidR="00B9359B" w:rsidRDefault="009A5268">
      <w:pPr>
        <w:pStyle w:val="Heading2"/>
        <w:rPr>
          <w:lang w:val="en-US"/>
        </w:rPr>
      </w:pPr>
      <w:bookmarkStart w:id="523" w:name="_Toc51045923"/>
      <w:r>
        <w:rPr>
          <w:lang w:val="en-US"/>
        </w:rPr>
        <w:t>2.1</w:t>
      </w:r>
      <w:r>
        <w:rPr>
          <w:lang w:val="en-US"/>
        </w:rPr>
        <w:tab/>
        <w:t>Allocated band</w:t>
      </w:r>
      <w:bookmarkEnd w:id="523"/>
    </w:p>
    <w:p w:rsidR="00B9359B" w:rsidRDefault="009A5268">
      <w:pPr>
        <w:rPr>
          <w:lang w:val="en-US"/>
        </w:rPr>
      </w:pPr>
      <w:r>
        <w:rPr>
          <w:lang w:val="en-US"/>
        </w:rPr>
        <w:t>See Table 94.</w:t>
      </w:r>
    </w:p>
    <w:p w:rsidR="00B9359B" w:rsidRDefault="009A5268">
      <w:pPr>
        <w:pStyle w:val="Heading2"/>
        <w:rPr>
          <w:lang w:val="en-US"/>
        </w:rPr>
      </w:pPr>
      <w:bookmarkStart w:id="524" w:name="_Toc51045924"/>
      <w:r>
        <w:rPr>
          <w:lang w:val="en-US"/>
        </w:rPr>
        <w:t>2.2</w:t>
      </w:r>
      <w:r>
        <w:rPr>
          <w:lang w:val="en-US"/>
        </w:rPr>
        <w:tab/>
        <w:t>Application</w:t>
      </w:r>
      <w:bookmarkEnd w:id="524"/>
    </w:p>
    <w:p w:rsidR="00B9359B" w:rsidRDefault="009A5268">
      <w:pPr>
        <w:rPr>
          <w:lang w:val="en-US"/>
        </w:rPr>
      </w:pPr>
      <w:r>
        <w:rPr>
          <w:lang w:val="en-US"/>
        </w:rPr>
        <w:t>Radionavigation systems identified to operate in the band 31.8-33.4 GHz are onboard aircraft. The system operates worldwide mostly continuously during flight. This encompasses an altitude range of from just off the ground to approximately 30</w:t>
      </w:r>
      <w:r>
        <w:rPr>
          <w:rFonts w:ascii="Tms Rmn" w:hAnsi="Tms Rmn"/>
          <w:sz w:val="12"/>
          <w:lang w:val="en-US"/>
        </w:rPr>
        <w:t> </w:t>
      </w:r>
      <w:r>
        <w:rPr>
          <w:lang w:val="en-US"/>
        </w:rPr>
        <w:t>000 ft (or 9</w:t>
      </w:r>
      <w:r>
        <w:rPr>
          <w:rFonts w:ascii="Tms Rmn" w:hAnsi="Tms Rmn"/>
          <w:sz w:val="12"/>
          <w:lang w:val="en-US"/>
        </w:rPr>
        <w:t> </w:t>
      </w:r>
      <w:r>
        <w:rPr>
          <w:lang w:val="en-US"/>
        </w:rPr>
        <w:t>000 m). Flight times can be up to 6 h, and typically the majority of the time is spent en route, but some longer time at either the departure or destination points is expected. Information from one administration indicates that it operates a limited number of aircraft worldwide with radionavigation systems in this frequency band.</w:t>
      </w:r>
    </w:p>
    <w:p w:rsidR="00B9359B" w:rsidRDefault="009A5268">
      <w:pPr>
        <w:rPr>
          <w:lang w:val="en-US"/>
        </w:rPr>
      </w:pPr>
      <w:r>
        <w:rPr>
          <w:lang w:val="en-US"/>
        </w:rPr>
        <w:t>The term “radionavigation” throughout the text refers to an airborne radar system operating in the 31.8-33.4 GHz band. One administration has reported worldwide use of this band for the radionavi</w:t>
      </w:r>
      <w:r>
        <w:rPr>
          <w:lang w:val="en-US"/>
        </w:rPr>
        <w:softHyphen/>
        <w:t>gation service in terms of a limited number of airborne radar systems. The actual radar system is used for ground mapping, weather avoidance and navigation, but not primarily for functions such as airport approaching and landing. Future replacement of some of the fixed frequency systems with the frequency agile system is envisaged.</w:t>
      </w:r>
    </w:p>
    <w:p w:rsidR="00B9359B" w:rsidRDefault="009A5268">
      <w:pPr>
        <w:pStyle w:val="Heading2"/>
        <w:rPr>
          <w:lang w:val="en-US"/>
        </w:rPr>
      </w:pPr>
      <w:bookmarkStart w:id="525" w:name="_Toc51045925"/>
      <w:r>
        <w:rPr>
          <w:lang w:val="en-US"/>
        </w:rPr>
        <w:t>2.3</w:t>
      </w:r>
      <w:r>
        <w:rPr>
          <w:lang w:val="en-US"/>
        </w:rPr>
        <w:tab/>
        <w:t>Levels based on RR provisions and ITU-R Recommendations</w:t>
      </w:r>
      <w:bookmarkEnd w:id="525"/>
    </w:p>
    <w:p w:rsidR="00B9359B" w:rsidRDefault="009A5268">
      <w:pPr>
        <w:pStyle w:val="Heading3"/>
        <w:rPr>
          <w:lang w:val="en-US"/>
        </w:rPr>
      </w:pPr>
      <w:bookmarkStart w:id="526" w:name="_Toc51045926"/>
      <w:r>
        <w:rPr>
          <w:lang w:val="en-US"/>
        </w:rPr>
        <w:t>2.3.1</w:t>
      </w:r>
      <w:r>
        <w:rPr>
          <w:lang w:val="en-US"/>
        </w:rPr>
        <w:tab/>
        <w:t>RR No. 1.153</w:t>
      </w:r>
      <w:bookmarkEnd w:id="526"/>
    </w:p>
    <w:p w:rsidR="00B9359B" w:rsidRDefault="009A5268">
      <w:pPr>
        <w:rPr>
          <w:lang w:val="en-US"/>
        </w:rPr>
      </w:pPr>
      <w:r>
        <w:rPr>
          <w:lang w:val="en-US"/>
        </w:rPr>
        <w:t xml:space="preserve">The RR defines </w:t>
      </w:r>
      <w:r>
        <w:rPr>
          <w:i/>
          <w:lang w:val="en-US"/>
        </w:rPr>
        <w:t>occupied</w:t>
      </w:r>
      <w:r>
        <w:rPr>
          <w:lang w:val="en-US"/>
        </w:rPr>
        <w:t xml:space="preserve"> </w:t>
      </w:r>
      <w:r>
        <w:rPr>
          <w:i/>
          <w:lang w:val="en-US"/>
        </w:rPr>
        <w:t>bandwidth</w:t>
      </w:r>
      <w:r>
        <w:rPr>
          <w:lang w:val="en-US"/>
        </w:rPr>
        <w:t xml:space="preserve"> as follows: </w:t>
      </w:r>
    </w:p>
    <w:p w:rsidR="00B9359B" w:rsidRDefault="009A5268">
      <w:pPr>
        <w:rPr>
          <w:lang w:val="en-US"/>
        </w:rPr>
      </w:pPr>
      <w:r>
        <w:rPr>
          <w:lang w:val="en-US"/>
        </w:rPr>
        <w:t>“</w:t>
      </w:r>
      <w:r>
        <w:rPr>
          <w:b/>
          <w:bCs/>
          <w:lang w:val="en-US"/>
        </w:rPr>
        <w:t>1.153</w:t>
      </w:r>
      <w:r>
        <w:rPr>
          <w:lang w:val="en-US"/>
        </w:rPr>
        <w:t>   </w:t>
      </w:r>
      <w:r>
        <w:rPr>
          <w:i/>
          <w:lang w:val="en-US"/>
        </w:rPr>
        <w:t>occupied bandwidth:</w:t>
      </w:r>
      <w:r>
        <w:rPr>
          <w:lang w:val="en-US"/>
        </w:rPr>
        <w:t xml:space="preserve">   The width of a frequency band such that, below the lower and above the upper frequency limits, the </w:t>
      </w:r>
      <w:r>
        <w:rPr>
          <w:i/>
          <w:lang w:val="en-US"/>
        </w:rPr>
        <w:t>mean powers</w:t>
      </w:r>
      <w:r>
        <w:rPr>
          <w:lang w:val="en-US"/>
        </w:rPr>
        <w:t xml:space="preserve"> emitted are each equal to a specified percentage </w:t>
      </w:r>
      <w:r>
        <w:rPr>
          <w:rFonts w:ascii="Symbol" w:hAnsi="Symbol"/>
        </w:rPr>
        <w:t></w:t>
      </w:r>
      <w:r>
        <w:rPr>
          <w:lang w:val="en-US"/>
        </w:rPr>
        <w:t xml:space="preserve">/2 of the total </w:t>
      </w:r>
      <w:r>
        <w:rPr>
          <w:i/>
          <w:lang w:val="en-US"/>
        </w:rPr>
        <w:t>mean power</w:t>
      </w:r>
      <w:r>
        <w:rPr>
          <w:lang w:val="en-US"/>
        </w:rPr>
        <w:t xml:space="preserve"> of a given </w:t>
      </w:r>
      <w:r>
        <w:rPr>
          <w:i/>
          <w:lang w:val="en-US"/>
        </w:rPr>
        <w:t>emission</w:t>
      </w:r>
      <w:r>
        <w:rPr>
          <w:lang w:val="en-US"/>
        </w:rPr>
        <w:t>.</w:t>
      </w:r>
    </w:p>
    <w:p w:rsidR="00B9359B" w:rsidRDefault="009A5268">
      <w:pPr>
        <w:rPr>
          <w:lang w:val="en-US"/>
        </w:rPr>
      </w:pPr>
      <w:r>
        <w:rPr>
          <w:lang w:val="en-US"/>
        </w:rPr>
        <w:tab/>
        <w:t xml:space="preserve">Unless otherwise specified in an ITU-R Recommendation for the appropriate </w:t>
      </w:r>
      <w:r>
        <w:rPr>
          <w:i/>
          <w:lang w:val="en-US"/>
        </w:rPr>
        <w:t>class of emission</w:t>
      </w:r>
      <w:r>
        <w:rPr>
          <w:lang w:val="en-US"/>
        </w:rPr>
        <w:t xml:space="preserve">, the value of </w:t>
      </w:r>
      <w:r>
        <w:rPr>
          <w:rFonts w:ascii="Symbol" w:hAnsi="Symbol"/>
        </w:rPr>
        <w:t></w:t>
      </w:r>
      <w:r>
        <w:rPr>
          <w:lang w:val="en-US"/>
        </w:rPr>
        <w:t>/2 should be taken as 0.5%.”</w:t>
      </w:r>
    </w:p>
    <w:p w:rsidR="00B9359B" w:rsidRDefault="009A5268">
      <w:pPr>
        <w:rPr>
          <w:lang w:val="en-US"/>
        </w:rPr>
      </w:pPr>
      <w:r>
        <w:rPr>
          <w:lang w:val="en-US"/>
        </w:rPr>
        <w:br w:type="page"/>
        <w:t xml:space="preserve">If the upper edge of the occupied bandwidth were at or below the upper limit of the radiolocation allocation, the total power of unwanted emissions at frequencies above the allocated bandwidth would be no greater than 0.5% of </w:t>
      </w:r>
      <w:r>
        <w:rPr>
          <w:i/>
          <w:lang w:val="en-US"/>
        </w:rPr>
        <w:t>P</w:t>
      </w:r>
      <w:r>
        <w:rPr>
          <w:lang w:val="en-US"/>
        </w:rPr>
        <w:t xml:space="preserve">, where </w:t>
      </w:r>
      <w:r>
        <w:rPr>
          <w:i/>
          <w:lang w:val="en-US"/>
        </w:rPr>
        <w:t>P</w:t>
      </w:r>
      <w:r>
        <w:rPr>
          <w:lang w:val="en-US"/>
        </w:rPr>
        <w:t xml:space="preserve"> is the in-band power. Therefore, the total power of unwanted emission at frequencies in the EESS band and above is no greater than </w:t>
      </w:r>
      <w:r>
        <w:rPr>
          <w:i/>
          <w:lang w:val="en-US"/>
        </w:rPr>
        <w:t>P</w:t>
      </w:r>
      <w:r>
        <w:rPr>
          <w:lang w:val="en-US"/>
        </w:rPr>
        <w:t> </w:t>
      </w:r>
      <w:r>
        <w:rPr>
          <w:rFonts w:ascii="Symbol" w:hAnsi="Symbol"/>
          <w:lang w:val="en-US"/>
        </w:rPr>
        <w:noBreakHyphen/>
      </w:r>
      <w:r>
        <w:rPr>
          <w:lang w:val="en-US"/>
        </w:rPr>
        <w:t> 23 dB.</w:t>
      </w:r>
    </w:p>
    <w:p w:rsidR="00B9359B" w:rsidRDefault="009A5268">
      <w:pPr>
        <w:pStyle w:val="Heading3"/>
        <w:rPr>
          <w:lang w:val="en-US"/>
        </w:rPr>
      </w:pPr>
      <w:bookmarkStart w:id="527" w:name="_Toc51045927"/>
      <w:r>
        <w:rPr>
          <w:lang w:val="en-US"/>
        </w:rPr>
        <w:t>2.3.2</w:t>
      </w:r>
      <w:r>
        <w:rPr>
          <w:lang w:val="en-US"/>
        </w:rPr>
        <w:tab/>
        <w:t>Recommendation ITU-R SM.1541</w:t>
      </w:r>
      <w:bookmarkEnd w:id="527"/>
    </w:p>
    <w:p w:rsidR="00B9359B" w:rsidRDefault="009A5268">
      <w:pPr>
        <w:rPr>
          <w:lang w:val="en-US"/>
        </w:rPr>
      </w:pPr>
      <w:r>
        <w:rPr>
          <w:lang w:val="en-US"/>
        </w:rPr>
        <w:t xml:space="preserve">Recommendation ITU-R SM.1541, Annex 8 specifies a generic mask for OoB emissions for primary radars. This is repeated below as a segmented relationship. The dependent variable </w:t>
      </w:r>
      <w:r>
        <w:rPr>
          <w:i/>
          <w:iCs/>
          <w:lang w:val="en-US"/>
        </w:rPr>
        <w:t>F</w:t>
      </w:r>
      <w:r>
        <w:rPr>
          <w:lang w:val="en-US"/>
        </w:rPr>
        <w:t xml:space="preserve"> is the frequency offset from band centre as a per cent of the </w:t>
      </w:r>
      <w:r>
        <w:rPr>
          <w:rFonts w:ascii="Symbol" w:hAnsi="Symbol"/>
          <w:lang w:val="en-US"/>
        </w:rPr>
        <w:noBreakHyphen/>
      </w:r>
      <w:r>
        <w:rPr>
          <w:lang w:val="en-US"/>
        </w:rPr>
        <w:t>40 dB bandwidth of the radar, as illustrated in Fig. 61, where:</w:t>
      </w:r>
    </w:p>
    <w:p w:rsidR="00B9359B" w:rsidRDefault="009A5268">
      <w:pPr>
        <w:pStyle w:val="Equationlegend"/>
      </w:pPr>
      <w:r>
        <w:tab/>
      </w:r>
      <w:r>
        <w:rPr>
          <w:i/>
          <w:iCs/>
        </w:rPr>
        <w:t>F</w:t>
      </w:r>
      <w:r>
        <w:rPr>
          <w:rFonts w:ascii="Tms Rmn" w:hAnsi="Tms Rmn"/>
          <w:sz w:val="12"/>
        </w:rPr>
        <w:t> </w:t>
      </w:r>
      <w:r>
        <w:t>:</w:t>
      </w:r>
      <w:r>
        <w:tab/>
        <w:t xml:space="preserve">frequency offset from band centre as a per cent of the </w:t>
      </w:r>
      <w:r>
        <w:rPr>
          <w:rFonts w:ascii="Symbol" w:hAnsi="Symbol"/>
        </w:rPr>
        <w:noBreakHyphen/>
      </w:r>
      <w:r>
        <w:t>40 dB bandwidth of the radar, and</w:t>
      </w:r>
    </w:p>
    <w:p w:rsidR="00B9359B" w:rsidRDefault="009A5268">
      <w:pPr>
        <w:pStyle w:val="Equationlegend"/>
      </w:pPr>
      <w:r>
        <w:tab/>
        <w:t>dBpp</w:t>
      </w:r>
      <w:r>
        <w:rPr>
          <w:rFonts w:ascii="Tms Rmn" w:hAnsi="Tms Rmn"/>
          <w:sz w:val="12"/>
        </w:rPr>
        <w:t> </w:t>
      </w:r>
      <w:r>
        <w:t>:</w:t>
      </w:r>
      <w:r>
        <w:tab/>
        <w:t>expressed in decibels relative to the maximum value of the peak power, measured with the reference bandwidth within the occupied bandwidth.</w:t>
      </w:r>
    </w:p>
    <w:p w:rsidR="00B9359B" w:rsidRDefault="009A5268">
      <w:pPr>
        <w:rPr>
          <w:lang w:val="en-US"/>
        </w:rPr>
      </w:pPr>
      <w:r>
        <w:rPr>
          <w:lang w:val="en-US"/>
        </w:rPr>
        <w:t>It provides the minimum attenuation for OoB emission power, within a reference bandwidth, relative to the in-band peak power.</w:t>
      </w:r>
    </w:p>
    <w:p w:rsidR="00B9359B" w:rsidRDefault="00B9359B">
      <w:pPr>
        <w:rPr>
          <w:lang w:val="en-US"/>
        </w:rPr>
      </w:pPr>
    </w:p>
    <w:p w:rsidR="00B9359B" w:rsidRDefault="00AB52AF">
      <w:pPr>
        <w:pStyle w:val="FigureNo"/>
        <w:rPr>
          <w:lang w:val="en-US"/>
        </w:rPr>
      </w:pPr>
      <w:r>
        <w:rPr>
          <w:lang w:val="en-US"/>
        </w:rPr>
        <w:pict>
          <v:shape id="_x0000_i1097" type="#_x0000_t75" style="width:268.65pt;height:250.95pt">
            <v:imagedata r:id="rId128" o:title=""/>
          </v:shape>
        </w:pict>
      </w:r>
    </w:p>
    <w:p w:rsidR="00B9359B" w:rsidRDefault="00B9359B">
      <w:pPr>
        <w:rPr>
          <w:lang w:val="en-US"/>
        </w:rPr>
      </w:pPr>
      <w:bookmarkStart w:id="528" w:name="_Toc51045928"/>
    </w:p>
    <w:p w:rsidR="00B9359B" w:rsidRDefault="009A5268">
      <w:pPr>
        <w:pStyle w:val="Heading2"/>
        <w:rPr>
          <w:lang w:val="en-US"/>
        </w:rPr>
      </w:pPr>
      <w:r>
        <w:rPr>
          <w:lang w:val="en-US"/>
        </w:rPr>
        <w:t>2.4</w:t>
      </w:r>
      <w:r>
        <w:rPr>
          <w:lang w:val="en-US"/>
        </w:rPr>
        <w:tab/>
        <w:t>Transmitter characteristics</w:t>
      </w:r>
      <w:bookmarkEnd w:id="528"/>
    </w:p>
    <w:p w:rsidR="00B9359B" w:rsidRDefault="009A5268">
      <w:pPr>
        <w:rPr>
          <w:lang w:val="en-US"/>
        </w:rPr>
      </w:pPr>
      <w:r>
        <w:rPr>
          <w:lang w:val="en-US"/>
        </w:rPr>
        <w:t>Two radar systems are implemented: one system using fixed frequency (of 80% of aircraft stations) and one system (of 20% of aircraft stations) with the option to use frequency agility (nine channels in the band 32.2-33 GHz). The technical characteristics of systems operating in the radionavigation service can be found in Recommendation ITU</w:t>
      </w:r>
      <w:r>
        <w:rPr>
          <w:lang w:val="en-US"/>
        </w:rPr>
        <w:noBreakHyphen/>
        <w:t>R F.1571 and are given here in Table 95.</w:t>
      </w:r>
    </w:p>
    <w:p w:rsidR="00B9359B" w:rsidRDefault="009A5268">
      <w:pPr>
        <w:pStyle w:val="TableNo"/>
        <w:rPr>
          <w:lang w:val="en-US"/>
        </w:rPr>
      </w:pPr>
      <w:r>
        <w:rPr>
          <w:lang w:val="en-US"/>
        </w:rPr>
        <w:br w:type="page"/>
        <w:t>TABLE  95</w:t>
      </w:r>
    </w:p>
    <w:p w:rsidR="00B9359B" w:rsidRDefault="009A5268">
      <w:pPr>
        <w:pStyle w:val="Tabletitle"/>
        <w:rPr>
          <w:lang w:val="en-US"/>
        </w:rPr>
      </w:pPr>
      <w:r>
        <w:rPr>
          <w:lang w:val="en-US"/>
        </w:rPr>
        <w:t xml:space="preserve">Emissions bandwidth of systems in the radionavigation </w:t>
      </w:r>
      <w:r>
        <w:rPr>
          <w:lang w:val="en-US"/>
        </w:rPr>
        <w:br/>
        <w:t>service operating in the 31.8-33.4 GHz band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2"/>
        <w:gridCol w:w="3289"/>
        <w:gridCol w:w="3515"/>
      </w:tblGrid>
      <w:tr w:rsidR="00B9359B">
        <w:trPr>
          <w:jc w:val="center"/>
        </w:trPr>
        <w:tc>
          <w:tcPr>
            <w:tcW w:w="2892" w:type="dxa"/>
          </w:tcPr>
          <w:p w:rsidR="00B9359B" w:rsidRDefault="009A5268">
            <w:pPr>
              <w:pStyle w:val="Tablehead"/>
              <w:framePr w:hSpace="181" w:wrap="notBeside" w:vAnchor="text" w:hAnchor="text" w:xAlign="center" w:y="1"/>
              <w:rPr>
                <w:sz w:val="20"/>
                <w:lang w:val="en-US"/>
              </w:rPr>
            </w:pPr>
            <w:r>
              <w:rPr>
                <w:sz w:val="20"/>
                <w:lang w:val="en-US"/>
              </w:rPr>
              <w:t>Parameter</w:t>
            </w:r>
          </w:p>
        </w:tc>
        <w:tc>
          <w:tcPr>
            <w:tcW w:w="3289" w:type="dxa"/>
          </w:tcPr>
          <w:p w:rsidR="00B9359B" w:rsidRDefault="009A5268">
            <w:pPr>
              <w:pStyle w:val="Tablehead"/>
              <w:framePr w:hSpace="181" w:wrap="notBeside" w:vAnchor="text" w:hAnchor="text" w:xAlign="center" w:y="1"/>
              <w:rPr>
                <w:sz w:val="20"/>
                <w:lang w:val="en-US"/>
              </w:rPr>
            </w:pPr>
            <w:r>
              <w:rPr>
                <w:sz w:val="20"/>
                <w:lang w:val="en-US"/>
              </w:rPr>
              <w:t>System 1</w:t>
            </w:r>
          </w:p>
        </w:tc>
        <w:tc>
          <w:tcPr>
            <w:tcW w:w="3515" w:type="dxa"/>
          </w:tcPr>
          <w:p w:rsidR="00B9359B" w:rsidRDefault="009A5268">
            <w:pPr>
              <w:pStyle w:val="Tablehead"/>
              <w:framePr w:hSpace="181" w:wrap="notBeside" w:vAnchor="text" w:hAnchor="text" w:xAlign="center" w:y="1"/>
              <w:rPr>
                <w:sz w:val="20"/>
                <w:lang w:val="en-US"/>
              </w:rPr>
            </w:pPr>
            <w:r>
              <w:rPr>
                <w:sz w:val="20"/>
                <w:lang w:val="en-US"/>
              </w:rPr>
              <w:t>System 2</w:t>
            </w:r>
          </w:p>
        </w:tc>
      </w:tr>
      <w:tr w:rsidR="00B9359B" w:rsidRPr="00D35B94">
        <w:trPr>
          <w:jc w:val="center"/>
        </w:trPr>
        <w:tc>
          <w:tcPr>
            <w:tcW w:w="2892" w:type="dxa"/>
          </w:tcPr>
          <w:p w:rsidR="00B9359B" w:rsidRDefault="009A5268">
            <w:pPr>
              <w:pStyle w:val="Tabletext"/>
              <w:framePr w:hSpace="181" w:wrap="notBeside" w:vAnchor="text" w:hAnchor="text" w:xAlign="center" w:y="1"/>
              <w:spacing w:before="50" w:after="50"/>
              <w:rPr>
                <w:sz w:val="20"/>
                <w:lang w:val="en-US"/>
              </w:rPr>
            </w:pPr>
            <w:r>
              <w:rPr>
                <w:sz w:val="20"/>
                <w:lang w:val="en-US"/>
              </w:rPr>
              <w:t>Tuning type</w:t>
            </w:r>
          </w:p>
        </w:tc>
        <w:tc>
          <w:tcPr>
            <w:tcW w:w="3289" w:type="dxa"/>
          </w:tcPr>
          <w:p w:rsidR="00B9359B" w:rsidRDefault="009A5268">
            <w:pPr>
              <w:pStyle w:val="Tabletext"/>
              <w:framePr w:hSpace="181" w:wrap="notBeside" w:vAnchor="text" w:hAnchor="text" w:xAlign="center" w:y="1"/>
              <w:spacing w:before="50" w:after="50"/>
              <w:jc w:val="center"/>
              <w:rPr>
                <w:sz w:val="20"/>
                <w:lang w:val="en-US"/>
              </w:rPr>
            </w:pPr>
            <w:r>
              <w:rPr>
                <w:sz w:val="20"/>
                <w:lang w:val="en-US"/>
              </w:rPr>
              <w:t>Fixed frequency; tunes continuously across 31.8</w:t>
            </w:r>
            <w:r>
              <w:rPr>
                <w:sz w:val="20"/>
                <w:lang w:val="en-US"/>
              </w:rPr>
              <w:noBreakHyphen/>
              <w:t>33.4 GHz</w:t>
            </w:r>
          </w:p>
        </w:tc>
        <w:tc>
          <w:tcPr>
            <w:tcW w:w="3515" w:type="dxa"/>
          </w:tcPr>
          <w:p w:rsidR="00B9359B" w:rsidRDefault="009A5268">
            <w:pPr>
              <w:pStyle w:val="Tabletext"/>
              <w:framePr w:hSpace="181" w:wrap="notBeside" w:vAnchor="text" w:hAnchor="text" w:xAlign="center" w:y="1"/>
              <w:spacing w:before="50" w:after="50"/>
              <w:jc w:val="center"/>
              <w:rPr>
                <w:sz w:val="20"/>
                <w:lang w:val="en-US"/>
              </w:rPr>
            </w:pPr>
            <w:r>
              <w:rPr>
                <w:sz w:val="20"/>
                <w:lang w:val="en-US"/>
              </w:rPr>
              <w:t>Fixed frequency or frequency hopping; operates in either mode on one of nine discrete channels spaced 100 MHz apart (32.2</w:t>
            </w:r>
            <w:r>
              <w:rPr>
                <w:sz w:val="20"/>
                <w:lang w:val="en-US"/>
              </w:rPr>
              <w:noBreakHyphen/>
              <w:t>33 GHz)</w:t>
            </w:r>
          </w:p>
        </w:tc>
      </w:tr>
      <w:tr w:rsidR="00B9359B">
        <w:trPr>
          <w:jc w:val="center"/>
        </w:trPr>
        <w:tc>
          <w:tcPr>
            <w:tcW w:w="2892" w:type="dxa"/>
          </w:tcPr>
          <w:p w:rsidR="00B9359B" w:rsidRDefault="009A5268">
            <w:pPr>
              <w:pStyle w:val="Tabletext"/>
              <w:framePr w:hSpace="181" w:wrap="notBeside" w:vAnchor="text" w:hAnchor="text" w:xAlign="center" w:y="1"/>
              <w:spacing w:before="50" w:after="50"/>
              <w:rPr>
                <w:sz w:val="20"/>
                <w:lang w:val="en-US"/>
              </w:rPr>
            </w:pPr>
            <w:r>
              <w:rPr>
                <w:sz w:val="20"/>
                <w:lang w:val="en-US"/>
              </w:rPr>
              <w:t>Emission type (MHz)</w:t>
            </w:r>
          </w:p>
        </w:tc>
        <w:tc>
          <w:tcPr>
            <w:tcW w:w="3289" w:type="dxa"/>
          </w:tcPr>
          <w:p w:rsidR="00B9359B" w:rsidRDefault="009A5268">
            <w:pPr>
              <w:pStyle w:val="Tabletext"/>
              <w:framePr w:hSpace="181" w:wrap="notBeside" w:vAnchor="text" w:hAnchor="text" w:xAlign="center" w:y="1"/>
              <w:spacing w:before="50" w:after="50"/>
              <w:jc w:val="center"/>
              <w:rPr>
                <w:sz w:val="20"/>
                <w:lang w:val="en-US"/>
              </w:rPr>
            </w:pPr>
            <w:r>
              <w:rPr>
                <w:sz w:val="20"/>
                <w:lang w:val="en-US"/>
              </w:rPr>
              <w:t>Unmodulated pulses</w:t>
            </w:r>
          </w:p>
        </w:tc>
        <w:tc>
          <w:tcPr>
            <w:tcW w:w="3515" w:type="dxa"/>
          </w:tcPr>
          <w:p w:rsidR="00B9359B" w:rsidRDefault="009A5268">
            <w:pPr>
              <w:pStyle w:val="Tabletext"/>
              <w:framePr w:hSpace="181" w:wrap="notBeside" w:vAnchor="text" w:hAnchor="text" w:xAlign="center" w:y="1"/>
              <w:spacing w:before="50" w:after="50"/>
              <w:jc w:val="center"/>
              <w:rPr>
                <w:sz w:val="20"/>
                <w:lang w:val="en-US"/>
              </w:rPr>
            </w:pPr>
            <w:r>
              <w:rPr>
                <w:sz w:val="20"/>
                <w:lang w:val="en-US"/>
              </w:rPr>
              <w:t>Unmodulated pulses</w:t>
            </w:r>
          </w:p>
        </w:tc>
      </w:tr>
      <w:tr w:rsidR="00B9359B">
        <w:trPr>
          <w:jc w:val="center"/>
        </w:trPr>
        <w:tc>
          <w:tcPr>
            <w:tcW w:w="2892" w:type="dxa"/>
          </w:tcPr>
          <w:p w:rsidR="00B9359B" w:rsidRDefault="009A5268">
            <w:pPr>
              <w:pStyle w:val="Tabletext"/>
              <w:framePr w:hSpace="181" w:wrap="notBeside" w:vAnchor="text" w:hAnchor="text" w:xAlign="center" w:y="1"/>
              <w:spacing w:before="50" w:after="50"/>
              <w:rPr>
                <w:sz w:val="20"/>
                <w:lang w:val="en-US"/>
              </w:rPr>
            </w:pPr>
            <w:r>
              <w:rPr>
                <w:sz w:val="20"/>
                <w:lang w:val="en-US"/>
              </w:rPr>
              <w:t>RF emission bandwidth (MHz)</w:t>
            </w:r>
          </w:p>
        </w:tc>
        <w:tc>
          <w:tcPr>
            <w:tcW w:w="3289" w:type="dxa"/>
          </w:tcPr>
          <w:p w:rsidR="00B9359B" w:rsidRDefault="009A5268">
            <w:pPr>
              <w:pStyle w:val="Tabletext"/>
              <w:framePr w:hSpace="181" w:wrap="notBeside" w:vAnchor="text" w:hAnchor="text" w:xAlign="center" w:y="1"/>
              <w:spacing w:before="50" w:after="50"/>
              <w:jc w:val="center"/>
              <w:rPr>
                <w:sz w:val="20"/>
                <w:lang w:val="en-US"/>
              </w:rPr>
            </w:pPr>
            <w:r>
              <w:rPr>
                <w:sz w:val="20"/>
                <w:lang w:val="en-US"/>
              </w:rPr>
              <w:t>37</w:t>
            </w:r>
          </w:p>
        </w:tc>
        <w:tc>
          <w:tcPr>
            <w:tcW w:w="3515" w:type="dxa"/>
          </w:tcPr>
          <w:p w:rsidR="00B9359B" w:rsidRDefault="009A5268">
            <w:pPr>
              <w:pStyle w:val="Tabletext"/>
              <w:framePr w:hSpace="181" w:wrap="notBeside" w:vAnchor="text" w:hAnchor="text" w:xAlign="center" w:y="1"/>
              <w:spacing w:before="50" w:after="50"/>
              <w:jc w:val="center"/>
              <w:rPr>
                <w:sz w:val="20"/>
                <w:lang w:val="en-US"/>
              </w:rPr>
            </w:pPr>
            <w:r>
              <w:rPr>
                <w:sz w:val="20"/>
                <w:lang w:val="en-US"/>
              </w:rPr>
              <w:t>17 (instantaneous)</w:t>
            </w:r>
            <w:r>
              <w:rPr>
                <w:sz w:val="20"/>
                <w:lang w:val="en-US"/>
              </w:rPr>
              <w:br/>
              <w:t>117 (hopping)</w:t>
            </w:r>
          </w:p>
        </w:tc>
      </w:tr>
      <w:tr w:rsidR="00B9359B">
        <w:trPr>
          <w:jc w:val="center"/>
        </w:trPr>
        <w:tc>
          <w:tcPr>
            <w:tcW w:w="2892" w:type="dxa"/>
          </w:tcPr>
          <w:p w:rsidR="00B9359B" w:rsidRDefault="009A5268">
            <w:pPr>
              <w:pStyle w:val="Tabletext"/>
              <w:framePr w:hSpace="181" w:wrap="notBeside" w:vAnchor="text" w:hAnchor="text" w:xAlign="center" w:y="1"/>
              <w:spacing w:before="50" w:after="50"/>
              <w:rPr>
                <w:sz w:val="20"/>
                <w:lang w:val="en-US"/>
              </w:rPr>
            </w:pPr>
            <w:r>
              <w:rPr>
                <w:sz w:val="20"/>
                <w:lang w:val="en-US"/>
              </w:rPr>
              <w:t>Pulse width (</w:t>
            </w:r>
            <w:r>
              <w:rPr>
                <w:sz w:val="20"/>
              </w:rPr>
              <w:sym w:font="Symbol" w:char="F06D"/>
            </w:r>
            <w:r>
              <w:rPr>
                <w:sz w:val="20"/>
                <w:lang w:val="en-US"/>
              </w:rPr>
              <w:t>s)</w:t>
            </w:r>
          </w:p>
        </w:tc>
        <w:tc>
          <w:tcPr>
            <w:tcW w:w="3289" w:type="dxa"/>
          </w:tcPr>
          <w:p w:rsidR="00B9359B" w:rsidRDefault="009A5268">
            <w:pPr>
              <w:pStyle w:val="Tabletext"/>
              <w:framePr w:hSpace="181" w:wrap="notBeside" w:vAnchor="text" w:hAnchor="text" w:xAlign="center" w:y="1"/>
              <w:spacing w:before="50" w:after="50"/>
              <w:jc w:val="center"/>
              <w:rPr>
                <w:sz w:val="20"/>
                <w:lang w:val="en-US"/>
              </w:rPr>
            </w:pPr>
            <w:r>
              <w:rPr>
                <w:sz w:val="20"/>
                <w:lang w:val="en-US"/>
              </w:rPr>
              <w:t>0.2</w:t>
            </w:r>
          </w:p>
        </w:tc>
        <w:tc>
          <w:tcPr>
            <w:tcW w:w="3515" w:type="dxa"/>
          </w:tcPr>
          <w:p w:rsidR="00B9359B" w:rsidRDefault="009A5268">
            <w:pPr>
              <w:pStyle w:val="Tabletext"/>
              <w:framePr w:hSpace="181" w:wrap="notBeside" w:vAnchor="text" w:hAnchor="text" w:xAlign="center" w:y="1"/>
              <w:spacing w:before="50" w:after="50"/>
              <w:jc w:val="center"/>
              <w:rPr>
                <w:sz w:val="20"/>
                <w:lang w:val="en-US"/>
              </w:rPr>
            </w:pPr>
            <w:r>
              <w:rPr>
                <w:sz w:val="20"/>
                <w:lang w:val="en-US"/>
              </w:rPr>
              <w:t>0.2</w:t>
            </w:r>
          </w:p>
        </w:tc>
      </w:tr>
      <w:tr w:rsidR="00B9359B">
        <w:trPr>
          <w:jc w:val="center"/>
        </w:trPr>
        <w:tc>
          <w:tcPr>
            <w:tcW w:w="2892" w:type="dxa"/>
          </w:tcPr>
          <w:p w:rsidR="00B9359B" w:rsidRDefault="009A5268">
            <w:pPr>
              <w:pStyle w:val="Tabletext"/>
              <w:framePr w:hSpace="181" w:wrap="notBeside" w:vAnchor="text" w:hAnchor="text" w:xAlign="center" w:y="1"/>
              <w:spacing w:before="50" w:after="50"/>
              <w:rPr>
                <w:sz w:val="20"/>
                <w:lang w:val="en-US"/>
              </w:rPr>
            </w:pPr>
            <w:r>
              <w:rPr>
                <w:sz w:val="20"/>
                <w:lang w:val="en-US"/>
              </w:rPr>
              <w:t>Pulse repetition frequency (pps)</w:t>
            </w:r>
          </w:p>
        </w:tc>
        <w:tc>
          <w:tcPr>
            <w:tcW w:w="3289" w:type="dxa"/>
          </w:tcPr>
          <w:p w:rsidR="00B9359B" w:rsidRDefault="009A5268">
            <w:pPr>
              <w:pStyle w:val="Tabletext"/>
              <w:framePr w:hSpace="181" w:wrap="notBeside" w:vAnchor="text" w:hAnchor="text" w:xAlign="center" w:y="1"/>
              <w:spacing w:before="50" w:after="50"/>
              <w:jc w:val="center"/>
              <w:rPr>
                <w:sz w:val="20"/>
                <w:lang w:val="en-US"/>
              </w:rPr>
            </w:pPr>
            <w:r>
              <w:rPr>
                <w:sz w:val="20"/>
                <w:lang w:val="en-US"/>
              </w:rPr>
              <w:t>2</w:t>
            </w:r>
            <w:r>
              <w:rPr>
                <w:rFonts w:ascii="Tms Rmn" w:hAnsi="Tms Rmn"/>
                <w:sz w:val="12"/>
                <w:lang w:val="en-US"/>
              </w:rPr>
              <w:t> </w:t>
            </w:r>
            <w:r>
              <w:rPr>
                <w:sz w:val="20"/>
                <w:lang w:val="en-US"/>
              </w:rPr>
              <w:t>000</w:t>
            </w:r>
          </w:p>
        </w:tc>
        <w:tc>
          <w:tcPr>
            <w:tcW w:w="3515" w:type="dxa"/>
          </w:tcPr>
          <w:p w:rsidR="00B9359B" w:rsidRDefault="009A5268">
            <w:pPr>
              <w:pStyle w:val="Tabletext"/>
              <w:framePr w:hSpace="181" w:wrap="notBeside" w:vAnchor="text" w:hAnchor="text" w:xAlign="center" w:y="1"/>
              <w:spacing w:before="50" w:after="50"/>
              <w:jc w:val="center"/>
              <w:rPr>
                <w:sz w:val="20"/>
                <w:lang w:val="en-US"/>
              </w:rPr>
            </w:pPr>
            <w:r>
              <w:rPr>
                <w:sz w:val="20"/>
                <w:lang w:val="en-US"/>
              </w:rPr>
              <w:t>1</w:t>
            </w:r>
            <w:r>
              <w:rPr>
                <w:rFonts w:ascii="Tms Rmn" w:hAnsi="Tms Rmn"/>
                <w:sz w:val="12"/>
                <w:lang w:val="en-US"/>
              </w:rPr>
              <w:t> </w:t>
            </w:r>
            <w:r>
              <w:rPr>
                <w:sz w:val="20"/>
                <w:lang w:val="en-US"/>
              </w:rPr>
              <w:t>600</w:t>
            </w:r>
          </w:p>
        </w:tc>
      </w:tr>
      <w:tr w:rsidR="00B9359B">
        <w:trPr>
          <w:jc w:val="center"/>
        </w:trPr>
        <w:tc>
          <w:tcPr>
            <w:tcW w:w="2892" w:type="dxa"/>
          </w:tcPr>
          <w:p w:rsidR="00B9359B" w:rsidRDefault="009A5268">
            <w:pPr>
              <w:pStyle w:val="Tabletext"/>
              <w:framePr w:hSpace="181" w:wrap="notBeside" w:vAnchor="text" w:hAnchor="text" w:xAlign="center" w:y="1"/>
              <w:spacing w:before="50" w:after="50"/>
              <w:rPr>
                <w:sz w:val="20"/>
                <w:lang w:val="en-US"/>
              </w:rPr>
            </w:pPr>
            <w:r>
              <w:rPr>
                <w:sz w:val="20"/>
                <w:lang w:val="en-US"/>
              </w:rPr>
              <w:t>Peak transmitter power (kW)</w:t>
            </w:r>
          </w:p>
        </w:tc>
        <w:tc>
          <w:tcPr>
            <w:tcW w:w="3289" w:type="dxa"/>
          </w:tcPr>
          <w:p w:rsidR="00B9359B" w:rsidRDefault="009A5268">
            <w:pPr>
              <w:pStyle w:val="Tabletext"/>
              <w:framePr w:hSpace="181" w:wrap="notBeside" w:vAnchor="text" w:hAnchor="text" w:xAlign="center" w:y="1"/>
              <w:spacing w:before="50" w:after="50"/>
              <w:jc w:val="center"/>
              <w:rPr>
                <w:sz w:val="20"/>
                <w:lang w:val="en-US"/>
              </w:rPr>
            </w:pPr>
            <w:r>
              <w:rPr>
                <w:sz w:val="20"/>
                <w:lang w:val="en-US"/>
              </w:rPr>
              <w:t>60</w:t>
            </w:r>
          </w:p>
        </w:tc>
        <w:tc>
          <w:tcPr>
            <w:tcW w:w="3515" w:type="dxa"/>
          </w:tcPr>
          <w:p w:rsidR="00B9359B" w:rsidRDefault="009A5268">
            <w:pPr>
              <w:pStyle w:val="Tabletext"/>
              <w:framePr w:hSpace="181" w:wrap="notBeside" w:vAnchor="text" w:hAnchor="text" w:xAlign="center" w:y="1"/>
              <w:spacing w:before="50" w:after="50"/>
              <w:jc w:val="center"/>
              <w:rPr>
                <w:sz w:val="20"/>
                <w:lang w:val="en-US"/>
              </w:rPr>
            </w:pPr>
            <w:r>
              <w:rPr>
                <w:sz w:val="20"/>
                <w:lang w:val="en-US"/>
              </w:rPr>
              <w:t>39</w:t>
            </w:r>
          </w:p>
        </w:tc>
      </w:tr>
      <w:tr w:rsidR="00B9359B">
        <w:trPr>
          <w:jc w:val="center"/>
        </w:trPr>
        <w:tc>
          <w:tcPr>
            <w:tcW w:w="2892" w:type="dxa"/>
          </w:tcPr>
          <w:p w:rsidR="00B9359B" w:rsidRDefault="009A5268">
            <w:pPr>
              <w:pStyle w:val="Tabletext"/>
              <w:framePr w:hSpace="181" w:wrap="notBeside" w:vAnchor="text" w:hAnchor="text" w:xAlign="center" w:y="1"/>
              <w:spacing w:before="50" w:after="50"/>
              <w:rPr>
                <w:sz w:val="20"/>
                <w:lang w:val="en-US"/>
              </w:rPr>
            </w:pPr>
            <w:r>
              <w:rPr>
                <w:sz w:val="20"/>
                <w:lang w:val="en-US"/>
              </w:rPr>
              <w:t>Antenna type</w:t>
            </w:r>
          </w:p>
        </w:tc>
        <w:tc>
          <w:tcPr>
            <w:tcW w:w="3289" w:type="dxa"/>
          </w:tcPr>
          <w:p w:rsidR="00B9359B" w:rsidRDefault="009A5268">
            <w:pPr>
              <w:pStyle w:val="Tabletext"/>
              <w:framePr w:hSpace="181" w:wrap="notBeside" w:vAnchor="text" w:hAnchor="text" w:xAlign="center" w:y="1"/>
              <w:spacing w:before="50" w:after="50"/>
              <w:jc w:val="center"/>
              <w:rPr>
                <w:sz w:val="20"/>
                <w:lang w:val="en-US"/>
              </w:rPr>
            </w:pPr>
            <w:r>
              <w:rPr>
                <w:sz w:val="20"/>
                <w:lang w:val="en-US"/>
              </w:rPr>
              <w:t>Parabolic reflector</w:t>
            </w:r>
          </w:p>
        </w:tc>
        <w:tc>
          <w:tcPr>
            <w:tcW w:w="3515" w:type="dxa"/>
          </w:tcPr>
          <w:p w:rsidR="00B9359B" w:rsidRDefault="009A5268">
            <w:pPr>
              <w:pStyle w:val="Tabletext"/>
              <w:framePr w:hSpace="181" w:wrap="notBeside" w:vAnchor="text" w:hAnchor="text" w:xAlign="center" w:y="1"/>
              <w:spacing w:before="50" w:after="50"/>
              <w:jc w:val="center"/>
              <w:rPr>
                <w:sz w:val="20"/>
                <w:lang w:val="en-US"/>
              </w:rPr>
            </w:pPr>
            <w:r>
              <w:rPr>
                <w:sz w:val="20"/>
                <w:lang w:val="en-US"/>
              </w:rPr>
              <w:t>Parabolic reflector</w:t>
            </w:r>
          </w:p>
        </w:tc>
      </w:tr>
      <w:tr w:rsidR="00B9359B">
        <w:trPr>
          <w:jc w:val="center"/>
        </w:trPr>
        <w:tc>
          <w:tcPr>
            <w:tcW w:w="2892" w:type="dxa"/>
          </w:tcPr>
          <w:p w:rsidR="00B9359B" w:rsidRDefault="009A5268">
            <w:pPr>
              <w:pStyle w:val="Tabletext"/>
              <w:framePr w:hSpace="181" w:wrap="notBeside" w:vAnchor="text" w:hAnchor="text" w:xAlign="center" w:y="1"/>
              <w:spacing w:before="50" w:after="50"/>
              <w:rPr>
                <w:sz w:val="20"/>
                <w:lang w:val="en-US"/>
              </w:rPr>
            </w:pPr>
            <w:r>
              <w:rPr>
                <w:sz w:val="20"/>
                <w:lang w:val="en-US"/>
              </w:rPr>
              <w:t>Antenna main beam gain (dBi)</w:t>
            </w:r>
          </w:p>
        </w:tc>
        <w:tc>
          <w:tcPr>
            <w:tcW w:w="3289" w:type="dxa"/>
          </w:tcPr>
          <w:p w:rsidR="00B9359B" w:rsidRDefault="009A5268">
            <w:pPr>
              <w:pStyle w:val="Tabletext"/>
              <w:framePr w:hSpace="181" w:wrap="notBeside" w:vAnchor="text" w:hAnchor="text" w:xAlign="center" w:y="1"/>
              <w:spacing w:before="50" w:after="50"/>
              <w:jc w:val="center"/>
              <w:rPr>
                <w:sz w:val="20"/>
                <w:lang w:val="en-US"/>
              </w:rPr>
            </w:pPr>
            <w:r>
              <w:rPr>
                <w:sz w:val="20"/>
                <w:lang w:val="en-US"/>
              </w:rPr>
              <w:t>44</w:t>
            </w:r>
          </w:p>
        </w:tc>
        <w:tc>
          <w:tcPr>
            <w:tcW w:w="3515" w:type="dxa"/>
          </w:tcPr>
          <w:p w:rsidR="00B9359B" w:rsidRDefault="009A5268">
            <w:pPr>
              <w:pStyle w:val="Tabletext"/>
              <w:framePr w:hSpace="181" w:wrap="notBeside" w:vAnchor="text" w:hAnchor="text" w:xAlign="center" w:y="1"/>
              <w:spacing w:before="50" w:after="50"/>
              <w:jc w:val="center"/>
              <w:rPr>
                <w:sz w:val="20"/>
                <w:lang w:val="en-US"/>
              </w:rPr>
            </w:pPr>
            <w:r>
              <w:rPr>
                <w:sz w:val="20"/>
                <w:lang w:val="en-US"/>
              </w:rPr>
              <w:t>41.1</w:t>
            </w:r>
          </w:p>
        </w:tc>
      </w:tr>
      <w:tr w:rsidR="00B9359B" w:rsidRPr="00D35B94">
        <w:trPr>
          <w:jc w:val="center"/>
        </w:trPr>
        <w:tc>
          <w:tcPr>
            <w:tcW w:w="2892" w:type="dxa"/>
          </w:tcPr>
          <w:p w:rsidR="00B9359B" w:rsidRDefault="009A5268">
            <w:pPr>
              <w:pStyle w:val="Tabletext"/>
              <w:framePr w:hSpace="181" w:wrap="notBeside" w:vAnchor="text" w:hAnchor="text" w:xAlign="center" w:y="1"/>
              <w:spacing w:before="50" w:after="50"/>
              <w:rPr>
                <w:sz w:val="20"/>
                <w:lang w:val="en-US"/>
              </w:rPr>
            </w:pPr>
            <w:r>
              <w:rPr>
                <w:sz w:val="20"/>
                <w:lang w:val="en-US"/>
              </w:rPr>
              <w:t>Antenna scan</w:t>
            </w:r>
          </w:p>
        </w:tc>
        <w:tc>
          <w:tcPr>
            <w:tcW w:w="3289" w:type="dxa"/>
          </w:tcPr>
          <w:p w:rsidR="00B9359B" w:rsidRDefault="009A5268">
            <w:pPr>
              <w:pStyle w:val="Tabletext"/>
              <w:framePr w:hSpace="181" w:wrap="notBeside" w:vAnchor="text" w:hAnchor="text" w:xAlign="center" w:y="1"/>
              <w:tabs>
                <w:tab w:val="clear" w:pos="851"/>
                <w:tab w:val="clear" w:pos="1134"/>
                <w:tab w:val="left" w:pos="1072"/>
              </w:tabs>
              <w:spacing w:before="50" w:after="50"/>
              <w:jc w:val="center"/>
              <w:rPr>
                <w:sz w:val="20"/>
                <w:lang w:val="en-US"/>
              </w:rPr>
            </w:pPr>
            <w:r>
              <w:rPr>
                <w:sz w:val="20"/>
                <w:lang w:val="en-US"/>
              </w:rPr>
              <w:t>Elevation:  –30</w:t>
            </w:r>
            <w:r>
              <w:rPr>
                <w:rFonts w:ascii="Symbol" w:hAnsi="Symbol"/>
                <w:sz w:val="20"/>
              </w:rPr>
              <w:t></w:t>
            </w:r>
            <w:r>
              <w:rPr>
                <w:sz w:val="20"/>
                <w:lang w:val="en-US"/>
              </w:rPr>
              <w:t xml:space="preserve"> to </w:t>
            </w:r>
            <w:r>
              <w:rPr>
                <w:rFonts w:ascii="Symbol" w:hAnsi="Symbol"/>
                <w:sz w:val="20"/>
                <w:lang w:val="en-US"/>
              </w:rPr>
              <w:t></w:t>
            </w:r>
            <w:r>
              <w:rPr>
                <w:sz w:val="20"/>
                <w:lang w:val="en-US"/>
              </w:rPr>
              <w:t>10</w:t>
            </w:r>
            <w:r>
              <w:rPr>
                <w:rFonts w:ascii="Symbol" w:hAnsi="Symbol"/>
                <w:sz w:val="20"/>
              </w:rPr>
              <w:t></w:t>
            </w:r>
            <w:r>
              <w:rPr>
                <w:sz w:val="20"/>
                <w:lang w:val="en-US"/>
              </w:rPr>
              <w:t>, manual</w:t>
            </w:r>
            <w:r>
              <w:rPr>
                <w:sz w:val="20"/>
                <w:lang w:val="en-US"/>
              </w:rPr>
              <w:br/>
              <w:t>Azimuth:  360</w:t>
            </w:r>
            <w:r>
              <w:rPr>
                <w:rFonts w:ascii="Symbol" w:hAnsi="Symbol"/>
                <w:sz w:val="20"/>
              </w:rPr>
              <w:t></w:t>
            </w:r>
            <w:r>
              <w:rPr>
                <w:sz w:val="20"/>
                <w:lang w:val="en-US"/>
              </w:rPr>
              <w:t xml:space="preserve"> at 7, 12 or 21 r.p.m.</w:t>
            </w:r>
          </w:p>
        </w:tc>
        <w:tc>
          <w:tcPr>
            <w:tcW w:w="3515" w:type="dxa"/>
          </w:tcPr>
          <w:p w:rsidR="00B9359B" w:rsidRDefault="009A5268">
            <w:pPr>
              <w:pStyle w:val="Tabletext"/>
              <w:framePr w:hSpace="181" w:wrap="notBeside" w:vAnchor="text" w:hAnchor="text" w:xAlign="center" w:y="1"/>
              <w:tabs>
                <w:tab w:val="clear" w:pos="567"/>
                <w:tab w:val="clear" w:pos="851"/>
                <w:tab w:val="clear" w:pos="1134"/>
                <w:tab w:val="left" w:pos="1068"/>
              </w:tabs>
              <w:spacing w:before="50" w:after="50"/>
              <w:jc w:val="center"/>
              <w:rPr>
                <w:sz w:val="20"/>
                <w:lang w:val="en-US"/>
              </w:rPr>
            </w:pPr>
            <w:r>
              <w:rPr>
                <w:sz w:val="20"/>
                <w:lang w:val="en-US"/>
              </w:rPr>
              <w:t>Elevation:  –30</w:t>
            </w:r>
            <w:r>
              <w:rPr>
                <w:rFonts w:ascii="Symbol" w:hAnsi="Symbol"/>
                <w:sz w:val="20"/>
              </w:rPr>
              <w:t></w:t>
            </w:r>
            <w:r>
              <w:rPr>
                <w:sz w:val="20"/>
                <w:lang w:val="en-US"/>
              </w:rPr>
              <w:t xml:space="preserve"> to </w:t>
            </w:r>
            <w:r>
              <w:rPr>
                <w:rFonts w:ascii="Symbol" w:hAnsi="Symbol"/>
                <w:sz w:val="20"/>
                <w:lang w:val="en-US"/>
              </w:rPr>
              <w:t></w:t>
            </w:r>
            <w:r>
              <w:rPr>
                <w:sz w:val="20"/>
                <w:lang w:val="en-US"/>
              </w:rPr>
              <w:t>10</w:t>
            </w:r>
            <w:r>
              <w:rPr>
                <w:rFonts w:ascii="Symbol" w:hAnsi="Symbol"/>
                <w:sz w:val="20"/>
              </w:rPr>
              <w:t></w:t>
            </w:r>
            <w:r>
              <w:rPr>
                <w:sz w:val="20"/>
                <w:lang w:val="en-US"/>
              </w:rPr>
              <w:t>, manual</w:t>
            </w:r>
            <w:r>
              <w:rPr>
                <w:sz w:val="20"/>
                <w:lang w:val="en-US"/>
              </w:rPr>
              <w:br/>
              <w:t>Azimuth:  360</w:t>
            </w:r>
            <w:r>
              <w:rPr>
                <w:rFonts w:ascii="Symbol" w:hAnsi="Symbol"/>
                <w:sz w:val="20"/>
              </w:rPr>
              <w:t></w:t>
            </w:r>
            <w:r>
              <w:rPr>
                <w:sz w:val="20"/>
                <w:lang w:val="en-US"/>
              </w:rPr>
              <w:t xml:space="preserve"> at 12 or 45 r.p.m.</w:t>
            </w:r>
          </w:p>
        </w:tc>
      </w:tr>
    </w:tbl>
    <w:p w:rsidR="00B9359B" w:rsidRDefault="00B9359B">
      <w:pPr>
        <w:pStyle w:val="Tablefin"/>
      </w:pPr>
    </w:p>
    <w:p w:rsidR="00B9359B" w:rsidRDefault="009A5268">
      <w:pPr>
        <w:rPr>
          <w:lang w:val="en-US"/>
        </w:rPr>
      </w:pPr>
      <w:r>
        <w:rPr>
          <w:lang w:val="en-US"/>
        </w:rPr>
        <w:t>From Table 95, it can be concluded that the concept of pulse compression technique using coded pulses (with error detection capability) is not implemented in the considered radar systems.</w:t>
      </w:r>
    </w:p>
    <w:p w:rsidR="00B9359B" w:rsidRDefault="009A5268">
      <w:pPr>
        <w:rPr>
          <w:lang w:val="en-US"/>
        </w:rPr>
      </w:pPr>
      <w:r>
        <w:rPr>
          <w:lang w:val="en-US"/>
        </w:rPr>
        <w:t>It should be noted that the antenna rotation is mechanically, i.e. the antenna beam is not electronically controlled.</w:t>
      </w:r>
    </w:p>
    <w:p w:rsidR="00B9359B" w:rsidRDefault="009A5268">
      <w:pPr>
        <w:pStyle w:val="Heading2"/>
        <w:rPr>
          <w:lang w:val="en-US"/>
        </w:rPr>
      </w:pPr>
      <w:bookmarkStart w:id="529" w:name="_Toc51045929"/>
      <w:r>
        <w:rPr>
          <w:lang w:val="en-US"/>
        </w:rPr>
        <w:t>2.5</w:t>
      </w:r>
      <w:r>
        <w:rPr>
          <w:lang w:val="en-US"/>
        </w:rPr>
        <w:tab/>
        <w:t>Operational characteristics</w:t>
      </w:r>
      <w:bookmarkEnd w:id="529"/>
    </w:p>
    <w:p w:rsidR="00B9359B" w:rsidRDefault="009A5268">
      <w:pPr>
        <w:rPr>
          <w:lang w:val="en-US"/>
        </w:rPr>
      </w:pPr>
      <w:r>
        <w:rPr>
          <w:lang w:val="en-US"/>
        </w:rPr>
        <w:t>Up to 18 aircraft operating these radionavigation systems can be active in a small geographic area (i.e. separated by less than a kilometre from each other), though most often only 1</w:t>
      </w:r>
      <w:r>
        <w:rPr>
          <w:lang w:val="en-US"/>
        </w:rPr>
        <w:noBreakHyphen/>
        <w:t>3 aircraft will be operating simultaneously together.</w:t>
      </w:r>
    </w:p>
    <w:p w:rsidR="00B9359B" w:rsidRDefault="009A5268">
      <w:pPr>
        <w:pStyle w:val="Heading2"/>
        <w:rPr>
          <w:lang w:val="en-US"/>
        </w:rPr>
      </w:pPr>
      <w:bookmarkStart w:id="530" w:name="_Toc51045930"/>
      <w:r>
        <w:rPr>
          <w:lang w:val="en-US"/>
        </w:rPr>
        <w:t>2.6</w:t>
      </w:r>
      <w:r>
        <w:rPr>
          <w:lang w:val="en-US"/>
        </w:rPr>
        <w:tab/>
        <w:t>In band transmit power</w:t>
      </w:r>
      <w:bookmarkEnd w:id="530"/>
    </w:p>
    <w:p w:rsidR="00B9359B" w:rsidRDefault="009A5268">
      <w:pPr>
        <w:rPr>
          <w:lang w:val="en-US"/>
        </w:rPr>
      </w:pPr>
      <w:r>
        <w:rPr>
          <w:lang w:val="en-US"/>
        </w:rPr>
        <w:t>See Table 95.</w:t>
      </w:r>
    </w:p>
    <w:p w:rsidR="00B9359B" w:rsidRDefault="009A5268">
      <w:pPr>
        <w:pStyle w:val="Heading1"/>
        <w:rPr>
          <w:lang w:val="en-US"/>
        </w:rPr>
      </w:pPr>
      <w:bookmarkStart w:id="531" w:name="_Toc51045931"/>
      <w:r>
        <w:rPr>
          <w:lang w:val="en-US"/>
        </w:rPr>
        <w:t>3</w:t>
      </w:r>
      <w:r>
        <w:rPr>
          <w:lang w:val="en-US"/>
        </w:rPr>
        <w:tab/>
        <w:t>Compatibility threshold</w:t>
      </w:r>
      <w:bookmarkEnd w:id="531"/>
    </w:p>
    <w:p w:rsidR="00B9359B" w:rsidRDefault="009A5268">
      <w:pPr>
        <w:rPr>
          <w:lang w:val="en-US"/>
        </w:rPr>
      </w:pPr>
      <w:r>
        <w:rPr>
          <w:lang w:val="en-US"/>
        </w:rPr>
        <w:t>The passive sensor protection criterion is –163 dBW in a 100 MHz bandwidth (not to be exceeded for more than 0.01% of time as stipulated by Recommendation ITU-R SA.1029). Section 2.4 provides a set of characteristics for radionavigation systems to be deployed in this band. Based on this information, it is possible to derive the allowed power from each radionavigation system falling into the EESS band.</w:t>
      </w:r>
    </w:p>
    <w:p w:rsidR="00B9359B" w:rsidRDefault="009A5268">
      <w:pPr>
        <w:rPr>
          <w:lang w:val="en-US"/>
        </w:rPr>
      </w:pPr>
      <w:r>
        <w:rPr>
          <w:lang w:val="en-US"/>
        </w:rPr>
        <w:br w:type="page"/>
        <w:t xml:space="preserve">Interference is potentially received from several sources from multiple services simultaneously. The value listed in Recommendation ITU-R SA.1029 (for a specific band) is the maximum allowable interference level for the passive sensor. </w:t>
      </w:r>
    </w:p>
    <w:p w:rsidR="00B9359B" w:rsidRDefault="009A5268">
      <w:pPr>
        <w:rPr>
          <w:lang w:val="en-US"/>
        </w:rPr>
      </w:pPr>
      <w:r>
        <w:rPr>
          <w:lang w:val="en-US"/>
        </w:rPr>
        <w:t xml:space="preserve">This Annex provides an analysis of the interference generated by a single active service. </w:t>
      </w:r>
    </w:p>
    <w:p w:rsidR="00B9359B" w:rsidRDefault="009A5268">
      <w:pPr>
        <w:rPr>
          <w:lang w:val="en-US"/>
        </w:rPr>
      </w:pPr>
      <w:r>
        <w:rPr>
          <w:lang w:val="en-US"/>
        </w:rPr>
        <w:t>Further work is needed to address the impact of these multiple active services operating above and below the passive band.</w:t>
      </w:r>
    </w:p>
    <w:p w:rsidR="00B9359B" w:rsidRDefault="009A5268">
      <w:pPr>
        <w:pStyle w:val="Heading1"/>
        <w:rPr>
          <w:lang w:val="en-US"/>
        </w:rPr>
      </w:pPr>
      <w:bookmarkStart w:id="532" w:name="_Toc51045932"/>
      <w:r>
        <w:rPr>
          <w:lang w:val="en-US"/>
        </w:rPr>
        <w:t>4</w:t>
      </w:r>
      <w:r>
        <w:rPr>
          <w:lang w:val="en-US"/>
        </w:rPr>
        <w:tab/>
        <w:t>Interference assessment</w:t>
      </w:r>
      <w:bookmarkEnd w:id="532"/>
    </w:p>
    <w:p w:rsidR="00B9359B" w:rsidRDefault="009A5268">
      <w:pPr>
        <w:pStyle w:val="Heading2"/>
        <w:rPr>
          <w:lang w:val="en-US"/>
        </w:rPr>
      </w:pPr>
      <w:bookmarkStart w:id="533" w:name="_Toc51045933"/>
      <w:r>
        <w:rPr>
          <w:lang w:val="en-US"/>
        </w:rPr>
        <w:t>4.1</w:t>
      </w:r>
      <w:r>
        <w:rPr>
          <w:lang w:val="en-US"/>
        </w:rPr>
        <w:tab/>
        <w:t>Methodology to assess the interference level</w:t>
      </w:r>
      <w:bookmarkEnd w:id="533"/>
    </w:p>
    <w:p w:rsidR="00B9359B" w:rsidRDefault="009A5268">
      <w:pPr>
        <w:rPr>
          <w:lang w:val="en-US"/>
        </w:rPr>
      </w:pPr>
      <w:r>
        <w:rPr>
          <w:lang w:val="en-US"/>
        </w:rPr>
        <w:t xml:space="preserve">The first step is to analyse the required attenuation to satisfy the EESS (passive) protection criteria. The second step is to calculate the attenuation when the EESS (passive) band is falling just outside the </w:t>
      </w:r>
      <w:r>
        <w:rPr>
          <w:rFonts w:ascii="Symbol" w:hAnsi="Symbol"/>
          <w:lang w:val="en-US"/>
        </w:rPr>
        <w:noBreakHyphen/>
      </w:r>
      <w:r>
        <w:rPr>
          <w:lang w:val="en-US"/>
        </w:rPr>
        <w:t>40 dB bandwidth of the radar.</w:t>
      </w:r>
    </w:p>
    <w:p w:rsidR="00B9359B" w:rsidRDefault="009A5268">
      <w:pPr>
        <w:pStyle w:val="Heading2"/>
        <w:rPr>
          <w:lang w:val="en-US"/>
        </w:rPr>
      </w:pPr>
      <w:bookmarkStart w:id="534" w:name="_Toc51045934"/>
      <w:r>
        <w:rPr>
          <w:lang w:val="en-US"/>
        </w:rPr>
        <w:t>4.2</w:t>
      </w:r>
      <w:r>
        <w:rPr>
          <w:lang w:val="en-US"/>
        </w:rPr>
        <w:tab/>
        <w:t>Calculation of interference level</w:t>
      </w:r>
      <w:bookmarkEnd w:id="534"/>
    </w:p>
    <w:p w:rsidR="00B9359B" w:rsidRDefault="009A5268">
      <w:pPr>
        <w:pStyle w:val="Heading3"/>
        <w:rPr>
          <w:lang w:val="en-US"/>
        </w:rPr>
      </w:pPr>
      <w:bookmarkStart w:id="535" w:name="_Toc51045935"/>
      <w:r>
        <w:rPr>
          <w:lang w:val="en-US"/>
        </w:rPr>
        <w:t>4.2.1</w:t>
      </w:r>
      <w:r>
        <w:rPr>
          <w:lang w:val="en-US"/>
        </w:rPr>
        <w:tab/>
        <w:t>Required attenuation in passive band</w:t>
      </w:r>
      <w:bookmarkEnd w:id="535"/>
    </w:p>
    <w:p w:rsidR="00B9359B" w:rsidRDefault="009A5268">
      <w:pPr>
        <w:rPr>
          <w:lang w:val="en-US"/>
        </w:rPr>
      </w:pPr>
      <w:r>
        <w:rPr>
          <w:lang w:val="en-US"/>
        </w:rPr>
        <w:t>The required attenuation for the four radiolocation systems is given in Table 96, for which the EESS (passive) instrument’s antenna main-lobe “sees” the radar antenna side-lobe of the radionavi</w:t>
      </w:r>
      <w:r>
        <w:rPr>
          <w:lang w:val="en-US"/>
        </w:rPr>
        <w:softHyphen/>
        <w:t>gation system.</w:t>
      </w:r>
    </w:p>
    <w:p w:rsidR="00B9359B" w:rsidRDefault="009A5268">
      <w:pPr>
        <w:pStyle w:val="TableNo"/>
        <w:rPr>
          <w:lang w:val="en-US"/>
        </w:rPr>
      </w:pPr>
      <w:r>
        <w:rPr>
          <w:lang w:val="en-US"/>
        </w:rPr>
        <w:t>TABLE  96</w:t>
      </w:r>
    </w:p>
    <w:p w:rsidR="00B9359B" w:rsidRDefault="009A5268">
      <w:pPr>
        <w:pStyle w:val="Tabletitle"/>
        <w:rPr>
          <w:lang w:val="en-US"/>
        </w:rPr>
      </w:pPr>
      <w:r>
        <w:rPr>
          <w:lang w:val="en-US"/>
        </w:rPr>
        <w:t>Compatibility analysis with radar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1644"/>
        <w:gridCol w:w="1644"/>
      </w:tblGrid>
      <w:tr w:rsidR="00B9359B">
        <w:trPr>
          <w:trHeight w:val="255"/>
        </w:trPr>
        <w:tc>
          <w:tcPr>
            <w:tcW w:w="5954" w:type="dxa"/>
            <w:vAlign w:val="bottom"/>
          </w:tcPr>
          <w:p w:rsidR="00B9359B" w:rsidRDefault="00B9359B">
            <w:pPr>
              <w:pStyle w:val="Tablehead"/>
              <w:framePr w:hSpace="181" w:wrap="notBeside" w:vAnchor="text" w:hAnchor="text" w:xAlign="center" w:y="1"/>
              <w:rPr>
                <w:lang w:val="en-US"/>
              </w:rPr>
            </w:pPr>
          </w:p>
        </w:tc>
        <w:tc>
          <w:tcPr>
            <w:tcW w:w="1644" w:type="dxa"/>
            <w:vAlign w:val="bottom"/>
          </w:tcPr>
          <w:p w:rsidR="00B9359B" w:rsidRDefault="009A5268">
            <w:pPr>
              <w:pStyle w:val="Tablehead"/>
              <w:framePr w:hSpace="181" w:wrap="notBeside" w:vAnchor="text" w:hAnchor="text" w:xAlign="center" w:y="1"/>
              <w:rPr>
                <w:lang w:val="en-US"/>
              </w:rPr>
            </w:pPr>
            <w:r>
              <w:rPr>
                <w:lang w:val="en-US"/>
              </w:rPr>
              <w:t>System 1</w:t>
            </w:r>
          </w:p>
        </w:tc>
        <w:tc>
          <w:tcPr>
            <w:tcW w:w="1644" w:type="dxa"/>
          </w:tcPr>
          <w:p w:rsidR="00B9359B" w:rsidRDefault="009A5268">
            <w:pPr>
              <w:pStyle w:val="Tablehead"/>
              <w:framePr w:hSpace="181" w:wrap="notBeside" w:vAnchor="text" w:hAnchor="text" w:xAlign="center" w:y="1"/>
              <w:rPr>
                <w:lang w:val="en-US"/>
              </w:rPr>
            </w:pPr>
            <w:r>
              <w:rPr>
                <w:lang w:val="en-US"/>
              </w:rPr>
              <w:t>System 2</w:t>
            </w:r>
          </w:p>
        </w:tc>
      </w:tr>
      <w:tr w:rsidR="00B9359B">
        <w:trPr>
          <w:trHeight w:val="255"/>
        </w:trPr>
        <w:tc>
          <w:tcPr>
            <w:tcW w:w="5954" w:type="dxa"/>
            <w:vAlign w:val="bottom"/>
          </w:tcPr>
          <w:p w:rsidR="00B9359B" w:rsidRDefault="009A5268">
            <w:pPr>
              <w:pStyle w:val="Tabletext"/>
              <w:framePr w:hSpace="181" w:wrap="notBeside" w:vAnchor="text" w:hAnchor="text" w:xAlign="center" w:y="1"/>
              <w:spacing w:before="50" w:after="50"/>
              <w:ind w:left="113"/>
              <w:rPr>
                <w:rFonts w:eastAsia="Arial Unicode MS"/>
                <w:lang w:val="en-US"/>
              </w:rPr>
            </w:pPr>
            <w:r>
              <w:rPr>
                <w:lang w:val="en-US"/>
              </w:rPr>
              <w:t>Frequency (GHz)</w:t>
            </w:r>
          </w:p>
        </w:tc>
        <w:tc>
          <w:tcPr>
            <w:tcW w:w="1644" w:type="dxa"/>
            <w:vAlign w:val="bottom"/>
          </w:tcPr>
          <w:p w:rsidR="00B9359B" w:rsidRDefault="009A5268">
            <w:pPr>
              <w:pStyle w:val="Tabletext"/>
              <w:framePr w:hSpace="181" w:wrap="notBeside" w:vAnchor="text" w:hAnchor="text" w:xAlign="center" w:y="1"/>
              <w:spacing w:before="50" w:after="50"/>
              <w:jc w:val="center"/>
              <w:rPr>
                <w:rFonts w:eastAsia="Arial Unicode MS"/>
                <w:lang w:val="en-US"/>
              </w:rPr>
            </w:pPr>
            <w:r>
              <w:rPr>
                <w:lang w:val="en-US"/>
              </w:rPr>
              <w:t>31.8</w:t>
            </w:r>
          </w:p>
        </w:tc>
        <w:tc>
          <w:tcPr>
            <w:tcW w:w="1644" w:type="dxa"/>
          </w:tcPr>
          <w:p w:rsidR="00B9359B" w:rsidRDefault="009A5268">
            <w:pPr>
              <w:pStyle w:val="Tabletext"/>
              <w:framePr w:hSpace="181" w:wrap="notBeside" w:vAnchor="text" w:hAnchor="text" w:xAlign="center" w:y="1"/>
              <w:spacing w:before="50" w:after="50"/>
              <w:jc w:val="center"/>
              <w:rPr>
                <w:lang w:val="en-US"/>
              </w:rPr>
            </w:pPr>
            <w:r>
              <w:rPr>
                <w:lang w:val="en-US"/>
              </w:rPr>
              <w:t>31.8</w:t>
            </w:r>
          </w:p>
        </w:tc>
      </w:tr>
      <w:tr w:rsidR="00B9359B">
        <w:trPr>
          <w:trHeight w:val="255"/>
        </w:trPr>
        <w:tc>
          <w:tcPr>
            <w:tcW w:w="5954" w:type="dxa"/>
            <w:vAlign w:val="bottom"/>
          </w:tcPr>
          <w:p w:rsidR="00B9359B" w:rsidRDefault="009A5268">
            <w:pPr>
              <w:pStyle w:val="Tabletext"/>
              <w:framePr w:hSpace="181" w:wrap="notBeside" w:vAnchor="text" w:hAnchor="text" w:xAlign="center" w:y="1"/>
              <w:spacing w:before="50" w:after="50"/>
              <w:ind w:left="113"/>
              <w:rPr>
                <w:lang w:val="en-US"/>
              </w:rPr>
            </w:pPr>
            <w:r>
              <w:rPr>
                <w:lang w:val="en-US"/>
              </w:rPr>
              <w:t>Radionavigation power (dBW)</w:t>
            </w:r>
          </w:p>
        </w:tc>
        <w:tc>
          <w:tcPr>
            <w:tcW w:w="1644" w:type="dxa"/>
            <w:vAlign w:val="bottom"/>
          </w:tcPr>
          <w:p w:rsidR="00B9359B" w:rsidRDefault="009A5268">
            <w:pPr>
              <w:pStyle w:val="Tabletext"/>
              <w:framePr w:hSpace="181" w:wrap="notBeside" w:vAnchor="text" w:hAnchor="text" w:xAlign="center" w:y="1"/>
              <w:spacing w:before="50" w:after="50"/>
              <w:jc w:val="center"/>
              <w:rPr>
                <w:lang w:val="en-US"/>
              </w:rPr>
            </w:pPr>
            <w:r>
              <w:rPr>
                <w:lang w:val="en-US"/>
              </w:rPr>
              <w:t>47.8</w:t>
            </w:r>
          </w:p>
        </w:tc>
        <w:tc>
          <w:tcPr>
            <w:tcW w:w="1644" w:type="dxa"/>
          </w:tcPr>
          <w:p w:rsidR="00B9359B" w:rsidRDefault="009A5268">
            <w:pPr>
              <w:pStyle w:val="Tabletext"/>
              <w:framePr w:hSpace="181" w:wrap="notBeside" w:vAnchor="text" w:hAnchor="text" w:xAlign="center" w:y="1"/>
              <w:spacing w:before="50" w:after="50"/>
              <w:jc w:val="center"/>
              <w:rPr>
                <w:lang w:val="en-US"/>
              </w:rPr>
            </w:pPr>
            <w:r>
              <w:rPr>
                <w:lang w:val="en-US"/>
              </w:rPr>
              <w:t>45.9</w:t>
            </w:r>
          </w:p>
        </w:tc>
      </w:tr>
      <w:tr w:rsidR="00B9359B">
        <w:trPr>
          <w:trHeight w:val="255"/>
        </w:trPr>
        <w:tc>
          <w:tcPr>
            <w:tcW w:w="5954" w:type="dxa"/>
            <w:vAlign w:val="bottom"/>
          </w:tcPr>
          <w:p w:rsidR="00B9359B" w:rsidRDefault="009A5268">
            <w:pPr>
              <w:pStyle w:val="Tabletext"/>
              <w:framePr w:hSpace="181" w:wrap="notBeside" w:vAnchor="text" w:hAnchor="text" w:xAlign="center" w:y="1"/>
              <w:spacing w:before="50" w:after="50"/>
              <w:ind w:left="113"/>
              <w:rPr>
                <w:lang w:val="en-US"/>
              </w:rPr>
            </w:pPr>
            <w:r>
              <w:rPr>
                <w:lang w:val="en-US"/>
              </w:rPr>
              <w:t>Radionavigation antenna gain</w:t>
            </w:r>
          </w:p>
        </w:tc>
        <w:tc>
          <w:tcPr>
            <w:tcW w:w="1644" w:type="dxa"/>
            <w:vAlign w:val="bottom"/>
          </w:tcPr>
          <w:p w:rsidR="00B9359B" w:rsidRDefault="009A5268">
            <w:pPr>
              <w:pStyle w:val="Tabletext"/>
              <w:framePr w:hSpace="181" w:wrap="notBeside" w:vAnchor="text" w:hAnchor="text" w:xAlign="center" w:y="1"/>
              <w:spacing w:before="50" w:after="50"/>
              <w:jc w:val="center"/>
              <w:rPr>
                <w:lang w:val="en-US"/>
              </w:rPr>
            </w:pPr>
            <w:r>
              <w:rPr>
                <w:lang w:val="en-US"/>
              </w:rPr>
              <w:t>–10</w:t>
            </w:r>
          </w:p>
        </w:tc>
        <w:tc>
          <w:tcPr>
            <w:tcW w:w="1644" w:type="dxa"/>
          </w:tcPr>
          <w:p w:rsidR="00B9359B" w:rsidRDefault="009A5268">
            <w:pPr>
              <w:pStyle w:val="Tabletext"/>
              <w:framePr w:hSpace="181" w:wrap="notBeside" w:vAnchor="text" w:hAnchor="text" w:xAlign="center" w:y="1"/>
              <w:spacing w:before="50" w:after="50"/>
              <w:jc w:val="center"/>
              <w:rPr>
                <w:lang w:val="en-US"/>
              </w:rPr>
            </w:pPr>
            <w:r>
              <w:rPr>
                <w:lang w:val="en-US"/>
              </w:rPr>
              <w:t>–10</w:t>
            </w:r>
          </w:p>
        </w:tc>
      </w:tr>
      <w:tr w:rsidR="00B9359B">
        <w:trPr>
          <w:trHeight w:val="255"/>
        </w:trPr>
        <w:tc>
          <w:tcPr>
            <w:tcW w:w="5954" w:type="dxa"/>
            <w:vAlign w:val="bottom"/>
          </w:tcPr>
          <w:p w:rsidR="00B9359B" w:rsidRDefault="009A5268">
            <w:pPr>
              <w:pStyle w:val="Tabletext"/>
              <w:framePr w:hSpace="181" w:wrap="notBeside" w:vAnchor="text" w:hAnchor="text" w:xAlign="center" w:y="1"/>
              <w:spacing w:before="50" w:after="50"/>
              <w:ind w:left="113"/>
              <w:rPr>
                <w:rFonts w:eastAsia="Arial Unicode MS"/>
                <w:lang w:val="en-US"/>
              </w:rPr>
            </w:pPr>
            <w:r>
              <w:rPr>
                <w:lang w:val="en-US"/>
              </w:rPr>
              <w:t>Altitude (km)</w:t>
            </w:r>
          </w:p>
        </w:tc>
        <w:tc>
          <w:tcPr>
            <w:tcW w:w="1644" w:type="dxa"/>
            <w:vAlign w:val="bottom"/>
          </w:tcPr>
          <w:p w:rsidR="00B9359B" w:rsidRDefault="009A5268">
            <w:pPr>
              <w:pStyle w:val="Tabletext"/>
              <w:framePr w:hSpace="181" w:wrap="notBeside" w:vAnchor="text" w:hAnchor="text" w:xAlign="center" w:y="1"/>
              <w:spacing w:before="50" w:after="50"/>
              <w:jc w:val="center"/>
              <w:rPr>
                <w:rFonts w:eastAsia="Arial Unicode MS"/>
                <w:lang w:val="en-US"/>
              </w:rPr>
            </w:pPr>
            <w:r>
              <w:rPr>
                <w:lang w:val="en-US"/>
              </w:rPr>
              <w:t>850</w:t>
            </w:r>
          </w:p>
        </w:tc>
        <w:tc>
          <w:tcPr>
            <w:tcW w:w="1644" w:type="dxa"/>
          </w:tcPr>
          <w:p w:rsidR="00B9359B" w:rsidRDefault="009A5268">
            <w:pPr>
              <w:pStyle w:val="Tabletext"/>
              <w:framePr w:hSpace="181" w:wrap="notBeside" w:vAnchor="text" w:hAnchor="text" w:xAlign="center" w:y="1"/>
              <w:spacing w:before="50" w:after="50"/>
              <w:jc w:val="center"/>
              <w:rPr>
                <w:lang w:val="en-US"/>
              </w:rPr>
            </w:pPr>
            <w:r>
              <w:rPr>
                <w:lang w:val="en-US"/>
              </w:rPr>
              <w:t>850</w:t>
            </w:r>
          </w:p>
        </w:tc>
      </w:tr>
      <w:tr w:rsidR="00B9359B">
        <w:trPr>
          <w:trHeight w:val="255"/>
        </w:trPr>
        <w:tc>
          <w:tcPr>
            <w:tcW w:w="5954" w:type="dxa"/>
            <w:vAlign w:val="bottom"/>
          </w:tcPr>
          <w:p w:rsidR="00B9359B" w:rsidRDefault="009A5268">
            <w:pPr>
              <w:pStyle w:val="Tabletext"/>
              <w:framePr w:hSpace="181" w:wrap="notBeside" w:vAnchor="text" w:hAnchor="text" w:xAlign="center" w:y="1"/>
              <w:spacing w:before="50" w:after="50"/>
              <w:ind w:left="113"/>
              <w:rPr>
                <w:rFonts w:eastAsia="Arial Unicode MS"/>
                <w:lang w:val="en-US"/>
              </w:rPr>
            </w:pPr>
            <w:r>
              <w:rPr>
                <w:lang w:val="en-US"/>
              </w:rPr>
              <w:t>Free space loss</w:t>
            </w:r>
          </w:p>
        </w:tc>
        <w:tc>
          <w:tcPr>
            <w:tcW w:w="1644" w:type="dxa"/>
            <w:vAlign w:val="bottom"/>
          </w:tcPr>
          <w:p w:rsidR="00B9359B" w:rsidRDefault="009A5268">
            <w:pPr>
              <w:pStyle w:val="Tabletext"/>
              <w:framePr w:hSpace="181" w:wrap="notBeside" w:vAnchor="text" w:hAnchor="text" w:xAlign="center" w:y="1"/>
              <w:spacing w:before="50" w:after="50"/>
              <w:jc w:val="center"/>
              <w:rPr>
                <w:rFonts w:eastAsia="Arial Unicode MS"/>
                <w:lang w:val="en-US"/>
              </w:rPr>
            </w:pPr>
            <w:r>
              <w:rPr>
                <w:lang w:val="en-US"/>
              </w:rPr>
              <w:t>181</w:t>
            </w:r>
          </w:p>
        </w:tc>
        <w:tc>
          <w:tcPr>
            <w:tcW w:w="1644" w:type="dxa"/>
          </w:tcPr>
          <w:p w:rsidR="00B9359B" w:rsidRDefault="009A5268">
            <w:pPr>
              <w:pStyle w:val="Tabletext"/>
              <w:framePr w:hSpace="181" w:wrap="notBeside" w:vAnchor="text" w:hAnchor="text" w:xAlign="center" w:y="1"/>
              <w:spacing w:before="50" w:after="50"/>
              <w:jc w:val="center"/>
              <w:rPr>
                <w:lang w:val="en-US"/>
              </w:rPr>
            </w:pPr>
            <w:r>
              <w:rPr>
                <w:lang w:val="en-US"/>
              </w:rPr>
              <w:t>181</w:t>
            </w:r>
          </w:p>
        </w:tc>
      </w:tr>
      <w:tr w:rsidR="00B9359B">
        <w:trPr>
          <w:trHeight w:val="255"/>
        </w:trPr>
        <w:tc>
          <w:tcPr>
            <w:tcW w:w="5954" w:type="dxa"/>
            <w:vAlign w:val="bottom"/>
          </w:tcPr>
          <w:p w:rsidR="00B9359B" w:rsidRDefault="009A5268">
            <w:pPr>
              <w:pStyle w:val="Tabletext"/>
              <w:framePr w:hSpace="181" w:wrap="notBeside" w:vAnchor="text" w:hAnchor="text" w:xAlign="center" w:y="1"/>
              <w:spacing w:before="50" w:after="50"/>
              <w:ind w:left="113"/>
              <w:rPr>
                <w:rFonts w:eastAsia="Arial Unicode MS"/>
                <w:lang w:val="en-US"/>
              </w:rPr>
            </w:pPr>
            <w:r>
              <w:rPr>
                <w:lang w:val="en-US"/>
              </w:rPr>
              <w:t>Gain EESS</w:t>
            </w:r>
          </w:p>
        </w:tc>
        <w:tc>
          <w:tcPr>
            <w:tcW w:w="1644" w:type="dxa"/>
            <w:vAlign w:val="bottom"/>
          </w:tcPr>
          <w:p w:rsidR="00B9359B" w:rsidRDefault="009A5268">
            <w:pPr>
              <w:pStyle w:val="Tabletext"/>
              <w:framePr w:hSpace="181" w:wrap="notBeside" w:vAnchor="text" w:hAnchor="text" w:xAlign="center" w:y="1"/>
              <w:spacing w:before="50" w:after="50"/>
              <w:jc w:val="center"/>
              <w:rPr>
                <w:rFonts w:eastAsia="Arial Unicode MS"/>
                <w:lang w:val="en-US"/>
              </w:rPr>
            </w:pPr>
            <w:r>
              <w:rPr>
                <w:lang w:val="en-US"/>
              </w:rPr>
              <w:t>45</w:t>
            </w:r>
          </w:p>
        </w:tc>
        <w:tc>
          <w:tcPr>
            <w:tcW w:w="1644" w:type="dxa"/>
          </w:tcPr>
          <w:p w:rsidR="00B9359B" w:rsidRDefault="009A5268">
            <w:pPr>
              <w:pStyle w:val="Tabletext"/>
              <w:framePr w:hSpace="181" w:wrap="notBeside" w:vAnchor="text" w:hAnchor="text" w:xAlign="center" w:y="1"/>
              <w:spacing w:before="50" w:after="50"/>
              <w:jc w:val="center"/>
              <w:rPr>
                <w:lang w:val="en-US"/>
              </w:rPr>
            </w:pPr>
            <w:r>
              <w:rPr>
                <w:lang w:val="en-US"/>
              </w:rPr>
              <w:t>45</w:t>
            </w:r>
          </w:p>
        </w:tc>
      </w:tr>
      <w:tr w:rsidR="00B9359B">
        <w:trPr>
          <w:trHeight w:val="255"/>
        </w:trPr>
        <w:tc>
          <w:tcPr>
            <w:tcW w:w="5954" w:type="dxa"/>
            <w:vAlign w:val="bottom"/>
          </w:tcPr>
          <w:p w:rsidR="00B9359B" w:rsidRDefault="009A5268">
            <w:pPr>
              <w:pStyle w:val="Tabletext"/>
              <w:framePr w:hSpace="181" w:wrap="notBeside" w:vAnchor="text" w:hAnchor="text" w:xAlign="center" w:y="1"/>
              <w:spacing w:before="50" w:after="50"/>
              <w:ind w:left="113"/>
              <w:rPr>
                <w:lang w:val="en-US"/>
              </w:rPr>
            </w:pPr>
            <w:r>
              <w:rPr>
                <w:lang w:val="en-US"/>
              </w:rPr>
              <w:t>Power in a 100 MHz reference bandwidth</w:t>
            </w:r>
          </w:p>
        </w:tc>
        <w:tc>
          <w:tcPr>
            <w:tcW w:w="1644" w:type="dxa"/>
            <w:vAlign w:val="bottom"/>
          </w:tcPr>
          <w:p w:rsidR="00B9359B" w:rsidRDefault="009A5268">
            <w:pPr>
              <w:pStyle w:val="Tabletext"/>
              <w:framePr w:hSpace="181" w:wrap="notBeside" w:vAnchor="text" w:hAnchor="text" w:xAlign="center" w:y="1"/>
              <w:spacing w:before="50" w:after="50"/>
              <w:jc w:val="center"/>
              <w:rPr>
                <w:lang w:val="en-US"/>
              </w:rPr>
            </w:pPr>
            <w:r>
              <w:rPr>
                <w:lang w:val="en-US"/>
              </w:rPr>
              <w:t>–98.2</w:t>
            </w:r>
          </w:p>
        </w:tc>
        <w:tc>
          <w:tcPr>
            <w:tcW w:w="1644" w:type="dxa"/>
          </w:tcPr>
          <w:p w:rsidR="00B9359B" w:rsidRDefault="009A5268">
            <w:pPr>
              <w:pStyle w:val="Tabletext"/>
              <w:framePr w:hSpace="181" w:wrap="notBeside" w:vAnchor="text" w:hAnchor="text" w:xAlign="center" w:y="1"/>
              <w:spacing w:before="50" w:after="50"/>
              <w:jc w:val="center"/>
              <w:rPr>
                <w:lang w:val="en-US"/>
              </w:rPr>
            </w:pPr>
            <w:r>
              <w:rPr>
                <w:lang w:val="en-US"/>
              </w:rPr>
              <w:t>–100</w:t>
            </w:r>
          </w:p>
        </w:tc>
      </w:tr>
      <w:tr w:rsidR="00B9359B">
        <w:trPr>
          <w:trHeight w:val="255"/>
        </w:trPr>
        <w:tc>
          <w:tcPr>
            <w:tcW w:w="5954" w:type="dxa"/>
            <w:vAlign w:val="bottom"/>
          </w:tcPr>
          <w:p w:rsidR="00B9359B" w:rsidRDefault="009A5268">
            <w:pPr>
              <w:pStyle w:val="Tabletext"/>
              <w:framePr w:hSpace="181" w:wrap="notBeside" w:vAnchor="text" w:hAnchor="text" w:xAlign="center" w:y="1"/>
              <w:spacing w:before="50" w:after="50"/>
              <w:ind w:left="113"/>
              <w:rPr>
                <w:rFonts w:eastAsia="Arial Unicode MS"/>
                <w:lang w:val="en-US"/>
              </w:rPr>
            </w:pPr>
            <w:r>
              <w:rPr>
                <w:lang w:val="en-US"/>
              </w:rPr>
              <w:t>Interference criteria (dB(W/100 MHz))</w:t>
            </w:r>
          </w:p>
        </w:tc>
        <w:tc>
          <w:tcPr>
            <w:tcW w:w="1644" w:type="dxa"/>
            <w:vAlign w:val="bottom"/>
          </w:tcPr>
          <w:p w:rsidR="00B9359B" w:rsidRDefault="009A5268">
            <w:pPr>
              <w:pStyle w:val="Tabletext"/>
              <w:framePr w:hSpace="181" w:wrap="notBeside" w:vAnchor="text" w:hAnchor="text" w:xAlign="center" w:y="1"/>
              <w:spacing w:before="50" w:after="50"/>
              <w:jc w:val="center"/>
              <w:rPr>
                <w:rFonts w:eastAsia="Arial Unicode MS"/>
                <w:lang w:val="en-US"/>
              </w:rPr>
            </w:pPr>
            <w:r>
              <w:rPr>
                <w:lang w:val="en-US"/>
              </w:rPr>
              <w:t>–163</w:t>
            </w:r>
          </w:p>
        </w:tc>
        <w:tc>
          <w:tcPr>
            <w:tcW w:w="1644" w:type="dxa"/>
          </w:tcPr>
          <w:p w:rsidR="00B9359B" w:rsidRDefault="009A5268">
            <w:pPr>
              <w:pStyle w:val="Tabletext"/>
              <w:framePr w:hSpace="181" w:wrap="notBeside" w:vAnchor="text" w:hAnchor="text" w:xAlign="center" w:y="1"/>
              <w:spacing w:before="50" w:after="50"/>
              <w:jc w:val="center"/>
              <w:rPr>
                <w:lang w:val="en-US"/>
              </w:rPr>
            </w:pPr>
            <w:r>
              <w:rPr>
                <w:lang w:val="en-US"/>
              </w:rPr>
              <w:t>–163</w:t>
            </w:r>
          </w:p>
        </w:tc>
      </w:tr>
      <w:tr w:rsidR="00B9359B">
        <w:trPr>
          <w:trHeight w:val="255"/>
        </w:trPr>
        <w:tc>
          <w:tcPr>
            <w:tcW w:w="5954" w:type="dxa"/>
            <w:vAlign w:val="bottom"/>
          </w:tcPr>
          <w:p w:rsidR="00B9359B" w:rsidRDefault="009A5268">
            <w:pPr>
              <w:pStyle w:val="Tabletext"/>
              <w:framePr w:hSpace="181" w:wrap="notBeside" w:vAnchor="text" w:hAnchor="text" w:xAlign="center" w:y="1"/>
              <w:spacing w:before="50" w:after="50"/>
              <w:ind w:left="113"/>
              <w:rPr>
                <w:rFonts w:eastAsia="Arial Unicode MS"/>
                <w:lang w:val="en-US"/>
              </w:rPr>
            </w:pPr>
            <w:r>
              <w:rPr>
                <w:lang w:val="en-US"/>
              </w:rPr>
              <w:t>Required attenuation</w:t>
            </w:r>
          </w:p>
        </w:tc>
        <w:tc>
          <w:tcPr>
            <w:tcW w:w="1644" w:type="dxa"/>
            <w:vAlign w:val="bottom"/>
          </w:tcPr>
          <w:p w:rsidR="00B9359B" w:rsidRDefault="009A5268">
            <w:pPr>
              <w:pStyle w:val="Tabletext"/>
              <w:framePr w:hSpace="181" w:wrap="notBeside" w:vAnchor="text" w:hAnchor="text" w:xAlign="center" w:y="1"/>
              <w:spacing w:before="50" w:after="50"/>
              <w:jc w:val="center"/>
              <w:rPr>
                <w:rFonts w:eastAsia="Arial Unicode MS"/>
                <w:lang w:val="en-US"/>
              </w:rPr>
            </w:pPr>
            <w:r>
              <w:rPr>
                <w:lang w:val="en-US"/>
              </w:rPr>
              <w:t>–64.8</w:t>
            </w:r>
          </w:p>
        </w:tc>
        <w:tc>
          <w:tcPr>
            <w:tcW w:w="1644" w:type="dxa"/>
          </w:tcPr>
          <w:p w:rsidR="00B9359B" w:rsidRDefault="009A5268">
            <w:pPr>
              <w:pStyle w:val="Tabletext"/>
              <w:framePr w:hSpace="181" w:wrap="notBeside" w:vAnchor="text" w:hAnchor="text" w:xAlign="center" w:y="1"/>
              <w:spacing w:before="50" w:after="50"/>
              <w:jc w:val="center"/>
              <w:rPr>
                <w:lang w:val="en-US"/>
              </w:rPr>
            </w:pPr>
            <w:r>
              <w:rPr>
                <w:lang w:val="en-US"/>
              </w:rPr>
              <w:t>–63</w:t>
            </w:r>
          </w:p>
        </w:tc>
      </w:tr>
    </w:tbl>
    <w:p w:rsidR="00B9359B" w:rsidRDefault="00B9359B">
      <w:pPr>
        <w:pStyle w:val="Tablefin"/>
      </w:pPr>
    </w:p>
    <w:p w:rsidR="00B9359B" w:rsidRDefault="009A5268">
      <w:pPr>
        <w:pStyle w:val="Heading3"/>
        <w:rPr>
          <w:lang w:val="en-US"/>
        </w:rPr>
      </w:pPr>
      <w:bookmarkStart w:id="536" w:name="_Toc51045936"/>
      <w:r>
        <w:rPr>
          <w:lang w:val="en-US"/>
        </w:rPr>
        <w:t>4.2.2</w:t>
      </w:r>
      <w:r>
        <w:rPr>
          <w:lang w:val="en-US"/>
        </w:rPr>
        <w:tab/>
        <w:t>Calculation of unwanted emissions from radar Systems 1 and 2</w:t>
      </w:r>
      <w:bookmarkEnd w:id="536"/>
    </w:p>
    <w:p w:rsidR="00B9359B" w:rsidRDefault="009A5268">
      <w:pPr>
        <w:rPr>
          <w:lang w:val="en-US"/>
        </w:rPr>
      </w:pPr>
      <w:r>
        <w:rPr>
          <w:lang w:val="en-US"/>
        </w:rPr>
        <w:t>An assumption used in this analysis is that the –</w:t>
      </w:r>
      <w:r>
        <w:rPr>
          <w:sz w:val="4"/>
          <w:lang w:val="en-US"/>
        </w:rPr>
        <w:t> </w:t>
      </w:r>
      <w:r>
        <w:rPr>
          <w:lang w:val="en-US"/>
        </w:rPr>
        <w:t xml:space="preserve">40 dB bandwidth of the radar is located within the radionavigation band and that the EESS band is located from the 50% value of the </w:t>
      </w:r>
      <w:r>
        <w:rPr>
          <w:rFonts w:ascii="Symbol" w:hAnsi="Symbol"/>
          <w:lang w:val="en-US"/>
        </w:rPr>
        <w:noBreakHyphen/>
      </w:r>
      <w:r>
        <w:rPr>
          <w:lang w:val="en-US"/>
        </w:rPr>
        <w:t>40 dB band</w:t>
      </w:r>
      <w:r>
        <w:rPr>
          <w:lang w:val="en-US"/>
        </w:rPr>
        <w:softHyphen/>
        <w:t>width as depicted in Fig. 61.</w:t>
      </w:r>
    </w:p>
    <w:p w:rsidR="00B9359B" w:rsidRDefault="009A5268">
      <w:pPr>
        <w:rPr>
          <w:lang w:val="en-US"/>
        </w:rPr>
      </w:pPr>
      <w:r>
        <w:rPr>
          <w:lang w:val="en-US"/>
        </w:rPr>
        <w:br w:type="page"/>
        <w:t xml:space="preserve">For Systems 1 and 2 the attenuation levels have been calculated. This has been done using the mask and equations in Annex 8 of Recommendation ITU-R SM.1541. For the calculations of both the necessary bandwidth and the </w:t>
      </w:r>
      <w:r>
        <w:rPr>
          <w:rFonts w:ascii="Symbol" w:hAnsi="Symbol"/>
          <w:lang w:val="en-US"/>
        </w:rPr>
        <w:noBreakHyphen/>
      </w:r>
      <w:r>
        <w:rPr>
          <w:lang w:val="en-US"/>
        </w:rPr>
        <w:t xml:space="preserve">40 dB bandwidth the pulse rise-time is needed. This parameter has been estimated at 50 ns for both Systems 1 and 2. For Systems 1 and 2 this resulted in a </w:t>
      </w:r>
      <w:r>
        <w:rPr>
          <w:i/>
          <w:iCs/>
          <w:lang w:val="en-US"/>
        </w:rPr>
        <w:t>B</w:t>
      </w:r>
      <w:r>
        <w:rPr>
          <w:i/>
          <w:iCs/>
          <w:vertAlign w:val="subscript"/>
          <w:lang w:val="en-US"/>
        </w:rPr>
        <w:t>N</w:t>
      </w:r>
      <w:r>
        <w:rPr>
          <w:lang w:val="en-US"/>
        </w:rPr>
        <w:t xml:space="preserve"> of 17.9 </w:t>
      </w:r>
      <w:r>
        <w:rPr>
          <w:rFonts w:ascii="Tms Rmn" w:hAnsi="Tms Rmn"/>
          <w:sz w:val="12"/>
          <w:lang w:val="en-US"/>
        </w:rPr>
        <w:t> </w:t>
      </w:r>
      <w:r>
        <w:rPr>
          <w:lang w:val="en-US"/>
        </w:rPr>
        <w:t xml:space="preserve">MHz and a </w:t>
      </w:r>
      <w:r>
        <w:rPr>
          <w:i/>
          <w:iCs/>
          <w:lang w:val="en-US"/>
        </w:rPr>
        <w:t>B</w:t>
      </w:r>
      <w:r>
        <w:rPr>
          <w:vertAlign w:val="subscript"/>
          <w:lang w:val="en-US"/>
        </w:rPr>
        <w:t>–</w:t>
      </w:r>
      <w:r>
        <w:rPr>
          <w:sz w:val="4"/>
          <w:lang w:val="en-US"/>
        </w:rPr>
        <w:t> </w:t>
      </w:r>
      <w:r>
        <w:rPr>
          <w:vertAlign w:val="subscript"/>
          <w:lang w:val="en-US"/>
        </w:rPr>
        <w:t>40</w:t>
      </w:r>
      <w:r>
        <w:rPr>
          <w:lang w:val="en-US"/>
        </w:rPr>
        <w:t xml:space="preserve"> of 76 MHz. Here it has to be noted that considering the characteristics of System 2 as given in Table 95, the closest radar channel is located around 32.2 GHz, thus giving a large (already implemented) guardband. For System 1, the EESS (passive) reference bandwidth of 100 </w:t>
      </w:r>
      <w:r>
        <w:rPr>
          <w:rFonts w:ascii="Tms Rmn" w:hAnsi="Tms Rmn"/>
          <w:sz w:val="12"/>
          <w:lang w:val="en-US"/>
        </w:rPr>
        <w:t> </w:t>
      </w:r>
      <w:r>
        <w:rPr>
          <w:lang w:val="en-US"/>
        </w:rPr>
        <w:t xml:space="preserve">MHz (31.7-31.8 GHz) runs from 50% to 181.6% in Fig. 61. The unwanted emission power falling into the reference bandwidth of 100 MHz is </w:t>
      </w:r>
      <w:r>
        <w:rPr>
          <w:rFonts w:ascii="Symbol" w:hAnsi="Symbol"/>
          <w:lang w:val="en-US"/>
        </w:rPr>
        <w:noBreakHyphen/>
      </w:r>
      <w:r>
        <w:rPr>
          <w:lang w:val="en-US"/>
        </w:rPr>
        <w:t>45.7 dBpp for System 1.</w:t>
      </w:r>
    </w:p>
    <w:p w:rsidR="00B9359B" w:rsidRDefault="009A5268">
      <w:pPr>
        <w:pStyle w:val="Heading2"/>
        <w:rPr>
          <w:lang w:val="en-US"/>
        </w:rPr>
      </w:pPr>
      <w:bookmarkStart w:id="537" w:name="_Toc51045937"/>
      <w:r>
        <w:rPr>
          <w:lang w:val="en-US"/>
        </w:rPr>
        <w:t>4.3</w:t>
      </w:r>
      <w:r>
        <w:rPr>
          <w:lang w:val="en-US"/>
        </w:rPr>
        <w:tab/>
        <w:t>Values achieved</w:t>
      </w:r>
      <w:bookmarkEnd w:id="537"/>
    </w:p>
    <w:p w:rsidR="00B9359B" w:rsidRDefault="009A5268">
      <w:pPr>
        <w:rPr>
          <w:lang w:val="en-US"/>
        </w:rPr>
      </w:pPr>
      <w:r>
        <w:rPr>
          <w:lang w:val="en-US"/>
        </w:rPr>
        <w:t>The resulting margins assuming a radar antenna gain –10 dBi (in the direction of the sensor) are 19.1 dB for System 1. It is very likely that System 2, due to its large frequency separation, will be compatible with EESS (passive) systems operation in the adjacent band.</w:t>
      </w:r>
    </w:p>
    <w:p w:rsidR="00B9359B" w:rsidRPr="00D35B94" w:rsidRDefault="009A5268">
      <w:pPr>
        <w:pStyle w:val="Heading1"/>
        <w:rPr>
          <w:lang w:val="en-GB"/>
        </w:rPr>
      </w:pPr>
      <w:bookmarkStart w:id="538" w:name="_Toc51045938"/>
      <w:r w:rsidRPr="00D35B94">
        <w:rPr>
          <w:lang w:val="en-GB"/>
        </w:rPr>
        <w:t>5</w:t>
      </w:r>
      <w:r w:rsidRPr="00D35B94">
        <w:rPr>
          <w:lang w:val="en-GB"/>
        </w:rPr>
        <w:tab/>
        <w:t>Mitigation techniques</w:t>
      </w:r>
      <w:bookmarkEnd w:id="538"/>
    </w:p>
    <w:p w:rsidR="00B9359B" w:rsidRPr="00D35B94" w:rsidRDefault="009A5268">
      <w:pPr>
        <w:pStyle w:val="Heading2"/>
        <w:rPr>
          <w:lang w:val="en-GB"/>
        </w:rPr>
      </w:pPr>
      <w:bookmarkStart w:id="539" w:name="_Toc51045939"/>
      <w:r w:rsidRPr="00D35B94">
        <w:rPr>
          <w:lang w:val="en-GB"/>
        </w:rPr>
        <w:t>5.1</w:t>
      </w:r>
      <w:r w:rsidRPr="00D35B94">
        <w:rPr>
          <w:lang w:val="en-GB"/>
        </w:rPr>
        <w:tab/>
        <w:t>EESS (passive)</w:t>
      </w:r>
      <w:bookmarkEnd w:id="539"/>
    </w:p>
    <w:p w:rsidR="00B9359B" w:rsidRDefault="009A5268">
      <w:pPr>
        <w:rPr>
          <w:lang w:val="en-US"/>
        </w:rPr>
      </w:pPr>
      <w:r>
        <w:rPr>
          <w:lang w:val="en-US"/>
        </w:rPr>
        <w:t>From the description in § 1.2, it may be possible for the band 31.5-31.8 GHz to implement a guardband at the end of the passive service allocation at the band edge of 31.8 GHz.</w:t>
      </w:r>
    </w:p>
    <w:p w:rsidR="00B9359B" w:rsidRDefault="009A5268">
      <w:pPr>
        <w:pStyle w:val="Heading2"/>
        <w:rPr>
          <w:lang w:val="en-US"/>
        </w:rPr>
      </w:pPr>
      <w:bookmarkStart w:id="540" w:name="_Toc51045940"/>
      <w:r>
        <w:rPr>
          <w:lang w:val="en-US"/>
        </w:rPr>
        <w:t>5.2</w:t>
      </w:r>
      <w:r>
        <w:rPr>
          <w:lang w:val="en-US"/>
        </w:rPr>
        <w:tab/>
        <w:t>Radionavigation service</w:t>
      </w:r>
      <w:bookmarkEnd w:id="540"/>
    </w:p>
    <w:p w:rsidR="00B9359B" w:rsidRDefault="009A5268">
      <w:pPr>
        <w:rPr>
          <w:lang w:val="en-US"/>
        </w:rPr>
      </w:pPr>
      <w:r>
        <w:rPr>
          <w:lang w:val="en-US"/>
        </w:rPr>
        <w:t>Mitigation techniques for systems that are currently in use may be used from a practical point of view. Most of the radars used in the range 31.8-33.4 GHz are frequency agile and have relatively small RF emission bandwidths compared to allocated band. A possibility to avoid emissions in the lower part of the spectrum adjacent to the existing passive band edge at 31.8 GHz needs to be inves</w:t>
      </w:r>
      <w:r>
        <w:rPr>
          <w:lang w:val="en-US"/>
        </w:rPr>
        <w:softHyphen/>
        <w:t xml:space="preserve">tigated and could resolve the discrepancy. For example, it is likely that the compatibility analysis would result in a positive scenario when the closest radar channel with respect to the existing edge of the passive band has a frequency separation of approximately 2 to 2.5 times the </w:t>
      </w:r>
      <w:r>
        <w:rPr>
          <w:rFonts w:ascii="Symbol" w:hAnsi="Symbol"/>
          <w:lang w:val="en-US"/>
        </w:rPr>
        <w:noBreakHyphen/>
      </w:r>
      <w:r>
        <w:rPr>
          <w:lang w:val="en-US"/>
        </w:rPr>
        <w:t>40 dB band</w:t>
      </w:r>
      <w:r>
        <w:rPr>
          <w:lang w:val="en-US"/>
        </w:rPr>
        <w:softHyphen/>
        <w:t>width of the radionavigation system.</w:t>
      </w:r>
    </w:p>
    <w:p w:rsidR="00B9359B" w:rsidRDefault="009A5268">
      <w:pPr>
        <w:pStyle w:val="Heading2"/>
        <w:rPr>
          <w:lang w:val="en-US"/>
        </w:rPr>
      </w:pPr>
      <w:bookmarkStart w:id="541" w:name="_Toc51045941"/>
      <w:r>
        <w:rPr>
          <w:lang w:val="en-US"/>
        </w:rPr>
        <w:t>5.3</w:t>
      </w:r>
      <w:r>
        <w:rPr>
          <w:lang w:val="en-US"/>
        </w:rPr>
        <w:tab/>
        <w:t>Potential impact</w:t>
      </w:r>
      <w:bookmarkEnd w:id="541"/>
    </w:p>
    <w:p w:rsidR="00B9359B" w:rsidRDefault="009A5268">
      <w:pPr>
        <w:pStyle w:val="Heading3"/>
        <w:rPr>
          <w:lang w:val="en-US"/>
        </w:rPr>
      </w:pPr>
      <w:bookmarkStart w:id="542" w:name="_Toc51045942"/>
      <w:r>
        <w:rPr>
          <w:lang w:val="en-US"/>
        </w:rPr>
        <w:t>5.3.1</w:t>
      </w:r>
      <w:r>
        <w:rPr>
          <w:lang w:val="en-US"/>
        </w:rPr>
        <w:tab/>
        <w:t>EESS (passive)</w:t>
      </w:r>
      <w:bookmarkEnd w:id="542"/>
    </w:p>
    <w:p w:rsidR="00B9359B" w:rsidRDefault="009A5268">
      <w:pPr>
        <w:rPr>
          <w:lang w:val="en-US"/>
        </w:rPr>
      </w:pPr>
      <w:r>
        <w:rPr>
          <w:lang w:val="en-US"/>
        </w:rPr>
        <w:t>By implementing a suitable guardband to prevent potential interference from adjacent band interferers, the EESS (passive) may have a better environment for conducting its measurements. The applicability and suitability of such a guardband would need further investigation.</w:t>
      </w:r>
    </w:p>
    <w:p w:rsidR="00B9359B" w:rsidRDefault="009A5268">
      <w:pPr>
        <w:pStyle w:val="Heading3"/>
        <w:rPr>
          <w:lang w:val="en-US"/>
        </w:rPr>
      </w:pPr>
      <w:bookmarkStart w:id="543" w:name="_Toc51045943"/>
      <w:r>
        <w:rPr>
          <w:lang w:val="en-US"/>
        </w:rPr>
        <w:t>5.3.2</w:t>
      </w:r>
      <w:r>
        <w:rPr>
          <w:lang w:val="en-US"/>
        </w:rPr>
        <w:tab/>
        <w:t>Radionavigation service</w:t>
      </w:r>
      <w:bookmarkEnd w:id="543"/>
    </w:p>
    <w:p w:rsidR="00B9359B" w:rsidRDefault="009A5268">
      <w:pPr>
        <w:rPr>
          <w:lang w:val="en-US"/>
        </w:rPr>
      </w:pPr>
      <w:r>
        <w:rPr>
          <w:lang w:val="en-US"/>
        </w:rPr>
        <w:t>The feasibility to keep the complete –</w:t>
      </w:r>
      <w:r>
        <w:rPr>
          <w:sz w:val="4"/>
          <w:lang w:val="en-US"/>
        </w:rPr>
        <w:t> </w:t>
      </w:r>
      <w:r>
        <w:rPr>
          <w:lang w:val="en-US"/>
        </w:rPr>
        <w:t>40 dB radar bandwidth within the radionavigation band combined with either an additional frequency separation or a lower peak power limit (i.e. future radars for the band 31.8-33.4 GHz may have different parameters) would need further investigation.</w:t>
      </w:r>
    </w:p>
    <w:p w:rsidR="00B9359B" w:rsidRDefault="009A5268">
      <w:pPr>
        <w:pStyle w:val="Heading1"/>
        <w:rPr>
          <w:lang w:val="en-US"/>
        </w:rPr>
      </w:pPr>
      <w:bookmarkStart w:id="544" w:name="_Toc51045944"/>
      <w:r>
        <w:rPr>
          <w:lang w:val="en-US"/>
        </w:rPr>
        <w:br w:type="page"/>
        <w:t>6</w:t>
      </w:r>
      <w:r>
        <w:rPr>
          <w:lang w:val="en-US"/>
        </w:rPr>
        <w:tab/>
        <w:t>Results of studies</w:t>
      </w:r>
      <w:bookmarkEnd w:id="544"/>
    </w:p>
    <w:p w:rsidR="00B9359B" w:rsidRDefault="009A5268">
      <w:pPr>
        <w:pStyle w:val="Heading2"/>
        <w:rPr>
          <w:lang w:val="en-US"/>
        </w:rPr>
      </w:pPr>
      <w:bookmarkStart w:id="545" w:name="_Toc51045945"/>
      <w:r>
        <w:rPr>
          <w:lang w:val="en-US"/>
        </w:rPr>
        <w:t>6.1</w:t>
      </w:r>
      <w:r>
        <w:rPr>
          <w:lang w:val="en-US"/>
        </w:rPr>
        <w:tab/>
        <w:t>Summary</w:t>
      </w:r>
      <w:bookmarkEnd w:id="545"/>
    </w:p>
    <w:p w:rsidR="00B9359B" w:rsidRDefault="009A5268">
      <w:pPr>
        <w:rPr>
          <w:lang w:val="en-US"/>
        </w:rPr>
      </w:pPr>
      <w:r>
        <w:rPr>
          <w:lang w:val="en-US"/>
        </w:rPr>
        <w:t xml:space="preserve">This compatibility analysis has calculated the potential interference from radionavigation systems in the upper adjacent band in the band 31.5-31.8 GHz allocated to the EESS (passive). </w:t>
      </w:r>
    </w:p>
    <w:p w:rsidR="00B9359B" w:rsidRDefault="009A5268">
      <w:pPr>
        <w:pStyle w:val="Heading2"/>
        <w:rPr>
          <w:lang w:val="en-US"/>
        </w:rPr>
      </w:pPr>
      <w:bookmarkStart w:id="546" w:name="_Toc51045946"/>
      <w:r>
        <w:rPr>
          <w:lang w:val="en-US"/>
        </w:rPr>
        <w:t>6.2</w:t>
      </w:r>
      <w:r>
        <w:rPr>
          <w:lang w:val="en-US"/>
        </w:rPr>
        <w:tab/>
        <w:t>Conclusion</w:t>
      </w:r>
      <w:bookmarkEnd w:id="546"/>
    </w:p>
    <w:p w:rsidR="00B9359B" w:rsidRDefault="009A5268">
      <w:pPr>
        <w:rPr>
          <w:lang w:val="en-US"/>
        </w:rPr>
      </w:pPr>
      <w:r>
        <w:rPr>
          <w:lang w:val="en-US"/>
        </w:rPr>
        <w:t>This compatibility analysis resulted in a discrepancy of 19.1 dB for a single system of System 1 (Table 95), assuming an antenna gain of –10 dBi in the direction of the sensor. Mitigation techniques for both services have been identified and would need further investigation to assess their applicability and suitability. An implementation of a guardband in the radionavigation or the EESS (passive) band would result in a positive scenario. Also, by taking into account the usage of this system by aircraft, the interference may be below the availability criterion of the passive sensor.</w:t>
      </w:r>
    </w:p>
    <w:p w:rsidR="00B9359B" w:rsidRDefault="009A5268">
      <w:pPr>
        <w:rPr>
          <w:lang w:val="en-US"/>
        </w:rPr>
      </w:pPr>
      <w:r>
        <w:rPr>
          <w:lang w:val="en-US"/>
        </w:rPr>
        <w:t>Radionavigation systems of System 2 in Table 95 will be compatible due to its large frequency separation (around 400 MHz) with respect to the band edge with the passive band 31.5-31.8 GHz.</w:t>
      </w:r>
    </w:p>
    <w:p w:rsidR="00B9359B" w:rsidRDefault="00B9359B">
      <w:pPr>
        <w:rPr>
          <w:lang w:val="en-US"/>
        </w:rPr>
      </w:pPr>
    </w:p>
    <w:p w:rsidR="00B9359B" w:rsidRDefault="00B9359B">
      <w:pPr>
        <w:rPr>
          <w:lang w:val="en-US"/>
        </w:rPr>
      </w:pPr>
    </w:p>
    <w:p w:rsidR="00B9359B" w:rsidRDefault="009A5268">
      <w:pPr>
        <w:pStyle w:val="AnnexNoTitle"/>
        <w:rPr>
          <w:lang w:val="en-US"/>
        </w:rPr>
      </w:pPr>
      <w:r>
        <w:rPr>
          <w:lang w:val="en-US"/>
        </w:rPr>
        <w:t>Annex 18</w:t>
      </w:r>
      <w:r>
        <w:rPr>
          <w:b w:val="0"/>
          <w:lang w:val="en-US"/>
        </w:rPr>
        <w:br/>
      </w:r>
      <w:r>
        <w:rPr>
          <w:b w:val="0"/>
          <w:lang w:val="en-US"/>
        </w:rPr>
        <w:br/>
      </w:r>
      <w:r>
        <w:rPr>
          <w:lang w:val="en-US"/>
        </w:rPr>
        <w:t>Compatibility analysis between RAS systems operating in the</w:t>
      </w:r>
      <w:r>
        <w:rPr>
          <w:lang w:val="en-US"/>
        </w:rPr>
        <w:br/>
        <w:t>42.5-43.5 GHz band and FSS and BSS (space-to-Earth)</w:t>
      </w:r>
      <w:r>
        <w:rPr>
          <w:lang w:val="en-US"/>
        </w:rPr>
        <w:br/>
        <w:t>systems operating in the 41.5-42.5 GHz band</w:t>
      </w:r>
    </w:p>
    <w:p w:rsidR="00B9359B" w:rsidRDefault="009A5268">
      <w:pPr>
        <w:pStyle w:val="Heading1"/>
        <w:rPr>
          <w:lang w:val="en-US"/>
        </w:rPr>
      </w:pPr>
      <w:bookmarkStart w:id="547" w:name="_Toc51045947"/>
      <w:r>
        <w:rPr>
          <w:lang w:val="en-US"/>
        </w:rPr>
        <w:t>1</w:t>
      </w:r>
      <w:r>
        <w:rPr>
          <w:lang w:val="en-US"/>
        </w:rPr>
        <w:tab/>
        <w:t>RAS</w:t>
      </w:r>
      <w:bookmarkEnd w:id="547"/>
    </w:p>
    <w:p w:rsidR="00B9359B" w:rsidRDefault="009A5268">
      <w:pPr>
        <w:pStyle w:val="Heading2"/>
        <w:rPr>
          <w:lang w:val="en-US"/>
        </w:rPr>
      </w:pPr>
      <w:bookmarkStart w:id="548" w:name="_Toc51045948"/>
      <w:r>
        <w:rPr>
          <w:lang w:val="en-US"/>
        </w:rPr>
        <w:t>1.1</w:t>
      </w:r>
      <w:r>
        <w:rPr>
          <w:lang w:val="en-US"/>
        </w:rPr>
        <w:tab/>
        <w:t>Allocated band</w:t>
      </w:r>
      <w:bookmarkEnd w:id="548"/>
    </w:p>
    <w:p w:rsidR="00B9359B" w:rsidRDefault="009A5268">
      <w:pPr>
        <w:rPr>
          <w:lang w:val="en-US"/>
        </w:rPr>
      </w:pPr>
      <w:r>
        <w:rPr>
          <w:lang w:val="en-US"/>
        </w:rPr>
        <w:t>The RAS shares the 42.5-43.5 GHz band with the FS, FSS (Earth-to-space) and mobile (except aeronautical mobile) service on a primary basis.</w:t>
      </w:r>
    </w:p>
    <w:p w:rsidR="00B9359B" w:rsidRDefault="009A5268">
      <w:pPr>
        <w:pStyle w:val="Heading2"/>
        <w:rPr>
          <w:lang w:val="en-US"/>
        </w:rPr>
      </w:pPr>
      <w:bookmarkStart w:id="549" w:name="_Toc51045949"/>
      <w:r>
        <w:rPr>
          <w:lang w:val="en-US"/>
        </w:rPr>
        <w:t>1.2</w:t>
      </w:r>
      <w:r>
        <w:rPr>
          <w:lang w:val="en-US"/>
        </w:rPr>
        <w:tab/>
        <w:t>Type of observations</w:t>
      </w:r>
      <w:bookmarkEnd w:id="549"/>
    </w:p>
    <w:p w:rsidR="00B9359B" w:rsidRDefault="009A5268">
      <w:pPr>
        <w:rPr>
          <w:lang w:val="en-US"/>
        </w:rPr>
      </w:pPr>
      <w:r>
        <w:rPr>
          <w:lang w:val="en-US"/>
        </w:rPr>
        <w:t xml:space="preserve">The 42.5-43.5 GHz band is used by the RAS for both continuum and spectral line observations. The band is very important for radio astronomy, because at approximately twice the frequency of the 23.6-24 GHz continuum band, it provides an effective point for the sampling of continuum emission at octave intervals, essential for the determination of the spectral index of radio sources. </w:t>
      </w:r>
      <w:r>
        <w:rPr>
          <w:lang w:val="en-US"/>
        </w:rPr>
        <w:br w:type="page"/>
        <w:t xml:space="preserve">Observations of the continuum emission provide critical information on the physical state of the interstellar medium associated with star-forming regions. The 43 GHz band is also used extensively for studies of the cosmic microwave background (CMB). The band also includes the spectral lines associated with the silicon monoxide (SiO) molecule at rest frequencies of 42.519, 42.821, 43.122 and 43.424 GHz that are among the astrophysically most important lines, but which are not all listed in Recommendation </w:t>
      </w:r>
      <w:r>
        <w:rPr>
          <w:rFonts w:ascii="Times" w:hAnsi="Times"/>
          <w:lang w:val="en-US"/>
        </w:rPr>
        <w:t>ITU</w:t>
      </w:r>
      <w:r>
        <w:rPr>
          <w:rFonts w:ascii="Times" w:hAnsi="Times"/>
          <w:lang w:val="en-US"/>
        </w:rPr>
        <w:noBreakHyphen/>
        <w:t>R RA.314</w:t>
      </w:r>
      <w:r>
        <w:rPr>
          <w:lang w:val="en-US"/>
        </w:rPr>
        <w:t>.</w:t>
      </w:r>
    </w:p>
    <w:p w:rsidR="00B9359B" w:rsidRDefault="009A5268">
      <w:pPr>
        <w:rPr>
          <w:lang w:val="en-US"/>
        </w:rPr>
      </w:pPr>
      <w:r>
        <w:rPr>
          <w:lang w:val="en-US"/>
        </w:rPr>
        <w:t xml:space="preserve">These are lines essential for studies of cosmic phenomena, such as the birth and death of stars. </w:t>
      </w:r>
    </w:p>
    <w:p w:rsidR="00B9359B" w:rsidRDefault="009A5268">
      <w:pPr>
        <w:pStyle w:val="Heading2"/>
        <w:rPr>
          <w:lang w:val="en-US"/>
        </w:rPr>
      </w:pPr>
      <w:bookmarkStart w:id="550" w:name="_Toc51045950"/>
      <w:r>
        <w:rPr>
          <w:lang w:val="en-US"/>
        </w:rPr>
        <w:t>1.3</w:t>
      </w:r>
      <w:r>
        <w:rPr>
          <w:lang w:val="en-US"/>
        </w:rPr>
        <w:tab/>
        <w:t>Required protection criteria</w:t>
      </w:r>
      <w:bookmarkEnd w:id="550"/>
    </w:p>
    <w:p w:rsidR="00B9359B" w:rsidRDefault="009A5268">
      <w:pPr>
        <w:rPr>
          <w:lang w:val="en-US"/>
        </w:rPr>
      </w:pPr>
      <w:r>
        <w:rPr>
          <w:lang w:val="en-US"/>
        </w:rPr>
        <w:t>Recommendation ITU-R</w:t>
      </w:r>
      <w:r>
        <w:rPr>
          <w:b/>
          <w:lang w:val="en-US"/>
        </w:rPr>
        <w:t xml:space="preserve"> </w:t>
      </w:r>
      <w:r>
        <w:rPr>
          <w:lang w:val="en-US"/>
        </w:rPr>
        <w:t>RA.769 specifies the protection criteria for radio astronomical obser</w:t>
      </w:r>
      <w:r>
        <w:rPr>
          <w:lang w:val="en-US"/>
        </w:rPr>
        <w:softHyphen/>
        <w:t xml:space="preserve">vations and gives threshold levels of detrimental interference for primary radio astronomy bands. In the 42.5-43.5 GHz band, for single dish spectral line observations made using a channel bandwidth (one of the spectrometer channels) of 500 kHz, the threshold pfd for detrimental interference is </w:t>
      </w:r>
      <w:r>
        <w:rPr>
          <w:rFonts w:ascii="Symbol" w:hAnsi="Symbol"/>
          <w:lang w:val="en-US"/>
        </w:rPr>
        <w:noBreakHyphen/>
      </w:r>
      <w:r>
        <w:rPr>
          <w:lang w:val="en-US"/>
        </w:rPr>
        <w:t>153 </w:t>
      </w:r>
      <w:r>
        <w:rPr>
          <w:snapToGrid w:val="0"/>
          <w:lang w:val="en-US"/>
        </w:rPr>
        <w:t>dB(W/m</w:t>
      </w:r>
      <w:r>
        <w:rPr>
          <w:vertAlign w:val="superscript"/>
          <w:lang w:val="en-US"/>
        </w:rPr>
        <w:t>2</w:t>
      </w:r>
      <w:r>
        <w:rPr>
          <w:rFonts w:ascii="Times" w:hAnsi="Times"/>
          <w:spacing w:val="-2"/>
          <w:lang w:val="en-US"/>
        </w:rPr>
        <w:t>)</w:t>
      </w:r>
      <w:r>
        <w:rPr>
          <w:snapToGrid w:val="0"/>
          <w:lang w:val="en-US"/>
        </w:rPr>
        <w:t>.</w:t>
      </w:r>
      <w:r>
        <w:rPr>
          <w:lang w:val="en-US"/>
        </w:rPr>
        <w:t xml:space="preserve"> For making single-dish continuum observations using the entire 1 GHz bandwidth, the threshold pfd limit is </w:t>
      </w:r>
      <w:r>
        <w:rPr>
          <w:rFonts w:ascii="Symbol" w:hAnsi="Symbol"/>
          <w:lang w:val="en-US"/>
        </w:rPr>
        <w:noBreakHyphen/>
      </w:r>
      <w:r>
        <w:rPr>
          <w:lang w:val="en-US"/>
        </w:rPr>
        <w:t>137 dB(W/m</w:t>
      </w:r>
      <w:r>
        <w:rPr>
          <w:vertAlign w:val="superscript"/>
          <w:lang w:val="en-US"/>
        </w:rPr>
        <w:t>2</w:t>
      </w:r>
      <w:r>
        <w:rPr>
          <w:rFonts w:ascii="Times" w:hAnsi="Times"/>
          <w:spacing w:val="-2"/>
          <w:lang w:val="en-US"/>
        </w:rPr>
        <w:t>)</w:t>
      </w:r>
      <w:r>
        <w:rPr>
          <w:lang w:val="en-US"/>
        </w:rPr>
        <w:t>.</w:t>
      </w:r>
    </w:p>
    <w:p w:rsidR="00B9359B" w:rsidRDefault="009A5268">
      <w:pPr>
        <w:rPr>
          <w:lang w:val="en-US"/>
        </w:rPr>
      </w:pPr>
      <w:r>
        <w:rPr>
          <w:lang w:val="en-US"/>
        </w:rPr>
        <w:t xml:space="preserve">VLBI observations, where signals from widely separated antennas are recorded and correlated after the observations, are much less susceptible to interference. This is reflected in the threshold pfd level for VLBI observations in this band, </w:t>
      </w:r>
      <w:r>
        <w:rPr>
          <w:rFonts w:ascii="Symbol" w:hAnsi="Symbol"/>
          <w:lang w:val="en-US"/>
        </w:rPr>
        <w:noBreakHyphen/>
      </w:r>
      <w:r>
        <w:rPr>
          <w:lang w:val="en-US"/>
        </w:rPr>
        <w:t>116 </w:t>
      </w:r>
      <w:r>
        <w:rPr>
          <w:snapToGrid w:val="0"/>
          <w:lang w:val="en-US"/>
        </w:rPr>
        <w:t>dB(W/m</w:t>
      </w:r>
      <w:r>
        <w:rPr>
          <w:vertAlign w:val="superscript"/>
          <w:lang w:val="en-US"/>
        </w:rPr>
        <w:t>2</w:t>
      </w:r>
      <w:r>
        <w:rPr>
          <w:rFonts w:ascii="Times" w:hAnsi="Times"/>
          <w:spacing w:val="-2"/>
          <w:lang w:val="en-US"/>
        </w:rPr>
        <w:t>), for a bandwidth of 500 kHz.</w:t>
      </w:r>
    </w:p>
    <w:p w:rsidR="00B9359B" w:rsidRDefault="009A5268">
      <w:pPr>
        <w:rPr>
          <w:lang w:val="en-US"/>
        </w:rPr>
      </w:pPr>
      <w:r>
        <w:rPr>
          <w:lang w:val="en-US"/>
        </w:rPr>
        <w:t>For detrimental interference from non-GSO systems, the protection criteria and the relevant methodologies are described in Recommendations ITU-R RA.769 and ITU</w:t>
      </w:r>
      <w:r>
        <w:rPr>
          <w:lang w:val="en-US"/>
        </w:rPr>
        <w:noBreakHyphen/>
        <w:t>R RA.1513, as well as in Recommendation ITU-R S.1586 for FSS systems. The thresholds of detrimental interference levels to the RAS as defined and calculated in the Recommendation ITU-R RA.769 are protection criteria above which radio astronomical data are degraded and may be eventually obliterated. In principle, under rather idealized circumstances, if these levels are very slightly exceeded then it may be possible to compensate at the radio astronomy observatory by increased observing time. In doing so, the channel capacity of the telescope is reduced, with a corresponding reduction in scientific throughput. If the level of interference, under the assumptions of Recommendation ITU</w:t>
      </w:r>
      <w:r>
        <w:rPr>
          <w:lang w:val="en-US"/>
        </w:rPr>
        <w:noBreakHyphen/>
        <w:t>R RA.769 (e.g. antenna performance, etc.), becomes 10 dB or more above the Recommendation ITU</w:t>
      </w:r>
      <w:r>
        <w:rPr>
          <w:lang w:val="en-US"/>
        </w:rPr>
        <w:noBreakHyphen/>
        <w:t>R RA.769 definition, then increased observing time will no longer be effective in ensuring that valid scientific data are provided to the scientist. The radio astronomy station will be unable to operate in the affected frequency band, and its ability to provide service will have been lost if no appropriate mitigation techniques can be applied.</w:t>
      </w:r>
    </w:p>
    <w:p w:rsidR="00B9359B" w:rsidRDefault="009A5268">
      <w:pPr>
        <w:rPr>
          <w:lang w:val="en-US"/>
        </w:rPr>
      </w:pPr>
      <w:r>
        <w:rPr>
          <w:lang w:val="en-US"/>
        </w:rPr>
        <w:t>The following ITU-R Recommendations deal directly with, or may be relevant to, the protection of radio astronomy stations observing in the 42.5-43.5 GHz band:</w:t>
      </w:r>
    </w:p>
    <w:p w:rsidR="00B9359B" w:rsidRDefault="009A5268">
      <w:pPr>
        <w:pStyle w:val="enumlev1"/>
        <w:ind w:left="3600" w:hanging="3600"/>
        <w:rPr>
          <w:lang w:val="en-US"/>
        </w:rPr>
      </w:pPr>
      <w:r>
        <w:rPr>
          <w:lang w:val="en-US"/>
        </w:rPr>
        <w:t>Recommendation ITU-R RA.314 – Preferred frequency bands for radio astronomical measure</w:t>
      </w:r>
      <w:r>
        <w:rPr>
          <w:lang w:val="en-US"/>
        </w:rPr>
        <w:softHyphen/>
        <w:t>ments.</w:t>
      </w:r>
    </w:p>
    <w:p w:rsidR="00B9359B" w:rsidRDefault="009A5268">
      <w:pPr>
        <w:pStyle w:val="enumlev1"/>
        <w:tabs>
          <w:tab w:val="clear" w:pos="794"/>
          <w:tab w:val="clear" w:pos="1191"/>
          <w:tab w:val="clear" w:pos="1588"/>
          <w:tab w:val="clear" w:pos="1985"/>
          <w:tab w:val="left" w:pos="3544"/>
          <w:tab w:val="left" w:pos="3600"/>
        </w:tabs>
        <w:ind w:left="0" w:firstLine="0"/>
        <w:rPr>
          <w:lang w:val="en-US"/>
        </w:rPr>
      </w:pPr>
      <w:r>
        <w:rPr>
          <w:lang w:val="en-US"/>
        </w:rPr>
        <w:t xml:space="preserve">Recommendation ITU-R RA.517 – Protection of the radio astronomy services from transmitters </w:t>
      </w:r>
      <w:r>
        <w:rPr>
          <w:lang w:val="en-US"/>
        </w:rPr>
        <w:tab/>
        <w:t>operating in adjacent bands.</w:t>
      </w:r>
    </w:p>
    <w:p w:rsidR="00B9359B" w:rsidRDefault="009A5268">
      <w:pPr>
        <w:pStyle w:val="enumlev1"/>
        <w:tabs>
          <w:tab w:val="clear" w:pos="794"/>
          <w:tab w:val="clear" w:pos="1191"/>
          <w:tab w:val="clear" w:pos="1588"/>
          <w:tab w:val="clear" w:pos="1985"/>
          <w:tab w:val="left" w:pos="3629"/>
          <w:tab w:val="left" w:pos="3780"/>
        </w:tabs>
        <w:ind w:left="3060" w:hanging="3060"/>
        <w:rPr>
          <w:lang w:val="en-US"/>
        </w:rPr>
      </w:pPr>
      <w:r>
        <w:rPr>
          <w:lang w:val="en-US"/>
        </w:rPr>
        <w:br w:type="page"/>
        <w:t xml:space="preserve">Recommendation ITU-R RA.611 – Protection of the radio astronomy service from spurious </w:t>
      </w:r>
      <w:r>
        <w:rPr>
          <w:lang w:val="en-US"/>
        </w:rPr>
        <w:tab/>
        <w:t>emissions.</w:t>
      </w:r>
    </w:p>
    <w:p w:rsidR="00B9359B" w:rsidRDefault="009A5268">
      <w:pPr>
        <w:pStyle w:val="enumlev1"/>
        <w:rPr>
          <w:lang w:val="en-US"/>
        </w:rPr>
      </w:pPr>
      <w:r>
        <w:rPr>
          <w:lang w:val="en-US"/>
        </w:rPr>
        <w:t>Recommendation ITU-R RA.769 – Protection criteria used for radio astronomical measurements.</w:t>
      </w:r>
    </w:p>
    <w:p w:rsidR="00B9359B" w:rsidRDefault="009A5268">
      <w:pPr>
        <w:pStyle w:val="enumlev1"/>
        <w:tabs>
          <w:tab w:val="clear" w:pos="794"/>
          <w:tab w:val="clear" w:pos="1191"/>
          <w:tab w:val="clear" w:pos="1588"/>
          <w:tab w:val="clear" w:pos="1985"/>
          <w:tab w:val="left" w:pos="3714"/>
          <w:tab w:val="left" w:pos="3780"/>
        </w:tabs>
        <w:ind w:left="0" w:firstLine="0"/>
        <w:rPr>
          <w:lang w:val="en-US"/>
        </w:rPr>
      </w:pPr>
      <w:r>
        <w:rPr>
          <w:lang w:val="en-US"/>
        </w:rPr>
        <w:t xml:space="preserve">Recommendation ITU-R RA.1237 – Protection of the radio astronomy service from unwanted </w:t>
      </w:r>
      <w:r>
        <w:rPr>
          <w:lang w:val="en-US"/>
        </w:rPr>
        <w:tab/>
        <w:t xml:space="preserve">emissions resulting from applications of wideband digital </w:t>
      </w:r>
      <w:r>
        <w:rPr>
          <w:lang w:val="en-US"/>
        </w:rPr>
        <w:tab/>
        <w:t>modulation.</w:t>
      </w:r>
    </w:p>
    <w:p w:rsidR="00B9359B" w:rsidRDefault="009A5268">
      <w:pPr>
        <w:pStyle w:val="enumlev1"/>
        <w:tabs>
          <w:tab w:val="clear" w:pos="794"/>
          <w:tab w:val="clear" w:pos="1191"/>
          <w:tab w:val="clear" w:pos="1588"/>
          <w:tab w:val="clear" w:pos="1985"/>
          <w:tab w:val="left" w:pos="3714"/>
          <w:tab w:val="left" w:pos="3780"/>
        </w:tabs>
        <w:ind w:left="0" w:firstLine="0"/>
        <w:rPr>
          <w:lang w:val="en-US"/>
        </w:rPr>
      </w:pPr>
      <w:r>
        <w:rPr>
          <w:lang w:val="en-US"/>
        </w:rPr>
        <w:t xml:space="preserve">Recommendation ITU-R RA.1513 – Levels of data loss to radio astronomy observations and </w:t>
      </w:r>
      <w:r>
        <w:rPr>
          <w:lang w:val="en-US"/>
        </w:rPr>
        <w:tab/>
        <w:t xml:space="preserve">percentage-of-time criteria resulting from degradation from </w:t>
      </w:r>
      <w:r>
        <w:rPr>
          <w:lang w:val="en-US"/>
        </w:rPr>
        <w:tab/>
        <w:t xml:space="preserve">interference for frequency bands allocated to the radio </w:t>
      </w:r>
      <w:r>
        <w:rPr>
          <w:lang w:val="en-US"/>
        </w:rPr>
        <w:tab/>
        <w:t>astronomy on a primary basis.</w:t>
      </w:r>
    </w:p>
    <w:p w:rsidR="00B9359B" w:rsidRDefault="009A5268">
      <w:pPr>
        <w:pStyle w:val="enumlev1"/>
        <w:tabs>
          <w:tab w:val="clear" w:pos="794"/>
          <w:tab w:val="clear" w:pos="1191"/>
          <w:tab w:val="clear" w:pos="1588"/>
          <w:tab w:val="clear" w:pos="1985"/>
          <w:tab w:val="left" w:pos="3487"/>
          <w:tab w:val="left" w:pos="3780"/>
        </w:tabs>
        <w:ind w:left="0" w:firstLine="0"/>
        <w:rPr>
          <w:lang w:val="en-US"/>
        </w:rPr>
      </w:pPr>
      <w:r>
        <w:rPr>
          <w:lang w:val="en-US"/>
        </w:rPr>
        <w:t>Recommendation ITU-R S.1586 – Calculation of unwanted emission levels produced by a non-</w:t>
      </w:r>
      <w:r>
        <w:rPr>
          <w:lang w:val="en-US"/>
        </w:rPr>
        <w:tab/>
        <w:t xml:space="preserve">geostationary fixed-satellite service satellite system at radio </w:t>
      </w:r>
      <w:r>
        <w:rPr>
          <w:lang w:val="en-US"/>
        </w:rPr>
        <w:tab/>
        <w:t>astronomy sites.</w:t>
      </w:r>
    </w:p>
    <w:p w:rsidR="00B9359B" w:rsidRDefault="009A5268">
      <w:pPr>
        <w:rPr>
          <w:lang w:val="en-US"/>
        </w:rPr>
      </w:pPr>
      <w:r>
        <w:rPr>
          <w:lang w:val="en-US"/>
        </w:rPr>
        <w:t>RR Nos. 5.149, 5.547, 5.551AA and 5.551G apply to this band.</w:t>
      </w:r>
    </w:p>
    <w:p w:rsidR="00B9359B" w:rsidRDefault="009A5268">
      <w:pPr>
        <w:pStyle w:val="Heading2"/>
        <w:rPr>
          <w:lang w:val="en-US"/>
        </w:rPr>
      </w:pPr>
      <w:bookmarkStart w:id="551" w:name="_Toc51045951"/>
      <w:r>
        <w:rPr>
          <w:lang w:val="en-US"/>
        </w:rPr>
        <w:t>1.4</w:t>
      </w:r>
      <w:r>
        <w:rPr>
          <w:lang w:val="en-US"/>
        </w:rPr>
        <w:tab/>
        <w:t>Operational characteristics</w:t>
      </w:r>
      <w:bookmarkEnd w:id="551"/>
    </w:p>
    <w:p w:rsidR="00B9359B" w:rsidRDefault="009A5268">
      <w:pPr>
        <w:rPr>
          <w:lang w:val="en-US"/>
        </w:rPr>
      </w:pPr>
      <w:r>
        <w:rPr>
          <w:lang w:val="en-US"/>
        </w:rPr>
        <w:t>Radio astronomy observations in the 42.5-43.5 GHz band are carried out in all ITU Regions. Table 97 shows a list of radio astronomical observatories, which operate or are planned to operate in the 42.5-43.5 GHz band. Planned facilities are those under construction in Mexico (The Large Millimeter Telescope, a joint U.S.-Mexico project), Chile (The Atacama Large Millimeter Array) and Italy (Sardinia Telescope) or the implementation of this frequency band at the UK MERLIN interferometer array.</w:t>
      </w:r>
    </w:p>
    <w:p w:rsidR="00B9359B" w:rsidRDefault="009A5268">
      <w:pPr>
        <w:rPr>
          <w:snapToGrid w:val="0"/>
          <w:lang w:val="en-US"/>
        </w:rPr>
      </w:pPr>
      <w:r>
        <w:rPr>
          <w:lang w:val="en-US"/>
        </w:rPr>
        <w:t>Scientific interest in the 43 GHz band is extremely high. M</w:t>
      </w:r>
      <w:r>
        <w:rPr>
          <w:snapToGrid w:val="0"/>
          <w:lang w:val="en-US"/>
        </w:rPr>
        <w:t>ost interest comes from observations of very weak radio sources that push the technological limits, corresponding to antenna noise tempera</w:t>
      </w:r>
      <w:r>
        <w:rPr>
          <w:snapToGrid w:val="0"/>
          <w:lang w:val="en-US"/>
        </w:rPr>
        <w:softHyphen/>
        <w:t>tures of the order of 2</w:t>
      </w:r>
      <w:r>
        <w:rPr>
          <w:snapToGrid w:val="0"/>
          <w:lang w:val="en-US"/>
        </w:rPr>
        <w:noBreakHyphen/>
        <w:t xml:space="preserve">20 </w:t>
      </w:r>
      <w:r>
        <w:rPr>
          <w:rFonts w:ascii="Symbol" w:hAnsi="Symbol"/>
          <w:snapToGrid w:val="0"/>
          <w:lang w:val="en-US"/>
        </w:rPr>
        <w:t></w:t>
      </w:r>
      <w:r>
        <w:rPr>
          <w:snapToGrid w:val="0"/>
          <w:lang w:val="en-US"/>
        </w:rPr>
        <w:t>K involving integrations of the order of 2</w:t>
      </w:r>
      <w:r>
        <w:rPr>
          <w:rFonts w:ascii="Tms Rmn" w:hAnsi="Tms Rmn"/>
          <w:snapToGrid w:val="0"/>
          <w:sz w:val="12"/>
          <w:lang w:val="en-US"/>
        </w:rPr>
        <w:t> </w:t>
      </w:r>
      <w:r>
        <w:rPr>
          <w:snapToGrid w:val="0"/>
          <w:lang w:val="en-US"/>
        </w:rPr>
        <w:t>000-4</w:t>
      </w:r>
      <w:r>
        <w:rPr>
          <w:rFonts w:ascii="Tms Rmn" w:hAnsi="Tms Rmn"/>
          <w:snapToGrid w:val="0"/>
          <w:sz w:val="12"/>
          <w:lang w:val="en-US"/>
        </w:rPr>
        <w:t> </w:t>
      </w:r>
      <w:r>
        <w:rPr>
          <w:snapToGrid w:val="0"/>
          <w:lang w:val="en-US"/>
        </w:rPr>
        <w:t>000 s</w:t>
      </w:r>
      <w:r>
        <w:rPr>
          <w:lang w:val="en-US"/>
        </w:rPr>
        <w:t xml:space="preserve">. </w:t>
      </w:r>
      <w:r>
        <w:rPr>
          <w:snapToGrid w:val="0"/>
          <w:lang w:val="en-US"/>
        </w:rPr>
        <w:t>Long integration times are essential to observe the faint sources that scientists are interested in. Correlation and differencing observing modes have been developed and are used successfully to counter atmospheric fluctuations to enable such long integration times.</w:t>
      </w:r>
    </w:p>
    <w:p w:rsidR="00B9359B" w:rsidRDefault="009A5268">
      <w:pPr>
        <w:rPr>
          <w:snapToGrid w:val="0"/>
          <w:lang w:val="en-US"/>
        </w:rPr>
      </w:pPr>
      <w:r>
        <w:rPr>
          <w:lang w:val="en-US"/>
        </w:rPr>
        <w:t xml:space="preserve">The very large array (VLA) of the U.S. National Radio Astronomy Observatory (NRAO), possibly the most heavily used radio telescope in the world, spent nearly 20% of its total observing time in this band in the last few years. </w:t>
      </w:r>
      <w:r>
        <w:rPr>
          <w:snapToGrid w:val="0"/>
          <w:lang w:val="en-US"/>
        </w:rPr>
        <w:t xml:space="preserve">Similar statistics hold for NRAO’s very long baseline array (VLBA). The VLA and VLBA receive two to three times as many requests for observing time than they can accommodate. </w:t>
      </w:r>
    </w:p>
    <w:p w:rsidR="00B9359B" w:rsidRDefault="009A5268">
      <w:pPr>
        <w:rPr>
          <w:lang w:val="en-US"/>
        </w:rPr>
      </w:pPr>
      <w:r>
        <w:rPr>
          <w:lang w:val="en-US"/>
        </w:rPr>
        <w:t>The percentage of time that each station spends at 42 GHz varies from station to station and from year to year. Many radio telescopes now have frequency flexibility, enabling them to switch operations from one frequency band to another on a timescale of one minute or less. This enables flexible scheduling, to take best advantage of the observing conditions (weather, etc.). From the point of view of inter-service compatibility studies therefore, it is safest to assume that any radio astronomy station in the Tables might observe at 43 GHz at any time.</w:t>
      </w:r>
    </w:p>
    <w:p w:rsidR="00B9359B" w:rsidRDefault="009A5268">
      <w:pPr>
        <w:pStyle w:val="TableNo"/>
        <w:rPr>
          <w:lang w:val="en-US"/>
        </w:rPr>
      </w:pPr>
      <w:r>
        <w:rPr>
          <w:lang w:val="en-US"/>
        </w:rPr>
        <w:br w:type="page"/>
        <w:t>TABLE  97</w:t>
      </w:r>
    </w:p>
    <w:p w:rsidR="00B9359B" w:rsidRDefault="009A5268">
      <w:pPr>
        <w:pStyle w:val="Tabletitle"/>
        <w:rPr>
          <w:lang w:val="en-US"/>
        </w:rPr>
      </w:pPr>
      <w:r>
        <w:rPr>
          <w:lang w:val="en-US"/>
        </w:rPr>
        <w:t>Radio astronomy stations operating in the 42.5-43.5 GHz band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88"/>
        <w:gridCol w:w="1985"/>
        <w:gridCol w:w="1474"/>
        <w:gridCol w:w="1361"/>
        <w:gridCol w:w="992"/>
        <w:gridCol w:w="1106"/>
        <w:gridCol w:w="1191"/>
      </w:tblGrid>
      <w:tr w:rsidR="00B9359B">
        <w:tc>
          <w:tcPr>
            <w:tcW w:w="9697" w:type="dxa"/>
            <w:gridSpan w:val="7"/>
            <w:vAlign w:val="center"/>
          </w:tcPr>
          <w:p w:rsidR="00B9359B" w:rsidRDefault="009A5268">
            <w:pPr>
              <w:pStyle w:val="Tablehead"/>
              <w:framePr w:hSpace="181" w:wrap="notBeside" w:vAnchor="text" w:hAnchor="text" w:xAlign="center" w:y="1"/>
              <w:spacing w:before="120" w:after="120"/>
              <w:rPr>
                <w:lang w:val="en-US"/>
              </w:rPr>
            </w:pPr>
            <w:r>
              <w:rPr>
                <w:lang w:val="en-US"/>
              </w:rPr>
              <w:t>Region 1</w:t>
            </w:r>
          </w:p>
        </w:tc>
      </w:tr>
      <w:tr w:rsidR="00B9359B">
        <w:tc>
          <w:tcPr>
            <w:tcW w:w="1588" w:type="dxa"/>
            <w:vAlign w:val="center"/>
          </w:tcPr>
          <w:p w:rsidR="00B9359B" w:rsidRDefault="009A5268">
            <w:pPr>
              <w:pStyle w:val="Tablehead"/>
              <w:framePr w:hSpace="181" w:wrap="notBeside" w:vAnchor="text" w:hAnchor="text" w:xAlign="center" w:y="1"/>
              <w:rPr>
                <w:lang w:val="en-US"/>
              </w:rPr>
            </w:pPr>
            <w:r>
              <w:rPr>
                <w:lang w:val="en-US"/>
              </w:rPr>
              <w:t>Country</w:t>
            </w:r>
          </w:p>
        </w:tc>
        <w:tc>
          <w:tcPr>
            <w:tcW w:w="1985" w:type="dxa"/>
            <w:vAlign w:val="center"/>
          </w:tcPr>
          <w:p w:rsidR="00B9359B" w:rsidRDefault="009A5268">
            <w:pPr>
              <w:pStyle w:val="Tablehead"/>
              <w:framePr w:hSpace="181" w:wrap="notBeside" w:vAnchor="text" w:hAnchor="text" w:xAlign="center" w:y="1"/>
              <w:rPr>
                <w:lang w:val="en-US"/>
              </w:rPr>
            </w:pPr>
            <w:r>
              <w:rPr>
                <w:lang w:val="en-US"/>
              </w:rPr>
              <w:t>Site</w:t>
            </w:r>
          </w:p>
        </w:tc>
        <w:tc>
          <w:tcPr>
            <w:tcW w:w="1474" w:type="dxa"/>
            <w:vAlign w:val="center"/>
          </w:tcPr>
          <w:p w:rsidR="00B9359B" w:rsidRDefault="009A5268">
            <w:pPr>
              <w:pStyle w:val="Tablehead"/>
              <w:framePr w:hSpace="181" w:wrap="notBeside" w:vAnchor="text" w:hAnchor="text" w:xAlign="center" w:y="1"/>
            </w:pPr>
            <w:r>
              <w:t>Longitude</w:t>
            </w:r>
          </w:p>
        </w:tc>
        <w:tc>
          <w:tcPr>
            <w:tcW w:w="1361" w:type="dxa"/>
            <w:vAlign w:val="center"/>
          </w:tcPr>
          <w:p w:rsidR="00B9359B" w:rsidRDefault="009A5268">
            <w:pPr>
              <w:pStyle w:val="Tablehead"/>
              <w:framePr w:hSpace="181" w:wrap="notBeside" w:vAnchor="text" w:hAnchor="text" w:xAlign="center" w:y="1"/>
            </w:pPr>
            <w:r>
              <w:t>Latitude</w:t>
            </w:r>
          </w:p>
        </w:tc>
        <w:tc>
          <w:tcPr>
            <w:tcW w:w="992" w:type="dxa"/>
            <w:vAlign w:val="center"/>
          </w:tcPr>
          <w:p w:rsidR="00B9359B" w:rsidRDefault="009A5268">
            <w:pPr>
              <w:pStyle w:val="Tablehead"/>
              <w:framePr w:hSpace="181" w:wrap="notBeside" w:vAnchor="text" w:hAnchor="text" w:xAlign="center" w:y="1"/>
            </w:pPr>
            <w:r>
              <w:t>Altitude</w:t>
            </w:r>
            <w:r>
              <w:br/>
              <w:t>(m)</w:t>
            </w:r>
          </w:p>
        </w:tc>
        <w:tc>
          <w:tcPr>
            <w:tcW w:w="1106" w:type="dxa"/>
            <w:vAlign w:val="center"/>
          </w:tcPr>
          <w:p w:rsidR="00B9359B" w:rsidRDefault="009A5268">
            <w:pPr>
              <w:pStyle w:val="Tablehead"/>
              <w:framePr w:hSpace="181" w:wrap="notBeside" w:vAnchor="text" w:hAnchor="text" w:xAlign="center" w:y="1"/>
              <w:rPr>
                <w:lang w:val="en-US"/>
              </w:rPr>
            </w:pPr>
            <w:r>
              <w:rPr>
                <w:lang w:val="en-US"/>
              </w:rPr>
              <w:t>Diameter</w:t>
            </w:r>
            <w:r>
              <w:rPr>
                <w:lang w:val="en-US"/>
              </w:rPr>
              <w:br/>
              <w:t>(m)</w:t>
            </w:r>
          </w:p>
        </w:tc>
        <w:tc>
          <w:tcPr>
            <w:tcW w:w="1191" w:type="dxa"/>
            <w:vAlign w:val="center"/>
          </w:tcPr>
          <w:p w:rsidR="00B9359B" w:rsidRDefault="009A5268">
            <w:pPr>
              <w:pStyle w:val="Tablehead"/>
              <w:framePr w:hSpace="181" w:wrap="notBeside" w:vAnchor="text" w:hAnchor="text" w:xAlign="center" w:y="1"/>
              <w:rPr>
                <w:lang w:val="en-US"/>
              </w:rPr>
            </w:pPr>
            <w:r>
              <w:rPr>
                <w:lang w:val="en-US"/>
              </w:rPr>
              <w:t>Remarks</w:t>
            </w:r>
          </w:p>
        </w:tc>
      </w:tr>
      <w:tr w:rsidR="00B9359B">
        <w:tc>
          <w:tcPr>
            <w:tcW w:w="1588" w:type="dxa"/>
          </w:tcPr>
          <w:p w:rsidR="00B9359B" w:rsidRDefault="009A5268">
            <w:pPr>
              <w:pStyle w:val="Tabletext"/>
              <w:framePr w:hSpace="181" w:wrap="notBeside" w:vAnchor="text" w:hAnchor="text" w:xAlign="center" w:y="1"/>
              <w:spacing w:line="260" w:lineRule="exact"/>
              <w:jc w:val="center"/>
            </w:pPr>
            <w:r>
              <w:t>Finland</w:t>
            </w:r>
          </w:p>
        </w:tc>
        <w:tc>
          <w:tcPr>
            <w:tcW w:w="1985" w:type="dxa"/>
          </w:tcPr>
          <w:p w:rsidR="00B9359B" w:rsidRDefault="009A5268">
            <w:pPr>
              <w:pStyle w:val="Tabletext"/>
              <w:framePr w:hSpace="181" w:wrap="notBeside" w:vAnchor="text" w:hAnchor="text" w:xAlign="center" w:y="1"/>
              <w:spacing w:line="260" w:lineRule="exact"/>
              <w:jc w:val="center"/>
            </w:pPr>
            <w:r>
              <w:t>Metsähovi</w:t>
            </w:r>
          </w:p>
        </w:tc>
        <w:tc>
          <w:tcPr>
            <w:tcW w:w="1474" w:type="dxa"/>
          </w:tcPr>
          <w:p w:rsidR="00B9359B" w:rsidRDefault="009A5268">
            <w:pPr>
              <w:pStyle w:val="Tabletext"/>
              <w:framePr w:hSpace="181" w:wrap="notBeside" w:vAnchor="text" w:hAnchor="text" w:xAlign="center" w:y="1"/>
              <w:spacing w:line="260" w:lineRule="exact"/>
              <w:jc w:val="center"/>
            </w:pPr>
            <w:r>
              <w:t>24</w:t>
            </w:r>
            <w:r>
              <w:rPr>
                <w:rFonts w:ascii="Symbol" w:hAnsi="Symbol"/>
              </w:rPr>
              <w:t></w:t>
            </w:r>
            <w:r>
              <w:t xml:space="preserve"> 23' 17"</w:t>
            </w:r>
          </w:p>
        </w:tc>
        <w:tc>
          <w:tcPr>
            <w:tcW w:w="1361" w:type="dxa"/>
          </w:tcPr>
          <w:p w:rsidR="00B9359B" w:rsidRDefault="009A5268">
            <w:pPr>
              <w:pStyle w:val="Tabletext"/>
              <w:framePr w:hSpace="181" w:wrap="notBeside" w:vAnchor="text" w:hAnchor="text" w:xAlign="center" w:y="1"/>
              <w:spacing w:line="260" w:lineRule="exact"/>
              <w:jc w:val="center"/>
              <w:rPr>
                <w:lang w:val="en-US"/>
              </w:rPr>
            </w:pPr>
            <w:r>
              <w:rPr>
                <w:lang w:val="en-US"/>
              </w:rPr>
              <w:t>60</w:t>
            </w:r>
            <w:r>
              <w:rPr>
                <w:rFonts w:ascii="Symbol" w:hAnsi="Symbol"/>
                <w:lang w:val="en-US"/>
              </w:rPr>
              <w:t></w:t>
            </w:r>
            <w:r>
              <w:rPr>
                <w:lang w:val="en-US"/>
              </w:rPr>
              <w:t xml:space="preserve"> 13' 04"</w:t>
            </w:r>
          </w:p>
        </w:tc>
        <w:tc>
          <w:tcPr>
            <w:tcW w:w="992" w:type="dxa"/>
          </w:tcPr>
          <w:p w:rsidR="00B9359B" w:rsidRDefault="009A5268">
            <w:pPr>
              <w:pStyle w:val="Tabletext"/>
              <w:framePr w:hSpace="181" w:wrap="notBeside" w:vAnchor="text" w:hAnchor="text" w:xAlign="center" w:y="1"/>
              <w:spacing w:line="260" w:lineRule="exact"/>
              <w:jc w:val="center"/>
              <w:rPr>
                <w:lang w:val="en-US"/>
              </w:rPr>
            </w:pPr>
            <w:r>
              <w:rPr>
                <w:lang w:val="en-US"/>
              </w:rPr>
              <w:t>61</w:t>
            </w:r>
          </w:p>
        </w:tc>
        <w:tc>
          <w:tcPr>
            <w:tcW w:w="1106" w:type="dxa"/>
          </w:tcPr>
          <w:p w:rsidR="00B9359B" w:rsidRDefault="009A5268">
            <w:pPr>
              <w:pStyle w:val="Tabletext"/>
              <w:framePr w:hSpace="181" w:wrap="notBeside" w:vAnchor="text" w:hAnchor="text" w:xAlign="center" w:y="1"/>
              <w:spacing w:line="260" w:lineRule="exact"/>
              <w:jc w:val="center"/>
              <w:rPr>
                <w:lang w:val="en-US"/>
              </w:rPr>
            </w:pPr>
            <w:r>
              <w:rPr>
                <w:lang w:val="en-US"/>
              </w:rPr>
              <w:t>13.7</w:t>
            </w:r>
          </w:p>
        </w:tc>
        <w:tc>
          <w:tcPr>
            <w:tcW w:w="1191" w:type="dxa"/>
          </w:tcPr>
          <w:p w:rsidR="00B9359B" w:rsidRDefault="009A5268">
            <w:pPr>
              <w:pStyle w:val="Tabletext"/>
              <w:framePr w:hSpace="181" w:wrap="notBeside" w:vAnchor="text" w:hAnchor="text" w:xAlign="center" w:y="1"/>
              <w:spacing w:line="260" w:lineRule="exact"/>
              <w:jc w:val="center"/>
              <w:rPr>
                <w:lang w:val="en-US"/>
              </w:rPr>
            </w:pPr>
            <w:r>
              <w:rPr>
                <w:lang w:val="en-US"/>
              </w:rPr>
              <w:t>S</w:t>
            </w:r>
          </w:p>
        </w:tc>
      </w:tr>
      <w:tr w:rsidR="00B9359B">
        <w:tc>
          <w:tcPr>
            <w:tcW w:w="1588" w:type="dxa"/>
          </w:tcPr>
          <w:p w:rsidR="00B9359B" w:rsidRDefault="009A5268">
            <w:pPr>
              <w:pStyle w:val="Tabletext"/>
              <w:framePr w:hSpace="181" w:wrap="notBeside" w:vAnchor="text" w:hAnchor="text" w:xAlign="center" w:y="1"/>
              <w:spacing w:line="260" w:lineRule="exact"/>
              <w:jc w:val="center"/>
              <w:rPr>
                <w:lang w:val="en-US"/>
              </w:rPr>
            </w:pPr>
            <w:r>
              <w:rPr>
                <w:lang w:val="en-US"/>
              </w:rPr>
              <w:t>France</w:t>
            </w:r>
          </w:p>
        </w:tc>
        <w:tc>
          <w:tcPr>
            <w:tcW w:w="1985" w:type="dxa"/>
          </w:tcPr>
          <w:p w:rsidR="00B9359B" w:rsidRDefault="009A5268">
            <w:pPr>
              <w:pStyle w:val="Tabletext"/>
              <w:framePr w:hSpace="181" w:wrap="notBeside" w:vAnchor="text" w:hAnchor="text" w:xAlign="center" w:y="1"/>
              <w:spacing w:line="260" w:lineRule="exact"/>
              <w:jc w:val="center"/>
            </w:pPr>
            <w:r>
              <w:t>Bordeaux</w:t>
            </w:r>
            <w:r>
              <w:br/>
              <w:t>Plateau de Bure</w:t>
            </w:r>
          </w:p>
        </w:tc>
        <w:tc>
          <w:tcPr>
            <w:tcW w:w="1474" w:type="dxa"/>
          </w:tcPr>
          <w:p w:rsidR="00B9359B" w:rsidRDefault="009A5268">
            <w:pPr>
              <w:pStyle w:val="Tabletext"/>
              <w:framePr w:hSpace="181" w:wrap="notBeside" w:vAnchor="text" w:hAnchor="text" w:xAlign="center" w:y="1"/>
              <w:spacing w:line="260" w:lineRule="exact"/>
              <w:jc w:val="center"/>
            </w:pPr>
            <w:r>
              <w:t>–00</w:t>
            </w:r>
            <w:r>
              <w:rPr>
                <w:rFonts w:ascii="Symbol" w:hAnsi="Symbol"/>
              </w:rPr>
              <w:t></w:t>
            </w:r>
            <w:r>
              <w:t xml:space="preserve"> 31' 37" 5</w:t>
            </w:r>
            <w:r>
              <w:rPr>
                <w:rFonts w:ascii="Symbol" w:hAnsi="Symbol"/>
              </w:rPr>
              <w:t></w:t>
            </w:r>
            <w:r>
              <w:t xml:space="preserve"> 54' 26"</w:t>
            </w:r>
          </w:p>
        </w:tc>
        <w:tc>
          <w:tcPr>
            <w:tcW w:w="1361" w:type="dxa"/>
          </w:tcPr>
          <w:p w:rsidR="00B9359B" w:rsidRDefault="009A5268">
            <w:pPr>
              <w:pStyle w:val="Tabletext"/>
              <w:framePr w:hSpace="181" w:wrap="notBeside" w:vAnchor="text" w:hAnchor="text" w:xAlign="center" w:y="1"/>
              <w:spacing w:line="260" w:lineRule="exact"/>
              <w:jc w:val="center"/>
            </w:pPr>
            <w:r>
              <w:t>44</w:t>
            </w:r>
            <w:r>
              <w:rPr>
                <w:rFonts w:ascii="Symbol" w:hAnsi="Symbol"/>
              </w:rPr>
              <w:t></w:t>
            </w:r>
            <w:r>
              <w:t xml:space="preserve"> 50' 10"</w:t>
            </w:r>
            <w:r>
              <w:br/>
              <w:t>44</w:t>
            </w:r>
            <w:r>
              <w:rPr>
                <w:rFonts w:ascii="Symbol" w:hAnsi="Symbol"/>
              </w:rPr>
              <w:t></w:t>
            </w:r>
            <w:r>
              <w:t xml:space="preserve"> 38' 01"</w:t>
            </w:r>
          </w:p>
        </w:tc>
        <w:tc>
          <w:tcPr>
            <w:tcW w:w="992" w:type="dxa"/>
          </w:tcPr>
          <w:p w:rsidR="00B9359B" w:rsidRDefault="009A5268">
            <w:pPr>
              <w:pStyle w:val="Tabletext"/>
              <w:framePr w:hSpace="181" w:wrap="notBeside" w:vAnchor="text" w:hAnchor="text" w:xAlign="center" w:y="1"/>
              <w:spacing w:line="260" w:lineRule="exact"/>
              <w:jc w:val="center"/>
              <w:rPr>
                <w:lang w:val="en-US"/>
              </w:rPr>
            </w:pPr>
            <w:r>
              <w:rPr>
                <w:lang w:val="en-US"/>
              </w:rPr>
              <w:t>73</w:t>
            </w:r>
            <w:r>
              <w:rPr>
                <w:lang w:val="en-US"/>
              </w:rPr>
              <w:br/>
              <w:t>2</w:t>
            </w:r>
            <w:r>
              <w:rPr>
                <w:rFonts w:ascii="Tms Rmn" w:hAnsi="Tms Rmn"/>
                <w:sz w:val="12"/>
                <w:lang w:val="en-US"/>
              </w:rPr>
              <w:t> </w:t>
            </w:r>
            <w:r>
              <w:rPr>
                <w:lang w:val="en-US"/>
              </w:rPr>
              <w:t>552</w:t>
            </w:r>
          </w:p>
        </w:tc>
        <w:tc>
          <w:tcPr>
            <w:tcW w:w="1106" w:type="dxa"/>
          </w:tcPr>
          <w:p w:rsidR="00B9359B" w:rsidRDefault="009A5268">
            <w:pPr>
              <w:pStyle w:val="Tabletext"/>
              <w:framePr w:hSpace="181" w:wrap="notBeside" w:vAnchor="text" w:hAnchor="text" w:xAlign="center" w:y="1"/>
              <w:spacing w:line="260" w:lineRule="exact"/>
              <w:jc w:val="center"/>
              <w:rPr>
                <w:lang w:val="en-US"/>
              </w:rPr>
            </w:pPr>
            <w:r>
              <w:rPr>
                <w:lang w:val="en-US"/>
              </w:rPr>
              <w:t>2.5</w:t>
            </w:r>
            <w:r>
              <w:rPr>
                <w:lang w:val="en-US"/>
              </w:rPr>
              <w:br/>
              <w:t xml:space="preserve">6 </w:t>
            </w:r>
            <w:r>
              <w:rPr>
                <w:rFonts w:ascii="Symbol" w:hAnsi="Symbol"/>
              </w:rPr>
              <w:t></w:t>
            </w:r>
            <w:r>
              <w:rPr>
                <w:lang w:val="en-US"/>
              </w:rPr>
              <w:t xml:space="preserve"> 15</w:t>
            </w:r>
          </w:p>
        </w:tc>
        <w:tc>
          <w:tcPr>
            <w:tcW w:w="1191" w:type="dxa"/>
          </w:tcPr>
          <w:p w:rsidR="00B9359B" w:rsidRDefault="009A5268">
            <w:pPr>
              <w:pStyle w:val="Tabletext"/>
              <w:framePr w:hSpace="181" w:wrap="notBeside" w:vAnchor="text" w:hAnchor="text" w:xAlign="center" w:y="1"/>
              <w:spacing w:line="260" w:lineRule="exact"/>
              <w:jc w:val="center"/>
              <w:rPr>
                <w:lang w:val="en-US"/>
              </w:rPr>
            </w:pPr>
            <w:r>
              <w:rPr>
                <w:lang w:val="en-US"/>
              </w:rPr>
              <w:t>S</w:t>
            </w:r>
            <w:r>
              <w:rPr>
                <w:lang w:val="en-US"/>
              </w:rPr>
              <w:br/>
              <w:t>S</w:t>
            </w:r>
          </w:p>
        </w:tc>
      </w:tr>
      <w:tr w:rsidR="00B9359B">
        <w:tc>
          <w:tcPr>
            <w:tcW w:w="1588" w:type="dxa"/>
          </w:tcPr>
          <w:p w:rsidR="00B9359B" w:rsidRDefault="009A5268">
            <w:pPr>
              <w:pStyle w:val="Tabletext"/>
              <w:framePr w:hSpace="181" w:wrap="notBeside" w:vAnchor="text" w:hAnchor="text" w:xAlign="center" w:y="1"/>
              <w:spacing w:line="260" w:lineRule="exact"/>
              <w:jc w:val="center"/>
              <w:rPr>
                <w:lang w:val="en-US"/>
              </w:rPr>
            </w:pPr>
            <w:r>
              <w:rPr>
                <w:lang w:val="en-US"/>
              </w:rPr>
              <w:t>Germany</w:t>
            </w:r>
          </w:p>
        </w:tc>
        <w:tc>
          <w:tcPr>
            <w:tcW w:w="1985" w:type="dxa"/>
          </w:tcPr>
          <w:p w:rsidR="00B9359B" w:rsidRDefault="009A5268">
            <w:pPr>
              <w:pStyle w:val="Tabletext"/>
              <w:framePr w:hSpace="181" w:wrap="notBeside" w:vAnchor="text" w:hAnchor="text" w:xAlign="center" w:y="1"/>
              <w:spacing w:line="260" w:lineRule="exact"/>
              <w:jc w:val="center"/>
              <w:rPr>
                <w:lang w:val="en-US"/>
              </w:rPr>
            </w:pPr>
            <w:r>
              <w:rPr>
                <w:lang w:val="en-US"/>
              </w:rPr>
              <w:t>Effelsberg</w:t>
            </w:r>
          </w:p>
        </w:tc>
        <w:tc>
          <w:tcPr>
            <w:tcW w:w="1474" w:type="dxa"/>
          </w:tcPr>
          <w:p w:rsidR="00B9359B" w:rsidRDefault="009A5268">
            <w:pPr>
              <w:pStyle w:val="Tabletext"/>
              <w:framePr w:hSpace="181" w:wrap="notBeside" w:vAnchor="text" w:hAnchor="text" w:xAlign="center" w:y="1"/>
              <w:spacing w:line="260" w:lineRule="exact"/>
              <w:jc w:val="center"/>
              <w:rPr>
                <w:lang w:val="en-US"/>
              </w:rPr>
            </w:pPr>
            <w:r>
              <w:rPr>
                <w:lang w:val="en-US"/>
              </w:rPr>
              <w:t>06</w:t>
            </w:r>
            <w:r>
              <w:rPr>
                <w:rFonts w:ascii="Symbol" w:hAnsi="Symbol"/>
                <w:lang w:val="en-US"/>
              </w:rPr>
              <w:t></w:t>
            </w:r>
            <w:r>
              <w:rPr>
                <w:lang w:val="en-US"/>
              </w:rPr>
              <w:t xml:space="preserve"> 53' 00"</w:t>
            </w:r>
          </w:p>
        </w:tc>
        <w:tc>
          <w:tcPr>
            <w:tcW w:w="1361" w:type="dxa"/>
          </w:tcPr>
          <w:p w:rsidR="00B9359B" w:rsidRDefault="009A5268">
            <w:pPr>
              <w:pStyle w:val="Tabletext"/>
              <w:framePr w:hSpace="181" w:wrap="notBeside" w:vAnchor="text" w:hAnchor="text" w:xAlign="center" w:y="1"/>
              <w:spacing w:line="260" w:lineRule="exact"/>
              <w:jc w:val="center"/>
              <w:rPr>
                <w:lang w:val="en-US"/>
              </w:rPr>
            </w:pPr>
            <w:r>
              <w:rPr>
                <w:lang w:val="en-US"/>
              </w:rPr>
              <w:t>50</w:t>
            </w:r>
            <w:r>
              <w:rPr>
                <w:rFonts w:ascii="Symbol" w:hAnsi="Symbol"/>
                <w:lang w:val="en-US"/>
              </w:rPr>
              <w:t></w:t>
            </w:r>
            <w:r>
              <w:rPr>
                <w:lang w:val="en-US"/>
              </w:rPr>
              <w:t xml:space="preserve"> 31' 32"</w:t>
            </w:r>
          </w:p>
        </w:tc>
        <w:tc>
          <w:tcPr>
            <w:tcW w:w="992" w:type="dxa"/>
          </w:tcPr>
          <w:p w:rsidR="00B9359B" w:rsidRDefault="009A5268">
            <w:pPr>
              <w:pStyle w:val="Tabletext"/>
              <w:framePr w:hSpace="181" w:wrap="notBeside" w:vAnchor="text" w:hAnchor="text" w:xAlign="center" w:y="1"/>
              <w:spacing w:line="260" w:lineRule="exact"/>
              <w:jc w:val="center"/>
              <w:rPr>
                <w:lang w:val="en-US"/>
              </w:rPr>
            </w:pPr>
            <w:r>
              <w:rPr>
                <w:lang w:val="en-US"/>
              </w:rPr>
              <w:t>369</w:t>
            </w:r>
          </w:p>
        </w:tc>
        <w:tc>
          <w:tcPr>
            <w:tcW w:w="1106" w:type="dxa"/>
          </w:tcPr>
          <w:p w:rsidR="00B9359B" w:rsidRDefault="009A5268">
            <w:pPr>
              <w:pStyle w:val="Tabletext"/>
              <w:framePr w:hSpace="181" w:wrap="notBeside" w:vAnchor="text" w:hAnchor="text" w:xAlign="center" w:y="1"/>
              <w:spacing w:line="260" w:lineRule="exact"/>
              <w:jc w:val="center"/>
              <w:rPr>
                <w:lang w:val="en-US"/>
              </w:rPr>
            </w:pPr>
            <w:r>
              <w:rPr>
                <w:lang w:val="en-US"/>
              </w:rPr>
              <w:t>100</w:t>
            </w:r>
          </w:p>
        </w:tc>
        <w:tc>
          <w:tcPr>
            <w:tcW w:w="1191" w:type="dxa"/>
          </w:tcPr>
          <w:p w:rsidR="00B9359B" w:rsidRDefault="009A5268">
            <w:pPr>
              <w:pStyle w:val="Tabletext"/>
              <w:framePr w:hSpace="181" w:wrap="notBeside" w:vAnchor="text" w:hAnchor="text" w:xAlign="center" w:y="1"/>
              <w:spacing w:line="260" w:lineRule="exact"/>
              <w:jc w:val="center"/>
              <w:rPr>
                <w:lang w:val="en-US"/>
              </w:rPr>
            </w:pPr>
            <w:r>
              <w:rPr>
                <w:lang w:val="en-US"/>
              </w:rPr>
              <w:t>S</w:t>
            </w:r>
          </w:p>
        </w:tc>
      </w:tr>
      <w:tr w:rsidR="00B9359B">
        <w:tc>
          <w:tcPr>
            <w:tcW w:w="1588" w:type="dxa"/>
          </w:tcPr>
          <w:p w:rsidR="00B9359B" w:rsidRDefault="009A5268">
            <w:pPr>
              <w:pStyle w:val="Tabletext"/>
              <w:framePr w:hSpace="181" w:wrap="notBeside" w:vAnchor="text" w:hAnchor="text" w:xAlign="center" w:y="1"/>
              <w:spacing w:line="260" w:lineRule="exact"/>
              <w:jc w:val="center"/>
              <w:rPr>
                <w:lang w:val="es-ES"/>
              </w:rPr>
            </w:pPr>
            <w:r>
              <w:rPr>
                <w:lang w:val="es-ES"/>
              </w:rPr>
              <w:t>Italy</w:t>
            </w:r>
          </w:p>
        </w:tc>
        <w:tc>
          <w:tcPr>
            <w:tcW w:w="1985" w:type="dxa"/>
          </w:tcPr>
          <w:p w:rsidR="00B9359B" w:rsidRDefault="009A5268">
            <w:pPr>
              <w:pStyle w:val="Tabletext"/>
              <w:framePr w:hSpace="181" w:wrap="notBeside" w:vAnchor="text" w:hAnchor="text" w:xAlign="center" w:y="1"/>
              <w:spacing w:line="260" w:lineRule="exact"/>
              <w:jc w:val="center"/>
              <w:rPr>
                <w:lang w:val="es-ES"/>
              </w:rPr>
            </w:pPr>
            <w:r>
              <w:rPr>
                <w:lang w:val="es-ES"/>
              </w:rPr>
              <w:t>Medicina</w:t>
            </w:r>
            <w:r>
              <w:rPr>
                <w:lang w:val="es-ES"/>
              </w:rPr>
              <w:br/>
              <w:t>Noto</w:t>
            </w:r>
            <w:r>
              <w:rPr>
                <w:lang w:val="es-ES"/>
              </w:rPr>
              <w:br/>
              <w:t>Cagliari</w:t>
            </w:r>
          </w:p>
        </w:tc>
        <w:tc>
          <w:tcPr>
            <w:tcW w:w="1474" w:type="dxa"/>
          </w:tcPr>
          <w:p w:rsidR="00B9359B" w:rsidRDefault="009A5268">
            <w:pPr>
              <w:pStyle w:val="Tabletext"/>
              <w:framePr w:hSpace="181" w:wrap="notBeside" w:vAnchor="text" w:hAnchor="text" w:xAlign="center" w:y="1"/>
              <w:spacing w:line="260" w:lineRule="exact"/>
              <w:jc w:val="center"/>
              <w:rPr>
                <w:lang w:val="es-ES"/>
              </w:rPr>
            </w:pPr>
            <w:r>
              <w:t>11</w:t>
            </w:r>
            <w:r>
              <w:rPr>
                <w:rFonts w:ascii="Symbol" w:hAnsi="Symbol"/>
              </w:rPr>
              <w:t></w:t>
            </w:r>
            <w:r>
              <w:t xml:space="preserve"> 38' 43"</w:t>
            </w:r>
            <w:r>
              <w:br/>
              <w:t>15</w:t>
            </w:r>
            <w:r>
              <w:rPr>
                <w:rFonts w:ascii="Symbol" w:hAnsi="Symbol"/>
              </w:rPr>
              <w:t></w:t>
            </w:r>
            <w:r>
              <w:t xml:space="preserve"> 03' 00"</w:t>
            </w:r>
            <w:r>
              <w:br/>
              <w:t>09</w:t>
            </w:r>
            <w:r>
              <w:rPr>
                <w:rFonts w:ascii="Symbol" w:hAnsi="Symbol"/>
              </w:rPr>
              <w:t></w:t>
            </w:r>
            <w:r>
              <w:t xml:space="preserve"> 14' 40"</w:t>
            </w:r>
          </w:p>
        </w:tc>
        <w:tc>
          <w:tcPr>
            <w:tcW w:w="1361" w:type="dxa"/>
          </w:tcPr>
          <w:p w:rsidR="00B9359B" w:rsidRDefault="009A5268">
            <w:pPr>
              <w:pStyle w:val="Tabletext"/>
              <w:framePr w:hSpace="181" w:wrap="notBeside" w:vAnchor="text" w:hAnchor="text" w:xAlign="center" w:y="1"/>
              <w:spacing w:line="260" w:lineRule="exact"/>
              <w:jc w:val="center"/>
              <w:rPr>
                <w:lang w:val="es-ES"/>
              </w:rPr>
            </w:pPr>
            <w:r>
              <w:rPr>
                <w:lang w:val="es-ES"/>
              </w:rPr>
              <w:t>44</w:t>
            </w:r>
            <w:r>
              <w:rPr>
                <w:rFonts w:ascii="Symbol" w:hAnsi="Symbol"/>
                <w:lang w:val="es-ES"/>
              </w:rPr>
              <w:t></w:t>
            </w:r>
            <w:r>
              <w:rPr>
                <w:lang w:val="es-ES"/>
              </w:rPr>
              <w:t xml:space="preserve"> 31' 14"</w:t>
            </w:r>
            <w:r>
              <w:rPr>
                <w:lang w:val="es-ES"/>
              </w:rPr>
              <w:br/>
              <w:t>36</w:t>
            </w:r>
            <w:r>
              <w:rPr>
                <w:rFonts w:ascii="Symbol" w:hAnsi="Symbol"/>
                <w:lang w:val="es-ES"/>
              </w:rPr>
              <w:t></w:t>
            </w:r>
            <w:r>
              <w:rPr>
                <w:lang w:val="es-ES"/>
              </w:rPr>
              <w:t xml:space="preserve"> 31' 48"</w:t>
            </w:r>
            <w:r>
              <w:rPr>
                <w:lang w:val="es-ES"/>
              </w:rPr>
              <w:br/>
              <w:t>39</w:t>
            </w:r>
            <w:r>
              <w:rPr>
                <w:rFonts w:ascii="Symbol" w:hAnsi="Symbol"/>
                <w:lang w:val="es-ES"/>
              </w:rPr>
              <w:t></w:t>
            </w:r>
            <w:r>
              <w:rPr>
                <w:lang w:val="es-ES"/>
              </w:rPr>
              <w:t xml:space="preserve"> 29' 50"</w:t>
            </w:r>
          </w:p>
        </w:tc>
        <w:tc>
          <w:tcPr>
            <w:tcW w:w="992" w:type="dxa"/>
          </w:tcPr>
          <w:p w:rsidR="00B9359B" w:rsidRDefault="009A5268">
            <w:pPr>
              <w:pStyle w:val="Tabletext"/>
              <w:framePr w:hSpace="181" w:wrap="notBeside" w:vAnchor="text" w:hAnchor="text" w:xAlign="center" w:y="1"/>
              <w:spacing w:line="260" w:lineRule="exact"/>
              <w:jc w:val="center"/>
              <w:rPr>
                <w:lang w:val="en-US"/>
              </w:rPr>
            </w:pPr>
            <w:r>
              <w:rPr>
                <w:lang w:val="en-US"/>
              </w:rPr>
              <w:t>44</w:t>
            </w:r>
            <w:r>
              <w:rPr>
                <w:lang w:val="en-US"/>
              </w:rPr>
              <w:br/>
              <w:t>85</w:t>
            </w:r>
            <w:r>
              <w:rPr>
                <w:rFonts w:ascii="Tms Rmn" w:hAnsi="Tms Rmn"/>
                <w:sz w:val="12"/>
                <w:lang w:val="en-US"/>
              </w:rPr>
              <w:t> </w:t>
            </w:r>
            <w:r>
              <w:rPr>
                <w:lang w:val="en-US"/>
              </w:rPr>
              <w:t>570</w:t>
            </w:r>
          </w:p>
        </w:tc>
        <w:tc>
          <w:tcPr>
            <w:tcW w:w="1106" w:type="dxa"/>
          </w:tcPr>
          <w:p w:rsidR="00B9359B" w:rsidRDefault="009A5268">
            <w:pPr>
              <w:pStyle w:val="Tabletext"/>
              <w:framePr w:hSpace="181" w:wrap="notBeside" w:vAnchor="text" w:hAnchor="text" w:xAlign="center" w:y="1"/>
              <w:spacing w:line="260" w:lineRule="exact"/>
              <w:jc w:val="center"/>
              <w:rPr>
                <w:lang w:val="en-US"/>
              </w:rPr>
            </w:pPr>
            <w:r>
              <w:rPr>
                <w:lang w:val="en-US"/>
              </w:rPr>
              <w:t>32</w:t>
            </w:r>
            <w:r>
              <w:rPr>
                <w:lang w:val="en-US"/>
              </w:rPr>
              <w:br/>
              <w:t>32</w:t>
            </w:r>
            <w:r>
              <w:rPr>
                <w:lang w:val="en-US"/>
              </w:rPr>
              <w:br/>
              <w:t>64</w:t>
            </w:r>
          </w:p>
        </w:tc>
        <w:tc>
          <w:tcPr>
            <w:tcW w:w="1191" w:type="dxa"/>
          </w:tcPr>
          <w:p w:rsidR="00B9359B" w:rsidRDefault="009A5268">
            <w:pPr>
              <w:pStyle w:val="Tabletext"/>
              <w:framePr w:hSpace="181" w:wrap="notBeside" w:vAnchor="text" w:hAnchor="text" w:xAlign="center" w:y="1"/>
              <w:spacing w:line="260" w:lineRule="exact"/>
              <w:jc w:val="center"/>
              <w:rPr>
                <w:lang w:val="en-US"/>
              </w:rPr>
            </w:pPr>
            <w:r>
              <w:rPr>
                <w:lang w:val="en-US"/>
              </w:rPr>
              <w:t>S</w:t>
            </w:r>
            <w:r>
              <w:rPr>
                <w:lang w:val="en-US"/>
              </w:rPr>
              <w:br/>
              <w:t>S</w:t>
            </w:r>
            <w:r>
              <w:rPr>
                <w:lang w:val="en-US"/>
              </w:rPr>
              <w:br/>
              <w:t>S</w:t>
            </w:r>
          </w:p>
        </w:tc>
      </w:tr>
      <w:tr w:rsidR="00B9359B">
        <w:tc>
          <w:tcPr>
            <w:tcW w:w="1588" w:type="dxa"/>
          </w:tcPr>
          <w:p w:rsidR="00B9359B" w:rsidRDefault="009A5268">
            <w:pPr>
              <w:pStyle w:val="Tabletext"/>
              <w:framePr w:hSpace="181" w:wrap="notBeside" w:vAnchor="text" w:hAnchor="text" w:xAlign="center" w:y="1"/>
              <w:spacing w:line="260" w:lineRule="exact"/>
              <w:jc w:val="center"/>
              <w:rPr>
                <w:lang w:val="en-US"/>
              </w:rPr>
            </w:pPr>
            <w:r>
              <w:rPr>
                <w:lang w:val="en-US"/>
              </w:rPr>
              <w:t>Russian Federation</w:t>
            </w:r>
          </w:p>
        </w:tc>
        <w:tc>
          <w:tcPr>
            <w:tcW w:w="1985" w:type="dxa"/>
          </w:tcPr>
          <w:p w:rsidR="00B9359B" w:rsidRDefault="009A5268">
            <w:pPr>
              <w:pStyle w:val="Tabletext"/>
              <w:framePr w:hSpace="181" w:wrap="notBeside" w:vAnchor="text" w:hAnchor="text" w:xAlign="center" w:y="1"/>
              <w:spacing w:line="260" w:lineRule="exact"/>
              <w:jc w:val="center"/>
              <w:rPr>
                <w:lang w:val="en-US"/>
              </w:rPr>
            </w:pPr>
            <w:r>
              <w:rPr>
                <w:lang w:val="en-US"/>
              </w:rPr>
              <w:t>Dmitrov</w:t>
            </w:r>
          </w:p>
        </w:tc>
        <w:tc>
          <w:tcPr>
            <w:tcW w:w="1474" w:type="dxa"/>
          </w:tcPr>
          <w:p w:rsidR="00B9359B" w:rsidRDefault="009A5268">
            <w:pPr>
              <w:pStyle w:val="Tabletext"/>
              <w:framePr w:hSpace="181" w:wrap="notBeside" w:vAnchor="text" w:hAnchor="text" w:xAlign="center" w:y="1"/>
              <w:spacing w:line="260" w:lineRule="exact"/>
              <w:jc w:val="center"/>
              <w:rPr>
                <w:lang w:val="en-US"/>
              </w:rPr>
            </w:pPr>
            <w:r>
              <w:rPr>
                <w:lang w:val="en-US"/>
              </w:rPr>
              <w:t>37</w:t>
            </w:r>
            <w:r>
              <w:rPr>
                <w:rFonts w:ascii="Symbol" w:hAnsi="Symbol"/>
                <w:lang w:val="en-US"/>
              </w:rPr>
              <w:t></w:t>
            </w:r>
            <w:r>
              <w:rPr>
                <w:lang w:val="en-US"/>
              </w:rPr>
              <w:t xml:space="preserve"> 27' 00"</w:t>
            </w:r>
          </w:p>
        </w:tc>
        <w:tc>
          <w:tcPr>
            <w:tcW w:w="1361" w:type="dxa"/>
          </w:tcPr>
          <w:p w:rsidR="00B9359B" w:rsidRDefault="009A5268">
            <w:pPr>
              <w:pStyle w:val="Tabletext"/>
              <w:framePr w:hSpace="181" w:wrap="notBeside" w:vAnchor="text" w:hAnchor="text" w:xAlign="center" w:y="1"/>
              <w:spacing w:line="260" w:lineRule="exact"/>
              <w:jc w:val="center"/>
              <w:rPr>
                <w:lang w:val="en-US"/>
              </w:rPr>
            </w:pPr>
            <w:r>
              <w:rPr>
                <w:lang w:val="en-US"/>
              </w:rPr>
              <w:t>56</w:t>
            </w:r>
            <w:r>
              <w:rPr>
                <w:rFonts w:ascii="Symbol" w:hAnsi="Symbol"/>
                <w:lang w:val="en-US"/>
              </w:rPr>
              <w:t></w:t>
            </w:r>
            <w:r>
              <w:rPr>
                <w:lang w:val="en-US"/>
              </w:rPr>
              <w:t xml:space="preserve"> 26' 00"</w:t>
            </w:r>
          </w:p>
        </w:tc>
        <w:tc>
          <w:tcPr>
            <w:tcW w:w="992" w:type="dxa"/>
          </w:tcPr>
          <w:p w:rsidR="00B9359B" w:rsidRDefault="009A5268">
            <w:pPr>
              <w:pStyle w:val="Tabletext"/>
              <w:framePr w:hSpace="181" w:wrap="notBeside" w:vAnchor="text" w:hAnchor="text" w:xAlign="center" w:y="1"/>
              <w:spacing w:line="260" w:lineRule="exact"/>
              <w:jc w:val="center"/>
              <w:rPr>
                <w:lang w:val="en-US"/>
              </w:rPr>
            </w:pPr>
            <w:r>
              <w:rPr>
                <w:lang w:val="en-US"/>
              </w:rPr>
              <w:t>200</w:t>
            </w:r>
          </w:p>
        </w:tc>
        <w:tc>
          <w:tcPr>
            <w:tcW w:w="1106" w:type="dxa"/>
          </w:tcPr>
          <w:p w:rsidR="00B9359B" w:rsidRDefault="009A5268">
            <w:pPr>
              <w:pStyle w:val="Tabletext"/>
              <w:framePr w:hSpace="181" w:wrap="notBeside" w:vAnchor="text" w:hAnchor="text" w:xAlign="center" w:y="1"/>
              <w:spacing w:line="260" w:lineRule="exact"/>
              <w:jc w:val="center"/>
              <w:rPr>
                <w:lang w:val="en-US"/>
              </w:rPr>
            </w:pPr>
            <w:r>
              <w:rPr>
                <w:lang w:val="en-US"/>
              </w:rPr>
              <w:t>32</w:t>
            </w:r>
          </w:p>
        </w:tc>
        <w:tc>
          <w:tcPr>
            <w:tcW w:w="1191" w:type="dxa"/>
          </w:tcPr>
          <w:p w:rsidR="00B9359B" w:rsidRDefault="009A5268">
            <w:pPr>
              <w:pStyle w:val="Tabletext"/>
              <w:framePr w:hSpace="181" w:wrap="notBeside" w:vAnchor="text" w:hAnchor="text" w:xAlign="center" w:y="1"/>
              <w:spacing w:line="260" w:lineRule="exact"/>
              <w:jc w:val="center"/>
              <w:rPr>
                <w:lang w:val="en-US"/>
              </w:rPr>
            </w:pPr>
            <w:r>
              <w:rPr>
                <w:lang w:val="en-US"/>
              </w:rPr>
              <w:t>S</w:t>
            </w:r>
          </w:p>
        </w:tc>
      </w:tr>
      <w:tr w:rsidR="00B9359B">
        <w:tc>
          <w:tcPr>
            <w:tcW w:w="1588" w:type="dxa"/>
          </w:tcPr>
          <w:p w:rsidR="00B9359B" w:rsidRDefault="009A5268">
            <w:pPr>
              <w:pStyle w:val="Tabletext"/>
              <w:framePr w:hSpace="181" w:wrap="notBeside" w:vAnchor="text" w:hAnchor="text" w:xAlign="center" w:y="1"/>
              <w:spacing w:line="260" w:lineRule="exact"/>
              <w:jc w:val="center"/>
              <w:rPr>
                <w:lang w:val="es-ES"/>
              </w:rPr>
            </w:pPr>
            <w:r>
              <w:rPr>
                <w:lang w:val="es-ES"/>
              </w:rPr>
              <w:t>Spain</w:t>
            </w:r>
          </w:p>
        </w:tc>
        <w:tc>
          <w:tcPr>
            <w:tcW w:w="1985" w:type="dxa"/>
          </w:tcPr>
          <w:p w:rsidR="00B9359B" w:rsidRDefault="009A5268">
            <w:pPr>
              <w:pStyle w:val="Tabletext"/>
              <w:framePr w:hSpace="181" w:wrap="notBeside" w:vAnchor="text" w:hAnchor="text" w:xAlign="center" w:y="1"/>
              <w:spacing w:line="260" w:lineRule="exact"/>
              <w:jc w:val="center"/>
              <w:rPr>
                <w:lang w:val="es-ES"/>
              </w:rPr>
            </w:pPr>
            <w:r>
              <w:rPr>
                <w:lang w:val="es-ES"/>
              </w:rPr>
              <w:t>Pico Veleta</w:t>
            </w:r>
            <w:r>
              <w:rPr>
                <w:lang w:val="es-ES"/>
              </w:rPr>
              <w:br/>
              <w:t>Yebes</w:t>
            </w:r>
          </w:p>
        </w:tc>
        <w:tc>
          <w:tcPr>
            <w:tcW w:w="1474" w:type="dxa"/>
          </w:tcPr>
          <w:p w:rsidR="00B9359B" w:rsidRDefault="009A5268">
            <w:pPr>
              <w:pStyle w:val="Tabletext"/>
              <w:framePr w:hSpace="181" w:wrap="notBeside" w:vAnchor="text" w:hAnchor="text" w:xAlign="center" w:y="1"/>
              <w:spacing w:line="260" w:lineRule="exact"/>
              <w:jc w:val="center"/>
              <w:rPr>
                <w:lang w:val="es-ES"/>
              </w:rPr>
            </w:pPr>
            <w:r>
              <w:rPr>
                <w:lang w:val="es-ES"/>
              </w:rPr>
              <w:t>–03</w:t>
            </w:r>
            <w:r>
              <w:rPr>
                <w:rFonts w:ascii="Symbol" w:hAnsi="Symbol"/>
                <w:lang w:val="es-ES"/>
              </w:rPr>
              <w:t></w:t>
            </w:r>
            <w:r>
              <w:rPr>
                <w:lang w:val="es-ES"/>
              </w:rPr>
              <w:t xml:space="preserve"> 23' 34"</w:t>
            </w:r>
            <w:r>
              <w:rPr>
                <w:lang w:val="es-ES"/>
              </w:rPr>
              <w:br/>
              <w:t>–03</w:t>
            </w:r>
            <w:r>
              <w:rPr>
                <w:rFonts w:ascii="Symbol" w:hAnsi="Symbol"/>
                <w:lang w:val="es-ES"/>
              </w:rPr>
              <w:t></w:t>
            </w:r>
            <w:r>
              <w:rPr>
                <w:lang w:val="es-ES"/>
              </w:rPr>
              <w:t xml:space="preserve"> 06' 00"</w:t>
            </w:r>
          </w:p>
        </w:tc>
        <w:tc>
          <w:tcPr>
            <w:tcW w:w="1361" w:type="dxa"/>
          </w:tcPr>
          <w:p w:rsidR="00B9359B" w:rsidRDefault="009A5268">
            <w:pPr>
              <w:pStyle w:val="Tabletext"/>
              <w:framePr w:hSpace="181" w:wrap="notBeside" w:vAnchor="text" w:hAnchor="text" w:xAlign="center" w:y="1"/>
              <w:spacing w:line="260" w:lineRule="exact"/>
              <w:jc w:val="center"/>
              <w:rPr>
                <w:lang w:val="es-ES"/>
              </w:rPr>
            </w:pPr>
            <w:r>
              <w:rPr>
                <w:lang w:val="es-ES"/>
              </w:rPr>
              <w:t>37</w:t>
            </w:r>
            <w:r>
              <w:rPr>
                <w:rFonts w:ascii="Symbol" w:hAnsi="Symbol"/>
                <w:lang w:val="es-ES"/>
              </w:rPr>
              <w:t></w:t>
            </w:r>
            <w:r>
              <w:rPr>
                <w:lang w:val="es-ES"/>
              </w:rPr>
              <w:t xml:space="preserve"> 03' 58"</w:t>
            </w:r>
            <w:r>
              <w:rPr>
                <w:lang w:val="es-ES"/>
              </w:rPr>
              <w:br/>
              <w:t>40</w:t>
            </w:r>
            <w:r>
              <w:rPr>
                <w:rFonts w:ascii="Symbol" w:hAnsi="Symbol"/>
                <w:lang w:val="es-ES"/>
              </w:rPr>
              <w:t></w:t>
            </w:r>
            <w:r>
              <w:rPr>
                <w:lang w:val="es-ES"/>
              </w:rPr>
              <w:t xml:space="preserve"> 31' 30"</w:t>
            </w:r>
          </w:p>
        </w:tc>
        <w:tc>
          <w:tcPr>
            <w:tcW w:w="992" w:type="dxa"/>
          </w:tcPr>
          <w:p w:rsidR="00B9359B" w:rsidRDefault="009A5268">
            <w:pPr>
              <w:pStyle w:val="Tabletext"/>
              <w:framePr w:hSpace="181" w:wrap="notBeside" w:vAnchor="text" w:hAnchor="text" w:xAlign="center" w:y="1"/>
              <w:spacing w:line="260" w:lineRule="exact"/>
              <w:jc w:val="center"/>
              <w:rPr>
                <w:lang w:val="en-US"/>
              </w:rPr>
            </w:pPr>
            <w:r>
              <w:rPr>
                <w:lang w:val="en-US"/>
              </w:rPr>
              <w:t>2</w:t>
            </w:r>
            <w:r>
              <w:rPr>
                <w:rFonts w:ascii="Tms Rmn" w:hAnsi="Tms Rmn"/>
                <w:sz w:val="12"/>
                <w:lang w:val="en-US"/>
              </w:rPr>
              <w:t> </w:t>
            </w:r>
            <w:r>
              <w:rPr>
                <w:lang w:val="en-US"/>
              </w:rPr>
              <w:t>870</w:t>
            </w:r>
            <w:r>
              <w:rPr>
                <w:lang w:val="en-US"/>
              </w:rPr>
              <w:br/>
              <w:t>931</w:t>
            </w:r>
          </w:p>
        </w:tc>
        <w:tc>
          <w:tcPr>
            <w:tcW w:w="1106" w:type="dxa"/>
          </w:tcPr>
          <w:p w:rsidR="00B9359B" w:rsidRDefault="009A5268">
            <w:pPr>
              <w:pStyle w:val="Tabletext"/>
              <w:framePr w:hSpace="181" w:wrap="notBeside" w:vAnchor="text" w:hAnchor="text" w:xAlign="center" w:y="1"/>
              <w:spacing w:line="260" w:lineRule="exact"/>
              <w:jc w:val="center"/>
              <w:rPr>
                <w:lang w:val="en-US"/>
              </w:rPr>
            </w:pPr>
            <w:r>
              <w:rPr>
                <w:lang w:val="en-US"/>
              </w:rPr>
              <w:t>30</w:t>
            </w:r>
            <w:r>
              <w:rPr>
                <w:lang w:val="en-US"/>
              </w:rPr>
              <w:br/>
              <w:t>40</w:t>
            </w:r>
          </w:p>
        </w:tc>
        <w:tc>
          <w:tcPr>
            <w:tcW w:w="1191" w:type="dxa"/>
          </w:tcPr>
          <w:p w:rsidR="00B9359B" w:rsidRDefault="009A5268">
            <w:pPr>
              <w:pStyle w:val="Tabletext"/>
              <w:framePr w:hSpace="181" w:wrap="notBeside" w:vAnchor="text" w:hAnchor="text" w:xAlign="center" w:y="1"/>
              <w:spacing w:line="260" w:lineRule="exact"/>
              <w:jc w:val="center"/>
              <w:rPr>
                <w:lang w:val="en-US"/>
              </w:rPr>
            </w:pPr>
            <w:r>
              <w:rPr>
                <w:lang w:val="en-US"/>
              </w:rPr>
              <w:t>S</w:t>
            </w:r>
            <w:r>
              <w:rPr>
                <w:lang w:val="en-US"/>
              </w:rPr>
              <w:br/>
              <w:t>S</w:t>
            </w:r>
          </w:p>
        </w:tc>
      </w:tr>
      <w:tr w:rsidR="00B9359B">
        <w:tc>
          <w:tcPr>
            <w:tcW w:w="1588" w:type="dxa"/>
          </w:tcPr>
          <w:p w:rsidR="00B9359B" w:rsidRDefault="009A5268">
            <w:pPr>
              <w:pStyle w:val="Tabletext"/>
              <w:framePr w:hSpace="181" w:wrap="notBeside" w:vAnchor="text" w:hAnchor="text" w:xAlign="center" w:y="1"/>
              <w:spacing w:line="260" w:lineRule="exact"/>
              <w:jc w:val="center"/>
              <w:rPr>
                <w:lang w:val="en-US"/>
              </w:rPr>
            </w:pPr>
            <w:r>
              <w:rPr>
                <w:lang w:val="en-US"/>
              </w:rPr>
              <w:t>Sweden</w:t>
            </w:r>
          </w:p>
        </w:tc>
        <w:tc>
          <w:tcPr>
            <w:tcW w:w="1985" w:type="dxa"/>
          </w:tcPr>
          <w:p w:rsidR="00B9359B" w:rsidRDefault="009A5268">
            <w:pPr>
              <w:pStyle w:val="Tabletext"/>
              <w:framePr w:hSpace="181" w:wrap="notBeside" w:vAnchor="text" w:hAnchor="text" w:xAlign="center" w:y="1"/>
              <w:spacing w:line="260" w:lineRule="exact"/>
              <w:jc w:val="center"/>
              <w:rPr>
                <w:lang w:val="es-ES"/>
              </w:rPr>
            </w:pPr>
            <w:r>
              <w:rPr>
                <w:lang w:val="es-ES"/>
              </w:rPr>
              <w:t>Onsala</w:t>
            </w:r>
          </w:p>
        </w:tc>
        <w:tc>
          <w:tcPr>
            <w:tcW w:w="1474" w:type="dxa"/>
          </w:tcPr>
          <w:p w:rsidR="00B9359B" w:rsidRDefault="009A5268">
            <w:pPr>
              <w:pStyle w:val="Tabletext"/>
              <w:framePr w:hSpace="181" w:wrap="notBeside" w:vAnchor="text" w:hAnchor="text" w:xAlign="center" w:y="1"/>
              <w:spacing w:line="260" w:lineRule="exact"/>
              <w:jc w:val="center"/>
              <w:rPr>
                <w:lang w:val="es-ES"/>
              </w:rPr>
            </w:pPr>
            <w:r>
              <w:rPr>
                <w:lang w:val="es-ES"/>
              </w:rPr>
              <w:t>11</w:t>
            </w:r>
            <w:r>
              <w:rPr>
                <w:rFonts w:ascii="Symbol" w:hAnsi="Symbol"/>
                <w:lang w:val="es-ES"/>
              </w:rPr>
              <w:t></w:t>
            </w:r>
            <w:r>
              <w:rPr>
                <w:lang w:val="es-ES"/>
              </w:rPr>
              <w:t xml:space="preserve"> 55' 35"</w:t>
            </w:r>
          </w:p>
        </w:tc>
        <w:tc>
          <w:tcPr>
            <w:tcW w:w="1361" w:type="dxa"/>
          </w:tcPr>
          <w:p w:rsidR="00B9359B" w:rsidRDefault="009A5268">
            <w:pPr>
              <w:pStyle w:val="Tabletext"/>
              <w:framePr w:hSpace="181" w:wrap="notBeside" w:vAnchor="text" w:hAnchor="text" w:xAlign="center" w:y="1"/>
              <w:spacing w:line="260" w:lineRule="exact"/>
              <w:jc w:val="center"/>
              <w:rPr>
                <w:lang w:val="es-ES"/>
              </w:rPr>
            </w:pPr>
            <w:r>
              <w:rPr>
                <w:lang w:val="es-ES"/>
              </w:rPr>
              <w:t>57</w:t>
            </w:r>
            <w:r>
              <w:rPr>
                <w:rFonts w:ascii="Symbol" w:hAnsi="Symbol"/>
                <w:lang w:val="es-ES"/>
              </w:rPr>
              <w:t></w:t>
            </w:r>
            <w:r>
              <w:rPr>
                <w:lang w:val="es-ES"/>
              </w:rPr>
              <w:t xml:space="preserve"> 23' 45"</w:t>
            </w:r>
          </w:p>
        </w:tc>
        <w:tc>
          <w:tcPr>
            <w:tcW w:w="992" w:type="dxa"/>
          </w:tcPr>
          <w:p w:rsidR="00B9359B" w:rsidRDefault="009A5268">
            <w:pPr>
              <w:pStyle w:val="Tabletext"/>
              <w:framePr w:hSpace="181" w:wrap="notBeside" w:vAnchor="text" w:hAnchor="text" w:xAlign="center" w:y="1"/>
              <w:spacing w:line="260" w:lineRule="exact"/>
              <w:jc w:val="center"/>
              <w:rPr>
                <w:lang w:val="en-US"/>
              </w:rPr>
            </w:pPr>
            <w:r>
              <w:rPr>
                <w:lang w:val="en-US"/>
              </w:rPr>
              <w:t>10</w:t>
            </w:r>
          </w:p>
        </w:tc>
        <w:tc>
          <w:tcPr>
            <w:tcW w:w="1106" w:type="dxa"/>
          </w:tcPr>
          <w:p w:rsidR="00B9359B" w:rsidRDefault="009A5268">
            <w:pPr>
              <w:pStyle w:val="Tabletext"/>
              <w:framePr w:hSpace="181" w:wrap="notBeside" w:vAnchor="text" w:hAnchor="text" w:xAlign="center" w:y="1"/>
              <w:spacing w:line="260" w:lineRule="exact"/>
              <w:jc w:val="center"/>
              <w:rPr>
                <w:lang w:val="en-US"/>
              </w:rPr>
            </w:pPr>
            <w:r>
              <w:rPr>
                <w:lang w:val="en-US"/>
              </w:rPr>
              <w:t>20</w:t>
            </w:r>
          </w:p>
        </w:tc>
        <w:tc>
          <w:tcPr>
            <w:tcW w:w="1191" w:type="dxa"/>
          </w:tcPr>
          <w:p w:rsidR="00B9359B" w:rsidRDefault="009A5268">
            <w:pPr>
              <w:pStyle w:val="Tabletext"/>
              <w:framePr w:hSpace="181" w:wrap="notBeside" w:vAnchor="text" w:hAnchor="text" w:xAlign="center" w:y="1"/>
              <w:spacing w:line="260" w:lineRule="exact"/>
              <w:jc w:val="center"/>
              <w:rPr>
                <w:lang w:val="en-US"/>
              </w:rPr>
            </w:pPr>
            <w:r>
              <w:rPr>
                <w:lang w:val="en-US"/>
              </w:rPr>
              <w:t>S</w:t>
            </w:r>
          </w:p>
        </w:tc>
      </w:tr>
      <w:tr w:rsidR="00B9359B">
        <w:tc>
          <w:tcPr>
            <w:tcW w:w="1588" w:type="dxa"/>
          </w:tcPr>
          <w:p w:rsidR="00B9359B" w:rsidRDefault="009A5268">
            <w:pPr>
              <w:pStyle w:val="Tabletext"/>
              <w:framePr w:hSpace="181" w:wrap="notBeside" w:vAnchor="text" w:hAnchor="text" w:xAlign="center" w:y="1"/>
              <w:spacing w:line="260" w:lineRule="exact"/>
              <w:jc w:val="center"/>
              <w:rPr>
                <w:lang w:val="en-US"/>
              </w:rPr>
            </w:pPr>
            <w:r>
              <w:rPr>
                <w:lang w:val="en-US"/>
              </w:rPr>
              <w:t>United</w:t>
            </w:r>
            <w:r>
              <w:rPr>
                <w:lang w:val="en-US"/>
              </w:rPr>
              <w:br/>
              <w:t>Kingdom</w:t>
            </w:r>
          </w:p>
          <w:p w:rsidR="00B9359B" w:rsidRDefault="009A5268">
            <w:pPr>
              <w:pStyle w:val="Tabletext"/>
              <w:framePr w:hSpace="181" w:wrap="notBeside" w:vAnchor="text" w:hAnchor="text" w:xAlign="center" w:y="1"/>
              <w:spacing w:line="260" w:lineRule="exact"/>
              <w:jc w:val="center"/>
              <w:rPr>
                <w:lang w:val="en-US"/>
              </w:rPr>
            </w:pPr>
            <w:r>
              <w:rPr>
                <w:lang w:val="en-US"/>
              </w:rPr>
              <w:t>(planned)</w:t>
            </w:r>
          </w:p>
        </w:tc>
        <w:tc>
          <w:tcPr>
            <w:tcW w:w="1985" w:type="dxa"/>
          </w:tcPr>
          <w:p w:rsidR="00B9359B" w:rsidRDefault="009A5268">
            <w:pPr>
              <w:pStyle w:val="Tabletext"/>
              <w:framePr w:hSpace="181" w:wrap="notBeside" w:vAnchor="text" w:hAnchor="text" w:xAlign="center" w:y="1"/>
              <w:spacing w:line="260" w:lineRule="exact"/>
              <w:jc w:val="center"/>
              <w:rPr>
                <w:lang w:val="en-US"/>
              </w:rPr>
            </w:pPr>
            <w:r>
              <w:rPr>
                <w:lang w:val="en-US"/>
              </w:rPr>
              <w:t>Cambridge</w:t>
            </w:r>
            <w:r>
              <w:rPr>
                <w:lang w:val="en-US"/>
              </w:rPr>
              <w:br/>
              <w:t>Darnhall</w:t>
            </w:r>
            <w:r>
              <w:rPr>
                <w:lang w:val="en-US"/>
              </w:rPr>
              <w:br/>
              <w:t>Jodrell Bank</w:t>
            </w:r>
            <w:r>
              <w:rPr>
                <w:lang w:val="en-US"/>
              </w:rPr>
              <w:br/>
              <w:t>Knockin</w:t>
            </w:r>
            <w:r>
              <w:rPr>
                <w:lang w:val="en-US"/>
              </w:rPr>
              <w:br/>
              <w:t>Pickmere</w:t>
            </w:r>
          </w:p>
        </w:tc>
        <w:tc>
          <w:tcPr>
            <w:tcW w:w="1474" w:type="dxa"/>
          </w:tcPr>
          <w:p w:rsidR="00B9359B" w:rsidRDefault="009A5268">
            <w:pPr>
              <w:pStyle w:val="Tabletext"/>
              <w:framePr w:hSpace="181" w:wrap="notBeside" w:vAnchor="text" w:hAnchor="text" w:xAlign="center" w:y="1"/>
              <w:spacing w:line="260" w:lineRule="exact"/>
              <w:jc w:val="center"/>
              <w:rPr>
                <w:lang w:val="en-US"/>
              </w:rPr>
            </w:pPr>
            <w:r>
              <w:rPr>
                <w:lang w:val="en-US"/>
              </w:rPr>
              <w:t>00</w:t>
            </w:r>
            <w:r>
              <w:rPr>
                <w:rFonts w:ascii="Symbol" w:hAnsi="Symbol"/>
                <w:lang w:val="en-US"/>
              </w:rPr>
              <w:t></w:t>
            </w:r>
            <w:r>
              <w:rPr>
                <w:lang w:val="en-US"/>
              </w:rPr>
              <w:t xml:space="preserve"> 02' 20"</w:t>
            </w:r>
            <w:r>
              <w:rPr>
                <w:lang w:val="en-US"/>
              </w:rPr>
              <w:br/>
              <w:t>–02</w:t>
            </w:r>
            <w:r>
              <w:rPr>
                <w:rFonts w:ascii="Symbol" w:hAnsi="Symbol"/>
                <w:lang w:val="en-US"/>
              </w:rPr>
              <w:t></w:t>
            </w:r>
            <w:r>
              <w:rPr>
                <w:lang w:val="en-US"/>
              </w:rPr>
              <w:t xml:space="preserve"> 32' 03"</w:t>
            </w:r>
            <w:r>
              <w:rPr>
                <w:lang w:val="en-US"/>
              </w:rPr>
              <w:br/>
              <w:t>–02</w:t>
            </w:r>
            <w:r>
              <w:rPr>
                <w:rFonts w:ascii="Symbol" w:hAnsi="Symbol"/>
                <w:lang w:val="en-US"/>
              </w:rPr>
              <w:t></w:t>
            </w:r>
            <w:r>
              <w:rPr>
                <w:lang w:val="en-US"/>
              </w:rPr>
              <w:t xml:space="preserve"> 18' 26"</w:t>
            </w:r>
            <w:r>
              <w:rPr>
                <w:lang w:val="en-US"/>
              </w:rPr>
              <w:br/>
              <w:t>–02</w:t>
            </w:r>
            <w:r>
              <w:rPr>
                <w:rFonts w:ascii="Symbol" w:hAnsi="Symbol"/>
                <w:lang w:val="en-US"/>
              </w:rPr>
              <w:t></w:t>
            </w:r>
            <w:r>
              <w:rPr>
                <w:lang w:val="en-US"/>
              </w:rPr>
              <w:t xml:space="preserve"> 59' 45"</w:t>
            </w:r>
            <w:r>
              <w:rPr>
                <w:lang w:val="en-US"/>
              </w:rPr>
              <w:br/>
              <w:t>–02</w:t>
            </w:r>
            <w:r>
              <w:rPr>
                <w:rFonts w:ascii="Symbol" w:hAnsi="Symbol"/>
                <w:lang w:val="en-US"/>
              </w:rPr>
              <w:t></w:t>
            </w:r>
            <w:r>
              <w:rPr>
                <w:lang w:val="en-US"/>
              </w:rPr>
              <w:t xml:space="preserve"> 26' 38"</w:t>
            </w:r>
          </w:p>
        </w:tc>
        <w:tc>
          <w:tcPr>
            <w:tcW w:w="1361" w:type="dxa"/>
          </w:tcPr>
          <w:p w:rsidR="00B9359B" w:rsidRDefault="009A5268">
            <w:pPr>
              <w:pStyle w:val="Tabletext"/>
              <w:framePr w:hSpace="181" w:wrap="notBeside" w:vAnchor="text" w:hAnchor="text" w:xAlign="center" w:y="1"/>
              <w:spacing w:line="260" w:lineRule="exact"/>
              <w:jc w:val="center"/>
              <w:rPr>
                <w:lang w:val="en-US"/>
              </w:rPr>
            </w:pPr>
            <w:r>
              <w:rPr>
                <w:lang w:val="en-US"/>
              </w:rPr>
              <w:t>52</w:t>
            </w:r>
            <w:r>
              <w:rPr>
                <w:rFonts w:ascii="Symbol" w:hAnsi="Symbol"/>
                <w:lang w:val="en-US"/>
              </w:rPr>
              <w:t></w:t>
            </w:r>
            <w:r>
              <w:rPr>
                <w:lang w:val="en-US"/>
              </w:rPr>
              <w:t xml:space="preserve"> 09' 59"</w:t>
            </w:r>
            <w:r>
              <w:rPr>
                <w:lang w:val="en-US"/>
              </w:rPr>
              <w:br/>
              <w:t>53</w:t>
            </w:r>
            <w:r>
              <w:rPr>
                <w:rFonts w:ascii="Symbol" w:hAnsi="Symbol"/>
                <w:lang w:val="en-US"/>
              </w:rPr>
              <w:t></w:t>
            </w:r>
            <w:r>
              <w:rPr>
                <w:lang w:val="en-US"/>
              </w:rPr>
              <w:t xml:space="preserve"> 09' 21"</w:t>
            </w:r>
            <w:r>
              <w:rPr>
                <w:lang w:val="en-US"/>
              </w:rPr>
              <w:br/>
              <w:t>53</w:t>
            </w:r>
            <w:r>
              <w:rPr>
                <w:rFonts w:ascii="Symbol" w:hAnsi="Symbol"/>
                <w:lang w:val="en-US"/>
              </w:rPr>
              <w:t></w:t>
            </w:r>
            <w:r>
              <w:rPr>
                <w:lang w:val="en-US"/>
              </w:rPr>
              <w:t xml:space="preserve"> 14' 10"</w:t>
            </w:r>
            <w:r>
              <w:rPr>
                <w:lang w:val="en-US"/>
              </w:rPr>
              <w:br/>
              <w:t>52</w:t>
            </w:r>
            <w:r>
              <w:rPr>
                <w:rFonts w:ascii="Symbol" w:hAnsi="Symbol"/>
                <w:lang w:val="en-US"/>
              </w:rPr>
              <w:t></w:t>
            </w:r>
            <w:r>
              <w:rPr>
                <w:lang w:val="en-US"/>
              </w:rPr>
              <w:t xml:space="preserve"> 47' 24"</w:t>
            </w:r>
            <w:r>
              <w:rPr>
                <w:lang w:val="en-US"/>
              </w:rPr>
              <w:br/>
              <w:t>53</w:t>
            </w:r>
            <w:r>
              <w:rPr>
                <w:rFonts w:ascii="Symbol" w:hAnsi="Symbol"/>
                <w:lang w:val="en-US"/>
              </w:rPr>
              <w:t></w:t>
            </w:r>
            <w:r>
              <w:rPr>
                <w:lang w:val="en-US"/>
              </w:rPr>
              <w:t xml:space="preserve"> 17' 18"</w:t>
            </w:r>
          </w:p>
        </w:tc>
        <w:tc>
          <w:tcPr>
            <w:tcW w:w="992" w:type="dxa"/>
          </w:tcPr>
          <w:p w:rsidR="00B9359B" w:rsidRDefault="009A5268">
            <w:pPr>
              <w:pStyle w:val="Tabletext"/>
              <w:framePr w:hSpace="181" w:wrap="notBeside" w:vAnchor="text" w:hAnchor="text" w:xAlign="center" w:y="1"/>
              <w:spacing w:line="260" w:lineRule="exact"/>
              <w:jc w:val="center"/>
              <w:rPr>
                <w:lang w:val="en-US"/>
              </w:rPr>
            </w:pPr>
            <w:r>
              <w:rPr>
                <w:lang w:val="en-US"/>
              </w:rPr>
              <w:t>24</w:t>
            </w:r>
            <w:r>
              <w:rPr>
                <w:lang w:val="en-US"/>
              </w:rPr>
              <w:br/>
              <w:t>47</w:t>
            </w:r>
            <w:r>
              <w:rPr>
                <w:lang w:val="en-US"/>
              </w:rPr>
              <w:br/>
              <w:t>78</w:t>
            </w:r>
            <w:r>
              <w:rPr>
                <w:lang w:val="en-US"/>
              </w:rPr>
              <w:br/>
              <w:t>66</w:t>
            </w:r>
            <w:r>
              <w:rPr>
                <w:lang w:val="en-US"/>
              </w:rPr>
              <w:br/>
              <w:t>35</w:t>
            </w:r>
          </w:p>
        </w:tc>
        <w:tc>
          <w:tcPr>
            <w:tcW w:w="1106" w:type="dxa"/>
          </w:tcPr>
          <w:p w:rsidR="00B9359B" w:rsidRDefault="009A5268">
            <w:pPr>
              <w:pStyle w:val="Tabletext"/>
              <w:framePr w:hSpace="181" w:wrap="notBeside" w:vAnchor="text" w:hAnchor="text" w:xAlign="center" w:y="1"/>
              <w:spacing w:line="260" w:lineRule="exact"/>
              <w:jc w:val="center"/>
              <w:rPr>
                <w:lang w:val="en-US"/>
              </w:rPr>
            </w:pPr>
            <w:r>
              <w:rPr>
                <w:lang w:val="en-US"/>
              </w:rPr>
              <w:t>32</w:t>
            </w:r>
            <w:r>
              <w:rPr>
                <w:lang w:val="en-US"/>
              </w:rPr>
              <w:br/>
              <w:t>47</w:t>
            </w:r>
            <w:r>
              <w:rPr>
                <w:lang w:val="en-US"/>
              </w:rPr>
              <w:br/>
              <w:t>76</w:t>
            </w:r>
            <w:r>
              <w:rPr>
                <w:lang w:val="en-US"/>
              </w:rPr>
              <w:br/>
              <w:t>25</w:t>
            </w:r>
            <w:r>
              <w:rPr>
                <w:lang w:val="en-US"/>
              </w:rPr>
              <w:br/>
              <w:t>25</w:t>
            </w:r>
          </w:p>
        </w:tc>
        <w:tc>
          <w:tcPr>
            <w:tcW w:w="1191" w:type="dxa"/>
          </w:tcPr>
          <w:p w:rsidR="00B9359B" w:rsidRDefault="009A5268">
            <w:pPr>
              <w:pStyle w:val="Tabletext"/>
              <w:framePr w:hSpace="181" w:wrap="notBeside" w:vAnchor="text" w:hAnchor="text" w:xAlign="center" w:y="1"/>
              <w:spacing w:line="260" w:lineRule="exact"/>
              <w:jc w:val="center"/>
              <w:rPr>
                <w:lang w:val="en-US"/>
              </w:rPr>
            </w:pPr>
            <w:r>
              <w:rPr>
                <w:lang w:val="en-US"/>
              </w:rPr>
              <w:t>S</w:t>
            </w:r>
            <w:r>
              <w:rPr>
                <w:lang w:val="en-US"/>
              </w:rPr>
              <w:br/>
              <w:t>S</w:t>
            </w:r>
            <w:r>
              <w:rPr>
                <w:lang w:val="en-US"/>
              </w:rPr>
              <w:br/>
              <w:t>S</w:t>
            </w:r>
            <w:r>
              <w:rPr>
                <w:lang w:val="en-US"/>
              </w:rPr>
              <w:br/>
              <w:t>S</w:t>
            </w:r>
            <w:r>
              <w:rPr>
                <w:lang w:val="en-US"/>
              </w:rPr>
              <w:br/>
              <w:t>S</w:t>
            </w:r>
          </w:p>
        </w:tc>
      </w:tr>
      <w:tr w:rsidR="00B9359B">
        <w:tc>
          <w:tcPr>
            <w:tcW w:w="9697" w:type="dxa"/>
            <w:gridSpan w:val="7"/>
          </w:tcPr>
          <w:p w:rsidR="00B9359B" w:rsidRDefault="009A5268">
            <w:pPr>
              <w:pStyle w:val="Tablehead"/>
              <w:framePr w:hSpace="181" w:wrap="notBeside" w:vAnchor="text" w:hAnchor="text" w:xAlign="center" w:y="1"/>
              <w:spacing w:before="120" w:after="120"/>
              <w:rPr>
                <w:lang w:val="en-US"/>
              </w:rPr>
            </w:pPr>
            <w:r>
              <w:rPr>
                <w:lang w:val="en-US"/>
              </w:rPr>
              <w:t>Region 2</w:t>
            </w:r>
          </w:p>
        </w:tc>
      </w:tr>
      <w:tr w:rsidR="00B9359B">
        <w:tc>
          <w:tcPr>
            <w:tcW w:w="1588" w:type="dxa"/>
          </w:tcPr>
          <w:p w:rsidR="00B9359B" w:rsidRDefault="009A5268">
            <w:pPr>
              <w:pStyle w:val="Tabletext"/>
              <w:framePr w:hSpace="181" w:wrap="notBeside" w:vAnchor="text" w:hAnchor="text" w:xAlign="center" w:y="1"/>
              <w:jc w:val="center"/>
              <w:rPr>
                <w:lang w:val="en-US"/>
              </w:rPr>
            </w:pPr>
            <w:r>
              <w:rPr>
                <w:lang w:val="en-US"/>
              </w:rPr>
              <w:t>Brazil</w:t>
            </w:r>
          </w:p>
        </w:tc>
        <w:tc>
          <w:tcPr>
            <w:tcW w:w="1985" w:type="dxa"/>
          </w:tcPr>
          <w:p w:rsidR="00B9359B" w:rsidRDefault="009A5268">
            <w:pPr>
              <w:pStyle w:val="Tabletext"/>
              <w:framePr w:hSpace="181" w:wrap="notBeside" w:vAnchor="text" w:hAnchor="text" w:xAlign="center" w:y="1"/>
              <w:jc w:val="center"/>
              <w:rPr>
                <w:lang w:val="en-US"/>
              </w:rPr>
            </w:pPr>
            <w:r>
              <w:rPr>
                <w:lang w:val="en-US"/>
              </w:rPr>
              <w:t>Atibaia, SP</w:t>
            </w:r>
          </w:p>
        </w:tc>
        <w:tc>
          <w:tcPr>
            <w:tcW w:w="1474" w:type="dxa"/>
          </w:tcPr>
          <w:p w:rsidR="00B9359B" w:rsidRDefault="009A5268">
            <w:pPr>
              <w:pStyle w:val="Tabletext"/>
              <w:framePr w:hSpace="181" w:wrap="notBeside" w:vAnchor="text" w:hAnchor="text" w:xAlign="center" w:y="1"/>
              <w:jc w:val="center"/>
              <w:rPr>
                <w:lang w:val="en-US"/>
              </w:rPr>
            </w:pPr>
            <w:r>
              <w:rPr>
                <w:lang w:val="en-US"/>
              </w:rPr>
              <w:t>–</w:t>
            </w:r>
            <w:r>
              <w:rPr>
                <w:sz w:val="4"/>
                <w:lang w:val="en-US"/>
              </w:rPr>
              <w:t> </w:t>
            </w:r>
            <w:r>
              <w:rPr>
                <w:lang w:val="en-US"/>
              </w:rPr>
              <w:t>46</w:t>
            </w:r>
            <w:r>
              <w:rPr>
                <w:rFonts w:ascii="Symbol" w:hAnsi="Symbol"/>
                <w:lang w:val="en-US"/>
              </w:rPr>
              <w:t></w:t>
            </w:r>
            <w:r>
              <w:rPr>
                <w:lang w:val="en-US"/>
              </w:rPr>
              <w:t xml:space="preserve"> 33' 28"</w:t>
            </w:r>
          </w:p>
        </w:tc>
        <w:tc>
          <w:tcPr>
            <w:tcW w:w="1361" w:type="dxa"/>
          </w:tcPr>
          <w:p w:rsidR="00B9359B" w:rsidRDefault="009A5268">
            <w:pPr>
              <w:pStyle w:val="Tabletext"/>
              <w:framePr w:hSpace="181" w:wrap="notBeside" w:vAnchor="text" w:hAnchor="text" w:xAlign="center" w:y="1"/>
              <w:jc w:val="center"/>
              <w:rPr>
                <w:lang w:val="en-US"/>
              </w:rPr>
            </w:pPr>
            <w:r>
              <w:rPr>
                <w:lang w:val="en-US"/>
              </w:rPr>
              <w:t>–23</w:t>
            </w:r>
            <w:r>
              <w:rPr>
                <w:rFonts w:ascii="Symbol" w:hAnsi="Symbol"/>
                <w:lang w:val="en-US"/>
              </w:rPr>
              <w:t></w:t>
            </w:r>
            <w:r>
              <w:rPr>
                <w:lang w:val="en-US"/>
              </w:rPr>
              <w:t xml:space="preserve"> 11' 05"</w:t>
            </w:r>
          </w:p>
        </w:tc>
        <w:tc>
          <w:tcPr>
            <w:tcW w:w="992" w:type="dxa"/>
          </w:tcPr>
          <w:p w:rsidR="00B9359B" w:rsidRDefault="009A5268">
            <w:pPr>
              <w:pStyle w:val="Tabletext"/>
              <w:framePr w:hSpace="181" w:wrap="notBeside" w:vAnchor="text" w:hAnchor="text" w:xAlign="center" w:y="1"/>
              <w:jc w:val="center"/>
              <w:rPr>
                <w:lang w:val="en-US"/>
              </w:rPr>
            </w:pPr>
            <w:r>
              <w:rPr>
                <w:lang w:val="en-US"/>
              </w:rPr>
              <w:t>805</w:t>
            </w:r>
          </w:p>
        </w:tc>
        <w:tc>
          <w:tcPr>
            <w:tcW w:w="1106" w:type="dxa"/>
          </w:tcPr>
          <w:p w:rsidR="00B9359B" w:rsidRDefault="009A5268">
            <w:pPr>
              <w:pStyle w:val="Tabletext"/>
              <w:framePr w:hSpace="181" w:wrap="notBeside" w:vAnchor="text" w:hAnchor="text" w:xAlign="center" w:y="1"/>
              <w:jc w:val="center"/>
              <w:rPr>
                <w:lang w:val="en-US"/>
              </w:rPr>
            </w:pPr>
            <w:r>
              <w:rPr>
                <w:lang w:val="en-US"/>
              </w:rPr>
              <w:t>13.7</w:t>
            </w:r>
          </w:p>
        </w:tc>
        <w:tc>
          <w:tcPr>
            <w:tcW w:w="1191" w:type="dxa"/>
          </w:tcPr>
          <w:p w:rsidR="00B9359B" w:rsidRDefault="009A5268">
            <w:pPr>
              <w:pStyle w:val="Tabletext"/>
              <w:framePr w:hSpace="181" w:wrap="notBeside" w:vAnchor="text" w:hAnchor="text" w:xAlign="center" w:y="1"/>
              <w:jc w:val="center"/>
              <w:rPr>
                <w:lang w:val="en-US"/>
              </w:rPr>
            </w:pPr>
            <w:r>
              <w:rPr>
                <w:lang w:val="en-US"/>
              </w:rPr>
              <w:t>S</w:t>
            </w:r>
          </w:p>
        </w:tc>
      </w:tr>
      <w:tr w:rsidR="00B9359B">
        <w:tc>
          <w:tcPr>
            <w:tcW w:w="1588" w:type="dxa"/>
          </w:tcPr>
          <w:p w:rsidR="00B9359B" w:rsidRDefault="009A5268">
            <w:pPr>
              <w:pStyle w:val="Tabletext"/>
              <w:framePr w:hSpace="181" w:wrap="notBeside" w:vAnchor="text" w:hAnchor="text" w:xAlign="center" w:y="1"/>
              <w:jc w:val="center"/>
              <w:rPr>
                <w:lang w:val="es-ES"/>
              </w:rPr>
            </w:pPr>
            <w:r>
              <w:rPr>
                <w:lang w:val="es-ES"/>
              </w:rPr>
              <w:t>Chile</w:t>
            </w:r>
          </w:p>
        </w:tc>
        <w:tc>
          <w:tcPr>
            <w:tcW w:w="1985" w:type="dxa"/>
          </w:tcPr>
          <w:p w:rsidR="00B9359B" w:rsidRDefault="009A5268">
            <w:pPr>
              <w:pStyle w:val="Tabletext"/>
              <w:framePr w:hSpace="181" w:wrap="notBeside" w:vAnchor="text" w:hAnchor="text" w:xAlign="center" w:y="1"/>
              <w:jc w:val="center"/>
              <w:rPr>
                <w:lang w:val="es-ES"/>
              </w:rPr>
            </w:pPr>
            <w:r>
              <w:rPr>
                <w:lang w:val="es-ES"/>
              </w:rPr>
              <w:t xml:space="preserve">San Pedro de Atacama </w:t>
            </w:r>
          </w:p>
        </w:tc>
        <w:tc>
          <w:tcPr>
            <w:tcW w:w="1474" w:type="dxa"/>
          </w:tcPr>
          <w:p w:rsidR="00B9359B" w:rsidRDefault="009A5268">
            <w:pPr>
              <w:pStyle w:val="Tabletext"/>
              <w:framePr w:hSpace="181" w:wrap="notBeside" w:vAnchor="text" w:hAnchor="text" w:xAlign="center" w:y="1"/>
              <w:jc w:val="center"/>
              <w:rPr>
                <w:lang w:val="en-US"/>
              </w:rPr>
            </w:pPr>
            <w:r>
              <w:rPr>
                <w:lang w:val="en-US"/>
              </w:rPr>
              <w:t>–67</w:t>
            </w:r>
            <w:r>
              <w:rPr>
                <w:rFonts w:ascii="Symbol" w:hAnsi="Symbol"/>
                <w:lang w:val="en-US"/>
              </w:rPr>
              <w:t></w:t>
            </w:r>
            <w:r>
              <w:rPr>
                <w:lang w:val="en-US"/>
              </w:rPr>
              <w:t xml:space="preserve"> 44' 00"</w:t>
            </w:r>
            <w:r>
              <w:rPr>
                <w:lang w:val="en-US"/>
              </w:rPr>
              <w:br/>
            </w:r>
          </w:p>
        </w:tc>
        <w:tc>
          <w:tcPr>
            <w:tcW w:w="1361" w:type="dxa"/>
          </w:tcPr>
          <w:p w:rsidR="00B9359B" w:rsidRDefault="009A5268">
            <w:pPr>
              <w:pStyle w:val="Tabletext"/>
              <w:framePr w:hSpace="181" w:wrap="notBeside" w:vAnchor="text" w:hAnchor="text" w:xAlign="center" w:y="1"/>
              <w:jc w:val="center"/>
              <w:rPr>
                <w:lang w:val="en-US"/>
              </w:rPr>
            </w:pPr>
            <w:r>
              <w:rPr>
                <w:lang w:val="en-US"/>
              </w:rPr>
              <w:t>–23</w:t>
            </w:r>
            <w:r>
              <w:rPr>
                <w:rFonts w:ascii="Symbol" w:hAnsi="Symbol"/>
                <w:lang w:val="en-US"/>
              </w:rPr>
              <w:t></w:t>
            </w:r>
            <w:r>
              <w:rPr>
                <w:lang w:val="en-US"/>
              </w:rPr>
              <w:t xml:space="preserve"> 02' 00"</w:t>
            </w:r>
            <w:r>
              <w:rPr>
                <w:lang w:val="en-US"/>
              </w:rPr>
              <w:br/>
            </w:r>
          </w:p>
        </w:tc>
        <w:tc>
          <w:tcPr>
            <w:tcW w:w="992" w:type="dxa"/>
          </w:tcPr>
          <w:p w:rsidR="00B9359B" w:rsidRDefault="009A5268">
            <w:pPr>
              <w:pStyle w:val="Tabletext"/>
              <w:framePr w:hSpace="181" w:wrap="notBeside" w:vAnchor="text" w:hAnchor="text" w:xAlign="center" w:y="1"/>
              <w:jc w:val="center"/>
              <w:rPr>
                <w:lang w:val="en-US"/>
              </w:rPr>
            </w:pPr>
            <w:r>
              <w:rPr>
                <w:lang w:val="en-US"/>
              </w:rPr>
              <w:t>5</w:t>
            </w:r>
            <w:r>
              <w:rPr>
                <w:rFonts w:ascii="Tms Rmn" w:hAnsi="Tms Rmn"/>
                <w:sz w:val="12"/>
                <w:lang w:val="en-US"/>
              </w:rPr>
              <w:t> </w:t>
            </w:r>
            <w:r>
              <w:rPr>
                <w:lang w:val="en-US"/>
              </w:rPr>
              <w:t>000</w:t>
            </w:r>
            <w:r>
              <w:rPr>
                <w:lang w:val="en-US"/>
              </w:rPr>
              <w:br/>
            </w:r>
          </w:p>
        </w:tc>
        <w:tc>
          <w:tcPr>
            <w:tcW w:w="1106" w:type="dxa"/>
          </w:tcPr>
          <w:p w:rsidR="00B9359B" w:rsidRDefault="009A5268">
            <w:pPr>
              <w:pStyle w:val="Tabletext"/>
              <w:framePr w:hSpace="181" w:wrap="notBeside" w:vAnchor="text" w:hAnchor="text" w:xAlign="center" w:y="1"/>
              <w:jc w:val="center"/>
              <w:rPr>
                <w:lang w:val="en-US"/>
              </w:rPr>
            </w:pPr>
            <w:r>
              <w:rPr>
                <w:lang w:val="en-US"/>
              </w:rPr>
              <w:t xml:space="preserve">64 </w:t>
            </w:r>
            <w:r>
              <w:rPr>
                <w:rFonts w:ascii="Symbol" w:hAnsi="Symbol"/>
              </w:rPr>
              <w:t></w:t>
            </w:r>
            <w:r>
              <w:rPr>
                <w:lang w:val="en-US"/>
              </w:rPr>
              <w:t xml:space="preserve"> 12</w:t>
            </w:r>
          </w:p>
        </w:tc>
        <w:tc>
          <w:tcPr>
            <w:tcW w:w="1191" w:type="dxa"/>
          </w:tcPr>
          <w:p w:rsidR="00B9359B" w:rsidRDefault="009A5268">
            <w:pPr>
              <w:pStyle w:val="Tabletext"/>
              <w:framePr w:hSpace="181" w:wrap="notBeside" w:vAnchor="text" w:hAnchor="text" w:xAlign="center" w:y="1"/>
              <w:jc w:val="center"/>
              <w:rPr>
                <w:lang w:val="en-US"/>
              </w:rPr>
            </w:pPr>
            <w:r>
              <w:rPr>
                <w:lang w:val="en-US"/>
              </w:rPr>
              <w:t>S</w:t>
            </w:r>
            <w:r>
              <w:rPr>
                <w:lang w:val="en-US"/>
              </w:rPr>
              <w:br/>
            </w:r>
          </w:p>
        </w:tc>
      </w:tr>
      <w:tr w:rsidR="00B9359B">
        <w:tc>
          <w:tcPr>
            <w:tcW w:w="1588" w:type="dxa"/>
            <w:tcBorders>
              <w:bottom w:val="single" w:sz="4" w:space="0" w:color="auto"/>
            </w:tcBorders>
          </w:tcPr>
          <w:p w:rsidR="00B9359B" w:rsidRDefault="009A5268">
            <w:pPr>
              <w:pStyle w:val="Tabletext"/>
              <w:framePr w:hSpace="181" w:wrap="notBeside" w:vAnchor="text" w:hAnchor="text" w:xAlign="center" w:y="1"/>
              <w:jc w:val="center"/>
              <w:rPr>
                <w:lang w:val="es-ES"/>
              </w:rPr>
            </w:pPr>
            <w:r>
              <w:rPr>
                <w:lang w:val="es-ES"/>
              </w:rPr>
              <w:t>Mexico</w:t>
            </w:r>
          </w:p>
        </w:tc>
        <w:tc>
          <w:tcPr>
            <w:tcW w:w="1985" w:type="dxa"/>
            <w:tcBorders>
              <w:bottom w:val="single" w:sz="4" w:space="0" w:color="auto"/>
            </w:tcBorders>
          </w:tcPr>
          <w:p w:rsidR="00B9359B" w:rsidRDefault="009A5268">
            <w:pPr>
              <w:pStyle w:val="Tabletext"/>
              <w:framePr w:hSpace="181" w:wrap="notBeside" w:vAnchor="text" w:hAnchor="text" w:xAlign="center" w:y="1"/>
              <w:jc w:val="center"/>
              <w:rPr>
                <w:lang w:val="es-ES"/>
              </w:rPr>
            </w:pPr>
            <w:r>
              <w:rPr>
                <w:lang w:val="es-ES"/>
              </w:rPr>
              <w:t>Sierra Negra</w:t>
            </w:r>
          </w:p>
        </w:tc>
        <w:tc>
          <w:tcPr>
            <w:tcW w:w="1474" w:type="dxa"/>
            <w:tcBorders>
              <w:bottom w:val="single" w:sz="4" w:space="0" w:color="auto"/>
            </w:tcBorders>
          </w:tcPr>
          <w:p w:rsidR="00B9359B" w:rsidRDefault="009A5268">
            <w:pPr>
              <w:pStyle w:val="Tabletext"/>
              <w:framePr w:hSpace="181" w:wrap="notBeside" w:vAnchor="text" w:hAnchor="text" w:xAlign="center" w:y="1"/>
              <w:jc w:val="center"/>
              <w:rPr>
                <w:lang w:val="en-US"/>
              </w:rPr>
            </w:pPr>
            <w:r>
              <w:sym w:font="Symbol" w:char="F02D"/>
            </w:r>
            <w:r>
              <w:rPr>
                <w:lang w:val="en-US"/>
              </w:rPr>
              <w:t>97</w:t>
            </w:r>
            <w:r>
              <w:rPr>
                <w:rFonts w:ascii="Symbol" w:hAnsi="Symbol"/>
                <w:lang w:val="en-US"/>
              </w:rPr>
              <w:t></w:t>
            </w:r>
            <w:r>
              <w:rPr>
                <w:lang w:val="en-US"/>
              </w:rPr>
              <w:t xml:space="preserve"> 18' 00"</w:t>
            </w:r>
          </w:p>
        </w:tc>
        <w:tc>
          <w:tcPr>
            <w:tcW w:w="1361" w:type="dxa"/>
            <w:tcBorders>
              <w:bottom w:val="single" w:sz="4" w:space="0" w:color="auto"/>
            </w:tcBorders>
          </w:tcPr>
          <w:p w:rsidR="00B9359B" w:rsidRDefault="009A5268">
            <w:pPr>
              <w:pStyle w:val="Tabletext"/>
              <w:framePr w:hSpace="181" w:wrap="notBeside" w:vAnchor="text" w:hAnchor="text" w:xAlign="center" w:y="1"/>
              <w:jc w:val="center"/>
              <w:rPr>
                <w:lang w:val="en-US"/>
              </w:rPr>
            </w:pPr>
            <w:r>
              <w:rPr>
                <w:lang w:val="en-US"/>
              </w:rPr>
              <w:t>18</w:t>
            </w:r>
            <w:r>
              <w:rPr>
                <w:rFonts w:ascii="Symbol" w:hAnsi="Symbol"/>
                <w:lang w:val="en-US"/>
              </w:rPr>
              <w:t></w:t>
            </w:r>
            <w:r>
              <w:rPr>
                <w:lang w:val="en-US"/>
              </w:rPr>
              <w:t xml:space="preserve"> 59' 00"</w:t>
            </w:r>
          </w:p>
        </w:tc>
        <w:tc>
          <w:tcPr>
            <w:tcW w:w="992" w:type="dxa"/>
            <w:tcBorders>
              <w:bottom w:val="single" w:sz="4" w:space="0" w:color="auto"/>
            </w:tcBorders>
          </w:tcPr>
          <w:p w:rsidR="00B9359B" w:rsidRDefault="009A5268">
            <w:pPr>
              <w:pStyle w:val="Tabletext"/>
              <w:framePr w:hSpace="181" w:wrap="notBeside" w:vAnchor="text" w:hAnchor="text" w:xAlign="center" w:y="1"/>
              <w:jc w:val="center"/>
              <w:rPr>
                <w:lang w:val="en-US"/>
              </w:rPr>
            </w:pPr>
            <w:r>
              <w:rPr>
                <w:lang w:val="en-US"/>
              </w:rPr>
              <w:t>4</w:t>
            </w:r>
            <w:r>
              <w:rPr>
                <w:rFonts w:ascii="Tms Rmn" w:hAnsi="Tms Rmn"/>
                <w:sz w:val="12"/>
                <w:lang w:val="en-US"/>
              </w:rPr>
              <w:t> </w:t>
            </w:r>
            <w:r>
              <w:rPr>
                <w:lang w:val="en-US"/>
              </w:rPr>
              <w:t>500</w:t>
            </w:r>
          </w:p>
        </w:tc>
        <w:tc>
          <w:tcPr>
            <w:tcW w:w="1106" w:type="dxa"/>
            <w:tcBorders>
              <w:bottom w:val="single" w:sz="4" w:space="0" w:color="auto"/>
            </w:tcBorders>
          </w:tcPr>
          <w:p w:rsidR="00B9359B" w:rsidRDefault="009A5268">
            <w:pPr>
              <w:pStyle w:val="Tabletext"/>
              <w:framePr w:hSpace="181" w:wrap="notBeside" w:vAnchor="text" w:hAnchor="text" w:xAlign="center" w:y="1"/>
              <w:jc w:val="center"/>
              <w:rPr>
                <w:lang w:val="en-US"/>
              </w:rPr>
            </w:pPr>
            <w:r>
              <w:rPr>
                <w:lang w:val="en-US"/>
              </w:rPr>
              <w:t>50</w:t>
            </w:r>
          </w:p>
        </w:tc>
        <w:tc>
          <w:tcPr>
            <w:tcW w:w="1191" w:type="dxa"/>
            <w:tcBorders>
              <w:bottom w:val="single" w:sz="4" w:space="0" w:color="auto"/>
            </w:tcBorders>
          </w:tcPr>
          <w:p w:rsidR="00B9359B" w:rsidRDefault="009A5268">
            <w:pPr>
              <w:pStyle w:val="Tabletext"/>
              <w:framePr w:hSpace="181" w:wrap="notBeside" w:vAnchor="text" w:hAnchor="text" w:xAlign="center" w:y="1"/>
              <w:jc w:val="center"/>
              <w:rPr>
                <w:lang w:val="en-US"/>
              </w:rPr>
            </w:pPr>
            <w:r>
              <w:rPr>
                <w:lang w:val="en-US"/>
              </w:rPr>
              <w:t>S</w:t>
            </w:r>
          </w:p>
        </w:tc>
      </w:tr>
      <w:tr w:rsidR="00B9359B" w:rsidRPr="00D35B94">
        <w:trPr>
          <w:trHeight w:val="388"/>
        </w:trPr>
        <w:tc>
          <w:tcPr>
            <w:tcW w:w="1588" w:type="dxa"/>
            <w:tcBorders>
              <w:top w:val="single" w:sz="4" w:space="0" w:color="auto"/>
              <w:left w:val="single" w:sz="4" w:space="0" w:color="auto"/>
              <w:bottom w:val="single" w:sz="4" w:space="0" w:color="auto"/>
            </w:tcBorders>
          </w:tcPr>
          <w:p w:rsidR="00B9359B" w:rsidRDefault="009A5268">
            <w:pPr>
              <w:pStyle w:val="Tabletext"/>
              <w:framePr w:hSpace="181" w:wrap="notBeside" w:vAnchor="text" w:hAnchor="text" w:xAlign="center" w:y="1"/>
              <w:spacing w:line="260" w:lineRule="exact"/>
              <w:jc w:val="center"/>
              <w:rPr>
                <w:lang w:val="en-US"/>
              </w:rPr>
            </w:pPr>
            <w:r>
              <w:rPr>
                <w:lang w:val="en-US"/>
              </w:rPr>
              <w:t>United States of America</w:t>
            </w:r>
          </w:p>
        </w:tc>
        <w:tc>
          <w:tcPr>
            <w:tcW w:w="1985" w:type="dxa"/>
            <w:tcBorders>
              <w:top w:val="single" w:sz="4" w:space="0" w:color="auto"/>
              <w:bottom w:val="single" w:sz="4" w:space="0" w:color="auto"/>
            </w:tcBorders>
          </w:tcPr>
          <w:p w:rsidR="00B9359B" w:rsidRDefault="009A5268">
            <w:pPr>
              <w:pStyle w:val="Tabletext"/>
              <w:framePr w:hSpace="181" w:wrap="notBeside" w:vAnchor="text" w:hAnchor="text" w:xAlign="center" w:y="1"/>
              <w:spacing w:line="260" w:lineRule="exact"/>
              <w:jc w:val="center"/>
              <w:rPr>
                <w:lang w:val="en-US"/>
              </w:rPr>
            </w:pPr>
            <w:r>
              <w:rPr>
                <w:lang w:val="en-US"/>
              </w:rPr>
              <w:t>Goldstone, CA</w:t>
            </w:r>
            <w:r>
              <w:rPr>
                <w:lang w:val="en-US"/>
              </w:rPr>
              <w:br/>
              <w:t>Green Bank, WV</w:t>
            </w:r>
            <w:r>
              <w:rPr>
                <w:lang w:val="en-US"/>
              </w:rPr>
              <w:br/>
              <w:t>Socorro, NM</w:t>
            </w:r>
            <w:r>
              <w:rPr>
                <w:lang w:val="en-US"/>
              </w:rPr>
              <w:br/>
              <w:t>St. Croix, VI</w:t>
            </w:r>
            <w:r>
              <w:rPr>
                <w:lang w:val="en-US"/>
              </w:rPr>
              <w:br/>
              <w:t>Hancock, NH</w:t>
            </w:r>
            <w:r>
              <w:rPr>
                <w:lang w:val="en-US"/>
              </w:rPr>
              <w:br/>
              <w:t>North Liberty, IA</w:t>
            </w:r>
            <w:r>
              <w:rPr>
                <w:lang w:val="en-US"/>
              </w:rPr>
              <w:br/>
              <w:t>Ft. Davis, TX</w:t>
            </w:r>
            <w:r>
              <w:rPr>
                <w:lang w:val="en-US"/>
              </w:rPr>
              <w:br/>
              <w:t>Los Alamos, NM</w:t>
            </w:r>
            <w:r>
              <w:rPr>
                <w:lang w:val="en-US"/>
              </w:rPr>
              <w:br/>
              <w:t>Pie Town, NM</w:t>
            </w:r>
            <w:r>
              <w:rPr>
                <w:lang w:val="en-US"/>
              </w:rPr>
              <w:br/>
              <w:t>Kitt Peak, AZ</w:t>
            </w:r>
            <w:r>
              <w:rPr>
                <w:lang w:val="en-US"/>
              </w:rPr>
              <w:br/>
              <w:t>Owens Valley, CA</w:t>
            </w:r>
            <w:r>
              <w:rPr>
                <w:lang w:val="en-US"/>
              </w:rPr>
              <w:br/>
              <w:t>Brewster, WA</w:t>
            </w:r>
            <w:r>
              <w:rPr>
                <w:lang w:val="en-US"/>
              </w:rPr>
              <w:br/>
              <w:t>Mauna Kea, HI</w:t>
            </w:r>
            <w:r>
              <w:rPr>
                <w:lang w:val="en-US"/>
              </w:rPr>
              <w:br/>
              <w:t>Kitt Peak, AZ</w:t>
            </w:r>
            <w:r>
              <w:rPr>
                <w:lang w:val="en-US"/>
              </w:rPr>
              <w:br/>
              <w:t>Mauna Kea, HI</w:t>
            </w:r>
            <w:r>
              <w:rPr>
                <w:lang w:val="en-US"/>
              </w:rPr>
              <w:br/>
              <w:t>Westford, MA</w:t>
            </w:r>
          </w:p>
        </w:tc>
        <w:tc>
          <w:tcPr>
            <w:tcW w:w="1474" w:type="dxa"/>
            <w:tcBorders>
              <w:top w:val="single" w:sz="4" w:space="0" w:color="auto"/>
              <w:bottom w:val="single" w:sz="4" w:space="0" w:color="auto"/>
            </w:tcBorders>
          </w:tcPr>
          <w:p w:rsidR="00B9359B" w:rsidRDefault="009A5268">
            <w:pPr>
              <w:pStyle w:val="Tabletext"/>
              <w:framePr w:hSpace="181" w:wrap="notBeside" w:vAnchor="text" w:hAnchor="text" w:xAlign="center" w:y="1"/>
              <w:spacing w:line="260" w:lineRule="exact"/>
              <w:jc w:val="center"/>
              <w:rPr>
                <w:lang w:val="en-US"/>
              </w:rPr>
            </w:pPr>
            <w:r>
              <w:rPr>
                <w:lang w:val="en-US"/>
              </w:rPr>
              <w:t>–116</w:t>
            </w:r>
            <w:r>
              <w:rPr>
                <w:rFonts w:ascii="Symbol" w:hAnsi="Symbol"/>
                <w:lang w:val="en-US"/>
              </w:rPr>
              <w:t></w:t>
            </w:r>
            <w:r>
              <w:rPr>
                <w:lang w:val="en-US"/>
              </w:rPr>
              <w:t xml:space="preserve"> 47' 40"</w:t>
            </w:r>
            <w:r>
              <w:rPr>
                <w:lang w:val="en-US"/>
              </w:rPr>
              <w:br/>
              <w:t>–79</w:t>
            </w:r>
            <w:r>
              <w:rPr>
                <w:rFonts w:ascii="Symbol" w:hAnsi="Symbol"/>
                <w:lang w:val="en-US"/>
              </w:rPr>
              <w:t></w:t>
            </w:r>
            <w:r>
              <w:rPr>
                <w:lang w:val="en-US"/>
              </w:rPr>
              <w:t xml:space="preserve"> 50' 24"</w:t>
            </w:r>
            <w:r>
              <w:rPr>
                <w:lang w:val="en-US"/>
              </w:rPr>
              <w:br/>
              <w:t>–107</w:t>
            </w:r>
            <w:r>
              <w:rPr>
                <w:rFonts w:ascii="Symbol" w:hAnsi="Symbol"/>
                <w:lang w:val="en-US"/>
              </w:rPr>
              <w:t></w:t>
            </w:r>
            <w:r>
              <w:rPr>
                <w:lang w:val="en-US"/>
              </w:rPr>
              <w:t xml:space="preserve"> 37' 06"</w:t>
            </w:r>
            <w:r>
              <w:rPr>
                <w:lang w:val="en-US"/>
              </w:rPr>
              <w:br/>
              <w:t>–64</w:t>
            </w:r>
            <w:r>
              <w:rPr>
                <w:rFonts w:ascii="Symbol" w:hAnsi="Symbol"/>
                <w:lang w:val="en-US"/>
              </w:rPr>
              <w:t></w:t>
            </w:r>
            <w:r>
              <w:rPr>
                <w:lang w:val="en-US"/>
              </w:rPr>
              <w:t xml:space="preserve"> 35' 01"</w:t>
            </w:r>
            <w:r>
              <w:rPr>
                <w:lang w:val="en-US"/>
              </w:rPr>
              <w:br/>
              <w:t>–71</w:t>
            </w:r>
            <w:r>
              <w:rPr>
                <w:rFonts w:ascii="Symbol" w:hAnsi="Symbol"/>
                <w:lang w:val="en-US"/>
              </w:rPr>
              <w:t></w:t>
            </w:r>
            <w:r>
              <w:rPr>
                <w:lang w:val="en-US"/>
              </w:rPr>
              <w:t xml:space="preserve"> 59' 12"</w:t>
            </w:r>
            <w:r>
              <w:rPr>
                <w:lang w:val="en-US"/>
              </w:rPr>
              <w:br/>
              <w:t>–91</w:t>
            </w:r>
            <w:r>
              <w:rPr>
                <w:rFonts w:ascii="Symbol" w:hAnsi="Symbol"/>
                <w:lang w:val="en-US"/>
              </w:rPr>
              <w:t></w:t>
            </w:r>
            <w:r>
              <w:rPr>
                <w:lang w:val="en-US"/>
              </w:rPr>
              <w:t xml:space="preserve"> 34' 27"</w:t>
            </w:r>
            <w:r>
              <w:rPr>
                <w:lang w:val="en-US"/>
              </w:rPr>
              <w:br/>
              <w:t>–103</w:t>
            </w:r>
            <w:r>
              <w:rPr>
                <w:rFonts w:ascii="Symbol" w:hAnsi="Symbol"/>
                <w:lang w:val="en-US"/>
              </w:rPr>
              <w:t></w:t>
            </w:r>
            <w:r>
              <w:rPr>
                <w:lang w:val="en-US"/>
              </w:rPr>
              <w:t xml:space="preserve"> 56' 41"</w:t>
            </w:r>
            <w:r>
              <w:rPr>
                <w:lang w:val="en-US"/>
              </w:rPr>
              <w:br/>
              <w:t>–106</w:t>
            </w:r>
            <w:r>
              <w:rPr>
                <w:rFonts w:ascii="Symbol" w:hAnsi="Symbol"/>
                <w:lang w:val="en-US"/>
              </w:rPr>
              <w:t></w:t>
            </w:r>
            <w:r>
              <w:rPr>
                <w:lang w:val="en-US"/>
              </w:rPr>
              <w:t xml:space="preserve"> 14' 44"</w:t>
            </w:r>
            <w:r>
              <w:rPr>
                <w:lang w:val="en-US"/>
              </w:rPr>
              <w:br/>
              <w:t>–108</w:t>
            </w:r>
            <w:r>
              <w:rPr>
                <w:rFonts w:ascii="Symbol" w:hAnsi="Symbol"/>
                <w:lang w:val="en-US"/>
              </w:rPr>
              <w:t></w:t>
            </w:r>
            <w:r>
              <w:rPr>
                <w:lang w:val="en-US"/>
              </w:rPr>
              <w:t xml:space="preserve"> 07' 09"</w:t>
            </w:r>
            <w:r>
              <w:rPr>
                <w:lang w:val="en-US"/>
              </w:rPr>
              <w:br/>
              <w:t>–111</w:t>
            </w:r>
            <w:r>
              <w:rPr>
                <w:rFonts w:ascii="Symbol" w:hAnsi="Symbol"/>
                <w:lang w:val="en-US"/>
              </w:rPr>
              <w:t></w:t>
            </w:r>
            <w:r>
              <w:rPr>
                <w:lang w:val="en-US"/>
              </w:rPr>
              <w:t xml:space="preserve"> 36' 45"</w:t>
            </w:r>
            <w:r>
              <w:rPr>
                <w:lang w:val="en-US"/>
              </w:rPr>
              <w:br/>
              <w:t>–118</w:t>
            </w:r>
            <w:r>
              <w:rPr>
                <w:rFonts w:ascii="Symbol" w:hAnsi="Symbol"/>
                <w:lang w:val="en-US"/>
              </w:rPr>
              <w:t></w:t>
            </w:r>
            <w:r>
              <w:rPr>
                <w:lang w:val="en-US"/>
              </w:rPr>
              <w:t xml:space="preserve"> 16' 37"</w:t>
            </w:r>
            <w:r>
              <w:rPr>
                <w:lang w:val="en-US"/>
              </w:rPr>
              <w:br/>
              <w:t>–119</w:t>
            </w:r>
            <w:r>
              <w:rPr>
                <w:rFonts w:ascii="Symbol" w:hAnsi="Symbol"/>
                <w:lang w:val="en-US"/>
              </w:rPr>
              <w:t></w:t>
            </w:r>
            <w:r>
              <w:rPr>
                <w:lang w:val="en-US"/>
              </w:rPr>
              <w:t xml:space="preserve"> 41' 00"</w:t>
            </w:r>
            <w:r>
              <w:rPr>
                <w:lang w:val="en-US"/>
              </w:rPr>
              <w:br/>
              <w:t>–155</w:t>
            </w:r>
            <w:r>
              <w:rPr>
                <w:rFonts w:ascii="Symbol" w:hAnsi="Symbol"/>
                <w:lang w:val="en-US"/>
              </w:rPr>
              <w:t></w:t>
            </w:r>
            <w:r>
              <w:rPr>
                <w:lang w:val="en-US"/>
              </w:rPr>
              <w:t xml:space="preserve"> 27' 19"</w:t>
            </w:r>
            <w:r>
              <w:rPr>
                <w:lang w:val="en-US"/>
              </w:rPr>
              <w:br/>
              <w:t>–111</w:t>
            </w:r>
            <w:r>
              <w:rPr>
                <w:rFonts w:ascii="Symbol" w:hAnsi="Symbol"/>
                <w:lang w:val="en-US"/>
              </w:rPr>
              <w:t></w:t>
            </w:r>
            <w:r>
              <w:rPr>
                <w:lang w:val="en-US"/>
              </w:rPr>
              <w:t xml:space="preserve"> 36' 50"</w:t>
            </w:r>
            <w:r>
              <w:rPr>
                <w:lang w:val="en-US"/>
              </w:rPr>
              <w:br/>
              <w:t>–</w:t>
            </w:r>
            <w:r>
              <w:rPr>
                <w:spacing w:val="-3"/>
                <w:lang w:val="en-US"/>
              </w:rPr>
              <w:t>155</w:t>
            </w:r>
            <w:r>
              <w:rPr>
                <w:rFonts w:ascii="Symbol" w:hAnsi="Symbol"/>
                <w:lang w:val="en-US"/>
              </w:rPr>
              <w:t></w:t>
            </w:r>
            <w:r>
              <w:rPr>
                <w:spacing w:val="-3"/>
                <w:lang w:val="en-US"/>
              </w:rPr>
              <w:t xml:space="preserve"> 28' 20"</w:t>
            </w:r>
            <w:r>
              <w:rPr>
                <w:spacing w:val="-3"/>
                <w:lang w:val="en-US"/>
              </w:rPr>
              <w:br/>
            </w:r>
            <w:r>
              <w:rPr>
                <w:lang w:val="en-US"/>
              </w:rPr>
              <w:t>–</w:t>
            </w:r>
            <w:r>
              <w:rPr>
                <w:spacing w:val="-3"/>
                <w:lang w:val="en-US"/>
              </w:rPr>
              <w:t>71</w:t>
            </w:r>
            <w:r>
              <w:rPr>
                <w:rFonts w:ascii="Symbol" w:hAnsi="Symbol"/>
                <w:lang w:val="en-US"/>
              </w:rPr>
              <w:t></w:t>
            </w:r>
            <w:r>
              <w:rPr>
                <w:spacing w:val="-3"/>
                <w:lang w:val="en-US"/>
              </w:rPr>
              <w:t xml:space="preserve"> 29' 19"</w:t>
            </w:r>
          </w:p>
        </w:tc>
        <w:tc>
          <w:tcPr>
            <w:tcW w:w="1361" w:type="dxa"/>
            <w:tcBorders>
              <w:top w:val="single" w:sz="4" w:space="0" w:color="auto"/>
              <w:bottom w:val="single" w:sz="4" w:space="0" w:color="auto"/>
            </w:tcBorders>
          </w:tcPr>
          <w:p w:rsidR="00B9359B" w:rsidRDefault="009A5268">
            <w:pPr>
              <w:pStyle w:val="Tabletext"/>
              <w:framePr w:hSpace="181" w:wrap="notBeside" w:vAnchor="text" w:hAnchor="text" w:xAlign="center" w:y="1"/>
              <w:spacing w:line="260" w:lineRule="exact"/>
              <w:jc w:val="center"/>
              <w:rPr>
                <w:lang w:val="en-US"/>
              </w:rPr>
            </w:pPr>
            <w:r>
              <w:rPr>
                <w:lang w:val="en-US"/>
              </w:rPr>
              <w:t>35</w:t>
            </w:r>
            <w:r>
              <w:rPr>
                <w:rFonts w:ascii="Symbol" w:hAnsi="Symbol"/>
                <w:lang w:val="en-US"/>
              </w:rPr>
              <w:t></w:t>
            </w:r>
            <w:r>
              <w:rPr>
                <w:lang w:val="en-US"/>
              </w:rPr>
              <w:t xml:space="preserve"> 14' 50"</w:t>
            </w:r>
            <w:r>
              <w:rPr>
                <w:lang w:val="en-US"/>
              </w:rPr>
              <w:br/>
              <w:t>38</w:t>
            </w:r>
            <w:r>
              <w:rPr>
                <w:rFonts w:ascii="Symbol" w:hAnsi="Symbol"/>
                <w:lang w:val="en-US"/>
              </w:rPr>
              <w:t></w:t>
            </w:r>
            <w:r>
              <w:rPr>
                <w:lang w:val="en-US"/>
              </w:rPr>
              <w:t xml:space="preserve"> 25' 59"</w:t>
            </w:r>
            <w:r>
              <w:rPr>
                <w:lang w:val="en-US"/>
              </w:rPr>
              <w:br/>
              <w:t>34</w:t>
            </w:r>
            <w:r>
              <w:rPr>
                <w:rFonts w:ascii="Symbol" w:hAnsi="Symbol"/>
                <w:lang w:val="en-US"/>
              </w:rPr>
              <w:t></w:t>
            </w:r>
            <w:r>
              <w:rPr>
                <w:lang w:val="en-US"/>
              </w:rPr>
              <w:t xml:space="preserve"> 04' 44"</w:t>
            </w:r>
            <w:r>
              <w:rPr>
                <w:lang w:val="en-US"/>
              </w:rPr>
              <w:br/>
              <w:t>17</w:t>
            </w:r>
            <w:r>
              <w:rPr>
                <w:rFonts w:ascii="Symbol" w:hAnsi="Symbol"/>
                <w:lang w:val="en-US"/>
              </w:rPr>
              <w:t></w:t>
            </w:r>
            <w:r>
              <w:rPr>
                <w:lang w:val="en-US"/>
              </w:rPr>
              <w:t xml:space="preserve"> 45' 24"</w:t>
            </w:r>
            <w:r>
              <w:rPr>
                <w:lang w:val="en-US"/>
              </w:rPr>
              <w:br/>
              <w:t>42</w:t>
            </w:r>
            <w:r>
              <w:rPr>
                <w:rFonts w:ascii="Symbol" w:hAnsi="Symbol"/>
                <w:lang w:val="en-US"/>
              </w:rPr>
              <w:t></w:t>
            </w:r>
            <w:r>
              <w:rPr>
                <w:lang w:val="en-US"/>
              </w:rPr>
              <w:t xml:space="preserve"> 56' 01"</w:t>
            </w:r>
            <w:r>
              <w:rPr>
                <w:lang w:val="en-US"/>
              </w:rPr>
              <w:br/>
              <w:t>41</w:t>
            </w:r>
            <w:r>
              <w:rPr>
                <w:rFonts w:ascii="Symbol" w:hAnsi="Symbol"/>
                <w:lang w:val="en-US"/>
              </w:rPr>
              <w:t></w:t>
            </w:r>
            <w:r>
              <w:rPr>
                <w:lang w:val="en-US"/>
              </w:rPr>
              <w:t xml:space="preserve"> 46' 17"</w:t>
            </w:r>
            <w:r>
              <w:rPr>
                <w:lang w:val="en-US"/>
              </w:rPr>
              <w:br/>
              <w:t>30</w:t>
            </w:r>
            <w:r>
              <w:rPr>
                <w:rFonts w:ascii="Symbol" w:hAnsi="Symbol"/>
                <w:lang w:val="en-US"/>
              </w:rPr>
              <w:t></w:t>
            </w:r>
            <w:r>
              <w:rPr>
                <w:lang w:val="en-US"/>
              </w:rPr>
              <w:t xml:space="preserve"> 38' 06"</w:t>
            </w:r>
            <w:r>
              <w:rPr>
                <w:lang w:val="en-US"/>
              </w:rPr>
              <w:br/>
              <w:t>35</w:t>
            </w:r>
            <w:r>
              <w:rPr>
                <w:rFonts w:ascii="Symbol" w:hAnsi="Symbol"/>
                <w:lang w:val="en-US"/>
              </w:rPr>
              <w:t></w:t>
            </w:r>
            <w:r>
              <w:rPr>
                <w:lang w:val="en-US"/>
              </w:rPr>
              <w:t xml:space="preserve"> 46' 31"</w:t>
            </w:r>
            <w:r>
              <w:rPr>
                <w:lang w:val="en-US"/>
              </w:rPr>
              <w:br/>
              <w:t>34</w:t>
            </w:r>
            <w:r>
              <w:rPr>
                <w:rFonts w:ascii="Symbol" w:hAnsi="Symbol"/>
                <w:lang w:val="en-US"/>
              </w:rPr>
              <w:t></w:t>
            </w:r>
            <w:r>
              <w:rPr>
                <w:lang w:val="en-US"/>
              </w:rPr>
              <w:t xml:space="preserve"> 18' 04"</w:t>
            </w:r>
            <w:r>
              <w:rPr>
                <w:lang w:val="en-US"/>
              </w:rPr>
              <w:br/>
              <w:t>31</w:t>
            </w:r>
            <w:r>
              <w:rPr>
                <w:rFonts w:ascii="Symbol" w:hAnsi="Symbol"/>
                <w:lang w:val="en-US"/>
              </w:rPr>
              <w:t></w:t>
            </w:r>
            <w:r>
              <w:rPr>
                <w:lang w:val="en-US"/>
              </w:rPr>
              <w:t xml:space="preserve"> 57' 23"</w:t>
            </w:r>
            <w:r>
              <w:rPr>
                <w:lang w:val="en-US"/>
              </w:rPr>
              <w:br/>
              <w:t>37</w:t>
            </w:r>
            <w:r>
              <w:rPr>
                <w:rFonts w:ascii="Symbol" w:hAnsi="Symbol"/>
                <w:lang w:val="en-US"/>
              </w:rPr>
              <w:t></w:t>
            </w:r>
            <w:r>
              <w:rPr>
                <w:lang w:val="en-US"/>
              </w:rPr>
              <w:t xml:space="preserve"> 13' 54"</w:t>
            </w:r>
            <w:r>
              <w:rPr>
                <w:lang w:val="en-US"/>
              </w:rPr>
              <w:br/>
              <w:t>48</w:t>
            </w:r>
            <w:r>
              <w:rPr>
                <w:rFonts w:ascii="Symbol" w:hAnsi="Symbol"/>
                <w:lang w:val="en-US"/>
              </w:rPr>
              <w:t></w:t>
            </w:r>
            <w:r>
              <w:rPr>
                <w:lang w:val="en-US"/>
              </w:rPr>
              <w:t xml:space="preserve"> 07' 52"</w:t>
            </w:r>
            <w:r>
              <w:rPr>
                <w:lang w:val="en-US"/>
              </w:rPr>
              <w:br/>
              <w:t>19</w:t>
            </w:r>
            <w:r>
              <w:rPr>
                <w:rFonts w:ascii="Symbol" w:hAnsi="Symbol"/>
                <w:lang w:val="en-US"/>
              </w:rPr>
              <w:t></w:t>
            </w:r>
            <w:r>
              <w:rPr>
                <w:lang w:val="en-US"/>
              </w:rPr>
              <w:t xml:space="preserve"> 48' 05"</w:t>
            </w:r>
            <w:r>
              <w:rPr>
                <w:lang w:val="en-US"/>
              </w:rPr>
              <w:br/>
              <w:t>31</w:t>
            </w:r>
            <w:r>
              <w:rPr>
                <w:rFonts w:ascii="Symbol" w:hAnsi="Symbol"/>
                <w:lang w:val="en-US"/>
              </w:rPr>
              <w:t></w:t>
            </w:r>
            <w:r>
              <w:rPr>
                <w:lang w:val="en-US"/>
              </w:rPr>
              <w:t xml:space="preserve"> 57' 10"</w:t>
            </w:r>
            <w:r>
              <w:rPr>
                <w:lang w:val="en-US"/>
              </w:rPr>
              <w:br/>
              <w:t>19</w:t>
            </w:r>
            <w:r>
              <w:rPr>
                <w:rFonts w:ascii="Symbol" w:hAnsi="Symbol"/>
                <w:lang w:val="en-US"/>
              </w:rPr>
              <w:t></w:t>
            </w:r>
            <w:r>
              <w:rPr>
                <w:lang w:val="en-US"/>
              </w:rPr>
              <w:t xml:space="preserve"> 49' 33"</w:t>
            </w:r>
            <w:r>
              <w:rPr>
                <w:lang w:val="en-US"/>
              </w:rPr>
              <w:br/>
              <w:t>42</w:t>
            </w:r>
            <w:r>
              <w:rPr>
                <w:rFonts w:ascii="Symbol" w:hAnsi="Symbol"/>
                <w:lang w:val="en-US"/>
              </w:rPr>
              <w:t></w:t>
            </w:r>
            <w:r>
              <w:rPr>
                <w:lang w:val="en-US"/>
              </w:rPr>
              <w:t xml:space="preserve"> 37' 23"</w:t>
            </w:r>
          </w:p>
        </w:tc>
        <w:tc>
          <w:tcPr>
            <w:tcW w:w="992" w:type="dxa"/>
            <w:tcBorders>
              <w:top w:val="single" w:sz="4" w:space="0" w:color="auto"/>
              <w:bottom w:val="single" w:sz="4" w:space="0" w:color="auto"/>
            </w:tcBorders>
          </w:tcPr>
          <w:p w:rsidR="00B9359B" w:rsidRDefault="009A5268">
            <w:pPr>
              <w:pStyle w:val="Tabletext"/>
              <w:framePr w:hSpace="181" w:wrap="notBeside" w:vAnchor="text" w:hAnchor="text" w:xAlign="center" w:y="1"/>
              <w:spacing w:line="260" w:lineRule="exact"/>
              <w:jc w:val="center"/>
              <w:rPr>
                <w:lang w:val="en-US"/>
              </w:rPr>
            </w:pPr>
            <w:r>
              <w:rPr>
                <w:lang w:val="en-US"/>
              </w:rPr>
              <w:t>[]</w:t>
            </w:r>
            <w:r>
              <w:rPr>
                <w:lang w:val="en-US"/>
              </w:rPr>
              <w:br/>
              <w:t>1</w:t>
            </w:r>
            <w:r>
              <w:rPr>
                <w:rFonts w:ascii="Tms Rmn" w:hAnsi="Tms Rmn"/>
                <w:sz w:val="12"/>
                <w:lang w:val="en-US"/>
              </w:rPr>
              <w:t> </w:t>
            </w:r>
            <w:r>
              <w:rPr>
                <w:lang w:val="en-US"/>
              </w:rPr>
              <w:t>071</w:t>
            </w:r>
            <w:r>
              <w:rPr>
                <w:lang w:val="en-US"/>
              </w:rPr>
              <w:br/>
              <w:t>946</w:t>
            </w:r>
            <w:r>
              <w:rPr>
                <w:lang w:val="en-US"/>
              </w:rPr>
              <w:br/>
              <w:t>16</w:t>
            </w:r>
            <w:r>
              <w:rPr>
                <w:lang w:val="en-US"/>
              </w:rPr>
              <w:br/>
              <w:t>309</w:t>
            </w:r>
            <w:r>
              <w:rPr>
                <w:lang w:val="en-US"/>
              </w:rPr>
              <w:br/>
              <w:t>241</w:t>
            </w:r>
            <w:r>
              <w:rPr>
                <w:lang w:val="en-US"/>
              </w:rPr>
              <w:br/>
              <w:t>1</w:t>
            </w:r>
            <w:r>
              <w:rPr>
                <w:rFonts w:ascii="Tms Rmn" w:hAnsi="Tms Rmn"/>
                <w:sz w:val="12"/>
                <w:lang w:val="en-US"/>
              </w:rPr>
              <w:t> </w:t>
            </w:r>
            <w:r>
              <w:rPr>
                <w:lang w:val="en-US"/>
              </w:rPr>
              <w:t>615</w:t>
            </w:r>
            <w:r>
              <w:rPr>
                <w:lang w:val="en-US"/>
              </w:rPr>
              <w:br/>
              <w:t>1</w:t>
            </w:r>
            <w:r>
              <w:rPr>
                <w:rFonts w:ascii="Tms Rmn" w:hAnsi="Tms Rmn"/>
                <w:sz w:val="12"/>
                <w:lang w:val="en-US"/>
              </w:rPr>
              <w:t> </w:t>
            </w:r>
            <w:r>
              <w:rPr>
                <w:lang w:val="en-US"/>
              </w:rPr>
              <w:t>967</w:t>
            </w:r>
            <w:r>
              <w:rPr>
                <w:lang w:val="en-US"/>
              </w:rPr>
              <w:br/>
              <w:t>2</w:t>
            </w:r>
            <w:r>
              <w:rPr>
                <w:rFonts w:ascii="Tms Rmn" w:hAnsi="Tms Rmn"/>
                <w:sz w:val="12"/>
                <w:lang w:val="en-US"/>
              </w:rPr>
              <w:t> </w:t>
            </w:r>
            <w:r>
              <w:rPr>
                <w:lang w:val="en-US"/>
              </w:rPr>
              <w:t>371</w:t>
            </w:r>
            <w:r>
              <w:rPr>
                <w:lang w:val="en-US"/>
              </w:rPr>
              <w:br/>
              <w:t>1</w:t>
            </w:r>
            <w:r>
              <w:rPr>
                <w:rFonts w:ascii="Tms Rmn" w:hAnsi="Tms Rmn"/>
                <w:sz w:val="12"/>
                <w:lang w:val="en-US"/>
              </w:rPr>
              <w:t> </w:t>
            </w:r>
            <w:r>
              <w:rPr>
                <w:lang w:val="en-US"/>
              </w:rPr>
              <w:t>916</w:t>
            </w:r>
            <w:r>
              <w:rPr>
                <w:lang w:val="en-US"/>
              </w:rPr>
              <w:br/>
              <w:t>1</w:t>
            </w:r>
            <w:r>
              <w:rPr>
                <w:rFonts w:ascii="Tms Rmn" w:hAnsi="Tms Rmn"/>
                <w:sz w:val="12"/>
                <w:lang w:val="en-US"/>
              </w:rPr>
              <w:t> </w:t>
            </w:r>
            <w:r>
              <w:rPr>
                <w:lang w:val="en-US"/>
              </w:rPr>
              <w:t>207</w:t>
            </w:r>
            <w:r>
              <w:rPr>
                <w:lang w:val="en-US"/>
              </w:rPr>
              <w:br/>
              <w:t>255</w:t>
            </w:r>
            <w:r>
              <w:rPr>
                <w:lang w:val="en-US"/>
              </w:rPr>
              <w:br/>
              <w:t>3</w:t>
            </w:r>
            <w:r>
              <w:rPr>
                <w:rFonts w:ascii="Tms Rmn" w:hAnsi="Tms Rmn"/>
                <w:sz w:val="12"/>
                <w:lang w:val="en-US"/>
              </w:rPr>
              <w:t> </w:t>
            </w:r>
            <w:r>
              <w:rPr>
                <w:lang w:val="en-US"/>
              </w:rPr>
              <w:t>720</w:t>
            </w:r>
            <w:r>
              <w:rPr>
                <w:lang w:val="en-US"/>
              </w:rPr>
              <w:br/>
              <w:t>1</w:t>
            </w:r>
            <w:r>
              <w:rPr>
                <w:rFonts w:ascii="Tms Rmn" w:hAnsi="Tms Rmn"/>
                <w:sz w:val="12"/>
                <w:lang w:val="en-US"/>
              </w:rPr>
              <w:t> </w:t>
            </w:r>
            <w:r>
              <w:rPr>
                <w:lang w:val="en-US"/>
              </w:rPr>
              <w:t>916</w:t>
            </w:r>
            <w:r>
              <w:rPr>
                <w:lang w:val="en-US"/>
              </w:rPr>
              <w:br/>
              <w:t>3</w:t>
            </w:r>
            <w:r>
              <w:rPr>
                <w:rFonts w:ascii="Tms Rmn" w:hAnsi="Tms Rmn"/>
                <w:sz w:val="12"/>
                <w:lang w:val="en-US"/>
              </w:rPr>
              <w:t> </w:t>
            </w:r>
            <w:r>
              <w:rPr>
                <w:lang w:val="en-US"/>
              </w:rPr>
              <w:t>720</w:t>
            </w:r>
            <w:r>
              <w:rPr>
                <w:lang w:val="en-US"/>
              </w:rPr>
              <w:br/>
              <w:t>[122]</w:t>
            </w:r>
          </w:p>
        </w:tc>
        <w:tc>
          <w:tcPr>
            <w:tcW w:w="1106" w:type="dxa"/>
            <w:tcBorders>
              <w:top w:val="single" w:sz="4" w:space="0" w:color="auto"/>
              <w:bottom w:val="single" w:sz="4" w:space="0" w:color="auto"/>
            </w:tcBorders>
          </w:tcPr>
          <w:p w:rsidR="00B9359B" w:rsidRDefault="009A5268">
            <w:pPr>
              <w:pStyle w:val="Tabletext"/>
              <w:framePr w:hSpace="181" w:wrap="notBeside" w:vAnchor="text" w:hAnchor="text" w:xAlign="center" w:y="1"/>
              <w:spacing w:line="260" w:lineRule="exact"/>
              <w:jc w:val="center"/>
              <w:rPr>
                <w:lang w:val="en-US"/>
              </w:rPr>
            </w:pPr>
            <w:r>
              <w:rPr>
                <w:lang w:val="en-US"/>
              </w:rPr>
              <w:t>34</w:t>
            </w:r>
            <w:r>
              <w:rPr>
                <w:lang w:val="en-US"/>
              </w:rPr>
              <w:br/>
              <w:t>100</w:t>
            </w:r>
            <w:r>
              <w:rPr>
                <w:lang w:val="en-US"/>
              </w:rPr>
              <w:br/>
              <w:t xml:space="preserve">27 </w:t>
            </w:r>
            <w:r>
              <w:rPr>
                <w:rFonts w:ascii="Symbol" w:hAnsi="Symbol"/>
              </w:rPr>
              <w:t></w:t>
            </w:r>
            <w:r>
              <w:rPr>
                <w:lang w:val="en-US"/>
              </w:rPr>
              <w:t xml:space="preserve"> 25</w:t>
            </w:r>
            <w:r>
              <w:rPr>
                <w:lang w:val="en-US"/>
              </w:rPr>
              <w:br/>
              <w:t>25</w:t>
            </w:r>
            <w:r>
              <w:rPr>
                <w:lang w:val="en-US"/>
              </w:rPr>
              <w:br/>
              <w:t>25</w:t>
            </w:r>
            <w:r>
              <w:rPr>
                <w:lang w:val="en-US"/>
              </w:rPr>
              <w:br/>
              <w:t>25</w:t>
            </w:r>
            <w:r>
              <w:rPr>
                <w:lang w:val="en-US"/>
              </w:rPr>
              <w:br/>
              <w:t>25</w:t>
            </w:r>
            <w:r>
              <w:rPr>
                <w:lang w:val="en-US"/>
              </w:rPr>
              <w:br/>
              <w:t>25</w:t>
            </w:r>
            <w:r>
              <w:rPr>
                <w:lang w:val="en-US"/>
              </w:rPr>
              <w:br/>
              <w:t>25</w:t>
            </w:r>
            <w:r>
              <w:rPr>
                <w:lang w:val="en-US"/>
              </w:rPr>
              <w:br/>
              <w:t>25</w:t>
            </w:r>
            <w:r>
              <w:rPr>
                <w:lang w:val="en-US"/>
              </w:rPr>
              <w:br/>
              <w:t>25</w:t>
            </w:r>
            <w:r>
              <w:rPr>
                <w:lang w:val="en-US"/>
              </w:rPr>
              <w:br/>
              <w:t>25</w:t>
            </w:r>
            <w:r>
              <w:rPr>
                <w:lang w:val="en-US"/>
              </w:rPr>
              <w:br/>
              <w:t>25</w:t>
            </w:r>
            <w:r>
              <w:rPr>
                <w:lang w:val="en-US"/>
              </w:rPr>
              <w:br/>
              <w:t>12</w:t>
            </w:r>
            <w:r>
              <w:rPr>
                <w:lang w:val="en-US"/>
              </w:rPr>
              <w:br/>
              <w:t>10.4</w:t>
            </w:r>
            <w:r>
              <w:rPr>
                <w:lang w:val="en-US"/>
              </w:rPr>
              <w:br/>
              <w:t>36</w:t>
            </w:r>
          </w:p>
        </w:tc>
        <w:tc>
          <w:tcPr>
            <w:tcW w:w="1191" w:type="dxa"/>
            <w:tcBorders>
              <w:top w:val="single" w:sz="4" w:space="0" w:color="auto"/>
              <w:bottom w:val="single" w:sz="4" w:space="0" w:color="auto"/>
              <w:right w:val="single" w:sz="4" w:space="0" w:color="auto"/>
            </w:tcBorders>
          </w:tcPr>
          <w:p w:rsidR="00B9359B" w:rsidRDefault="009A5268">
            <w:pPr>
              <w:pStyle w:val="Tabletext"/>
              <w:framePr w:hSpace="181" w:wrap="notBeside" w:vAnchor="text" w:hAnchor="text" w:xAlign="center" w:y="1"/>
              <w:spacing w:line="260" w:lineRule="exact"/>
              <w:jc w:val="center"/>
              <w:rPr>
                <w:lang w:val="en-US"/>
              </w:rPr>
            </w:pPr>
            <w:r>
              <w:rPr>
                <w:lang w:val="en-US"/>
              </w:rPr>
              <w:t>S</w:t>
            </w:r>
            <w:r>
              <w:rPr>
                <w:lang w:val="en-US"/>
              </w:rPr>
              <w:br/>
              <w:t>S</w:t>
            </w:r>
            <w:r>
              <w:rPr>
                <w:lang w:val="en-US"/>
              </w:rPr>
              <w:br/>
              <w:t>S</w:t>
            </w:r>
            <w:r>
              <w:rPr>
                <w:lang w:val="en-US"/>
              </w:rPr>
              <w:br/>
              <w:t>VLBI</w:t>
            </w:r>
            <w:r>
              <w:rPr>
                <w:lang w:val="en-US"/>
              </w:rPr>
              <w:br/>
              <w:t>VLBI</w:t>
            </w:r>
            <w:r>
              <w:rPr>
                <w:lang w:val="en-US"/>
              </w:rPr>
              <w:br/>
              <w:t>VLBI</w:t>
            </w:r>
            <w:r>
              <w:rPr>
                <w:lang w:val="en-US"/>
              </w:rPr>
              <w:br/>
              <w:t>VLBI</w:t>
            </w:r>
            <w:r>
              <w:rPr>
                <w:lang w:val="en-US"/>
              </w:rPr>
              <w:br/>
              <w:t>VLBI</w:t>
            </w:r>
            <w:r>
              <w:rPr>
                <w:lang w:val="en-US"/>
              </w:rPr>
              <w:br/>
              <w:t>VLBI</w:t>
            </w:r>
            <w:r>
              <w:rPr>
                <w:lang w:val="en-US"/>
              </w:rPr>
              <w:br/>
              <w:t>VLBI</w:t>
            </w:r>
            <w:r>
              <w:rPr>
                <w:lang w:val="en-US"/>
              </w:rPr>
              <w:br/>
              <w:t>VLBI</w:t>
            </w:r>
            <w:r>
              <w:rPr>
                <w:lang w:val="en-US"/>
              </w:rPr>
              <w:br/>
              <w:t>VLBI</w:t>
            </w:r>
            <w:r>
              <w:rPr>
                <w:lang w:val="en-US"/>
              </w:rPr>
              <w:br/>
              <w:t>VLBI</w:t>
            </w:r>
            <w:r>
              <w:rPr>
                <w:lang w:val="en-US"/>
              </w:rPr>
              <w:br/>
              <w:t>S</w:t>
            </w:r>
            <w:r>
              <w:rPr>
                <w:lang w:val="en-US"/>
              </w:rPr>
              <w:br/>
              <w:t>S</w:t>
            </w:r>
            <w:r>
              <w:rPr>
                <w:lang w:val="en-US"/>
              </w:rPr>
              <w:br/>
              <w:t>S</w:t>
            </w:r>
          </w:p>
        </w:tc>
      </w:tr>
    </w:tbl>
    <w:p w:rsidR="00B9359B" w:rsidRDefault="00B9359B">
      <w:pPr>
        <w:pStyle w:val="Tablefin"/>
      </w:pPr>
    </w:p>
    <w:p w:rsidR="00B9359B" w:rsidRDefault="009A5268">
      <w:pPr>
        <w:pStyle w:val="TableNo"/>
        <w:rPr>
          <w:lang w:val="en-US"/>
        </w:rPr>
      </w:pPr>
      <w:r>
        <w:rPr>
          <w:lang w:val="en-US"/>
        </w:rPr>
        <w:br w:type="page"/>
        <w:t>TABLE  97 (</w:t>
      </w:r>
      <w:r>
        <w:rPr>
          <w:i/>
          <w:iCs/>
          <w:lang w:val="en-US"/>
        </w:rPr>
        <w:t>end</w:t>
      </w:r>
      <w:r>
        <w:rPr>
          <w:rFonts w:ascii="Tms Rmn" w:hAnsi="Tms Rmn"/>
          <w:sz w:val="12"/>
          <w:lang w:val="en-US"/>
        </w:rPr>
        <w:t> </w:t>
      </w:r>
      <w:r>
        <w:rPr>
          <w:lang w:val="en-US"/>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88"/>
        <w:gridCol w:w="1985"/>
        <w:gridCol w:w="1474"/>
        <w:gridCol w:w="1361"/>
        <w:gridCol w:w="992"/>
        <w:gridCol w:w="1106"/>
        <w:gridCol w:w="1191"/>
      </w:tblGrid>
      <w:tr w:rsidR="00B9359B">
        <w:tc>
          <w:tcPr>
            <w:tcW w:w="9697" w:type="dxa"/>
            <w:gridSpan w:val="7"/>
          </w:tcPr>
          <w:p w:rsidR="00B9359B" w:rsidRDefault="009A5268">
            <w:pPr>
              <w:pStyle w:val="Tablehead"/>
              <w:framePr w:hSpace="181" w:wrap="notBeside" w:vAnchor="text" w:hAnchor="text" w:xAlign="center" w:y="1"/>
              <w:spacing w:before="120" w:after="120"/>
              <w:rPr>
                <w:lang w:val="en-US"/>
              </w:rPr>
            </w:pPr>
            <w:r>
              <w:rPr>
                <w:lang w:val="en-US"/>
              </w:rPr>
              <w:t>Region 3</w:t>
            </w:r>
          </w:p>
        </w:tc>
      </w:tr>
      <w:tr w:rsidR="00B9359B">
        <w:tc>
          <w:tcPr>
            <w:tcW w:w="1588" w:type="dxa"/>
            <w:vAlign w:val="center"/>
          </w:tcPr>
          <w:p w:rsidR="00B9359B" w:rsidRDefault="009A5268">
            <w:pPr>
              <w:pStyle w:val="Tablehead"/>
              <w:framePr w:hSpace="181" w:wrap="notBeside" w:vAnchor="text" w:hAnchor="text" w:xAlign="center" w:y="1"/>
              <w:rPr>
                <w:lang w:val="en-US"/>
              </w:rPr>
            </w:pPr>
            <w:r>
              <w:rPr>
                <w:lang w:val="en-US"/>
              </w:rPr>
              <w:t>Country</w:t>
            </w:r>
          </w:p>
        </w:tc>
        <w:tc>
          <w:tcPr>
            <w:tcW w:w="1985" w:type="dxa"/>
            <w:vAlign w:val="center"/>
          </w:tcPr>
          <w:p w:rsidR="00B9359B" w:rsidRDefault="009A5268">
            <w:pPr>
              <w:pStyle w:val="Tablehead"/>
              <w:framePr w:hSpace="181" w:wrap="notBeside" w:vAnchor="text" w:hAnchor="text" w:xAlign="center" w:y="1"/>
              <w:rPr>
                <w:lang w:val="en-US"/>
              </w:rPr>
            </w:pPr>
            <w:r>
              <w:rPr>
                <w:lang w:val="en-US"/>
              </w:rPr>
              <w:t>Site</w:t>
            </w:r>
          </w:p>
        </w:tc>
        <w:tc>
          <w:tcPr>
            <w:tcW w:w="1474" w:type="dxa"/>
            <w:vAlign w:val="center"/>
          </w:tcPr>
          <w:p w:rsidR="00B9359B" w:rsidRDefault="009A5268">
            <w:pPr>
              <w:pStyle w:val="Tablehead"/>
              <w:framePr w:hSpace="181" w:wrap="notBeside" w:vAnchor="text" w:hAnchor="text" w:xAlign="center" w:y="1"/>
              <w:rPr>
                <w:lang w:val="en-US"/>
              </w:rPr>
            </w:pPr>
            <w:r>
              <w:rPr>
                <w:lang w:val="en-US"/>
              </w:rPr>
              <w:t>Longitude</w:t>
            </w:r>
          </w:p>
        </w:tc>
        <w:tc>
          <w:tcPr>
            <w:tcW w:w="1361" w:type="dxa"/>
            <w:vAlign w:val="center"/>
          </w:tcPr>
          <w:p w:rsidR="00B9359B" w:rsidRDefault="009A5268">
            <w:pPr>
              <w:pStyle w:val="Tablehead"/>
              <w:framePr w:hSpace="181" w:wrap="notBeside" w:vAnchor="text" w:hAnchor="text" w:xAlign="center" w:y="1"/>
              <w:rPr>
                <w:lang w:val="en-US"/>
              </w:rPr>
            </w:pPr>
            <w:r>
              <w:rPr>
                <w:lang w:val="en-US"/>
              </w:rPr>
              <w:t>Latitude</w:t>
            </w:r>
          </w:p>
        </w:tc>
        <w:tc>
          <w:tcPr>
            <w:tcW w:w="992" w:type="dxa"/>
            <w:vAlign w:val="center"/>
          </w:tcPr>
          <w:p w:rsidR="00B9359B" w:rsidRDefault="009A5268">
            <w:pPr>
              <w:pStyle w:val="Tablehead"/>
              <w:framePr w:hSpace="181" w:wrap="notBeside" w:vAnchor="text" w:hAnchor="text" w:xAlign="center" w:y="1"/>
              <w:rPr>
                <w:lang w:val="en-US"/>
              </w:rPr>
            </w:pPr>
            <w:r>
              <w:rPr>
                <w:lang w:val="en-US"/>
              </w:rPr>
              <w:t>Altitude</w:t>
            </w:r>
            <w:r>
              <w:rPr>
                <w:lang w:val="en-US"/>
              </w:rPr>
              <w:br/>
              <w:t>(m)</w:t>
            </w:r>
          </w:p>
        </w:tc>
        <w:tc>
          <w:tcPr>
            <w:tcW w:w="1106" w:type="dxa"/>
            <w:vAlign w:val="center"/>
          </w:tcPr>
          <w:p w:rsidR="00B9359B" w:rsidRDefault="009A5268">
            <w:pPr>
              <w:pStyle w:val="Tablehead"/>
              <w:framePr w:hSpace="181" w:wrap="notBeside" w:vAnchor="text" w:hAnchor="text" w:xAlign="center" w:y="1"/>
              <w:rPr>
                <w:lang w:val="en-US"/>
              </w:rPr>
            </w:pPr>
            <w:r>
              <w:rPr>
                <w:lang w:val="en-US"/>
              </w:rPr>
              <w:t xml:space="preserve">Diameter </w:t>
            </w:r>
            <w:r>
              <w:rPr>
                <w:lang w:val="en-US"/>
              </w:rPr>
              <w:br/>
              <w:t>(m)</w:t>
            </w:r>
          </w:p>
        </w:tc>
        <w:tc>
          <w:tcPr>
            <w:tcW w:w="1191" w:type="dxa"/>
            <w:vAlign w:val="center"/>
          </w:tcPr>
          <w:p w:rsidR="00B9359B" w:rsidRDefault="009A5268">
            <w:pPr>
              <w:pStyle w:val="Tablehead"/>
              <w:framePr w:hSpace="181" w:wrap="notBeside" w:vAnchor="text" w:hAnchor="text" w:xAlign="center" w:y="1"/>
              <w:rPr>
                <w:lang w:val="en-US"/>
              </w:rPr>
            </w:pPr>
            <w:r>
              <w:rPr>
                <w:lang w:val="en-US"/>
              </w:rPr>
              <w:t>Remarks</w:t>
            </w:r>
          </w:p>
        </w:tc>
      </w:tr>
      <w:tr w:rsidR="00B9359B">
        <w:trPr>
          <w:trHeight w:val="388"/>
        </w:trPr>
        <w:tc>
          <w:tcPr>
            <w:tcW w:w="1588" w:type="dxa"/>
          </w:tcPr>
          <w:p w:rsidR="00B9359B" w:rsidRDefault="009A5268">
            <w:pPr>
              <w:pStyle w:val="Tabletext"/>
              <w:framePr w:hSpace="181" w:wrap="notBeside" w:vAnchor="text" w:hAnchor="text" w:xAlign="center" w:y="1"/>
              <w:spacing w:line="260" w:lineRule="exact"/>
              <w:jc w:val="center"/>
              <w:rPr>
                <w:lang w:val="es-ES"/>
              </w:rPr>
            </w:pPr>
            <w:r>
              <w:rPr>
                <w:lang w:val="es-ES"/>
              </w:rPr>
              <w:t>Australia</w:t>
            </w:r>
          </w:p>
        </w:tc>
        <w:tc>
          <w:tcPr>
            <w:tcW w:w="1985" w:type="dxa"/>
          </w:tcPr>
          <w:p w:rsidR="00B9359B" w:rsidRDefault="009A5268">
            <w:pPr>
              <w:pStyle w:val="Tabletext"/>
              <w:framePr w:hSpace="181" w:wrap="notBeside" w:vAnchor="text" w:hAnchor="text" w:xAlign="center" w:y="1"/>
              <w:spacing w:line="260" w:lineRule="exact"/>
              <w:jc w:val="center"/>
              <w:rPr>
                <w:lang w:val="es-ES"/>
              </w:rPr>
            </w:pPr>
            <w:r>
              <w:rPr>
                <w:lang w:val="es-ES"/>
              </w:rPr>
              <w:t>Parkes</w:t>
            </w:r>
            <w:r>
              <w:rPr>
                <w:lang w:val="es-ES"/>
              </w:rPr>
              <w:br/>
              <w:t>Mopra</w:t>
            </w:r>
            <w:r>
              <w:rPr>
                <w:lang w:val="es-ES"/>
              </w:rPr>
              <w:br/>
              <w:t>Narrabri, NSW</w:t>
            </w:r>
            <w:r>
              <w:rPr>
                <w:lang w:val="es-ES"/>
              </w:rPr>
              <w:br/>
              <w:t>Tidbinbilla</w:t>
            </w:r>
          </w:p>
        </w:tc>
        <w:tc>
          <w:tcPr>
            <w:tcW w:w="1474" w:type="dxa"/>
          </w:tcPr>
          <w:p w:rsidR="00B9359B" w:rsidRDefault="009A5268">
            <w:pPr>
              <w:pStyle w:val="Tabletext"/>
              <w:framePr w:hSpace="181" w:wrap="notBeside" w:vAnchor="text" w:hAnchor="text" w:xAlign="center" w:y="1"/>
              <w:spacing w:line="260" w:lineRule="exact"/>
              <w:jc w:val="center"/>
              <w:rPr>
                <w:lang w:val="es-ES"/>
              </w:rPr>
            </w:pPr>
            <w:r>
              <w:rPr>
                <w:lang w:val="es-ES"/>
              </w:rPr>
              <w:t>148</w:t>
            </w:r>
            <w:r>
              <w:rPr>
                <w:rFonts w:ascii="Symbol" w:hAnsi="Symbol"/>
                <w:lang w:val="es-ES"/>
              </w:rPr>
              <w:t></w:t>
            </w:r>
            <w:r>
              <w:rPr>
                <w:lang w:val="es-ES"/>
              </w:rPr>
              <w:t xml:space="preserve"> 15' 44"</w:t>
            </w:r>
            <w:r>
              <w:rPr>
                <w:lang w:val="es-ES"/>
              </w:rPr>
              <w:br/>
              <w:t>149</w:t>
            </w:r>
            <w:r>
              <w:rPr>
                <w:rFonts w:ascii="Symbol" w:hAnsi="Symbol"/>
                <w:lang w:val="es-ES"/>
              </w:rPr>
              <w:t></w:t>
            </w:r>
            <w:r>
              <w:rPr>
                <w:lang w:val="es-ES"/>
              </w:rPr>
              <w:t xml:space="preserve"> 05' 58"</w:t>
            </w:r>
            <w:r>
              <w:rPr>
                <w:lang w:val="es-ES"/>
              </w:rPr>
              <w:br/>
              <w:t>149</w:t>
            </w:r>
            <w:r>
              <w:rPr>
                <w:rFonts w:ascii="Symbol" w:hAnsi="Symbol"/>
                <w:lang w:val="es-ES"/>
              </w:rPr>
              <w:t></w:t>
            </w:r>
            <w:r>
              <w:rPr>
                <w:lang w:val="es-ES"/>
              </w:rPr>
              <w:t xml:space="preserve"> 32' 56"</w:t>
            </w:r>
            <w:r>
              <w:rPr>
                <w:lang w:val="es-ES"/>
              </w:rPr>
              <w:br/>
              <w:t>148</w:t>
            </w:r>
            <w:r>
              <w:rPr>
                <w:rFonts w:ascii="Symbol" w:hAnsi="Symbol"/>
                <w:lang w:val="es-ES"/>
              </w:rPr>
              <w:t></w:t>
            </w:r>
            <w:r>
              <w:rPr>
                <w:lang w:val="es-ES"/>
              </w:rPr>
              <w:t xml:space="preserve"> 58' 59"</w:t>
            </w:r>
          </w:p>
        </w:tc>
        <w:tc>
          <w:tcPr>
            <w:tcW w:w="1361" w:type="dxa"/>
          </w:tcPr>
          <w:p w:rsidR="00B9359B" w:rsidRDefault="009A5268">
            <w:pPr>
              <w:pStyle w:val="Tabletext"/>
              <w:framePr w:hSpace="181" w:wrap="notBeside" w:vAnchor="text" w:hAnchor="text" w:xAlign="center" w:y="1"/>
              <w:spacing w:line="260" w:lineRule="exact"/>
              <w:jc w:val="center"/>
              <w:rPr>
                <w:lang w:val="es-ES"/>
              </w:rPr>
            </w:pPr>
            <w:r>
              <w:rPr>
                <w:lang w:val="es-ES"/>
              </w:rPr>
              <w:t>–33</w:t>
            </w:r>
            <w:r>
              <w:rPr>
                <w:rFonts w:ascii="Symbol" w:hAnsi="Symbol"/>
                <w:lang w:val="es-ES"/>
              </w:rPr>
              <w:t></w:t>
            </w:r>
            <w:r>
              <w:rPr>
                <w:lang w:val="es-ES"/>
              </w:rPr>
              <w:t xml:space="preserve"> 00' 00"</w:t>
            </w:r>
            <w:r>
              <w:rPr>
                <w:lang w:val="es-ES"/>
              </w:rPr>
              <w:br/>
              <w:t>–31</w:t>
            </w:r>
            <w:r>
              <w:rPr>
                <w:rFonts w:ascii="Symbol" w:hAnsi="Symbol"/>
                <w:lang w:val="es-ES"/>
              </w:rPr>
              <w:t></w:t>
            </w:r>
            <w:r>
              <w:rPr>
                <w:lang w:val="es-ES"/>
              </w:rPr>
              <w:t xml:space="preserve"> 16' 04"</w:t>
            </w:r>
            <w:r>
              <w:rPr>
                <w:lang w:val="es-ES"/>
              </w:rPr>
              <w:br/>
              <w:t>–30</w:t>
            </w:r>
            <w:r>
              <w:rPr>
                <w:rFonts w:ascii="Symbol" w:hAnsi="Symbol"/>
                <w:lang w:val="es-ES"/>
              </w:rPr>
              <w:t></w:t>
            </w:r>
            <w:r>
              <w:rPr>
                <w:lang w:val="es-ES"/>
              </w:rPr>
              <w:t xml:space="preserve"> 59' 52"</w:t>
            </w:r>
            <w:r>
              <w:rPr>
                <w:lang w:val="es-ES"/>
              </w:rPr>
              <w:br/>
              <w:t>–35</w:t>
            </w:r>
            <w:r>
              <w:rPr>
                <w:rFonts w:ascii="Symbol" w:hAnsi="Symbol"/>
                <w:lang w:val="es-ES"/>
              </w:rPr>
              <w:t></w:t>
            </w:r>
            <w:r>
              <w:rPr>
                <w:lang w:val="es-ES"/>
              </w:rPr>
              <w:t xml:space="preserve"> 24' 18"</w:t>
            </w:r>
          </w:p>
        </w:tc>
        <w:tc>
          <w:tcPr>
            <w:tcW w:w="992" w:type="dxa"/>
          </w:tcPr>
          <w:p w:rsidR="00B9359B" w:rsidRDefault="009A5268">
            <w:pPr>
              <w:pStyle w:val="Tabletext"/>
              <w:framePr w:hSpace="181" w:wrap="notBeside" w:vAnchor="text" w:hAnchor="text" w:xAlign="center" w:y="1"/>
              <w:spacing w:line="260" w:lineRule="exact"/>
              <w:jc w:val="center"/>
              <w:rPr>
                <w:lang w:val="en-US"/>
              </w:rPr>
            </w:pPr>
            <w:r>
              <w:rPr>
                <w:lang w:val="en-US"/>
              </w:rPr>
              <w:t>415</w:t>
            </w:r>
            <w:r>
              <w:rPr>
                <w:lang w:val="en-US"/>
              </w:rPr>
              <w:br/>
              <w:t>866</w:t>
            </w:r>
            <w:r>
              <w:rPr>
                <w:lang w:val="en-US"/>
              </w:rPr>
              <w:br/>
              <w:t>237</w:t>
            </w:r>
            <w:r>
              <w:rPr>
                <w:lang w:val="en-US"/>
              </w:rPr>
              <w:br/>
              <w:t>677</w:t>
            </w:r>
          </w:p>
        </w:tc>
        <w:tc>
          <w:tcPr>
            <w:tcW w:w="1106" w:type="dxa"/>
          </w:tcPr>
          <w:p w:rsidR="00B9359B" w:rsidRDefault="009A5268">
            <w:pPr>
              <w:pStyle w:val="Tabletext"/>
              <w:framePr w:hSpace="181" w:wrap="notBeside" w:vAnchor="text" w:hAnchor="text" w:xAlign="center" w:y="1"/>
              <w:spacing w:line="260" w:lineRule="exact"/>
              <w:jc w:val="center"/>
              <w:rPr>
                <w:lang w:val="en-US"/>
              </w:rPr>
            </w:pPr>
            <w:r>
              <w:rPr>
                <w:lang w:val="en-US"/>
              </w:rPr>
              <w:t>64</w:t>
            </w:r>
            <w:r>
              <w:rPr>
                <w:lang w:val="en-US"/>
              </w:rPr>
              <w:br/>
              <w:t>22</w:t>
            </w:r>
            <w:r>
              <w:rPr>
                <w:lang w:val="en-US"/>
              </w:rPr>
              <w:br/>
              <w:t xml:space="preserve">6 </w:t>
            </w:r>
            <w:r>
              <w:sym w:font="Symbol" w:char="F0B4"/>
            </w:r>
            <w:r>
              <w:rPr>
                <w:lang w:val="en-US"/>
              </w:rPr>
              <w:t xml:space="preserve"> 22</w:t>
            </w:r>
            <w:r>
              <w:rPr>
                <w:lang w:val="en-US"/>
              </w:rPr>
              <w:br/>
              <w:t>34</w:t>
            </w:r>
          </w:p>
        </w:tc>
        <w:tc>
          <w:tcPr>
            <w:tcW w:w="1191" w:type="dxa"/>
          </w:tcPr>
          <w:p w:rsidR="00B9359B" w:rsidRDefault="009A5268">
            <w:pPr>
              <w:pStyle w:val="Tabletext"/>
              <w:framePr w:hSpace="181" w:wrap="notBeside" w:vAnchor="text" w:hAnchor="text" w:xAlign="center" w:y="1"/>
              <w:spacing w:line="260" w:lineRule="exact"/>
              <w:jc w:val="center"/>
              <w:rPr>
                <w:lang w:val="en-US"/>
              </w:rPr>
            </w:pPr>
            <w:r>
              <w:rPr>
                <w:lang w:val="en-US"/>
              </w:rPr>
              <w:t>S</w:t>
            </w:r>
            <w:r>
              <w:rPr>
                <w:lang w:val="en-US"/>
              </w:rPr>
              <w:br/>
              <w:t>S</w:t>
            </w:r>
            <w:r>
              <w:rPr>
                <w:lang w:val="en-US"/>
              </w:rPr>
              <w:br/>
              <w:t>S</w:t>
            </w:r>
            <w:r>
              <w:rPr>
                <w:lang w:val="en-US"/>
              </w:rPr>
              <w:br/>
              <w:t>S</w:t>
            </w:r>
          </w:p>
        </w:tc>
      </w:tr>
      <w:tr w:rsidR="00B9359B">
        <w:tc>
          <w:tcPr>
            <w:tcW w:w="1588" w:type="dxa"/>
          </w:tcPr>
          <w:p w:rsidR="00B9359B" w:rsidRDefault="009A5268">
            <w:pPr>
              <w:pStyle w:val="Tabletext"/>
              <w:framePr w:hSpace="181" w:wrap="notBeside" w:vAnchor="text" w:hAnchor="text" w:xAlign="center" w:y="1"/>
              <w:spacing w:line="260" w:lineRule="exact"/>
              <w:jc w:val="center"/>
              <w:rPr>
                <w:lang w:val="es-ES"/>
              </w:rPr>
            </w:pPr>
            <w:r>
              <w:rPr>
                <w:lang w:val="es-ES"/>
              </w:rPr>
              <w:t>Japan</w:t>
            </w:r>
          </w:p>
        </w:tc>
        <w:tc>
          <w:tcPr>
            <w:tcW w:w="1985" w:type="dxa"/>
          </w:tcPr>
          <w:p w:rsidR="00B9359B" w:rsidRDefault="009A5268">
            <w:pPr>
              <w:pStyle w:val="Tabletext"/>
              <w:framePr w:hSpace="181" w:wrap="notBeside" w:vAnchor="text" w:hAnchor="text" w:xAlign="center" w:y="1"/>
              <w:spacing w:line="260" w:lineRule="exact"/>
              <w:jc w:val="center"/>
              <w:rPr>
                <w:lang w:val="es-ES"/>
              </w:rPr>
            </w:pPr>
            <w:r>
              <w:rPr>
                <w:lang w:val="es-ES"/>
              </w:rPr>
              <w:t>Nobeyama</w:t>
            </w:r>
            <w:r>
              <w:rPr>
                <w:lang w:val="es-ES"/>
              </w:rPr>
              <w:br/>
              <w:t>Kashima</w:t>
            </w:r>
            <w:r>
              <w:rPr>
                <w:lang w:val="es-ES"/>
              </w:rPr>
              <w:br/>
              <w:t>Mizusa</w:t>
            </w:r>
            <w:r>
              <w:rPr>
                <w:lang w:val="es-ES"/>
              </w:rPr>
              <w:br/>
              <w:t>Ogasawara</w:t>
            </w:r>
            <w:r>
              <w:rPr>
                <w:lang w:val="es-ES"/>
              </w:rPr>
              <w:br/>
              <w:t>Ishigakijima</w:t>
            </w:r>
          </w:p>
        </w:tc>
        <w:tc>
          <w:tcPr>
            <w:tcW w:w="1474" w:type="dxa"/>
          </w:tcPr>
          <w:p w:rsidR="00B9359B" w:rsidRDefault="009A5268">
            <w:pPr>
              <w:pStyle w:val="Tabletext"/>
              <w:framePr w:hSpace="181" w:wrap="notBeside" w:vAnchor="text" w:hAnchor="text" w:xAlign="center" w:y="1"/>
              <w:spacing w:line="260" w:lineRule="exact"/>
              <w:jc w:val="center"/>
              <w:rPr>
                <w:lang w:val="es-ES"/>
              </w:rPr>
            </w:pPr>
            <w:r>
              <w:rPr>
                <w:lang w:val="es-ES"/>
              </w:rPr>
              <w:t>138</w:t>
            </w:r>
            <w:r>
              <w:rPr>
                <w:rFonts w:ascii="Symbol" w:hAnsi="Symbol"/>
                <w:lang w:val="es-ES"/>
              </w:rPr>
              <w:t></w:t>
            </w:r>
            <w:r>
              <w:rPr>
                <w:lang w:val="es-ES"/>
              </w:rPr>
              <w:t xml:space="preserve"> 28' 32"</w:t>
            </w:r>
            <w:r>
              <w:rPr>
                <w:lang w:val="es-ES"/>
              </w:rPr>
              <w:br/>
              <w:t>140</w:t>
            </w:r>
            <w:r>
              <w:rPr>
                <w:rFonts w:ascii="Symbol" w:hAnsi="Symbol"/>
                <w:lang w:val="es-ES"/>
              </w:rPr>
              <w:t></w:t>
            </w:r>
            <w:r>
              <w:rPr>
                <w:lang w:val="es-ES"/>
              </w:rPr>
              <w:t xml:space="preserve"> 39' 46"</w:t>
            </w:r>
            <w:r>
              <w:rPr>
                <w:lang w:val="es-ES"/>
              </w:rPr>
              <w:br/>
              <w:t>141</w:t>
            </w:r>
            <w:r>
              <w:rPr>
                <w:rFonts w:ascii="Symbol" w:hAnsi="Symbol"/>
                <w:lang w:val="es-ES"/>
              </w:rPr>
              <w:t></w:t>
            </w:r>
            <w:r>
              <w:rPr>
                <w:lang w:val="es-ES"/>
              </w:rPr>
              <w:t xml:space="preserve"> 07' 57"</w:t>
            </w:r>
            <w:r>
              <w:rPr>
                <w:lang w:val="es-ES"/>
              </w:rPr>
              <w:br/>
              <w:t>130</w:t>
            </w:r>
            <w:r>
              <w:rPr>
                <w:rFonts w:ascii="Symbol" w:hAnsi="Symbol"/>
                <w:lang w:val="es-ES"/>
              </w:rPr>
              <w:t></w:t>
            </w:r>
            <w:r>
              <w:rPr>
                <w:lang w:val="es-ES"/>
              </w:rPr>
              <w:t xml:space="preserve"> 26' 25"</w:t>
            </w:r>
            <w:r>
              <w:rPr>
                <w:lang w:val="es-ES"/>
              </w:rPr>
              <w:br/>
              <w:t>142</w:t>
            </w:r>
            <w:r>
              <w:rPr>
                <w:rFonts w:ascii="Symbol" w:hAnsi="Symbol"/>
                <w:lang w:val="es-ES"/>
              </w:rPr>
              <w:t></w:t>
            </w:r>
            <w:r>
              <w:rPr>
                <w:lang w:val="es-ES"/>
              </w:rPr>
              <w:t xml:space="preserve"> 13' 00"</w:t>
            </w:r>
            <w:r>
              <w:rPr>
                <w:lang w:val="es-ES"/>
              </w:rPr>
              <w:br/>
              <w:t>124</w:t>
            </w:r>
            <w:r>
              <w:rPr>
                <w:rFonts w:ascii="Symbol" w:hAnsi="Symbol"/>
                <w:lang w:val="es-ES"/>
              </w:rPr>
              <w:t></w:t>
            </w:r>
            <w:r>
              <w:rPr>
                <w:lang w:val="es-ES"/>
              </w:rPr>
              <w:t xml:space="preserve"> 10' 06"</w:t>
            </w:r>
          </w:p>
        </w:tc>
        <w:tc>
          <w:tcPr>
            <w:tcW w:w="1361" w:type="dxa"/>
          </w:tcPr>
          <w:p w:rsidR="00B9359B" w:rsidRDefault="009A5268">
            <w:pPr>
              <w:pStyle w:val="Tabletext"/>
              <w:framePr w:hSpace="181" w:wrap="notBeside" w:vAnchor="text" w:hAnchor="text" w:xAlign="center" w:y="1"/>
              <w:spacing w:line="260" w:lineRule="exact"/>
              <w:jc w:val="center"/>
              <w:rPr>
                <w:lang w:val="es-ES"/>
              </w:rPr>
            </w:pPr>
            <w:r>
              <w:rPr>
                <w:lang w:val="es-ES"/>
              </w:rPr>
              <w:t>35</w:t>
            </w:r>
            <w:r>
              <w:rPr>
                <w:rFonts w:ascii="Symbol" w:hAnsi="Symbol"/>
                <w:lang w:val="es-ES"/>
              </w:rPr>
              <w:t></w:t>
            </w:r>
            <w:r>
              <w:rPr>
                <w:lang w:val="es-ES"/>
              </w:rPr>
              <w:t xml:space="preserve"> 56' 29"</w:t>
            </w:r>
            <w:r>
              <w:rPr>
                <w:lang w:val="es-ES"/>
              </w:rPr>
              <w:br/>
              <w:t>35</w:t>
            </w:r>
            <w:r>
              <w:rPr>
                <w:rFonts w:ascii="Symbol" w:hAnsi="Symbol"/>
                <w:lang w:val="es-ES"/>
              </w:rPr>
              <w:t></w:t>
            </w:r>
            <w:r>
              <w:rPr>
                <w:lang w:val="es-ES"/>
              </w:rPr>
              <w:t xml:space="preserve"> 57' 15"</w:t>
            </w:r>
            <w:r>
              <w:rPr>
                <w:lang w:val="es-ES"/>
              </w:rPr>
              <w:br/>
              <w:t>39</w:t>
            </w:r>
            <w:r>
              <w:rPr>
                <w:rFonts w:ascii="Symbol" w:hAnsi="Symbol"/>
                <w:lang w:val="es-ES"/>
              </w:rPr>
              <w:t></w:t>
            </w:r>
            <w:r>
              <w:rPr>
                <w:lang w:val="es-ES"/>
              </w:rPr>
              <w:t xml:space="preserve"> 08' 01"</w:t>
            </w:r>
            <w:r>
              <w:rPr>
                <w:lang w:val="es-ES"/>
              </w:rPr>
              <w:br/>
              <w:t>31</w:t>
            </w:r>
            <w:r>
              <w:rPr>
                <w:rFonts w:ascii="Symbol" w:hAnsi="Symbol"/>
                <w:lang w:val="es-ES"/>
              </w:rPr>
              <w:t></w:t>
            </w:r>
            <w:r>
              <w:rPr>
                <w:lang w:val="es-ES"/>
              </w:rPr>
              <w:t xml:space="preserve"> 44' 53"</w:t>
            </w:r>
            <w:r>
              <w:rPr>
                <w:lang w:val="es-ES"/>
              </w:rPr>
              <w:br/>
              <w:t>27</w:t>
            </w:r>
            <w:r>
              <w:rPr>
                <w:rFonts w:ascii="Symbol" w:hAnsi="Symbol"/>
                <w:lang w:val="es-ES"/>
              </w:rPr>
              <w:t></w:t>
            </w:r>
            <w:r>
              <w:rPr>
                <w:lang w:val="es-ES"/>
              </w:rPr>
              <w:t xml:space="preserve"> 05' 30"</w:t>
            </w:r>
            <w:r>
              <w:rPr>
                <w:lang w:val="es-ES"/>
              </w:rPr>
              <w:br/>
              <w:t>24</w:t>
            </w:r>
            <w:r>
              <w:rPr>
                <w:rFonts w:ascii="Symbol" w:hAnsi="Symbol"/>
                <w:lang w:val="es-ES"/>
              </w:rPr>
              <w:t></w:t>
            </w:r>
            <w:r>
              <w:rPr>
                <w:lang w:val="es-ES"/>
              </w:rPr>
              <w:t xml:space="preserve"> 24' 38"</w:t>
            </w:r>
          </w:p>
        </w:tc>
        <w:tc>
          <w:tcPr>
            <w:tcW w:w="992" w:type="dxa"/>
          </w:tcPr>
          <w:p w:rsidR="00B9359B" w:rsidRDefault="009A5268">
            <w:pPr>
              <w:pStyle w:val="Tabletext"/>
              <w:framePr w:hSpace="181" w:wrap="notBeside" w:vAnchor="text" w:hAnchor="text" w:xAlign="center" w:y="1"/>
              <w:spacing w:line="260" w:lineRule="exact"/>
              <w:jc w:val="center"/>
              <w:rPr>
                <w:lang w:val="en-US"/>
              </w:rPr>
            </w:pPr>
            <w:r>
              <w:rPr>
                <w:lang w:val="en-US"/>
              </w:rPr>
              <w:t>1 350</w:t>
            </w:r>
            <w:r>
              <w:rPr>
                <w:lang w:val="en-US"/>
              </w:rPr>
              <w:br/>
              <w:t>50</w:t>
            </w:r>
            <w:r>
              <w:rPr>
                <w:lang w:val="en-US"/>
              </w:rPr>
              <w:br/>
              <w:t>117</w:t>
            </w:r>
            <w:r>
              <w:rPr>
                <w:lang w:val="en-US"/>
              </w:rPr>
              <w:br/>
              <w:t>569</w:t>
            </w:r>
            <w:r>
              <w:rPr>
                <w:lang w:val="en-US"/>
              </w:rPr>
              <w:br/>
              <w:t>273</w:t>
            </w:r>
            <w:r>
              <w:rPr>
                <w:lang w:val="en-US"/>
              </w:rPr>
              <w:br/>
              <w:t>60</w:t>
            </w:r>
          </w:p>
        </w:tc>
        <w:tc>
          <w:tcPr>
            <w:tcW w:w="1106" w:type="dxa"/>
          </w:tcPr>
          <w:p w:rsidR="00B9359B" w:rsidRDefault="009A5268">
            <w:pPr>
              <w:pStyle w:val="Tabletext"/>
              <w:framePr w:hSpace="181" w:wrap="notBeside" w:vAnchor="text" w:hAnchor="text" w:xAlign="center" w:y="1"/>
              <w:spacing w:line="260" w:lineRule="exact"/>
              <w:jc w:val="center"/>
              <w:rPr>
                <w:lang w:val="en-US"/>
              </w:rPr>
            </w:pPr>
            <w:r>
              <w:rPr>
                <w:lang w:val="en-US"/>
              </w:rPr>
              <w:t>45</w:t>
            </w:r>
            <w:r>
              <w:rPr>
                <w:lang w:val="en-US"/>
              </w:rPr>
              <w:br/>
              <w:t>34</w:t>
            </w:r>
            <w:r>
              <w:rPr>
                <w:lang w:val="en-US"/>
              </w:rPr>
              <w:br/>
              <w:t>20</w:t>
            </w:r>
            <w:r>
              <w:rPr>
                <w:lang w:val="en-US"/>
              </w:rPr>
              <w:br/>
              <w:t>20</w:t>
            </w:r>
            <w:r>
              <w:rPr>
                <w:lang w:val="en-US"/>
              </w:rPr>
              <w:br/>
              <w:t>20</w:t>
            </w:r>
            <w:r>
              <w:rPr>
                <w:lang w:val="en-US"/>
              </w:rPr>
              <w:br/>
              <w:t>20</w:t>
            </w:r>
          </w:p>
        </w:tc>
        <w:tc>
          <w:tcPr>
            <w:tcW w:w="1191" w:type="dxa"/>
          </w:tcPr>
          <w:p w:rsidR="00B9359B" w:rsidRDefault="009A5268">
            <w:pPr>
              <w:pStyle w:val="Tabletext"/>
              <w:framePr w:hSpace="181" w:wrap="notBeside" w:vAnchor="text" w:hAnchor="text" w:xAlign="center" w:y="1"/>
              <w:spacing w:line="260" w:lineRule="exact"/>
              <w:jc w:val="center"/>
              <w:rPr>
                <w:lang w:val="en-US"/>
              </w:rPr>
            </w:pPr>
            <w:r>
              <w:rPr>
                <w:lang w:val="en-US"/>
              </w:rPr>
              <w:t>S</w:t>
            </w:r>
            <w:r>
              <w:rPr>
                <w:lang w:val="en-US"/>
              </w:rPr>
              <w:br/>
              <w:t>S</w:t>
            </w:r>
            <w:r>
              <w:rPr>
                <w:lang w:val="en-US"/>
              </w:rPr>
              <w:br/>
              <w:t>S</w:t>
            </w:r>
            <w:r>
              <w:rPr>
                <w:lang w:val="en-US"/>
              </w:rPr>
              <w:br/>
              <w:t>S</w:t>
            </w:r>
            <w:r>
              <w:rPr>
                <w:lang w:val="en-US"/>
              </w:rPr>
              <w:br/>
              <w:t>S</w:t>
            </w:r>
            <w:r>
              <w:rPr>
                <w:lang w:val="en-US"/>
              </w:rPr>
              <w:br/>
              <w:t>S</w:t>
            </w:r>
          </w:p>
        </w:tc>
      </w:tr>
      <w:tr w:rsidR="00B9359B">
        <w:tc>
          <w:tcPr>
            <w:tcW w:w="1588" w:type="dxa"/>
          </w:tcPr>
          <w:p w:rsidR="00B9359B" w:rsidRDefault="009A5268">
            <w:pPr>
              <w:pStyle w:val="Tabletext"/>
              <w:framePr w:hSpace="181" w:wrap="notBeside" w:vAnchor="text" w:hAnchor="text" w:xAlign="center" w:y="1"/>
              <w:spacing w:line="260" w:lineRule="exact"/>
              <w:jc w:val="center"/>
              <w:rPr>
                <w:lang w:val="en-US"/>
              </w:rPr>
            </w:pPr>
            <w:r>
              <w:rPr>
                <w:lang w:val="en-US"/>
              </w:rPr>
              <w:t>Korea (Republic of)</w:t>
            </w:r>
          </w:p>
        </w:tc>
        <w:tc>
          <w:tcPr>
            <w:tcW w:w="1985" w:type="dxa"/>
          </w:tcPr>
          <w:p w:rsidR="00B9359B" w:rsidRDefault="009A5268">
            <w:pPr>
              <w:pStyle w:val="Tabletext"/>
              <w:framePr w:hSpace="181" w:wrap="notBeside" w:vAnchor="text" w:hAnchor="text" w:xAlign="center" w:y="1"/>
              <w:spacing w:line="260" w:lineRule="exact"/>
              <w:jc w:val="center"/>
              <w:rPr>
                <w:lang w:val="es-ES"/>
              </w:rPr>
            </w:pPr>
            <w:r>
              <w:rPr>
                <w:lang w:val="es-ES"/>
              </w:rPr>
              <w:t>Taejon</w:t>
            </w:r>
            <w:r>
              <w:rPr>
                <w:lang w:val="es-ES"/>
              </w:rPr>
              <w:br/>
            </w:r>
            <w:r>
              <w:rPr>
                <w:rFonts w:hint="eastAsia"/>
                <w:lang w:val="es-ES"/>
              </w:rPr>
              <w:t xml:space="preserve">Yonsei </w:t>
            </w:r>
            <w:r>
              <w:rPr>
                <w:lang w:val="es-ES"/>
              </w:rPr>
              <w:t>U.</w:t>
            </w:r>
            <w:r>
              <w:rPr>
                <w:lang w:val="es-ES"/>
              </w:rPr>
              <w:br/>
            </w:r>
            <w:r>
              <w:rPr>
                <w:rFonts w:ascii="Times" w:hAnsi="Times" w:hint="eastAsia"/>
                <w:lang w:val="es-ES"/>
              </w:rPr>
              <w:t>Ulsan U</w:t>
            </w:r>
            <w:r>
              <w:rPr>
                <w:rFonts w:ascii="Times" w:hAnsi="Times"/>
                <w:lang w:val="es-ES"/>
              </w:rPr>
              <w:t>.</w:t>
            </w:r>
            <w:r>
              <w:rPr>
                <w:rFonts w:ascii="Times" w:hAnsi="Times"/>
                <w:lang w:val="es-ES"/>
              </w:rPr>
              <w:br/>
              <w:t>Tamna U.</w:t>
            </w:r>
          </w:p>
        </w:tc>
        <w:tc>
          <w:tcPr>
            <w:tcW w:w="1474" w:type="dxa"/>
          </w:tcPr>
          <w:p w:rsidR="00B9359B" w:rsidRDefault="009A5268">
            <w:pPr>
              <w:pStyle w:val="Tabletext"/>
              <w:framePr w:hSpace="181" w:wrap="notBeside" w:vAnchor="text" w:hAnchor="text" w:xAlign="center" w:y="1"/>
              <w:spacing w:line="260" w:lineRule="exact"/>
              <w:jc w:val="center"/>
              <w:rPr>
                <w:lang w:val="es-ES"/>
              </w:rPr>
            </w:pPr>
            <w:r>
              <w:rPr>
                <w:rFonts w:ascii="Times" w:hAnsi="Times"/>
                <w:lang w:val="es-ES"/>
              </w:rPr>
              <w:t>127</w:t>
            </w:r>
            <w:r>
              <w:rPr>
                <w:rFonts w:ascii="Symbol" w:hAnsi="Symbol"/>
                <w:lang w:val="es-ES"/>
              </w:rPr>
              <w:t></w:t>
            </w:r>
            <w:r>
              <w:rPr>
                <w:lang w:val="es-ES"/>
              </w:rPr>
              <w:t xml:space="preserve"> 22' 18"</w:t>
            </w:r>
            <w:r>
              <w:rPr>
                <w:lang w:val="es-ES"/>
              </w:rPr>
              <w:br/>
            </w:r>
            <w:r>
              <w:rPr>
                <w:rFonts w:ascii="Times" w:hAnsi="Times"/>
                <w:lang w:val="es-ES"/>
              </w:rPr>
              <w:t>126</w:t>
            </w:r>
            <w:r>
              <w:rPr>
                <w:rFonts w:ascii="Symbol" w:hAnsi="Symbol"/>
                <w:lang w:val="es-ES"/>
              </w:rPr>
              <w:t></w:t>
            </w:r>
            <w:r>
              <w:rPr>
                <w:rFonts w:ascii="Times" w:hAnsi="Times"/>
                <w:lang w:val="es-ES"/>
              </w:rPr>
              <w:t xml:space="preserve"> 56' 35"</w:t>
            </w:r>
            <w:r>
              <w:rPr>
                <w:rFonts w:ascii="Times" w:hAnsi="Times"/>
                <w:lang w:val="es-ES"/>
              </w:rPr>
              <w:br/>
              <w:t>129</w:t>
            </w:r>
            <w:r>
              <w:rPr>
                <w:rFonts w:ascii="Symbol" w:hAnsi="Symbol"/>
                <w:lang w:val="es-ES"/>
              </w:rPr>
              <w:t></w:t>
            </w:r>
            <w:r>
              <w:rPr>
                <w:rFonts w:ascii="Times" w:hAnsi="Times"/>
                <w:lang w:val="es-ES"/>
              </w:rPr>
              <w:t xml:space="preserve"> 15' 04"</w:t>
            </w:r>
            <w:r>
              <w:rPr>
                <w:rFonts w:ascii="Times" w:hAnsi="Times"/>
                <w:lang w:val="es-ES"/>
              </w:rPr>
              <w:br/>
              <w:t>126</w:t>
            </w:r>
            <w:r>
              <w:rPr>
                <w:rFonts w:ascii="Symbol" w:hAnsi="Symbol"/>
                <w:lang w:val="es-ES"/>
              </w:rPr>
              <w:t></w:t>
            </w:r>
            <w:r>
              <w:rPr>
                <w:rFonts w:ascii="Times" w:hAnsi="Times"/>
                <w:lang w:val="es-ES"/>
              </w:rPr>
              <w:t xml:space="preserve"> 27' 43"</w:t>
            </w:r>
          </w:p>
        </w:tc>
        <w:tc>
          <w:tcPr>
            <w:tcW w:w="1361" w:type="dxa"/>
          </w:tcPr>
          <w:p w:rsidR="00B9359B" w:rsidRDefault="009A5268">
            <w:pPr>
              <w:pStyle w:val="Tabletext"/>
              <w:framePr w:hSpace="181" w:wrap="notBeside" w:vAnchor="text" w:hAnchor="text" w:xAlign="center" w:y="1"/>
              <w:spacing w:line="260" w:lineRule="exact"/>
              <w:jc w:val="center"/>
              <w:rPr>
                <w:lang w:val="es-ES"/>
              </w:rPr>
            </w:pPr>
            <w:r>
              <w:rPr>
                <w:lang w:val="es-ES"/>
              </w:rPr>
              <w:t>36</w:t>
            </w:r>
            <w:r>
              <w:rPr>
                <w:rFonts w:ascii="Symbol" w:hAnsi="Symbol"/>
                <w:lang w:val="es-ES"/>
              </w:rPr>
              <w:t></w:t>
            </w:r>
            <w:r>
              <w:rPr>
                <w:lang w:val="es-ES"/>
              </w:rPr>
              <w:t xml:space="preserve"> 23' 54"</w:t>
            </w:r>
            <w:r>
              <w:rPr>
                <w:lang w:val="es-ES"/>
              </w:rPr>
              <w:br/>
            </w:r>
            <w:r>
              <w:rPr>
                <w:rFonts w:ascii="Times" w:hAnsi="Times"/>
                <w:lang w:val="es-ES"/>
              </w:rPr>
              <w:t>37</w:t>
            </w:r>
            <w:r>
              <w:rPr>
                <w:rFonts w:ascii="Symbol" w:hAnsi="Symbol"/>
                <w:lang w:val="es-ES"/>
              </w:rPr>
              <w:t></w:t>
            </w:r>
            <w:r>
              <w:rPr>
                <w:rFonts w:ascii="Times" w:hAnsi="Times"/>
                <w:lang w:val="es-ES"/>
              </w:rPr>
              <w:t xml:space="preserve"> 33' 44"</w:t>
            </w:r>
            <w:r>
              <w:rPr>
                <w:rFonts w:ascii="Times" w:hAnsi="Times"/>
                <w:lang w:val="es-ES"/>
              </w:rPr>
              <w:br/>
              <w:t>35</w:t>
            </w:r>
            <w:r>
              <w:rPr>
                <w:rFonts w:ascii="Symbol" w:hAnsi="Symbol"/>
                <w:lang w:val="es-ES"/>
              </w:rPr>
              <w:t></w:t>
            </w:r>
            <w:r>
              <w:rPr>
                <w:rFonts w:ascii="Times" w:hAnsi="Times"/>
                <w:lang w:val="es-ES"/>
              </w:rPr>
              <w:t xml:space="preserve"> 32' 33"</w:t>
            </w:r>
            <w:r>
              <w:rPr>
                <w:rFonts w:ascii="Times" w:hAnsi="Times"/>
                <w:lang w:val="es-ES"/>
              </w:rPr>
              <w:br/>
              <w:t>33</w:t>
            </w:r>
            <w:r>
              <w:rPr>
                <w:rFonts w:ascii="Symbol" w:hAnsi="Symbol"/>
                <w:lang w:val="es-ES"/>
              </w:rPr>
              <w:t></w:t>
            </w:r>
            <w:r>
              <w:rPr>
                <w:rFonts w:ascii="Times" w:hAnsi="Times"/>
                <w:lang w:val="es-ES"/>
              </w:rPr>
              <w:t xml:space="preserve"> 17' 18"</w:t>
            </w:r>
          </w:p>
        </w:tc>
        <w:tc>
          <w:tcPr>
            <w:tcW w:w="992" w:type="dxa"/>
          </w:tcPr>
          <w:p w:rsidR="00B9359B" w:rsidRDefault="009A5268">
            <w:pPr>
              <w:pStyle w:val="Tabletext"/>
              <w:framePr w:hSpace="181" w:wrap="notBeside" w:vAnchor="text" w:hAnchor="text" w:xAlign="center" w:y="1"/>
              <w:spacing w:line="260" w:lineRule="exact"/>
              <w:jc w:val="center"/>
              <w:rPr>
                <w:lang w:val="en-US"/>
              </w:rPr>
            </w:pPr>
            <w:r>
              <w:rPr>
                <w:lang w:val="en-US"/>
              </w:rPr>
              <w:t>120</w:t>
            </w:r>
            <w:r>
              <w:rPr>
                <w:lang w:val="en-US"/>
              </w:rPr>
              <w:br/>
            </w:r>
            <w:r>
              <w:rPr>
                <w:rFonts w:ascii="½Å¸íÁ¶" w:hAnsi="½Å¸íÁ¶"/>
                <w:lang w:val="en-US"/>
              </w:rPr>
              <w:t>260</w:t>
            </w:r>
            <w:r>
              <w:rPr>
                <w:rFonts w:ascii="½Å¸íÁ¶" w:hAnsi="½Å¸íÁ¶"/>
                <w:lang w:val="en-US"/>
              </w:rPr>
              <w:br/>
            </w:r>
            <w:r>
              <w:rPr>
                <w:lang w:val="en-US"/>
              </w:rPr>
              <w:t>1</w:t>
            </w:r>
            <w:r>
              <w:rPr>
                <w:rFonts w:hint="eastAsia"/>
                <w:lang w:val="en-US"/>
              </w:rPr>
              <w:t>20</w:t>
            </w:r>
            <w:r>
              <w:rPr>
                <w:lang w:val="en-US"/>
              </w:rPr>
              <w:br/>
              <w:t>100</w:t>
            </w:r>
          </w:p>
        </w:tc>
        <w:tc>
          <w:tcPr>
            <w:tcW w:w="1106" w:type="dxa"/>
          </w:tcPr>
          <w:p w:rsidR="00B9359B" w:rsidRDefault="009A5268">
            <w:pPr>
              <w:pStyle w:val="Tabletext"/>
              <w:framePr w:hSpace="181" w:wrap="notBeside" w:vAnchor="text" w:hAnchor="text" w:xAlign="center" w:y="1"/>
              <w:spacing w:line="260" w:lineRule="exact"/>
              <w:jc w:val="center"/>
              <w:rPr>
                <w:lang w:val="en-US"/>
              </w:rPr>
            </w:pPr>
            <w:r>
              <w:rPr>
                <w:lang w:val="en-US"/>
              </w:rPr>
              <w:t>13.7</w:t>
            </w:r>
            <w:r>
              <w:rPr>
                <w:lang w:val="en-US"/>
              </w:rPr>
              <w:br/>
              <w:t>20</w:t>
            </w:r>
            <w:r>
              <w:rPr>
                <w:lang w:val="en-US"/>
              </w:rPr>
              <w:br/>
              <w:t>20</w:t>
            </w:r>
            <w:r>
              <w:rPr>
                <w:lang w:val="en-US"/>
              </w:rPr>
              <w:br/>
              <w:t>20</w:t>
            </w:r>
          </w:p>
        </w:tc>
        <w:tc>
          <w:tcPr>
            <w:tcW w:w="1191" w:type="dxa"/>
          </w:tcPr>
          <w:p w:rsidR="00B9359B" w:rsidRDefault="009A5268">
            <w:pPr>
              <w:pStyle w:val="Tabletext"/>
              <w:framePr w:hSpace="181" w:wrap="notBeside" w:vAnchor="text" w:hAnchor="text" w:xAlign="center" w:y="1"/>
              <w:spacing w:line="260" w:lineRule="exact"/>
              <w:jc w:val="center"/>
              <w:rPr>
                <w:lang w:val="en-US"/>
              </w:rPr>
            </w:pPr>
            <w:r>
              <w:rPr>
                <w:lang w:val="en-US"/>
              </w:rPr>
              <w:t>S</w:t>
            </w:r>
            <w:r>
              <w:rPr>
                <w:lang w:val="en-US"/>
              </w:rPr>
              <w:br/>
              <w:t>S</w:t>
            </w:r>
            <w:r>
              <w:rPr>
                <w:lang w:val="en-US"/>
              </w:rPr>
              <w:br/>
              <w:t>S</w:t>
            </w:r>
            <w:r>
              <w:rPr>
                <w:lang w:val="en-US"/>
              </w:rPr>
              <w:br/>
              <w:t>S</w:t>
            </w:r>
          </w:p>
        </w:tc>
      </w:tr>
      <w:tr w:rsidR="00B9359B">
        <w:tc>
          <w:tcPr>
            <w:tcW w:w="9697" w:type="dxa"/>
            <w:gridSpan w:val="7"/>
            <w:vAlign w:val="center"/>
          </w:tcPr>
          <w:p w:rsidR="00B9359B" w:rsidRDefault="009A5268">
            <w:pPr>
              <w:pStyle w:val="Tablehead"/>
              <w:framePr w:hSpace="181" w:wrap="notBeside" w:vAnchor="text" w:hAnchor="text" w:xAlign="center" w:y="1"/>
              <w:spacing w:line="260" w:lineRule="exact"/>
              <w:rPr>
                <w:lang w:val="en-US"/>
              </w:rPr>
            </w:pPr>
            <w:r>
              <w:rPr>
                <w:lang w:val="en-US"/>
              </w:rPr>
              <w:t>Other</w:t>
            </w:r>
          </w:p>
        </w:tc>
      </w:tr>
      <w:tr w:rsidR="00B9359B">
        <w:tc>
          <w:tcPr>
            <w:tcW w:w="1588" w:type="dxa"/>
            <w:tcBorders>
              <w:bottom w:val="single" w:sz="6" w:space="0" w:color="auto"/>
            </w:tcBorders>
          </w:tcPr>
          <w:p w:rsidR="00B9359B" w:rsidRDefault="009A5268">
            <w:pPr>
              <w:pStyle w:val="Tabletext"/>
              <w:framePr w:hSpace="181" w:wrap="notBeside" w:vAnchor="text" w:hAnchor="text" w:xAlign="center" w:y="1"/>
              <w:spacing w:line="260" w:lineRule="exact"/>
              <w:jc w:val="center"/>
              <w:rPr>
                <w:lang w:val="en-US"/>
              </w:rPr>
            </w:pPr>
            <w:r>
              <w:rPr>
                <w:lang w:val="en-US"/>
              </w:rPr>
              <w:t>United States of America funded</w:t>
            </w:r>
          </w:p>
        </w:tc>
        <w:tc>
          <w:tcPr>
            <w:tcW w:w="1985" w:type="dxa"/>
            <w:tcBorders>
              <w:bottom w:val="single" w:sz="6" w:space="0" w:color="auto"/>
            </w:tcBorders>
          </w:tcPr>
          <w:p w:rsidR="00B9359B" w:rsidRDefault="009A5268">
            <w:pPr>
              <w:pStyle w:val="Tabletext"/>
              <w:framePr w:hSpace="181" w:wrap="notBeside" w:vAnchor="text" w:hAnchor="text" w:xAlign="center" w:y="1"/>
              <w:spacing w:line="260" w:lineRule="exact"/>
              <w:jc w:val="center"/>
              <w:rPr>
                <w:lang w:val="es-ES"/>
              </w:rPr>
            </w:pPr>
            <w:r>
              <w:rPr>
                <w:lang w:val="es-ES"/>
              </w:rPr>
              <w:t>Antarctica</w:t>
            </w:r>
          </w:p>
        </w:tc>
        <w:tc>
          <w:tcPr>
            <w:tcW w:w="1474" w:type="dxa"/>
            <w:tcBorders>
              <w:bottom w:val="single" w:sz="6" w:space="0" w:color="auto"/>
            </w:tcBorders>
          </w:tcPr>
          <w:p w:rsidR="00B9359B" w:rsidRDefault="009A5268">
            <w:pPr>
              <w:pStyle w:val="Tabletext"/>
              <w:framePr w:hSpace="181" w:wrap="notBeside" w:vAnchor="text" w:hAnchor="text" w:xAlign="center" w:y="1"/>
              <w:spacing w:line="260" w:lineRule="exact"/>
              <w:jc w:val="center"/>
              <w:rPr>
                <w:lang w:val="es-ES"/>
              </w:rPr>
            </w:pPr>
            <w:r>
              <w:rPr>
                <w:lang w:val="es-ES"/>
              </w:rPr>
              <w:t>N/A</w:t>
            </w:r>
          </w:p>
        </w:tc>
        <w:tc>
          <w:tcPr>
            <w:tcW w:w="1361" w:type="dxa"/>
            <w:tcBorders>
              <w:bottom w:val="single" w:sz="6" w:space="0" w:color="auto"/>
            </w:tcBorders>
          </w:tcPr>
          <w:p w:rsidR="00B9359B" w:rsidRDefault="009A5268">
            <w:pPr>
              <w:pStyle w:val="Tabletext"/>
              <w:framePr w:hSpace="181" w:wrap="notBeside" w:vAnchor="text" w:hAnchor="text" w:xAlign="center" w:y="1"/>
              <w:spacing w:line="260" w:lineRule="exact"/>
              <w:jc w:val="center"/>
              <w:rPr>
                <w:lang w:val="en-US"/>
              </w:rPr>
            </w:pPr>
            <w:r>
              <w:rPr>
                <w:lang w:val="en-US"/>
              </w:rPr>
              <w:t>–90</w:t>
            </w:r>
            <w:r>
              <w:rPr>
                <w:rFonts w:ascii="Symbol" w:hAnsi="Symbol"/>
                <w:lang w:val="en-US"/>
              </w:rPr>
              <w:t></w:t>
            </w:r>
            <w:r>
              <w:rPr>
                <w:lang w:val="en-US"/>
              </w:rPr>
              <w:t xml:space="preserve"> 00' 00"</w:t>
            </w:r>
          </w:p>
        </w:tc>
        <w:tc>
          <w:tcPr>
            <w:tcW w:w="992" w:type="dxa"/>
            <w:tcBorders>
              <w:bottom w:val="single" w:sz="6" w:space="0" w:color="auto"/>
            </w:tcBorders>
          </w:tcPr>
          <w:p w:rsidR="00B9359B" w:rsidRDefault="009A5268">
            <w:pPr>
              <w:pStyle w:val="Tabletext"/>
              <w:framePr w:hSpace="181" w:wrap="notBeside" w:vAnchor="text" w:hAnchor="text" w:xAlign="center" w:y="1"/>
              <w:spacing w:line="260" w:lineRule="exact"/>
              <w:jc w:val="center"/>
              <w:rPr>
                <w:lang w:val="en-US"/>
              </w:rPr>
            </w:pPr>
            <w:r>
              <w:rPr>
                <w:lang w:val="en-US"/>
              </w:rPr>
              <w:t>3 000</w:t>
            </w:r>
          </w:p>
        </w:tc>
        <w:tc>
          <w:tcPr>
            <w:tcW w:w="1106" w:type="dxa"/>
            <w:tcBorders>
              <w:bottom w:val="single" w:sz="6" w:space="0" w:color="auto"/>
            </w:tcBorders>
          </w:tcPr>
          <w:p w:rsidR="00B9359B" w:rsidRDefault="009A5268">
            <w:pPr>
              <w:pStyle w:val="Tabletext"/>
              <w:framePr w:hSpace="181" w:wrap="notBeside" w:vAnchor="text" w:hAnchor="text" w:xAlign="center" w:y="1"/>
              <w:spacing w:line="260" w:lineRule="exact"/>
              <w:jc w:val="center"/>
              <w:rPr>
                <w:lang w:val="en-US"/>
              </w:rPr>
            </w:pPr>
            <w:r>
              <w:rPr>
                <w:lang w:val="en-US"/>
              </w:rPr>
              <w:t>Various</w:t>
            </w:r>
          </w:p>
        </w:tc>
        <w:tc>
          <w:tcPr>
            <w:tcW w:w="1191" w:type="dxa"/>
            <w:tcBorders>
              <w:bottom w:val="single" w:sz="6" w:space="0" w:color="auto"/>
            </w:tcBorders>
          </w:tcPr>
          <w:p w:rsidR="00B9359B" w:rsidRDefault="009A5268">
            <w:pPr>
              <w:pStyle w:val="Tabletext"/>
              <w:framePr w:hSpace="181" w:wrap="notBeside" w:vAnchor="text" w:hAnchor="text" w:xAlign="center" w:y="1"/>
              <w:spacing w:line="260" w:lineRule="exact"/>
              <w:jc w:val="center"/>
              <w:rPr>
                <w:lang w:val="en-US"/>
              </w:rPr>
            </w:pPr>
            <w:r>
              <w:rPr>
                <w:lang w:val="en-US"/>
              </w:rPr>
              <w:t>S</w:t>
            </w:r>
          </w:p>
        </w:tc>
      </w:tr>
      <w:tr w:rsidR="00B9359B" w:rsidRPr="00D35B94">
        <w:tc>
          <w:tcPr>
            <w:tcW w:w="9696" w:type="dxa"/>
            <w:gridSpan w:val="7"/>
            <w:tcBorders>
              <w:left w:val="nil"/>
              <w:bottom w:val="nil"/>
              <w:right w:val="nil"/>
            </w:tcBorders>
          </w:tcPr>
          <w:p w:rsidR="00B9359B" w:rsidRDefault="009A5268">
            <w:pPr>
              <w:pStyle w:val="Tablelegend"/>
              <w:framePr w:hSpace="181" w:wrap="notBeside" w:vAnchor="text" w:hAnchor="text" w:xAlign="center" w:y="1"/>
              <w:ind w:left="-85" w:firstLine="0"/>
              <w:rPr>
                <w:lang w:val="en-US"/>
              </w:rPr>
            </w:pPr>
            <w:r>
              <w:rPr>
                <w:lang w:val="en-US"/>
              </w:rPr>
              <w:t>NOTE 1 – S refers to stations were single-dish operations are made, and VLBI refers to stations used exclusively for VLBI.</w:t>
            </w:r>
          </w:p>
        </w:tc>
      </w:tr>
    </w:tbl>
    <w:p w:rsidR="00B9359B" w:rsidRDefault="00B9359B">
      <w:pPr>
        <w:pStyle w:val="Tablefin"/>
        <w:spacing w:before="0"/>
        <w:rPr>
          <w:sz w:val="2"/>
        </w:rPr>
      </w:pPr>
    </w:p>
    <w:p w:rsidR="00B9359B" w:rsidRDefault="009A5268">
      <w:pPr>
        <w:pStyle w:val="Heading1"/>
        <w:rPr>
          <w:lang w:val="en-US"/>
        </w:rPr>
      </w:pPr>
      <w:bookmarkStart w:id="552" w:name="_Toc51045952"/>
      <w:r>
        <w:rPr>
          <w:lang w:val="en-US"/>
        </w:rPr>
        <w:t>2</w:t>
      </w:r>
      <w:r>
        <w:rPr>
          <w:lang w:val="en-US"/>
        </w:rPr>
        <w:tab/>
        <w:t>FSS and BSS</w:t>
      </w:r>
      <w:bookmarkEnd w:id="552"/>
    </w:p>
    <w:p w:rsidR="00B9359B" w:rsidRDefault="009A5268">
      <w:pPr>
        <w:pStyle w:val="Heading2"/>
        <w:rPr>
          <w:lang w:val="en-US"/>
        </w:rPr>
      </w:pPr>
      <w:bookmarkStart w:id="553" w:name="_Toc51045953"/>
      <w:r>
        <w:rPr>
          <w:lang w:val="en-US"/>
        </w:rPr>
        <w:t>2.1</w:t>
      </w:r>
      <w:r>
        <w:rPr>
          <w:lang w:val="en-US"/>
        </w:rPr>
        <w:tab/>
        <w:t>Allocated transmit band</w:t>
      </w:r>
      <w:bookmarkEnd w:id="553"/>
    </w:p>
    <w:p w:rsidR="00B9359B" w:rsidRDefault="009A5268">
      <w:pPr>
        <w:rPr>
          <w:lang w:val="en-US"/>
        </w:rPr>
      </w:pPr>
      <w:r>
        <w:rPr>
          <w:lang w:val="en-US"/>
        </w:rPr>
        <w:t>The active service band considered is the band 41.5</w:t>
      </w:r>
      <w:r>
        <w:rPr>
          <w:lang w:val="en-US"/>
        </w:rPr>
        <w:noBreakHyphen/>
        <w:t>42.5 GHz.</w:t>
      </w:r>
    </w:p>
    <w:p w:rsidR="00B9359B" w:rsidRDefault="009A5268">
      <w:pPr>
        <w:pStyle w:val="Heading2"/>
        <w:rPr>
          <w:lang w:val="en-US"/>
        </w:rPr>
      </w:pPr>
      <w:bookmarkStart w:id="554" w:name="_Toc51045954"/>
      <w:r>
        <w:rPr>
          <w:lang w:val="en-US"/>
        </w:rPr>
        <w:t>2.2</w:t>
      </w:r>
      <w:r>
        <w:rPr>
          <w:lang w:val="en-US"/>
        </w:rPr>
        <w:tab/>
        <w:t>Application</w:t>
      </w:r>
      <w:bookmarkEnd w:id="554"/>
    </w:p>
    <w:p w:rsidR="00B9359B" w:rsidRDefault="009A5268">
      <w:pPr>
        <w:rPr>
          <w:lang w:val="en-US"/>
        </w:rPr>
      </w:pPr>
      <w:r>
        <w:rPr>
          <w:lang w:val="en-US"/>
        </w:rPr>
        <w:t>Based on ITU filings, more than 250 FSS and BSS systems are planned for operation within the 40 GHz band and the corresponding 47 GHz uplink band. The typical parameters of FSS systems planned to operate in the 50/40 GHz bands are shown in Table 98.</w:t>
      </w:r>
    </w:p>
    <w:p w:rsidR="00B9359B" w:rsidRDefault="009A5268">
      <w:pPr>
        <w:pStyle w:val="Heading2"/>
        <w:rPr>
          <w:lang w:val="en-US"/>
        </w:rPr>
      </w:pPr>
      <w:bookmarkStart w:id="555" w:name="_Toc51045955"/>
      <w:r>
        <w:rPr>
          <w:lang w:val="en-US"/>
        </w:rPr>
        <w:t>2.3</w:t>
      </w:r>
      <w:r>
        <w:rPr>
          <w:lang w:val="en-US"/>
        </w:rPr>
        <w:tab/>
        <w:t>Levels based on existing ITU documents</w:t>
      </w:r>
      <w:bookmarkEnd w:id="555"/>
    </w:p>
    <w:p w:rsidR="00B9359B" w:rsidRDefault="009A5268">
      <w:pPr>
        <w:rPr>
          <w:lang w:val="en-US"/>
        </w:rPr>
      </w:pPr>
      <w:r>
        <w:rPr>
          <w:lang w:val="en-US"/>
        </w:rPr>
        <w:t>Relevant ITU-R Recommendations are as follows:</w:t>
      </w:r>
    </w:p>
    <w:p w:rsidR="00B9359B" w:rsidRDefault="009A5268">
      <w:pPr>
        <w:pStyle w:val="enumlev1"/>
        <w:tabs>
          <w:tab w:val="clear" w:pos="794"/>
          <w:tab w:val="clear" w:pos="1191"/>
          <w:tab w:val="clear" w:pos="1588"/>
          <w:tab w:val="clear" w:pos="1985"/>
          <w:tab w:val="left" w:pos="3459"/>
          <w:tab w:val="left" w:pos="3600"/>
        </w:tabs>
        <w:ind w:left="0" w:firstLine="0"/>
        <w:rPr>
          <w:lang w:val="en-US"/>
        </w:rPr>
      </w:pPr>
      <w:r>
        <w:rPr>
          <w:lang w:val="en-US"/>
        </w:rPr>
        <w:t xml:space="preserve">Recommendation ITU-R S.1557 – Operational requirements and characteristics of fixed-satellite </w:t>
      </w:r>
      <w:r>
        <w:rPr>
          <w:lang w:val="en-US"/>
        </w:rPr>
        <w:tab/>
        <w:t xml:space="preserve">service systems operating in the 50/40 GHz bands for use in </w:t>
      </w:r>
      <w:r>
        <w:rPr>
          <w:lang w:val="en-US"/>
        </w:rPr>
        <w:tab/>
        <w:t xml:space="preserve">sharing studies between the fixed-satellite service and the fixed </w:t>
      </w:r>
      <w:r>
        <w:rPr>
          <w:lang w:val="en-US"/>
        </w:rPr>
        <w:tab/>
        <w:t>service.</w:t>
      </w:r>
    </w:p>
    <w:p w:rsidR="00B9359B" w:rsidRDefault="009A5268">
      <w:pPr>
        <w:pStyle w:val="enumlev1"/>
        <w:tabs>
          <w:tab w:val="clear" w:pos="794"/>
          <w:tab w:val="clear" w:pos="1191"/>
          <w:tab w:val="clear" w:pos="1588"/>
          <w:tab w:val="clear" w:pos="1985"/>
          <w:tab w:val="left" w:pos="3657"/>
        </w:tabs>
        <w:ind w:left="0" w:firstLine="0"/>
        <w:rPr>
          <w:lang w:val="en-US"/>
        </w:rPr>
      </w:pPr>
      <w:r>
        <w:rPr>
          <w:lang w:val="en-US"/>
        </w:rPr>
        <w:t xml:space="preserve">Recommendation ITU-R SF.1484 – Maximum allowable values of power flux-density at the </w:t>
      </w:r>
      <w:r>
        <w:rPr>
          <w:lang w:val="en-US"/>
        </w:rPr>
        <w:tab/>
        <w:t xml:space="preserve">surface of the Earth produced by non-geostationary satellites </w:t>
      </w:r>
      <w:r>
        <w:rPr>
          <w:lang w:val="en-US"/>
        </w:rPr>
        <w:tab/>
        <w:t xml:space="preserve">in the fixed-satellite service operating in the 37.5-42.5 GHz </w:t>
      </w:r>
      <w:r>
        <w:rPr>
          <w:lang w:val="en-US"/>
        </w:rPr>
        <w:tab/>
        <w:t>band to protect the fixed service.</w:t>
      </w:r>
    </w:p>
    <w:p w:rsidR="00B9359B" w:rsidRDefault="009A5268">
      <w:pPr>
        <w:pStyle w:val="enumlev1"/>
        <w:tabs>
          <w:tab w:val="clear" w:pos="794"/>
          <w:tab w:val="clear" w:pos="1191"/>
          <w:tab w:val="clear" w:pos="1588"/>
          <w:tab w:val="clear" w:pos="1985"/>
          <w:tab w:val="left" w:pos="3657"/>
        </w:tabs>
        <w:ind w:left="0" w:firstLine="0"/>
        <w:rPr>
          <w:lang w:val="en-US"/>
        </w:rPr>
      </w:pPr>
      <w:r>
        <w:rPr>
          <w:lang w:val="en-US"/>
        </w:rPr>
        <w:br w:type="page"/>
        <w:t xml:space="preserve">Recommendation ITU-R SF.1573 – Maximum allowable values of power flux-density at the </w:t>
      </w:r>
      <w:r>
        <w:rPr>
          <w:lang w:val="en-US"/>
        </w:rPr>
        <w:tab/>
        <w:t>surface of the Earth by geostationary satellites in the fixed-</w:t>
      </w:r>
      <w:r>
        <w:rPr>
          <w:lang w:val="en-US"/>
        </w:rPr>
        <w:tab/>
        <w:t xml:space="preserve">satellite service operating in the 37.5-42.5 GHz band to </w:t>
      </w:r>
      <w:r>
        <w:rPr>
          <w:lang w:val="en-US"/>
        </w:rPr>
        <w:tab/>
        <w:t>protect the fixed service.</w:t>
      </w:r>
    </w:p>
    <w:p w:rsidR="00B9359B" w:rsidRDefault="009A5268">
      <w:pPr>
        <w:pStyle w:val="enumlev1"/>
        <w:tabs>
          <w:tab w:val="clear" w:pos="794"/>
          <w:tab w:val="clear" w:pos="1191"/>
          <w:tab w:val="clear" w:pos="1588"/>
          <w:tab w:val="clear" w:pos="1985"/>
          <w:tab w:val="left" w:pos="3668"/>
          <w:tab w:val="left" w:pos="3780"/>
        </w:tabs>
        <w:ind w:left="0" w:firstLine="0"/>
        <w:rPr>
          <w:lang w:val="en-US"/>
        </w:rPr>
      </w:pPr>
      <w:r>
        <w:rPr>
          <w:lang w:val="en-US"/>
        </w:rPr>
        <w:t>Recommendation ITU-R SM.1540</w:t>
      </w:r>
      <w:bookmarkStart w:id="556" w:name="Pre_title"/>
      <w:r>
        <w:rPr>
          <w:lang w:val="en-US"/>
        </w:rPr>
        <w:t xml:space="preserve"> – Unwanted emissions in the out-of-band domain falling into </w:t>
      </w:r>
      <w:r>
        <w:rPr>
          <w:lang w:val="en-US"/>
        </w:rPr>
        <w:tab/>
        <w:t>adjacent allocated bands</w:t>
      </w:r>
      <w:bookmarkEnd w:id="556"/>
      <w:r>
        <w:rPr>
          <w:lang w:val="en-US"/>
        </w:rPr>
        <w:t>.</w:t>
      </w:r>
    </w:p>
    <w:p w:rsidR="00B9359B" w:rsidRDefault="009A5268">
      <w:pPr>
        <w:pStyle w:val="enumlev1"/>
        <w:rPr>
          <w:lang w:val="en-US"/>
        </w:rPr>
      </w:pPr>
      <w:r>
        <w:rPr>
          <w:lang w:val="en-US"/>
        </w:rPr>
        <w:t>Recommendation ITU-R SM.1541 – Unwanted emissions in the out-of-band domain.</w:t>
      </w:r>
    </w:p>
    <w:p w:rsidR="00B9359B" w:rsidRDefault="009A5268">
      <w:pPr>
        <w:pStyle w:val="Heading2"/>
        <w:rPr>
          <w:lang w:val="en-US"/>
        </w:rPr>
      </w:pPr>
      <w:bookmarkStart w:id="557" w:name="_Toc51045956"/>
      <w:r>
        <w:rPr>
          <w:lang w:val="en-US"/>
        </w:rPr>
        <w:t>2.4</w:t>
      </w:r>
      <w:r>
        <w:rPr>
          <w:lang w:val="en-US"/>
        </w:rPr>
        <w:tab/>
        <w:t>Transmitter characteristics</w:t>
      </w:r>
      <w:bookmarkEnd w:id="557"/>
      <w:r>
        <w:rPr>
          <w:lang w:val="en-US"/>
        </w:rPr>
        <w:t xml:space="preserve"> </w:t>
      </w:r>
    </w:p>
    <w:p w:rsidR="00B9359B" w:rsidRDefault="009A5268">
      <w:pPr>
        <w:rPr>
          <w:lang w:val="en-US"/>
        </w:rPr>
      </w:pPr>
      <w:r>
        <w:rPr>
          <w:lang w:val="en-US"/>
        </w:rPr>
        <w:t>Most FSS systems being proposed for operation in the 50/40 GHz bands plan to provide high data rates ranging from video conferencing quality through very high transmission rates of STM-1 (155 Mbit/s) to 10 </w:t>
      </w:r>
      <w:r>
        <w:rPr>
          <w:rFonts w:ascii="Symbol" w:hAnsi="Symbol"/>
        </w:rPr>
        <w:t></w:t>
      </w:r>
      <w:r>
        <w:rPr>
          <w:lang w:val="en-US"/>
        </w:rPr>
        <w:t> STM-4 (6.22 Gbit/s). Since propagation impairments in this frequency range are severe, special design considerations apply to this frequency band, which do not necessarily apply at lower frequencies. In order to achieve link availability and the high data rate in the 40 GHz band, most proposed FSS systems will operate with high gain satellite antennas. The 3 dB beam</w:t>
      </w:r>
      <w:r>
        <w:rPr>
          <w:lang w:val="en-US"/>
        </w:rPr>
        <w:softHyphen/>
        <w:t>width of the transmit and receive antennas are in a range from 0.3</w:t>
      </w:r>
      <w:r>
        <w:rPr>
          <w:rFonts w:ascii="Symbol" w:hAnsi="Symbol"/>
          <w:lang w:val="en-US"/>
        </w:rPr>
        <w:t></w:t>
      </w:r>
      <w:r>
        <w:rPr>
          <w:lang w:val="en-US"/>
        </w:rPr>
        <w:t xml:space="preserve"> to 0.65</w:t>
      </w:r>
      <w:r>
        <w:rPr>
          <w:rFonts w:ascii="Symbol" w:hAnsi="Symbol"/>
          <w:lang w:val="en-US"/>
        </w:rPr>
        <w:t></w:t>
      </w:r>
      <w:r>
        <w:rPr>
          <w:lang w:val="en-US"/>
        </w:rPr>
        <w:t>. Also, due to satellite weight and power constraints, the number of active beams at any instant in the satellite field-of-view of all proposed FSS systems planned to operate in these bands will be very small, typically less than 5%. In the relevant study (Recommendation ITU-R S.1557), the FSS and the BSS systems planned to operate in the 40 GHz band are assumed to have similar system parameters.</w:t>
      </w:r>
    </w:p>
    <w:p w:rsidR="00B9359B" w:rsidRDefault="009A5268">
      <w:pPr>
        <w:rPr>
          <w:lang w:val="en-US"/>
        </w:rPr>
      </w:pPr>
      <w:r>
        <w:rPr>
          <w:lang w:val="en-US"/>
        </w:rPr>
        <w:t>Table 98 indicates that most proposed FSS systems plan to use at least 2 GHz of spectrum in the space-to-Earth direction, and most systems will use a 4-times frequency reuse scheme. This means that 500 MHz will be allocated to each beam. However, some proposed systems plan to use 2 GHz of spectrum for each beam. The actual bandwidth for each beam will depend on the applications and the separation between beams.</w:t>
      </w:r>
    </w:p>
    <w:p w:rsidR="00B9359B" w:rsidRDefault="009A5268">
      <w:pPr>
        <w:pStyle w:val="TableNo"/>
        <w:rPr>
          <w:lang w:val="en-US"/>
        </w:rPr>
      </w:pPr>
      <w:r>
        <w:rPr>
          <w:lang w:val="en-US"/>
        </w:rPr>
        <w:t>TABLE  98</w:t>
      </w:r>
    </w:p>
    <w:p w:rsidR="00B9359B" w:rsidRDefault="009A5268">
      <w:pPr>
        <w:pStyle w:val="Tabletitle"/>
        <w:rPr>
          <w:lang w:val="en-US"/>
        </w:rPr>
      </w:pPr>
      <w:r>
        <w:rPr>
          <w:lang w:val="en-US"/>
        </w:rPr>
        <w:t>Typical downlink system characteristics of GSO and non-GSO FSS systems planned</w:t>
      </w:r>
      <w:r>
        <w:rPr>
          <w:lang w:val="en-US"/>
        </w:rPr>
        <w:br/>
        <w:t>to operate in the 37.5-42.5 GHz band (Recommendation ITU-R S.1557)</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026"/>
        <w:gridCol w:w="2835"/>
        <w:gridCol w:w="2835"/>
      </w:tblGrid>
      <w:tr w:rsidR="00B9359B">
        <w:tc>
          <w:tcPr>
            <w:tcW w:w="4026" w:type="dxa"/>
          </w:tcPr>
          <w:p w:rsidR="00B9359B" w:rsidRDefault="009A5268">
            <w:pPr>
              <w:pStyle w:val="Tablehead"/>
              <w:framePr w:hSpace="181" w:wrap="notBeside" w:vAnchor="text" w:hAnchor="text" w:xAlign="center" w:y="1"/>
              <w:spacing w:before="120" w:after="120"/>
              <w:rPr>
                <w:lang w:val="en-US"/>
              </w:rPr>
            </w:pPr>
            <w:r>
              <w:rPr>
                <w:lang w:val="en-US"/>
              </w:rPr>
              <w:t>Parameters</w:t>
            </w:r>
          </w:p>
        </w:tc>
        <w:tc>
          <w:tcPr>
            <w:tcW w:w="2835" w:type="dxa"/>
          </w:tcPr>
          <w:p w:rsidR="00B9359B" w:rsidRDefault="009A5268">
            <w:pPr>
              <w:pStyle w:val="Tablehead"/>
              <w:framePr w:hSpace="181" w:wrap="notBeside" w:vAnchor="text" w:hAnchor="text" w:xAlign="center" w:y="1"/>
              <w:spacing w:before="120" w:after="120"/>
              <w:rPr>
                <w:lang w:val="en-US"/>
              </w:rPr>
            </w:pPr>
            <w:r>
              <w:rPr>
                <w:lang w:val="en-US"/>
              </w:rPr>
              <w:t>GSO</w:t>
            </w:r>
            <w:r>
              <w:rPr>
                <w:sz w:val="16"/>
                <w:lang w:val="en-US"/>
              </w:rPr>
              <w:t xml:space="preserve">  </w:t>
            </w:r>
            <w:r>
              <w:rPr>
                <w:lang w:val="en-US"/>
              </w:rPr>
              <w:t>FSS</w:t>
            </w:r>
          </w:p>
        </w:tc>
        <w:tc>
          <w:tcPr>
            <w:tcW w:w="2835" w:type="dxa"/>
          </w:tcPr>
          <w:p w:rsidR="00B9359B" w:rsidRDefault="009A5268">
            <w:pPr>
              <w:pStyle w:val="Tablehead"/>
              <w:framePr w:hSpace="181" w:wrap="notBeside" w:vAnchor="text" w:hAnchor="text" w:xAlign="center" w:y="1"/>
              <w:spacing w:before="120" w:after="120"/>
              <w:rPr>
                <w:lang w:val="fr-CH"/>
              </w:rPr>
            </w:pPr>
            <w:r>
              <w:rPr>
                <w:lang w:val="fr-CH"/>
              </w:rPr>
              <w:t>Non-GSO</w:t>
            </w:r>
            <w:r>
              <w:rPr>
                <w:sz w:val="16"/>
                <w:lang w:val="fr-CH"/>
              </w:rPr>
              <w:t xml:space="preserve">  </w:t>
            </w:r>
            <w:r>
              <w:rPr>
                <w:lang w:val="fr-CH"/>
              </w:rPr>
              <w:t>FSS</w:t>
            </w:r>
            <w:r>
              <w:rPr>
                <w:sz w:val="16"/>
                <w:lang w:val="fr-CH"/>
              </w:rPr>
              <w:t xml:space="preserve">  </w:t>
            </w:r>
            <w:r>
              <w:rPr>
                <w:lang w:val="fr-CH"/>
              </w:rPr>
              <w:t>(MEO)</w:t>
            </w:r>
          </w:p>
        </w:tc>
      </w:tr>
      <w:tr w:rsidR="00B9359B" w:rsidRPr="00D35B94">
        <w:tc>
          <w:tcPr>
            <w:tcW w:w="4026" w:type="dxa"/>
          </w:tcPr>
          <w:p w:rsidR="00B9359B" w:rsidRDefault="009A5268">
            <w:pPr>
              <w:pStyle w:val="Tabletext"/>
              <w:framePr w:hSpace="181" w:wrap="notBeside" w:vAnchor="text" w:hAnchor="text" w:xAlign="center" w:y="1"/>
              <w:spacing w:before="80" w:after="80"/>
              <w:rPr>
                <w:lang w:val="en-US"/>
              </w:rPr>
            </w:pPr>
            <w:r>
              <w:rPr>
                <w:lang w:val="en-US"/>
              </w:rPr>
              <w:t>Satellite antenna beam size (degrees)</w:t>
            </w:r>
          </w:p>
        </w:tc>
        <w:tc>
          <w:tcPr>
            <w:tcW w:w="2835" w:type="dxa"/>
          </w:tcPr>
          <w:p w:rsidR="00B9359B" w:rsidRDefault="009A5268">
            <w:pPr>
              <w:pStyle w:val="Tabletext"/>
              <w:framePr w:hSpace="181" w:wrap="notBeside" w:vAnchor="text" w:hAnchor="text" w:xAlign="center" w:y="1"/>
              <w:spacing w:before="80" w:after="80"/>
              <w:rPr>
                <w:lang w:val="en-US"/>
              </w:rPr>
            </w:pPr>
            <w:r>
              <w:rPr>
                <w:lang w:val="en-US"/>
              </w:rPr>
              <w:t>0.3 to 0.6</w:t>
            </w:r>
          </w:p>
        </w:tc>
        <w:tc>
          <w:tcPr>
            <w:tcW w:w="2835" w:type="dxa"/>
          </w:tcPr>
          <w:p w:rsidR="00B9359B" w:rsidRDefault="009A5268">
            <w:pPr>
              <w:pStyle w:val="Tabletext"/>
              <w:framePr w:hSpace="181" w:wrap="notBeside" w:vAnchor="text" w:hAnchor="text" w:xAlign="center" w:y="1"/>
              <w:spacing w:before="80" w:after="80"/>
              <w:jc w:val="left"/>
              <w:rPr>
                <w:lang w:val="en-US"/>
              </w:rPr>
            </w:pPr>
            <w:r>
              <w:rPr>
                <w:lang w:val="en-US"/>
              </w:rPr>
              <w:t>0.6 to 1.8 depending on the satellite altitude</w:t>
            </w:r>
          </w:p>
        </w:tc>
      </w:tr>
      <w:tr w:rsidR="00B9359B">
        <w:tc>
          <w:tcPr>
            <w:tcW w:w="4026" w:type="dxa"/>
          </w:tcPr>
          <w:p w:rsidR="00B9359B" w:rsidRDefault="009A5268">
            <w:pPr>
              <w:pStyle w:val="Tabletext"/>
              <w:framePr w:hSpace="181" w:wrap="notBeside" w:vAnchor="text" w:hAnchor="text" w:xAlign="center" w:y="1"/>
              <w:spacing w:before="80" w:after="80"/>
              <w:rPr>
                <w:lang w:val="en-US"/>
              </w:rPr>
            </w:pPr>
            <w:r>
              <w:rPr>
                <w:lang w:val="en-US"/>
              </w:rPr>
              <w:t>Typical space station DC power (kW)</w:t>
            </w:r>
          </w:p>
        </w:tc>
        <w:tc>
          <w:tcPr>
            <w:tcW w:w="2835" w:type="dxa"/>
          </w:tcPr>
          <w:p w:rsidR="00B9359B" w:rsidRDefault="009A5268">
            <w:pPr>
              <w:pStyle w:val="Tabletext"/>
              <w:framePr w:hSpace="181" w:wrap="notBeside" w:vAnchor="text" w:hAnchor="text" w:xAlign="center" w:y="1"/>
              <w:spacing w:before="80" w:after="80"/>
              <w:rPr>
                <w:lang w:val="en-US"/>
              </w:rPr>
            </w:pPr>
            <w:r>
              <w:rPr>
                <w:lang w:val="en-US"/>
              </w:rPr>
              <w:t xml:space="preserve">10 to 15 </w:t>
            </w:r>
          </w:p>
        </w:tc>
        <w:tc>
          <w:tcPr>
            <w:tcW w:w="2835" w:type="dxa"/>
          </w:tcPr>
          <w:p w:rsidR="00B9359B" w:rsidRDefault="009A5268">
            <w:pPr>
              <w:pStyle w:val="Tabletext"/>
              <w:framePr w:hSpace="181" w:wrap="notBeside" w:vAnchor="text" w:hAnchor="text" w:xAlign="center" w:y="1"/>
              <w:spacing w:before="80" w:after="80"/>
              <w:rPr>
                <w:lang w:val="en-US"/>
              </w:rPr>
            </w:pPr>
            <w:r>
              <w:rPr>
                <w:lang w:val="en-US"/>
              </w:rPr>
              <w:t xml:space="preserve">3 to 5 </w:t>
            </w:r>
          </w:p>
        </w:tc>
      </w:tr>
      <w:tr w:rsidR="00B9359B">
        <w:tc>
          <w:tcPr>
            <w:tcW w:w="4026" w:type="dxa"/>
          </w:tcPr>
          <w:p w:rsidR="00B9359B" w:rsidRDefault="009A5268">
            <w:pPr>
              <w:pStyle w:val="Tabletext"/>
              <w:framePr w:hSpace="181" w:wrap="notBeside" w:vAnchor="text" w:hAnchor="text" w:xAlign="center" w:y="1"/>
              <w:spacing w:before="80" w:after="80"/>
              <w:jc w:val="left"/>
              <w:rPr>
                <w:lang w:val="en-US"/>
              </w:rPr>
            </w:pPr>
            <w:r>
              <w:rPr>
                <w:lang w:val="en-US"/>
              </w:rPr>
              <w:t>Typical satellite transmit RF power into the antenna</w:t>
            </w:r>
          </w:p>
        </w:tc>
        <w:tc>
          <w:tcPr>
            <w:tcW w:w="2835" w:type="dxa"/>
          </w:tcPr>
          <w:p w:rsidR="00B9359B" w:rsidRDefault="009A5268">
            <w:pPr>
              <w:pStyle w:val="Tabletext"/>
              <w:framePr w:hSpace="181" w:wrap="notBeside" w:vAnchor="text" w:hAnchor="text" w:xAlign="center" w:y="1"/>
              <w:spacing w:before="80" w:after="80"/>
              <w:rPr>
                <w:lang w:val="en-US"/>
              </w:rPr>
            </w:pPr>
            <w:r>
              <w:rPr>
                <w:lang w:val="en-US"/>
              </w:rPr>
              <w:t>2.5 kW to 3.5 kW</w:t>
            </w:r>
          </w:p>
        </w:tc>
        <w:tc>
          <w:tcPr>
            <w:tcW w:w="2835" w:type="dxa"/>
          </w:tcPr>
          <w:p w:rsidR="00B9359B" w:rsidRDefault="009A5268">
            <w:pPr>
              <w:pStyle w:val="Tabletext"/>
              <w:framePr w:hSpace="181" w:wrap="notBeside" w:vAnchor="text" w:hAnchor="text" w:xAlign="center" w:y="1"/>
              <w:spacing w:before="80" w:after="80"/>
              <w:rPr>
                <w:lang w:val="en-US"/>
              </w:rPr>
            </w:pPr>
            <w:r>
              <w:rPr>
                <w:lang w:val="en-US"/>
              </w:rPr>
              <w:t>700 W to 1.1 kW</w:t>
            </w:r>
          </w:p>
        </w:tc>
      </w:tr>
      <w:tr w:rsidR="00B9359B">
        <w:tc>
          <w:tcPr>
            <w:tcW w:w="4026" w:type="dxa"/>
          </w:tcPr>
          <w:p w:rsidR="00B9359B" w:rsidRDefault="009A5268">
            <w:pPr>
              <w:pStyle w:val="Tabletext"/>
              <w:framePr w:hSpace="181" w:wrap="notBeside" w:vAnchor="text" w:hAnchor="text" w:xAlign="center" w:y="1"/>
              <w:spacing w:before="80" w:after="80"/>
              <w:rPr>
                <w:lang w:val="en-US"/>
              </w:rPr>
            </w:pPr>
            <w:r>
              <w:rPr>
                <w:lang w:val="en-US"/>
              </w:rPr>
              <w:t>Number of beams</w:t>
            </w:r>
          </w:p>
        </w:tc>
        <w:tc>
          <w:tcPr>
            <w:tcW w:w="2835" w:type="dxa"/>
          </w:tcPr>
          <w:p w:rsidR="00B9359B" w:rsidRDefault="009A5268">
            <w:pPr>
              <w:pStyle w:val="Tabletext"/>
              <w:framePr w:hSpace="181" w:wrap="notBeside" w:vAnchor="text" w:hAnchor="text" w:xAlign="center" w:y="1"/>
              <w:spacing w:before="80" w:after="80"/>
              <w:rPr>
                <w:lang w:val="en-US"/>
              </w:rPr>
            </w:pPr>
            <w:r>
              <w:rPr>
                <w:lang w:val="en-US"/>
              </w:rPr>
              <w:t>30 to 60</w:t>
            </w:r>
          </w:p>
        </w:tc>
        <w:tc>
          <w:tcPr>
            <w:tcW w:w="2835" w:type="dxa"/>
          </w:tcPr>
          <w:p w:rsidR="00B9359B" w:rsidRDefault="009A5268">
            <w:pPr>
              <w:pStyle w:val="Tabletext"/>
              <w:framePr w:hSpace="181" w:wrap="notBeside" w:vAnchor="text" w:hAnchor="text" w:xAlign="center" w:y="1"/>
              <w:spacing w:before="80" w:after="80"/>
              <w:rPr>
                <w:lang w:val="en-US"/>
              </w:rPr>
            </w:pPr>
            <w:r>
              <w:rPr>
                <w:lang w:val="en-US"/>
              </w:rPr>
              <w:t>10 to 20</w:t>
            </w:r>
          </w:p>
        </w:tc>
      </w:tr>
      <w:tr w:rsidR="00B9359B" w:rsidRPr="00D35B94">
        <w:tc>
          <w:tcPr>
            <w:tcW w:w="4026" w:type="dxa"/>
          </w:tcPr>
          <w:p w:rsidR="00B9359B" w:rsidRDefault="009A5268">
            <w:pPr>
              <w:pStyle w:val="Tabletext"/>
              <w:framePr w:hSpace="181" w:wrap="notBeside" w:vAnchor="text" w:hAnchor="text" w:xAlign="center" w:y="1"/>
              <w:spacing w:before="80" w:after="80"/>
              <w:rPr>
                <w:lang w:val="en-US"/>
              </w:rPr>
            </w:pPr>
            <w:r>
              <w:rPr>
                <w:lang w:val="en-US"/>
              </w:rPr>
              <w:t>Bandwidth (GHz)</w:t>
            </w:r>
          </w:p>
        </w:tc>
        <w:tc>
          <w:tcPr>
            <w:tcW w:w="5670" w:type="dxa"/>
            <w:gridSpan w:val="2"/>
          </w:tcPr>
          <w:p w:rsidR="00B9359B" w:rsidRDefault="009A5268">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left"/>
              <w:rPr>
                <w:lang w:val="en-US"/>
              </w:rPr>
            </w:pPr>
            <w:r>
              <w:rPr>
                <w:lang w:val="en-US"/>
              </w:rPr>
              <w:tab/>
              <w:t xml:space="preserve">2.0 to 5.0 </w:t>
            </w:r>
            <w:r>
              <w:rPr>
                <w:lang w:val="en-US"/>
              </w:rPr>
              <w:br/>
            </w:r>
            <w:r>
              <w:rPr>
                <w:lang w:val="en-US"/>
              </w:rPr>
              <w:tab/>
              <w:t>Including HDFSS and gateway/hub</w:t>
            </w:r>
          </w:p>
        </w:tc>
      </w:tr>
    </w:tbl>
    <w:p w:rsidR="00B9359B" w:rsidRDefault="00B9359B">
      <w:pPr>
        <w:pStyle w:val="Tablefin"/>
        <w:spacing w:before="0"/>
      </w:pPr>
    </w:p>
    <w:p w:rsidR="00B9359B" w:rsidRDefault="009A5268">
      <w:pPr>
        <w:pStyle w:val="TableNo"/>
        <w:rPr>
          <w:lang w:val="en-US"/>
        </w:rPr>
      </w:pPr>
      <w:r>
        <w:rPr>
          <w:lang w:val="en-US"/>
        </w:rPr>
        <w:br w:type="page"/>
        <w:t>TABLE  98  (</w:t>
      </w:r>
      <w:r>
        <w:rPr>
          <w:i/>
          <w:iCs/>
          <w:lang w:val="en-US"/>
        </w:rPr>
        <w:t>end</w:t>
      </w:r>
      <w:r>
        <w:rPr>
          <w:rFonts w:ascii="Tms Rmn" w:hAnsi="Tms Rmn"/>
          <w:sz w:val="12"/>
          <w:lang w:val="en-US"/>
        </w:rPr>
        <w:t> </w:t>
      </w:r>
      <w:r>
        <w:rPr>
          <w:lang w:val="en-US"/>
        </w:rPr>
        <w:t>)</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026"/>
        <w:gridCol w:w="2835"/>
        <w:gridCol w:w="2835"/>
      </w:tblGrid>
      <w:tr w:rsidR="00B9359B">
        <w:tc>
          <w:tcPr>
            <w:tcW w:w="4026" w:type="dxa"/>
          </w:tcPr>
          <w:p w:rsidR="00B9359B" w:rsidRDefault="009A5268">
            <w:pPr>
              <w:pStyle w:val="Tablehead"/>
              <w:framePr w:hSpace="181" w:wrap="notBeside" w:vAnchor="text" w:hAnchor="text" w:xAlign="center" w:y="1"/>
              <w:spacing w:before="120" w:after="120"/>
              <w:rPr>
                <w:lang w:val="en-US"/>
              </w:rPr>
            </w:pPr>
            <w:r>
              <w:rPr>
                <w:lang w:val="en-US"/>
              </w:rPr>
              <w:t>Parameters</w:t>
            </w:r>
          </w:p>
        </w:tc>
        <w:tc>
          <w:tcPr>
            <w:tcW w:w="2835" w:type="dxa"/>
          </w:tcPr>
          <w:p w:rsidR="00B9359B" w:rsidRDefault="009A5268">
            <w:pPr>
              <w:pStyle w:val="Tablehead"/>
              <w:framePr w:hSpace="181" w:wrap="notBeside" w:vAnchor="text" w:hAnchor="text" w:xAlign="center" w:y="1"/>
              <w:spacing w:before="120" w:after="120"/>
              <w:rPr>
                <w:lang w:val="en-US"/>
              </w:rPr>
            </w:pPr>
            <w:r>
              <w:rPr>
                <w:lang w:val="en-US"/>
              </w:rPr>
              <w:t>GSO</w:t>
            </w:r>
            <w:r>
              <w:rPr>
                <w:sz w:val="16"/>
                <w:lang w:val="en-US"/>
              </w:rPr>
              <w:t xml:space="preserve">  </w:t>
            </w:r>
            <w:r>
              <w:rPr>
                <w:lang w:val="en-US"/>
              </w:rPr>
              <w:t>FSS</w:t>
            </w:r>
          </w:p>
        </w:tc>
        <w:tc>
          <w:tcPr>
            <w:tcW w:w="2835" w:type="dxa"/>
          </w:tcPr>
          <w:p w:rsidR="00B9359B" w:rsidRDefault="009A5268">
            <w:pPr>
              <w:pStyle w:val="Tablehead"/>
              <w:framePr w:hSpace="181" w:wrap="notBeside" w:vAnchor="text" w:hAnchor="text" w:xAlign="center" w:y="1"/>
              <w:spacing w:before="120" w:after="120"/>
              <w:rPr>
                <w:lang w:val="fr-CH"/>
              </w:rPr>
            </w:pPr>
            <w:r>
              <w:rPr>
                <w:lang w:val="fr-CH"/>
              </w:rPr>
              <w:t>Non-GSO</w:t>
            </w:r>
            <w:r>
              <w:rPr>
                <w:sz w:val="16"/>
                <w:lang w:val="fr-CH"/>
              </w:rPr>
              <w:t xml:space="preserve">  </w:t>
            </w:r>
            <w:r>
              <w:rPr>
                <w:lang w:val="fr-CH"/>
              </w:rPr>
              <w:t>FSS</w:t>
            </w:r>
            <w:r>
              <w:rPr>
                <w:sz w:val="16"/>
                <w:lang w:val="fr-CH"/>
              </w:rPr>
              <w:t xml:space="preserve">  </w:t>
            </w:r>
            <w:r>
              <w:rPr>
                <w:lang w:val="fr-CH"/>
              </w:rPr>
              <w:t>(MEO)</w:t>
            </w:r>
          </w:p>
        </w:tc>
      </w:tr>
      <w:tr w:rsidR="00B9359B" w:rsidRPr="00D35B94">
        <w:tc>
          <w:tcPr>
            <w:tcW w:w="4026" w:type="dxa"/>
          </w:tcPr>
          <w:p w:rsidR="00B9359B" w:rsidRDefault="009A5268">
            <w:pPr>
              <w:pStyle w:val="Tabletext"/>
              <w:framePr w:hSpace="181" w:wrap="notBeside" w:vAnchor="text" w:hAnchor="text" w:xAlign="center" w:y="1"/>
              <w:spacing w:before="80" w:after="80"/>
              <w:rPr>
                <w:lang w:val="en-US"/>
              </w:rPr>
            </w:pPr>
            <w:r>
              <w:rPr>
                <w:lang w:val="en-US"/>
              </w:rPr>
              <w:t>Frequency reuse scheme</w:t>
            </w:r>
          </w:p>
        </w:tc>
        <w:tc>
          <w:tcPr>
            <w:tcW w:w="5670" w:type="dxa"/>
            <w:gridSpan w:val="2"/>
          </w:tcPr>
          <w:p w:rsidR="00B9359B" w:rsidRDefault="009A5268">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left"/>
              <w:rPr>
                <w:lang w:val="en-US"/>
              </w:rPr>
            </w:pPr>
            <w:r>
              <w:rPr>
                <w:lang w:val="en-US"/>
              </w:rPr>
              <w:tab/>
              <w:t>4 or 7 times</w:t>
            </w:r>
            <w:r>
              <w:rPr>
                <w:lang w:val="en-US"/>
              </w:rPr>
              <w:br/>
            </w:r>
            <w:r>
              <w:rPr>
                <w:lang w:val="en-US"/>
              </w:rPr>
              <w:tab/>
              <w:t>(most systems use 4-times frequency reuse scheme)</w:t>
            </w:r>
          </w:p>
        </w:tc>
      </w:tr>
      <w:tr w:rsidR="00B9359B">
        <w:tc>
          <w:tcPr>
            <w:tcW w:w="4026" w:type="dxa"/>
          </w:tcPr>
          <w:p w:rsidR="00B9359B" w:rsidRDefault="009A5268">
            <w:pPr>
              <w:pStyle w:val="Tabletext"/>
              <w:framePr w:hSpace="181" w:wrap="notBeside" w:vAnchor="text" w:hAnchor="text" w:xAlign="center" w:y="1"/>
              <w:spacing w:before="80" w:after="80"/>
              <w:jc w:val="left"/>
              <w:rPr>
                <w:lang w:val="en-US"/>
              </w:rPr>
            </w:pPr>
            <w:r>
              <w:rPr>
                <w:lang w:val="en-US"/>
              </w:rPr>
              <w:t>Link availability:</w:t>
            </w:r>
          </w:p>
          <w:p w:rsidR="00B9359B" w:rsidRDefault="009A5268">
            <w:pPr>
              <w:pStyle w:val="Tabletext"/>
              <w:framePr w:hSpace="181" w:wrap="notBeside" w:vAnchor="text" w:hAnchor="text" w:xAlign="center" w:y="1"/>
              <w:spacing w:before="80" w:after="80"/>
              <w:jc w:val="left"/>
              <w:rPr>
                <w:lang w:val="en-US"/>
              </w:rPr>
            </w:pPr>
            <w:r>
              <w:rPr>
                <w:lang w:val="en-US"/>
              </w:rPr>
              <w:t>–</w:t>
            </w:r>
            <w:r>
              <w:rPr>
                <w:lang w:val="en-US"/>
              </w:rPr>
              <w:tab/>
              <w:t>Gateway/hub (%)</w:t>
            </w:r>
            <w:r>
              <w:rPr>
                <w:lang w:val="en-US"/>
              </w:rPr>
              <w:br/>
              <w:t>–</w:t>
            </w:r>
            <w:r>
              <w:rPr>
                <w:lang w:val="en-US"/>
              </w:rPr>
              <w:tab/>
              <w:t>HDFSS (VSAT) (%)</w:t>
            </w:r>
          </w:p>
        </w:tc>
        <w:tc>
          <w:tcPr>
            <w:tcW w:w="5670" w:type="dxa"/>
            <w:gridSpan w:val="2"/>
          </w:tcPr>
          <w:p w:rsidR="00B9359B" w:rsidRDefault="00B9359B">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lang w:val="en-US"/>
              </w:rPr>
            </w:pPr>
          </w:p>
          <w:p w:rsidR="00B9359B" w:rsidRDefault="009A5268">
            <w:pPr>
              <w:pStyle w:val="Tabletext"/>
              <w:framePr w:hSpace="181" w:wrap="notBeside" w:vAnchor="text" w:hAnchor="text" w:xAlign="center" w:y="1"/>
              <w:tabs>
                <w:tab w:val="clear" w:pos="284"/>
                <w:tab w:val="clear" w:pos="851"/>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left"/>
              <w:rPr>
                <w:lang w:val="en-US"/>
              </w:rPr>
            </w:pPr>
            <w:r>
              <w:rPr>
                <w:lang w:val="en-US"/>
              </w:rPr>
              <w:tab/>
              <w:t>–</w:t>
            </w:r>
            <w:r>
              <w:rPr>
                <w:lang w:val="en-US"/>
              </w:rPr>
              <w:tab/>
              <w:t>&gt; 99.9</w:t>
            </w:r>
            <w:r>
              <w:rPr>
                <w:lang w:val="en-US"/>
              </w:rPr>
              <w:br/>
            </w:r>
            <w:r>
              <w:rPr>
                <w:lang w:val="en-US"/>
              </w:rPr>
              <w:tab/>
              <w:t>–</w:t>
            </w:r>
            <w:r>
              <w:rPr>
                <w:lang w:val="en-US"/>
              </w:rPr>
              <w:tab/>
              <w:t>99.5 to 99.7</w:t>
            </w:r>
          </w:p>
        </w:tc>
      </w:tr>
      <w:tr w:rsidR="00B9359B" w:rsidRPr="00D35B94">
        <w:tc>
          <w:tcPr>
            <w:tcW w:w="4026" w:type="dxa"/>
          </w:tcPr>
          <w:p w:rsidR="00B9359B" w:rsidRDefault="009A5268">
            <w:pPr>
              <w:pStyle w:val="Tabletext"/>
              <w:framePr w:hSpace="181" w:wrap="notBeside" w:vAnchor="text" w:hAnchor="text" w:xAlign="center" w:y="1"/>
              <w:spacing w:before="80" w:after="80"/>
              <w:rPr>
                <w:lang w:val="en-US"/>
              </w:rPr>
            </w:pPr>
            <w:r>
              <w:rPr>
                <w:lang w:val="en-US"/>
              </w:rPr>
              <w:t xml:space="preserve">Payload </w:t>
            </w:r>
          </w:p>
        </w:tc>
        <w:tc>
          <w:tcPr>
            <w:tcW w:w="5670" w:type="dxa"/>
            <w:gridSpan w:val="2"/>
          </w:tcPr>
          <w:p w:rsidR="00B9359B" w:rsidRDefault="009A5268">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lang w:val="en-US"/>
              </w:rPr>
            </w:pPr>
            <w:r>
              <w:rPr>
                <w:lang w:val="en-US"/>
              </w:rPr>
              <w:tab/>
              <w:t>Transparent transponder or processing payload</w:t>
            </w:r>
          </w:p>
        </w:tc>
      </w:tr>
      <w:tr w:rsidR="00B9359B">
        <w:tc>
          <w:tcPr>
            <w:tcW w:w="4026" w:type="dxa"/>
          </w:tcPr>
          <w:p w:rsidR="00B9359B" w:rsidRDefault="009A5268">
            <w:pPr>
              <w:pStyle w:val="Tabletext"/>
              <w:framePr w:hSpace="181" w:wrap="notBeside" w:vAnchor="text" w:hAnchor="text" w:xAlign="center" w:y="1"/>
              <w:spacing w:before="80" w:after="80"/>
              <w:jc w:val="left"/>
              <w:rPr>
                <w:lang w:val="en-US"/>
              </w:rPr>
            </w:pPr>
            <w:r>
              <w:rPr>
                <w:lang w:val="en-US"/>
              </w:rPr>
              <w:t>Minimum operation elevation angle (degrees)</w:t>
            </w:r>
          </w:p>
        </w:tc>
        <w:tc>
          <w:tcPr>
            <w:tcW w:w="2835" w:type="dxa"/>
          </w:tcPr>
          <w:p w:rsidR="00B9359B" w:rsidRDefault="009A5268">
            <w:pPr>
              <w:pStyle w:val="Tabletext"/>
              <w:framePr w:hSpace="181" w:wrap="notBeside" w:vAnchor="text" w:hAnchor="text" w:xAlign="center" w:y="1"/>
              <w:spacing w:before="80" w:after="80"/>
              <w:jc w:val="center"/>
              <w:rPr>
                <w:lang w:val="en-US"/>
              </w:rPr>
            </w:pPr>
            <w:r>
              <w:rPr>
                <w:rFonts w:ascii="Symbol" w:hAnsi="Symbol"/>
                <w:lang w:val="en-US"/>
              </w:rPr>
              <w:t></w:t>
            </w:r>
            <w:r>
              <w:rPr>
                <w:lang w:val="en-US"/>
              </w:rPr>
              <w:t xml:space="preserve"> 15</w:t>
            </w:r>
          </w:p>
        </w:tc>
        <w:tc>
          <w:tcPr>
            <w:tcW w:w="2835" w:type="dxa"/>
          </w:tcPr>
          <w:p w:rsidR="00B9359B" w:rsidRDefault="009A5268">
            <w:pPr>
              <w:pStyle w:val="Tabletext"/>
              <w:framePr w:hSpace="181" w:wrap="notBeside" w:vAnchor="text" w:hAnchor="text" w:xAlign="center" w:y="1"/>
              <w:spacing w:before="80" w:after="80"/>
              <w:jc w:val="center"/>
              <w:rPr>
                <w:lang w:val="en-US"/>
              </w:rPr>
            </w:pPr>
            <w:r>
              <w:rPr>
                <w:rFonts w:ascii="Symbol" w:hAnsi="Symbol"/>
                <w:lang w:val="en-US"/>
              </w:rPr>
              <w:t></w:t>
            </w:r>
            <w:r>
              <w:rPr>
                <w:lang w:val="en-US"/>
              </w:rPr>
              <w:t xml:space="preserve"> 20</w:t>
            </w:r>
          </w:p>
        </w:tc>
      </w:tr>
      <w:tr w:rsidR="00B9359B">
        <w:tc>
          <w:tcPr>
            <w:tcW w:w="4026" w:type="dxa"/>
          </w:tcPr>
          <w:p w:rsidR="00B9359B" w:rsidRDefault="009A5268">
            <w:pPr>
              <w:pStyle w:val="Tabletext"/>
              <w:framePr w:hSpace="181" w:wrap="notBeside" w:vAnchor="text" w:hAnchor="text" w:xAlign="center" w:y="1"/>
              <w:spacing w:before="80" w:after="80"/>
              <w:rPr>
                <w:lang w:val="en-US"/>
              </w:rPr>
            </w:pPr>
            <w:r>
              <w:rPr>
                <w:lang w:val="en-US"/>
              </w:rPr>
              <w:t xml:space="preserve">Modulation </w:t>
            </w:r>
          </w:p>
        </w:tc>
        <w:tc>
          <w:tcPr>
            <w:tcW w:w="5670" w:type="dxa"/>
            <w:gridSpan w:val="2"/>
          </w:tcPr>
          <w:p w:rsidR="00B9359B" w:rsidRDefault="009A5268">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lang w:val="en-US"/>
              </w:rPr>
            </w:pPr>
            <w:r>
              <w:rPr>
                <w:lang w:val="en-US"/>
              </w:rPr>
              <w:tab/>
              <w:t>QPSK</w:t>
            </w:r>
            <w:r>
              <w:rPr>
                <w:rFonts w:ascii="Tms Rmn" w:hAnsi="Tms Rmn"/>
                <w:sz w:val="12"/>
                <w:lang w:val="en-US"/>
              </w:rPr>
              <w:t> </w:t>
            </w:r>
            <w:r>
              <w:rPr>
                <w:lang w:val="en-US"/>
              </w:rPr>
              <w:t>/</w:t>
            </w:r>
            <w:r>
              <w:rPr>
                <w:rFonts w:ascii="Tms Rmn" w:hAnsi="Tms Rmn"/>
                <w:sz w:val="12"/>
                <w:lang w:val="en-US"/>
              </w:rPr>
              <w:t> </w:t>
            </w:r>
            <w:r>
              <w:rPr>
                <w:lang w:val="en-US"/>
              </w:rPr>
              <w:t>8-PSK</w:t>
            </w:r>
            <w:r>
              <w:rPr>
                <w:rFonts w:ascii="Tms Rmn" w:hAnsi="Tms Rmn"/>
                <w:sz w:val="12"/>
                <w:lang w:val="en-US"/>
              </w:rPr>
              <w:t> </w:t>
            </w:r>
            <w:r>
              <w:rPr>
                <w:lang w:val="en-US"/>
              </w:rPr>
              <w:t>/</w:t>
            </w:r>
            <w:r>
              <w:rPr>
                <w:rFonts w:ascii="Tms Rmn" w:hAnsi="Tms Rmn"/>
                <w:sz w:val="12"/>
                <w:lang w:val="en-US"/>
              </w:rPr>
              <w:t> </w:t>
            </w:r>
            <w:r>
              <w:rPr>
                <w:lang w:val="en-US"/>
              </w:rPr>
              <w:t>16-QAM</w:t>
            </w:r>
          </w:p>
        </w:tc>
      </w:tr>
      <w:tr w:rsidR="00B9359B">
        <w:tc>
          <w:tcPr>
            <w:tcW w:w="4026" w:type="dxa"/>
          </w:tcPr>
          <w:p w:rsidR="00B9359B" w:rsidRDefault="009A5268">
            <w:pPr>
              <w:pStyle w:val="Tabletext"/>
              <w:framePr w:hSpace="181" w:wrap="notBeside" w:vAnchor="text" w:hAnchor="text" w:xAlign="center" w:y="1"/>
              <w:spacing w:before="80" w:after="80"/>
              <w:rPr>
                <w:lang w:val="en-US"/>
              </w:rPr>
            </w:pPr>
            <w:r>
              <w:rPr>
                <w:lang w:val="en-US"/>
              </w:rPr>
              <w:t>BER</w:t>
            </w:r>
          </w:p>
        </w:tc>
        <w:tc>
          <w:tcPr>
            <w:tcW w:w="5670" w:type="dxa"/>
            <w:gridSpan w:val="2"/>
          </w:tcPr>
          <w:p w:rsidR="00B9359B" w:rsidRDefault="009A5268">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lang w:val="en-US"/>
              </w:rPr>
            </w:pPr>
            <w:r>
              <w:rPr>
                <w:lang w:val="en-US"/>
              </w:rPr>
              <w:tab/>
              <w:t xml:space="preserve">1 </w:t>
            </w:r>
            <w:r>
              <w:rPr>
                <w:rFonts w:ascii="Symbol" w:hAnsi="Symbol"/>
              </w:rPr>
              <w:t></w:t>
            </w:r>
            <w:r>
              <w:rPr>
                <w:lang w:val="en-US"/>
              </w:rPr>
              <w:t xml:space="preserve"> 10</w:t>
            </w:r>
            <w:r>
              <w:rPr>
                <w:vertAlign w:val="superscript"/>
                <w:lang w:val="en-US"/>
              </w:rPr>
              <w:t>–8</w:t>
            </w:r>
            <w:r>
              <w:rPr>
                <w:lang w:val="en-US"/>
              </w:rPr>
              <w:t xml:space="preserve"> to 1 </w:t>
            </w:r>
            <w:r>
              <w:rPr>
                <w:rFonts w:ascii="Symbol" w:hAnsi="Symbol"/>
              </w:rPr>
              <w:t></w:t>
            </w:r>
            <w:r>
              <w:rPr>
                <w:lang w:val="en-US"/>
              </w:rPr>
              <w:t xml:space="preserve"> 10</w:t>
            </w:r>
            <w:r>
              <w:rPr>
                <w:vertAlign w:val="superscript"/>
                <w:lang w:val="en-US"/>
              </w:rPr>
              <w:t>–10</w:t>
            </w:r>
          </w:p>
        </w:tc>
      </w:tr>
      <w:tr w:rsidR="00B9359B">
        <w:tc>
          <w:tcPr>
            <w:tcW w:w="4026" w:type="dxa"/>
          </w:tcPr>
          <w:p w:rsidR="00B9359B" w:rsidRDefault="009A5268">
            <w:pPr>
              <w:pStyle w:val="Tabletext"/>
              <w:framePr w:hSpace="181" w:wrap="notBeside" w:vAnchor="text" w:hAnchor="text" w:xAlign="center" w:y="1"/>
              <w:spacing w:before="80" w:after="80"/>
              <w:rPr>
                <w:lang w:val="en-US"/>
              </w:rPr>
            </w:pPr>
            <w:r>
              <w:rPr>
                <w:lang w:val="en-US"/>
              </w:rPr>
              <w:t>Coding</w:t>
            </w:r>
          </w:p>
        </w:tc>
        <w:tc>
          <w:tcPr>
            <w:tcW w:w="5670" w:type="dxa"/>
            <w:gridSpan w:val="2"/>
          </w:tcPr>
          <w:p w:rsidR="00B9359B" w:rsidRDefault="009A5268">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lang w:val="en-US"/>
              </w:rPr>
            </w:pPr>
            <w:r>
              <w:rPr>
                <w:lang w:val="en-US"/>
              </w:rPr>
              <w:tab/>
              <w:t>Concatenated code</w:t>
            </w:r>
          </w:p>
        </w:tc>
      </w:tr>
      <w:tr w:rsidR="00B9359B" w:rsidRPr="00D35B94">
        <w:tc>
          <w:tcPr>
            <w:tcW w:w="4026" w:type="dxa"/>
          </w:tcPr>
          <w:p w:rsidR="00B9359B" w:rsidRDefault="009A5268">
            <w:pPr>
              <w:pStyle w:val="Tabletext"/>
              <w:framePr w:hSpace="181" w:wrap="notBeside" w:vAnchor="text" w:hAnchor="text" w:xAlign="center" w:y="1"/>
              <w:spacing w:before="80" w:after="80"/>
              <w:rPr>
                <w:lang w:val="en-US"/>
              </w:rPr>
            </w:pPr>
            <w:r>
              <w:rPr>
                <w:lang w:val="en-US"/>
              </w:rPr>
              <w:t xml:space="preserve">Required </w:t>
            </w:r>
            <w:r>
              <w:rPr>
                <w:i/>
                <w:iCs/>
                <w:lang w:val="en-US"/>
              </w:rPr>
              <w:t>E</w:t>
            </w:r>
            <w:r>
              <w:rPr>
                <w:i/>
                <w:iCs/>
                <w:vertAlign w:val="subscript"/>
                <w:lang w:val="en-US"/>
              </w:rPr>
              <w:t>b</w:t>
            </w:r>
            <w:r>
              <w:rPr>
                <w:rFonts w:ascii="Tms Rmn" w:hAnsi="Tms Rmn"/>
                <w:sz w:val="6"/>
                <w:vertAlign w:val="subscript"/>
                <w:lang w:val="en-US"/>
              </w:rPr>
              <w:t> </w:t>
            </w:r>
            <w:r>
              <w:rPr>
                <w:lang w:val="en-US"/>
              </w:rPr>
              <w:t>/</w:t>
            </w:r>
            <w:r>
              <w:rPr>
                <w:i/>
                <w:iCs/>
                <w:lang w:val="en-US"/>
              </w:rPr>
              <w:t>N</w:t>
            </w:r>
            <w:r>
              <w:rPr>
                <w:vertAlign w:val="subscript"/>
                <w:lang w:val="en-US"/>
              </w:rPr>
              <w:t xml:space="preserve">0 </w:t>
            </w:r>
            <w:r>
              <w:rPr>
                <w:lang w:val="en-US"/>
              </w:rPr>
              <w:t>(dB)</w:t>
            </w:r>
          </w:p>
        </w:tc>
        <w:tc>
          <w:tcPr>
            <w:tcW w:w="5670" w:type="dxa"/>
            <w:gridSpan w:val="2"/>
          </w:tcPr>
          <w:p w:rsidR="00B9359B" w:rsidRDefault="009A5268">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lang w:val="en-US"/>
              </w:rPr>
            </w:pPr>
            <w:r>
              <w:rPr>
                <w:lang w:val="en-US"/>
              </w:rPr>
              <w:tab/>
              <w:t>6 to 12.5 depending on modulation and coding</w:t>
            </w:r>
          </w:p>
        </w:tc>
      </w:tr>
      <w:tr w:rsidR="00B9359B">
        <w:tc>
          <w:tcPr>
            <w:tcW w:w="4026" w:type="dxa"/>
          </w:tcPr>
          <w:p w:rsidR="00B9359B" w:rsidRDefault="009A5268">
            <w:pPr>
              <w:pStyle w:val="Tabletext"/>
              <w:framePr w:hSpace="181" w:wrap="notBeside" w:vAnchor="text" w:hAnchor="text" w:xAlign="center" w:y="1"/>
              <w:spacing w:before="80" w:after="80"/>
              <w:rPr>
                <w:lang w:val="en-US"/>
              </w:rPr>
            </w:pPr>
            <w:r>
              <w:rPr>
                <w:lang w:val="en-US"/>
              </w:rPr>
              <w:t>Interference degradation (dB)</w:t>
            </w:r>
          </w:p>
        </w:tc>
        <w:tc>
          <w:tcPr>
            <w:tcW w:w="5670" w:type="dxa"/>
            <w:gridSpan w:val="2"/>
          </w:tcPr>
          <w:p w:rsidR="00B9359B" w:rsidRDefault="009A5268">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lang w:val="en-US"/>
              </w:rPr>
            </w:pPr>
            <w:r>
              <w:rPr>
                <w:lang w:val="en-US"/>
              </w:rPr>
              <w:tab/>
              <w:t xml:space="preserve">2 to 4 </w:t>
            </w:r>
          </w:p>
        </w:tc>
      </w:tr>
      <w:tr w:rsidR="00B9359B">
        <w:tc>
          <w:tcPr>
            <w:tcW w:w="4026" w:type="dxa"/>
          </w:tcPr>
          <w:p w:rsidR="00B9359B" w:rsidRDefault="009A5268">
            <w:pPr>
              <w:pStyle w:val="Tabletext"/>
              <w:framePr w:hSpace="181" w:wrap="notBeside" w:vAnchor="text" w:hAnchor="text" w:xAlign="center" w:y="1"/>
              <w:spacing w:before="80" w:after="80"/>
              <w:rPr>
                <w:lang w:val="en-US"/>
              </w:rPr>
            </w:pPr>
            <w:r>
              <w:rPr>
                <w:lang w:val="en-US"/>
              </w:rPr>
              <w:t>System margin (dB)</w:t>
            </w:r>
          </w:p>
        </w:tc>
        <w:tc>
          <w:tcPr>
            <w:tcW w:w="5670" w:type="dxa"/>
            <w:gridSpan w:val="2"/>
          </w:tcPr>
          <w:p w:rsidR="00B9359B" w:rsidRDefault="009A5268">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lang w:val="en-US"/>
              </w:rPr>
            </w:pPr>
            <w:r>
              <w:rPr>
                <w:lang w:val="en-US"/>
              </w:rPr>
              <w:tab/>
              <w:t xml:space="preserve">1 to 3 </w:t>
            </w:r>
          </w:p>
        </w:tc>
      </w:tr>
      <w:tr w:rsidR="00B9359B">
        <w:tc>
          <w:tcPr>
            <w:tcW w:w="4026" w:type="dxa"/>
          </w:tcPr>
          <w:p w:rsidR="00B9359B" w:rsidRDefault="009A5268">
            <w:pPr>
              <w:pStyle w:val="Tabletext"/>
              <w:framePr w:hSpace="181" w:wrap="notBeside" w:vAnchor="text" w:hAnchor="text" w:xAlign="center" w:y="1"/>
              <w:spacing w:before="80" w:after="80"/>
              <w:jc w:val="left"/>
              <w:rPr>
                <w:lang w:val="en-US"/>
              </w:rPr>
            </w:pPr>
            <w:r>
              <w:rPr>
                <w:lang w:val="en-US"/>
              </w:rPr>
              <w:t>Earth terminal antenna size:</w:t>
            </w:r>
          </w:p>
          <w:p w:rsidR="00B9359B" w:rsidRDefault="009A5268">
            <w:pPr>
              <w:pStyle w:val="Tabletext"/>
              <w:framePr w:hSpace="181" w:wrap="notBeside" w:vAnchor="text" w:hAnchor="text" w:xAlign="center" w:y="1"/>
              <w:spacing w:before="80" w:after="80"/>
              <w:jc w:val="left"/>
              <w:rPr>
                <w:lang w:val="en-US"/>
              </w:rPr>
            </w:pPr>
            <w:r>
              <w:rPr>
                <w:lang w:val="en-US"/>
              </w:rPr>
              <w:t>–</w:t>
            </w:r>
            <w:r>
              <w:rPr>
                <w:lang w:val="en-US"/>
              </w:rPr>
              <w:tab/>
              <w:t>Gateway/hub (m)</w:t>
            </w:r>
            <w:r>
              <w:rPr>
                <w:lang w:val="en-US"/>
              </w:rPr>
              <w:br/>
              <w:t>–</w:t>
            </w:r>
            <w:r>
              <w:rPr>
                <w:lang w:val="en-US"/>
              </w:rPr>
              <w:tab/>
              <w:t>HDFSS (VSAT) (m)</w:t>
            </w:r>
          </w:p>
        </w:tc>
        <w:tc>
          <w:tcPr>
            <w:tcW w:w="2835" w:type="dxa"/>
          </w:tcPr>
          <w:p w:rsidR="00B9359B" w:rsidRDefault="00B9359B">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left"/>
              <w:rPr>
                <w:lang w:val="en-US"/>
              </w:rPr>
            </w:pPr>
          </w:p>
          <w:p w:rsidR="00B9359B" w:rsidRDefault="009A526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left"/>
              <w:rPr>
                <w:lang w:val="en-US"/>
              </w:rPr>
            </w:pPr>
            <w:r>
              <w:rPr>
                <w:lang w:val="en-US"/>
              </w:rPr>
              <w:t>–</w:t>
            </w:r>
            <w:r>
              <w:rPr>
                <w:lang w:val="en-US"/>
              </w:rPr>
              <w:tab/>
              <w:t xml:space="preserve">1.8 to 2.7 </w:t>
            </w:r>
            <w:r>
              <w:rPr>
                <w:lang w:val="en-US"/>
              </w:rPr>
              <w:br/>
              <w:t>–</w:t>
            </w:r>
            <w:r>
              <w:rPr>
                <w:lang w:val="en-US"/>
              </w:rPr>
              <w:tab/>
              <w:t xml:space="preserve">0.3 to 0.6 </w:t>
            </w:r>
          </w:p>
        </w:tc>
        <w:tc>
          <w:tcPr>
            <w:tcW w:w="2835" w:type="dxa"/>
          </w:tcPr>
          <w:p w:rsidR="00B9359B" w:rsidRDefault="00B9359B">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left"/>
              <w:rPr>
                <w:lang w:val="en-US"/>
              </w:rPr>
            </w:pPr>
          </w:p>
          <w:p w:rsidR="00B9359B" w:rsidRDefault="009A526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left"/>
              <w:rPr>
                <w:lang w:val="en-US"/>
              </w:rPr>
            </w:pPr>
            <w:r>
              <w:rPr>
                <w:lang w:val="en-US"/>
              </w:rPr>
              <w:t>–</w:t>
            </w:r>
            <w:r>
              <w:rPr>
                <w:lang w:val="en-US"/>
              </w:rPr>
              <w:tab/>
              <w:t xml:space="preserve">1.5 to 2.7 </w:t>
            </w:r>
            <w:r>
              <w:rPr>
                <w:lang w:val="en-US"/>
              </w:rPr>
              <w:br/>
              <w:t>–</w:t>
            </w:r>
            <w:r>
              <w:rPr>
                <w:lang w:val="en-US"/>
              </w:rPr>
              <w:tab/>
              <w:t xml:space="preserve">0.3 to 0.6 </w:t>
            </w:r>
          </w:p>
        </w:tc>
      </w:tr>
      <w:tr w:rsidR="00B9359B">
        <w:tc>
          <w:tcPr>
            <w:tcW w:w="4026" w:type="dxa"/>
          </w:tcPr>
          <w:p w:rsidR="00B9359B" w:rsidRDefault="009A5268">
            <w:pPr>
              <w:pStyle w:val="Tabletext"/>
              <w:framePr w:hSpace="181" w:wrap="notBeside" w:vAnchor="text" w:hAnchor="text" w:xAlign="center" w:y="1"/>
              <w:spacing w:before="80" w:after="80"/>
              <w:rPr>
                <w:spacing w:val="-4"/>
                <w:lang w:val="en-US"/>
              </w:rPr>
            </w:pPr>
            <w:r>
              <w:rPr>
                <w:spacing w:val="-4"/>
                <w:lang w:val="en-US"/>
              </w:rPr>
              <w:t>Earth terminal system noise temperature (K)</w:t>
            </w:r>
          </w:p>
        </w:tc>
        <w:tc>
          <w:tcPr>
            <w:tcW w:w="5670" w:type="dxa"/>
            <w:gridSpan w:val="2"/>
          </w:tcPr>
          <w:p w:rsidR="00B9359B" w:rsidRDefault="009A5268">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lang w:val="en-US"/>
              </w:rPr>
            </w:pPr>
            <w:r>
              <w:rPr>
                <w:lang w:val="en-US"/>
              </w:rPr>
              <w:tab/>
              <w:t xml:space="preserve">600 to 800 </w:t>
            </w:r>
          </w:p>
        </w:tc>
      </w:tr>
      <w:tr w:rsidR="00B9359B" w:rsidRPr="00D35B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696" w:type="dxa"/>
            <w:gridSpan w:val="3"/>
          </w:tcPr>
          <w:p w:rsidR="00B9359B" w:rsidRDefault="009A5268">
            <w:pPr>
              <w:pStyle w:val="Tablelegend"/>
              <w:framePr w:hSpace="181" w:wrap="notBeside" w:vAnchor="text" w:hAnchor="text" w:xAlign="center" w:y="1"/>
              <w:spacing w:before="200"/>
              <w:rPr>
                <w:lang w:val="en-US"/>
              </w:rPr>
            </w:pPr>
            <w:r>
              <w:rPr>
                <w:lang w:val="en-US"/>
              </w:rPr>
              <w:t>HDFSS:</w:t>
            </w:r>
            <w:r>
              <w:rPr>
                <w:lang w:val="en-US"/>
              </w:rPr>
              <w:tab/>
              <w:t>high density fixed-satellite service.</w:t>
            </w:r>
          </w:p>
          <w:p w:rsidR="00B9359B" w:rsidRDefault="009A5268">
            <w:pPr>
              <w:pStyle w:val="Tablelegend"/>
              <w:framePr w:hSpace="181" w:wrap="notBeside" w:vAnchor="text" w:hAnchor="text" w:xAlign="center" w:y="1"/>
              <w:rPr>
                <w:lang w:val="en-US"/>
              </w:rPr>
            </w:pPr>
            <w:r>
              <w:rPr>
                <w:lang w:val="en-US"/>
              </w:rPr>
              <w:t>VSAT:</w:t>
            </w:r>
            <w:r>
              <w:rPr>
                <w:lang w:val="en-US"/>
              </w:rPr>
              <w:tab/>
            </w:r>
            <w:r>
              <w:rPr>
                <w:lang w:val="en-US"/>
              </w:rPr>
              <w:tab/>
              <w:t>very small aperture terminal.</w:t>
            </w:r>
          </w:p>
        </w:tc>
      </w:tr>
    </w:tbl>
    <w:p w:rsidR="00B9359B" w:rsidRDefault="00B9359B">
      <w:pPr>
        <w:pStyle w:val="Tablefin"/>
      </w:pPr>
    </w:p>
    <w:p w:rsidR="00B9359B" w:rsidRDefault="00B9359B">
      <w:pPr>
        <w:rPr>
          <w:lang w:val="en-GB"/>
        </w:rPr>
      </w:pPr>
    </w:p>
    <w:p w:rsidR="00B9359B" w:rsidRDefault="009A5268">
      <w:pPr>
        <w:pStyle w:val="Heading2"/>
        <w:rPr>
          <w:lang w:val="en-US"/>
        </w:rPr>
      </w:pPr>
      <w:bookmarkStart w:id="558" w:name="_Toc51045957"/>
      <w:r>
        <w:rPr>
          <w:lang w:val="en-US"/>
        </w:rPr>
        <w:t>2.5</w:t>
      </w:r>
      <w:r>
        <w:rPr>
          <w:lang w:val="en-US"/>
        </w:rPr>
        <w:tab/>
        <w:t>Operational characteristics</w:t>
      </w:r>
      <w:bookmarkEnd w:id="558"/>
    </w:p>
    <w:p w:rsidR="00B9359B" w:rsidRDefault="009A5268">
      <w:pPr>
        <w:rPr>
          <w:lang w:val="en-US"/>
        </w:rPr>
      </w:pPr>
      <w:r>
        <w:rPr>
          <w:lang w:val="en-US"/>
        </w:rPr>
        <w:t>See Recommendation ITU</w:t>
      </w:r>
      <w:r>
        <w:rPr>
          <w:lang w:val="en-US"/>
        </w:rPr>
        <w:noBreakHyphen/>
        <w:t>R S.1557 and § 2.4.</w:t>
      </w:r>
    </w:p>
    <w:p w:rsidR="00B9359B" w:rsidRDefault="009A5268">
      <w:pPr>
        <w:pStyle w:val="Heading2"/>
        <w:rPr>
          <w:lang w:val="en-US"/>
        </w:rPr>
      </w:pPr>
      <w:bookmarkStart w:id="559" w:name="_Toc51045958"/>
      <w:r>
        <w:rPr>
          <w:lang w:val="en-US"/>
        </w:rPr>
        <w:t>2.6</w:t>
      </w:r>
      <w:r>
        <w:rPr>
          <w:lang w:val="en-US"/>
        </w:rPr>
        <w:tab/>
        <w:t>In-band transmit level</w:t>
      </w:r>
      <w:bookmarkEnd w:id="559"/>
    </w:p>
    <w:p w:rsidR="00B9359B" w:rsidRDefault="009A5268">
      <w:pPr>
        <w:rPr>
          <w:lang w:val="en-US"/>
        </w:rPr>
      </w:pPr>
      <w:r>
        <w:rPr>
          <w:lang w:val="en-US"/>
        </w:rPr>
        <w:t xml:space="preserve">The FSS and BSS systems planning to operate in the 40 GHz band will only be able to transmit at the pfd limits in RR Table </w:t>
      </w:r>
      <w:r>
        <w:rPr>
          <w:bCs/>
          <w:lang w:val="en-US"/>
        </w:rPr>
        <w:t>21-4</w:t>
      </w:r>
      <w:r>
        <w:rPr>
          <w:lang w:val="en-US"/>
        </w:rPr>
        <w:t xml:space="preserve"> for a very small percentage of time. The actual downlink pfd levels during clear-sky conditions will depend on each satellite system design such as, transparent transponder, on board processing payload, modulation, coding, etc. In the study it was assumed that FSS systems will typically operate at the pfd level of –117 dB(W/m</w:t>
      </w:r>
      <w:r>
        <w:rPr>
          <w:vertAlign w:val="superscript"/>
          <w:lang w:val="en-US"/>
        </w:rPr>
        <w:t>2</w:t>
      </w:r>
      <w:r>
        <w:rPr>
          <w:lang w:val="en-US"/>
        </w:rPr>
        <w:t>) for elevation angles from 25</w:t>
      </w:r>
      <w:r>
        <w:rPr>
          <w:rFonts w:ascii="Symbol" w:hAnsi="Symbol"/>
        </w:rPr>
        <w:t></w:t>
      </w:r>
      <w:r>
        <w:rPr>
          <w:lang w:val="en-US"/>
        </w:rPr>
        <w:t xml:space="preserve"> to 90</w:t>
      </w:r>
      <w:r>
        <w:rPr>
          <w:rFonts w:ascii="Symbol" w:hAnsi="Symbol"/>
        </w:rPr>
        <w:t></w:t>
      </w:r>
      <w:r>
        <w:rPr>
          <w:lang w:val="en-US"/>
        </w:rPr>
        <w:t xml:space="preserve"> in clear-sky conditions.</w:t>
      </w:r>
    </w:p>
    <w:p w:rsidR="00B9359B" w:rsidRDefault="009A5268">
      <w:pPr>
        <w:rPr>
          <w:lang w:val="en-US"/>
        </w:rPr>
      </w:pPr>
      <w:r>
        <w:rPr>
          <w:lang w:val="en-US"/>
        </w:rPr>
        <w:t>The value of –117 dB(W/(m</w:t>
      </w:r>
      <w:r>
        <w:rPr>
          <w:vertAlign w:val="superscript"/>
          <w:lang w:val="en-US"/>
        </w:rPr>
        <w:t>2</w:t>
      </w:r>
      <w:r>
        <w:rPr>
          <w:lang w:val="en-US"/>
        </w:rPr>
        <w:t> · MHz)) represents a clear sky level that is 12 dB below the peak pfd level listed in RR Table 21</w:t>
      </w:r>
      <w:r>
        <w:rPr>
          <w:lang w:val="en-US"/>
        </w:rPr>
        <w:noBreakHyphen/>
        <w:t xml:space="preserve">4. Due to the power limitations of the space station, the full power is only reached for very short periods of time on beams where propagation effects must be overcome. </w:t>
      </w:r>
      <w:r>
        <w:rPr>
          <w:lang w:val="en-US"/>
        </w:rPr>
        <w:br w:type="page"/>
        <w:t>Furthermore, the clear-sky level provides protection to certain sensitive FS systems deployed in the band. Additional details are available in Recommendations ITU</w:t>
      </w:r>
      <w:r>
        <w:rPr>
          <w:lang w:val="en-US"/>
        </w:rPr>
        <w:noBreakHyphen/>
        <w:t>R S.1557 and ITU</w:t>
      </w:r>
      <w:r>
        <w:rPr>
          <w:lang w:val="en-US"/>
        </w:rPr>
        <w:noBreakHyphen/>
        <w:t>R SF.1572.</w:t>
      </w:r>
    </w:p>
    <w:p w:rsidR="00B9359B" w:rsidRDefault="009A5268">
      <w:pPr>
        <w:pStyle w:val="Heading1"/>
        <w:rPr>
          <w:lang w:val="en-US"/>
        </w:rPr>
      </w:pPr>
      <w:bookmarkStart w:id="560" w:name="_Toc51045959"/>
      <w:r>
        <w:rPr>
          <w:lang w:val="en-US"/>
        </w:rPr>
        <w:t>3</w:t>
      </w:r>
      <w:r>
        <w:rPr>
          <w:lang w:val="en-US"/>
        </w:rPr>
        <w:tab/>
        <w:t>Compatibility threshold</w:t>
      </w:r>
      <w:bookmarkEnd w:id="560"/>
      <w:r>
        <w:rPr>
          <w:lang w:val="en-US"/>
        </w:rPr>
        <w:t xml:space="preserve"> </w:t>
      </w:r>
    </w:p>
    <w:p w:rsidR="00B9359B" w:rsidRDefault="009A5268">
      <w:pPr>
        <w:rPr>
          <w:lang w:val="en-US"/>
        </w:rPr>
      </w:pPr>
      <w:r>
        <w:rPr>
          <w:lang w:val="en-US"/>
        </w:rPr>
        <w:t>See § 1.3.</w:t>
      </w:r>
    </w:p>
    <w:p w:rsidR="00B9359B" w:rsidRDefault="009A5268">
      <w:pPr>
        <w:pStyle w:val="Heading1"/>
        <w:rPr>
          <w:lang w:val="en-US"/>
        </w:rPr>
      </w:pPr>
      <w:bookmarkStart w:id="561" w:name="_Toc51045960"/>
      <w:r>
        <w:rPr>
          <w:lang w:val="en-US"/>
        </w:rPr>
        <w:t>4</w:t>
      </w:r>
      <w:r>
        <w:rPr>
          <w:lang w:val="en-US"/>
        </w:rPr>
        <w:tab/>
        <w:t>Interference assessment</w:t>
      </w:r>
      <w:bookmarkEnd w:id="561"/>
    </w:p>
    <w:p w:rsidR="00B9359B" w:rsidRDefault="009A5268">
      <w:pPr>
        <w:pStyle w:val="Heading2"/>
        <w:rPr>
          <w:lang w:val="en-US"/>
        </w:rPr>
      </w:pPr>
      <w:bookmarkStart w:id="562" w:name="_Toc51045961"/>
      <w:r>
        <w:rPr>
          <w:lang w:val="en-US"/>
        </w:rPr>
        <w:t>4.1</w:t>
      </w:r>
      <w:r>
        <w:rPr>
          <w:lang w:val="en-US"/>
        </w:rPr>
        <w:tab/>
        <w:t>Methodology used to assess the interference level</w:t>
      </w:r>
      <w:bookmarkEnd w:id="562"/>
    </w:p>
    <w:p w:rsidR="00B9359B" w:rsidRDefault="009A5268">
      <w:pPr>
        <w:rPr>
          <w:lang w:val="en-US"/>
        </w:rPr>
      </w:pPr>
      <w:r>
        <w:rPr>
          <w:lang w:val="en-US"/>
        </w:rPr>
        <w:t>The example presented in Fig. 62 is a worst-case example based on a necessary bandwidth of 500 MHz and a spectral roll-off at the maximum level identified in Recommendation ITU</w:t>
      </w:r>
      <w:r>
        <w:rPr>
          <w:lang w:val="en-US"/>
        </w:rPr>
        <w:noBreakHyphen/>
        <w:t>R SM.1541. As, well this example assumes that the necessary bandwidth extends to the edge of the FSS allocation.</w:t>
      </w:r>
    </w:p>
    <w:p w:rsidR="00B9359B" w:rsidRDefault="009A5268">
      <w:pPr>
        <w:pStyle w:val="FigureNo"/>
      </w:pPr>
      <w:r>
        <w:object w:dxaOrig="5545" w:dyaOrig="4119">
          <v:shape id="_x0000_i1098" type="#_x0000_t75" style="width:277.25pt;height:205.8pt" o:ole="">
            <v:imagedata r:id="rId129" o:title=""/>
          </v:shape>
          <o:OLEObject Type="Embed" ProgID="Designer.Drawing.7" ShapeID="_x0000_i1098" DrawAspect="Content" ObjectID="_1629894602" r:id="rId130"/>
        </w:object>
      </w:r>
    </w:p>
    <w:p w:rsidR="00B9359B" w:rsidRDefault="00B9359B">
      <w:pPr>
        <w:rPr>
          <w:lang w:val="en-US"/>
        </w:rPr>
      </w:pPr>
      <w:bookmarkStart w:id="563" w:name="_Toc51045962"/>
    </w:p>
    <w:p w:rsidR="00B9359B" w:rsidRDefault="009A5268">
      <w:pPr>
        <w:pStyle w:val="Heading2"/>
        <w:rPr>
          <w:lang w:val="en-US"/>
        </w:rPr>
      </w:pPr>
      <w:r>
        <w:rPr>
          <w:lang w:val="en-US"/>
        </w:rPr>
        <w:t>4.2</w:t>
      </w:r>
      <w:r>
        <w:rPr>
          <w:lang w:val="en-US"/>
        </w:rPr>
        <w:tab/>
        <w:t>Calculation of interference level</w:t>
      </w:r>
      <w:bookmarkEnd w:id="563"/>
    </w:p>
    <w:p w:rsidR="00B9359B" w:rsidRDefault="009A5268">
      <w:pPr>
        <w:rPr>
          <w:lang w:val="en-US"/>
        </w:rPr>
      </w:pPr>
      <w:r>
        <w:rPr>
          <w:lang w:val="en-US"/>
        </w:rPr>
        <w:t>The spectral performance curve in Fig. 62 was numerically integrated in order to derive the aggregate unwanted emission power in order to assess the impact in the continuum band of 1 GHz.</w:t>
      </w:r>
    </w:p>
    <w:p w:rsidR="00B9359B" w:rsidRDefault="009A5268">
      <w:pPr>
        <w:rPr>
          <w:lang w:val="en-US"/>
        </w:rPr>
      </w:pPr>
      <w:r>
        <w:rPr>
          <w:lang w:val="en-US"/>
        </w:rPr>
        <w:t>Values were taken directly from the curve (with 3 dB removed in order to reflect the change in bandwidth from 1 MHz to 500 kHz) so as to verify compliance with the single-dish spectral line threshold and with the VLBI level.</w:t>
      </w:r>
    </w:p>
    <w:p w:rsidR="00B9359B" w:rsidRDefault="009A5268">
      <w:pPr>
        <w:rPr>
          <w:lang w:val="en-US"/>
        </w:rPr>
      </w:pPr>
      <w:r>
        <w:rPr>
          <w:lang w:val="en-US"/>
        </w:rPr>
        <w:t>The calculation assumes a beam at the sub-satellite point. As a result, the actual pfd values would be lower for radio telescopes where the elevation angle to the satellite is less than 90</w:t>
      </w:r>
      <w:r>
        <w:rPr>
          <w:rFonts w:ascii="Symbol" w:hAnsi="Symbol"/>
          <w:lang w:val="en-US"/>
        </w:rPr>
        <w:t></w:t>
      </w:r>
      <w:r>
        <w:rPr>
          <w:lang w:val="en-US"/>
        </w:rPr>
        <w:t>.</w:t>
      </w:r>
    </w:p>
    <w:p w:rsidR="00B9359B" w:rsidRDefault="009A5268">
      <w:pPr>
        <w:rPr>
          <w:lang w:val="en-US"/>
        </w:rPr>
      </w:pPr>
      <w:r>
        <w:rPr>
          <w:lang w:val="en-US"/>
        </w:rPr>
        <w:t>The calculation does not take into account the impact of atmospheric attenuation</w:t>
      </w:r>
      <w:r>
        <w:rPr>
          <w:rStyle w:val="FootnoteReference"/>
          <w:lang w:val="en-US"/>
        </w:rPr>
        <w:footnoteReference w:customMarkFollows="1" w:id="7"/>
        <w:t>4</w:t>
      </w:r>
      <w:r>
        <w:rPr>
          <w:lang w:val="en-US"/>
        </w:rPr>
        <w:t>.</w:t>
      </w:r>
    </w:p>
    <w:p w:rsidR="00B9359B" w:rsidRDefault="00B9359B">
      <w:pPr>
        <w:rPr>
          <w:lang w:val="en-US"/>
        </w:rPr>
      </w:pPr>
    </w:p>
    <w:p w:rsidR="00B9359B" w:rsidRDefault="009A5268">
      <w:pPr>
        <w:pStyle w:val="Heading2"/>
        <w:rPr>
          <w:lang w:val="en-US"/>
        </w:rPr>
      </w:pPr>
      <w:bookmarkStart w:id="564" w:name="_Toc51045963"/>
      <w:r>
        <w:rPr>
          <w:lang w:val="en-US"/>
        </w:rPr>
        <w:br w:type="page"/>
        <w:t>4.3</w:t>
      </w:r>
      <w:r>
        <w:rPr>
          <w:lang w:val="en-US"/>
        </w:rPr>
        <w:tab/>
        <w:t>Values achieved</w:t>
      </w:r>
      <w:bookmarkEnd w:id="564"/>
    </w:p>
    <w:p w:rsidR="00B9359B" w:rsidRDefault="009A5268">
      <w:pPr>
        <w:rPr>
          <w:lang w:val="en-US"/>
        </w:rPr>
      </w:pPr>
      <w:r>
        <w:rPr>
          <w:lang w:val="en-US"/>
        </w:rPr>
        <w:t>Based on this curve, the following worst-case levels are achieved in the band 42.5 to 43.5 GHz:</w:t>
      </w:r>
    </w:p>
    <w:p w:rsidR="00B9359B" w:rsidRDefault="009A5268">
      <w:pPr>
        <w:pStyle w:val="enumlev1"/>
        <w:rPr>
          <w:lang w:val="en-US"/>
        </w:rPr>
      </w:pPr>
      <w:r>
        <w:rPr>
          <w:lang w:val="en-US"/>
        </w:rPr>
        <w:t>–</w:t>
      </w:r>
      <w:r>
        <w:rPr>
          <w:lang w:val="en-US"/>
        </w:rPr>
        <w:tab/>
        <w:t>–97 dB(W/(m</w:t>
      </w:r>
      <w:r>
        <w:rPr>
          <w:vertAlign w:val="superscript"/>
          <w:lang w:val="en-US"/>
        </w:rPr>
        <w:t>2</w:t>
      </w:r>
      <w:r>
        <w:rPr>
          <w:lang w:val="en-US"/>
        </w:rPr>
        <w:t> · GHz)), which is 37 dB above the continuum threshold for the band 42.5</w:t>
      </w:r>
      <w:r>
        <w:rPr>
          <w:lang w:val="en-US"/>
        </w:rPr>
        <w:noBreakHyphen/>
        <w:t>43.5 GHz.</w:t>
      </w:r>
    </w:p>
    <w:p w:rsidR="00B9359B" w:rsidRDefault="009A5268">
      <w:pPr>
        <w:pStyle w:val="enumlev1"/>
        <w:rPr>
          <w:lang w:val="en-US"/>
        </w:rPr>
      </w:pPr>
      <w:r>
        <w:rPr>
          <w:lang w:val="en-US"/>
        </w:rPr>
        <w:t>–</w:t>
      </w:r>
      <w:r>
        <w:rPr>
          <w:lang w:val="en-US"/>
        </w:rPr>
        <w:tab/>
        <w:t>–120 dB(W/(m</w:t>
      </w:r>
      <w:r>
        <w:rPr>
          <w:vertAlign w:val="superscript"/>
          <w:lang w:val="en-US"/>
        </w:rPr>
        <w:t>2</w:t>
      </w:r>
      <w:r>
        <w:rPr>
          <w:lang w:val="en-US"/>
        </w:rPr>
        <w:t> · 500 kHz)) at 42.5 GHz, which is 36 dB above the spectral line threshold.</w:t>
      </w:r>
    </w:p>
    <w:p w:rsidR="00B9359B" w:rsidRDefault="009A5268">
      <w:pPr>
        <w:rPr>
          <w:lang w:val="en-US"/>
        </w:rPr>
      </w:pPr>
      <w:r>
        <w:rPr>
          <w:lang w:val="en-US"/>
        </w:rPr>
        <w:t xml:space="preserve">As a result, compliance to the radio astronomy criteria would require the application of one or more mitigation methods. </w:t>
      </w:r>
    </w:p>
    <w:p w:rsidR="00B9359B" w:rsidRDefault="009A5268">
      <w:pPr>
        <w:pStyle w:val="Heading1"/>
        <w:rPr>
          <w:lang w:val="en-US"/>
        </w:rPr>
      </w:pPr>
      <w:bookmarkStart w:id="565" w:name="_Toc51045964"/>
      <w:r>
        <w:rPr>
          <w:lang w:val="en-US"/>
        </w:rPr>
        <w:t>5</w:t>
      </w:r>
      <w:r>
        <w:rPr>
          <w:lang w:val="en-US"/>
        </w:rPr>
        <w:tab/>
        <w:t>Mitigation techniques</w:t>
      </w:r>
      <w:bookmarkEnd w:id="565"/>
    </w:p>
    <w:p w:rsidR="00B9359B" w:rsidRDefault="009A5268">
      <w:pPr>
        <w:pStyle w:val="Heading2"/>
        <w:rPr>
          <w:lang w:val="en-US"/>
        </w:rPr>
      </w:pPr>
      <w:bookmarkStart w:id="566" w:name="_Toc51045965"/>
      <w:r>
        <w:rPr>
          <w:lang w:val="en-US"/>
        </w:rPr>
        <w:t>5.1</w:t>
      </w:r>
      <w:r>
        <w:rPr>
          <w:lang w:val="en-US"/>
        </w:rPr>
        <w:tab/>
        <w:t>RAS</w:t>
      </w:r>
      <w:bookmarkEnd w:id="566"/>
    </w:p>
    <w:p w:rsidR="00B9359B" w:rsidRDefault="009A5268">
      <w:pPr>
        <w:rPr>
          <w:lang w:val="en-US"/>
        </w:rPr>
      </w:pPr>
      <w:r>
        <w:rPr>
          <w:lang w:val="en-US"/>
        </w:rPr>
        <w:t>The possible mitigation methods for the RAS are either:</w:t>
      </w:r>
    </w:p>
    <w:p w:rsidR="00B9359B" w:rsidRDefault="009A5268">
      <w:pPr>
        <w:pStyle w:val="enumlev1"/>
        <w:rPr>
          <w:lang w:val="en-US"/>
        </w:rPr>
      </w:pPr>
      <w:r>
        <w:rPr>
          <w:lang w:val="en-US"/>
        </w:rPr>
        <w:t>–</w:t>
      </w:r>
      <w:r>
        <w:rPr>
          <w:lang w:val="en-US"/>
        </w:rPr>
        <w:tab/>
        <w:t xml:space="preserve">a guardband; or </w:t>
      </w:r>
    </w:p>
    <w:p w:rsidR="00B9359B" w:rsidRDefault="009A5268">
      <w:pPr>
        <w:pStyle w:val="enumlev1"/>
        <w:rPr>
          <w:lang w:val="en-US"/>
        </w:rPr>
      </w:pPr>
      <w:r>
        <w:rPr>
          <w:lang w:val="en-US"/>
        </w:rPr>
        <w:t>–</w:t>
      </w:r>
      <w:r>
        <w:rPr>
          <w:lang w:val="en-US"/>
        </w:rPr>
        <w:tab/>
        <w:t>other mitigation methods as listed in Recommendation ITU-R SM.1542.</w:t>
      </w:r>
    </w:p>
    <w:p w:rsidR="00B9359B" w:rsidRDefault="009A5268">
      <w:pPr>
        <w:pStyle w:val="Heading2"/>
        <w:rPr>
          <w:lang w:val="en-US"/>
        </w:rPr>
      </w:pPr>
      <w:bookmarkStart w:id="567" w:name="_Toc51045966"/>
      <w:r>
        <w:rPr>
          <w:lang w:val="en-US"/>
        </w:rPr>
        <w:t>5.2</w:t>
      </w:r>
      <w:r>
        <w:rPr>
          <w:lang w:val="en-US"/>
        </w:rPr>
        <w:tab/>
        <w:t xml:space="preserve">FSS and </w:t>
      </w:r>
      <w:bookmarkEnd w:id="567"/>
      <w:r>
        <w:rPr>
          <w:lang w:val="en-US"/>
        </w:rPr>
        <w:t>BSS</w:t>
      </w:r>
    </w:p>
    <w:p w:rsidR="00B9359B" w:rsidRDefault="009A5268">
      <w:pPr>
        <w:pStyle w:val="Heading3"/>
        <w:rPr>
          <w:lang w:val="en-US"/>
        </w:rPr>
      </w:pPr>
      <w:bookmarkStart w:id="568" w:name="_Toc51045967"/>
      <w:r>
        <w:rPr>
          <w:lang w:val="en-US"/>
        </w:rPr>
        <w:t>5.2.1</w:t>
      </w:r>
      <w:r>
        <w:rPr>
          <w:lang w:val="en-US"/>
        </w:rPr>
        <w:tab/>
        <w:t>Satellite filtering</w:t>
      </w:r>
      <w:bookmarkEnd w:id="568"/>
    </w:p>
    <w:p w:rsidR="00B9359B" w:rsidRDefault="009A5268">
      <w:pPr>
        <w:pStyle w:val="Headingi"/>
        <w:rPr>
          <w:lang w:val="en-US"/>
        </w:rPr>
      </w:pPr>
      <w:bookmarkStart w:id="569" w:name="_Toc51045968"/>
      <w:r>
        <w:rPr>
          <w:lang w:val="en-US"/>
        </w:rPr>
        <w:t>Case 1: Multibeam space station</w:t>
      </w:r>
      <w:bookmarkEnd w:id="569"/>
      <w:r>
        <w:rPr>
          <w:lang w:val="en-US"/>
        </w:rPr>
        <w:t xml:space="preserve"> </w:t>
      </w:r>
    </w:p>
    <w:p w:rsidR="00B9359B" w:rsidRDefault="009A5268">
      <w:pPr>
        <w:rPr>
          <w:lang w:val="en-US"/>
        </w:rPr>
      </w:pPr>
      <w:r>
        <w:rPr>
          <w:lang w:val="en-US"/>
        </w:rPr>
        <w:t>For wideband carriers, the curve in Fig. 63 shows as an example, the performance of a typical filter design in this band with a 7</w:t>
      </w:r>
      <w:r>
        <w:rPr>
          <w:lang w:val="en-US"/>
        </w:rPr>
        <w:noBreakHyphen/>
        <w:t>pole filter.</w:t>
      </w:r>
    </w:p>
    <w:p w:rsidR="00B9359B" w:rsidRDefault="009A5268">
      <w:pPr>
        <w:pStyle w:val="FigureNo"/>
      </w:pPr>
      <w:r>
        <w:object w:dxaOrig="9634" w:dyaOrig="4182">
          <v:shape id="_x0000_i1099" type="#_x0000_t75" style="width:481.45pt;height:209.55pt" o:ole="">
            <v:imagedata r:id="rId131" o:title=""/>
          </v:shape>
          <o:OLEObject Type="Embed" ProgID="Designer.Drawing.7" ShapeID="_x0000_i1099" DrawAspect="Content" ObjectID="_1629894603" r:id="rId132"/>
        </w:object>
      </w:r>
    </w:p>
    <w:p w:rsidR="00B9359B" w:rsidRDefault="00B9359B">
      <w:pPr>
        <w:rPr>
          <w:lang w:val="en-US"/>
        </w:rPr>
      </w:pPr>
      <w:bookmarkStart w:id="570" w:name="_Toc51045969"/>
    </w:p>
    <w:p w:rsidR="00B9359B" w:rsidRDefault="009A5268">
      <w:pPr>
        <w:pStyle w:val="Headingi"/>
        <w:rPr>
          <w:lang w:val="en-US"/>
        </w:rPr>
      </w:pPr>
      <w:r>
        <w:rPr>
          <w:lang w:val="en-US"/>
        </w:rPr>
        <w:t>Case 2: Phased array space station</w:t>
      </w:r>
      <w:bookmarkEnd w:id="570"/>
    </w:p>
    <w:p w:rsidR="00B9359B" w:rsidRDefault="009A5268">
      <w:pPr>
        <w:rPr>
          <w:lang w:val="en-US"/>
        </w:rPr>
      </w:pPr>
      <w:r>
        <w:rPr>
          <w:lang w:val="en-US"/>
        </w:rPr>
        <w:t>For wideband carriers on a phased array, the performance of a typical filter design in this band with a 15</w:t>
      </w:r>
      <w:r>
        <w:rPr>
          <w:lang w:val="en-US"/>
        </w:rPr>
        <w:noBreakHyphen/>
        <w:t>pole filter is shown in Fig. 64.</w:t>
      </w:r>
    </w:p>
    <w:p w:rsidR="00B9359B" w:rsidRDefault="009A5268">
      <w:pPr>
        <w:pStyle w:val="FigureNo"/>
      </w:pPr>
      <w:r>
        <w:rPr>
          <w:lang w:val="en-US"/>
        </w:rPr>
        <w:br w:type="page"/>
      </w:r>
      <w:r>
        <w:object w:dxaOrig="9620" w:dyaOrig="4182">
          <v:shape id="_x0000_i1100" type="#_x0000_t75" style="width:480.9pt;height:209.55pt" o:ole="">
            <v:imagedata r:id="rId133" o:title=""/>
          </v:shape>
          <o:OLEObject Type="Embed" ProgID="Designer.Drawing.7" ShapeID="_x0000_i1100" DrawAspect="Content" ObjectID="_1629894604" r:id="rId134"/>
        </w:object>
      </w:r>
    </w:p>
    <w:p w:rsidR="00B9359B" w:rsidRDefault="009A5268">
      <w:pPr>
        <w:pStyle w:val="Heading3"/>
        <w:rPr>
          <w:lang w:val="en-US"/>
        </w:rPr>
      </w:pPr>
      <w:bookmarkStart w:id="571" w:name="_Toc51045970"/>
      <w:r>
        <w:rPr>
          <w:lang w:val="en-US"/>
        </w:rPr>
        <w:t>5.2.2</w:t>
      </w:r>
      <w:r>
        <w:rPr>
          <w:lang w:val="en-US"/>
        </w:rPr>
        <w:tab/>
        <w:t>Geographic isolation</w:t>
      </w:r>
      <w:bookmarkEnd w:id="571"/>
    </w:p>
    <w:p w:rsidR="00B9359B" w:rsidRDefault="009A5268">
      <w:pPr>
        <w:rPr>
          <w:lang w:val="en-US"/>
        </w:rPr>
      </w:pPr>
      <w:r>
        <w:rPr>
          <w:lang w:val="en-US"/>
        </w:rPr>
        <w:t>If FSS and BSS systems operating in the 40.5-42.5 GHz band are not able to implement the additional transmit filters needed to meet the detrimental interference criteria of RAS stations operating in the 42.5-43.5 GHz band, geographical isolation should be considered as an interference mitigation technique.</w:t>
      </w:r>
    </w:p>
    <w:p w:rsidR="00B9359B" w:rsidRDefault="009A5268">
      <w:pPr>
        <w:rPr>
          <w:lang w:val="en-US"/>
        </w:rPr>
      </w:pPr>
      <w:r>
        <w:rPr>
          <w:lang w:val="en-US"/>
        </w:rPr>
        <w:t>Based on Table 99, the satellite transmit antenna beam size is in a range from 0.3</w:t>
      </w:r>
      <w:r>
        <w:rPr>
          <w:rFonts w:ascii="Symbol" w:hAnsi="Symbol"/>
          <w:lang w:val="en-US"/>
        </w:rPr>
        <w:t></w:t>
      </w:r>
      <w:r>
        <w:rPr>
          <w:lang w:val="en-US"/>
        </w:rPr>
        <w:t xml:space="preserve"> to 0.6</w:t>
      </w:r>
      <w:r>
        <w:rPr>
          <w:rFonts w:ascii="Symbol" w:hAnsi="Symbol"/>
          <w:lang w:val="en-US"/>
        </w:rPr>
        <w:t></w:t>
      </w:r>
      <w:r>
        <w:rPr>
          <w:lang w:val="en-US"/>
        </w:rPr>
        <w:t>. The left-hand portion of Fig. 65 shows the gain contours for a GSO space station antenna having a peak gain of 53 dBi and a 3-dB beamwidth of 0.4</w:t>
      </w:r>
      <w:r>
        <w:rPr>
          <w:rFonts w:ascii="Symbol" w:hAnsi="Symbol"/>
          <w:lang w:val="en-US"/>
        </w:rPr>
        <w:t></w:t>
      </w:r>
      <w:r>
        <w:rPr>
          <w:lang w:val="en-US"/>
        </w:rPr>
        <w:t>. The geographical isolation advantage relative to the peak gain can be found for any distance by using the right-hand curve in Fig. 65.</w:t>
      </w:r>
    </w:p>
    <w:p w:rsidR="00B9359B" w:rsidRDefault="00AB52AF">
      <w:pPr>
        <w:pStyle w:val="FigureNo"/>
      </w:pPr>
      <w:r>
        <w:pict>
          <v:shape id="_x0000_i1101" type="#_x0000_t75" style="width:472.3pt;height:256.3pt">
            <v:imagedata r:id="rId135" o:title=""/>
          </v:shape>
        </w:pict>
      </w:r>
    </w:p>
    <w:p w:rsidR="00B9359B" w:rsidRDefault="009A5268">
      <w:pPr>
        <w:pStyle w:val="Heading3"/>
        <w:rPr>
          <w:lang w:val="en-US"/>
        </w:rPr>
      </w:pPr>
      <w:bookmarkStart w:id="572" w:name="_Toc51045971"/>
      <w:r>
        <w:rPr>
          <w:lang w:val="en-US"/>
        </w:rPr>
        <w:br w:type="page"/>
        <w:t>5.2.3</w:t>
      </w:r>
      <w:r>
        <w:rPr>
          <w:lang w:val="en-US"/>
        </w:rPr>
        <w:tab/>
        <w:t>Spectral shape of FSS/BSS signal</w:t>
      </w:r>
      <w:bookmarkEnd w:id="572"/>
    </w:p>
    <w:p w:rsidR="00B9359B" w:rsidRDefault="009A5268">
      <w:pPr>
        <w:rPr>
          <w:lang w:val="en-US"/>
        </w:rPr>
      </w:pPr>
      <w:r>
        <w:rPr>
          <w:lang w:val="en-US"/>
        </w:rPr>
        <w:t>The waveform used by the FSS/BSS for the transmission of information could be selected that minimizes spectral roll-off, thus limiting the amount of unwanted emissions transmitted. As well it may be possible to design or operate the high power amplifier in such a way as to further minimize the unwanted emission level from the FSS/BSS signal.</w:t>
      </w:r>
    </w:p>
    <w:p w:rsidR="00B9359B" w:rsidRDefault="009A5268">
      <w:pPr>
        <w:pStyle w:val="Heading3"/>
        <w:rPr>
          <w:lang w:val="en-US"/>
        </w:rPr>
      </w:pPr>
      <w:bookmarkStart w:id="573" w:name="_Toc51045972"/>
      <w:r>
        <w:rPr>
          <w:lang w:val="en-US"/>
        </w:rPr>
        <w:t>5.2.4</w:t>
      </w:r>
      <w:r>
        <w:rPr>
          <w:lang w:val="en-US"/>
        </w:rPr>
        <w:tab/>
        <w:t>Guardband</w:t>
      </w:r>
      <w:bookmarkEnd w:id="573"/>
    </w:p>
    <w:p w:rsidR="00B9359B" w:rsidRDefault="009A5268">
      <w:pPr>
        <w:rPr>
          <w:lang w:val="en-US"/>
        </w:rPr>
      </w:pPr>
      <w:r>
        <w:rPr>
          <w:lang w:val="en-US"/>
        </w:rPr>
        <w:t>A guardband between the two services would allow for roll-off of the signal and filter.</w:t>
      </w:r>
    </w:p>
    <w:p w:rsidR="00B9359B" w:rsidRDefault="009A5268">
      <w:pPr>
        <w:pStyle w:val="Heading3"/>
        <w:rPr>
          <w:lang w:val="en-US"/>
        </w:rPr>
      </w:pPr>
      <w:bookmarkStart w:id="574" w:name="_Toc51045973"/>
      <w:r>
        <w:rPr>
          <w:lang w:val="en-US"/>
        </w:rPr>
        <w:t>5.2.5</w:t>
      </w:r>
      <w:r>
        <w:rPr>
          <w:lang w:val="en-US"/>
        </w:rPr>
        <w:tab/>
        <w:t>Additional mitigation methods</w:t>
      </w:r>
      <w:bookmarkEnd w:id="574"/>
    </w:p>
    <w:p w:rsidR="00B9359B" w:rsidRDefault="009A5268">
      <w:pPr>
        <w:pStyle w:val="enumlev2"/>
        <w:tabs>
          <w:tab w:val="clear" w:pos="794"/>
        </w:tabs>
        <w:ind w:left="0" w:firstLine="0"/>
        <w:rPr>
          <w:lang w:val="en-US"/>
        </w:rPr>
      </w:pPr>
      <w:r>
        <w:rPr>
          <w:lang w:val="en-US"/>
        </w:rPr>
        <w:t>Additional mitigation methods are listed in Recommendation ITU</w:t>
      </w:r>
      <w:r>
        <w:rPr>
          <w:lang w:val="en-US"/>
        </w:rPr>
        <w:noBreakHyphen/>
        <w:t>R SM.1542.</w:t>
      </w:r>
    </w:p>
    <w:p w:rsidR="00B9359B" w:rsidRDefault="009A5268">
      <w:pPr>
        <w:pStyle w:val="Heading2"/>
        <w:rPr>
          <w:lang w:val="en-US"/>
        </w:rPr>
      </w:pPr>
      <w:bookmarkStart w:id="575" w:name="_Toc51045974"/>
      <w:r>
        <w:rPr>
          <w:lang w:val="en-US"/>
        </w:rPr>
        <w:t>5.3</w:t>
      </w:r>
      <w:r>
        <w:rPr>
          <w:lang w:val="en-US"/>
        </w:rPr>
        <w:tab/>
        <w:t>Potential impact</w:t>
      </w:r>
      <w:bookmarkEnd w:id="575"/>
    </w:p>
    <w:p w:rsidR="00B9359B" w:rsidRDefault="009A5268">
      <w:pPr>
        <w:pStyle w:val="Heading3"/>
        <w:rPr>
          <w:lang w:val="en-US"/>
        </w:rPr>
      </w:pPr>
      <w:bookmarkStart w:id="576" w:name="_Toc51045975"/>
      <w:r>
        <w:rPr>
          <w:lang w:val="en-US"/>
        </w:rPr>
        <w:t>5.3.1</w:t>
      </w:r>
      <w:r>
        <w:rPr>
          <w:lang w:val="en-US"/>
        </w:rPr>
        <w:tab/>
        <w:t>RAS</w:t>
      </w:r>
      <w:bookmarkEnd w:id="576"/>
    </w:p>
    <w:p w:rsidR="00B9359B" w:rsidRDefault="009A5268">
      <w:pPr>
        <w:rPr>
          <w:lang w:val="en-US"/>
        </w:rPr>
      </w:pPr>
      <w:r>
        <w:rPr>
          <w:i/>
          <w:lang w:val="en-US"/>
        </w:rPr>
        <w:t>Guardband at edge of RAS band</w:t>
      </w:r>
      <w:r>
        <w:rPr>
          <w:lang w:val="en-US"/>
        </w:rPr>
        <w:t xml:space="preserve"> – In the case of broadband continuum measurements, the use of a guardband within the radio astronomy band would effectively lead to a loss of data, since the integration time would need to be increased to compensate for the loss of bandwidth. This method has limited practicability as described in § 1.3.</w:t>
      </w:r>
    </w:p>
    <w:p w:rsidR="00B9359B" w:rsidRDefault="009A5268">
      <w:pPr>
        <w:rPr>
          <w:lang w:val="en-US"/>
        </w:rPr>
      </w:pPr>
      <w:r>
        <w:rPr>
          <w:lang w:val="en-US"/>
        </w:rPr>
        <w:t xml:space="preserve">The band also includes the spectral lines associated with the silicon monoxide (SiO) molecule at rest frequencies of 42.519, 42.821, 43.122 and 43.424 GHz that are among the astrophysically most important lines, but which are not all listed in Recommendation </w:t>
      </w:r>
      <w:r>
        <w:rPr>
          <w:rFonts w:ascii="Times" w:hAnsi="Times"/>
          <w:lang w:val="en-US"/>
        </w:rPr>
        <w:t>ITU</w:t>
      </w:r>
      <w:r>
        <w:rPr>
          <w:rFonts w:ascii="Times" w:hAnsi="Times"/>
          <w:lang w:val="en-US"/>
        </w:rPr>
        <w:noBreakHyphen/>
        <w:t>R RA.314</w:t>
      </w:r>
      <w:r>
        <w:rPr>
          <w:lang w:val="en-US"/>
        </w:rPr>
        <w:t xml:space="preserve">. Thus there is limited scope for a guardband within the radio astronomy band, without impacting the capability to observe one or more of the SiO spectral lines. </w:t>
      </w:r>
    </w:p>
    <w:p w:rsidR="00B9359B" w:rsidRDefault="009A5268">
      <w:pPr>
        <w:pStyle w:val="Heading3"/>
        <w:rPr>
          <w:lang w:val="en-US"/>
        </w:rPr>
      </w:pPr>
      <w:bookmarkStart w:id="577" w:name="_Toc51045976"/>
      <w:r>
        <w:rPr>
          <w:lang w:val="en-US"/>
        </w:rPr>
        <w:t>5.3.2</w:t>
      </w:r>
      <w:r>
        <w:rPr>
          <w:lang w:val="en-US"/>
        </w:rPr>
        <w:tab/>
        <w:t>FSS and BSS</w:t>
      </w:r>
      <w:bookmarkEnd w:id="577"/>
    </w:p>
    <w:p w:rsidR="00B9359B" w:rsidRDefault="009A5268">
      <w:pPr>
        <w:pStyle w:val="Heading4"/>
        <w:rPr>
          <w:lang w:val="en-US"/>
        </w:rPr>
      </w:pPr>
      <w:bookmarkStart w:id="578" w:name="_Toc51045977"/>
      <w:r>
        <w:rPr>
          <w:lang w:val="en-US"/>
        </w:rPr>
        <w:t>5.3.2.1</w:t>
      </w:r>
      <w:r>
        <w:rPr>
          <w:lang w:val="en-US"/>
        </w:rPr>
        <w:tab/>
        <w:t>Satellite filtering</w:t>
      </w:r>
      <w:bookmarkEnd w:id="578"/>
    </w:p>
    <w:p w:rsidR="00B9359B" w:rsidRDefault="009A5268">
      <w:pPr>
        <w:rPr>
          <w:lang w:val="en-US"/>
        </w:rPr>
      </w:pPr>
      <w:r>
        <w:rPr>
          <w:lang w:val="en-US"/>
        </w:rPr>
        <w:t>In the multibeam example above, based on a 7-pole transmit filter, the insertion loss is 2.0 dB, which corresponds to a 37% degradation in system capacity. Such filtering would increase the weight of the space station by 120 g or more per beam, depending on the transmitter power.</w:t>
      </w:r>
    </w:p>
    <w:p w:rsidR="00B9359B" w:rsidRDefault="009A5268">
      <w:pPr>
        <w:rPr>
          <w:lang w:val="en-US"/>
        </w:rPr>
      </w:pPr>
      <w:r>
        <w:rPr>
          <w:lang w:val="en-US"/>
        </w:rPr>
        <w:t>In the phased array example above, based on a 15-pole transmit filter, the insertion loss is 2.0 dB, which corresponds to a 37% degradation in system capacity. Such filtering would increase the mass of the space station by 160 g or more per element, depending on the transmitter power. For a space station with a 2</w:t>
      </w:r>
      <w:r>
        <w:rPr>
          <w:rFonts w:ascii="Tms Rmn" w:hAnsi="Tms Rmn"/>
          <w:sz w:val="12"/>
          <w:lang w:val="en-US"/>
        </w:rPr>
        <w:t> </w:t>
      </w:r>
      <w:r>
        <w:rPr>
          <w:lang w:val="en-US"/>
        </w:rPr>
        <w:t>818-element phased array antenna, an additional 450 kg would be added to the payload mass, with consequential cost and performance penalties.</w:t>
      </w:r>
    </w:p>
    <w:p w:rsidR="00B9359B" w:rsidRDefault="009A5268">
      <w:pPr>
        <w:rPr>
          <w:lang w:val="en-US"/>
        </w:rPr>
      </w:pPr>
      <w:r>
        <w:rPr>
          <w:lang w:val="en-US"/>
        </w:rPr>
        <w:t>In addition, most systems operating with phased array antennas prefer to use solid state power amplifiers (SSPAs). If additional transmit filters are required, and depending on the actual transmit power, due to an additional loss, travelling-wave tube amplifiers (TWTAs) may be required. It is difficult to implement phased array antennas with TWTAs.</w:t>
      </w:r>
    </w:p>
    <w:p w:rsidR="00B9359B" w:rsidRDefault="009A5268">
      <w:pPr>
        <w:pStyle w:val="Heading4"/>
        <w:rPr>
          <w:lang w:val="en-US"/>
        </w:rPr>
      </w:pPr>
      <w:bookmarkStart w:id="579" w:name="_Toc51045978"/>
      <w:r>
        <w:rPr>
          <w:lang w:val="en-US"/>
        </w:rPr>
        <w:br w:type="page"/>
        <w:t>5.3.2.2</w:t>
      </w:r>
      <w:r>
        <w:rPr>
          <w:lang w:val="en-US"/>
        </w:rPr>
        <w:tab/>
        <w:t>Geographic isolation</w:t>
      </w:r>
      <w:bookmarkEnd w:id="579"/>
    </w:p>
    <w:p w:rsidR="00B9359B" w:rsidRDefault="009A5268">
      <w:pPr>
        <w:rPr>
          <w:lang w:val="en-US"/>
        </w:rPr>
      </w:pPr>
      <w:r>
        <w:rPr>
          <w:lang w:val="en-US"/>
        </w:rPr>
        <w:t>This mitigation method is only useable if the number of radio telescopes in the service area of the satellite is small and if their locations are taken into account while the space station antenna sub</w:t>
      </w:r>
      <w:r>
        <w:rPr>
          <w:lang w:val="en-US"/>
        </w:rPr>
        <w:noBreakHyphen/>
        <w:t>system is being designed. Also this mitigation method limits the ability of the space station to be re</w:t>
      </w:r>
      <w:r>
        <w:rPr>
          <w:lang w:val="en-US"/>
        </w:rPr>
        <w:noBreakHyphen/>
        <w:t>located or for the beam to be re-oriented to other portions of the satellite field of view.</w:t>
      </w:r>
    </w:p>
    <w:p w:rsidR="00B9359B" w:rsidRDefault="009A5268">
      <w:pPr>
        <w:pStyle w:val="Heading4"/>
        <w:rPr>
          <w:lang w:val="en-US"/>
        </w:rPr>
      </w:pPr>
      <w:bookmarkStart w:id="580" w:name="_Toc51045979"/>
      <w:r>
        <w:rPr>
          <w:lang w:val="en-US"/>
        </w:rPr>
        <w:t>5.3.2.3</w:t>
      </w:r>
      <w:r>
        <w:rPr>
          <w:lang w:val="en-US"/>
        </w:rPr>
        <w:tab/>
        <w:t>Spectral shape of FSS/BSS signal</w:t>
      </w:r>
      <w:bookmarkEnd w:id="580"/>
    </w:p>
    <w:p w:rsidR="00B9359B" w:rsidRDefault="009A5268">
      <w:pPr>
        <w:tabs>
          <w:tab w:val="clear" w:pos="794"/>
        </w:tabs>
        <w:rPr>
          <w:lang w:val="en-US"/>
        </w:rPr>
      </w:pPr>
      <w:r>
        <w:rPr>
          <w:lang w:val="en-US"/>
        </w:rPr>
        <w:t>The high power amplifier (HPA) linearity and the point in the dynamic range at which the HPA is operated determine the spectral shape of the space station emission. Improving the unwanted emissions from the HPA can be achieved through operation at a lower input power or improving the amplifier linearity. However, maintaining the operation of the amplifier in the linear range reduces unwanted emissions at the cost of decreased HPA efficiency. Both methods have an impact on the throughput of the space station as well as its cost and weight.</w:t>
      </w:r>
    </w:p>
    <w:p w:rsidR="00B9359B" w:rsidRDefault="009A5268">
      <w:pPr>
        <w:pStyle w:val="Heading4"/>
        <w:rPr>
          <w:lang w:val="en-US"/>
        </w:rPr>
      </w:pPr>
      <w:bookmarkStart w:id="581" w:name="_Toc51045980"/>
      <w:r>
        <w:rPr>
          <w:lang w:val="en-US"/>
        </w:rPr>
        <w:t>5.3.2.4</w:t>
      </w:r>
      <w:r>
        <w:rPr>
          <w:lang w:val="en-US"/>
        </w:rPr>
        <w:tab/>
        <w:t>Guardband</w:t>
      </w:r>
      <w:bookmarkEnd w:id="581"/>
    </w:p>
    <w:p w:rsidR="00B9359B" w:rsidRDefault="009A5268">
      <w:pPr>
        <w:rPr>
          <w:lang w:val="en-US"/>
        </w:rPr>
      </w:pPr>
      <w:r>
        <w:rPr>
          <w:lang w:val="en-US"/>
        </w:rPr>
        <w:t>The usage of any guardband imposes a reduction of capacity on the FSS/BSS if the guardband is implemented within its allocation.</w:t>
      </w:r>
    </w:p>
    <w:p w:rsidR="00B9359B" w:rsidRDefault="009A5268">
      <w:pPr>
        <w:pStyle w:val="Heading1"/>
        <w:rPr>
          <w:lang w:val="en-US"/>
        </w:rPr>
      </w:pPr>
      <w:bookmarkStart w:id="582" w:name="_Toc51045981"/>
      <w:r>
        <w:rPr>
          <w:lang w:val="en-US"/>
        </w:rPr>
        <w:t>6</w:t>
      </w:r>
      <w:r>
        <w:rPr>
          <w:lang w:val="en-US"/>
        </w:rPr>
        <w:tab/>
        <w:t>Results of studies</w:t>
      </w:r>
      <w:bookmarkEnd w:id="582"/>
    </w:p>
    <w:p w:rsidR="00B9359B" w:rsidRDefault="009A5268">
      <w:pPr>
        <w:pStyle w:val="Heading2"/>
        <w:rPr>
          <w:lang w:val="en-US"/>
        </w:rPr>
      </w:pPr>
      <w:bookmarkStart w:id="583" w:name="_Toc51045982"/>
      <w:r>
        <w:rPr>
          <w:lang w:val="en-US"/>
        </w:rPr>
        <w:t>6.1</w:t>
      </w:r>
      <w:r>
        <w:rPr>
          <w:lang w:val="en-US"/>
        </w:rPr>
        <w:tab/>
        <w:t>Summary</w:t>
      </w:r>
      <w:bookmarkEnd w:id="583"/>
    </w:p>
    <w:p w:rsidR="00B9359B" w:rsidRDefault="009A5268">
      <w:pPr>
        <w:rPr>
          <w:lang w:val="en-US"/>
        </w:rPr>
      </w:pPr>
      <w:r>
        <w:rPr>
          <w:lang w:val="en-US"/>
        </w:rPr>
        <w:t>The majority of the RAS sites around the world utilize this band for single-dish measurements. A  combination of appropriate mitigation techniques would be required to meet the levels of protection for single-dish measurements.</w:t>
      </w:r>
    </w:p>
    <w:p w:rsidR="00B9359B" w:rsidRDefault="009A5268">
      <w:pPr>
        <w:rPr>
          <w:lang w:val="en-US"/>
        </w:rPr>
      </w:pPr>
      <w:r>
        <w:rPr>
          <w:lang w:val="en-US"/>
        </w:rPr>
        <w:t>One study considered frequency separation without the use of any other mitigation method. This study assumed FSS and BSS systems operating up to 42 GHz and unwanted emission levels from Recommendation ITU-R SM.1541. The study shows that the detrimental level of interference for VLBI given in Recommendation ITU-R RA.769 is met. However, the threshold pfd limits for single-dish line or continuum observations are not met, and interference would be sufficiently severe as to effectively prevent any useful astronomical measurements unless additional mitigation methods are used.</w:t>
      </w:r>
    </w:p>
    <w:p w:rsidR="00B9359B" w:rsidRDefault="009A5268">
      <w:pPr>
        <w:rPr>
          <w:lang w:val="en-US"/>
        </w:rPr>
      </w:pPr>
      <w:r>
        <w:rPr>
          <w:lang w:val="en-US"/>
        </w:rPr>
        <w:t>The worst-case scenario presented in § 4.1, using no mitigation methods, is based on a necessary bandwidth of 500 MHz and a spectral roll-off at the rate identified in Recommendation ITU</w:t>
      </w:r>
      <w:r>
        <w:rPr>
          <w:lang w:val="en-US"/>
        </w:rPr>
        <w:noBreakHyphen/>
        <w:t>R </w:t>
      </w:r>
      <w:r>
        <w:rPr>
          <w:rFonts w:ascii="Tms Rmn" w:hAnsi="Tms Rmn"/>
          <w:sz w:val="12"/>
          <w:lang w:val="en-US"/>
        </w:rPr>
        <w:t> </w:t>
      </w:r>
      <w:r>
        <w:rPr>
          <w:lang w:val="en-US"/>
        </w:rPr>
        <w:t>SM.1541. In addition, this example assumes that the necessary bandwidth extends to the edge of the FSS allocation at 42.5 GHz.</w:t>
      </w:r>
    </w:p>
    <w:p w:rsidR="00B9359B" w:rsidRDefault="009A5268">
      <w:pPr>
        <w:rPr>
          <w:lang w:val="en-US"/>
        </w:rPr>
      </w:pPr>
      <w:r>
        <w:rPr>
          <w:lang w:val="en-US"/>
        </w:rPr>
        <w:t>The unwanted emissions resulting from the worst</w:t>
      </w:r>
      <w:r>
        <w:rPr>
          <w:lang w:val="en-US"/>
        </w:rPr>
        <w:noBreakHyphen/>
        <w:t>case example considered exceed the limits in RR No. 5.551G as well as the single-dish spectral line and continuum criteria from Recommen</w:t>
      </w:r>
      <w:r>
        <w:rPr>
          <w:lang w:val="en-US"/>
        </w:rPr>
        <w:softHyphen/>
        <w:t>dation ITU</w:t>
      </w:r>
      <w:r>
        <w:rPr>
          <w:lang w:val="en-US"/>
        </w:rPr>
        <w:noBreakHyphen/>
        <w:t>R RA.769. However, the VLBI criterion is met across the entire band 42.5 to 43.5 GHz. The shortfall may be addressable through the use of mitigation methods. A diverse range of mitigation methods can be considered for application in practical systems; a combination of such methods is likely to be required.</w:t>
      </w:r>
    </w:p>
    <w:p w:rsidR="00B9359B" w:rsidRDefault="009A5268">
      <w:pPr>
        <w:rPr>
          <w:lang w:val="en-US"/>
        </w:rPr>
      </w:pPr>
      <w:r>
        <w:rPr>
          <w:lang w:val="en-US"/>
        </w:rPr>
        <w:br w:type="page"/>
        <w:t>If, for some systems, the provisional FSS spectral representation as described in the technical Appendix to Annex 1 is considered instead of Recommendation ITU-R SM.1541, the shortfall with the continuum criteria is reduced. This does not necessarily alleviate the shortfall on band-edge unless additional mitigation methods are considered. It was however indicated that this spectral representation is based on experience at lower frequency bands.</w:t>
      </w:r>
    </w:p>
    <w:p w:rsidR="00B9359B" w:rsidRDefault="009A5268">
      <w:pPr>
        <w:rPr>
          <w:lang w:val="en-US"/>
        </w:rPr>
      </w:pPr>
      <w:r>
        <w:rPr>
          <w:lang w:val="en-US"/>
        </w:rPr>
        <w:t xml:space="preserve">It is expected that, using one or more of the mitigation methods identified in this Annex, FSS/BSS systems may be able to meet the Recommendation ITU-R RA.769 protection criterion for continuum measurements. In addition, it may be difficult for FSS systems to meet the spectral line criterion in some parts of the 42.5-43.5 GHz band. It is doubtful whether FSS systems that are required to meet the RR No. 5.551G criteria would be practical, since these requirements would impose severe operational constraints and significantly increasing satellite system costs. </w:t>
      </w:r>
    </w:p>
    <w:p w:rsidR="00B9359B" w:rsidRDefault="009A5268">
      <w:pPr>
        <w:ind w:right="1"/>
        <w:rPr>
          <w:lang w:val="en-US"/>
        </w:rPr>
      </w:pPr>
      <w:r>
        <w:rPr>
          <w:lang w:val="en-US"/>
        </w:rPr>
        <w:t>As a result, it is unlikely that the complete needs of both services can be met. Further work may be needed to refine the study.</w:t>
      </w:r>
    </w:p>
    <w:p w:rsidR="00B9359B" w:rsidRDefault="009A5268">
      <w:pPr>
        <w:pStyle w:val="Heading2"/>
        <w:rPr>
          <w:lang w:val="en-US"/>
        </w:rPr>
      </w:pPr>
      <w:bookmarkStart w:id="584" w:name="_Toc51045983"/>
      <w:r>
        <w:rPr>
          <w:lang w:val="en-US"/>
        </w:rPr>
        <w:t>6.2</w:t>
      </w:r>
      <w:r>
        <w:rPr>
          <w:lang w:val="en-US"/>
        </w:rPr>
        <w:tab/>
        <w:t>Conclusions</w:t>
      </w:r>
      <w:bookmarkEnd w:id="584"/>
    </w:p>
    <w:p w:rsidR="00B9359B" w:rsidRDefault="009A5268">
      <w:pPr>
        <w:rPr>
          <w:lang w:val="en-US"/>
        </w:rPr>
      </w:pPr>
      <w:r>
        <w:rPr>
          <w:lang w:val="en-US"/>
        </w:rPr>
        <w:t>In this band, the threshold level for detrimental interference to radio astronomical observations as given in Recommendation ITU-R RA.769 can be met by the FSS and BSS for the VLBI case. For the continuum case, it may be possible for FSS/BSS systems to meet the threshold with the use of mitigation methods. Meeting the spectral line threshold across part of the band may be possible. It is uncertain if mitigation methods will be sufficient to meet the spectral line criteria at the lower edge of the RAS allocation.</w:t>
      </w:r>
    </w:p>
    <w:p w:rsidR="00B9359B" w:rsidRDefault="009A5268">
      <w:pPr>
        <w:rPr>
          <w:lang w:val="en-US"/>
        </w:rPr>
      </w:pPr>
      <w:r>
        <w:rPr>
          <w:lang w:val="en-US"/>
        </w:rPr>
        <w:t>As nearly two-thirds of the RAS sites around the world (see Table 97) utilize this band for single-dish measurements, it is therefore important that a combination of appropriate mitigation techniques is applied to meet these levels of protection for single-dish measurements.</w:t>
      </w:r>
    </w:p>
    <w:p w:rsidR="00B9359B" w:rsidRDefault="00B9359B">
      <w:pPr>
        <w:rPr>
          <w:lang w:val="en-US"/>
        </w:rPr>
      </w:pPr>
    </w:p>
    <w:p w:rsidR="00B9359B" w:rsidRDefault="00B9359B">
      <w:pPr>
        <w:rPr>
          <w:lang w:val="en-US"/>
        </w:rPr>
      </w:pPr>
    </w:p>
    <w:p w:rsidR="00B9359B" w:rsidRDefault="009A5268">
      <w:pPr>
        <w:pStyle w:val="AnnexNoTitle"/>
        <w:rPr>
          <w:lang w:val="en-US"/>
        </w:rPr>
      </w:pPr>
      <w:r>
        <w:rPr>
          <w:lang w:val="en-US"/>
        </w:rPr>
        <w:t>Annex 19</w:t>
      </w:r>
      <w:r>
        <w:rPr>
          <w:lang w:val="en-US"/>
        </w:rPr>
        <w:br/>
      </w:r>
      <w:r>
        <w:rPr>
          <w:lang w:val="en-US"/>
        </w:rPr>
        <w:br/>
        <w:t>Compatibility analysis between EESS (passive) systems operating</w:t>
      </w:r>
      <w:r>
        <w:rPr>
          <w:lang w:val="en-US"/>
        </w:rPr>
        <w:br/>
        <w:t>in the 50.2-50.4 GHz band and FSS (Earth-to-space) systems</w:t>
      </w:r>
      <w:r>
        <w:rPr>
          <w:lang w:val="en-US"/>
        </w:rPr>
        <w:br/>
        <w:t>operating in the 47.2-50.2 GHz band</w:t>
      </w:r>
    </w:p>
    <w:p w:rsidR="00B9359B" w:rsidRDefault="009A5268">
      <w:pPr>
        <w:pStyle w:val="Heading1"/>
        <w:rPr>
          <w:lang w:val="en-US"/>
        </w:rPr>
      </w:pPr>
      <w:bookmarkStart w:id="585" w:name="_Toc51045984"/>
      <w:r>
        <w:rPr>
          <w:lang w:val="en-US"/>
        </w:rPr>
        <w:t>1</w:t>
      </w:r>
      <w:r>
        <w:rPr>
          <w:lang w:val="en-US"/>
        </w:rPr>
        <w:tab/>
        <w:t>EESS (passive)</w:t>
      </w:r>
      <w:bookmarkEnd w:id="585"/>
    </w:p>
    <w:p w:rsidR="00B9359B" w:rsidRDefault="009A5268">
      <w:pPr>
        <w:pStyle w:val="Heading2"/>
        <w:rPr>
          <w:lang w:val="en-US"/>
        </w:rPr>
      </w:pPr>
      <w:bookmarkStart w:id="586" w:name="_Toc51045985"/>
      <w:r>
        <w:rPr>
          <w:lang w:val="en-US"/>
        </w:rPr>
        <w:t>1.1</w:t>
      </w:r>
      <w:r>
        <w:rPr>
          <w:lang w:val="en-US"/>
        </w:rPr>
        <w:tab/>
        <w:t>Allocated band</w:t>
      </w:r>
      <w:bookmarkEnd w:id="586"/>
    </w:p>
    <w:p w:rsidR="00B9359B" w:rsidRDefault="009A5268">
      <w:pPr>
        <w:rPr>
          <w:lang w:val="en-US"/>
        </w:rPr>
      </w:pPr>
      <w:r>
        <w:rPr>
          <w:lang w:val="en-US"/>
        </w:rPr>
        <w:t>The allocations adjacent to the 50.2-50.4 GHz EESS passive bands are shown in Table 99. It should be noted that the band 50.2-50.4 GHz is covered by RR No. 5.340, and RR No. 5.340.1 is also applicable.</w:t>
      </w:r>
    </w:p>
    <w:p w:rsidR="00B9359B" w:rsidRDefault="009A5268">
      <w:pPr>
        <w:pStyle w:val="TableNo"/>
        <w:rPr>
          <w:lang w:val="en-US"/>
        </w:rPr>
      </w:pPr>
      <w:r>
        <w:rPr>
          <w:lang w:val="en-US"/>
        </w:rPr>
        <w:br w:type="page"/>
        <w:t>TABLE  99</w:t>
      </w:r>
    </w:p>
    <w:p w:rsidR="00B9359B" w:rsidRDefault="009A5268">
      <w:pPr>
        <w:pStyle w:val="Tabletitle"/>
        <w:rPr>
          <w:lang w:val="en-US"/>
        </w:rPr>
      </w:pPr>
      <w:r>
        <w:rPr>
          <w:lang w:val="en-US"/>
        </w:rPr>
        <w:t>Adjacent band allocations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2952"/>
        <w:gridCol w:w="2952"/>
      </w:tblGrid>
      <w:tr w:rsidR="00B9359B" w:rsidRPr="00D35B94">
        <w:tc>
          <w:tcPr>
            <w:tcW w:w="2952" w:type="dxa"/>
            <w:vAlign w:val="center"/>
          </w:tcPr>
          <w:p w:rsidR="00B9359B" w:rsidRDefault="009A5268">
            <w:pPr>
              <w:pStyle w:val="Tablehead"/>
              <w:framePr w:hSpace="181" w:wrap="notBeside" w:vAnchor="text" w:hAnchor="text" w:xAlign="center" w:y="1"/>
              <w:rPr>
                <w:lang w:val="en-US"/>
              </w:rPr>
            </w:pPr>
            <w:r>
              <w:rPr>
                <w:lang w:val="en-US"/>
              </w:rPr>
              <w:t xml:space="preserve">Services in lower </w:t>
            </w:r>
            <w:r>
              <w:rPr>
                <w:lang w:val="en-US"/>
              </w:rPr>
              <w:br/>
              <w:t>allocated band</w:t>
            </w:r>
          </w:p>
        </w:tc>
        <w:tc>
          <w:tcPr>
            <w:tcW w:w="2952" w:type="dxa"/>
            <w:vAlign w:val="center"/>
          </w:tcPr>
          <w:p w:rsidR="00B9359B" w:rsidRDefault="009A5268">
            <w:pPr>
              <w:pStyle w:val="Tablehead"/>
              <w:framePr w:hSpace="181" w:wrap="notBeside" w:vAnchor="text" w:hAnchor="text" w:xAlign="center" w:y="1"/>
              <w:rPr>
                <w:lang w:val="en-US"/>
              </w:rPr>
            </w:pPr>
            <w:r>
              <w:rPr>
                <w:lang w:val="en-US"/>
              </w:rPr>
              <w:t>Passive band</w:t>
            </w:r>
          </w:p>
        </w:tc>
        <w:tc>
          <w:tcPr>
            <w:tcW w:w="2952" w:type="dxa"/>
            <w:vAlign w:val="center"/>
          </w:tcPr>
          <w:p w:rsidR="00B9359B" w:rsidRDefault="009A5268">
            <w:pPr>
              <w:pStyle w:val="Tablehead"/>
              <w:framePr w:hSpace="181" w:wrap="notBeside" w:vAnchor="text" w:hAnchor="text" w:xAlign="center" w:y="1"/>
              <w:rPr>
                <w:lang w:val="en-US"/>
              </w:rPr>
            </w:pPr>
            <w:r>
              <w:rPr>
                <w:lang w:val="en-US"/>
              </w:rPr>
              <w:t xml:space="preserve">Services in upper </w:t>
            </w:r>
            <w:r>
              <w:rPr>
                <w:lang w:val="en-US"/>
              </w:rPr>
              <w:br/>
              <w:t>allocated band</w:t>
            </w:r>
          </w:p>
        </w:tc>
      </w:tr>
      <w:tr w:rsidR="00B9359B">
        <w:tc>
          <w:tcPr>
            <w:tcW w:w="2952" w:type="dxa"/>
          </w:tcPr>
          <w:p w:rsidR="00B9359B" w:rsidRDefault="009A5268">
            <w:pPr>
              <w:pStyle w:val="Tablehead"/>
              <w:framePr w:hSpace="181" w:wrap="notBeside" w:vAnchor="text" w:hAnchor="text" w:xAlign="center" w:y="1"/>
              <w:rPr>
                <w:lang w:val="en-US"/>
              </w:rPr>
            </w:pPr>
            <w:r>
              <w:rPr>
                <w:lang w:val="en-US"/>
              </w:rPr>
              <w:t>47.2</w:t>
            </w:r>
            <w:r>
              <w:rPr>
                <w:lang w:val="en-US"/>
              </w:rPr>
              <w:noBreakHyphen/>
              <w:t>50.2 GHz</w:t>
            </w:r>
          </w:p>
        </w:tc>
        <w:tc>
          <w:tcPr>
            <w:tcW w:w="2952" w:type="dxa"/>
          </w:tcPr>
          <w:p w:rsidR="00B9359B" w:rsidRDefault="009A5268">
            <w:pPr>
              <w:pStyle w:val="Tablehead"/>
              <w:framePr w:hSpace="181" w:wrap="notBeside" w:vAnchor="text" w:hAnchor="text" w:xAlign="center" w:y="1"/>
              <w:rPr>
                <w:lang w:val="en-US"/>
              </w:rPr>
            </w:pPr>
            <w:r>
              <w:rPr>
                <w:lang w:val="en-US"/>
              </w:rPr>
              <w:t>50.2</w:t>
            </w:r>
            <w:r>
              <w:rPr>
                <w:lang w:val="en-US"/>
              </w:rPr>
              <w:noBreakHyphen/>
              <w:t>50.4 GHz</w:t>
            </w:r>
          </w:p>
        </w:tc>
        <w:tc>
          <w:tcPr>
            <w:tcW w:w="2952" w:type="dxa"/>
          </w:tcPr>
          <w:p w:rsidR="00B9359B" w:rsidRDefault="009A5268">
            <w:pPr>
              <w:pStyle w:val="Tablehead"/>
              <w:framePr w:hSpace="181" w:wrap="notBeside" w:vAnchor="text" w:hAnchor="text" w:xAlign="center" w:y="1"/>
              <w:rPr>
                <w:lang w:val="en-US"/>
              </w:rPr>
            </w:pPr>
            <w:r>
              <w:rPr>
                <w:lang w:val="en-US"/>
              </w:rPr>
              <w:t>50.4</w:t>
            </w:r>
            <w:r>
              <w:rPr>
                <w:lang w:val="en-US"/>
              </w:rPr>
              <w:noBreakHyphen/>
              <w:t>51.4 GHz</w:t>
            </w:r>
          </w:p>
        </w:tc>
      </w:tr>
      <w:tr w:rsidR="00B9359B" w:rsidRPr="00D35B94">
        <w:trPr>
          <w:trHeight w:val="1635"/>
        </w:trPr>
        <w:tc>
          <w:tcPr>
            <w:tcW w:w="2952" w:type="dxa"/>
            <w:tcBorders>
              <w:bottom w:val="nil"/>
            </w:tcBorders>
          </w:tcPr>
          <w:p w:rsidR="00B9359B" w:rsidRDefault="009A5268">
            <w:pPr>
              <w:pStyle w:val="Tabletext"/>
              <w:framePr w:hSpace="181" w:wrap="notBeside" w:vAnchor="text" w:hAnchor="text" w:xAlign="center" w:y="1"/>
              <w:spacing w:before="60" w:after="60"/>
              <w:jc w:val="left"/>
              <w:rPr>
                <w:lang w:val="en-US"/>
              </w:rPr>
            </w:pPr>
            <w:r>
              <w:rPr>
                <w:lang w:val="en-US"/>
              </w:rPr>
              <w:t>FIXED</w:t>
            </w:r>
          </w:p>
          <w:p w:rsidR="00B9359B" w:rsidRDefault="009A5268">
            <w:pPr>
              <w:pStyle w:val="Tabletext"/>
              <w:framePr w:hSpace="181" w:wrap="notBeside" w:vAnchor="text" w:hAnchor="text" w:xAlign="center" w:y="1"/>
              <w:spacing w:before="60" w:after="60"/>
              <w:jc w:val="left"/>
              <w:rPr>
                <w:lang w:val="en-US"/>
              </w:rPr>
            </w:pPr>
            <w:r>
              <w:rPr>
                <w:lang w:val="en-US"/>
              </w:rPr>
              <w:t>FIXED-SATELLITE (Earth-to-space)</w:t>
            </w:r>
          </w:p>
          <w:p w:rsidR="00B9359B" w:rsidRDefault="009A5268">
            <w:pPr>
              <w:pStyle w:val="Tabletext"/>
              <w:framePr w:hSpace="181" w:wrap="notBeside" w:vAnchor="text" w:hAnchor="text" w:xAlign="center" w:y="1"/>
              <w:spacing w:before="60" w:after="60"/>
              <w:jc w:val="left"/>
              <w:rPr>
                <w:lang w:val="en-US"/>
              </w:rPr>
            </w:pPr>
            <w:r>
              <w:rPr>
                <w:lang w:val="en-US"/>
              </w:rPr>
              <w:t>MOBILE</w:t>
            </w:r>
          </w:p>
          <w:p w:rsidR="00B9359B" w:rsidRDefault="00B9359B">
            <w:pPr>
              <w:pStyle w:val="Tabletext"/>
              <w:framePr w:hSpace="181" w:wrap="notBeside" w:vAnchor="text" w:hAnchor="text" w:xAlign="center" w:y="1"/>
              <w:spacing w:before="60" w:after="60"/>
              <w:jc w:val="left"/>
              <w:rPr>
                <w:lang w:val="en-US"/>
              </w:rPr>
            </w:pPr>
          </w:p>
        </w:tc>
        <w:tc>
          <w:tcPr>
            <w:tcW w:w="2952" w:type="dxa"/>
            <w:tcBorders>
              <w:bottom w:val="nil"/>
            </w:tcBorders>
          </w:tcPr>
          <w:p w:rsidR="00B9359B" w:rsidRDefault="009A5268">
            <w:pPr>
              <w:pStyle w:val="Tabletext"/>
              <w:framePr w:hSpace="181" w:wrap="notBeside" w:vAnchor="text" w:hAnchor="text" w:xAlign="center" w:y="1"/>
              <w:spacing w:before="60" w:after="60"/>
              <w:jc w:val="left"/>
              <w:rPr>
                <w:lang w:val="en-US"/>
              </w:rPr>
            </w:pPr>
            <w:r>
              <w:rPr>
                <w:lang w:val="en-US"/>
              </w:rPr>
              <w:t>EARTH  EXPLORATION-SATELLITE (passive)</w:t>
            </w:r>
          </w:p>
          <w:p w:rsidR="00B9359B" w:rsidRDefault="009A5268">
            <w:pPr>
              <w:pStyle w:val="Tabletext"/>
              <w:framePr w:hSpace="181" w:wrap="notBeside" w:vAnchor="text" w:hAnchor="text" w:xAlign="center" w:y="1"/>
              <w:spacing w:before="60" w:after="60"/>
              <w:jc w:val="left"/>
              <w:rPr>
                <w:lang w:val="en-US"/>
              </w:rPr>
            </w:pPr>
            <w:r>
              <w:rPr>
                <w:lang w:val="en-US"/>
              </w:rPr>
              <w:t>SPACE  RESEARCH (passive)</w:t>
            </w:r>
          </w:p>
          <w:p w:rsidR="00B9359B" w:rsidRDefault="00B9359B">
            <w:pPr>
              <w:pStyle w:val="Tabletext"/>
              <w:framePr w:hSpace="181" w:wrap="notBeside" w:vAnchor="text" w:hAnchor="text" w:xAlign="center" w:y="1"/>
              <w:spacing w:before="60" w:after="60"/>
              <w:jc w:val="left"/>
              <w:rPr>
                <w:lang w:val="en-US"/>
              </w:rPr>
            </w:pPr>
          </w:p>
        </w:tc>
        <w:tc>
          <w:tcPr>
            <w:tcW w:w="2952" w:type="dxa"/>
            <w:tcBorders>
              <w:bottom w:val="nil"/>
            </w:tcBorders>
          </w:tcPr>
          <w:p w:rsidR="00B9359B" w:rsidRDefault="009A5268">
            <w:pPr>
              <w:pStyle w:val="Tabletext"/>
              <w:framePr w:hSpace="181" w:wrap="notBeside" w:vAnchor="text" w:hAnchor="text" w:xAlign="center" w:y="1"/>
              <w:spacing w:before="60" w:after="60"/>
              <w:jc w:val="left"/>
              <w:rPr>
                <w:lang w:val="en-US"/>
              </w:rPr>
            </w:pPr>
            <w:r>
              <w:rPr>
                <w:lang w:val="en-US"/>
              </w:rPr>
              <w:t>FIXED</w:t>
            </w:r>
          </w:p>
          <w:p w:rsidR="00B9359B" w:rsidRDefault="009A5268">
            <w:pPr>
              <w:pStyle w:val="Tabletext"/>
              <w:framePr w:hSpace="181" w:wrap="notBeside" w:vAnchor="text" w:hAnchor="text" w:xAlign="center" w:y="1"/>
              <w:spacing w:before="60" w:after="60"/>
              <w:jc w:val="left"/>
              <w:rPr>
                <w:lang w:val="en-US"/>
              </w:rPr>
            </w:pPr>
            <w:r>
              <w:rPr>
                <w:lang w:val="en-US"/>
              </w:rPr>
              <w:t>FIXED  SATELLITE (Earth-to-space)</w:t>
            </w:r>
          </w:p>
          <w:p w:rsidR="00B9359B" w:rsidRDefault="009A5268">
            <w:pPr>
              <w:pStyle w:val="Tabletext"/>
              <w:framePr w:hSpace="181" w:wrap="notBeside" w:vAnchor="text" w:hAnchor="text" w:xAlign="center" w:y="1"/>
              <w:spacing w:before="60" w:after="60"/>
              <w:jc w:val="left"/>
              <w:rPr>
                <w:lang w:val="en-US"/>
              </w:rPr>
            </w:pPr>
            <w:r>
              <w:rPr>
                <w:lang w:val="en-US"/>
              </w:rPr>
              <w:t>MOBILE</w:t>
            </w:r>
          </w:p>
          <w:p w:rsidR="00B9359B" w:rsidRDefault="009A5268">
            <w:pPr>
              <w:pStyle w:val="Tabletext"/>
              <w:framePr w:hSpace="181" w:wrap="notBeside" w:vAnchor="text" w:hAnchor="text" w:xAlign="center" w:y="1"/>
              <w:spacing w:before="60" w:after="60"/>
              <w:jc w:val="left"/>
              <w:rPr>
                <w:lang w:val="en-US"/>
              </w:rPr>
            </w:pPr>
            <w:r>
              <w:rPr>
                <w:lang w:val="en-US"/>
              </w:rPr>
              <w:t>Mobile-satellite (Earth-to-space)</w:t>
            </w:r>
          </w:p>
        </w:tc>
      </w:tr>
      <w:tr w:rsidR="00B9359B">
        <w:trPr>
          <w:trHeight w:val="540"/>
        </w:trPr>
        <w:tc>
          <w:tcPr>
            <w:tcW w:w="2952" w:type="dxa"/>
            <w:tcBorders>
              <w:top w:val="nil"/>
            </w:tcBorders>
          </w:tcPr>
          <w:p w:rsidR="00B9359B" w:rsidRDefault="009A5268">
            <w:pPr>
              <w:pStyle w:val="Tabletext"/>
              <w:framePr w:hSpace="181" w:wrap="notBeside" w:vAnchor="text" w:hAnchor="text" w:xAlign="center" w:y="1"/>
              <w:spacing w:before="0"/>
              <w:jc w:val="left"/>
              <w:rPr>
                <w:lang w:val="en-US"/>
              </w:rPr>
            </w:pPr>
            <w:r>
              <w:rPr>
                <w:lang w:val="en-US"/>
              </w:rPr>
              <w:t>5.149  5.340  5.552  5.552A 5.555</w:t>
            </w:r>
          </w:p>
        </w:tc>
        <w:tc>
          <w:tcPr>
            <w:tcW w:w="2952" w:type="dxa"/>
            <w:tcBorders>
              <w:top w:val="nil"/>
            </w:tcBorders>
          </w:tcPr>
          <w:p w:rsidR="00B9359B" w:rsidRDefault="009A5268">
            <w:pPr>
              <w:pStyle w:val="Tabletext"/>
              <w:framePr w:hSpace="181" w:wrap="notBeside" w:vAnchor="text" w:hAnchor="text" w:xAlign="center" w:y="1"/>
              <w:spacing w:before="0"/>
              <w:jc w:val="left"/>
              <w:rPr>
                <w:lang w:val="en-US"/>
              </w:rPr>
            </w:pPr>
            <w:r>
              <w:rPr>
                <w:lang w:val="en-US"/>
              </w:rPr>
              <w:br/>
              <w:t>5.340  5.555A</w:t>
            </w:r>
          </w:p>
        </w:tc>
        <w:tc>
          <w:tcPr>
            <w:tcW w:w="2952" w:type="dxa"/>
            <w:tcBorders>
              <w:top w:val="nil"/>
            </w:tcBorders>
          </w:tcPr>
          <w:p w:rsidR="00B9359B" w:rsidRDefault="00B9359B">
            <w:pPr>
              <w:pStyle w:val="Tabletext"/>
              <w:framePr w:hSpace="181" w:wrap="notBeside" w:vAnchor="text" w:hAnchor="text" w:xAlign="center" w:y="1"/>
              <w:jc w:val="left"/>
              <w:rPr>
                <w:lang w:val="en-US"/>
              </w:rPr>
            </w:pPr>
          </w:p>
        </w:tc>
      </w:tr>
    </w:tbl>
    <w:p w:rsidR="00B9359B" w:rsidRDefault="00B9359B">
      <w:pPr>
        <w:pStyle w:val="Tablefin"/>
      </w:pPr>
    </w:p>
    <w:p w:rsidR="00B9359B" w:rsidRDefault="009A5268">
      <w:pPr>
        <w:pStyle w:val="Heading2"/>
        <w:rPr>
          <w:lang w:val="en-US"/>
        </w:rPr>
      </w:pPr>
      <w:bookmarkStart w:id="587" w:name="_Toc51045986"/>
      <w:r>
        <w:rPr>
          <w:lang w:val="en-US"/>
        </w:rPr>
        <w:t>1.2</w:t>
      </w:r>
      <w:r>
        <w:rPr>
          <w:lang w:val="en-US"/>
        </w:rPr>
        <w:tab/>
        <w:t>Application</w:t>
      </w:r>
      <w:bookmarkEnd w:id="587"/>
      <w:r>
        <w:rPr>
          <w:lang w:val="en-US"/>
        </w:rPr>
        <w:t xml:space="preserve"> </w:t>
      </w:r>
    </w:p>
    <w:p w:rsidR="00B9359B" w:rsidRDefault="009A5268">
      <w:pPr>
        <w:rPr>
          <w:lang w:val="en-US"/>
        </w:rPr>
      </w:pPr>
      <w:r>
        <w:rPr>
          <w:lang w:val="en-US"/>
        </w:rPr>
        <w:t>This frequency band is one of several bands between 50 GHz and 60 GHz that are used collectively to provide three-dimensional temperature profiles of the atmosphere.</w:t>
      </w:r>
    </w:p>
    <w:p w:rsidR="00B9359B" w:rsidRDefault="009A5268">
      <w:pPr>
        <w:rPr>
          <w:lang w:val="en-US"/>
        </w:rPr>
      </w:pPr>
      <w:r>
        <w:rPr>
          <w:lang w:val="en-US"/>
        </w:rPr>
        <w:t>These measurements feed the numerical weather prediction models. The model needs data every 6 h and is used for fine mesh weather predictions (10 km or less) on a short time basis (6 to 48 h.)</w:t>
      </w:r>
    </w:p>
    <w:p w:rsidR="00B9359B" w:rsidRDefault="009A5268">
      <w:pPr>
        <w:pStyle w:val="Heading2"/>
        <w:rPr>
          <w:lang w:val="en-US"/>
        </w:rPr>
      </w:pPr>
      <w:bookmarkStart w:id="588" w:name="_Toc51045987"/>
      <w:r>
        <w:rPr>
          <w:lang w:val="en-US"/>
        </w:rPr>
        <w:t>1.3</w:t>
      </w:r>
      <w:r>
        <w:rPr>
          <w:lang w:val="en-US"/>
        </w:rPr>
        <w:tab/>
        <w:t>Required protection criteria</w:t>
      </w:r>
      <w:bookmarkEnd w:id="588"/>
    </w:p>
    <w:p w:rsidR="00B9359B" w:rsidRDefault="009A5268">
      <w:pPr>
        <w:rPr>
          <w:lang w:val="en-US"/>
        </w:rPr>
      </w:pPr>
      <w:r>
        <w:rPr>
          <w:lang w:val="en-US"/>
        </w:rPr>
        <w:t>The following three Recommendations establish the interference criteria for passive sensors:</w:t>
      </w:r>
    </w:p>
    <w:p w:rsidR="00B9359B" w:rsidRDefault="009A5268">
      <w:pPr>
        <w:pStyle w:val="enumlev1"/>
        <w:tabs>
          <w:tab w:val="clear" w:pos="794"/>
          <w:tab w:val="clear" w:pos="1191"/>
          <w:tab w:val="clear" w:pos="1588"/>
          <w:tab w:val="clear" w:pos="1985"/>
          <w:tab w:val="left" w:pos="3515"/>
        </w:tabs>
        <w:ind w:left="3515" w:hanging="3515"/>
        <w:rPr>
          <w:lang w:val="en-US"/>
        </w:rPr>
      </w:pPr>
      <w:r>
        <w:rPr>
          <w:lang w:val="en-US"/>
        </w:rPr>
        <w:t>Recommendation ITU-R SA.515 –</w:t>
      </w:r>
      <w:r>
        <w:rPr>
          <w:lang w:val="en-US"/>
        </w:rPr>
        <w:tab/>
        <w:t>Frequency bands and bandwidths used for satellite passive sensing.</w:t>
      </w:r>
    </w:p>
    <w:p w:rsidR="00B9359B" w:rsidRDefault="009A5268">
      <w:pPr>
        <w:pStyle w:val="enumlev1"/>
        <w:tabs>
          <w:tab w:val="clear" w:pos="794"/>
          <w:tab w:val="clear" w:pos="1191"/>
          <w:tab w:val="clear" w:pos="1588"/>
          <w:tab w:val="clear" w:pos="1985"/>
          <w:tab w:val="left" w:pos="3515"/>
        </w:tabs>
        <w:ind w:left="3515" w:hanging="3515"/>
        <w:rPr>
          <w:lang w:val="en-US"/>
        </w:rPr>
      </w:pPr>
      <w:r>
        <w:rPr>
          <w:lang w:val="en-US"/>
        </w:rPr>
        <w:t>Recommendation ITU-R SA.1028 –</w:t>
      </w:r>
      <w:r>
        <w:rPr>
          <w:lang w:val="en-US"/>
        </w:rPr>
        <w:tab/>
        <w:t>Performance criteria for satellite passive remote sensing.</w:t>
      </w:r>
    </w:p>
    <w:p w:rsidR="00B9359B" w:rsidRDefault="009A5268">
      <w:pPr>
        <w:pStyle w:val="enumlev1"/>
        <w:tabs>
          <w:tab w:val="clear" w:pos="794"/>
          <w:tab w:val="clear" w:pos="1191"/>
          <w:tab w:val="clear" w:pos="1588"/>
          <w:tab w:val="clear" w:pos="1985"/>
          <w:tab w:val="left" w:pos="3515"/>
        </w:tabs>
        <w:ind w:left="3515" w:hanging="3515"/>
        <w:rPr>
          <w:lang w:val="en-US"/>
        </w:rPr>
      </w:pPr>
      <w:r>
        <w:rPr>
          <w:lang w:val="en-US"/>
        </w:rPr>
        <w:t>Recommendation ITU-R SA.1029 –</w:t>
      </w:r>
      <w:r>
        <w:rPr>
          <w:lang w:val="en-US"/>
        </w:rPr>
        <w:tab/>
        <w:t>Interference criteria for satellite passive remote sensing.</w:t>
      </w:r>
    </w:p>
    <w:p w:rsidR="00B9359B" w:rsidRDefault="009A5268">
      <w:pPr>
        <w:rPr>
          <w:lang w:val="en-US"/>
        </w:rPr>
      </w:pPr>
      <w:r>
        <w:rPr>
          <w:lang w:val="en-US"/>
        </w:rPr>
        <w:t xml:space="preserve">The first criterion is the acceptable interference power received by the EESS sensor, which is </w:t>
      </w:r>
      <w:r>
        <w:rPr>
          <w:rFonts w:ascii="Symbol" w:hAnsi="Symbol"/>
          <w:lang w:val="en-US"/>
        </w:rPr>
        <w:noBreakHyphen/>
      </w:r>
      <w:r>
        <w:rPr>
          <w:lang w:val="en-US"/>
        </w:rPr>
        <w:t>166 dBW in the reference bandwidth of 100 MHz. This is a maximum interference level from all sources.</w:t>
      </w:r>
    </w:p>
    <w:p w:rsidR="00B9359B" w:rsidRDefault="009A5268">
      <w:pPr>
        <w:rPr>
          <w:lang w:val="en-US"/>
        </w:rPr>
      </w:pPr>
      <w:r>
        <w:rPr>
          <w:lang w:val="en-US"/>
        </w:rPr>
        <w:t>The second criterion is the frequency of occurrence limit on the threshold being exceeded. For nadir sounders used for three-dimensional measurements of atmospheric temperature or gas concen</w:t>
      </w:r>
      <w:r>
        <w:rPr>
          <w:lang w:val="en-US"/>
        </w:rPr>
        <w:softHyphen/>
        <w:t>tration, the proportion of measurement cells lost due to interference must not exceed 0.01%. This frequency of occurrence limit is valid for mechanically scanned and push-broom nadir sounders.</w:t>
      </w:r>
    </w:p>
    <w:p w:rsidR="00B9359B" w:rsidRDefault="009A5268">
      <w:pPr>
        <w:pStyle w:val="Heading2"/>
        <w:rPr>
          <w:lang w:val="en-US"/>
        </w:rPr>
      </w:pPr>
      <w:bookmarkStart w:id="589" w:name="_Toc51045988"/>
      <w:r>
        <w:rPr>
          <w:lang w:val="en-US"/>
        </w:rPr>
        <w:t>1.4</w:t>
      </w:r>
      <w:r>
        <w:rPr>
          <w:lang w:val="en-US"/>
        </w:rPr>
        <w:tab/>
        <w:t>Operational characteristics</w:t>
      </w:r>
      <w:bookmarkEnd w:id="589"/>
      <w:r>
        <w:rPr>
          <w:lang w:val="en-US"/>
        </w:rPr>
        <w:t xml:space="preserve"> </w:t>
      </w:r>
    </w:p>
    <w:p w:rsidR="00B9359B" w:rsidRDefault="009A5268">
      <w:pPr>
        <w:rPr>
          <w:lang w:val="en-US"/>
        </w:rPr>
      </w:pPr>
      <w:r>
        <w:rPr>
          <w:lang w:val="en-US"/>
        </w:rPr>
        <w:t xml:space="preserve">Three types of sensor designs have been considered for measurements in this frequency range. The cross track scanner which scans through nadir, the conical scanner which scans in an arc in front of the space station across its track, and the push-broom which uses multiple fixed beams across its </w:t>
      </w:r>
      <w:r>
        <w:rPr>
          <w:lang w:val="en-US"/>
        </w:rPr>
        <w:br w:type="page"/>
        <w:t>track. The push-broom sensor will be analysed because it represents the future in microwave sounding. It has the specific advantage of permitting a longer integration time. Table 100 provides the operating characteristics of the sensor under study.</w:t>
      </w:r>
    </w:p>
    <w:p w:rsidR="00B9359B" w:rsidRDefault="009A5268">
      <w:pPr>
        <w:pStyle w:val="TableNo"/>
        <w:rPr>
          <w:lang w:val="en-US"/>
        </w:rPr>
      </w:pPr>
      <w:r>
        <w:rPr>
          <w:lang w:val="en-US"/>
        </w:rPr>
        <w:t>TABLE  100</w:t>
      </w:r>
    </w:p>
    <w:p w:rsidR="00B9359B" w:rsidRDefault="009A5268">
      <w:pPr>
        <w:pStyle w:val="Tabletitle"/>
        <w:rPr>
          <w:lang w:val="en-US"/>
        </w:rPr>
      </w:pPr>
      <w:r>
        <w:rPr>
          <w:lang w:val="en-US"/>
        </w:rPr>
        <w:t>Parameters of push-broom sensor</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428"/>
        <w:gridCol w:w="4791"/>
      </w:tblGrid>
      <w:tr w:rsidR="00B9359B">
        <w:tc>
          <w:tcPr>
            <w:tcW w:w="4428" w:type="dxa"/>
          </w:tcPr>
          <w:p w:rsidR="00B9359B" w:rsidRDefault="009A5268">
            <w:pPr>
              <w:pStyle w:val="Tablehead"/>
              <w:framePr w:hSpace="181" w:wrap="notBeside" w:vAnchor="text" w:hAnchor="text" w:xAlign="center" w:y="1"/>
              <w:ind w:left="227"/>
              <w:rPr>
                <w:lang w:val="en-US"/>
              </w:rPr>
            </w:pPr>
            <w:r>
              <w:rPr>
                <w:lang w:val="en-US"/>
              </w:rPr>
              <w:t>Parameter</w:t>
            </w:r>
          </w:p>
        </w:tc>
        <w:tc>
          <w:tcPr>
            <w:tcW w:w="4791" w:type="dxa"/>
          </w:tcPr>
          <w:p w:rsidR="00B9359B" w:rsidRDefault="009A5268">
            <w:pPr>
              <w:pStyle w:val="Tablehead"/>
              <w:framePr w:hSpace="181" w:wrap="notBeside" w:vAnchor="text" w:hAnchor="text" w:xAlign="center" w:y="1"/>
              <w:rPr>
                <w:lang w:val="en-US"/>
              </w:rPr>
            </w:pPr>
            <w:r>
              <w:rPr>
                <w:lang w:val="en-US"/>
              </w:rPr>
              <w:t>Value</w:t>
            </w:r>
          </w:p>
        </w:tc>
      </w:tr>
      <w:tr w:rsidR="00B9359B">
        <w:tc>
          <w:tcPr>
            <w:tcW w:w="4428" w:type="dxa"/>
          </w:tcPr>
          <w:p w:rsidR="00B9359B" w:rsidRDefault="009A5268">
            <w:pPr>
              <w:pStyle w:val="Tabletext"/>
              <w:framePr w:hSpace="181" w:wrap="notBeside" w:vAnchor="text" w:hAnchor="text" w:xAlign="center" w:y="1"/>
              <w:spacing w:before="50" w:after="50"/>
              <w:rPr>
                <w:lang w:val="en-US"/>
              </w:rPr>
            </w:pPr>
            <w:r>
              <w:rPr>
                <w:lang w:val="en-US"/>
              </w:rPr>
              <w:t>Altitude (km)</w:t>
            </w:r>
          </w:p>
        </w:tc>
        <w:tc>
          <w:tcPr>
            <w:tcW w:w="4791" w:type="dxa"/>
          </w:tcPr>
          <w:p w:rsidR="00B9359B" w:rsidRDefault="009A5268">
            <w:pPr>
              <w:pStyle w:val="Tabletext"/>
              <w:framePr w:hSpace="181" w:wrap="notBeside" w:vAnchor="text" w:hAnchor="text" w:xAlign="center" w:y="1"/>
              <w:spacing w:before="50" w:after="50"/>
              <w:jc w:val="center"/>
            </w:pPr>
            <w:r>
              <w:t>850</w:t>
            </w:r>
          </w:p>
        </w:tc>
      </w:tr>
      <w:tr w:rsidR="00B9359B">
        <w:tc>
          <w:tcPr>
            <w:tcW w:w="4428" w:type="dxa"/>
          </w:tcPr>
          <w:p w:rsidR="00B9359B" w:rsidRDefault="009A5268">
            <w:pPr>
              <w:pStyle w:val="Tabletext"/>
              <w:framePr w:hSpace="181" w:wrap="notBeside" w:vAnchor="text" w:hAnchor="text" w:xAlign="center" w:y="1"/>
              <w:spacing w:before="50" w:after="50"/>
            </w:pPr>
            <w:r>
              <w:t>Orbit</w:t>
            </w:r>
          </w:p>
        </w:tc>
        <w:tc>
          <w:tcPr>
            <w:tcW w:w="4791" w:type="dxa"/>
          </w:tcPr>
          <w:p w:rsidR="00B9359B" w:rsidRDefault="009A5268">
            <w:pPr>
              <w:pStyle w:val="Tabletext"/>
              <w:framePr w:hSpace="181" w:wrap="notBeside" w:vAnchor="text" w:hAnchor="text" w:xAlign="center" w:y="1"/>
              <w:spacing w:before="50" w:after="50"/>
              <w:jc w:val="center"/>
            </w:pPr>
            <w:r>
              <w:t>Sun-synchronous polar</w:t>
            </w:r>
          </w:p>
        </w:tc>
      </w:tr>
      <w:tr w:rsidR="00B9359B">
        <w:tc>
          <w:tcPr>
            <w:tcW w:w="4428" w:type="dxa"/>
          </w:tcPr>
          <w:p w:rsidR="00B9359B" w:rsidRDefault="009A5268">
            <w:pPr>
              <w:pStyle w:val="Tabletext"/>
              <w:framePr w:hSpace="181" w:wrap="notBeside" w:vAnchor="text" w:hAnchor="text" w:xAlign="center" w:y="1"/>
              <w:spacing w:before="50" w:after="50"/>
              <w:rPr>
                <w:lang w:val="en-US"/>
              </w:rPr>
            </w:pPr>
            <w:r>
              <w:rPr>
                <w:lang w:val="en-US"/>
              </w:rPr>
              <w:t>Mainlobe antenna gain (dBi)</w:t>
            </w:r>
          </w:p>
        </w:tc>
        <w:tc>
          <w:tcPr>
            <w:tcW w:w="4791" w:type="dxa"/>
          </w:tcPr>
          <w:p w:rsidR="00B9359B" w:rsidRDefault="009A5268">
            <w:pPr>
              <w:pStyle w:val="Tabletext"/>
              <w:framePr w:hSpace="181" w:wrap="notBeside" w:vAnchor="text" w:hAnchor="text" w:xAlign="center" w:y="1"/>
              <w:spacing w:before="50" w:after="50"/>
              <w:jc w:val="center"/>
              <w:rPr>
                <w:lang w:val="en-US"/>
              </w:rPr>
            </w:pPr>
            <w:r>
              <w:rPr>
                <w:lang w:val="en-US"/>
              </w:rPr>
              <w:t>45</w:t>
            </w:r>
          </w:p>
        </w:tc>
      </w:tr>
      <w:tr w:rsidR="00B9359B">
        <w:tc>
          <w:tcPr>
            <w:tcW w:w="4428" w:type="dxa"/>
          </w:tcPr>
          <w:p w:rsidR="00B9359B" w:rsidRDefault="009A5268">
            <w:pPr>
              <w:pStyle w:val="Tabletext"/>
              <w:framePr w:hSpace="181" w:wrap="notBeside" w:vAnchor="text" w:hAnchor="text" w:xAlign="center" w:y="1"/>
              <w:spacing w:before="50" w:after="50"/>
              <w:rPr>
                <w:lang w:val="en-US"/>
              </w:rPr>
            </w:pPr>
            <w:r>
              <w:rPr>
                <w:lang w:val="en-US"/>
              </w:rPr>
              <w:t>Antenna 3 dB beamwidth (degrees)</w:t>
            </w:r>
          </w:p>
        </w:tc>
        <w:tc>
          <w:tcPr>
            <w:tcW w:w="4791" w:type="dxa"/>
          </w:tcPr>
          <w:p w:rsidR="00B9359B" w:rsidRDefault="009A5268">
            <w:pPr>
              <w:pStyle w:val="Tabletext"/>
              <w:framePr w:hSpace="181" w:wrap="notBeside" w:vAnchor="text" w:hAnchor="text" w:xAlign="center" w:y="1"/>
              <w:spacing w:before="50" w:after="50"/>
              <w:jc w:val="center"/>
              <w:rPr>
                <w:lang w:val="en-US"/>
              </w:rPr>
            </w:pPr>
            <w:r>
              <w:rPr>
                <w:lang w:val="en-US"/>
              </w:rPr>
              <w:t>1.1</w:t>
            </w:r>
          </w:p>
        </w:tc>
      </w:tr>
      <w:tr w:rsidR="00B9359B">
        <w:tc>
          <w:tcPr>
            <w:tcW w:w="4428" w:type="dxa"/>
          </w:tcPr>
          <w:p w:rsidR="00B9359B" w:rsidRDefault="009A5268">
            <w:pPr>
              <w:pStyle w:val="Tabletext"/>
              <w:framePr w:hSpace="181" w:wrap="notBeside" w:vAnchor="text" w:hAnchor="text" w:xAlign="center" w:y="1"/>
              <w:spacing w:before="50" w:after="50"/>
              <w:rPr>
                <w:lang w:val="en-US"/>
              </w:rPr>
            </w:pPr>
            <w:r>
              <w:rPr>
                <w:lang w:val="en-US"/>
              </w:rPr>
              <w:t>Antenna pattern</w:t>
            </w:r>
          </w:p>
        </w:tc>
        <w:tc>
          <w:tcPr>
            <w:tcW w:w="4791" w:type="dxa"/>
          </w:tcPr>
          <w:p w:rsidR="00B9359B" w:rsidRDefault="009A5268">
            <w:pPr>
              <w:pStyle w:val="Tabletext"/>
              <w:framePr w:hSpace="181" w:wrap="notBeside" w:vAnchor="text" w:hAnchor="text" w:xAlign="center" w:y="1"/>
              <w:spacing w:before="50" w:after="50"/>
              <w:jc w:val="center"/>
              <w:rPr>
                <w:lang w:val="en-US"/>
              </w:rPr>
            </w:pPr>
            <w:r>
              <w:rPr>
                <w:lang w:val="en-US"/>
              </w:rPr>
              <w:t>Recommendation ITU-R F.1245</w:t>
            </w:r>
          </w:p>
        </w:tc>
      </w:tr>
      <w:tr w:rsidR="00B9359B" w:rsidRPr="00D35B94">
        <w:tc>
          <w:tcPr>
            <w:tcW w:w="4428" w:type="dxa"/>
          </w:tcPr>
          <w:p w:rsidR="00B9359B" w:rsidRDefault="009A5268">
            <w:pPr>
              <w:pStyle w:val="Tabletext"/>
              <w:framePr w:hSpace="181" w:wrap="notBeside" w:vAnchor="text" w:hAnchor="text" w:xAlign="center" w:y="1"/>
              <w:spacing w:before="50" w:after="50"/>
              <w:rPr>
                <w:lang w:val="en-US"/>
              </w:rPr>
            </w:pPr>
            <w:r>
              <w:rPr>
                <w:lang w:val="en-US"/>
              </w:rPr>
              <w:t>FOV (re. sensor) (degrees)</w:t>
            </w:r>
          </w:p>
        </w:tc>
        <w:tc>
          <w:tcPr>
            <w:tcW w:w="4791" w:type="dxa"/>
          </w:tcPr>
          <w:p w:rsidR="00B9359B" w:rsidRDefault="009A5268">
            <w:pPr>
              <w:pStyle w:val="Tabletext"/>
              <w:framePr w:hSpace="181" w:wrap="notBeside" w:vAnchor="text" w:hAnchor="text" w:xAlign="center" w:y="1"/>
              <w:spacing w:before="50" w:after="50"/>
              <w:jc w:val="center"/>
              <w:rPr>
                <w:lang w:val="en-US"/>
              </w:rPr>
            </w:pPr>
            <w:r>
              <w:rPr>
                <w:rFonts w:ascii="Symbol" w:hAnsi="Symbol"/>
                <w:lang w:val="en-US"/>
              </w:rPr>
              <w:t></w:t>
            </w:r>
            <w:r>
              <w:rPr>
                <w:lang w:val="en-US"/>
              </w:rPr>
              <w:t xml:space="preserve"> 50 cross track re. nadir direction</w:t>
            </w:r>
          </w:p>
        </w:tc>
      </w:tr>
      <w:tr w:rsidR="00B9359B">
        <w:tc>
          <w:tcPr>
            <w:tcW w:w="4428" w:type="dxa"/>
          </w:tcPr>
          <w:p w:rsidR="00B9359B" w:rsidRDefault="009A5268">
            <w:pPr>
              <w:pStyle w:val="Tabletext"/>
              <w:framePr w:hSpace="181" w:wrap="notBeside" w:vAnchor="text" w:hAnchor="text" w:xAlign="center" w:y="1"/>
              <w:spacing w:before="50" w:after="50"/>
              <w:rPr>
                <w:lang w:val="en-US"/>
              </w:rPr>
            </w:pPr>
            <w:r>
              <w:rPr>
                <w:lang w:val="en-US"/>
              </w:rPr>
              <w:t>FOV (re. Earth’s centre) (degrees)</w:t>
            </w:r>
          </w:p>
        </w:tc>
        <w:tc>
          <w:tcPr>
            <w:tcW w:w="4791" w:type="dxa"/>
          </w:tcPr>
          <w:p w:rsidR="00B9359B" w:rsidRDefault="009A5268">
            <w:pPr>
              <w:pStyle w:val="Tabletext"/>
              <w:framePr w:hSpace="181" w:wrap="notBeside" w:vAnchor="text" w:hAnchor="text" w:xAlign="center" w:y="1"/>
              <w:spacing w:before="50" w:after="50"/>
              <w:jc w:val="center"/>
              <w:rPr>
                <w:lang w:val="en-US"/>
              </w:rPr>
            </w:pPr>
            <w:r>
              <w:rPr>
                <w:rFonts w:ascii="Symbol" w:hAnsi="Symbol"/>
                <w:lang w:val="en-US"/>
              </w:rPr>
              <w:t></w:t>
            </w:r>
            <w:r>
              <w:rPr>
                <w:lang w:val="en-US"/>
              </w:rPr>
              <w:t xml:space="preserve"> 10.25 geocentric</w:t>
            </w:r>
          </w:p>
        </w:tc>
      </w:tr>
      <w:tr w:rsidR="00B9359B">
        <w:tc>
          <w:tcPr>
            <w:tcW w:w="4428" w:type="dxa"/>
          </w:tcPr>
          <w:p w:rsidR="00B9359B" w:rsidRDefault="009A5268">
            <w:pPr>
              <w:pStyle w:val="Tabletext"/>
              <w:framePr w:hSpace="181" w:wrap="notBeside" w:vAnchor="text" w:hAnchor="text" w:xAlign="center" w:y="1"/>
              <w:spacing w:before="50" w:after="50"/>
              <w:rPr>
                <w:lang w:val="en-US"/>
              </w:rPr>
            </w:pPr>
            <w:r>
              <w:rPr>
                <w:lang w:val="en-US"/>
              </w:rPr>
              <w:t>Pixel diameter at nadir (km)</w:t>
            </w:r>
          </w:p>
        </w:tc>
        <w:tc>
          <w:tcPr>
            <w:tcW w:w="4791" w:type="dxa"/>
          </w:tcPr>
          <w:p w:rsidR="00B9359B" w:rsidRDefault="009A5268">
            <w:pPr>
              <w:pStyle w:val="Tabletext"/>
              <w:framePr w:hSpace="181" w:wrap="notBeside" w:vAnchor="text" w:hAnchor="text" w:xAlign="center" w:y="1"/>
              <w:spacing w:before="50" w:after="50"/>
              <w:jc w:val="center"/>
              <w:rPr>
                <w:lang w:val="en-US"/>
              </w:rPr>
            </w:pPr>
            <w:r>
              <w:rPr>
                <w:lang w:val="en-US"/>
              </w:rPr>
              <w:t>16</w:t>
            </w:r>
          </w:p>
        </w:tc>
      </w:tr>
      <w:tr w:rsidR="00B9359B">
        <w:tc>
          <w:tcPr>
            <w:tcW w:w="4428" w:type="dxa"/>
          </w:tcPr>
          <w:p w:rsidR="00B9359B" w:rsidRDefault="009A5268">
            <w:pPr>
              <w:pStyle w:val="Tabletext"/>
              <w:framePr w:hSpace="181" w:wrap="notBeside" w:vAnchor="text" w:hAnchor="text" w:xAlign="center" w:y="1"/>
              <w:spacing w:before="50" w:after="50"/>
              <w:rPr>
                <w:lang w:val="en-US"/>
              </w:rPr>
            </w:pPr>
            <w:r>
              <w:rPr>
                <w:lang w:val="en-US"/>
              </w:rPr>
              <w:t>Pixels per swath</w:t>
            </w:r>
          </w:p>
        </w:tc>
        <w:tc>
          <w:tcPr>
            <w:tcW w:w="4791" w:type="dxa"/>
          </w:tcPr>
          <w:p w:rsidR="00B9359B" w:rsidRDefault="009A5268">
            <w:pPr>
              <w:pStyle w:val="Tabletext"/>
              <w:framePr w:hSpace="181" w:wrap="notBeside" w:vAnchor="text" w:hAnchor="text" w:xAlign="center" w:y="1"/>
              <w:spacing w:before="50" w:after="50"/>
              <w:jc w:val="center"/>
              <w:rPr>
                <w:lang w:val="en-US"/>
              </w:rPr>
            </w:pPr>
            <w:r>
              <w:rPr>
                <w:lang w:val="en-US"/>
              </w:rPr>
              <w:t>90</w:t>
            </w:r>
          </w:p>
        </w:tc>
      </w:tr>
      <w:tr w:rsidR="00B9359B">
        <w:tc>
          <w:tcPr>
            <w:tcW w:w="4428" w:type="dxa"/>
          </w:tcPr>
          <w:p w:rsidR="00B9359B" w:rsidRDefault="009A5268">
            <w:pPr>
              <w:pStyle w:val="Tabletext"/>
              <w:framePr w:hSpace="181" w:wrap="notBeside" w:vAnchor="text" w:hAnchor="text" w:xAlign="center" w:y="1"/>
              <w:spacing w:before="50" w:after="50"/>
              <w:rPr>
                <w:lang w:val="en-US"/>
              </w:rPr>
            </w:pPr>
            <w:r>
              <w:rPr>
                <w:lang w:val="en-US"/>
              </w:rPr>
              <w:t>Swath width (km)</w:t>
            </w:r>
          </w:p>
        </w:tc>
        <w:tc>
          <w:tcPr>
            <w:tcW w:w="4791" w:type="dxa"/>
          </w:tcPr>
          <w:p w:rsidR="00B9359B" w:rsidRDefault="009A5268">
            <w:pPr>
              <w:pStyle w:val="Tabletext"/>
              <w:framePr w:hSpace="181" w:wrap="notBeside" w:vAnchor="text" w:hAnchor="text" w:xAlign="center" w:y="1"/>
              <w:spacing w:before="50" w:after="50"/>
              <w:jc w:val="center"/>
              <w:rPr>
                <w:lang w:val="en-US"/>
              </w:rPr>
            </w:pPr>
            <w:r>
              <w:rPr>
                <w:lang w:val="en-US"/>
              </w:rPr>
              <w:t>2</w:t>
            </w:r>
            <w:r>
              <w:rPr>
                <w:rFonts w:ascii="Tms Rmn" w:hAnsi="Tms Rmn"/>
                <w:sz w:val="12"/>
                <w:lang w:val="en-US"/>
              </w:rPr>
              <w:t> </w:t>
            </w:r>
            <w:r>
              <w:rPr>
                <w:lang w:val="en-US"/>
              </w:rPr>
              <w:t>300</w:t>
            </w:r>
          </w:p>
        </w:tc>
      </w:tr>
    </w:tbl>
    <w:p w:rsidR="00B9359B" w:rsidRDefault="00B9359B">
      <w:pPr>
        <w:pStyle w:val="Tablefin"/>
        <w:spacing w:before="0"/>
      </w:pPr>
    </w:p>
    <w:p w:rsidR="00B9359B" w:rsidRDefault="009A5268">
      <w:pPr>
        <w:pStyle w:val="Heading1"/>
        <w:rPr>
          <w:lang w:val="en-US"/>
        </w:rPr>
      </w:pPr>
      <w:bookmarkStart w:id="590" w:name="_Toc51045989"/>
      <w:r>
        <w:rPr>
          <w:lang w:val="en-US"/>
        </w:rPr>
        <w:t>2</w:t>
      </w:r>
      <w:r>
        <w:rPr>
          <w:lang w:val="en-US"/>
        </w:rPr>
        <w:tab/>
        <w:t>FSS (Earth-to-space)</w:t>
      </w:r>
      <w:bookmarkEnd w:id="590"/>
    </w:p>
    <w:p w:rsidR="00B9359B" w:rsidRDefault="009A5268">
      <w:pPr>
        <w:pStyle w:val="Heading2"/>
        <w:rPr>
          <w:lang w:val="en-US"/>
        </w:rPr>
      </w:pPr>
      <w:bookmarkStart w:id="591" w:name="_Toc51045990"/>
      <w:r>
        <w:rPr>
          <w:lang w:val="en-US"/>
        </w:rPr>
        <w:t>2.1</w:t>
      </w:r>
      <w:r>
        <w:rPr>
          <w:lang w:val="en-US"/>
        </w:rPr>
        <w:tab/>
        <w:t>Transmit band</w:t>
      </w:r>
      <w:bookmarkEnd w:id="591"/>
    </w:p>
    <w:p w:rsidR="00B9359B" w:rsidRDefault="009A5268">
      <w:pPr>
        <w:rPr>
          <w:lang w:val="en-US"/>
        </w:rPr>
      </w:pPr>
      <w:r>
        <w:rPr>
          <w:lang w:val="en-US"/>
        </w:rPr>
        <w:t>Refer to Table 99.</w:t>
      </w:r>
    </w:p>
    <w:p w:rsidR="00B9359B" w:rsidRDefault="009A5268">
      <w:pPr>
        <w:pStyle w:val="Heading2"/>
        <w:rPr>
          <w:lang w:val="en-US"/>
        </w:rPr>
      </w:pPr>
      <w:bookmarkStart w:id="592" w:name="_Toc51045991"/>
      <w:r>
        <w:rPr>
          <w:lang w:val="en-US"/>
        </w:rPr>
        <w:t>2.2</w:t>
      </w:r>
      <w:r>
        <w:rPr>
          <w:lang w:val="en-US"/>
        </w:rPr>
        <w:tab/>
        <w:t>Application</w:t>
      </w:r>
      <w:bookmarkEnd w:id="592"/>
    </w:p>
    <w:p w:rsidR="00B9359B" w:rsidRDefault="009A5268">
      <w:pPr>
        <w:rPr>
          <w:lang w:val="en-US"/>
        </w:rPr>
      </w:pPr>
      <w:r>
        <w:rPr>
          <w:lang w:val="en-US"/>
        </w:rPr>
        <w:t>The active services under consideration for this Annex are the FSS (Earth-to-space) in the 47.2-50.2 GHz band.</w:t>
      </w:r>
    </w:p>
    <w:p w:rsidR="00B9359B" w:rsidRDefault="009A5268">
      <w:pPr>
        <w:pStyle w:val="Heading2"/>
        <w:rPr>
          <w:lang w:val="en-US"/>
        </w:rPr>
      </w:pPr>
      <w:bookmarkStart w:id="593" w:name="_Toc51045992"/>
      <w:r>
        <w:rPr>
          <w:lang w:val="en-US"/>
        </w:rPr>
        <w:t>2.3</w:t>
      </w:r>
      <w:r>
        <w:rPr>
          <w:lang w:val="en-US"/>
        </w:rPr>
        <w:tab/>
        <w:t>Levels based on spectral representation</w:t>
      </w:r>
      <w:bookmarkEnd w:id="593"/>
    </w:p>
    <w:p w:rsidR="00B9359B" w:rsidRDefault="009A5268">
      <w:pPr>
        <w:rPr>
          <w:lang w:val="en-US"/>
        </w:rPr>
      </w:pPr>
      <w:r>
        <w:rPr>
          <w:lang w:val="en-US"/>
        </w:rPr>
        <w:t>This Annex uses the raised cosine spectral representation, which is described in Annex 1 of this Recommendation.</w:t>
      </w:r>
    </w:p>
    <w:p w:rsidR="00B9359B" w:rsidRDefault="009A5268">
      <w:pPr>
        <w:rPr>
          <w:lang w:val="en-US"/>
        </w:rPr>
      </w:pPr>
      <w:r>
        <w:rPr>
          <w:lang w:val="en-US"/>
        </w:rPr>
        <w:t>This spectral representation is intended for band-by-band studies and is provisional, pending further review within the ITU-R. It represents in a very general way the typical mean power distribution through the OoB and spurious domains in an adjacent or nearby allocation.</w:t>
      </w:r>
    </w:p>
    <w:p w:rsidR="00B9359B" w:rsidRDefault="009A5268">
      <w:pPr>
        <w:pStyle w:val="Heading2"/>
        <w:rPr>
          <w:lang w:val="en-US"/>
        </w:rPr>
      </w:pPr>
      <w:bookmarkStart w:id="594" w:name="_Toc51045993"/>
      <w:r>
        <w:rPr>
          <w:lang w:val="en-US"/>
        </w:rPr>
        <w:t>2.4</w:t>
      </w:r>
      <w:r>
        <w:rPr>
          <w:lang w:val="en-US"/>
        </w:rPr>
        <w:tab/>
        <w:t>Transmitter characteristics</w:t>
      </w:r>
      <w:bookmarkEnd w:id="594"/>
    </w:p>
    <w:p w:rsidR="00B9359B" w:rsidRDefault="009A5268">
      <w:pPr>
        <w:rPr>
          <w:lang w:val="en-US"/>
        </w:rPr>
      </w:pPr>
      <w:r>
        <w:rPr>
          <w:lang w:val="en-US"/>
        </w:rPr>
        <w:t>The characteristics for the FSS and MSS are derived from Recommendation ITU</w:t>
      </w:r>
      <w:r>
        <w:rPr>
          <w:lang w:val="en-US"/>
        </w:rPr>
        <w:noBreakHyphen/>
        <w:t>R S.1328</w:t>
      </w:r>
      <w:r>
        <w:rPr>
          <w:lang w:val="en-US"/>
        </w:rPr>
        <w:noBreakHyphen/>
        <w:t>3 – Satellite system characteristics to be considered in frequency sharing analyses between geostationary-satellite orbit (GSO) and non-GSO satellite systems in the fixed-satellite service (FSS) including feeder links for the mobile-satellite service (MSS), and listed in Tables 101 and 102.</w:t>
      </w:r>
    </w:p>
    <w:p w:rsidR="00B9359B" w:rsidRDefault="009A5268">
      <w:pPr>
        <w:pStyle w:val="Heading2"/>
        <w:rPr>
          <w:lang w:val="en-US"/>
        </w:rPr>
      </w:pPr>
      <w:bookmarkStart w:id="595" w:name="_Toc51045994"/>
      <w:r>
        <w:rPr>
          <w:lang w:val="en-US"/>
        </w:rPr>
        <w:br w:type="page"/>
        <w:t>2.5</w:t>
      </w:r>
      <w:r>
        <w:rPr>
          <w:lang w:val="en-US"/>
        </w:rPr>
        <w:tab/>
        <w:t>Operational characteristics</w:t>
      </w:r>
      <w:bookmarkEnd w:id="595"/>
    </w:p>
    <w:p w:rsidR="00B9359B" w:rsidRDefault="009A5268">
      <w:pPr>
        <w:pStyle w:val="TableNo"/>
        <w:rPr>
          <w:lang w:val="en-US"/>
        </w:rPr>
      </w:pPr>
      <w:r>
        <w:rPr>
          <w:lang w:val="en-US"/>
        </w:rPr>
        <w:t>TABLE  101</w:t>
      </w:r>
    </w:p>
    <w:p w:rsidR="00B9359B" w:rsidRDefault="009A5268">
      <w:pPr>
        <w:pStyle w:val="Tabletitle"/>
        <w:rPr>
          <w:lang w:val="en-US"/>
        </w:rPr>
      </w:pPr>
      <w:r>
        <w:rPr>
          <w:lang w:val="en-US"/>
        </w:rPr>
        <w:t>Characteristics of non-GSO uplink earth stations</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977"/>
        <w:gridCol w:w="1843"/>
        <w:gridCol w:w="1843"/>
        <w:gridCol w:w="1843"/>
      </w:tblGrid>
      <w:tr w:rsidR="00B9359B">
        <w:trPr>
          <w:cantSplit/>
        </w:trPr>
        <w:tc>
          <w:tcPr>
            <w:tcW w:w="2977" w:type="dxa"/>
          </w:tcPr>
          <w:p w:rsidR="00B9359B" w:rsidRDefault="009A5268">
            <w:pPr>
              <w:pStyle w:val="Tablehead"/>
              <w:framePr w:hSpace="181" w:wrap="notBeside" w:vAnchor="text" w:hAnchor="text" w:xAlign="center" w:y="1"/>
              <w:jc w:val="left"/>
              <w:rPr>
                <w:lang w:val="en-US"/>
              </w:rPr>
            </w:pPr>
            <w:r>
              <w:rPr>
                <w:lang w:val="en-US"/>
              </w:rPr>
              <w:t>System</w:t>
            </w:r>
          </w:p>
        </w:tc>
        <w:tc>
          <w:tcPr>
            <w:tcW w:w="1843" w:type="dxa"/>
          </w:tcPr>
          <w:p w:rsidR="00B9359B" w:rsidRDefault="009A5268">
            <w:pPr>
              <w:pStyle w:val="Tablehead"/>
              <w:framePr w:hSpace="181" w:wrap="notBeside" w:vAnchor="text" w:hAnchor="text" w:xAlign="center" w:y="1"/>
              <w:rPr>
                <w:lang w:val="en-US"/>
              </w:rPr>
            </w:pPr>
            <w:r>
              <w:rPr>
                <w:lang w:val="en-US"/>
              </w:rPr>
              <w:t>MEOSAT-X</w:t>
            </w:r>
          </w:p>
        </w:tc>
        <w:tc>
          <w:tcPr>
            <w:tcW w:w="1843" w:type="dxa"/>
          </w:tcPr>
          <w:p w:rsidR="00B9359B" w:rsidRDefault="009A5268">
            <w:pPr>
              <w:pStyle w:val="Tablehead"/>
              <w:framePr w:hSpace="181" w:wrap="notBeside" w:vAnchor="text" w:hAnchor="text" w:xAlign="center" w:y="1"/>
              <w:rPr>
                <w:lang w:val="es-ES"/>
              </w:rPr>
            </w:pPr>
            <w:r>
              <w:rPr>
                <w:lang w:val="es-ES"/>
              </w:rPr>
              <w:t>LEO</w:t>
            </w:r>
            <w:r>
              <w:rPr>
                <w:sz w:val="16"/>
                <w:lang w:val="es-ES"/>
              </w:rPr>
              <w:t xml:space="preserve">  </w:t>
            </w:r>
            <w:r>
              <w:rPr>
                <w:lang w:val="es-ES"/>
              </w:rPr>
              <w:t>V1</w:t>
            </w:r>
          </w:p>
        </w:tc>
        <w:tc>
          <w:tcPr>
            <w:tcW w:w="1843" w:type="dxa"/>
          </w:tcPr>
          <w:p w:rsidR="00B9359B" w:rsidRDefault="009A5268">
            <w:pPr>
              <w:pStyle w:val="Tablehead"/>
              <w:framePr w:hSpace="181" w:wrap="notBeside" w:vAnchor="text" w:hAnchor="text" w:xAlign="center" w:y="1"/>
              <w:rPr>
                <w:lang w:val="es-ES"/>
              </w:rPr>
            </w:pPr>
            <w:r>
              <w:rPr>
                <w:lang w:val="es-ES"/>
              </w:rPr>
              <w:t>LEO</w:t>
            </w:r>
            <w:r>
              <w:rPr>
                <w:sz w:val="16"/>
                <w:lang w:val="es-ES"/>
              </w:rPr>
              <w:t xml:space="preserve">  </w:t>
            </w:r>
            <w:r>
              <w:rPr>
                <w:lang w:val="es-ES"/>
              </w:rPr>
              <w:t>V2</w:t>
            </w:r>
          </w:p>
        </w:tc>
      </w:tr>
      <w:tr w:rsidR="00B9359B">
        <w:trPr>
          <w:cantSplit/>
        </w:trPr>
        <w:tc>
          <w:tcPr>
            <w:tcW w:w="2977" w:type="dxa"/>
          </w:tcPr>
          <w:p w:rsidR="00B9359B" w:rsidRDefault="009A5268">
            <w:pPr>
              <w:pStyle w:val="Tabletext"/>
              <w:framePr w:hSpace="181" w:wrap="notBeside" w:vAnchor="text" w:hAnchor="text" w:xAlign="center" w:y="1"/>
              <w:spacing w:before="50" w:after="50"/>
              <w:ind w:left="113"/>
              <w:rPr>
                <w:lang w:val="en-US"/>
              </w:rPr>
            </w:pPr>
            <w:r>
              <w:rPr>
                <w:lang w:val="en-US"/>
              </w:rPr>
              <w:t>Orbit</w:t>
            </w:r>
          </w:p>
        </w:tc>
        <w:tc>
          <w:tcPr>
            <w:tcW w:w="1843" w:type="dxa"/>
          </w:tcPr>
          <w:p w:rsidR="00B9359B" w:rsidRDefault="009A5268">
            <w:pPr>
              <w:pStyle w:val="Tabletext"/>
              <w:framePr w:hSpace="181" w:wrap="notBeside" w:vAnchor="text" w:hAnchor="text" w:xAlign="center" w:y="1"/>
              <w:spacing w:before="50" w:after="50"/>
              <w:jc w:val="center"/>
              <w:rPr>
                <w:lang w:val="en-US"/>
              </w:rPr>
            </w:pPr>
            <w:r>
              <w:rPr>
                <w:lang w:val="en-US"/>
              </w:rPr>
              <w:t>Circular</w:t>
            </w:r>
          </w:p>
        </w:tc>
        <w:tc>
          <w:tcPr>
            <w:tcW w:w="1843" w:type="dxa"/>
          </w:tcPr>
          <w:p w:rsidR="00B9359B" w:rsidRDefault="009A5268">
            <w:pPr>
              <w:pStyle w:val="Tabletext"/>
              <w:framePr w:hSpace="181" w:wrap="notBeside" w:vAnchor="text" w:hAnchor="text" w:xAlign="center" w:y="1"/>
              <w:spacing w:before="50" w:after="50"/>
              <w:jc w:val="center"/>
              <w:rPr>
                <w:lang w:val="en-US"/>
              </w:rPr>
            </w:pPr>
            <w:r>
              <w:rPr>
                <w:lang w:val="en-US"/>
              </w:rPr>
              <w:t>Circular</w:t>
            </w:r>
          </w:p>
        </w:tc>
        <w:tc>
          <w:tcPr>
            <w:tcW w:w="1843" w:type="dxa"/>
          </w:tcPr>
          <w:p w:rsidR="00B9359B" w:rsidRDefault="009A5268">
            <w:pPr>
              <w:pStyle w:val="Tabletext"/>
              <w:framePr w:hSpace="181" w:wrap="notBeside" w:vAnchor="text" w:hAnchor="text" w:xAlign="center" w:y="1"/>
              <w:spacing w:before="50" w:after="50"/>
              <w:jc w:val="center"/>
              <w:rPr>
                <w:lang w:val="en-US"/>
              </w:rPr>
            </w:pPr>
            <w:r>
              <w:rPr>
                <w:lang w:val="en-US"/>
              </w:rPr>
              <w:t>Circular</w:t>
            </w:r>
          </w:p>
        </w:tc>
      </w:tr>
      <w:tr w:rsidR="00B9359B">
        <w:trPr>
          <w:cantSplit/>
        </w:trPr>
        <w:tc>
          <w:tcPr>
            <w:tcW w:w="2977" w:type="dxa"/>
          </w:tcPr>
          <w:p w:rsidR="00B9359B" w:rsidRDefault="009A5268">
            <w:pPr>
              <w:pStyle w:val="Tabletext"/>
              <w:framePr w:hSpace="181" w:wrap="notBeside" w:vAnchor="text" w:hAnchor="text" w:xAlign="center" w:y="1"/>
              <w:spacing w:before="50" w:after="50"/>
              <w:ind w:left="113"/>
              <w:rPr>
                <w:lang w:val="en-US"/>
              </w:rPr>
            </w:pPr>
            <w:r>
              <w:rPr>
                <w:lang w:val="en-US"/>
              </w:rPr>
              <w:t>Altitude (km)</w:t>
            </w:r>
          </w:p>
        </w:tc>
        <w:tc>
          <w:tcPr>
            <w:tcW w:w="1843" w:type="dxa"/>
          </w:tcPr>
          <w:p w:rsidR="00B9359B" w:rsidRDefault="009A5268">
            <w:pPr>
              <w:pStyle w:val="Tabletext"/>
              <w:framePr w:hSpace="181" w:wrap="notBeside" w:vAnchor="text" w:hAnchor="text" w:xAlign="center" w:y="1"/>
              <w:spacing w:before="50" w:after="50"/>
              <w:jc w:val="center"/>
              <w:rPr>
                <w:lang w:val="en-US"/>
              </w:rPr>
            </w:pPr>
            <w:r>
              <w:rPr>
                <w:lang w:val="en-US"/>
              </w:rPr>
              <w:t>10</w:t>
            </w:r>
            <w:r>
              <w:rPr>
                <w:rFonts w:ascii="Tms Rmn" w:hAnsi="Tms Rmn"/>
                <w:sz w:val="12"/>
                <w:lang w:val="en-US"/>
              </w:rPr>
              <w:t> </w:t>
            </w:r>
            <w:r>
              <w:rPr>
                <w:lang w:val="en-US"/>
              </w:rPr>
              <w:t>352</w:t>
            </w:r>
          </w:p>
        </w:tc>
        <w:tc>
          <w:tcPr>
            <w:tcW w:w="1843" w:type="dxa"/>
          </w:tcPr>
          <w:p w:rsidR="00B9359B" w:rsidRDefault="009A5268">
            <w:pPr>
              <w:pStyle w:val="Tabletext"/>
              <w:framePr w:hSpace="181" w:wrap="notBeside" w:vAnchor="text" w:hAnchor="text" w:xAlign="center" w:y="1"/>
              <w:spacing w:before="50" w:after="50"/>
              <w:jc w:val="center"/>
              <w:rPr>
                <w:lang w:val="en-US"/>
              </w:rPr>
            </w:pPr>
            <w:r>
              <w:rPr>
                <w:lang w:val="en-US"/>
              </w:rPr>
              <w:t>1</w:t>
            </w:r>
            <w:r>
              <w:rPr>
                <w:rFonts w:ascii="Tms Rmn" w:hAnsi="Tms Rmn"/>
                <w:sz w:val="12"/>
                <w:lang w:val="en-US"/>
              </w:rPr>
              <w:t> </w:t>
            </w:r>
            <w:r>
              <w:rPr>
                <w:lang w:val="en-US"/>
              </w:rPr>
              <w:t>350</w:t>
            </w:r>
          </w:p>
        </w:tc>
        <w:tc>
          <w:tcPr>
            <w:tcW w:w="1843" w:type="dxa"/>
          </w:tcPr>
          <w:p w:rsidR="00B9359B" w:rsidRDefault="009A5268">
            <w:pPr>
              <w:pStyle w:val="Tabletext"/>
              <w:framePr w:hSpace="181" w:wrap="notBeside" w:vAnchor="text" w:hAnchor="text" w:xAlign="center" w:y="1"/>
              <w:spacing w:before="50" w:after="50"/>
              <w:jc w:val="center"/>
              <w:rPr>
                <w:lang w:val="en-US"/>
              </w:rPr>
            </w:pPr>
            <w:r>
              <w:rPr>
                <w:lang w:val="en-US"/>
              </w:rPr>
              <w:t>10</w:t>
            </w:r>
            <w:r>
              <w:rPr>
                <w:rFonts w:ascii="Tms Rmn" w:hAnsi="Tms Rmn"/>
                <w:sz w:val="12"/>
                <w:lang w:val="en-US"/>
              </w:rPr>
              <w:t> </w:t>
            </w:r>
            <w:r>
              <w:rPr>
                <w:lang w:val="en-US"/>
              </w:rPr>
              <w:t>355</w:t>
            </w:r>
          </w:p>
        </w:tc>
      </w:tr>
      <w:tr w:rsidR="00B9359B">
        <w:trPr>
          <w:cantSplit/>
        </w:trPr>
        <w:tc>
          <w:tcPr>
            <w:tcW w:w="2977" w:type="dxa"/>
          </w:tcPr>
          <w:p w:rsidR="00B9359B" w:rsidRDefault="009A5268">
            <w:pPr>
              <w:pStyle w:val="Tabletext"/>
              <w:framePr w:hSpace="181" w:wrap="notBeside" w:vAnchor="text" w:hAnchor="text" w:xAlign="center" w:y="1"/>
              <w:spacing w:before="50" w:after="50"/>
              <w:ind w:left="113"/>
              <w:rPr>
                <w:lang w:val="en-US"/>
              </w:rPr>
            </w:pPr>
            <w:r>
              <w:rPr>
                <w:lang w:val="en-US"/>
              </w:rPr>
              <w:t>Inclination (degrees)</w:t>
            </w:r>
          </w:p>
        </w:tc>
        <w:tc>
          <w:tcPr>
            <w:tcW w:w="1843" w:type="dxa"/>
          </w:tcPr>
          <w:p w:rsidR="00B9359B" w:rsidRDefault="009A5268">
            <w:pPr>
              <w:pStyle w:val="Tabletext"/>
              <w:framePr w:hSpace="181" w:wrap="notBeside" w:vAnchor="text" w:hAnchor="text" w:xAlign="center" w:y="1"/>
              <w:spacing w:before="50" w:after="50"/>
              <w:jc w:val="center"/>
              <w:rPr>
                <w:lang w:val="en-US"/>
              </w:rPr>
            </w:pPr>
            <w:r>
              <w:rPr>
                <w:lang w:val="en-US"/>
              </w:rPr>
              <w:t>50</w:t>
            </w:r>
          </w:p>
        </w:tc>
        <w:tc>
          <w:tcPr>
            <w:tcW w:w="1843" w:type="dxa"/>
          </w:tcPr>
          <w:p w:rsidR="00B9359B" w:rsidRDefault="009A5268">
            <w:pPr>
              <w:pStyle w:val="Tabletext"/>
              <w:framePr w:hSpace="181" w:wrap="notBeside" w:vAnchor="text" w:hAnchor="text" w:xAlign="center" w:y="1"/>
              <w:spacing w:before="50" w:after="50"/>
              <w:jc w:val="center"/>
              <w:rPr>
                <w:lang w:val="en-US"/>
              </w:rPr>
            </w:pPr>
            <w:r>
              <w:rPr>
                <w:lang w:val="en-US"/>
              </w:rPr>
              <w:t>47</w:t>
            </w:r>
          </w:p>
        </w:tc>
        <w:tc>
          <w:tcPr>
            <w:tcW w:w="1843" w:type="dxa"/>
          </w:tcPr>
          <w:p w:rsidR="00B9359B" w:rsidRDefault="009A5268">
            <w:pPr>
              <w:pStyle w:val="Tabletext"/>
              <w:framePr w:hSpace="181" w:wrap="notBeside" w:vAnchor="text" w:hAnchor="text" w:xAlign="center" w:y="1"/>
              <w:spacing w:before="50" w:after="50"/>
              <w:jc w:val="center"/>
              <w:rPr>
                <w:lang w:val="en-US"/>
              </w:rPr>
            </w:pPr>
            <w:r>
              <w:rPr>
                <w:lang w:val="en-US"/>
              </w:rPr>
              <w:t>50</w:t>
            </w:r>
          </w:p>
        </w:tc>
      </w:tr>
      <w:tr w:rsidR="00B9359B">
        <w:trPr>
          <w:cantSplit/>
        </w:trPr>
        <w:tc>
          <w:tcPr>
            <w:tcW w:w="2977" w:type="dxa"/>
          </w:tcPr>
          <w:p w:rsidR="00B9359B" w:rsidRDefault="009A5268">
            <w:pPr>
              <w:pStyle w:val="Tabletext"/>
              <w:framePr w:hSpace="181" w:wrap="notBeside" w:vAnchor="text" w:hAnchor="text" w:xAlign="center" w:y="1"/>
              <w:spacing w:before="50" w:after="50"/>
              <w:ind w:left="113"/>
              <w:rPr>
                <w:lang w:val="en-US"/>
              </w:rPr>
            </w:pPr>
            <w:r>
              <w:rPr>
                <w:lang w:val="en-US"/>
              </w:rPr>
              <w:t>Satellites in plane</w:t>
            </w:r>
          </w:p>
        </w:tc>
        <w:tc>
          <w:tcPr>
            <w:tcW w:w="1843" w:type="dxa"/>
          </w:tcPr>
          <w:p w:rsidR="00B9359B" w:rsidRDefault="009A5268">
            <w:pPr>
              <w:pStyle w:val="Tabletext"/>
              <w:framePr w:hSpace="181" w:wrap="notBeside" w:vAnchor="text" w:hAnchor="text" w:xAlign="center" w:y="1"/>
              <w:spacing w:before="50" w:after="50"/>
              <w:jc w:val="center"/>
              <w:rPr>
                <w:lang w:val="en-US"/>
              </w:rPr>
            </w:pPr>
            <w:r>
              <w:rPr>
                <w:lang w:val="en-US"/>
              </w:rPr>
              <w:t>8</w:t>
            </w:r>
          </w:p>
        </w:tc>
        <w:tc>
          <w:tcPr>
            <w:tcW w:w="1843" w:type="dxa"/>
          </w:tcPr>
          <w:p w:rsidR="00B9359B" w:rsidRDefault="009A5268">
            <w:pPr>
              <w:pStyle w:val="Tabletext"/>
              <w:framePr w:hSpace="181" w:wrap="notBeside" w:vAnchor="text" w:hAnchor="text" w:xAlign="center" w:y="1"/>
              <w:spacing w:before="50" w:after="50"/>
              <w:jc w:val="center"/>
              <w:rPr>
                <w:lang w:val="en-US"/>
              </w:rPr>
            </w:pPr>
            <w:r>
              <w:rPr>
                <w:lang w:val="en-US"/>
              </w:rPr>
              <w:t>6</w:t>
            </w:r>
          </w:p>
        </w:tc>
        <w:tc>
          <w:tcPr>
            <w:tcW w:w="1843" w:type="dxa"/>
          </w:tcPr>
          <w:p w:rsidR="00B9359B" w:rsidRDefault="009A5268">
            <w:pPr>
              <w:pStyle w:val="Tabletext"/>
              <w:framePr w:hSpace="181" w:wrap="notBeside" w:vAnchor="text" w:hAnchor="text" w:xAlign="center" w:y="1"/>
              <w:spacing w:before="50" w:after="50"/>
              <w:jc w:val="center"/>
              <w:rPr>
                <w:lang w:val="en-US"/>
              </w:rPr>
            </w:pPr>
            <w:r>
              <w:rPr>
                <w:lang w:val="en-US"/>
              </w:rPr>
              <w:t>5</w:t>
            </w:r>
          </w:p>
        </w:tc>
      </w:tr>
      <w:tr w:rsidR="00B9359B">
        <w:trPr>
          <w:cantSplit/>
        </w:trPr>
        <w:tc>
          <w:tcPr>
            <w:tcW w:w="2977" w:type="dxa"/>
          </w:tcPr>
          <w:p w:rsidR="00B9359B" w:rsidRDefault="009A5268">
            <w:pPr>
              <w:pStyle w:val="Tabletext"/>
              <w:framePr w:hSpace="181" w:wrap="notBeside" w:vAnchor="text" w:hAnchor="text" w:xAlign="center" w:y="1"/>
              <w:spacing w:before="50" w:after="50"/>
              <w:ind w:left="113"/>
              <w:rPr>
                <w:lang w:val="en-US"/>
              </w:rPr>
            </w:pPr>
            <w:r>
              <w:rPr>
                <w:lang w:val="en-US"/>
              </w:rPr>
              <w:t>Planes</w:t>
            </w:r>
          </w:p>
        </w:tc>
        <w:tc>
          <w:tcPr>
            <w:tcW w:w="1843" w:type="dxa"/>
          </w:tcPr>
          <w:p w:rsidR="00B9359B" w:rsidRDefault="009A5268">
            <w:pPr>
              <w:pStyle w:val="Tabletext"/>
              <w:framePr w:hSpace="181" w:wrap="notBeside" w:vAnchor="text" w:hAnchor="text" w:xAlign="center" w:y="1"/>
              <w:spacing w:before="50" w:after="50"/>
              <w:jc w:val="center"/>
              <w:rPr>
                <w:lang w:val="en-US"/>
              </w:rPr>
            </w:pPr>
            <w:r>
              <w:rPr>
                <w:lang w:val="en-US"/>
              </w:rPr>
              <w:t>4</w:t>
            </w:r>
          </w:p>
        </w:tc>
        <w:tc>
          <w:tcPr>
            <w:tcW w:w="1843" w:type="dxa"/>
          </w:tcPr>
          <w:p w:rsidR="00B9359B" w:rsidRDefault="009A5268">
            <w:pPr>
              <w:pStyle w:val="Tabletext"/>
              <w:framePr w:hSpace="181" w:wrap="notBeside" w:vAnchor="text" w:hAnchor="text" w:xAlign="center" w:y="1"/>
              <w:spacing w:before="50" w:after="50"/>
              <w:jc w:val="center"/>
              <w:rPr>
                <w:lang w:val="en-US"/>
              </w:rPr>
            </w:pPr>
            <w:r>
              <w:rPr>
                <w:lang w:val="en-US"/>
              </w:rPr>
              <w:t>12</w:t>
            </w:r>
          </w:p>
        </w:tc>
        <w:tc>
          <w:tcPr>
            <w:tcW w:w="1843" w:type="dxa"/>
          </w:tcPr>
          <w:p w:rsidR="00B9359B" w:rsidRDefault="009A5268">
            <w:pPr>
              <w:pStyle w:val="Tabletext"/>
              <w:framePr w:hSpace="181" w:wrap="notBeside" w:vAnchor="text" w:hAnchor="text" w:xAlign="center" w:y="1"/>
              <w:spacing w:before="50" w:after="50"/>
              <w:jc w:val="center"/>
              <w:rPr>
                <w:lang w:val="en-US"/>
              </w:rPr>
            </w:pPr>
            <w:r>
              <w:rPr>
                <w:lang w:val="en-US"/>
              </w:rPr>
              <w:t>3</w:t>
            </w:r>
          </w:p>
        </w:tc>
      </w:tr>
      <w:tr w:rsidR="00B9359B">
        <w:trPr>
          <w:cantSplit/>
        </w:trPr>
        <w:tc>
          <w:tcPr>
            <w:tcW w:w="2977" w:type="dxa"/>
          </w:tcPr>
          <w:p w:rsidR="00B9359B" w:rsidRDefault="009A5268">
            <w:pPr>
              <w:pStyle w:val="Tabletext"/>
              <w:framePr w:hSpace="181" w:wrap="notBeside" w:vAnchor="text" w:hAnchor="text" w:xAlign="center" w:y="1"/>
              <w:spacing w:before="50" w:after="50"/>
              <w:ind w:left="113"/>
              <w:rPr>
                <w:lang w:val="en-US"/>
              </w:rPr>
            </w:pPr>
            <w:r>
              <w:rPr>
                <w:lang w:val="en-US"/>
              </w:rPr>
              <w:t>Polarization</w:t>
            </w:r>
          </w:p>
        </w:tc>
        <w:tc>
          <w:tcPr>
            <w:tcW w:w="1843" w:type="dxa"/>
          </w:tcPr>
          <w:p w:rsidR="00B9359B" w:rsidRDefault="009A5268">
            <w:pPr>
              <w:pStyle w:val="Tabletext"/>
              <w:framePr w:hSpace="181" w:wrap="notBeside" w:vAnchor="text" w:hAnchor="text" w:xAlign="center" w:y="1"/>
              <w:spacing w:before="50" w:after="50"/>
              <w:jc w:val="center"/>
              <w:rPr>
                <w:lang w:val="en-US"/>
              </w:rPr>
            </w:pPr>
            <w:r>
              <w:rPr>
                <w:lang w:val="en-US"/>
              </w:rPr>
              <w:t>LHCP/RHCP</w:t>
            </w:r>
          </w:p>
        </w:tc>
        <w:tc>
          <w:tcPr>
            <w:tcW w:w="1843" w:type="dxa"/>
          </w:tcPr>
          <w:p w:rsidR="00B9359B" w:rsidRDefault="009A5268">
            <w:pPr>
              <w:pStyle w:val="Tabletext"/>
              <w:framePr w:hSpace="181" w:wrap="notBeside" w:vAnchor="text" w:hAnchor="text" w:xAlign="center" w:y="1"/>
              <w:spacing w:before="50" w:after="50"/>
              <w:jc w:val="center"/>
              <w:rPr>
                <w:lang w:val="en-US"/>
              </w:rPr>
            </w:pPr>
            <w:r>
              <w:rPr>
                <w:lang w:val="en-US"/>
              </w:rPr>
              <w:t>LHCP/RHCP</w:t>
            </w:r>
          </w:p>
        </w:tc>
        <w:tc>
          <w:tcPr>
            <w:tcW w:w="1843" w:type="dxa"/>
          </w:tcPr>
          <w:p w:rsidR="00B9359B" w:rsidRDefault="009A5268">
            <w:pPr>
              <w:pStyle w:val="Tabletext"/>
              <w:framePr w:hSpace="181" w:wrap="notBeside" w:vAnchor="text" w:hAnchor="text" w:xAlign="center" w:y="1"/>
              <w:spacing w:before="50" w:after="50"/>
              <w:jc w:val="center"/>
              <w:rPr>
                <w:lang w:val="en-US"/>
              </w:rPr>
            </w:pPr>
            <w:r>
              <w:rPr>
                <w:lang w:val="en-US"/>
              </w:rPr>
              <w:t>LHCP/RHCP</w:t>
            </w:r>
          </w:p>
        </w:tc>
      </w:tr>
      <w:tr w:rsidR="00B9359B">
        <w:trPr>
          <w:cantSplit/>
        </w:trPr>
        <w:tc>
          <w:tcPr>
            <w:tcW w:w="2977" w:type="dxa"/>
          </w:tcPr>
          <w:p w:rsidR="00B9359B" w:rsidRDefault="009A5268">
            <w:pPr>
              <w:pStyle w:val="Tabletext"/>
              <w:framePr w:hSpace="181" w:wrap="notBeside" w:vAnchor="text" w:hAnchor="text" w:xAlign="center" w:y="1"/>
              <w:spacing w:before="50" w:after="50"/>
              <w:ind w:left="113"/>
              <w:rPr>
                <w:lang w:val="en-US"/>
              </w:rPr>
            </w:pPr>
            <w:r>
              <w:rPr>
                <w:lang w:val="en-US"/>
              </w:rPr>
              <w:t>Modulation</w:t>
            </w:r>
          </w:p>
        </w:tc>
        <w:tc>
          <w:tcPr>
            <w:tcW w:w="1843" w:type="dxa"/>
          </w:tcPr>
          <w:p w:rsidR="00B9359B" w:rsidRDefault="009A5268">
            <w:pPr>
              <w:pStyle w:val="Tabletext"/>
              <w:framePr w:hSpace="181" w:wrap="notBeside" w:vAnchor="text" w:hAnchor="text" w:xAlign="center" w:y="1"/>
              <w:spacing w:before="50" w:after="50"/>
              <w:jc w:val="center"/>
              <w:rPr>
                <w:lang w:val="en-US"/>
              </w:rPr>
            </w:pPr>
            <w:r>
              <w:rPr>
                <w:lang w:val="en-US"/>
              </w:rPr>
              <w:t>O-QPSK</w:t>
            </w:r>
          </w:p>
        </w:tc>
        <w:tc>
          <w:tcPr>
            <w:tcW w:w="1843" w:type="dxa"/>
          </w:tcPr>
          <w:p w:rsidR="00B9359B" w:rsidRDefault="009A5268">
            <w:pPr>
              <w:pStyle w:val="Tabletext"/>
              <w:framePr w:hSpace="181" w:wrap="notBeside" w:vAnchor="text" w:hAnchor="text" w:xAlign="center" w:y="1"/>
              <w:spacing w:before="50" w:after="50"/>
              <w:jc w:val="center"/>
              <w:rPr>
                <w:lang w:val="en-US"/>
              </w:rPr>
            </w:pPr>
            <w:r>
              <w:rPr>
                <w:lang w:val="en-US"/>
              </w:rPr>
              <w:t>QPSK</w:t>
            </w:r>
          </w:p>
        </w:tc>
        <w:tc>
          <w:tcPr>
            <w:tcW w:w="1843" w:type="dxa"/>
          </w:tcPr>
          <w:p w:rsidR="00B9359B" w:rsidRDefault="009A5268">
            <w:pPr>
              <w:pStyle w:val="Tabletext"/>
              <w:framePr w:hSpace="181" w:wrap="notBeside" w:vAnchor="text" w:hAnchor="text" w:xAlign="center" w:y="1"/>
              <w:spacing w:before="50" w:after="50"/>
              <w:jc w:val="center"/>
              <w:rPr>
                <w:lang w:val="en-US"/>
              </w:rPr>
            </w:pPr>
            <w:r>
              <w:rPr>
                <w:lang w:val="en-US"/>
              </w:rPr>
              <w:t>O-QPSK</w:t>
            </w:r>
          </w:p>
        </w:tc>
      </w:tr>
      <w:tr w:rsidR="00B9359B">
        <w:trPr>
          <w:cantSplit/>
        </w:trPr>
        <w:tc>
          <w:tcPr>
            <w:tcW w:w="2977" w:type="dxa"/>
          </w:tcPr>
          <w:p w:rsidR="00B9359B" w:rsidRDefault="009A5268">
            <w:pPr>
              <w:pStyle w:val="Tabletext"/>
              <w:framePr w:hSpace="181" w:wrap="notBeside" w:vAnchor="text" w:hAnchor="text" w:xAlign="center" w:y="1"/>
              <w:spacing w:before="50" w:after="50"/>
              <w:ind w:left="113"/>
              <w:rPr>
                <w:lang w:val="en-US"/>
              </w:rPr>
            </w:pPr>
            <w:r>
              <w:rPr>
                <w:lang w:val="en-US"/>
              </w:rPr>
              <w:t>Bandwidth (MHz)</w:t>
            </w:r>
          </w:p>
        </w:tc>
        <w:tc>
          <w:tcPr>
            <w:tcW w:w="1843" w:type="dxa"/>
          </w:tcPr>
          <w:p w:rsidR="00B9359B" w:rsidRDefault="009A5268">
            <w:pPr>
              <w:pStyle w:val="Tabletext"/>
              <w:framePr w:hSpace="181" w:wrap="notBeside" w:vAnchor="text" w:hAnchor="text" w:xAlign="center" w:y="1"/>
              <w:spacing w:before="50" w:after="50"/>
              <w:jc w:val="center"/>
              <w:rPr>
                <w:lang w:val="en-US"/>
              </w:rPr>
            </w:pPr>
            <w:r>
              <w:rPr>
                <w:lang w:val="en-US"/>
              </w:rPr>
              <w:t>500</w:t>
            </w:r>
          </w:p>
        </w:tc>
        <w:tc>
          <w:tcPr>
            <w:tcW w:w="1843" w:type="dxa"/>
          </w:tcPr>
          <w:p w:rsidR="00B9359B" w:rsidRDefault="009A5268">
            <w:pPr>
              <w:pStyle w:val="Tabletext"/>
              <w:framePr w:hSpace="181" w:wrap="notBeside" w:vAnchor="text" w:hAnchor="text" w:xAlign="center" w:y="1"/>
              <w:spacing w:before="50" w:after="50"/>
              <w:jc w:val="center"/>
              <w:rPr>
                <w:lang w:val="en-US"/>
              </w:rPr>
            </w:pPr>
            <w:r>
              <w:rPr>
                <w:lang w:val="en-US"/>
              </w:rPr>
              <w:t>90</w:t>
            </w:r>
          </w:p>
        </w:tc>
        <w:tc>
          <w:tcPr>
            <w:tcW w:w="1843" w:type="dxa"/>
          </w:tcPr>
          <w:p w:rsidR="00B9359B" w:rsidRDefault="009A5268">
            <w:pPr>
              <w:pStyle w:val="Tabletext"/>
              <w:framePr w:hSpace="181" w:wrap="notBeside" w:vAnchor="text" w:hAnchor="text" w:xAlign="center" w:y="1"/>
              <w:spacing w:before="50" w:after="50"/>
              <w:jc w:val="center"/>
              <w:rPr>
                <w:lang w:val="en-US"/>
              </w:rPr>
            </w:pPr>
            <w:r>
              <w:rPr>
                <w:lang w:val="en-US"/>
              </w:rPr>
              <w:t>300</w:t>
            </w:r>
          </w:p>
        </w:tc>
      </w:tr>
      <w:tr w:rsidR="00B9359B">
        <w:trPr>
          <w:cantSplit/>
        </w:trPr>
        <w:tc>
          <w:tcPr>
            <w:tcW w:w="2977" w:type="dxa"/>
          </w:tcPr>
          <w:p w:rsidR="00B9359B" w:rsidRDefault="009A5268">
            <w:pPr>
              <w:pStyle w:val="Tabletext"/>
              <w:framePr w:hSpace="181" w:wrap="notBeside" w:vAnchor="text" w:hAnchor="text" w:xAlign="center" w:y="1"/>
              <w:spacing w:before="50" w:after="50"/>
              <w:ind w:left="113"/>
              <w:jc w:val="left"/>
              <w:rPr>
                <w:lang w:val="en-US"/>
              </w:rPr>
            </w:pPr>
            <w:r>
              <w:rPr>
                <w:lang w:val="en-US"/>
              </w:rPr>
              <w:t xml:space="preserve">Passive allocation (% </w:t>
            </w:r>
            <w:r>
              <w:rPr>
                <w:i/>
                <w:iCs/>
                <w:lang w:val="en-US"/>
              </w:rPr>
              <w:t>B</w:t>
            </w:r>
            <w:r>
              <w:rPr>
                <w:i/>
                <w:iCs/>
                <w:vertAlign w:val="subscript"/>
                <w:lang w:val="en-US"/>
              </w:rPr>
              <w:t>N</w:t>
            </w:r>
            <w:r>
              <w:rPr>
                <w:lang w:val="en-US"/>
              </w:rPr>
              <w:t>)</w:t>
            </w:r>
          </w:p>
        </w:tc>
        <w:tc>
          <w:tcPr>
            <w:tcW w:w="1843" w:type="dxa"/>
          </w:tcPr>
          <w:p w:rsidR="00B9359B" w:rsidRDefault="009A5268">
            <w:pPr>
              <w:pStyle w:val="Tabletext"/>
              <w:framePr w:hSpace="181" w:wrap="notBeside" w:vAnchor="text" w:hAnchor="text" w:xAlign="center" w:y="1"/>
              <w:spacing w:before="50" w:after="50"/>
              <w:jc w:val="center"/>
              <w:rPr>
                <w:lang w:val="en-US"/>
              </w:rPr>
            </w:pPr>
            <w:r>
              <w:rPr>
                <w:lang w:val="en-US"/>
              </w:rPr>
              <w:t>40</w:t>
            </w:r>
          </w:p>
        </w:tc>
        <w:tc>
          <w:tcPr>
            <w:tcW w:w="1843" w:type="dxa"/>
          </w:tcPr>
          <w:p w:rsidR="00B9359B" w:rsidRDefault="009A5268">
            <w:pPr>
              <w:pStyle w:val="Tabletext"/>
              <w:framePr w:hSpace="181" w:wrap="notBeside" w:vAnchor="text" w:hAnchor="text" w:xAlign="center" w:y="1"/>
              <w:spacing w:before="50" w:after="50"/>
              <w:jc w:val="center"/>
              <w:rPr>
                <w:lang w:val="en-US"/>
              </w:rPr>
            </w:pPr>
            <w:r>
              <w:rPr>
                <w:lang w:val="en-US"/>
              </w:rPr>
              <w:t>222</w:t>
            </w:r>
          </w:p>
        </w:tc>
        <w:tc>
          <w:tcPr>
            <w:tcW w:w="1843" w:type="dxa"/>
          </w:tcPr>
          <w:p w:rsidR="00B9359B" w:rsidRDefault="009A5268">
            <w:pPr>
              <w:pStyle w:val="Tabletext"/>
              <w:framePr w:hSpace="181" w:wrap="notBeside" w:vAnchor="text" w:hAnchor="text" w:xAlign="center" w:y="1"/>
              <w:spacing w:before="50" w:after="50"/>
              <w:jc w:val="center"/>
              <w:rPr>
                <w:lang w:val="en-US"/>
              </w:rPr>
            </w:pPr>
            <w:r>
              <w:rPr>
                <w:lang w:val="en-US"/>
              </w:rPr>
              <w:t>67</w:t>
            </w:r>
          </w:p>
        </w:tc>
      </w:tr>
      <w:tr w:rsidR="00B9359B">
        <w:trPr>
          <w:cantSplit/>
        </w:trPr>
        <w:tc>
          <w:tcPr>
            <w:tcW w:w="2977" w:type="dxa"/>
          </w:tcPr>
          <w:p w:rsidR="00B9359B" w:rsidRDefault="009A5268">
            <w:pPr>
              <w:pStyle w:val="Tabletext"/>
              <w:framePr w:hSpace="181" w:wrap="notBeside" w:vAnchor="text" w:hAnchor="text" w:xAlign="center" w:y="1"/>
              <w:spacing w:before="50" w:after="50"/>
              <w:ind w:left="113"/>
              <w:rPr>
                <w:lang w:val="en-US"/>
              </w:rPr>
            </w:pPr>
            <w:r>
              <w:rPr>
                <w:lang w:val="en-US"/>
              </w:rPr>
              <w:t>e.i.r.p. (dBW)</w:t>
            </w:r>
          </w:p>
        </w:tc>
        <w:tc>
          <w:tcPr>
            <w:tcW w:w="1843" w:type="dxa"/>
          </w:tcPr>
          <w:p w:rsidR="00B9359B" w:rsidRDefault="009A5268">
            <w:pPr>
              <w:pStyle w:val="Tabletext"/>
              <w:framePr w:hSpace="181" w:wrap="notBeside" w:vAnchor="text" w:hAnchor="text" w:xAlign="center" w:y="1"/>
              <w:spacing w:before="50" w:after="50"/>
              <w:jc w:val="center"/>
              <w:rPr>
                <w:lang w:val="en-US"/>
              </w:rPr>
            </w:pPr>
            <w:r>
              <w:rPr>
                <w:lang w:val="en-US"/>
              </w:rPr>
              <w:t>88</w:t>
            </w:r>
          </w:p>
        </w:tc>
        <w:tc>
          <w:tcPr>
            <w:tcW w:w="1843" w:type="dxa"/>
          </w:tcPr>
          <w:p w:rsidR="00B9359B" w:rsidRDefault="009A5268">
            <w:pPr>
              <w:pStyle w:val="Tabletext"/>
              <w:framePr w:hSpace="181" w:wrap="notBeside" w:vAnchor="text" w:hAnchor="text" w:xAlign="center" w:y="1"/>
              <w:spacing w:before="50" w:after="50"/>
              <w:jc w:val="center"/>
              <w:rPr>
                <w:lang w:val="en-US"/>
              </w:rPr>
            </w:pPr>
            <w:r>
              <w:rPr>
                <w:lang w:val="en-US"/>
              </w:rPr>
              <w:t>60.2</w:t>
            </w:r>
          </w:p>
        </w:tc>
        <w:tc>
          <w:tcPr>
            <w:tcW w:w="1843" w:type="dxa"/>
          </w:tcPr>
          <w:p w:rsidR="00B9359B" w:rsidRDefault="009A5268">
            <w:pPr>
              <w:pStyle w:val="Tabletext"/>
              <w:framePr w:hSpace="181" w:wrap="notBeside" w:vAnchor="text" w:hAnchor="text" w:xAlign="center" w:y="1"/>
              <w:spacing w:before="50" w:after="50"/>
              <w:jc w:val="center"/>
              <w:rPr>
                <w:lang w:val="en-US"/>
              </w:rPr>
            </w:pPr>
            <w:r>
              <w:rPr>
                <w:lang w:val="en-US"/>
              </w:rPr>
              <w:t>69.7</w:t>
            </w:r>
          </w:p>
        </w:tc>
      </w:tr>
      <w:tr w:rsidR="00B9359B">
        <w:trPr>
          <w:cantSplit/>
        </w:trPr>
        <w:tc>
          <w:tcPr>
            <w:tcW w:w="2977" w:type="dxa"/>
          </w:tcPr>
          <w:p w:rsidR="00B9359B" w:rsidRDefault="009A5268">
            <w:pPr>
              <w:pStyle w:val="Tabletext"/>
              <w:framePr w:hSpace="181" w:wrap="notBeside" w:vAnchor="text" w:hAnchor="text" w:xAlign="center" w:y="1"/>
              <w:spacing w:before="50" w:after="50"/>
              <w:ind w:left="113"/>
              <w:rPr>
                <w:lang w:val="en-US"/>
              </w:rPr>
            </w:pPr>
            <w:r>
              <w:rPr>
                <w:lang w:val="en-US"/>
              </w:rPr>
              <w:t>Antenna gain (dBi)</w:t>
            </w:r>
          </w:p>
        </w:tc>
        <w:tc>
          <w:tcPr>
            <w:tcW w:w="1843" w:type="dxa"/>
          </w:tcPr>
          <w:p w:rsidR="00B9359B" w:rsidRDefault="009A5268">
            <w:pPr>
              <w:pStyle w:val="Tabletext"/>
              <w:framePr w:hSpace="181" w:wrap="notBeside" w:vAnchor="text" w:hAnchor="text" w:xAlign="center" w:y="1"/>
              <w:spacing w:before="50" w:after="50"/>
              <w:jc w:val="center"/>
              <w:rPr>
                <w:lang w:val="en-US"/>
              </w:rPr>
            </w:pPr>
            <w:r>
              <w:rPr>
                <w:lang w:val="en-US"/>
              </w:rPr>
              <w:t>66.08</w:t>
            </w:r>
          </w:p>
        </w:tc>
        <w:tc>
          <w:tcPr>
            <w:tcW w:w="1843" w:type="dxa"/>
          </w:tcPr>
          <w:p w:rsidR="00B9359B" w:rsidRDefault="009A5268">
            <w:pPr>
              <w:pStyle w:val="Tabletext"/>
              <w:framePr w:hSpace="181" w:wrap="notBeside" w:vAnchor="text" w:hAnchor="text" w:xAlign="center" w:y="1"/>
              <w:spacing w:before="50" w:after="50"/>
              <w:jc w:val="center"/>
              <w:rPr>
                <w:lang w:val="en-US"/>
              </w:rPr>
            </w:pPr>
            <w:r>
              <w:rPr>
                <w:lang w:val="en-US"/>
              </w:rPr>
              <w:t>54.4</w:t>
            </w:r>
          </w:p>
        </w:tc>
        <w:tc>
          <w:tcPr>
            <w:tcW w:w="1843" w:type="dxa"/>
          </w:tcPr>
          <w:p w:rsidR="00B9359B" w:rsidRDefault="009A5268">
            <w:pPr>
              <w:pStyle w:val="Tabletext"/>
              <w:framePr w:hSpace="181" w:wrap="notBeside" w:vAnchor="text" w:hAnchor="text" w:xAlign="center" w:y="1"/>
              <w:spacing w:before="50" w:after="50"/>
              <w:jc w:val="center"/>
              <w:rPr>
                <w:lang w:val="en-US"/>
              </w:rPr>
            </w:pPr>
            <w:r>
              <w:rPr>
                <w:lang w:val="en-US"/>
              </w:rPr>
              <w:t>57.8</w:t>
            </w:r>
          </w:p>
        </w:tc>
      </w:tr>
      <w:tr w:rsidR="00B9359B">
        <w:trPr>
          <w:cantSplit/>
        </w:trPr>
        <w:tc>
          <w:tcPr>
            <w:tcW w:w="2977" w:type="dxa"/>
            <w:vAlign w:val="center"/>
          </w:tcPr>
          <w:p w:rsidR="00B9359B" w:rsidRDefault="009A5268">
            <w:pPr>
              <w:pStyle w:val="Tabletext"/>
              <w:framePr w:hSpace="181" w:wrap="notBeside" w:vAnchor="text" w:hAnchor="text" w:xAlign="center" w:y="1"/>
              <w:spacing w:before="50" w:after="50"/>
              <w:ind w:left="113"/>
              <w:rPr>
                <w:lang w:val="en-US"/>
              </w:rPr>
            </w:pPr>
            <w:r>
              <w:rPr>
                <w:lang w:val="en-US"/>
              </w:rPr>
              <w:t>Transmitter power (dBW)</w:t>
            </w:r>
          </w:p>
        </w:tc>
        <w:tc>
          <w:tcPr>
            <w:tcW w:w="1843" w:type="dxa"/>
            <w:vAlign w:val="center"/>
          </w:tcPr>
          <w:p w:rsidR="00B9359B" w:rsidRDefault="009A5268">
            <w:pPr>
              <w:pStyle w:val="Tabletext"/>
              <w:framePr w:hSpace="181" w:wrap="notBeside" w:vAnchor="text" w:hAnchor="text" w:xAlign="center" w:y="1"/>
              <w:spacing w:before="50" w:after="50"/>
              <w:jc w:val="center"/>
              <w:rPr>
                <w:lang w:val="en-US"/>
              </w:rPr>
            </w:pPr>
            <w:r>
              <w:rPr>
                <w:lang w:val="en-US"/>
              </w:rPr>
              <w:t>21.92</w:t>
            </w:r>
          </w:p>
        </w:tc>
        <w:tc>
          <w:tcPr>
            <w:tcW w:w="1843" w:type="dxa"/>
            <w:vAlign w:val="center"/>
          </w:tcPr>
          <w:p w:rsidR="00B9359B" w:rsidRDefault="009A5268">
            <w:pPr>
              <w:pStyle w:val="Tabletext"/>
              <w:framePr w:hSpace="181" w:wrap="notBeside" w:vAnchor="text" w:hAnchor="text" w:xAlign="center" w:y="1"/>
              <w:spacing w:before="50" w:after="50"/>
              <w:jc w:val="center"/>
              <w:rPr>
                <w:lang w:val="en-US"/>
              </w:rPr>
            </w:pPr>
            <w:r>
              <w:rPr>
                <w:lang w:val="en-US"/>
              </w:rPr>
              <w:t>5.8</w:t>
            </w:r>
          </w:p>
        </w:tc>
        <w:tc>
          <w:tcPr>
            <w:tcW w:w="1843" w:type="dxa"/>
            <w:vAlign w:val="center"/>
          </w:tcPr>
          <w:p w:rsidR="00B9359B" w:rsidRDefault="009A5268">
            <w:pPr>
              <w:pStyle w:val="Tabletext"/>
              <w:framePr w:hSpace="181" w:wrap="notBeside" w:vAnchor="text" w:hAnchor="text" w:xAlign="center" w:y="1"/>
              <w:spacing w:before="50" w:after="50"/>
              <w:jc w:val="center"/>
              <w:rPr>
                <w:lang w:val="en-US"/>
              </w:rPr>
            </w:pPr>
            <w:r>
              <w:rPr>
                <w:lang w:val="en-US"/>
              </w:rPr>
              <w:t>11.9</w:t>
            </w:r>
          </w:p>
        </w:tc>
      </w:tr>
    </w:tbl>
    <w:p w:rsidR="00B9359B" w:rsidRDefault="00B9359B">
      <w:pPr>
        <w:pStyle w:val="Tablefin"/>
      </w:pPr>
    </w:p>
    <w:p w:rsidR="00B9359B" w:rsidRDefault="009A5268">
      <w:pPr>
        <w:pStyle w:val="TableNo"/>
        <w:rPr>
          <w:lang w:val="en-US"/>
        </w:rPr>
      </w:pPr>
      <w:r>
        <w:rPr>
          <w:lang w:val="en-US"/>
        </w:rPr>
        <w:t>TABLE  102</w:t>
      </w:r>
    </w:p>
    <w:p w:rsidR="00B9359B" w:rsidRDefault="009A5268">
      <w:pPr>
        <w:pStyle w:val="Tabletitle"/>
        <w:rPr>
          <w:lang w:val="en-US"/>
        </w:rPr>
      </w:pPr>
      <w:r>
        <w:rPr>
          <w:lang w:val="en-US"/>
        </w:rPr>
        <w:t>Characteristics of GSO uplink earth stations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1361"/>
        <w:gridCol w:w="1361"/>
        <w:gridCol w:w="1361"/>
        <w:gridCol w:w="1361"/>
        <w:gridCol w:w="1077"/>
        <w:gridCol w:w="1077"/>
      </w:tblGrid>
      <w:tr w:rsidR="00B9359B">
        <w:trPr>
          <w:cantSplit/>
        </w:trPr>
        <w:tc>
          <w:tcPr>
            <w:tcW w:w="2098" w:type="dxa"/>
            <w:vMerge w:val="restart"/>
            <w:vAlign w:val="center"/>
          </w:tcPr>
          <w:p w:rsidR="00B9359B" w:rsidRDefault="009A5268">
            <w:pPr>
              <w:pStyle w:val="Tablehead"/>
              <w:framePr w:hSpace="181" w:wrap="notBeside" w:vAnchor="text" w:hAnchor="text" w:xAlign="center" w:y="1"/>
              <w:jc w:val="left"/>
              <w:rPr>
                <w:lang w:val="en-US"/>
              </w:rPr>
            </w:pPr>
            <w:r>
              <w:rPr>
                <w:lang w:val="en-US"/>
              </w:rPr>
              <w:t>System</w:t>
            </w:r>
          </w:p>
        </w:tc>
        <w:tc>
          <w:tcPr>
            <w:tcW w:w="1361" w:type="dxa"/>
            <w:vMerge w:val="restart"/>
            <w:vAlign w:val="center"/>
          </w:tcPr>
          <w:p w:rsidR="00B9359B" w:rsidRDefault="009A5268">
            <w:pPr>
              <w:pStyle w:val="Tablehead"/>
              <w:framePr w:hSpace="181" w:wrap="notBeside" w:vAnchor="text" w:hAnchor="text" w:xAlign="center" w:y="1"/>
              <w:rPr>
                <w:lang w:val="en-US"/>
              </w:rPr>
            </w:pPr>
            <w:r>
              <w:rPr>
                <w:lang w:val="en-US"/>
              </w:rPr>
              <w:t>GSO-VX</w:t>
            </w:r>
          </w:p>
        </w:tc>
        <w:tc>
          <w:tcPr>
            <w:tcW w:w="1361" w:type="dxa"/>
            <w:vMerge w:val="restart"/>
            <w:vAlign w:val="center"/>
          </w:tcPr>
          <w:p w:rsidR="00B9359B" w:rsidRDefault="009A5268">
            <w:pPr>
              <w:pStyle w:val="Tablehead"/>
              <w:framePr w:hSpace="181" w:wrap="notBeside" w:vAnchor="text" w:hAnchor="text" w:xAlign="center" w:y="1"/>
              <w:rPr>
                <w:lang w:val="es-ES"/>
              </w:rPr>
            </w:pPr>
            <w:r>
              <w:rPr>
                <w:lang w:val="es-ES"/>
              </w:rPr>
              <w:t>GEO-SV</w:t>
            </w:r>
          </w:p>
        </w:tc>
        <w:tc>
          <w:tcPr>
            <w:tcW w:w="2722" w:type="dxa"/>
            <w:gridSpan w:val="2"/>
            <w:vAlign w:val="center"/>
          </w:tcPr>
          <w:p w:rsidR="00B9359B" w:rsidRDefault="009A5268">
            <w:pPr>
              <w:pStyle w:val="Tablehead"/>
              <w:framePr w:hSpace="181" w:wrap="notBeside" w:vAnchor="text" w:hAnchor="text" w:xAlign="center" w:y="1"/>
              <w:rPr>
                <w:lang w:val="es-ES"/>
              </w:rPr>
            </w:pPr>
            <w:r>
              <w:rPr>
                <w:lang w:val="es-ES"/>
              </w:rPr>
              <w:t>GEOSAT</w:t>
            </w:r>
          </w:p>
        </w:tc>
        <w:tc>
          <w:tcPr>
            <w:tcW w:w="1077" w:type="dxa"/>
            <w:vMerge w:val="restart"/>
            <w:vAlign w:val="center"/>
          </w:tcPr>
          <w:p w:rsidR="00B9359B" w:rsidRDefault="009A5268">
            <w:pPr>
              <w:pStyle w:val="Tablehead"/>
              <w:framePr w:hSpace="181" w:wrap="notBeside" w:vAnchor="text" w:hAnchor="text" w:xAlign="center" w:y="1"/>
              <w:ind w:left="-57" w:right="-57"/>
              <w:rPr>
                <w:lang w:val="en-US"/>
              </w:rPr>
            </w:pPr>
            <w:r>
              <w:rPr>
                <w:lang w:val="en-US"/>
              </w:rPr>
              <w:t>GSOV-B1</w:t>
            </w:r>
          </w:p>
        </w:tc>
        <w:tc>
          <w:tcPr>
            <w:tcW w:w="1077" w:type="dxa"/>
            <w:vMerge w:val="restart"/>
            <w:vAlign w:val="center"/>
          </w:tcPr>
          <w:p w:rsidR="00B9359B" w:rsidRDefault="009A5268">
            <w:pPr>
              <w:pStyle w:val="Tablehead"/>
              <w:framePr w:hSpace="181" w:wrap="notBeside" w:vAnchor="text" w:hAnchor="text" w:xAlign="center" w:y="1"/>
              <w:ind w:left="-57" w:right="-57"/>
              <w:rPr>
                <w:lang w:val="en-US"/>
              </w:rPr>
            </w:pPr>
            <w:r>
              <w:rPr>
                <w:lang w:val="en-US"/>
              </w:rPr>
              <w:t>GSOV-B2</w:t>
            </w:r>
          </w:p>
        </w:tc>
      </w:tr>
      <w:tr w:rsidR="00B9359B">
        <w:trPr>
          <w:cantSplit/>
        </w:trPr>
        <w:tc>
          <w:tcPr>
            <w:tcW w:w="2098" w:type="dxa"/>
            <w:vMerge/>
          </w:tcPr>
          <w:p w:rsidR="00B9359B" w:rsidRDefault="00B9359B">
            <w:pPr>
              <w:pStyle w:val="Tabletext"/>
              <w:framePr w:hSpace="181" w:wrap="notBeside" w:vAnchor="text" w:hAnchor="text" w:xAlign="center" w:y="1"/>
              <w:jc w:val="left"/>
              <w:rPr>
                <w:rStyle w:val="Appdef"/>
                <w:b w:val="0"/>
                <w:lang w:val="en-US"/>
              </w:rPr>
            </w:pPr>
          </w:p>
        </w:tc>
        <w:tc>
          <w:tcPr>
            <w:tcW w:w="1361" w:type="dxa"/>
            <w:vMerge/>
          </w:tcPr>
          <w:p w:rsidR="00B9359B" w:rsidRDefault="00B9359B">
            <w:pPr>
              <w:pStyle w:val="Tabletext"/>
              <w:framePr w:hSpace="181" w:wrap="notBeside" w:vAnchor="text" w:hAnchor="text" w:xAlign="center" w:y="1"/>
              <w:ind w:left="-57" w:right="-57"/>
              <w:jc w:val="center"/>
              <w:rPr>
                <w:lang w:val="en-US"/>
              </w:rPr>
            </w:pPr>
          </w:p>
        </w:tc>
        <w:tc>
          <w:tcPr>
            <w:tcW w:w="1361" w:type="dxa"/>
            <w:vMerge/>
          </w:tcPr>
          <w:p w:rsidR="00B9359B" w:rsidRDefault="00B9359B">
            <w:pPr>
              <w:pStyle w:val="Tabletext"/>
              <w:framePr w:hSpace="181" w:wrap="notBeside" w:vAnchor="text" w:hAnchor="text" w:xAlign="center" w:y="1"/>
              <w:ind w:left="-57" w:right="-57"/>
              <w:jc w:val="center"/>
              <w:rPr>
                <w:lang w:val="en-US"/>
              </w:rPr>
            </w:pPr>
          </w:p>
        </w:tc>
        <w:tc>
          <w:tcPr>
            <w:tcW w:w="1361" w:type="dxa"/>
          </w:tcPr>
          <w:p w:rsidR="00B9359B" w:rsidRDefault="009A5268">
            <w:pPr>
              <w:pStyle w:val="Tablehead"/>
              <w:framePr w:hSpace="181" w:wrap="notBeside" w:vAnchor="text" w:hAnchor="text" w:xAlign="center" w:y="1"/>
              <w:rPr>
                <w:lang w:val="en-US"/>
              </w:rPr>
            </w:pPr>
            <w:r>
              <w:rPr>
                <w:lang w:val="en-US"/>
              </w:rPr>
              <w:t>Gateway</w:t>
            </w:r>
          </w:p>
        </w:tc>
        <w:tc>
          <w:tcPr>
            <w:tcW w:w="1361" w:type="dxa"/>
          </w:tcPr>
          <w:p w:rsidR="00B9359B" w:rsidRDefault="009A5268">
            <w:pPr>
              <w:pStyle w:val="Tablehead"/>
              <w:framePr w:hSpace="181" w:wrap="notBeside" w:vAnchor="text" w:hAnchor="text" w:xAlign="center" w:y="1"/>
              <w:rPr>
                <w:lang w:val="en-US"/>
              </w:rPr>
            </w:pPr>
            <w:r>
              <w:rPr>
                <w:lang w:val="en-US"/>
              </w:rPr>
              <w:t>User</w:t>
            </w:r>
          </w:p>
        </w:tc>
        <w:tc>
          <w:tcPr>
            <w:tcW w:w="1077" w:type="dxa"/>
            <w:vMerge/>
          </w:tcPr>
          <w:p w:rsidR="00B9359B" w:rsidRDefault="00B9359B">
            <w:pPr>
              <w:pStyle w:val="Tabletext"/>
              <w:framePr w:hSpace="181" w:wrap="notBeside" w:vAnchor="text" w:hAnchor="text" w:xAlign="center" w:y="1"/>
              <w:jc w:val="center"/>
              <w:rPr>
                <w:rStyle w:val="Appdef"/>
                <w:b w:val="0"/>
                <w:lang w:val="en-US"/>
              </w:rPr>
            </w:pPr>
          </w:p>
        </w:tc>
        <w:tc>
          <w:tcPr>
            <w:tcW w:w="1077" w:type="dxa"/>
            <w:vMerge/>
          </w:tcPr>
          <w:p w:rsidR="00B9359B" w:rsidRDefault="00B9359B">
            <w:pPr>
              <w:pStyle w:val="Tabletext"/>
              <w:framePr w:hSpace="181" w:wrap="notBeside" w:vAnchor="text" w:hAnchor="text" w:xAlign="center" w:y="1"/>
              <w:jc w:val="center"/>
              <w:rPr>
                <w:rStyle w:val="Appdef"/>
                <w:b w:val="0"/>
                <w:lang w:val="en-US"/>
              </w:rPr>
            </w:pPr>
          </w:p>
        </w:tc>
      </w:tr>
      <w:tr w:rsidR="00B9359B">
        <w:tc>
          <w:tcPr>
            <w:tcW w:w="2098" w:type="dxa"/>
          </w:tcPr>
          <w:p w:rsidR="00B9359B" w:rsidRDefault="009A5268">
            <w:pPr>
              <w:pStyle w:val="Tabletext"/>
              <w:framePr w:hSpace="181" w:wrap="notBeside" w:vAnchor="text" w:hAnchor="text" w:xAlign="center" w:y="1"/>
              <w:spacing w:before="50" w:after="50"/>
              <w:rPr>
                <w:lang w:val="en-US"/>
              </w:rPr>
            </w:pPr>
            <w:r>
              <w:rPr>
                <w:lang w:val="en-US"/>
              </w:rPr>
              <w:t>Polarization</w:t>
            </w:r>
          </w:p>
        </w:tc>
        <w:tc>
          <w:tcPr>
            <w:tcW w:w="1361" w:type="dxa"/>
          </w:tcPr>
          <w:p w:rsidR="00B9359B" w:rsidRDefault="009A5268">
            <w:pPr>
              <w:pStyle w:val="Tabletext"/>
              <w:framePr w:hSpace="181" w:wrap="notBeside" w:vAnchor="text" w:hAnchor="text" w:xAlign="center" w:y="1"/>
              <w:spacing w:before="50" w:after="50"/>
              <w:ind w:left="-57" w:right="-57"/>
              <w:jc w:val="center"/>
              <w:rPr>
                <w:lang w:val="en-US"/>
              </w:rPr>
            </w:pPr>
            <w:r>
              <w:rPr>
                <w:lang w:val="en-US"/>
              </w:rPr>
              <w:t>LHCP/RHCP</w:t>
            </w:r>
          </w:p>
        </w:tc>
        <w:tc>
          <w:tcPr>
            <w:tcW w:w="1361" w:type="dxa"/>
          </w:tcPr>
          <w:p w:rsidR="00B9359B" w:rsidRDefault="009A5268">
            <w:pPr>
              <w:pStyle w:val="Tabletext"/>
              <w:framePr w:hSpace="181" w:wrap="notBeside" w:vAnchor="text" w:hAnchor="text" w:xAlign="center" w:y="1"/>
              <w:spacing w:before="50" w:after="50"/>
              <w:ind w:left="-57" w:right="-57"/>
              <w:jc w:val="center"/>
              <w:rPr>
                <w:lang w:val="en-US"/>
              </w:rPr>
            </w:pPr>
            <w:r>
              <w:rPr>
                <w:lang w:val="en-US"/>
              </w:rPr>
              <w:t>LHCP/RHCP</w:t>
            </w:r>
          </w:p>
        </w:tc>
        <w:tc>
          <w:tcPr>
            <w:tcW w:w="1361" w:type="dxa"/>
          </w:tcPr>
          <w:p w:rsidR="00B9359B" w:rsidRDefault="009A5268">
            <w:pPr>
              <w:pStyle w:val="Tabletext"/>
              <w:framePr w:hSpace="181" w:wrap="notBeside" w:vAnchor="text" w:hAnchor="text" w:xAlign="center" w:y="1"/>
              <w:spacing w:before="50" w:after="50"/>
              <w:ind w:left="-57" w:right="-57"/>
              <w:jc w:val="center"/>
              <w:rPr>
                <w:lang w:val="en-US"/>
              </w:rPr>
            </w:pPr>
            <w:r>
              <w:rPr>
                <w:lang w:val="en-US"/>
              </w:rPr>
              <w:t>LHCP/RHCP</w:t>
            </w:r>
          </w:p>
        </w:tc>
        <w:tc>
          <w:tcPr>
            <w:tcW w:w="1361" w:type="dxa"/>
          </w:tcPr>
          <w:p w:rsidR="00B9359B" w:rsidRDefault="009A5268">
            <w:pPr>
              <w:pStyle w:val="Tabletext"/>
              <w:framePr w:hSpace="181" w:wrap="notBeside" w:vAnchor="text" w:hAnchor="text" w:xAlign="center" w:y="1"/>
              <w:spacing w:before="50" w:after="50"/>
              <w:ind w:left="-57" w:right="-57"/>
              <w:jc w:val="center"/>
              <w:rPr>
                <w:lang w:val="en-US"/>
              </w:rPr>
            </w:pPr>
            <w:r>
              <w:rPr>
                <w:lang w:val="en-US"/>
              </w:rPr>
              <w:t>RHCP/LHCP</w:t>
            </w:r>
          </w:p>
        </w:tc>
        <w:tc>
          <w:tcPr>
            <w:tcW w:w="1077" w:type="dxa"/>
          </w:tcPr>
          <w:p w:rsidR="00B9359B" w:rsidRDefault="009A5268">
            <w:pPr>
              <w:pStyle w:val="Tabletext"/>
              <w:framePr w:hSpace="181" w:wrap="notBeside" w:vAnchor="text" w:hAnchor="text" w:xAlign="center" w:y="1"/>
              <w:spacing w:before="50" w:after="50"/>
              <w:jc w:val="center"/>
              <w:rPr>
                <w:lang w:val="en-US"/>
              </w:rPr>
            </w:pPr>
            <w:r>
              <w:rPr>
                <w:lang w:val="en-US"/>
              </w:rPr>
              <w:t>Linear</w:t>
            </w:r>
          </w:p>
        </w:tc>
        <w:tc>
          <w:tcPr>
            <w:tcW w:w="1077" w:type="dxa"/>
          </w:tcPr>
          <w:p w:rsidR="00B9359B" w:rsidRDefault="00B9359B">
            <w:pPr>
              <w:pStyle w:val="Tabletext"/>
              <w:framePr w:hSpace="181" w:wrap="notBeside" w:vAnchor="text" w:hAnchor="text" w:xAlign="center" w:y="1"/>
              <w:spacing w:before="50" w:after="50"/>
              <w:jc w:val="center"/>
              <w:rPr>
                <w:rStyle w:val="Appdef"/>
                <w:b w:val="0"/>
                <w:lang w:val="en-US"/>
              </w:rPr>
            </w:pPr>
          </w:p>
        </w:tc>
      </w:tr>
      <w:tr w:rsidR="00B9359B">
        <w:tc>
          <w:tcPr>
            <w:tcW w:w="2098" w:type="dxa"/>
          </w:tcPr>
          <w:p w:rsidR="00B9359B" w:rsidRDefault="009A5268">
            <w:pPr>
              <w:pStyle w:val="Tabletext"/>
              <w:framePr w:hSpace="181" w:wrap="notBeside" w:vAnchor="text" w:hAnchor="text" w:xAlign="center" w:y="1"/>
              <w:spacing w:before="50" w:after="50"/>
              <w:rPr>
                <w:lang w:val="en-US"/>
              </w:rPr>
            </w:pPr>
            <w:r>
              <w:rPr>
                <w:lang w:val="en-US"/>
              </w:rPr>
              <w:t>Modulation</w:t>
            </w:r>
          </w:p>
        </w:tc>
        <w:tc>
          <w:tcPr>
            <w:tcW w:w="1361" w:type="dxa"/>
          </w:tcPr>
          <w:p w:rsidR="00B9359B" w:rsidRDefault="009A5268">
            <w:pPr>
              <w:pStyle w:val="Tabletext"/>
              <w:framePr w:hSpace="181" w:wrap="notBeside" w:vAnchor="text" w:hAnchor="text" w:xAlign="center" w:y="1"/>
              <w:spacing w:before="50" w:after="50"/>
              <w:jc w:val="center"/>
              <w:rPr>
                <w:lang w:val="en-US"/>
              </w:rPr>
            </w:pPr>
            <w:r>
              <w:rPr>
                <w:lang w:val="en-US"/>
              </w:rPr>
              <w:t>D-QPSK</w:t>
            </w:r>
          </w:p>
        </w:tc>
        <w:tc>
          <w:tcPr>
            <w:tcW w:w="1361" w:type="dxa"/>
          </w:tcPr>
          <w:p w:rsidR="00B9359B" w:rsidRDefault="009A5268">
            <w:pPr>
              <w:pStyle w:val="Tabletext"/>
              <w:framePr w:hSpace="181" w:wrap="notBeside" w:vAnchor="text" w:hAnchor="text" w:xAlign="center" w:y="1"/>
              <w:spacing w:before="50" w:after="50"/>
              <w:jc w:val="center"/>
              <w:rPr>
                <w:lang w:val="en-US"/>
              </w:rPr>
            </w:pPr>
            <w:r>
              <w:rPr>
                <w:lang w:val="en-US"/>
              </w:rPr>
              <w:t>D-QPSK</w:t>
            </w:r>
          </w:p>
        </w:tc>
        <w:tc>
          <w:tcPr>
            <w:tcW w:w="1361" w:type="dxa"/>
          </w:tcPr>
          <w:p w:rsidR="00B9359B" w:rsidRDefault="009A5268">
            <w:pPr>
              <w:pStyle w:val="Tabletext"/>
              <w:framePr w:hSpace="181" w:wrap="notBeside" w:vAnchor="text" w:hAnchor="text" w:xAlign="center" w:y="1"/>
              <w:spacing w:before="50" w:after="50"/>
              <w:jc w:val="center"/>
              <w:rPr>
                <w:lang w:val="en-US"/>
              </w:rPr>
            </w:pPr>
            <w:r>
              <w:rPr>
                <w:lang w:val="en-US"/>
              </w:rPr>
              <w:t>QPSK</w:t>
            </w:r>
          </w:p>
        </w:tc>
        <w:tc>
          <w:tcPr>
            <w:tcW w:w="1361" w:type="dxa"/>
          </w:tcPr>
          <w:p w:rsidR="00B9359B" w:rsidRDefault="009A5268">
            <w:pPr>
              <w:pStyle w:val="Tabletext"/>
              <w:framePr w:hSpace="181" w:wrap="notBeside" w:vAnchor="text" w:hAnchor="text" w:xAlign="center" w:y="1"/>
              <w:spacing w:before="50" w:after="50"/>
              <w:jc w:val="center"/>
              <w:rPr>
                <w:lang w:val="en-US"/>
              </w:rPr>
            </w:pPr>
            <w:r>
              <w:rPr>
                <w:lang w:val="en-US"/>
              </w:rPr>
              <w:t>QPSK</w:t>
            </w:r>
          </w:p>
        </w:tc>
        <w:tc>
          <w:tcPr>
            <w:tcW w:w="1077" w:type="dxa"/>
          </w:tcPr>
          <w:p w:rsidR="00B9359B" w:rsidRDefault="009A5268">
            <w:pPr>
              <w:pStyle w:val="Tabletext"/>
              <w:framePr w:hSpace="181" w:wrap="notBeside" w:vAnchor="text" w:hAnchor="text" w:xAlign="center" w:y="1"/>
              <w:spacing w:before="50" w:after="50"/>
              <w:jc w:val="center"/>
              <w:rPr>
                <w:lang w:val="en-US"/>
              </w:rPr>
            </w:pPr>
            <w:r>
              <w:rPr>
                <w:lang w:val="en-US"/>
              </w:rPr>
              <w:t>QPSK</w:t>
            </w:r>
          </w:p>
        </w:tc>
        <w:tc>
          <w:tcPr>
            <w:tcW w:w="1077" w:type="dxa"/>
          </w:tcPr>
          <w:p w:rsidR="00B9359B" w:rsidRDefault="009A5268">
            <w:pPr>
              <w:pStyle w:val="Tabletext"/>
              <w:framePr w:hSpace="181" w:wrap="notBeside" w:vAnchor="text" w:hAnchor="text" w:xAlign="center" w:y="1"/>
              <w:spacing w:before="50" w:after="50"/>
              <w:jc w:val="center"/>
              <w:rPr>
                <w:lang w:val="en-US"/>
              </w:rPr>
            </w:pPr>
            <w:r>
              <w:rPr>
                <w:lang w:val="en-US"/>
              </w:rPr>
              <w:t>QPSK</w:t>
            </w:r>
          </w:p>
        </w:tc>
      </w:tr>
      <w:tr w:rsidR="00B9359B">
        <w:tc>
          <w:tcPr>
            <w:tcW w:w="2098" w:type="dxa"/>
          </w:tcPr>
          <w:p w:rsidR="00B9359B" w:rsidRDefault="009A5268">
            <w:pPr>
              <w:pStyle w:val="Tabletext"/>
              <w:framePr w:hSpace="181" w:wrap="notBeside" w:vAnchor="text" w:hAnchor="text" w:xAlign="center" w:y="1"/>
              <w:spacing w:before="50" w:after="50"/>
              <w:jc w:val="left"/>
              <w:rPr>
                <w:lang w:val="en-US"/>
              </w:rPr>
            </w:pPr>
            <w:r>
              <w:rPr>
                <w:lang w:val="en-US"/>
              </w:rPr>
              <w:t>Bandwidth (MHz)</w:t>
            </w:r>
          </w:p>
        </w:tc>
        <w:tc>
          <w:tcPr>
            <w:tcW w:w="1361" w:type="dxa"/>
          </w:tcPr>
          <w:p w:rsidR="00B9359B" w:rsidRDefault="009A5268">
            <w:pPr>
              <w:pStyle w:val="Tabletext"/>
              <w:framePr w:hSpace="181" w:wrap="notBeside" w:vAnchor="text" w:hAnchor="text" w:xAlign="center" w:y="1"/>
              <w:spacing w:before="50" w:after="50"/>
              <w:jc w:val="center"/>
              <w:rPr>
                <w:lang w:val="en-US"/>
              </w:rPr>
            </w:pPr>
            <w:r>
              <w:rPr>
                <w:lang w:val="en-US"/>
              </w:rPr>
              <w:t>300</w:t>
            </w:r>
          </w:p>
        </w:tc>
        <w:tc>
          <w:tcPr>
            <w:tcW w:w="1361" w:type="dxa"/>
          </w:tcPr>
          <w:p w:rsidR="00B9359B" w:rsidRDefault="009A5268">
            <w:pPr>
              <w:pStyle w:val="Tabletext"/>
              <w:framePr w:hSpace="181" w:wrap="notBeside" w:vAnchor="text" w:hAnchor="text" w:xAlign="center" w:y="1"/>
              <w:spacing w:before="50" w:after="50"/>
              <w:jc w:val="center"/>
              <w:rPr>
                <w:lang w:val="en-US"/>
              </w:rPr>
            </w:pPr>
            <w:r>
              <w:rPr>
                <w:lang w:val="en-US"/>
              </w:rPr>
              <w:t>200</w:t>
            </w:r>
          </w:p>
        </w:tc>
        <w:tc>
          <w:tcPr>
            <w:tcW w:w="1361" w:type="dxa"/>
          </w:tcPr>
          <w:p w:rsidR="00B9359B" w:rsidRDefault="009A5268">
            <w:pPr>
              <w:pStyle w:val="Tabletext"/>
              <w:framePr w:hSpace="181" w:wrap="notBeside" w:vAnchor="text" w:hAnchor="text" w:xAlign="center" w:y="1"/>
              <w:spacing w:before="50" w:after="50"/>
              <w:jc w:val="center"/>
              <w:rPr>
                <w:lang w:val="en-US"/>
              </w:rPr>
            </w:pPr>
            <w:r>
              <w:rPr>
                <w:lang w:val="en-US"/>
              </w:rPr>
              <w:t>125</w:t>
            </w:r>
          </w:p>
        </w:tc>
        <w:tc>
          <w:tcPr>
            <w:tcW w:w="1361" w:type="dxa"/>
          </w:tcPr>
          <w:p w:rsidR="00B9359B" w:rsidRDefault="009A5268">
            <w:pPr>
              <w:pStyle w:val="Tabletext"/>
              <w:framePr w:hSpace="181" w:wrap="notBeside" w:vAnchor="text" w:hAnchor="text" w:xAlign="center" w:y="1"/>
              <w:spacing w:before="50" w:after="50"/>
              <w:jc w:val="center"/>
              <w:rPr>
                <w:lang w:val="en-US"/>
              </w:rPr>
            </w:pPr>
            <w:r>
              <w:rPr>
                <w:lang w:val="en-US"/>
              </w:rPr>
              <w:t>11</w:t>
            </w:r>
          </w:p>
        </w:tc>
        <w:tc>
          <w:tcPr>
            <w:tcW w:w="1077" w:type="dxa"/>
          </w:tcPr>
          <w:p w:rsidR="00B9359B" w:rsidRDefault="009A5268">
            <w:pPr>
              <w:pStyle w:val="Tabletext"/>
              <w:framePr w:hSpace="181" w:wrap="notBeside" w:vAnchor="text" w:hAnchor="text" w:xAlign="center" w:y="1"/>
              <w:spacing w:before="50" w:after="50"/>
              <w:jc w:val="center"/>
              <w:rPr>
                <w:lang w:val="en-US"/>
              </w:rPr>
            </w:pPr>
            <w:r>
              <w:rPr>
                <w:lang w:val="en-US"/>
              </w:rPr>
              <w:t>105.6</w:t>
            </w:r>
          </w:p>
        </w:tc>
        <w:tc>
          <w:tcPr>
            <w:tcW w:w="1077" w:type="dxa"/>
          </w:tcPr>
          <w:p w:rsidR="00B9359B" w:rsidRDefault="009A5268">
            <w:pPr>
              <w:pStyle w:val="Tabletext"/>
              <w:framePr w:hSpace="181" w:wrap="notBeside" w:vAnchor="text" w:hAnchor="text" w:xAlign="center" w:y="1"/>
              <w:spacing w:before="50" w:after="50"/>
              <w:jc w:val="center"/>
              <w:rPr>
                <w:lang w:val="en-US"/>
              </w:rPr>
            </w:pPr>
            <w:r>
              <w:rPr>
                <w:lang w:val="en-US"/>
              </w:rPr>
              <w:t>150</w:t>
            </w:r>
          </w:p>
        </w:tc>
      </w:tr>
      <w:tr w:rsidR="00B9359B">
        <w:tc>
          <w:tcPr>
            <w:tcW w:w="2098" w:type="dxa"/>
          </w:tcPr>
          <w:p w:rsidR="00B9359B" w:rsidRDefault="009A5268">
            <w:pPr>
              <w:pStyle w:val="Tabletext"/>
              <w:framePr w:hSpace="181" w:wrap="notBeside" w:vAnchor="text" w:hAnchor="text" w:xAlign="center" w:y="1"/>
              <w:spacing w:before="50" w:after="50"/>
              <w:jc w:val="left"/>
              <w:rPr>
                <w:lang w:val="en-US"/>
              </w:rPr>
            </w:pPr>
            <w:r>
              <w:rPr>
                <w:lang w:val="en-US"/>
              </w:rPr>
              <w:t xml:space="preserve">Passive allocation (% of </w:t>
            </w:r>
            <w:r>
              <w:rPr>
                <w:i/>
                <w:lang w:val="en-US"/>
              </w:rPr>
              <w:t>B</w:t>
            </w:r>
            <w:r>
              <w:rPr>
                <w:i/>
                <w:vertAlign w:val="subscript"/>
                <w:lang w:val="en-US"/>
              </w:rPr>
              <w:t>N</w:t>
            </w:r>
            <w:r>
              <w:rPr>
                <w:lang w:val="en-US"/>
              </w:rPr>
              <w:t>)</w:t>
            </w:r>
          </w:p>
        </w:tc>
        <w:tc>
          <w:tcPr>
            <w:tcW w:w="1361" w:type="dxa"/>
          </w:tcPr>
          <w:p w:rsidR="00B9359B" w:rsidRDefault="00B9359B">
            <w:pPr>
              <w:pStyle w:val="Tabletext"/>
              <w:framePr w:hSpace="181" w:wrap="notBeside" w:vAnchor="text" w:hAnchor="text" w:xAlign="center" w:y="1"/>
              <w:spacing w:before="50" w:after="50"/>
              <w:jc w:val="center"/>
              <w:rPr>
                <w:lang w:val="en-US"/>
              </w:rPr>
            </w:pPr>
          </w:p>
        </w:tc>
        <w:tc>
          <w:tcPr>
            <w:tcW w:w="1361" w:type="dxa"/>
          </w:tcPr>
          <w:p w:rsidR="00B9359B" w:rsidRDefault="00B9359B">
            <w:pPr>
              <w:pStyle w:val="Tabletext"/>
              <w:framePr w:hSpace="181" w:wrap="notBeside" w:vAnchor="text" w:hAnchor="text" w:xAlign="center" w:y="1"/>
              <w:spacing w:before="50" w:after="50"/>
              <w:jc w:val="center"/>
              <w:rPr>
                <w:lang w:val="en-US"/>
              </w:rPr>
            </w:pPr>
          </w:p>
        </w:tc>
        <w:tc>
          <w:tcPr>
            <w:tcW w:w="1361" w:type="dxa"/>
          </w:tcPr>
          <w:p w:rsidR="00B9359B" w:rsidRDefault="00B9359B">
            <w:pPr>
              <w:pStyle w:val="Tabletext"/>
              <w:framePr w:hSpace="181" w:wrap="notBeside" w:vAnchor="text" w:hAnchor="text" w:xAlign="center" w:y="1"/>
              <w:spacing w:before="50" w:after="50"/>
              <w:jc w:val="center"/>
              <w:rPr>
                <w:lang w:val="en-US"/>
              </w:rPr>
            </w:pPr>
          </w:p>
        </w:tc>
        <w:tc>
          <w:tcPr>
            <w:tcW w:w="1361" w:type="dxa"/>
          </w:tcPr>
          <w:p w:rsidR="00B9359B" w:rsidRDefault="00B9359B">
            <w:pPr>
              <w:pStyle w:val="Tabletext"/>
              <w:framePr w:hSpace="181" w:wrap="notBeside" w:vAnchor="text" w:hAnchor="text" w:xAlign="center" w:y="1"/>
              <w:spacing w:before="50" w:after="50"/>
              <w:jc w:val="center"/>
              <w:rPr>
                <w:lang w:val="en-US"/>
              </w:rPr>
            </w:pPr>
          </w:p>
        </w:tc>
        <w:tc>
          <w:tcPr>
            <w:tcW w:w="1077" w:type="dxa"/>
          </w:tcPr>
          <w:p w:rsidR="00B9359B" w:rsidRDefault="00B9359B">
            <w:pPr>
              <w:pStyle w:val="Tabletext"/>
              <w:framePr w:hSpace="181" w:wrap="notBeside" w:vAnchor="text" w:hAnchor="text" w:xAlign="center" w:y="1"/>
              <w:spacing w:before="50" w:after="50"/>
              <w:jc w:val="center"/>
              <w:rPr>
                <w:lang w:val="en-US"/>
              </w:rPr>
            </w:pPr>
          </w:p>
        </w:tc>
        <w:tc>
          <w:tcPr>
            <w:tcW w:w="1077" w:type="dxa"/>
          </w:tcPr>
          <w:p w:rsidR="00B9359B" w:rsidRDefault="00B9359B">
            <w:pPr>
              <w:pStyle w:val="Tabletext"/>
              <w:framePr w:hSpace="181" w:wrap="notBeside" w:vAnchor="text" w:hAnchor="text" w:xAlign="center" w:y="1"/>
              <w:spacing w:before="50" w:after="50"/>
              <w:jc w:val="center"/>
              <w:rPr>
                <w:lang w:val="en-US"/>
              </w:rPr>
            </w:pPr>
          </w:p>
        </w:tc>
      </w:tr>
      <w:tr w:rsidR="00B9359B">
        <w:tc>
          <w:tcPr>
            <w:tcW w:w="2098" w:type="dxa"/>
          </w:tcPr>
          <w:p w:rsidR="00B9359B" w:rsidRDefault="009A5268">
            <w:pPr>
              <w:pStyle w:val="Tabletext"/>
              <w:framePr w:hSpace="181" w:wrap="notBeside" w:vAnchor="text" w:hAnchor="text" w:xAlign="center" w:y="1"/>
              <w:spacing w:before="50" w:after="50"/>
              <w:jc w:val="left"/>
              <w:rPr>
                <w:lang w:val="en-US"/>
              </w:rPr>
            </w:pPr>
            <w:r>
              <w:rPr>
                <w:lang w:val="en-US"/>
              </w:rPr>
              <w:t>e.i.r.p. (dBW)</w:t>
            </w:r>
          </w:p>
        </w:tc>
        <w:tc>
          <w:tcPr>
            <w:tcW w:w="1361" w:type="dxa"/>
          </w:tcPr>
          <w:p w:rsidR="00B9359B" w:rsidRDefault="009A5268">
            <w:pPr>
              <w:pStyle w:val="Tabletext"/>
              <w:framePr w:hSpace="181" w:wrap="notBeside" w:vAnchor="text" w:hAnchor="text" w:xAlign="center" w:y="1"/>
              <w:spacing w:before="50" w:after="50"/>
              <w:jc w:val="center"/>
              <w:rPr>
                <w:lang w:val="en-US"/>
              </w:rPr>
            </w:pPr>
            <w:r>
              <w:rPr>
                <w:lang w:val="en-US"/>
              </w:rPr>
              <w:t>73.8</w:t>
            </w:r>
          </w:p>
        </w:tc>
        <w:tc>
          <w:tcPr>
            <w:tcW w:w="1361" w:type="dxa"/>
          </w:tcPr>
          <w:p w:rsidR="00B9359B" w:rsidRDefault="009A5268">
            <w:pPr>
              <w:pStyle w:val="Tabletext"/>
              <w:framePr w:hSpace="181" w:wrap="notBeside" w:vAnchor="text" w:hAnchor="text" w:xAlign="center" w:y="1"/>
              <w:spacing w:before="50" w:after="50"/>
              <w:jc w:val="center"/>
              <w:rPr>
                <w:lang w:val="en-US"/>
              </w:rPr>
            </w:pPr>
            <w:r>
              <w:rPr>
                <w:lang w:val="en-US"/>
              </w:rPr>
              <w:t>75.5</w:t>
            </w:r>
          </w:p>
        </w:tc>
        <w:tc>
          <w:tcPr>
            <w:tcW w:w="1361" w:type="dxa"/>
          </w:tcPr>
          <w:p w:rsidR="00B9359B" w:rsidRDefault="009A5268">
            <w:pPr>
              <w:pStyle w:val="Tabletext"/>
              <w:framePr w:hSpace="181" w:wrap="notBeside" w:vAnchor="text" w:hAnchor="text" w:xAlign="center" w:y="1"/>
              <w:spacing w:before="50" w:after="50"/>
              <w:jc w:val="center"/>
              <w:rPr>
                <w:lang w:val="en-US"/>
              </w:rPr>
            </w:pPr>
            <w:r>
              <w:rPr>
                <w:lang w:val="en-US"/>
              </w:rPr>
              <w:t>83.9</w:t>
            </w:r>
          </w:p>
        </w:tc>
        <w:tc>
          <w:tcPr>
            <w:tcW w:w="1361" w:type="dxa"/>
          </w:tcPr>
          <w:p w:rsidR="00B9359B" w:rsidRDefault="009A5268">
            <w:pPr>
              <w:pStyle w:val="Tabletext"/>
              <w:framePr w:hSpace="181" w:wrap="notBeside" w:vAnchor="text" w:hAnchor="text" w:xAlign="center" w:y="1"/>
              <w:spacing w:before="50" w:after="50"/>
              <w:jc w:val="center"/>
              <w:rPr>
                <w:lang w:val="en-US"/>
              </w:rPr>
            </w:pPr>
            <w:r>
              <w:rPr>
                <w:lang w:val="en-US"/>
              </w:rPr>
              <w:t>69.2</w:t>
            </w:r>
          </w:p>
        </w:tc>
        <w:tc>
          <w:tcPr>
            <w:tcW w:w="1077" w:type="dxa"/>
          </w:tcPr>
          <w:p w:rsidR="00B9359B" w:rsidRDefault="009A5268">
            <w:pPr>
              <w:pStyle w:val="Tabletext"/>
              <w:framePr w:hSpace="181" w:wrap="notBeside" w:vAnchor="text" w:hAnchor="text" w:xAlign="center" w:y="1"/>
              <w:spacing w:before="50" w:after="50"/>
              <w:jc w:val="center"/>
              <w:rPr>
                <w:lang w:val="en-US"/>
              </w:rPr>
            </w:pPr>
            <w:r>
              <w:rPr>
                <w:lang w:val="en-US"/>
              </w:rPr>
              <w:t>31.5</w:t>
            </w:r>
          </w:p>
        </w:tc>
        <w:tc>
          <w:tcPr>
            <w:tcW w:w="1077" w:type="dxa"/>
          </w:tcPr>
          <w:p w:rsidR="00B9359B" w:rsidRDefault="009A5268">
            <w:pPr>
              <w:pStyle w:val="Tabletext"/>
              <w:framePr w:hSpace="181" w:wrap="notBeside" w:vAnchor="text" w:hAnchor="text" w:xAlign="center" w:y="1"/>
              <w:spacing w:before="50" w:after="50"/>
              <w:jc w:val="center"/>
              <w:rPr>
                <w:lang w:val="en-US"/>
              </w:rPr>
            </w:pPr>
            <w:r>
              <w:rPr>
                <w:lang w:val="en-US"/>
              </w:rPr>
              <w:t>84.7</w:t>
            </w:r>
          </w:p>
        </w:tc>
      </w:tr>
      <w:tr w:rsidR="00B9359B">
        <w:tc>
          <w:tcPr>
            <w:tcW w:w="2098" w:type="dxa"/>
          </w:tcPr>
          <w:p w:rsidR="00B9359B" w:rsidRDefault="009A5268">
            <w:pPr>
              <w:pStyle w:val="Tabletext"/>
              <w:framePr w:hSpace="181" w:wrap="notBeside" w:vAnchor="text" w:hAnchor="text" w:xAlign="center" w:y="1"/>
              <w:spacing w:before="50" w:after="50"/>
              <w:jc w:val="left"/>
              <w:rPr>
                <w:lang w:val="en-US"/>
              </w:rPr>
            </w:pPr>
            <w:r>
              <w:rPr>
                <w:lang w:val="en-US"/>
              </w:rPr>
              <w:t>Antenna gain (dBi)</w:t>
            </w:r>
          </w:p>
        </w:tc>
        <w:tc>
          <w:tcPr>
            <w:tcW w:w="1361" w:type="dxa"/>
          </w:tcPr>
          <w:p w:rsidR="00B9359B" w:rsidRDefault="009A5268">
            <w:pPr>
              <w:pStyle w:val="Tabletext"/>
              <w:framePr w:hSpace="181" w:wrap="notBeside" w:vAnchor="text" w:hAnchor="text" w:xAlign="center" w:y="1"/>
              <w:spacing w:before="50" w:after="50"/>
              <w:jc w:val="center"/>
              <w:rPr>
                <w:lang w:val="en-US"/>
              </w:rPr>
            </w:pPr>
            <w:r>
              <w:rPr>
                <w:lang w:val="en-US"/>
              </w:rPr>
              <w:t>59.5</w:t>
            </w:r>
          </w:p>
        </w:tc>
        <w:tc>
          <w:tcPr>
            <w:tcW w:w="1361" w:type="dxa"/>
          </w:tcPr>
          <w:p w:rsidR="00B9359B" w:rsidRDefault="009A5268">
            <w:pPr>
              <w:pStyle w:val="Tabletext"/>
              <w:framePr w:hSpace="181" w:wrap="notBeside" w:vAnchor="text" w:hAnchor="text" w:xAlign="center" w:y="1"/>
              <w:spacing w:before="50" w:after="50"/>
              <w:jc w:val="center"/>
              <w:rPr>
                <w:lang w:val="en-US"/>
              </w:rPr>
            </w:pPr>
            <w:r>
              <w:rPr>
                <w:lang w:val="en-US"/>
              </w:rPr>
              <w:t>59.5</w:t>
            </w:r>
          </w:p>
        </w:tc>
        <w:tc>
          <w:tcPr>
            <w:tcW w:w="1361" w:type="dxa"/>
          </w:tcPr>
          <w:p w:rsidR="00B9359B" w:rsidRDefault="009A5268">
            <w:pPr>
              <w:pStyle w:val="Tabletext"/>
              <w:framePr w:hSpace="181" w:wrap="notBeside" w:vAnchor="text" w:hAnchor="text" w:xAlign="center" w:y="1"/>
              <w:spacing w:before="50" w:after="50"/>
              <w:jc w:val="center"/>
              <w:rPr>
                <w:lang w:val="en-US"/>
              </w:rPr>
            </w:pPr>
            <w:r>
              <w:rPr>
                <w:lang w:val="en-US"/>
              </w:rPr>
              <w:t>64.8</w:t>
            </w:r>
          </w:p>
        </w:tc>
        <w:tc>
          <w:tcPr>
            <w:tcW w:w="1361" w:type="dxa"/>
          </w:tcPr>
          <w:p w:rsidR="00B9359B" w:rsidRDefault="009A5268">
            <w:pPr>
              <w:pStyle w:val="Tabletext"/>
              <w:framePr w:hSpace="181" w:wrap="notBeside" w:vAnchor="text" w:hAnchor="text" w:xAlign="center" w:y="1"/>
              <w:spacing w:before="50" w:after="50"/>
              <w:jc w:val="center"/>
              <w:rPr>
                <w:lang w:val="en-US"/>
              </w:rPr>
            </w:pPr>
            <w:r>
              <w:rPr>
                <w:lang w:val="en-US"/>
              </w:rPr>
              <w:t>59.3</w:t>
            </w:r>
          </w:p>
        </w:tc>
        <w:tc>
          <w:tcPr>
            <w:tcW w:w="1077" w:type="dxa"/>
          </w:tcPr>
          <w:p w:rsidR="00B9359B" w:rsidRDefault="009A5268">
            <w:pPr>
              <w:pStyle w:val="Tabletext"/>
              <w:framePr w:hSpace="181" w:wrap="notBeside" w:vAnchor="text" w:hAnchor="text" w:xAlign="center" w:y="1"/>
              <w:spacing w:before="50" w:after="50"/>
              <w:jc w:val="center"/>
              <w:rPr>
                <w:lang w:val="en-US"/>
              </w:rPr>
            </w:pPr>
            <w:r>
              <w:rPr>
                <w:lang w:val="en-US"/>
              </w:rPr>
              <w:t>45.2</w:t>
            </w:r>
          </w:p>
        </w:tc>
        <w:tc>
          <w:tcPr>
            <w:tcW w:w="1077" w:type="dxa"/>
          </w:tcPr>
          <w:p w:rsidR="00B9359B" w:rsidRDefault="009A5268">
            <w:pPr>
              <w:pStyle w:val="Tabletext"/>
              <w:framePr w:hSpace="181" w:wrap="notBeside" w:vAnchor="text" w:hAnchor="text" w:xAlign="center" w:y="1"/>
              <w:spacing w:before="50" w:after="50"/>
              <w:jc w:val="center"/>
              <w:rPr>
                <w:lang w:val="en-US"/>
              </w:rPr>
            </w:pPr>
            <w:r>
              <w:rPr>
                <w:lang w:val="en-US"/>
              </w:rPr>
              <w:t>65.4</w:t>
            </w:r>
          </w:p>
        </w:tc>
      </w:tr>
      <w:tr w:rsidR="00B9359B">
        <w:trPr>
          <w:trHeight w:val="458"/>
        </w:trPr>
        <w:tc>
          <w:tcPr>
            <w:tcW w:w="2098" w:type="dxa"/>
          </w:tcPr>
          <w:p w:rsidR="00B9359B" w:rsidRDefault="009A5268">
            <w:pPr>
              <w:pStyle w:val="Tabletext"/>
              <w:framePr w:hSpace="181" w:wrap="notBeside" w:vAnchor="text" w:hAnchor="text" w:xAlign="center" w:y="1"/>
              <w:spacing w:before="50" w:after="50"/>
              <w:jc w:val="left"/>
              <w:rPr>
                <w:lang w:val="en-US"/>
              </w:rPr>
            </w:pPr>
            <w:r>
              <w:rPr>
                <w:lang w:val="en-US"/>
              </w:rPr>
              <w:t>Transmitter power (dBW)</w:t>
            </w:r>
          </w:p>
        </w:tc>
        <w:tc>
          <w:tcPr>
            <w:tcW w:w="1361" w:type="dxa"/>
          </w:tcPr>
          <w:p w:rsidR="00B9359B" w:rsidRDefault="009A5268">
            <w:pPr>
              <w:pStyle w:val="Tabletext"/>
              <w:framePr w:hSpace="181" w:wrap="notBeside" w:vAnchor="text" w:hAnchor="text" w:xAlign="center" w:y="1"/>
              <w:spacing w:before="50" w:after="50"/>
              <w:jc w:val="center"/>
              <w:rPr>
                <w:lang w:val="en-US"/>
              </w:rPr>
            </w:pPr>
            <w:r>
              <w:rPr>
                <w:lang w:val="en-US"/>
              </w:rPr>
              <w:t>14.3</w:t>
            </w:r>
          </w:p>
        </w:tc>
        <w:tc>
          <w:tcPr>
            <w:tcW w:w="1361" w:type="dxa"/>
          </w:tcPr>
          <w:p w:rsidR="00B9359B" w:rsidRDefault="009A5268">
            <w:pPr>
              <w:pStyle w:val="Tabletext"/>
              <w:framePr w:hSpace="181" w:wrap="notBeside" w:vAnchor="text" w:hAnchor="text" w:xAlign="center" w:y="1"/>
              <w:spacing w:before="50" w:after="50"/>
              <w:jc w:val="center"/>
              <w:rPr>
                <w:lang w:val="en-US"/>
              </w:rPr>
            </w:pPr>
            <w:r>
              <w:rPr>
                <w:lang w:val="en-US"/>
              </w:rPr>
              <w:t>16</w:t>
            </w:r>
          </w:p>
        </w:tc>
        <w:tc>
          <w:tcPr>
            <w:tcW w:w="1361" w:type="dxa"/>
          </w:tcPr>
          <w:p w:rsidR="00B9359B" w:rsidRDefault="009A5268">
            <w:pPr>
              <w:pStyle w:val="Tabletext"/>
              <w:framePr w:hSpace="181" w:wrap="notBeside" w:vAnchor="text" w:hAnchor="text" w:xAlign="center" w:y="1"/>
              <w:spacing w:before="50" w:after="50"/>
              <w:jc w:val="center"/>
              <w:rPr>
                <w:lang w:val="en-US"/>
              </w:rPr>
            </w:pPr>
            <w:r>
              <w:rPr>
                <w:lang w:val="en-US"/>
              </w:rPr>
              <w:t>19.1</w:t>
            </w:r>
          </w:p>
        </w:tc>
        <w:tc>
          <w:tcPr>
            <w:tcW w:w="1361" w:type="dxa"/>
          </w:tcPr>
          <w:p w:rsidR="00B9359B" w:rsidRDefault="009A5268">
            <w:pPr>
              <w:pStyle w:val="Tabletext"/>
              <w:framePr w:hSpace="181" w:wrap="notBeside" w:vAnchor="text" w:hAnchor="text" w:xAlign="center" w:y="1"/>
              <w:spacing w:before="50" w:after="50"/>
              <w:jc w:val="center"/>
              <w:rPr>
                <w:lang w:val="en-US"/>
              </w:rPr>
            </w:pPr>
            <w:r>
              <w:rPr>
                <w:lang w:val="en-US"/>
              </w:rPr>
              <w:t>9.8</w:t>
            </w:r>
          </w:p>
        </w:tc>
        <w:tc>
          <w:tcPr>
            <w:tcW w:w="1077" w:type="dxa"/>
          </w:tcPr>
          <w:p w:rsidR="00B9359B" w:rsidRDefault="009A5268">
            <w:pPr>
              <w:pStyle w:val="Tabletext"/>
              <w:framePr w:hSpace="181" w:wrap="notBeside" w:vAnchor="text" w:hAnchor="text" w:xAlign="center" w:y="1"/>
              <w:spacing w:before="50" w:after="50"/>
              <w:jc w:val="center"/>
              <w:rPr>
                <w:lang w:val="en-US"/>
              </w:rPr>
            </w:pPr>
            <w:r>
              <w:rPr>
                <w:lang w:val="en-US"/>
              </w:rPr>
              <w:t>–13.7</w:t>
            </w:r>
          </w:p>
        </w:tc>
        <w:tc>
          <w:tcPr>
            <w:tcW w:w="1077" w:type="dxa"/>
          </w:tcPr>
          <w:p w:rsidR="00B9359B" w:rsidRDefault="009A5268">
            <w:pPr>
              <w:pStyle w:val="Tabletext"/>
              <w:framePr w:hSpace="181" w:wrap="notBeside" w:vAnchor="text" w:hAnchor="text" w:xAlign="center" w:y="1"/>
              <w:spacing w:before="50" w:after="50"/>
              <w:jc w:val="center"/>
              <w:rPr>
                <w:lang w:val="en-US"/>
              </w:rPr>
            </w:pPr>
            <w:r>
              <w:rPr>
                <w:lang w:val="en-US"/>
              </w:rPr>
              <w:t>19.3</w:t>
            </w:r>
          </w:p>
        </w:tc>
      </w:tr>
    </w:tbl>
    <w:p w:rsidR="00B9359B" w:rsidRDefault="00B9359B">
      <w:pPr>
        <w:pStyle w:val="Tablefin"/>
      </w:pPr>
    </w:p>
    <w:p w:rsidR="00B9359B" w:rsidRDefault="009A5268">
      <w:pPr>
        <w:pStyle w:val="Heading1"/>
        <w:rPr>
          <w:lang w:val="en-US"/>
        </w:rPr>
      </w:pPr>
      <w:bookmarkStart w:id="596" w:name="_Toc51045995"/>
      <w:r>
        <w:rPr>
          <w:lang w:val="en-US"/>
        </w:rPr>
        <w:t>3</w:t>
      </w:r>
      <w:r>
        <w:rPr>
          <w:lang w:val="en-US"/>
        </w:rPr>
        <w:tab/>
        <w:t>Compatibility threshold</w:t>
      </w:r>
      <w:bookmarkEnd w:id="596"/>
    </w:p>
    <w:p w:rsidR="00B9359B" w:rsidRDefault="009A5268">
      <w:pPr>
        <w:rPr>
          <w:lang w:val="en-US"/>
        </w:rPr>
      </w:pPr>
      <w:r>
        <w:rPr>
          <w:lang w:val="en-US"/>
        </w:rPr>
        <w:t>There are two criteria for this band. First there is a power threshold of –166 dBW in 100 MHz. This is a maximum interference level from all sources. Secondly the availability criterion is 99.99% of all measurement cells or 0.01% loss of measurement pixels.</w:t>
      </w:r>
    </w:p>
    <w:p w:rsidR="00B9359B" w:rsidRDefault="009A5268">
      <w:pPr>
        <w:rPr>
          <w:lang w:val="en-US"/>
        </w:rPr>
      </w:pPr>
      <w:r>
        <w:rPr>
          <w:lang w:val="en-US"/>
        </w:rPr>
        <w:br w:type="page"/>
        <w:t>Interference is potentially received from several sources arising from multiple services simul</w:t>
      </w:r>
      <w:r>
        <w:rPr>
          <w:lang w:val="en-US"/>
        </w:rPr>
        <w:softHyphen/>
        <w:t>taneously. The value listed in Recommendation ITU-R SA.1029 (for a specific band) is the maximum allowable interference level for the passive sensor.</w:t>
      </w:r>
    </w:p>
    <w:p w:rsidR="00B9359B" w:rsidRDefault="009A5268">
      <w:pPr>
        <w:rPr>
          <w:lang w:val="en-US"/>
        </w:rPr>
      </w:pPr>
      <w:r>
        <w:rPr>
          <w:lang w:val="en-US"/>
        </w:rPr>
        <w:t>This Annex provides an analysis of the interference generated by a single active service. Therefore further work is needed to address the impact of multiple active services above and below the passive band.</w:t>
      </w:r>
    </w:p>
    <w:p w:rsidR="00B9359B" w:rsidRDefault="009A5268">
      <w:pPr>
        <w:pStyle w:val="Heading1"/>
        <w:rPr>
          <w:lang w:val="en-US"/>
        </w:rPr>
      </w:pPr>
      <w:bookmarkStart w:id="597" w:name="_Toc51045996"/>
      <w:r>
        <w:rPr>
          <w:lang w:val="en-US"/>
        </w:rPr>
        <w:t>4</w:t>
      </w:r>
      <w:r>
        <w:rPr>
          <w:lang w:val="en-US"/>
        </w:rPr>
        <w:tab/>
        <w:t>Interference assessment</w:t>
      </w:r>
      <w:bookmarkEnd w:id="597"/>
    </w:p>
    <w:p w:rsidR="00B9359B" w:rsidRDefault="009A5268">
      <w:pPr>
        <w:rPr>
          <w:lang w:val="en-US"/>
        </w:rPr>
      </w:pPr>
      <w:r>
        <w:rPr>
          <w:lang w:val="en-US"/>
        </w:rPr>
        <w:t>The interference margins for interference from the earth station main lobe are from 95 to 40 dB when in the sensor’s main lobe and 55 dB or less when the sensor side lobe is coupled to the earth stations main lobe. Calculations of the probability of this interference occurrence per earth station show that it is low. The interference impact of these systems may depend upon the earth station population density.</w:t>
      </w:r>
    </w:p>
    <w:p w:rsidR="00B9359B" w:rsidRDefault="009A5268">
      <w:pPr>
        <w:pStyle w:val="Heading2"/>
        <w:rPr>
          <w:lang w:val="en-US"/>
        </w:rPr>
      </w:pPr>
      <w:bookmarkStart w:id="598" w:name="_Toc51045997"/>
      <w:r>
        <w:rPr>
          <w:lang w:val="en-US"/>
        </w:rPr>
        <w:t>4.1</w:t>
      </w:r>
      <w:r>
        <w:rPr>
          <w:lang w:val="en-US"/>
        </w:rPr>
        <w:tab/>
        <w:t>Methodology used to assess interference levels</w:t>
      </w:r>
      <w:bookmarkEnd w:id="598"/>
    </w:p>
    <w:p w:rsidR="00B9359B" w:rsidRDefault="009A5268">
      <w:pPr>
        <w:rPr>
          <w:lang w:val="en-US"/>
        </w:rPr>
      </w:pPr>
      <w:r>
        <w:rPr>
          <w:lang w:val="en-US"/>
        </w:rPr>
        <w:t>In a first step, interference levels are computed in a co-frequency case, where the FSS earth stations are assumed to transmit within the EESS (passive) band. In cases where the earth station necessary bandwidth is greater than the EESS (passive) band, the power falling within the EESS band is reduced proportionally, assuming that the power density is constant in the necessary bandwidth.</w:t>
      </w:r>
    </w:p>
    <w:p w:rsidR="00B9359B" w:rsidRDefault="009A5268">
      <w:pPr>
        <w:rPr>
          <w:lang w:val="en-US"/>
        </w:rPr>
      </w:pPr>
      <w:r>
        <w:rPr>
          <w:lang w:val="en-US"/>
        </w:rPr>
        <w:t>In a second step, the OoB mask for the active service is taken into account, and the guardband is defined, which may be necessary to protect the passive service.</w:t>
      </w:r>
    </w:p>
    <w:p w:rsidR="00B9359B" w:rsidRDefault="009A5268">
      <w:pPr>
        <w:pStyle w:val="Heading3"/>
        <w:rPr>
          <w:lang w:val="en-US"/>
        </w:rPr>
      </w:pPr>
      <w:bookmarkStart w:id="599" w:name="_Toc51045998"/>
      <w:r>
        <w:rPr>
          <w:lang w:val="en-US"/>
        </w:rPr>
        <w:t>4.1.1</w:t>
      </w:r>
      <w:r>
        <w:rPr>
          <w:lang w:val="en-US"/>
        </w:rPr>
        <w:tab/>
        <w:t>GSO FSS earth stations</w:t>
      </w:r>
      <w:bookmarkEnd w:id="599"/>
    </w:p>
    <w:p w:rsidR="00B9359B" w:rsidRDefault="009A5268">
      <w:pPr>
        <w:rPr>
          <w:lang w:val="en-US"/>
        </w:rPr>
      </w:pPr>
      <w:r>
        <w:rPr>
          <w:lang w:val="en-US"/>
        </w:rPr>
        <w:t>The following basic hypothesis are adopted for the analysis:</w:t>
      </w:r>
    </w:p>
    <w:p w:rsidR="00B9359B" w:rsidRDefault="009A5268">
      <w:pPr>
        <w:pStyle w:val="enumlev1"/>
        <w:rPr>
          <w:lang w:val="en-US"/>
        </w:rPr>
      </w:pPr>
      <w:r>
        <w:rPr>
          <w:lang w:val="en-US"/>
        </w:rPr>
        <w:t>–</w:t>
      </w:r>
      <w:r>
        <w:rPr>
          <w:lang w:val="en-US"/>
        </w:rPr>
        <w:tab/>
        <w:t>Interference occurs via direct coupling between the passive sensor and the FSS earth station antennas.</w:t>
      </w:r>
    </w:p>
    <w:p w:rsidR="00B9359B" w:rsidRDefault="009A5268">
      <w:pPr>
        <w:pStyle w:val="enumlev1"/>
        <w:rPr>
          <w:lang w:val="en-US"/>
        </w:rPr>
      </w:pPr>
      <w:r>
        <w:rPr>
          <w:lang w:val="en-US"/>
        </w:rPr>
        <w:t>–</w:t>
      </w:r>
      <w:r>
        <w:rPr>
          <w:lang w:val="en-US"/>
        </w:rPr>
        <w:tab/>
        <w:t>Both antennas are modelled using Recommendation ITU-R F.1245.</w:t>
      </w:r>
    </w:p>
    <w:p w:rsidR="00B9359B" w:rsidRDefault="009A5268">
      <w:pPr>
        <w:pStyle w:val="enumlev1"/>
        <w:rPr>
          <w:lang w:val="en-US"/>
        </w:rPr>
      </w:pPr>
      <w:r>
        <w:rPr>
          <w:lang w:val="en-US"/>
        </w:rPr>
        <w:t>–</w:t>
      </w:r>
      <w:r>
        <w:rPr>
          <w:lang w:val="en-US"/>
        </w:rPr>
        <w:tab/>
        <w:t>In an attempt to identify possibly worst</w:t>
      </w:r>
      <w:r>
        <w:rPr>
          <w:lang w:val="en-US"/>
        </w:rPr>
        <w:noBreakHyphen/>
        <w:t>case configurations, it is assumed that the pointing direction of the FSS earth station (aiming at the GSO orbit in case of GSO FSS) is contained in the orbit plane of the Earth exploration-satellite. This configuration renders possible sensor side-lobe to earth station main-lobe and sensor main-lobe to earth station side-lobe interfering paths. Main-lobe to main-lobe interfering paths may also occur but, because the earth stations are aiming at the GSO orbit, this is only possible with those located near the equator; Their probability of occurrence should be studied further in a dynamic analysis which is not implemented in this study.</w:t>
      </w:r>
    </w:p>
    <w:p w:rsidR="00B9359B" w:rsidRDefault="009A5268">
      <w:pPr>
        <w:pStyle w:val="enumlev1"/>
        <w:rPr>
          <w:lang w:val="en-US"/>
        </w:rPr>
      </w:pPr>
      <w:r>
        <w:rPr>
          <w:lang w:val="en-US"/>
        </w:rPr>
        <w:t>–</w:t>
      </w:r>
      <w:r>
        <w:rPr>
          <w:lang w:val="en-US"/>
        </w:rPr>
        <w:tab/>
        <w:t>The FSS earth station is assumed to be located at a latitude of 35</w:t>
      </w:r>
      <w:r>
        <w:rPr>
          <w:rFonts w:ascii="Symbol" w:hAnsi="Symbol"/>
          <w:lang w:val="en-US"/>
        </w:rPr>
        <w:t></w:t>
      </w:r>
      <w:r>
        <w:rPr>
          <w:lang w:val="en-US"/>
        </w:rPr>
        <w:t>. This value was selected as a fair compromise to represent a worst-case sensor side-lobe to earth station main</w:t>
      </w:r>
      <w:r>
        <w:rPr>
          <w:lang w:val="en-US"/>
        </w:rPr>
        <w:noBreakHyphen/>
        <w:t xml:space="preserve">lobe scenario, because it may represent the lower latitude above which earth stations are the </w:t>
      </w:r>
      <w:r>
        <w:rPr>
          <w:lang w:val="en-US"/>
        </w:rPr>
        <w:br w:type="page"/>
        <w:t>most densely distributed and where, due to the relatively high incidence angle of the inter</w:t>
      </w:r>
      <w:r>
        <w:rPr>
          <w:lang w:val="en-US"/>
        </w:rPr>
        <w:softHyphen/>
        <w:t>fering path (about 49</w:t>
      </w:r>
      <w:r>
        <w:rPr>
          <w:rFonts w:ascii="Symbol" w:hAnsi="Symbol"/>
          <w:lang w:val="en-US"/>
        </w:rPr>
        <w:t></w:t>
      </w:r>
      <w:r>
        <w:rPr>
          <w:lang w:val="en-US"/>
        </w:rPr>
        <w:t>), the natural protection due to the path-loss plus atmospheric absorption losses is the lowest.</w:t>
      </w:r>
    </w:p>
    <w:p w:rsidR="00B9359B" w:rsidRDefault="009A5268">
      <w:pPr>
        <w:pStyle w:val="enumlev1"/>
        <w:rPr>
          <w:lang w:val="en-US"/>
        </w:rPr>
      </w:pPr>
      <w:r>
        <w:rPr>
          <w:lang w:val="en-US"/>
        </w:rPr>
        <w:t>–</w:t>
      </w:r>
      <w:r>
        <w:rPr>
          <w:lang w:val="en-US"/>
        </w:rPr>
        <w:tab/>
        <w:t>The dynamic analysis in § 4.4 will consider latitudes between 0</w:t>
      </w:r>
      <w:r>
        <w:rPr>
          <w:rFonts w:ascii="Symbol" w:hAnsi="Symbol"/>
          <w:lang w:val="en-US"/>
        </w:rPr>
        <w:t></w:t>
      </w:r>
      <w:r>
        <w:rPr>
          <w:lang w:val="en-US"/>
        </w:rPr>
        <w:t xml:space="preserve"> and 50</w:t>
      </w:r>
      <w:r>
        <w:rPr>
          <w:rFonts w:ascii="Symbol" w:hAnsi="Symbol"/>
          <w:lang w:val="en-US"/>
        </w:rPr>
        <w:t></w:t>
      </w:r>
      <w:r>
        <w:rPr>
          <w:lang w:val="en-US"/>
        </w:rPr>
        <w:t xml:space="preserve"> N in order to get an extended range of results.</w:t>
      </w:r>
    </w:p>
    <w:p w:rsidR="00B9359B" w:rsidRDefault="009A5268">
      <w:pPr>
        <w:spacing w:after="120"/>
        <w:rPr>
          <w:lang w:val="en-US"/>
        </w:rPr>
      </w:pPr>
      <w:r>
        <w:rPr>
          <w:lang w:val="en-US"/>
        </w:rPr>
        <w:t>This configuration is described on the Fig. 66, where the major geometric parameters of the analysis are indicated.</w:t>
      </w:r>
    </w:p>
    <w:p w:rsidR="00B9359B" w:rsidRDefault="009A5268">
      <w:pPr>
        <w:pStyle w:val="FigureNo"/>
      </w:pPr>
      <w:r>
        <w:object w:dxaOrig="7263" w:dyaOrig="6754">
          <v:shape id="_x0000_i1102" type="#_x0000_t75" style="width:363.2pt;height:337.45pt" o:ole="">
            <v:imagedata r:id="rId136" o:title=""/>
          </v:shape>
          <o:OLEObject Type="Embed" ProgID="Designer.Drawing.7" ShapeID="_x0000_i1102" DrawAspect="Content" ObjectID="_1629894605" r:id="rId137"/>
        </w:object>
      </w:r>
    </w:p>
    <w:p w:rsidR="00B9359B" w:rsidRDefault="009A5268">
      <w:pPr>
        <w:pStyle w:val="Heading3"/>
        <w:rPr>
          <w:lang w:val="en-US"/>
        </w:rPr>
      </w:pPr>
      <w:bookmarkStart w:id="600" w:name="_Toc51045999"/>
      <w:bookmarkStart w:id="601" w:name="_Toc51046000"/>
      <w:r>
        <w:rPr>
          <w:lang w:val="en-US"/>
        </w:rPr>
        <w:t>4.1.2</w:t>
      </w:r>
      <w:r>
        <w:rPr>
          <w:lang w:val="en-US"/>
        </w:rPr>
        <w:tab/>
        <w:t>Non-GSO FSS earth stations</w:t>
      </w:r>
      <w:bookmarkEnd w:id="600"/>
    </w:p>
    <w:p w:rsidR="00B9359B" w:rsidRDefault="009A5268">
      <w:pPr>
        <w:rPr>
          <w:lang w:val="en-US"/>
        </w:rPr>
      </w:pPr>
      <w:r>
        <w:rPr>
          <w:lang w:val="en-US"/>
        </w:rPr>
        <w:t>The problem is more complex, because in this case the pointing direction of the earth station is a varying parameter: a specific earth station may be pointing at any elevation angle and at any azimuth.</w:t>
      </w:r>
    </w:p>
    <w:p w:rsidR="00B9359B" w:rsidRDefault="009A5268">
      <w:pPr>
        <w:rPr>
          <w:lang w:val="en-US"/>
        </w:rPr>
      </w:pPr>
      <w:r>
        <w:rPr>
          <w:lang w:val="en-US"/>
        </w:rPr>
        <w:t>For convenience, the present study is limited to a configuration similar to that adopted for the GSO FSS case (see Fig. 66), where main-lobe to main-lobe scenarios are not considered. It is clear however that this will result in a very optimistic evaluation of the real situation.</w:t>
      </w:r>
    </w:p>
    <w:p w:rsidR="00B9359B" w:rsidRDefault="009A5268">
      <w:pPr>
        <w:pStyle w:val="Heading2"/>
        <w:rPr>
          <w:lang w:val="en-US"/>
        </w:rPr>
      </w:pPr>
      <w:r>
        <w:rPr>
          <w:lang w:val="en-US"/>
        </w:rPr>
        <w:t>4.2</w:t>
      </w:r>
      <w:r>
        <w:rPr>
          <w:lang w:val="en-US"/>
        </w:rPr>
        <w:tab/>
        <w:t>Calculation of interference in the co-frequency hypothesis</w:t>
      </w:r>
      <w:bookmarkEnd w:id="601"/>
    </w:p>
    <w:p w:rsidR="00B9359B" w:rsidRDefault="009A5268">
      <w:pPr>
        <w:rPr>
          <w:lang w:val="en-US"/>
        </w:rPr>
      </w:pPr>
      <w:r>
        <w:rPr>
          <w:lang w:val="en-US"/>
        </w:rPr>
        <w:t>Noting that the most critical scenarios are those involving simultaneously a high e.i.r.p. and a wide necessary bandwidth, one non-GSO and two GSO systems are selected on these criteria for detailed analysis; these are the MEOSAT</w:t>
      </w:r>
      <w:r>
        <w:rPr>
          <w:lang w:val="en-US"/>
        </w:rPr>
        <w:noBreakHyphen/>
        <w:t>X (see Table 101), the GEO</w:t>
      </w:r>
      <w:r>
        <w:rPr>
          <w:lang w:val="en-US"/>
        </w:rPr>
        <w:noBreakHyphen/>
        <w:t>SV and the GSOV</w:t>
      </w:r>
      <w:r>
        <w:rPr>
          <w:lang w:val="en-US"/>
        </w:rPr>
        <w:noBreakHyphen/>
        <w:t>B2 (see Table 102) respectively.</w:t>
      </w:r>
    </w:p>
    <w:p w:rsidR="00B9359B" w:rsidRDefault="009A5268">
      <w:pPr>
        <w:rPr>
          <w:lang w:val="en-US"/>
        </w:rPr>
      </w:pPr>
      <w:r>
        <w:rPr>
          <w:lang w:val="en-US"/>
        </w:rPr>
        <w:br w:type="page"/>
        <w:t>Assuming that the pointing direction of the FSS earth station antenna (aiming at the GSO orbit in case of GSO systems) is contained in the orbital plane of the Earth exploration-satellite, and considering only the nadir beam of the pushbroom passive sensor, the following parameters are computed, depending on the latitudinal distance between the passive sensor and the FSS earth station:</w:t>
      </w:r>
    </w:p>
    <w:p w:rsidR="00B9359B" w:rsidRDefault="009A5268">
      <w:pPr>
        <w:pStyle w:val="enumlev1"/>
        <w:rPr>
          <w:lang w:val="en-US"/>
        </w:rPr>
      </w:pPr>
      <w:r>
        <w:rPr>
          <w:lang w:val="en-US"/>
        </w:rPr>
        <w:t>–</w:t>
      </w:r>
      <w:r>
        <w:rPr>
          <w:lang w:val="en-US"/>
        </w:rPr>
        <w:tab/>
        <w:t>line-of-sight distance between the sensor and the earth station (km);</w:t>
      </w:r>
    </w:p>
    <w:p w:rsidR="00B9359B" w:rsidRDefault="009A5268">
      <w:pPr>
        <w:pStyle w:val="enumlev1"/>
        <w:rPr>
          <w:lang w:val="en-US"/>
        </w:rPr>
      </w:pPr>
      <w:r>
        <w:rPr>
          <w:lang w:val="en-US"/>
        </w:rPr>
        <w:t>–</w:t>
      </w:r>
      <w:r>
        <w:rPr>
          <w:lang w:val="en-US"/>
        </w:rPr>
        <w:tab/>
        <w:t>off-set angles between the line-of-sight sensor/earth station and the antennas main axis;</w:t>
      </w:r>
    </w:p>
    <w:p w:rsidR="00B9359B" w:rsidRDefault="009A5268">
      <w:pPr>
        <w:pStyle w:val="enumlev1"/>
        <w:rPr>
          <w:lang w:val="en-US"/>
        </w:rPr>
      </w:pPr>
      <w:r>
        <w:rPr>
          <w:lang w:val="en-US"/>
        </w:rPr>
        <w:t>–</w:t>
      </w:r>
      <w:r>
        <w:rPr>
          <w:lang w:val="en-US"/>
        </w:rPr>
        <w:tab/>
        <w:t>mutual gains in direction of each other, of the sensor and earth station antennas;</w:t>
      </w:r>
    </w:p>
    <w:p w:rsidR="00B9359B" w:rsidRDefault="009A5268">
      <w:pPr>
        <w:pStyle w:val="enumlev1"/>
        <w:rPr>
          <w:lang w:val="en-US"/>
        </w:rPr>
      </w:pPr>
      <w:r>
        <w:rPr>
          <w:lang w:val="en-US"/>
        </w:rPr>
        <w:t>–</w:t>
      </w:r>
      <w:r>
        <w:rPr>
          <w:lang w:val="en-US"/>
        </w:rPr>
        <w:tab/>
        <w:t>space loss;</w:t>
      </w:r>
    </w:p>
    <w:p w:rsidR="00B9359B" w:rsidRDefault="009A5268">
      <w:pPr>
        <w:pStyle w:val="enumlev1"/>
        <w:rPr>
          <w:lang w:val="en-US"/>
        </w:rPr>
      </w:pPr>
      <w:r>
        <w:rPr>
          <w:lang w:val="en-US"/>
        </w:rPr>
        <w:t>–</w:t>
      </w:r>
      <w:r>
        <w:rPr>
          <w:lang w:val="en-US"/>
        </w:rPr>
        <w:tab/>
        <w:t>atmospheric absorption depending on the elevation angle of the path (Recommendation ITU</w:t>
      </w:r>
      <w:r>
        <w:rPr>
          <w:lang w:val="en-US"/>
        </w:rPr>
        <w:noBreakHyphen/>
        <w:t>R P.676);</w:t>
      </w:r>
    </w:p>
    <w:p w:rsidR="00B9359B" w:rsidRDefault="009A5268">
      <w:pPr>
        <w:pStyle w:val="enumlev1"/>
        <w:rPr>
          <w:lang w:val="en-US"/>
        </w:rPr>
      </w:pPr>
      <w:r>
        <w:rPr>
          <w:lang w:val="en-US"/>
        </w:rPr>
        <w:t>–</w:t>
      </w:r>
      <w:r>
        <w:rPr>
          <w:lang w:val="en-US"/>
        </w:rPr>
        <w:tab/>
        <w:t>power received by the passive sensor;</w:t>
      </w:r>
    </w:p>
    <w:p w:rsidR="00B9359B" w:rsidRDefault="009A5268">
      <w:pPr>
        <w:pStyle w:val="enumlev1"/>
        <w:rPr>
          <w:lang w:val="en-US"/>
        </w:rPr>
      </w:pPr>
      <w:r>
        <w:rPr>
          <w:lang w:val="en-US"/>
        </w:rPr>
        <w:t>–</w:t>
      </w:r>
      <w:r>
        <w:rPr>
          <w:lang w:val="en-US"/>
        </w:rPr>
        <w:tab/>
        <w:t>margin referred to the interference threshold in the EESS (passive) allocated band;</w:t>
      </w:r>
    </w:p>
    <w:p w:rsidR="00B9359B" w:rsidRDefault="009A5268">
      <w:pPr>
        <w:pStyle w:val="enumlev1"/>
        <w:rPr>
          <w:lang w:val="en-US"/>
        </w:rPr>
      </w:pPr>
      <w:r>
        <w:rPr>
          <w:lang w:val="en-US"/>
        </w:rPr>
        <w:t>–</w:t>
      </w:r>
      <w:r>
        <w:rPr>
          <w:lang w:val="en-US"/>
        </w:rPr>
        <w:tab/>
        <w:t>the size of the area around the earth station position, where the sounding data are contaminated by interference.</w:t>
      </w:r>
    </w:p>
    <w:p w:rsidR="00B9359B" w:rsidRDefault="009A5268">
      <w:pPr>
        <w:pStyle w:val="Heading2"/>
        <w:rPr>
          <w:lang w:val="en-US"/>
        </w:rPr>
      </w:pPr>
      <w:bookmarkStart w:id="602" w:name="_Toc51046001"/>
      <w:r>
        <w:rPr>
          <w:lang w:val="en-US"/>
        </w:rPr>
        <w:t>4.3</w:t>
      </w:r>
      <w:r>
        <w:rPr>
          <w:lang w:val="en-US"/>
        </w:rPr>
        <w:tab/>
        <w:t>Result of the analysis and discussion</w:t>
      </w:r>
      <w:bookmarkEnd w:id="602"/>
    </w:p>
    <w:p w:rsidR="00B9359B" w:rsidRDefault="009A5268">
      <w:pPr>
        <w:rPr>
          <w:lang w:val="en-US"/>
        </w:rPr>
      </w:pPr>
      <w:r>
        <w:rPr>
          <w:lang w:val="en-US"/>
        </w:rPr>
        <w:t>The results are plotted in Figs. 67 and 68 for a non-GSO FSS earth station and in Figs. 69 and 70 for a GSO FSS earth station. While the Earth exploration-satellite is moving in the direction of the earth station, a first event appears when the sensor is crossing the earth station’s main-lobe, and a second event occurs when the sensor is at the zenith of the earth station.</w:t>
      </w:r>
    </w:p>
    <w:p w:rsidR="00B9359B" w:rsidRDefault="00B9359B">
      <w:pPr>
        <w:rPr>
          <w:lang w:val="en-US"/>
        </w:rPr>
      </w:pPr>
    </w:p>
    <w:p w:rsidR="00B9359B" w:rsidRDefault="009A5268">
      <w:pPr>
        <w:pStyle w:val="FigureNo"/>
        <w:rPr>
          <w:lang w:val="en-US"/>
        </w:rPr>
      </w:pPr>
      <w:r>
        <w:rPr>
          <w:lang w:val="en-US"/>
        </w:rPr>
        <w:object w:dxaOrig="7724" w:dyaOrig="5645">
          <v:shape id="_x0000_i1103" type="#_x0000_t75" style="width:386.35pt;height:282.1pt" o:ole="">
            <v:imagedata r:id="rId138" o:title=""/>
          </v:shape>
          <o:OLEObject Type="Embed" ProgID="Designer.Drawing.7" ShapeID="_x0000_i1103" DrawAspect="Content" ObjectID="_1629894606" r:id="rId139"/>
        </w:object>
      </w:r>
    </w:p>
    <w:p w:rsidR="00B9359B" w:rsidRDefault="00B9359B">
      <w:pPr>
        <w:rPr>
          <w:lang w:val="en-US"/>
        </w:rPr>
      </w:pPr>
    </w:p>
    <w:p w:rsidR="00B9359B" w:rsidRDefault="009A5268">
      <w:pPr>
        <w:pStyle w:val="FigureNo"/>
      </w:pPr>
      <w:r>
        <w:rPr>
          <w:lang w:val="en-US"/>
        </w:rPr>
        <w:br w:type="page"/>
      </w:r>
      <w:r>
        <w:object w:dxaOrig="7724" w:dyaOrig="5602">
          <v:shape id="_x0000_i1104" type="#_x0000_t75" style="width:386.35pt;height:279.95pt" o:ole="">
            <v:imagedata r:id="rId140" o:title=""/>
          </v:shape>
          <o:OLEObject Type="Embed" ProgID="Designer.Drawing.7" ShapeID="_x0000_i1104" DrawAspect="Content" ObjectID="_1629894607" r:id="rId141"/>
        </w:object>
      </w:r>
    </w:p>
    <w:p w:rsidR="00B9359B" w:rsidRDefault="009A5268">
      <w:pPr>
        <w:rPr>
          <w:lang w:val="en-US"/>
        </w:rPr>
      </w:pPr>
      <w:r>
        <w:rPr>
          <w:lang w:val="en-US"/>
        </w:rPr>
        <w:t>It should be noted that in case of non-GSO FSS systems, main-to main-lobe interfering paths are possible at all latitudes when the passive sensor is passing near the zenith of earth stations. In that case, the excess of power over the interference threshold is augmented by the earth station antenna main-lobe to far-lobe discrimination (about 80 dB).</w:t>
      </w:r>
    </w:p>
    <w:p w:rsidR="00B9359B" w:rsidRDefault="009A5268">
      <w:pPr>
        <w:pStyle w:val="FigureNo"/>
      </w:pPr>
      <w:r>
        <w:object w:dxaOrig="7724" w:dyaOrig="5684">
          <v:shape id="_x0000_i1105" type="#_x0000_t75" style="width:386.35pt;height:285.3pt" o:ole="">
            <v:imagedata r:id="rId142" o:title=""/>
          </v:shape>
          <o:OLEObject Type="Embed" ProgID="Designer.Drawing.7" ShapeID="_x0000_i1105" DrawAspect="Content" ObjectID="_1629894608" r:id="rId143"/>
        </w:object>
      </w:r>
    </w:p>
    <w:p w:rsidR="00B9359B" w:rsidRDefault="009A5268">
      <w:pPr>
        <w:pStyle w:val="FigureNo"/>
      </w:pPr>
      <w:r>
        <w:rPr>
          <w:lang w:val="en-US"/>
        </w:rPr>
        <w:br w:type="page"/>
      </w:r>
      <w:r>
        <w:object w:dxaOrig="7724" w:dyaOrig="5775">
          <v:shape id="_x0000_i1106" type="#_x0000_t75" style="width:386.35pt;height:288.55pt" o:ole="">
            <v:imagedata r:id="rId144" o:title=""/>
          </v:shape>
          <o:OLEObject Type="Embed" ProgID="Designer.Drawing.7" ShapeID="_x0000_i1106" DrawAspect="Content" ObjectID="_1629894609" r:id="rId145"/>
        </w:object>
      </w:r>
    </w:p>
    <w:p w:rsidR="00B9359B" w:rsidRDefault="00B9359B">
      <w:pPr>
        <w:rPr>
          <w:lang w:val="en-US"/>
        </w:rPr>
      </w:pPr>
      <w:bookmarkStart w:id="603" w:name="_Toc51046002"/>
    </w:p>
    <w:p w:rsidR="00B9359B" w:rsidRDefault="009A5268">
      <w:pPr>
        <w:pStyle w:val="Heading3"/>
        <w:rPr>
          <w:lang w:val="en-US"/>
        </w:rPr>
      </w:pPr>
      <w:r>
        <w:rPr>
          <w:lang w:val="en-US"/>
        </w:rPr>
        <w:t>4.3.1</w:t>
      </w:r>
      <w:r>
        <w:rPr>
          <w:lang w:val="en-US"/>
        </w:rPr>
        <w:tab/>
        <w:t>Interference events occurring via passive sensor antenna far-lobe and FSS earth station antenna main-lobe</w:t>
      </w:r>
      <w:bookmarkEnd w:id="603"/>
    </w:p>
    <w:p w:rsidR="00B9359B" w:rsidRDefault="009A5268">
      <w:pPr>
        <w:rPr>
          <w:lang w:val="en-US"/>
        </w:rPr>
      </w:pPr>
      <w:r>
        <w:rPr>
          <w:lang w:val="en-US"/>
        </w:rPr>
        <w:t>They are almost 50 dB above the interference threshold of the passive sensor (non</w:t>
      </w:r>
      <w:r>
        <w:rPr>
          <w:lang w:val="en-US"/>
        </w:rPr>
        <w:noBreakHyphen/>
        <w:t>GSO MEOSAT</w:t>
      </w:r>
      <w:r>
        <w:rPr>
          <w:lang w:val="en-US"/>
        </w:rPr>
        <w:noBreakHyphen/>
        <w:t>X and GSOV</w:t>
      </w:r>
      <w:r>
        <w:rPr>
          <w:lang w:val="en-US"/>
        </w:rPr>
        <w:noBreakHyphen/>
        <w:t>B2). They last up to 21 s, which is to be compared to the passive sensor orbital period of 100 min. Since all antenna beams of the sensor are permanently activated, several complete scan-lines (90 pixels each) may be lost at each event. This leads to about 810 pixels being lost per event in case of the GSOV</w:t>
      </w:r>
      <w:r>
        <w:rPr>
          <w:lang w:val="en-US"/>
        </w:rPr>
        <w:noBreakHyphen/>
        <w:t xml:space="preserve">B2 network. Since the Earth exploration-satellite is in an almost polar orbit, the condition required for interference is a coincidence within </w:t>
      </w:r>
      <w:r>
        <w:rPr>
          <w:rFonts w:ascii="Symbol" w:hAnsi="Symbol"/>
          <w:lang w:val="en-US"/>
        </w:rPr>
        <w:t></w:t>
      </w:r>
      <w:r>
        <w:rPr>
          <w:lang w:val="en-US"/>
        </w:rPr>
        <w:t>0.6</w:t>
      </w:r>
      <w:r>
        <w:rPr>
          <w:rFonts w:ascii="Symbol" w:hAnsi="Symbol"/>
          <w:lang w:val="en-US"/>
        </w:rPr>
        <w:t></w:t>
      </w:r>
      <w:r>
        <w:rPr>
          <w:lang w:val="en-US"/>
        </w:rPr>
        <w:t xml:space="preserve"> around the longitude of the earth station. The probability of occurrence of such events should be further studied, considering in particular the passive sensor drifting-orbit parameters, the density and latitude of earth stations and the availability criteria of passive sensors. Owing to the magnitude of the events, it is doubtful however, that their probability of occurrence may be neglected.</w:t>
      </w:r>
    </w:p>
    <w:p w:rsidR="00B9359B" w:rsidRDefault="009A5268">
      <w:pPr>
        <w:pStyle w:val="Heading3"/>
        <w:rPr>
          <w:lang w:val="en-US"/>
        </w:rPr>
      </w:pPr>
      <w:bookmarkStart w:id="604" w:name="_Toc51046003"/>
      <w:r>
        <w:rPr>
          <w:lang w:val="en-US"/>
        </w:rPr>
        <w:t>4.3.2</w:t>
      </w:r>
      <w:r>
        <w:rPr>
          <w:lang w:val="en-US"/>
        </w:rPr>
        <w:tab/>
        <w:t>Interference occurring when the passive sensor is close to the zenith of the FSS earth station</w:t>
      </w:r>
      <w:bookmarkEnd w:id="604"/>
    </w:p>
    <w:p w:rsidR="00B9359B" w:rsidRDefault="009A5268">
      <w:pPr>
        <w:rPr>
          <w:lang w:val="en-US"/>
        </w:rPr>
      </w:pPr>
      <w:r>
        <w:rPr>
          <w:lang w:val="en-US"/>
        </w:rPr>
        <w:t>They are almost 30 dB above the sensor’s interference threshold in case of GSO networks, but can reach more than 105 dB above the sensor’s interference threshold in case of non-GSO networks (main-lobe to main-lobe configuration). They are also a most serious matter of concern, because the 100</w:t>
      </w:r>
      <w:r>
        <w:rPr>
          <w:rFonts w:ascii="Symbol" w:hAnsi="Symbol"/>
          <w:lang w:val="en-US"/>
        </w:rPr>
        <w:t></w:t>
      </w:r>
      <w:r>
        <w:rPr>
          <w:lang w:val="en-US"/>
        </w:rPr>
        <w:t xml:space="preserve"> FOV of the push-broom sensor (cross-track) is composed of about 90, permanently activated, adjacent antenna beams, creating a </w:t>
      </w:r>
      <w:r>
        <w:rPr>
          <w:rFonts w:ascii="Symbol" w:hAnsi="Symbol"/>
          <w:lang w:val="en-US"/>
        </w:rPr>
        <w:t></w:t>
      </w:r>
      <w:r>
        <w:rPr>
          <w:lang w:val="en-US"/>
        </w:rPr>
        <w:t>10.25</w:t>
      </w:r>
      <w:r>
        <w:rPr>
          <w:rFonts w:ascii="Symbol" w:hAnsi="Symbol"/>
          <w:lang w:val="en-US"/>
        </w:rPr>
        <w:t></w:t>
      </w:r>
      <w:r>
        <w:rPr>
          <w:lang w:val="en-US"/>
        </w:rPr>
        <w:t xml:space="preserve"> longitudinal zone around the earth station position, where the sensor can receive harmful interference in any of its antenna beams.</w:t>
      </w:r>
    </w:p>
    <w:p w:rsidR="00B9359B" w:rsidRDefault="009A5268">
      <w:pPr>
        <w:rPr>
          <w:lang w:val="en-US"/>
        </w:rPr>
      </w:pPr>
      <w:r>
        <w:rPr>
          <w:lang w:val="en-US"/>
        </w:rPr>
        <w:br w:type="page"/>
        <w:t>Therefore, interference will occur whenever the two following geometric conditions are met:</w:t>
      </w:r>
    </w:p>
    <w:p w:rsidR="00B9359B" w:rsidRDefault="009A5268">
      <w:pPr>
        <w:pStyle w:val="enumlev1"/>
        <w:rPr>
          <w:lang w:val="en-US"/>
        </w:rPr>
      </w:pPr>
      <w:r>
        <w:rPr>
          <w:lang w:val="en-US"/>
        </w:rPr>
        <w:t>–</w:t>
      </w:r>
      <w:r>
        <w:rPr>
          <w:lang w:val="en-US"/>
        </w:rPr>
        <w:tab/>
        <w:t>the sensor is crossing the latitude of the earth station;</w:t>
      </w:r>
    </w:p>
    <w:p w:rsidR="00B9359B" w:rsidRDefault="009A5268">
      <w:pPr>
        <w:pStyle w:val="enumlev1"/>
        <w:rPr>
          <w:lang w:val="en-US"/>
        </w:rPr>
      </w:pPr>
      <w:r>
        <w:rPr>
          <w:lang w:val="en-US"/>
        </w:rPr>
        <w:t>–</w:t>
      </w:r>
      <w:r>
        <w:rPr>
          <w:lang w:val="en-US"/>
        </w:rPr>
        <w:tab/>
        <w:t xml:space="preserve">the sensor is at a longitudinal distance within </w:t>
      </w:r>
      <w:r>
        <w:rPr>
          <w:rFonts w:ascii="Symbol" w:hAnsi="Symbol"/>
          <w:lang w:val="en-US"/>
        </w:rPr>
        <w:t></w:t>
      </w:r>
      <w:r>
        <w:rPr>
          <w:lang w:val="en-US"/>
        </w:rPr>
        <w:t>10.25</w:t>
      </w:r>
      <w:r>
        <w:rPr>
          <w:rFonts w:ascii="Symbol" w:hAnsi="Symbol"/>
          <w:lang w:val="en-US"/>
        </w:rPr>
        <w:t></w:t>
      </w:r>
      <w:r>
        <w:rPr>
          <w:lang w:val="en-US"/>
        </w:rPr>
        <w:t xml:space="preserve"> from the earth station.</w:t>
      </w:r>
    </w:p>
    <w:p w:rsidR="00B9359B" w:rsidRDefault="009A5268">
      <w:pPr>
        <w:rPr>
          <w:lang w:val="en-US"/>
        </w:rPr>
      </w:pPr>
      <w:r>
        <w:rPr>
          <w:lang w:val="en-US"/>
        </w:rPr>
        <w:t>This configuration is illustrated in Fig. 71.</w:t>
      </w:r>
    </w:p>
    <w:p w:rsidR="00B9359B" w:rsidRDefault="009A5268">
      <w:pPr>
        <w:pStyle w:val="FigureNo"/>
        <w:rPr>
          <w:lang w:val="en-US"/>
        </w:rPr>
      </w:pPr>
      <w:r>
        <w:rPr>
          <w:lang w:val="en-US"/>
        </w:rPr>
        <w:object w:dxaOrig="7239" w:dyaOrig="6534">
          <v:shape id="_x0000_i1107" type="#_x0000_t75" style="width:362.15pt;height:327.75pt" o:ole="">
            <v:imagedata r:id="rId146" o:title=""/>
          </v:shape>
          <o:OLEObject Type="Embed" ProgID="Designer.Drawing.7" ShapeID="_x0000_i1107" DrawAspect="Content" ObjectID="_1629894610" r:id="rId147"/>
        </w:object>
      </w:r>
    </w:p>
    <w:p w:rsidR="00B9359B" w:rsidRDefault="009A5268">
      <w:pPr>
        <w:rPr>
          <w:lang w:val="en-US"/>
        </w:rPr>
      </w:pPr>
      <w:r>
        <w:rPr>
          <w:lang w:val="en-US"/>
        </w:rPr>
        <w:t>Considering that the longitudinal distance between two successive orbits is about 25</w:t>
      </w:r>
      <w:r>
        <w:rPr>
          <w:rFonts w:ascii="Symbol" w:hAnsi="Symbol"/>
          <w:lang w:val="en-US"/>
        </w:rPr>
        <w:t></w:t>
      </w:r>
      <w:r>
        <w:rPr>
          <w:lang w:val="en-US"/>
        </w:rPr>
        <w:t xml:space="preserve"> at the equator, the consequence is that passive sensor operation will be hampered by one interference event about twice a day from a unique earth station, considering both ascending and descending orbital paths. The number of events increases with the latitude of the earth station, as the distance between successive orbits decreases with the cosine of the latitude. It is directly proportional to the number of earth stations.</w:t>
      </w:r>
    </w:p>
    <w:p w:rsidR="00B9359B" w:rsidRDefault="009A5268">
      <w:pPr>
        <w:rPr>
          <w:lang w:val="en-US"/>
        </w:rPr>
      </w:pPr>
      <w:r>
        <w:rPr>
          <w:lang w:val="en-US"/>
        </w:rPr>
        <w:t>The main characteristics of each interference event are the following, in the case of a GSOV</w:t>
      </w:r>
      <w:r>
        <w:rPr>
          <w:lang w:val="en-US"/>
        </w:rPr>
        <w:noBreakHyphen/>
        <w:t>B2 FSS earth station:</w:t>
      </w:r>
    </w:p>
    <w:p w:rsidR="00B9359B" w:rsidRDefault="009A5268">
      <w:pPr>
        <w:pStyle w:val="enumlev1"/>
        <w:rPr>
          <w:lang w:val="en-US"/>
        </w:rPr>
      </w:pPr>
      <w:r>
        <w:rPr>
          <w:lang w:val="en-US"/>
        </w:rPr>
        <w:t>–</w:t>
      </w:r>
      <w:r>
        <w:rPr>
          <w:lang w:val="en-US"/>
        </w:rPr>
        <w:tab/>
        <w:t>the duration is about 16 s;</w:t>
      </w:r>
    </w:p>
    <w:p w:rsidR="00B9359B" w:rsidRDefault="009A5268">
      <w:pPr>
        <w:pStyle w:val="enumlev1"/>
        <w:rPr>
          <w:lang w:val="en-US"/>
        </w:rPr>
      </w:pPr>
      <w:r>
        <w:rPr>
          <w:lang w:val="en-US"/>
        </w:rPr>
        <w:t>–</w:t>
      </w:r>
      <w:r>
        <w:rPr>
          <w:lang w:val="en-US"/>
        </w:rPr>
        <w:tab/>
        <w:t>a circular area on the Earth’s surface of about 110 km in diameter around each earth station position, is contaminated by harmful interference;</w:t>
      </w:r>
    </w:p>
    <w:p w:rsidR="00B9359B" w:rsidRDefault="009A5268">
      <w:pPr>
        <w:pStyle w:val="enumlev1"/>
        <w:rPr>
          <w:spacing w:val="-2"/>
          <w:lang w:val="en-US"/>
        </w:rPr>
      </w:pPr>
      <w:r>
        <w:rPr>
          <w:lang w:val="en-US"/>
        </w:rPr>
        <w:t>–</w:t>
      </w:r>
      <w:r>
        <w:rPr>
          <w:lang w:val="en-US"/>
        </w:rPr>
        <w:tab/>
      </w:r>
      <w:r>
        <w:rPr>
          <w:spacing w:val="-2"/>
          <w:lang w:val="en-US"/>
        </w:rPr>
        <w:t>this 9</w:t>
      </w:r>
      <w:r>
        <w:rPr>
          <w:rFonts w:ascii="Tms Rmn" w:hAnsi="Tms Rmn"/>
          <w:spacing w:val="-2"/>
          <w:sz w:val="12"/>
          <w:lang w:val="en-US"/>
        </w:rPr>
        <w:t> </w:t>
      </w:r>
      <w:r>
        <w:rPr>
          <w:spacing w:val="-2"/>
          <w:lang w:val="en-US"/>
        </w:rPr>
        <w:t>500 km</w:t>
      </w:r>
      <w:r>
        <w:rPr>
          <w:spacing w:val="-2"/>
          <w:vertAlign w:val="superscript"/>
          <w:lang w:val="en-US"/>
        </w:rPr>
        <w:t>2</w:t>
      </w:r>
      <w:r>
        <w:rPr>
          <w:spacing w:val="-2"/>
          <w:lang w:val="en-US"/>
        </w:rPr>
        <w:t xml:space="preserve"> zone, corresponding to 47 pixels is to be compared to the 2</w:t>
      </w:r>
      <w:r>
        <w:rPr>
          <w:rFonts w:ascii="Tms Rmn" w:hAnsi="Tms Rmn"/>
          <w:spacing w:val="-2"/>
          <w:sz w:val="12"/>
          <w:lang w:val="en-US"/>
        </w:rPr>
        <w:t> </w:t>
      </w:r>
      <w:r>
        <w:rPr>
          <w:spacing w:val="-2"/>
          <w:lang w:val="en-US"/>
        </w:rPr>
        <w:t>000</w:t>
      </w:r>
      <w:r>
        <w:rPr>
          <w:rFonts w:ascii="Tms Rmn" w:hAnsi="Tms Rmn"/>
          <w:spacing w:val="-2"/>
          <w:sz w:val="12"/>
          <w:lang w:val="en-US"/>
        </w:rPr>
        <w:t> </w:t>
      </w:r>
      <w:r>
        <w:rPr>
          <w:spacing w:val="-2"/>
          <w:lang w:val="en-US"/>
        </w:rPr>
        <w:t>000 km</w:t>
      </w:r>
      <w:r>
        <w:rPr>
          <w:spacing w:val="-2"/>
          <w:vertAlign w:val="superscript"/>
          <w:lang w:val="en-US"/>
        </w:rPr>
        <w:t>2</w:t>
      </w:r>
      <w:r>
        <w:rPr>
          <w:spacing w:val="-2"/>
          <w:lang w:val="en-US"/>
        </w:rPr>
        <w:t xml:space="preserve"> reference sensor’s service area which is stipulated in the Recommendations ITU</w:t>
      </w:r>
      <w:r>
        <w:rPr>
          <w:spacing w:val="-2"/>
          <w:lang w:val="en-US"/>
        </w:rPr>
        <w:noBreakHyphen/>
        <w:t>R SA.1028 and ITU</w:t>
      </w:r>
      <w:r>
        <w:rPr>
          <w:spacing w:val="-2"/>
          <w:lang w:val="en-US"/>
        </w:rPr>
        <w:noBreakHyphen/>
        <w:t>R SA.1029;</w:t>
      </w:r>
    </w:p>
    <w:p w:rsidR="00B9359B" w:rsidRDefault="009A5268">
      <w:pPr>
        <w:pStyle w:val="enumlev1"/>
        <w:rPr>
          <w:lang w:val="en-US"/>
        </w:rPr>
      </w:pPr>
      <w:r>
        <w:rPr>
          <w:lang w:val="en-US"/>
        </w:rPr>
        <w:t>–</w:t>
      </w:r>
      <w:r>
        <w:rPr>
          <w:lang w:val="en-US"/>
        </w:rPr>
        <w:tab/>
        <w:t>the non-availability criterion of 0.01% is by far exceeded in the vicinity of earth stations.</w:t>
      </w:r>
    </w:p>
    <w:p w:rsidR="00B9359B" w:rsidRDefault="009A5268">
      <w:pPr>
        <w:rPr>
          <w:lang w:val="en-US"/>
        </w:rPr>
      </w:pPr>
      <w:r>
        <w:rPr>
          <w:lang w:val="en-US"/>
        </w:rPr>
        <w:br w:type="page"/>
        <w:t>The most significant numerical results are summarized in the Tables 103 and 104.</w:t>
      </w:r>
    </w:p>
    <w:p w:rsidR="00B9359B" w:rsidRDefault="00B9359B">
      <w:pPr>
        <w:rPr>
          <w:lang w:val="en-US"/>
        </w:rPr>
      </w:pPr>
    </w:p>
    <w:p w:rsidR="00B9359B" w:rsidRDefault="009A5268">
      <w:pPr>
        <w:pStyle w:val="TableNo"/>
        <w:rPr>
          <w:lang w:val="en-US"/>
        </w:rPr>
      </w:pPr>
      <w:r>
        <w:rPr>
          <w:lang w:val="en-US"/>
        </w:rPr>
        <w:t>TABLE  103</w:t>
      </w:r>
    </w:p>
    <w:p w:rsidR="00B9359B" w:rsidRDefault="009A5268">
      <w:pPr>
        <w:pStyle w:val="Tabletitle"/>
        <w:rPr>
          <w:lang w:val="en-US"/>
        </w:rPr>
      </w:pPr>
      <w:r>
        <w:rPr>
          <w:lang w:val="en-US"/>
        </w:rPr>
        <w:t>Power excess over interference threshold, non-GSO network (co-frequency assumption)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6"/>
        <w:gridCol w:w="1474"/>
        <w:gridCol w:w="1474"/>
        <w:gridCol w:w="1475"/>
      </w:tblGrid>
      <w:tr w:rsidR="00B9359B">
        <w:tc>
          <w:tcPr>
            <w:tcW w:w="5216" w:type="dxa"/>
          </w:tcPr>
          <w:p w:rsidR="00B9359B" w:rsidRDefault="009A5268">
            <w:pPr>
              <w:pStyle w:val="Tablehead"/>
              <w:framePr w:hSpace="181" w:wrap="notBeside" w:vAnchor="text" w:hAnchor="text" w:xAlign="center" w:y="1"/>
              <w:spacing w:before="120" w:after="120"/>
              <w:rPr>
                <w:lang w:val="en-US"/>
              </w:rPr>
            </w:pPr>
            <w:r>
              <w:rPr>
                <w:lang w:val="en-US"/>
              </w:rPr>
              <w:t>Sensor far-lobes to earth station main-lobe</w:t>
            </w:r>
          </w:p>
        </w:tc>
        <w:tc>
          <w:tcPr>
            <w:tcW w:w="1474" w:type="dxa"/>
          </w:tcPr>
          <w:p w:rsidR="00B9359B" w:rsidRDefault="009A5268">
            <w:pPr>
              <w:pStyle w:val="Tablehead"/>
              <w:framePr w:hSpace="181" w:wrap="notBeside" w:vAnchor="text" w:hAnchor="text" w:xAlign="center" w:y="1"/>
              <w:spacing w:before="120" w:after="120"/>
              <w:rPr>
                <w:lang w:val="es-ES"/>
              </w:rPr>
            </w:pPr>
            <w:r>
              <w:rPr>
                <w:lang w:val="es-ES"/>
              </w:rPr>
              <w:t>MEOSAT-X</w:t>
            </w:r>
          </w:p>
        </w:tc>
        <w:tc>
          <w:tcPr>
            <w:tcW w:w="1474" w:type="dxa"/>
          </w:tcPr>
          <w:p w:rsidR="00B9359B" w:rsidRDefault="009A5268">
            <w:pPr>
              <w:pStyle w:val="Tablehead"/>
              <w:framePr w:hSpace="181" w:wrap="notBeside" w:vAnchor="text" w:hAnchor="text" w:xAlign="center" w:y="1"/>
              <w:spacing w:before="120" w:after="120"/>
              <w:rPr>
                <w:lang w:val="es-ES"/>
              </w:rPr>
            </w:pPr>
            <w:r>
              <w:rPr>
                <w:lang w:val="es-ES"/>
              </w:rPr>
              <w:t>LEO</w:t>
            </w:r>
            <w:r>
              <w:rPr>
                <w:sz w:val="16"/>
                <w:lang w:val="es-ES"/>
              </w:rPr>
              <w:t xml:space="preserve">  </w:t>
            </w:r>
            <w:r>
              <w:rPr>
                <w:lang w:val="es-ES"/>
              </w:rPr>
              <w:t>V1</w:t>
            </w:r>
          </w:p>
        </w:tc>
        <w:tc>
          <w:tcPr>
            <w:tcW w:w="1475" w:type="dxa"/>
          </w:tcPr>
          <w:p w:rsidR="00B9359B" w:rsidRDefault="009A5268">
            <w:pPr>
              <w:pStyle w:val="Tablehead"/>
              <w:framePr w:hSpace="181" w:wrap="notBeside" w:vAnchor="text" w:hAnchor="text" w:xAlign="center" w:y="1"/>
              <w:spacing w:before="120" w:after="120"/>
              <w:rPr>
                <w:lang w:val="es-ES"/>
              </w:rPr>
            </w:pPr>
            <w:r>
              <w:rPr>
                <w:lang w:val="es-ES"/>
              </w:rPr>
              <w:t>LEO</w:t>
            </w:r>
            <w:r>
              <w:rPr>
                <w:sz w:val="16"/>
                <w:lang w:val="es-ES"/>
              </w:rPr>
              <w:t xml:space="preserve">  </w:t>
            </w:r>
            <w:r>
              <w:rPr>
                <w:lang w:val="es-ES"/>
              </w:rPr>
              <w:t>V2</w:t>
            </w:r>
          </w:p>
        </w:tc>
      </w:tr>
      <w:tr w:rsidR="00B9359B">
        <w:tc>
          <w:tcPr>
            <w:tcW w:w="5216" w:type="dxa"/>
          </w:tcPr>
          <w:p w:rsidR="00B9359B" w:rsidRDefault="009A5268">
            <w:pPr>
              <w:pStyle w:val="Tabletext"/>
              <w:framePr w:hSpace="181" w:wrap="notBeside" w:vAnchor="text" w:hAnchor="text" w:xAlign="center" w:y="1"/>
              <w:spacing w:before="80" w:after="80"/>
              <w:ind w:left="113"/>
              <w:rPr>
                <w:lang w:val="en-US"/>
              </w:rPr>
            </w:pPr>
            <w:r>
              <w:rPr>
                <w:lang w:val="en-US"/>
              </w:rPr>
              <w:t>Power excess in sensor’s antenna beams (dB)</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49.2</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 xml:space="preserve">21.4 </w:t>
            </w:r>
          </w:p>
        </w:tc>
        <w:tc>
          <w:tcPr>
            <w:tcW w:w="1475" w:type="dxa"/>
          </w:tcPr>
          <w:p w:rsidR="00B9359B" w:rsidRDefault="009A5268">
            <w:pPr>
              <w:pStyle w:val="Tabletext"/>
              <w:framePr w:hSpace="181" w:wrap="notBeside" w:vAnchor="text" w:hAnchor="text" w:xAlign="center" w:y="1"/>
              <w:spacing w:before="80" w:after="80"/>
              <w:jc w:val="center"/>
              <w:rPr>
                <w:lang w:val="en-US"/>
              </w:rPr>
            </w:pPr>
            <w:r>
              <w:rPr>
                <w:lang w:val="en-US"/>
              </w:rPr>
              <w:t>30.9</w:t>
            </w:r>
          </w:p>
        </w:tc>
      </w:tr>
      <w:tr w:rsidR="00B9359B">
        <w:tc>
          <w:tcPr>
            <w:tcW w:w="5216" w:type="dxa"/>
          </w:tcPr>
          <w:p w:rsidR="00B9359B" w:rsidRDefault="009A5268">
            <w:pPr>
              <w:pStyle w:val="Tabletext"/>
              <w:framePr w:hSpace="181" w:wrap="notBeside" w:vAnchor="text" w:hAnchor="text" w:xAlign="center" w:y="1"/>
              <w:spacing w:before="80" w:after="80"/>
              <w:ind w:left="113"/>
              <w:rPr>
                <w:lang w:val="en-US"/>
              </w:rPr>
            </w:pPr>
            <w:r>
              <w:rPr>
                <w:lang w:val="en-US"/>
              </w:rPr>
              <w:t>Geographic zone concerned (approximately) (km)</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 xml:space="preserve">125 </w:t>
            </w:r>
            <w:r>
              <w:rPr>
                <w:rFonts w:ascii="Symbol" w:hAnsi="Symbol"/>
              </w:rPr>
              <w:t></w:t>
            </w:r>
            <w:r>
              <w:rPr>
                <w:lang w:val="en-US"/>
              </w:rPr>
              <w:t xml:space="preserve"> 110 </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w:t>
            </w:r>
          </w:p>
        </w:tc>
        <w:tc>
          <w:tcPr>
            <w:tcW w:w="1475" w:type="dxa"/>
          </w:tcPr>
          <w:p w:rsidR="00B9359B" w:rsidRDefault="009A5268">
            <w:pPr>
              <w:pStyle w:val="Tabletext"/>
              <w:framePr w:hSpace="181" w:wrap="notBeside" w:vAnchor="text" w:hAnchor="text" w:xAlign="center" w:y="1"/>
              <w:spacing w:before="80" w:after="80"/>
              <w:jc w:val="center"/>
              <w:rPr>
                <w:lang w:val="en-US"/>
              </w:rPr>
            </w:pPr>
            <w:r>
              <w:rPr>
                <w:lang w:val="en-US"/>
              </w:rPr>
              <w:t>–</w:t>
            </w:r>
          </w:p>
        </w:tc>
      </w:tr>
      <w:tr w:rsidR="00B9359B">
        <w:tc>
          <w:tcPr>
            <w:tcW w:w="5216" w:type="dxa"/>
          </w:tcPr>
          <w:p w:rsidR="00B9359B" w:rsidRDefault="009A5268">
            <w:pPr>
              <w:pStyle w:val="Tabletext"/>
              <w:framePr w:hSpace="181" w:wrap="notBeside" w:vAnchor="text" w:hAnchor="text" w:xAlign="center" w:y="1"/>
              <w:spacing w:before="80" w:after="80"/>
              <w:ind w:left="113"/>
              <w:rPr>
                <w:lang w:val="en-US"/>
              </w:rPr>
            </w:pPr>
            <w:r>
              <w:rPr>
                <w:lang w:val="en-US"/>
              </w:rPr>
              <w:t>Number of contaminated pixels (approximately)</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8 scan-lines</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w:t>
            </w:r>
          </w:p>
        </w:tc>
        <w:tc>
          <w:tcPr>
            <w:tcW w:w="1475" w:type="dxa"/>
          </w:tcPr>
          <w:p w:rsidR="00B9359B" w:rsidRDefault="009A5268">
            <w:pPr>
              <w:pStyle w:val="Tabletext"/>
              <w:framePr w:hSpace="181" w:wrap="notBeside" w:vAnchor="text" w:hAnchor="text" w:xAlign="center" w:y="1"/>
              <w:spacing w:before="80" w:after="80"/>
              <w:jc w:val="center"/>
              <w:rPr>
                <w:lang w:val="en-US"/>
              </w:rPr>
            </w:pPr>
            <w:r>
              <w:rPr>
                <w:lang w:val="en-US"/>
              </w:rPr>
              <w:t>–</w:t>
            </w:r>
          </w:p>
        </w:tc>
      </w:tr>
      <w:tr w:rsidR="00B9359B">
        <w:tc>
          <w:tcPr>
            <w:tcW w:w="5216" w:type="dxa"/>
            <w:tcBorders>
              <w:bottom w:val="single" w:sz="4" w:space="0" w:color="auto"/>
            </w:tcBorders>
          </w:tcPr>
          <w:p w:rsidR="00B9359B" w:rsidRDefault="009A5268">
            <w:pPr>
              <w:pStyle w:val="Tabletext"/>
              <w:framePr w:hSpace="181" w:wrap="notBeside" w:vAnchor="text" w:hAnchor="text" w:xAlign="center" w:y="1"/>
              <w:spacing w:before="80" w:after="80"/>
              <w:ind w:left="113"/>
              <w:rPr>
                <w:lang w:val="en-US"/>
              </w:rPr>
            </w:pPr>
            <w:r>
              <w:rPr>
                <w:lang w:val="en-US"/>
              </w:rPr>
              <w:t>Duration of one event (approximately) (s)</w:t>
            </w:r>
          </w:p>
        </w:tc>
        <w:tc>
          <w:tcPr>
            <w:tcW w:w="1474" w:type="dxa"/>
            <w:tcBorders>
              <w:bottom w:val="single" w:sz="4" w:space="0" w:color="auto"/>
            </w:tcBorders>
          </w:tcPr>
          <w:p w:rsidR="00B9359B" w:rsidRDefault="009A5268">
            <w:pPr>
              <w:pStyle w:val="Tabletext"/>
              <w:framePr w:hSpace="181" w:wrap="notBeside" w:vAnchor="text" w:hAnchor="text" w:xAlign="center" w:y="1"/>
              <w:spacing w:before="80" w:after="80"/>
              <w:jc w:val="center"/>
              <w:rPr>
                <w:lang w:val="en-US"/>
              </w:rPr>
            </w:pPr>
            <w:r>
              <w:rPr>
                <w:lang w:val="en-US"/>
              </w:rPr>
              <w:t xml:space="preserve">18 </w:t>
            </w:r>
          </w:p>
        </w:tc>
        <w:tc>
          <w:tcPr>
            <w:tcW w:w="1474" w:type="dxa"/>
            <w:tcBorders>
              <w:bottom w:val="single" w:sz="4" w:space="0" w:color="auto"/>
            </w:tcBorders>
          </w:tcPr>
          <w:p w:rsidR="00B9359B" w:rsidRDefault="009A5268">
            <w:pPr>
              <w:pStyle w:val="Tabletext"/>
              <w:framePr w:hSpace="181" w:wrap="notBeside" w:vAnchor="text" w:hAnchor="text" w:xAlign="center" w:y="1"/>
              <w:spacing w:before="80" w:after="80"/>
              <w:jc w:val="center"/>
              <w:rPr>
                <w:lang w:val="en-US"/>
              </w:rPr>
            </w:pPr>
            <w:r>
              <w:rPr>
                <w:lang w:val="en-US"/>
              </w:rPr>
              <w:t>–</w:t>
            </w:r>
          </w:p>
        </w:tc>
        <w:tc>
          <w:tcPr>
            <w:tcW w:w="1475" w:type="dxa"/>
            <w:tcBorders>
              <w:bottom w:val="single" w:sz="4" w:space="0" w:color="auto"/>
            </w:tcBorders>
          </w:tcPr>
          <w:p w:rsidR="00B9359B" w:rsidRDefault="009A5268">
            <w:pPr>
              <w:pStyle w:val="Tabletext"/>
              <w:framePr w:hSpace="181" w:wrap="notBeside" w:vAnchor="text" w:hAnchor="text" w:xAlign="center" w:y="1"/>
              <w:spacing w:before="80" w:after="80"/>
              <w:jc w:val="center"/>
              <w:rPr>
                <w:lang w:val="en-US"/>
              </w:rPr>
            </w:pPr>
            <w:r>
              <w:rPr>
                <w:lang w:val="en-US"/>
              </w:rPr>
              <w:t>–</w:t>
            </w:r>
          </w:p>
        </w:tc>
      </w:tr>
      <w:tr w:rsidR="00B9359B">
        <w:tc>
          <w:tcPr>
            <w:tcW w:w="5216" w:type="dxa"/>
            <w:tcBorders>
              <w:top w:val="single" w:sz="4" w:space="0" w:color="auto"/>
              <w:bottom w:val="single" w:sz="4" w:space="0" w:color="auto"/>
            </w:tcBorders>
          </w:tcPr>
          <w:p w:rsidR="00B9359B" w:rsidRDefault="009A5268">
            <w:pPr>
              <w:pStyle w:val="Tablehead"/>
              <w:framePr w:hSpace="181" w:wrap="notBeside" w:vAnchor="text" w:hAnchor="text" w:xAlign="center" w:y="1"/>
              <w:spacing w:before="120" w:after="120"/>
              <w:rPr>
                <w:lang w:val="en-US"/>
              </w:rPr>
            </w:pPr>
            <w:r>
              <w:rPr>
                <w:lang w:val="en-US"/>
              </w:rPr>
              <w:t>Sensor close to zenith of earth station</w:t>
            </w:r>
          </w:p>
        </w:tc>
        <w:tc>
          <w:tcPr>
            <w:tcW w:w="1474" w:type="dxa"/>
            <w:tcBorders>
              <w:top w:val="single" w:sz="4" w:space="0" w:color="auto"/>
              <w:bottom w:val="single" w:sz="4" w:space="0" w:color="auto"/>
            </w:tcBorders>
          </w:tcPr>
          <w:p w:rsidR="00B9359B" w:rsidRDefault="009A5268">
            <w:pPr>
              <w:pStyle w:val="Tablehead"/>
              <w:framePr w:hSpace="181" w:wrap="notBeside" w:vAnchor="text" w:hAnchor="text" w:xAlign="center" w:y="1"/>
              <w:spacing w:before="120" w:after="120"/>
              <w:rPr>
                <w:lang w:val="es-ES"/>
              </w:rPr>
            </w:pPr>
            <w:r>
              <w:rPr>
                <w:lang w:val="es-ES"/>
              </w:rPr>
              <w:t>MEOSAT-X</w:t>
            </w:r>
          </w:p>
        </w:tc>
        <w:tc>
          <w:tcPr>
            <w:tcW w:w="1474" w:type="dxa"/>
            <w:tcBorders>
              <w:top w:val="single" w:sz="4" w:space="0" w:color="auto"/>
              <w:bottom w:val="single" w:sz="4" w:space="0" w:color="auto"/>
            </w:tcBorders>
          </w:tcPr>
          <w:p w:rsidR="00B9359B" w:rsidRDefault="009A5268">
            <w:pPr>
              <w:pStyle w:val="Tablehead"/>
              <w:framePr w:hSpace="181" w:wrap="notBeside" w:vAnchor="text" w:hAnchor="text" w:xAlign="center" w:y="1"/>
              <w:spacing w:before="120" w:after="120"/>
              <w:rPr>
                <w:lang w:val="es-ES"/>
              </w:rPr>
            </w:pPr>
            <w:r>
              <w:rPr>
                <w:lang w:val="es-ES"/>
              </w:rPr>
              <w:t>LEO</w:t>
            </w:r>
            <w:r>
              <w:rPr>
                <w:sz w:val="16"/>
                <w:lang w:val="es-ES"/>
              </w:rPr>
              <w:t xml:space="preserve">  </w:t>
            </w:r>
            <w:r>
              <w:rPr>
                <w:lang w:val="es-ES"/>
              </w:rPr>
              <w:t>V1</w:t>
            </w:r>
          </w:p>
        </w:tc>
        <w:tc>
          <w:tcPr>
            <w:tcW w:w="1475" w:type="dxa"/>
            <w:tcBorders>
              <w:top w:val="single" w:sz="4" w:space="0" w:color="auto"/>
              <w:bottom w:val="single" w:sz="4" w:space="0" w:color="auto"/>
            </w:tcBorders>
          </w:tcPr>
          <w:p w:rsidR="00B9359B" w:rsidRDefault="009A5268">
            <w:pPr>
              <w:pStyle w:val="Tablehead"/>
              <w:framePr w:hSpace="181" w:wrap="notBeside" w:vAnchor="text" w:hAnchor="text" w:xAlign="center" w:y="1"/>
              <w:spacing w:before="120" w:after="120"/>
              <w:rPr>
                <w:lang w:val="es-ES"/>
              </w:rPr>
            </w:pPr>
            <w:r>
              <w:rPr>
                <w:lang w:val="es-ES"/>
              </w:rPr>
              <w:t>LEO</w:t>
            </w:r>
            <w:r>
              <w:rPr>
                <w:sz w:val="16"/>
                <w:lang w:val="es-ES"/>
              </w:rPr>
              <w:t xml:space="preserve">  </w:t>
            </w:r>
            <w:r>
              <w:rPr>
                <w:lang w:val="es-ES"/>
              </w:rPr>
              <w:t>V2</w:t>
            </w:r>
          </w:p>
        </w:tc>
      </w:tr>
      <w:tr w:rsidR="00B9359B" w:rsidRPr="00D35B94">
        <w:tc>
          <w:tcPr>
            <w:tcW w:w="9639" w:type="dxa"/>
            <w:gridSpan w:val="4"/>
            <w:tcBorders>
              <w:top w:val="single" w:sz="4" w:space="0" w:color="auto"/>
            </w:tcBorders>
          </w:tcPr>
          <w:p w:rsidR="00B9359B" w:rsidRDefault="009A5268">
            <w:pPr>
              <w:pStyle w:val="Tabletext"/>
              <w:framePr w:hSpace="181" w:wrap="notBeside" w:vAnchor="text" w:hAnchor="text" w:xAlign="center" w:y="1"/>
              <w:spacing w:before="80" w:after="80"/>
              <w:jc w:val="center"/>
              <w:rPr>
                <w:iCs/>
                <w:lang w:val="en-US"/>
              </w:rPr>
            </w:pPr>
            <w:r>
              <w:rPr>
                <w:iCs/>
                <w:lang w:val="en-US"/>
              </w:rPr>
              <w:t>Sensor main-lobes to earth station far-lobe interference</w:t>
            </w:r>
          </w:p>
        </w:tc>
      </w:tr>
      <w:tr w:rsidR="00B9359B">
        <w:tc>
          <w:tcPr>
            <w:tcW w:w="5216" w:type="dxa"/>
          </w:tcPr>
          <w:p w:rsidR="00B9359B" w:rsidRDefault="009A5268">
            <w:pPr>
              <w:pStyle w:val="Tabletext"/>
              <w:framePr w:hSpace="181" w:wrap="notBeside" w:vAnchor="text" w:hAnchor="text" w:xAlign="center" w:y="1"/>
              <w:spacing w:before="80" w:after="80"/>
              <w:ind w:left="113"/>
              <w:rPr>
                <w:lang w:val="en-US"/>
              </w:rPr>
            </w:pPr>
            <w:r>
              <w:rPr>
                <w:lang w:val="en-US"/>
              </w:rPr>
              <w:t>Power excess in nadir beam (dB)</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28.3</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 xml:space="preserve">4.5 </w:t>
            </w:r>
          </w:p>
        </w:tc>
        <w:tc>
          <w:tcPr>
            <w:tcW w:w="1475" w:type="dxa"/>
          </w:tcPr>
          <w:p w:rsidR="00B9359B" w:rsidRDefault="009A5268">
            <w:pPr>
              <w:pStyle w:val="Tabletext"/>
              <w:framePr w:hSpace="181" w:wrap="notBeside" w:vAnchor="text" w:hAnchor="text" w:xAlign="center" w:y="1"/>
              <w:spacing w:before="80" w:after="80"/>
              <w:jc w:val="center"/>
              <w:rPr>
                <w:lang w:val="en-US"/>
              </w:rPr>
            </w:pPr>
            <w:r>
              <w:rPr>
                <w:lang w:val="en-US"/>
              </w:rPr>
              <w:t>12</w:t>
            </w:r>
          </w:p>
        </w:tc>
      </w:tr>
      <w:tr w:rsidR="00B9359B">
        <w:tc>
          <w:tcPr>
            <w:tcW w:w="5216" w:type="dxa"/>
          </w:tcPr>
          <w:p w:rsidR="00B9359B" w:rsidRDefault="009A5268">
            <w:pPr>
              <w:pStyle w:val="Tabletext"/>
              <w:framePr w:hSpace="181" w:wrap="notBeside" w:vAnchor="text" w:hAnchor="text" w:xAlign="center" w:y="1"/>
              <w:spacing w:before="80" w:after="80"/>
              <w:ind w:left="113"/>
              <w:rPr>
                <w:lang w:val="en-US"/>
              </w:rPr>
            </w:pPr>
            <w:r>
              <w:rPr>
                <w:lang w:val="en-US"/>
              </w:rPr>
              <w:t xml:space="preserve">Power excess in </w:t>
            </w:r>
            <w:r>
              <w:rPr>
                <w:rFonts w:ascii="Symbol" w:hAnsi="Symbol"/>
                <w:lang w:val="en-US"/>
              </w:rPr>
              <w:t></w:t>
            </w:r>
            <w:r>
              <w:rPr>
                <w:lang w:val="en-US"/>
              </w:rPr>
              <w:t>50</w:t>
            </w:r>
            <w:r>
              <w:rPr>
                <w:rFonts w:ascii="Symbol" w:hAnsi="Symbol"/>
                <w:lang w:val="en-US"/>
              </w:rPr>
              <w:t></w:t>
            </w:r>
            <w:r>
              <w:rPr>
                <w:lang w:val="en-US"/>
              </w:rPr>
              <w:t xml:space="preserve"> off-nadir beams (dB)</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22.1</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None</w:t>
            </w:r>
          </w:p>
        </w:tc>
        <w:tc>
          <w:tcPr>
            <w:tcW w:w="1475" w:type="dxa"/>
          </w:tcPr>
          <w:p w:rsidR="00B9359B" w:rsidRDefault="009A5268">
            <w:pPr>
              <w:pStyle w:val="Tabletext"/>
              <w:framePr w:hSpace="181" w:wrap="notBeside" w:vAnchor="text" w:hAnchor="text" w:xAlign="center" w:y="1"/>
              <w:spacing w:before="80" w:after="80"/>
              <w:jc w:val="center"/>
              <w:rPr>
                <w:lang w:val="en-US"/>
              </w:rPr>
            </w:pPr>
            <w:r>
              <w:rPr>
                <w:lang w:val="en-US"/>
              </w:rPr>
              <w:t xml:space="preserve">6 </w:t>
            </w:r>
          </w:p>
        </w:tc>
      </w:tr>
      <w:tr w:rsidR="00B9359B">
        <w:tc>
          <w:tcPr>
            <w:tcW w:w="5216" w:type="dxa"/>
          </w:tcPr>
          <w:p w:rsidR="00B9359B" w:rsidRDefault="009A5268">
            <w:pPr>
              <w:pStyle w:val="Tabletext"/>
              <w:framePr w:hSpace="181" w:wrap="notBeside" w:vAnchor="text" w:hAnchor="text" w:xAlign="center" w:y="1"/>
              <w:spacing w:before="80" w:after="80"/>
              <w:ind w:left="113"/>
              <w:rPr>
                <w:lang w:val="en-US"/>
              </w:rPr>
            </w:pPr>
            <w:r>
              <w:rPr>
                <w:lang w:val="en-US"/>
              </w:rPr>
              <w:t>Zone around earth station (approximately) (km)</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 xml:space="preserve">Diameter 98 </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w:t>
            </w:r>
          </w:p>
        </w:tc>
        <w:tc>
          <w:tcPr>
            <w:tcW w:w="1475" w:type="dxa"/>
          </w:tcPr>
          <w:p w:rsidR="00B9359B" w:rsidRDefault="009A5268">
            <w:pPr>
              <w:pStyle w:val="Tabletext"/>
              <w:framePr w:hSpace="181" w:wrap="notBeside" w:vAnchor="text" w:hAnchor="text" w:xAlign="center" w:y="1"/>
              <w:spacing w:before="80" w:after="80"/>
              <w:jc w:val="center"/>
              <w:rPr>
                <w:lang w:val="en-US"/>
              </w:rPr>
            </w:pPr>
            <w:r>
              <w:rPr>
                <w:lang w:val="en-US"/>
              </w:rPr>
              <w:t>–</w:t>
            </w:r>
          </w:p>
        </w:tc>
      </w:tr>
      <w:tr w:rsidR="00B9359B">
        <w:tc>
          <w:tcPr>
            <w:tcW w:w="5216" w:type="dxa"/>
          </w:tcPr>
          <w:p w:rsidR="00B9359B" w:rsidRDefault="009A5268">
            <w:pPr>
              <w:pStyle w:val="Tabletext"/>
              <w:framePr w:hSpace="181" w:wrap="notBeside" w:vAnchor="text" w:hAnchor="text" w:xAlign="center" w:y="1"/>
              <w:spacing w:before="80" w:after="80"/>
              <w:ind w:left="113"/>
              <w:rPr>
                <w:lang w:val="en-US"/>
              </w:rPr>
            </w:pPr>
            <w:r>
              <w:rPr>
                <w:lang w:val="en-US"/>
              </w:rPr>
              <w:t>Number of contaminated pixels/event</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38 pixels</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w:t>
            </w:r>
          </w:p>
        </w:tc>
        <w:tc>
          <w:tcPr>
            <w:tcW w:w="1475" w:type="dxa"/>
          </w:tcPr>
          <w:p w:rsidR="00B9359B" w:rsidRDefault="009A5268">
            <w:pPr>
              <w:pStyle w:val="Tabletext"/>
              <w:framePr w:hSpace="181" w:wrap="notBeside" w:vAnchor="text" w:hAnchor="text" w:xAlign="center" w:y="1"/>
              <w:spacing w:before="80" w:after="80"/>
              <w:jc w:val="center"/>
              <w:rPr>
                <w:lang w:val="en-US"/>
              </w:rPr>
            </w:pPr>
            <w:r>
              <w:rPr>
                <w:lang w:val="en-US"/>
              </w:rPr>
              <w:t>–</w:t>
            </w:r>
          </w:p>
        </w:tc>
      </w:tr>
      <w:tr w:rsidR="00B9359B">
        <w:tc>
          <w:tcPr>
            <w:tcW w:w="5216" w:type="dxa"/>
            <w:tcBorders>
              <w:bottom w:val="single" w:sz="6" w:space="0" w:color="auto"/>
            </w:tcBorders>
          </w:tcPr>
          <w:p w:rsidR="00B9359B" w:rsidRDefault="009A5268">
            <w:pPr>
              <w:pStyle w:val="Tabletext"/>
              <w:framePr w:hSpace="181" w:wrap="notBeside" w:vAnchor="text" w:hAnchor="text" w:xAlign="center" w:y="1"/>
              <w:spacing w:before="80" w:after="80"/>
              <w:ind w:left="113"/>
              <w:rPr>
                <w:lang w:val="en-US"/>
              </w:rPr>
            </w:pPr>
            <w:r>
              <w:rPr>
                <w:lang w:val="en-US"/>
              </w:rPr>
              <w:t>Duration of one event (s)</w:t>
            </w:r>
          </w:p>
        </w:tc>
        <w:tc>
          <w:tcPr>
            <w:tcW w:w="1474" w:type="dxa"/>
            <w:tcBorders>
              <w:bottom w:val="single" w:sz="6" w:space="0" w:color="auto"/>
            </w:tcBorders>
          </w:tcPr>
          <w:p w:rsidR="00B9359B" w:rsidRDefault="009A5268">
            <w:pPr>
              <w:pStyle w:val="Tabletext"/>
              <w:framePr w:hSpace="181" w:wrap="notBeside" w:vAnchor="text" w:hAnchor="text" w:xAlign="center" w:y="1"/>
              <w:spacing w:before="80" w:after="80"/>
              <w:jc w:val="center"/>
              <w:rPr>
                <w:lang w:val="en-US"/>
              </w:rPr>
            </w:pPr>
            <w:r>
              <w:rPr>
                <w:lang w:val="en-US"/>
              </w:rPr>
              <w:t>15</w:t>
            </w:r>
          </w:p>
        </w:tc>
        <w:tc>
          <w:tcPr>
            <w:tcW w:w="1474" w:type="dxa"/>
            <w:tcBorders>
              <w:bottom w:val="single" w:sz="6" w:space="0" w:color="auto"/>
            </w:tcBorders>
          </w:tcPr>
          <w:p w:rsidR="00B9359B" w:rsidRDefault="009A5268">
            <w:pPr>
              <w:pStyle w:val="Tabletext"/>
              <w:framePr w:hSpace="181" w:wrap="notBeside" w:vAnchor="text" w:hAnchor="text" w:xAlign="center" w:y="1"/>
              <w:spacing w:before="80" w:after="80"/>
              <w:jc w:val="center"/>
              <w:rPr>
                <w:lang w:val="en-US"/>
              </w:rPr>
            </w:pPr>
            <w:r>
              <w:rPr>
                <w:lang w:val="en-US"/>
              </w:rPr>
              <w:t>–</w:t>
            </w:r>
          </w:p>
        </w:tc>
        <w:tc>
          <w:tcPr>
            <w:tcW w:w="1475" w:type="dxa"/>
            <w:tcBorders>
              <w:bottom w:val="single" w:sz="6" w:space="0" w:color="auto"/>
            </w:tcBorders>
          </w:tcPr>
          <w:p w:rsidR="00B9359B" w:rsidRDefault="009A5268">
            <w:pPr>
              <w:pStyle w:val="Tabletext"/>
              <w:framePr w:hSpace="181" w:wrap="notBeside" w:vAnchor="text" w:hAnchor="text" w:xAlign="center" w:y="1"/>
              <w:spacing w:before="80" w:after="80"/>
              <w:jc w:val="center"/>
              <w:rPr>
                <w:lang w:val="en-US"/>
              </w:rPr>
            </w:pPr>
            <w:r>
              <w:rPr>
                <w:lang w:val="en-US"/>
              </w:rPr>
              <w:t>–</w:t>
            </w:r>
          </w:p>
        </w:tc>
      </w:tr>
      <w:tr w:rsidR="00B9359B">
        <w:tblPrEx>
          <w:tblBorders>
            <w:top w:val="single" w:sz="6" w:space="0" w:color="auto"/>
            <w:insideH w:val="single" w:sz="6" w:space="0" w:color="auto"/>
            <w:insideV w:val="single" w:sz="6" w:space="0" w:color="auto"/>
          </w:tblBorders>
        </w:tblPrEx>
        <w:tc>
          <w:tcPr>
            <w:tcW w:w="5216" w:type="dxa"/>
          </w:tcPr>
          <w:p w:rsidR="00B9359B" w:rsidRDefault="009A5268">
            <w:pPr>
              <w:pStyle w:val="Tablehead"/>
              <w:framePr w:hSpace="181" w:wrap="notBeside" w:vAnchor="text" w:hAnchor="text" w:xAlign="center" w:y="1"/>
              <w:spacing w:before="120" w:after="120"/>
              <w:rPr>
                <w:lang w:val="en-US"/>
              </w:rPr>
            </w:pPr>
            <w:r>
              <w:rPr>
                <w:lang w:val="en-US"/>
              </w:rPr>
              <w:t>Sensor close to zenith of earth station</w:t>
            </w:r>
          </w:p>
        </w:tc>
        <w:tc>
          <w:tcPr>
            <w:tcW w:w="1474" w:type="dxa"/>
          </w:tcPr>
          <w:p w:rsidR="00B9359B" w:rsidRDefault="009A5268">
            <w:pPr>
              <w:pStyle w:val="Tablehead"/>
              <w:framePr w:hSpace="181" w:wrap="notBeside" w:vAnchor="text" w:hAnchor="text" w:xAlign="center" w:y="1"/>
              <w:spacing w:before="120" w:after="120"/>
              <w:rPr>
                <w:lang w:val="es-ES"/>
              </w:rPr>
            </w:pPr>
            <w:r>
              <w:rPr>
                <w:lang w:val="es-ES"/>
              </w:rPr>
              <w:t>MEOSAT-X</w:t>
            </w:r>
          </w:p>
        </w:tc>
        <w:tc>
          <w:tcPr>
            <w:tcW w:w="1474" w:type="dxa"/>
          </w:tcPr>
          <w:p w:rsidR="00B9359B" w:rsidRDefault="009A5268">
            <w:pPr>
              <w:pStyle w:val="Tablehead"/>
              <w:framePr w:hSpace="181" w:wrap="notBeside" w:vAnchor="text" w:hAnchor="text" w:xAlign="center" w:y="1"/>
              <w:spacing w:before="120" w:after="120"/>
              <w:rPr>
                <w:lang w:val="es-ES"/>
              </w:rPr>
            </w:pPr>
            <w:r>
              <w:rPr>
                <w:lang w:val="es-ES"/>
              </w:rPr>
              <w:t>LEO</w:t>
            </w:r>
            <w:r>
              <w:rPr>
                <w:sz w:val="16"/>
                <w:lang w:val="es-ES"/>
              </w:rPr>
              <w:t xml:space="preserve">  </w:t>
            </w:r>
            <w:r>
              <w:rPr>
                <w:lang w:val="es-ES"/>
              </w:rPr>
              <w:t>V1</w:t>
            </w:r>
          </w:p>
        </w:tc>
        <w:tc>
          <w:tcPr>
            <w:tcW w:w="1475" w:type="dxa"/>
          </w:tcPr>
          <w:p w:rsidR="00B9359B" w:rsidRDefault="009A5268">
            <w:pPr>
              <w:pStyle w:val="Tablehead"/>
              <w:framePr w:hSpace="181" w:wrap="notBeside" w:vAnchor="text" w:hAnchor="text" w:xAlign="center" w:y="1"/>
              <w:spacing w:before="120" w:after="120"/>
              <w:rPr>
                <w:lang w:val="es-ES"/>
              </w:rPr>
            </w:pPr>
            <w:r>
              <w:rPr>
                <w:lang w:val="es-ES"/>
              </w:rPr>
              <w:t>LEO</w:t>
            </w:r>
            <w:r>
              <w:rPr>
                <w:sz w:val="16"/>
                <w:lang w:val="es-ES"/>
              </w:rPr>
              <w:t xml:space="preserve">  </w:t>
            </w:r>
            <w:r>
              <w:rPr>
                <w:lang w:val="es-ES"/>
              </w:rPr>
              <w:t>V2</w:t>
            </w:r>
          </w:p>
        </w:tc>
      </w:tr>
      <w:tr w:rsidR="00B9359B" w:rsidRPr="00D35B94">
        <w:tc>
          <w:tcPr>
            <w:tcW w:w="9639" w:type="dxa"/>
            <w:gridSpan w:val="4"/>
          </w:tcPr>
          <w:p w:rsidR="00B9359B" w:rsidRDefault="009A5268">
            <w:pPr>
              <w:pStyle w:val="Tabletext"/>
              <w:framePr w:hSpace="181" w:wrap="notBeside" w:vAnchor="text" w:hAnchor="text" w:xAlign="center" w:y="1"/>
              <w:spacing w:before="80" w:after="80"/>
              <w:jc w:val="center"/>
              <w:rPr>
                <w:iCs/>
                <w:lang w:val="en-US"/>
              </w:rPr>
            </w:pPr>
            <w:r>
              <w:rPr>
                <w:iCs/>
                <w:lang w:val="en-US"/>
              </w:rPr>
              <w:t>Sensor main-lobes to earth station main-lobe interference</w:t>
            </w:r>
          </w:p>
        </w:tc>
      </w:tr>
      <w:tr w:rsidR="00B9359B">
        <w:tc>
          <w:tcPr>
            <w:tcW w:w="5216" w:type="dxa"/>
          </w:tcPr>
          <w:p w:rsidR="00B9359B" w:rsidRDefault="009A5268">
            <w:pPr>
              <w:pStyle w:val="Tabletext"/>
              <w:framePr w:hSpace="181" w:wrap="notBeside" w:vAnchor="text" w:hAnchor="text" w:xAlign="center" w:y="1"/>
              <w:spacing w:before="80" w:after="80"/>
              <w:ind w:left="113"/>
              <w:rPr>
                <w:lang w:val="en-US"/>
              </w:rPr>
            </w:pPr>
            <w:r>
              <w:rPr>
                <w:lang w:val="en-US"/>
              </w:rPr>
              <w:t>Maximum power excess in sensor’s beams (dB)</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 xml:space="preserve">105.6 </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70</w:t>
            </w:r>
          </w:p>
        </w:tc>
        <w:tc>
          <w:tcPr>
            <w:tcW w:w="1475" w:type="dxa"/>
          </w:tcPr>
          <w:p w:rsidR="00B9359B" w:rsidRDefault="009A5268">
            <w:pPr>
              <w:pStyle w:val="Tabletext"/>
              <w:framePr w:hSpace="181" w:wrap="notBeside" w:vAnchor="text" w:hAnchor="text" w:xAlign="center" w:y="1"/>
              <w:spacing w:before="80" w:after="80"/>
              <w:jc w:val="center"/>
              <w:rPr>
                <w:lang w:val="en-US"/>
              </w:rPr>
            </w:pPr>
            <w:r>
              <w:rPr>
                <w:lang w:val="en-US"/>
              </w:rPr>
              <w:t>81</w:t>
            </w:r>
          </w:p>
        </w:tc>
      </w:tr>
      <w:tr w:rsidR="00B9359B">
        <w:tc>
          <w:tcPr>
            <w:tcW w:w="5216" w:type="dxa"/>
          </w:tcPr>
          <w:p w:rsidR="00B9359B" w:rsidRDefault="009A5268">
            <w:pPr>
              <w:pStyle w:val="Tabletext"/>
              <w:framePr w:hSpace="181" w:wrap="notBeside" w:vAnchor="text" w:hAnchor="text" w:xAlign="center" w:y="1"/>
              <w:spacing w:before="80" w:after="80"/>
              <w:ind w:left="113"/>
              <w:rPr>
                <w:lang w:val="en-US"/>
              </w:rPr>
            </w:pPr>
            <w:r>
              <w:rPr>
                <w:lang w:val="en-US"/>
              </w:rPr>
              <w:t>Zone around earth station (approximately) (km)</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Diameter 325</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w:t>
            </w:r>
          </w:p>
        </w:tc>
        <w:tc>
          <w:tcPr>
            <w:tcW w:w="1475" w:type="dxa"/>
          </w:tcPr>
          <w:p w:rsidR="00B9359B" w:rsidRDefault="009A5268">
            <w:pPr>
              <w:pStyle w:val="Tabletext"/>
              <w:framePr w:hSpace="181" w:wrap="notBeside" w:vAnchor="text" w:hAnchor="text" w:xAlign="center" w:y="1"/>
              <w:spacing w:before="80" w:after="80"/>
              <w:jc w:val="center"/>
              <w:rPr>
                <w:lang w:val="en-US"/>
              </w:rPr>
            </w:pPr>
            <w:r>
              <w:rPr>
                <w:lang w:val="en-US"/>
              </w:rPr>
              <w:t>–</w:t>
            </w:r>
          </w:p>
        </w:tc>
      </w:tr>
      <w:tr w:rsidR="00B9359B">
        <w:tc>
          <w:tcPr>
            <w:tcW w:w="5216" w:type="dxa"/>
          </w:tcPr>
          <w:p w:rsidR="00B9359B" w:rsidRDefault="009A5268">
            <w:pPr>
              <w:pStyle w:val="Tabletext"/>
              <w:framePr w:hSpace="181" w:wrap="notBeside" w:vAnchor="text" w:hAnchor="text" w:xAlign="center" w:y="1"/>
              <w:spacing w:before="80" w:after="80"/>
              <w:ind w:left="113"/>
              <w:rPr>
                <w:lang w:val="en-US"/>
              </w:rPr>
            </w:pPr>
            <w:r>
              <w:rPr>
                <w:lang w:val="en-US"/>
              </w:rPr>
              <w:t>Number of contaminated pixels (approximately)</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20 scanlines</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w:t>
            </w:r>
          </w:p>
        </w:tc>
        <w:tc>
          <w:tcPr>
            <w:tcW w:w="1475" w:type="dxa"/>
          </w:tcPr>
          <w:p w:rsidR="00B9359B" w:rsidRDefault="009A5268">
            <w:pPr>
              <w:pStyle w:val="Tabletext"/>
              <w:framePr w:hSpace="181" w:wrap="notBeside" w:vAnchor="text" w:hAnchor="text" w:xAlign="center" w:y="1"/>
              <w:spacing w:before="80" w:after="80"/>
              <w:jc w:val="center"/>
              <w:rPr>
                <w:lang w:val="en-US"/>
              </w:rPr>
            </w:pPr>
            <w:r>
              <w:rPr>
                <w:lang w:val="en-US"/>
              </w:rPr>
              <w:t>–</w:t>
            </w:r>
          </w:p>
        </w:tc>
      </w:tr>
      <w:tr w:rsidR="00B9359B">
        <w:tc>
          <w:tcPr>
            <w:tcW w:w="5216" w:type="dxa"/>
          </w:tcPr>
          <w:p w:rsidR="00B9359B" w:rsidRDefault="009A5268">
            <w:pPr>
              <w:pStyle w:val="Tabletext"/>
              <w:framePr w:hSpace="181" w:wrap="notBeside" w:vAnchor="text" w:hAnchor="text" w:xAlign="center" w:y="1"/>
              <w:spacing w:before="80" w:after="80"/>
              <w:ind w:left="113"/>
              <w:rPr>
                <w:lang w:val="en-US"/>
              </w:rPr>
            </w:pPr>
            <w:r>
              <w:rPr>
                <w:lang w:val="en-US"/>
              </w:rPr>
              <w:t>Average duration of event (approximately) (s)</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46</w:t>
            </w:r>
          </w:p>
        </w:tc>
        <w:tc>
          <w:tcPr>
            <w:tcW w:w="1474" w:type="dxa"/>
          </w:tcPr>
          <w:p w:rsidR="00B9359B" w:rsidRDefault="009A5268">
            <w:pPr>
              <w:pStyle w:val="Tabletext"/>
              <w:framePr w:hSpace="181" w:wrap="notBeside" w:vAnchor="text" w:hAnchor="text" w:xAlign="center" w:y="1"/>
              <w:spacing w:before="80" w:after="80"/>
              <w:jc w:val="center"/>
              <w:rPr>
                <w:lang w:val="en-US"/>
              </w:rPr>
            </w:pPr>
            <w:r>
              <w:rPr>
                <w:lang w:val="en-US"/>
              </w:rPr>
              <w:t>–</w:t>
            </w:r>
          </w:p>
        </w:tc>
        <w:tc>
          <w:tcPr>
            <w:tcW w:w="1475" w:type="dxa"/>
          </w:tcPr>
          <w:p w:rsidR="00B9359B" w:rsidRDefault="009A5268">
            <w:pPr>
              <w:pStyle w:val="Tabletext"/>
              <w:framePr w:hSpace="181" w:wrap="notBeside" w:vAnchor="text" w:hAnchor="text" w:xAlign="center" w:y="1"/>
              <w:spacing w:before="80" w:after="80"/>
              <w:jc w:val="center"/>
              <w:rPr>
                <w:lang w:val="en-US"/>
              </w:rPr>
            </w:pPr>
            <w:r>
              <w:rPr>
                <w:lang w:val="en-US"/>
              </w:rPr>
              <w:t>–</w:t>
            </w:r>
          </w:p>
        </w:tc>
      </w:tr>
      <w:tr w:rsidR="00B9359B" w:rsidRPr="00D35B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639" w:type="dxa"/>
            <w:gridSpan w:val="4"/>
          </w:tcPr>
          <w:p w:rsidR="00B9359B" w:rsidRDefault="009A5268">
            <w:pPr>
              <w:pStyle w:val="Tablelegend"/>
              <w:framePr w:hSpace="181" w:wrap="notBeside" w:vAnchor="text" w:hAnchor="text" w:xAlign="center" w:y="1"/>
              <w:spacing w:before="200" w:after="80"/>
              <w:ind w:left="-85" w:firstLine="0"/>
              <w:rPr>
                <w:lang w:val="en-US"/>
              </w:rPr>
            </w:pPr>
            <w:r>
              <w:rPr>
                <w:lang w:val="en-US"/>
              </w:rPr>
              <w:t>NOTE 1 – The duration of events is evaluated under the hypothesis that the pointing direction of the earth station antenna is steady (i.e. only the EESS satellite is moving). It is clear that this duration can be shorter or longer depending on the relative velocity of the EESS and the FSS non-GSO satellites.</w:t>
            </w:r>
          </w:p>
        </w:tc>
      </w:tr>
    </w:tbl>
    <w:p w:rsidR="00B9359B" w:rsidRDefault="00B9359B">
      <w:pPr>
        <w:pStyle w:val="Tablefin"/>
      </w:pPr>
    </w:p>
    <w:p w:rsidR="00B9359B" w:rsidRDefault="00B9359B">
      <w:pPr>
        <w:rPr>
          <w:lang w:val="en-GB"/>
        </w:rPr>
      </w:pPr>
    </w:p>
    <w:p w:rsidR="00B9359B" w:rsidRDefault="00B9359B">
      <w:pPr>
        <w:rPr>
          <w:lang w:val="en-GB"/>
        </w:rPr>
      </w:pPr>
    </w:p>
    <w:p w:rsidR="00B9359B" w:rsidRDefault="00B9359B">
      <w:pPr>
        <w:rPr>
          <w:lang w:val="en-GB"/>
        </w:rPr>
      </w:pPr>
    </w:p>
    <w:p w:rsidR="00B9359B" w:rsidRDefault="00B9359B">
      <w:pPr>
        <w:rPr>
          <w:lang w:val="en-GB"/>
        </w:rPr>
      </w:pPr>
    </w:p>
    <w:p w:rsidR="00B9359B" w:rsidRDefault="009A5268">
      <w:pPr>
        <w:pStyle w:val="TableNo"/>
        <w:rPr>
          <w:lang w:val="en-US"/>
        </w:rPr>
      </w:pPr>
      <w:r>
        <w:rPr>
          <w:lang w:val="en-US"/>
        </w:rPr>
        <w:br w:type="page"/>
        <w:t>TABLE  104</w:t>
      </w:r>
    </w:p>
    <w:p w:rsidR="00B9359B" w:rsidRDefault="009A5268">
      <w:pPr>
        <w:pStyle w:val="Tabletitle"/>
        <w:rPr>
          <w:lang w:val="en-US"/>
        </w:rPr>
      </w:pPr>
      <w:r>
        <w:rPr>
          <w:lang w:val="en-US"/>
        </w:rPr>
        <w:t>Power excess over interference threshold, GSO networks (co-frequency assumption)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2410"/>
        <w:gridCol w:w="2410"/>
      </w:tblGrid>
      <w:tr w:rsidR="00B9359B">
        <w:tc>
          <w:tcPr>
            <w:tcW w:w="4820" w:type="dxa"/>
          </w:tcPr>
          <w:p w:rsidR="00B9359B" w:rsidRDefault="009A5268">
            <w:pPr>
              <w:pStyle w:val="Tablehead"/>
              <w:framePr w:hSpace="181" w:wrap="notBeside" w:vAnchor="text" w:hAnchor="text" w:xAlign="center" w:y="1"/>
              <w:spacing w:before="120" w:after="120"/>
              <w:rPr>
                <w:lang w:val="en-US"/>
              </w:rPr>
            </w:pPr>
            <w:r>
              <w:rPr>
                <w:lang w:val="en-US"/>
              </w:rPr>
              <w:t>Sensor in earth station main-lobe</w:t>
            </w:r>
          </w:p>
        </w:tc>
        <w:tc>
          <w:tcPr>
            <w:tcW w:w="2410" w:type="dxa"/>
          </w:tcPr>
          <w:p w:rsidR="00B9359B" w:rsidRDefault="009A5268">
            <w:pPr>
              <w:pStyle w:val="Tablehead"/>
              <w:framePr w:hSpace="181" w:wrap="notBeside" w:vAnchor="text" w:hAnchor="text" w:xAlign="center" w:y="1"/>
              <w:spacing w:before="120" w:after="120"/>
              <w:ind w:left="-57" w:right="-57"/>
              <w:rPr>
                <w:lang w:val="en-US"/>
              </w:rPr>
            </w:pPr>
            <w:r>
              <w:rPr>
                <w:lang w:val="en-US"/>
              </w:rPr>
              <w:t>V-B2</w:t>
            </w:r>
            <w:r>
              <w:rPr>
                <w:sz w:val="16"/>
                <w:lang w:val="en-US"/>
              </w:rPr>
              <w:t xml:space="preserve">  </w:t>
            </w:r>
            <w:r>
              <w:rPr>
                <w:lang w:val="en-US"/>
              </w:rPr>
              <w:t>FSS earth station</w:t>
            </w:r>
          </w:p>
        </w:tc>
        <w:tc>
          <w:tcPr>
            <w:tcW w:w="2410" w:type="dxa"/>
          </w:tcPr>
          <w:p w:rsidR="00B9359B" w:rsidRDefault="009A5268">
            <w:pPr>
              <w:pStyle w:val="Tablehead"/>
              <w:framePr w:hSpace="181" w:wrap="notBeside" w:vAnchor="text" w:hAnchor="text" w:xAlign="center" w:y="1"/>
              <w:spacing w:before="120" w:after="120"/>
              <w:rPr>
                <w:lang w:val="en-US"/>
              </w:rPr>
            </w:pPr>
            <w:r>
              <w:rPr>
                <w:lang w:val="en-US"/>
              </w:rPr>
              <w:t>SV</w:t>
            </w:r>
            <w:r>
              <w:rPr>
                <w:sz w:val="16"/>
                <w:lang w:val="en-US"/>
              </w:rPr>
              <w:t xml:space="preserve">  </w:t>
            </w:r>
            <w:r>
              <w:rPr>
                <w:lang w:val="en-US"/>
              </w:rPr>
              <w:t>FSS earth station</w:t>
            </w:r>
          </w:p>
        </w:tc>
      </w:tr>
      <w:tr w:rsidR="00B9359B">
        <w:tc>
          <w:tcPr>
            <w:tcW w:w="4820" w:type="dxa"/>
          </w:tcPr>
          <w:p w:rsidR="00B9359B" w:rsidRDefault="009A5268">
            <w:pPr>
              <w:pStyle w:val="Tabletext"/>
              <w:framePr w:hSpace="181" w:wrap="notBeside" w:vAnchor="text" w:hAnchor="text" w:xAlign="center" w:y="1"/>
              <w:spacing w:before="80" w:after="80"/>
              <w:ind w:left="113"/>
              <w:rPr>
                <w:lang w:val="en-US"/>
              </w:rPr>
            </w:pPr>
            <w:r>
              <w:rPr>
                <w:lang w:val="en-US"/>
              </w:rPr>
              <w:t>Power excess (dB)</w:t>
            </w:r>
          </w:p>
        </w:tc>
        <w:tc>
          <w:tcPr>
            <w:tcW w:w="2410" w:type="dxa"/>
          </w:tcPr>
          <w:p w:rsidR="00B9359B" w:rsidRDefault="009A5268">
            <w:pPr>
              <w:pStyle w:val="Tabletext"/>
              <w:framePr w:hSpace="181" w:wrap="notBeside" w:vAnchor="text" w:hAnchor="text" w:xAlign="center" w:y="1"/>
              <w:spacing w:before="80" w:after="80"/>
              <w:jc w:val="center"/>
              <w:rPr>
                <w:lang w:val="en-US"/>
              </w:rPr>
            </w:pPr>
            <w:r>
              <w:rPr>
                <w:lang w:val="en-US"/>
              </w:rPr>
              <w:t>49.9</w:t>
            </w:r>
          </w:p>
        </w:tc>
        <w:tc>
          <w:tcPr>
            <w:tcW w:w="2410" w:type="dxa"/>
          </w:tcPr>
          <w:p w:rsidR="00B9359B" w:rsidRDefault="009A5268">
            <w:pPr>
              <w:pStyle w:val="Tabletext"/>
              <w:framePr w:hSpace="181" w:wrap="notBeside" w:vAnchor="text" w:hAnchor="text" w:xAlign="center" w:y="1"/>
              <w:spacing w:before="80" w:after="80"/>
              <w:jc w:val="center"/>
              <w:rPr>
                <w:lang w:val="en-US"/>
              </w:rPr>
            </w:pPr>
            <w:r>
              <w:rPr>
                <w:lang w:val="en-US"/>
              </w:rPr>
              <w:t>40.5</w:t>
            </w:r>
          </w:p>
        </w:tc>
      </w:tr>
      <w:tr w:rsidR="00B9359B">
        <w:tc>
          <w:tcPr>
            <w:tcW w:w="4820" w:type="dxa"/>
          </w:tcPr>
          <w:p w:rsidR="00B9359B" w:rsidRDefault="009A5268">
            <w:pPr>
              <w:pStyle w:val="Tabletext"/>
              <w:framePr w:hSpace="181" w:wrap="notBeside" w:vAnchor="text" w:hAnchor="text" w:xAlign="center" w:y="1"/>
              <w:spacing w:before="80" w:after="80"/>
              <w:ind w:left="113"/>
              <w:rPr>
                <w:lang w:val="en-US"/>
              </w:rPr>
            </w:pPr>
            <w:r>
              <w:rPr>
                <w:lang w:val="en-US"/>
              </w:rPr>
              <w:t>Zone concerned (approximately) (km)</w:t>
            </w:r>
          </w:p>
        </w:tc>
        <w:tc>
          <w:tcPr>
            <w:tcW w:w="2410" w:type="dxa"/>
          </w:tcPr>
          <w:p w:rsidR="00B9359B" w:rsidRDefault="009A5268">
            <w:pPr>
              <w:pStyle w:val="Tabletext"/>
              <w:framePr w:hSpace="181" w:wrap="notBeside" w:vAnchor="text" w:hAnchor="text" w:xAlign="center" w:y="1"/>
              <w:spacing w:before="80" w:after="80"/>
              <w:jc w:val="center"/>
              <w:rPr>
                <w:lang w:val="en-US"/>
              </w:rPr>
            </w:pPr>
            <w:r>
              <w:rPr>
                <w:lang w:val="en-US"/>
              </w:rPr>
              <w:t xml:space="preserve">150 </w:t>
            </w:r>
            <w:r>
              <w:rPr>
                <w:rFonts w:ascii="Symbol" w:hAnsi="Symbol"/>
              </w:rPr>
              <w:t></w:t>
            </w:r>
            <w:r>
              <w:rPr>
                <w:lang w:val="en-US"/>
              </w:rPr>
              <w:t xml:space="preserve"> 130</w:t>
            </w:r>
          </w:p>
        </w:tc>
        <w:tc>
          <w:tcPr>
            <w:tcW w:w="2410" w:type="dxa"/>
          </w:tcPr>
          <w:p w:rsidR="00B9359B" w:rsidRDefault="009A5268">
            <w:pPr>
              <w:pStyle w:val="Tabletext"/>
              <w:framePr w:hSpace="181" w:wrap="notBeside" w:vAnchor="text" w:hAnchor="text" w:xAlign="center" w:y="1"/>
              <w:spacing w:before="80" w:after="80"/>
              <w:jc w:val="center"/>
              <w:rPr>
                <w:lang w:val="en-US"/>
              </w:rPr>
            </w:pPr>
            <w:r>
              <w:rPr>
                <w:lang w:val="en-US"/>
              </w:rPr>
              <w:t xml:space="preserve">102 </w:t>
            </w:r>
            <w:r>
              <w:rPr>
                <w:rFonts w:ascii="Symbol" w:hAnsi="Symbol"/>
              </w:rPr>
              <w:t></w:t>
            </w:r>
            <w:r>
              <w:rPr>
                <w:lang w:val="en-US"/>
              </w:rPr>
              <w:t xml:space="preserve"> 88</w:t>
            </w:r>
          </w:p>
        </w:tc>
      </w:tr>
      <w:tr w:rsidR="00B9359B">
        <w:tc>
          <w:tcPr>
            <w:tcW w:w="4820" w:type="dxa"/>
          </w:tcPr>
          <w:p w:rsidR="00B9359B" w:rsidRDefault="009A5268">
            <w:pPr>
              <w:pStyle w:val="Tabletext"/>
              <w:framePr w:hSpace="181" w:wrap="notBeside" w:vAnchor="text" w:hAnchor="text" w:xAlign="center" w:y="1"/>
              <w:spacing w:before="80" w:after="80"/>
              <w:ind w:left="113"/>
              <w:rPr>
                <w:lang w:val="en-US"/>
              </w:rPr>
            </w:pPr>
            <w:r>
              <w:rPr>
                <w:lang w:val="en-US"/>
              </w:rPr>
              <w:t>Number of contaminated pixels/event</w:t>
            </w:r>
          </w:p>
        </w:tc>
        <w:tc>
          <w:tcPr>
            <w:tcW w:w="2410" w:type="dxa"/>
          </w:tcPr>
          <w:p w:rsidR="00B9359B" w:rsidRDefault="009A5268">
            <w:pPr>
              <w:pStyle w:val="Tabletext"/>
              <w:framePr w:hSpace="181" w:wrap="notBeside" w:vAnchor="text" w:hAnchor="text" w:xAlign="center" w:y="1"/>
              <w:spacing w:before="80" w:after="80"/>
              <w:jc w:val="center"/>
              <w:rPr>
                <w:caps/>
                <w:lang w:val="en-US"/>
              </w:rPr>
            </w:pPr>
            <w:r>
              <w:rPr>
                <w:caps/>
                <w:lang w:val="en-US"/>
              </w:rPr>
              <w:t xml:space="preserve">9 </w:t>
            </w:r>
            <w:r>
              <w:rPr>
                <w:lang w:val="en-US"/>
              </w:rPr>
              <w:t>scan-lines</w:t>
            </w:r>
          </w:p>
        </w:tc>
        <w:tc>
          <w:tcPr>
            <w:tcW w:w="2410" w:type="dxa"/>
          </w:tcPr>
          <w:p w:rsidR="00B9359B" w:rsidRDefault="009A5268">
            <w:pPr>
              <w:pStyle w:val="Tabletext"/>
              <w:framePr w:hSpace="181" w:wrap="notBeside" w:vAnchor="text" w:hAnchor="text" w:xAlign="center" w:y="1"/>
              <w:spacing w:before="80" w:after="80"/>
              <w:jc w:val="center"/>
              <w:rPr>
                <w:lang w:val="en-US"/>
              </w:rPr>
            </w:pPr>
            <w:r>
              <w:rPr>
                <w:lang w:val="en-US"/>
              </w:rPr>
              <w:t>6.4 scan-lines</w:t>
            </w:r>
          </w:p>
        </w:tc>
      </w:tr>
      <w:tr w:rsidR="00B9359B">
        <w:tc>
          <w:tcPr>
            <w:tcW w:w="4820" w:type="dxa"/>
            <w:tcBorders>
              <w:bottom w:val="single" w:sz="4" w:space="0" w:color="auto"/>
            </w:tcBorders>
          </w:tcPr>
          <w:p w:rsidR="00B9359B" w:rsidRDefault="009A5268">
            <w:pPr>
              <w:pStyle w:val="Tabletext"/>
              <w:framePr w:hSpace="181" w:wrap="notBeside" w:vAnchor="text" w:hAnchor="text" w:xAlign="center" w:y="1"/>
              <w:spacing w:before="80" w:after="80"/>
              <w:ind w:left="113"/>
              <w:rPr>
                <w:lang w:val="en-US"/>
              </w:rPr>
            </w:pPr>
            <w:r>
              <w:rPr>
                <w:lang w:val="en-US"/>
              </w:rPr>
              <w:t>Duration of one event (approximately) (s)</w:t>
            </w:r>
          </w:p>
        </w:tc>
        <w:tc>
          <w:tcPr>
            <w:tcW w:w="2410" w:type="dxa"/>
            <w:tcBorders>
              <w:bottom w:val="single" w:sz="4" w:space="0" w:color="auto"/>
            </w:tcBorders>
          </w:tcPr>
          <w:p w:rsidR="00B9359B" w:rsidRDefault="009A5268">
            <w:pPr>
              <w:pStyle w:val="Tabletext"/>
              <w:framePr w:hSpace="181" w:wrap="notBeside" w:vAnchor="text" w:hAnchor="text" w:xAlign="center" w:y="1"/>
              <w:spacing w:before="80" w:after="80"/>
              <w:jc w:val="center"/>
              <w:rPr>
                <w:lang w:val="en-US"/>
              </w:rPr>
            </w:pPr>
            <w:r>
              <w:rPr>
                <w:lang w:val="en-US"/>
              </w:rPr>
              <w:t>21</w:t>
            </w:r>
          </w:p>
        </w:tc>
        <w:tc>
          <w:tcPr>
            <w:tcW w:w="2410" w:type="dxa"/>
            <w:tcBorders>
              <w:bottom w:val="single" w:sz="4" w:space="0" w:color="auto"/>
            </w:tcBorders>
          </w:tcPr>
          <w:p w:rsidR="00B9359B" w:rsidRDefault="009A5268">
            <w:pPr>
              <w:pStyle w:val="Tabletext"/>
              <w:framePr w:hSpace="181" w:wrap="notBeside" w:vAnchor="text" w:hAnchor="text" w:xAlign="center" w:y="1"/>
              <w:spacing w:before="80" w:after="80"/>
              <w:jc w:val="center"/>
              <w:rPr>
                <w:lang w:val="en-US"/>
              </w:rPr>
            </w:pPr>
            <w:r>
              <w:rPr>
                <w:lang w:val="en-US"/>
              </w:rPr>
              <w:t>15</w:t>
            </w:r>
          </w:p>
        </w:tc>
      </w:tr>
      <w:tr w:rsidR="00B9359B">
        <w:tc>
          <w:tcPr>
            <w:tcW w:w="4820" w:type="dxa"/>
            <w:tcBorders>
              <w:top w:val="single" w:sz="4" w:space="0" w:color="auto"/>
            </w:tcBorders>
          </w:tcPr>
          <w:p w:rsidR="00B9359B" w:rsidRDefault="009A5268">
            <w:pPr>
              <w:pStyle w:val="Tablehead"/>
              <w:framePr w:hSpace="181" w:wrap="notBeside" w:vAnchor="text" w:hAnchor="text" w:xAlign="center" w:y="1"/>
              <w:spacing w:before="120" w:after="120"/>
              <w:rPr>
                <w:lang w:val="en-US"/>
              </w:rPr>
            </w:pPr>
            <w:r>
              <w:rPr>
                <w:lang w:val="en-US"/>
              </w:rPr>
              <w:t>Sensor close to zenith of earth station</w:t>
            </w:r>
          </w:p>
        </w:tc>
        <w:tc>
          <w:tcPr>
            <w:tcW w:w="2410" w:type="dxa"/>
            <w:tcBorders>
              <w:top w:val="single" w:sz="4" w:space="0" w:color="auto"/>
            </w:tcBorders>
          </w:tcPr>
          <w:p w:rsidR="00B9359B" w:rsidRDefault="009A5268">
            <w:pPr>
              <w:pStyle w:val="Tablehead"/>
              <w:framePr w:hSpace="181" w:wrap="notBeside" w:vAnchor="text" w:hAnchor="text" w:xAlign="center" w:y="1"/>
              <w:spacing w:before="120" w:after="120"/>
              <w:ind w:left="-57" w:right="-57"/>
              <w:rPr>
                <w:lang w:val="en-US"/>
              </w:rPr>
            </w:pPr>
            <w:r>
              <w:rPr>
                <w:lang w:val="en-US"/>
              </w:rPr>
              <w:t>V-B2</w:t>
            </w:r>
            <w:r>
              <w:rPr>
                <w:sz w:val="16"/>
                <w:lang w:val="en-US"/>
              </w:rPr>
              <w:t xml:space="preserve">  </w:t>
            </w:r>
            <w:r>
              <w:rPr>
                <w:lang w:val="en-US"/>
              </w:rPr>
              <w:t>FSS earth station</w:t>
            </w:r>
          </w:p>
        </w:tc>
        <w:tc>
          <w:tcPr>
            <w:tcW w:w="2410" w:type="dxa"/>
            <w:tcBorders>
              <w:top w:val="single" w:sz="4" w:space="0" w:color="auto"/>
            </w:tcBorders>
          </w:tcPr>
          <w:p w:rsidR="00B9359B" w:rsidRDefault="009A5268">
            <w:pPr>
              <w:pStyle w:val="Tablehead"/>
              <w:framePr w:hSpace="181" w:wrap="notBeside" w:vAnchor="text" w:hAnchor="text" w:xAlign="center" w:y="1"/>
              <w:spacing w:before="120" w:after="120"/>
              <w:rPr>
                <w:lang w:val="en-US"/>
              </w:rPr>
            </w:pPr>
            <w:r>
              <w:rPr>
                <w:lang w:val="en-US"/>
              </w:rPr>
              <w:t>SV</w:t>
            </w:r>
            <w:r>
              <w:rPr>
                <w:sz w:val="16"/>
                <w:lang w:val="en-US"/>
              </w:rPr>
              <w:t xml:space="preserve">  </w:t>
            </w:r>
            <w:r>
              <w:rPr>
                <w:lang w:val="en-US"/>
              </w:rPr>
              <w:t>FSS earth station</w:t>
            </w:r>
          </w:p>
        </w:tc>
      </w:tr>
      <w:tr w:rsidR="00B9359B">
        <w:tc>
          <w:tcPr>
            <w:tcW w:w="4820" w:type="dxa"/>
          </w:tcPr>
          <w:p w:rsidR="00B9359B" w:rsidRDefault="009A5268">
            <w:pPr>
              <w:pStyle w:val="Tabletext"/>
              <w:framePr w:hSpace="181" w:wrap="notBeside" w:vAnchor="text" w:hAnchor="text" w:xAlign="center" w:y="1"/>
              <w:spacing w:before="80" w:after="80"/>
              <w:ind w:left="113"/>
              <w:rPr>
                <w:lang w:val="en-US"/>
              </w:rPr>
            </w:pPr>
            <w:r>
              <w:rPr>
                <w:lang w:val="en-US"/>
              </w:rPr>
              <w:t>Nadir beam (dB)</w:t>
            </w:r>
          </w:p>
        </w:tc>
        <w:tc>
          <w:tcPr>
            <w:tcW w:w="2410" w:type="dxa"/>
          </w:tcPr>
          <w:p w:rsidR="00B9359B" w:rsidRDefault="009A5268">
            <w:pPr>
              <w:pStyle w:val="Tabletext"/>
              <w:framePr w:hSpace="181" w:wrap="notBeside" w:vAnchor="text" w:hAnchor="text" w:xAlign="center" w:y="1"/>
              <w:spacing w:before="80" w:after="80"/>
              <w:jc w:val="center"/>
              <w:rPr>
                <w:lang w:val="en-US"/>
              </w:rPr>
            </w:pPr>
            <w:r>
              <w:rPr>
                <w:lang w:val="en-US"/>
              </w:rPr>
              <w:t>29.7</w:t>
            </w:r>
          </w:p>
        </w:tc>
        <w:tc>
          <w:tcPr>
            <w:tcW w:w="2410" w:type="dxa"/>
          </w:tcPr>
          <w:p w:rsidR="00B9359B" w:rsidRDefault="009A5268">
            <w:pPr>
              <w:pStyle w:val="Tabletext"/>
              <w:framePr w:hSpace="181" w:wrap="notBeside" w:vAnchor="text" w:hAnchor="text" w:xAlign="center" w:y="1"/>
              <w:spacing w:before="80" w:after="80"/>
              <w:jc w:val="center"/>
              <w:rPr>
                <w:lang w:val="en-US"/>
              </w:rPr>
            </w:pPr>
            <w:r>
              <w:rPr>
                <w:lang w:val="en-US"/>
              </w:rPr>
              <w:t>26.4</w:t>
            </w:r>
          </w:p>
        </w:tc>
      </w:tr>
      <w:tr w:rsidR="00B9359B">
        <w:tc>
          <w:tcPr>
            <w:tcW w:w="4820" w:type="dxa"/>
          </w:tcPr>
          <w:p w:rsidR="00B9359B" w:rsidRDefault="009A5268">
            <w:pPr>
              <w:pStyle w:val="Tabletext"/>
              <w:framePr w:hSpace="181" w:wrap="notBeside" w:vAnchor="text" w:hAnchor="text" w:xAlign="center" w:y="1"/>
              <w:spacing w:before="80" w:after="80"/>
              <w:ind w:left="113"/>
              <w:rPr>
                <w:lang w:val="en-US"/>
              </w:rPr>
            </w:pPr>
            <w:r>
              <w:rPr>
                <w:rFonts w:ascii="Symbol" w:hAnsi="Symbol"/>
                <w:lang w:val="en-US"/>
              </w:rPr>
              <w:t></w:t>
            </w:r>
            <w:r>
              <w:rPr>
                <w:lang w:val="en-US"/>
              </w:rPr>
              <w:t xml:space="preserve"> 50</w:t>
            </w:r>
            <w:r>
              <w:rPr>
                <w:rFonts w:ascii="Symbol" w:hAnsi="Symbol"/>
                <w:lang w:val="en-US"/>
              </w:rPr>
              <w:t></w:t>
            </w:r>
            <w:r>
              <w:rPr>
                <w:lang w:val="en-US"/>
              </w:rPr>
              <w:t xml:space="preserve"> off-nadir beams (dB)</w:t>
            </w:r>
          </w:p>
        </w:tc>
        <w:tc>
          <w:tcPr>
            <w:tcW w:w="2410" w:type="dxa"/>
          </w:tcPr>
          <w:p w:rsidR="00B9359B" w:rsidRDefault="009A5268">
            <w:pPr>
              <w:pStyle w:val="Tabletext"/>
              <w:framePr w:hSpace="181" w:wrap="notBeside" w:vAnchor="text" w:hAnchor="text" w:xAlign="center" w:y="1"/>
              <w:spacing w:before="80" w:after="80"/>
              <w:jc w:val="center"/>
              <w:rPr>
                <w:lang w:val="en-US"/>
              </w:rPr>
            </w:pPr>
            <w:r>
              <w:rPr>
                <w:lang w:val="en-US"/>
              </w:rPr>
              <w:t>23.5</w:t>
            </w:r>
          </w:p>
        </w:tc>
        <w:tc>
          <w:tcPr>
            <w:tcW w:w="2410" w:type="dxa"/>
          </w:tcPr>
          <w:p w:rsidR="00B9359B" w:rsidRDefault="009A5268">
            <w:pPr>
              <w:pStyle w:val="Tabletext"/>
              <w:framePr w:hSpace="181" w:wrap="notBeside" w:vAnchor="text" w:hAnchor="text" w:xAlign="center" w:y="1"/>
              <w:spacing w:before="80" w:after="80"/>
              <w:jc w:val="center"/>
              <w:rPr>
                <w:lang w:val="en-US"/>
              </w:rPr>
            </w:pPr>
            <w:r>
              <w:rPr>
                <w:lang w:val="en-US"/>
              </w:rPr>
              <w:t>20.2</w:t>
            </w:r>
          </w:p>
        </w:tc>
      </w:tr>
      <w:tr w:rsidR="00B9359B">
        <w:tc>
          <w:tcPr>
            <w:tcW w:w="4820" w:type="dxa"/>
          </w:tcPr>
          <w:p w:rsidR="00B9359B" w:rsidRDefault="009A5268">
            <w:pPr>
              <w:pStyle w:val="Tabletext"/>
              <w:framePr w:hSpace="181" w:wrap="notBeside" w:vAnchor="text" w:hAnchor="text" w:xAlign="center" w:y="1"/>
              <w:spacing w:before="80" w:after="80"/>
              <w:ind w:left="113"/>
              <w:rPr>
                <w:lang w:val="en-US"/>
              </w:rPr>
            </w:pPr>
            <w:r>
              <w:rPr>
                <w:lang w:val="en-US"/>
              </w:rPr>
              <w:t>Zone around earth station (approximately) (km)</w:t>
            </w:r>
          </w:p>
        </w:tc>
        <w:tc>
          <w:tcPr>
            <w:tcW w:w="2410" w:type="dxa"/>
          </w:tcPr>
          <w:p w:rsidR="00B9359B" w:rsidRDefault="009A5268">
            <w:pPr>
              <w:pStyle w:val="Tabletext"/>
              <w:framePr w:hSpace="181" w:wrap="notBeside" w:vAnchor="text" w:hAnchor="text" w:xAlign="center" w:y="1"/>
              <w:spacing w:before="80" w:after="80"/>
              <w:jc w:val="center"/>
              <w:rPr>
                <w:lang w:val="en-US"/>
              </w:rPr>
            </w:pPr>
            <w:r>
              <w:rPr>
                <w:lang w:val="en-US"/>
              </w:rPr>
              <w:t>Diameter 110</w:t>
            </w:r>
          </w:p>
        </w:tc>
        <w:tc>
          <w:tcPr>
            <w:tcW w:w="2410" w:type="dxa"/>
          </w:tcPr>
          <w:p w:rsidR="00B9359B" w:rsidRDefault="009A5268">
            <w:pPr>
              <w:pStyle w:val="Tabletext"/>
              <w:framePr w:hSpace="181" w:wrap="notBeside" w:vAnchor="text" w:hAnchor="text" w:xAlign="center" w:y="1"/>
              <w:spacing w:before="80" w:after="80"/>
              <w:jc w:val="center"/>
              <w:rPr>
                <w:lang w:val="en-US"/>
              </w:rPr>
            </w:pPr>
            <w:r>
              <w:rPr>
                <w:lang w:val="en-US"/>
              </w:rPr>
              <w:t>Diameter 82</w:t>
            </w:r>
          </w:p>
        </w:tc>
      </w:tr>
      <w:tr w:rsidR="00B9359B">
        <w:tc>
          <w:tcPr>
            <w:tcW w:w="4820" w:type="dxa"/>
          </w:tcPr>
          <w:p w:rsidR="00B9359B" w:rsidRDefault="009A5268">
            <w:pPr>
              <w:pStyle w:val="Tabletext"/>
              <w:framePr w:hSpace="181" w:wrap="notBeside" w:vAnchor="text" w:hAnchor="text" w:xAlign="center" w:y="1"/>
              <w:spacing w:before="80" w:after="80"/>
              <w:ind w:left="113"/>
              <w:rPr>
                <w:lang w:val="en-US"/>
              </w:rPr>
            </w:pPr>
            <w:r>
              <w:rPr>
                <w:lang w:val="en-US"/>
              </w:rPr>
              <w:t>Number of contaminated pixels/event</w:t>
            </w:r>
          </w:p>
        </w:tc>
        <w:tc>
          <w:tcPr>
            <w:tcW w:w="2410" w:type="dxa"/>
          </w:tcPr>
          <w:p w:rsidR="00B9359B" w:rsidRDefault="009A5268">
            <w:pPr>
              <w:pStyle w:val="Tabletext"/>
              <w:framePr w:hSpace="181" w:wrap="notBeside" w:vAnchor="text" w:hAnchor="text" w:xAlign="center" w:y="1"/>
              <w:spacing w:before="80" w:after="80"/>
              <w:jc w:val="center"/>
              <w:rPr>
                <w:lang w:val="en-US"/>
              </w:rPr>
            </w:pPr>
            <w:r>
              <w:rPr>
                <w:lang w:val="en-US"/>
              </w:rPr>
              <w:t>47</w:t>
            </w:r>
          </w:p>
        </w:tc>
        <w:tc>
          <w:tcPr>
            <w:tcW w:w="2410" w:type="dxa"/>
          </w:tcPr>
          <w:p w:rsidR="00B9359B" w:rsidRDefault="009A5268">
            <w:pPr>
              <w:pStyle w:val="Tabletext"/>
              <w:framePr w:hSpace="181" w:wrap="notBeside" w:vAnchor="text" w:hAnchor="text" w:xAlign="center" w:y="1"/>
              <w:spacing w:before="80" w:after="80"/>
              <w:jc w:val="center"/>
              <w:rPr>
                <w:lang w:val="en-US"/>
              </w:rPr>
            </w:pPr>
            <w:r>
              <w:rPr>
                <w:lang w:val="en-US"/>
              </w:rPr>
              <w:t>27</w:t>
            </w:r>
          </w:p>
        </w:tc>
      </w:tr>
      <w:tr w:rsidR="00B9359B">
        <w:tc>
          <w:tcPr>
            <w:tcW w:w="4820" w:type="dxa"/>
          </w:tcPr>
          <w:p w:rsidR="00B9359B" w:rsidRDefault="009A5268">
            <w:pPr>
              <w:pStyle w:val="Tabletext"/>
              <w:framePr w:hSpace="181" w:wrap="notBeside" w:vAnchor="text" w:hAnchor="text" w:xAlign="center" w:y="1"/>
              <w:spacing w:before="80" w:after="80"/>
              <w:ind w:left="113"/>
              <w:rPr>
                <w:lang w:val="en-US"/>
              </w:rPr>
            </w:pPr>
            <w:r>
              <w:rPr>
                <w:lang w:val="en-US"/>
              </w:rPr>
              <w:t>Duration of one event (approximately) (s)</w:t>
            </w:r>
          </w:p>
        </w:tc>
        <w:tc>
          <w:tcPr>
            <w:tcW w:w="2410" w:type="dxa"/>
          </w:tcPr>
          <w:p w:rsidR="00B9359B" w:rsidRDefault="009A5268">
            <w:pPr>
              <w:pStyle w:val="Tabletext"/>
              <w:framePr w:hSpace="181" w:wrap="notBeside" w:vAnchor="text" w:hAnchor="text" w:xAlign="center" w:y="1"/>
              <w:spacing w:before="80" w:after="80"/>
              <w:jc w:val="center"/>
              <w:rPr>
                <w:lang w:val="en-US"/>
              </w:rPr>
            </w:pPr>
            <w:r>
              <w:rPr>
                <w:lang w:val="en-US"/>
              </w:rPr>
              <w:t>16</w:t>
            </w:r>
          </w:p>
        </w:tc>
        <w:tc>
          <w:tcPr>
            <w:tcW w:w="2410" w:type="dxa"/>
          </w:tcPr>
          <w:p w:rsidR="00B9359B" w:rsidRDefault="009A5268">
            <w:pPr>
              <w:pStyle w:val="Tabletext"/>
              <w:framePr w:hSpace="181" w:wrap="notBeside" w:vAnchor="text" w:hAnchor="text" w:xAlign="center" w:y="1"/>
              <w:spacing w:before="80" w:after="80"/>
              <w:jc w:val="center"/>
              <w:rPr>
                <w:lang w:val="en-US"/>
              </w:rPr>
            </w:pPr>
            <w:r>
              <w:rPr>
                <w:lang w:val="en-US"/>
              </w:rPr>
              <w:t>12</w:t>
            </w:r>
          </w:p>
        </w:tc>
      </w:tr>
    </w:tbl>
    <w:p w:rsidR="00B9359B" w:rsidRDefault="00B9359B">
      <w:pPr>
        <w:pStyle w:val="Tablefin"/>
      </w:pPr>
    </w:p>
    <w:p w:rsidR="00B9359B" w:rsidRDefault="009A5268">
      <w:pPr>
        <w:rPr>
          <w:lang w:val="en-GB"/>
        </w:rPr>
      </w:pPr>
      <w:r>
        <w:rPr>
          <w:lang w:val="en-US"/>
        </w:rPr>
        <w:t>Note that main-lobe to main-lobe configurations are becoming possible with GSO FSS earth stations located near the equator. In that case the power excess indicated in the second part of Table 104 are augmented by the earth station antenna discrimination (up to 80 dB). The probability of occurrence of such configurations must be studied further.</w:t>
      </w:r>
    </w:p>
    <w:p w:rsidR="00B9359B" w:rsidRDefault="009A5268">
      <w:pPr>
        <w:pStyle w:val="Heading2"/>
        <w:rPr>
          <w:lang w:val="en-US"/>
        </w:rPr>
      </w:pPr>
      <w:bookmarkStart w:id="605" w:name="_Toc51046004"/>
      <w:r>
        <w:rPr>
          <w:lang w:val="en-US"/>
        </w:rPr>
        <w:t>4.4</w:t>
      </w:r>
      <w:r>
        <w:rPr>
          <w:lang w:val="en-US"/>
        </w:rPr>
        <w:tab/>
        <w:t>Dynamic interference analysis</w:t>
      </w:r>
      <w:bookmarkEnd w:id="605"/>
      <w:r>
        <w:rPr>
          <w:lang w:val="en-US"/>
        </w:rPr>
        <w:t xml:space="preserve"> </w:t>
      </w:r>
    </w:p>
    <w:p w:rsidR="00B9359B" w:rsidRDefault="009A5268">
      <w:pPr>
        <w:rPr>
          <w:noProof/>
          <w:lang w:val="en-US"/>
        </w:rPr>
      </w:pPr>
      <w:r>
        <w:rPr>
          <w:noProof/>
          <w:lang w:val="en-US"/>
        </w:rPr>
        <w:t>In addition to the above static and semi-static cases, a dynamic analysis is necessary in order to take into consideration the percentage of time when the interference occurs. As indicated above, the threshold of –166 dBW must not be exceeded no more than 0.01% of time in a bandwidth of 100 MHz.</w:t>
      </w:r>
    </w:p>
    <w:p w:rsidR="00B9359B" w:rsidRDefault="009A5268">
      <w:pPr>
        <w:rPr>
          <w:noProof/>
          <w:lang w:val="en-US"/>
        </w:rPr>
      </w:pPr>
      <w:r>
        <w:rPr>
          <w:noProof/>
          <w:lang w:val="en-US"/>
        </w:rPr>
        <w:t>Simulations were conducted to determine the probability of interference using a time increment (sampling) of 5 s in order to get accurate results. The simulations stopped when the cumulative distribution function becomes stable. Furthermore, it has to be noted that all these simulations presented hereunder only deal with the nadir sounder push</w:t>
      </w:r>
      <w:r>
        <w:rPr>
          <w:noProof/>
          <w:lang w:val="en-US"/>
        </w:rPr>
        <w:noBreakHyphen/>
        <w:t>broom satellite, because the above static and semi-static cases have shown that it is the worst case.</w:t>
      </w:r>
    </w:p>
    <w:p w:rsidR="00B9359B" w:rsidRDefault="009A5268">
      <w:pPr>
        <w:pStyle w:val="Heading3"/>
        <w:ind w:left="0" w:firstLine="0"/>
        <w:rPr>
          <w:lang w:val="en-US"/>
        </w:rPr>
      </w:pPr>
      <w:bookmarkStart w:id="606" w:name="_Toc51046005"/>
      <w:r>
        <w:rPr>
          <w:lang w:val="en-US"/>
        </w:rPr>
        <w:t>4.4.1</w:t>
      </w:r>
      <w:r>
        <w:rPr>
          <w:lang w:val="en-US"/>
        </w:rPr>
        <w:tab/>
        <w:t>Modelling of the push-broom antenna</w:t>
      </w:r>
      <w:bookmarkEnd w:id="606"/>
    </w:p>
    <w:p w:rsidR="00B9359B" w:rsidRDefault="009A5268">
      <w:pPr>
        <w:rPr>
          <w:lang w:val="en-US"/>
        </w:rPr>
      </w:pPr>
      <w:r>
        <w:rPr>
          <w:lang w:val="en-US"/>
        </w:rPr>
        <w:t xml:space="preserve">As explained above, the push-broom antenna is able to see a whole line of pixels located around the nadir at </w:t>
      </w:r>
      <w:r>
        <w:rPr>
          <w:rFonts w:ascii="Symbol" w:hAnsi="Symbol"/>
        </w:rPr>
        <w:sym w:font="Symbol" w:char="F0B1"/>
      </w:r>
      <w:r>
        <w:rPr>
          <w:lang w:val="en-US"/>
        </w:rPr>
        <w:t>50</w:t>
      </w:r>
      <w:r>
        <w:rPr>
          <w:rFonts w:ascii="Symbol" w:hAnsi="Symbol"/>
          <w:lang w:val="en-US"/>
        </w:rPr>
        <w:t></w:t>
      </w:r>
      <w:r>
        <w:rPr>
          <w:lang w:val="en-US"/>
        </w:rPr>
        <w:t xml:space="preserve"> for the azimuth, and in </w:t>
      </w:r>
      <w:r>
        <w:rPr>
          <w:rFonts w:ascii="Symbol" w:hAnsi="Symbol"/>
        </w:rPr>
        <w:sym w:font="Symbol" w:char="F0B1"/>
      </w:r>
      <w:r>
        <w:rPr>
          <w:lang w:val="en-US"/>
        </w:rPr>
        <w:t>0.55</w:t>
      </w:r>
      <w:r>
        <w:rPr>
          <w:rFonts w:ascii="Symbol" w:hAnsi="Symbol"/>
          <w:lang w:val="en-US"/>
        </w:rPr>
        <w:t></w:t>
      </w:r>
      <w:r>
        <w:rPr>
          <w:lang w:val="en-US"/>
        </w:rPr>
        <w:t xml:space="preserve"> for the elevation. The maximum antenna gain is 45 dBi, and as usual for radiometer antennas, there is a steep decrease to the side lobe level of </w:t>
      </w:r>
      <w:r>
        <w:rPr>
          <w:rFonts w:ascii="Symbol" w:hAnsi="Symbol"/>
          <w:lang w:val="en-US"/>
        </w:rPr>
        <w:noBreakHyphen/>
      </w:r>
      <w:r>
        <w:rPr>
          <w:lang w:val="en-US"/>
        </w:rPr>
        <w:t>12 dBi. Figure 72 shows the antenna pattern according to the azimuth off-axis angle.</w:t>
      </w:r>
    </w:p>
    <w:p w:rsidR="00B9359B" w:rsidRDefault="009A5268">
      <w:pPr>
        <w:pStyle w:val="FigureNo"/>
        <w:rPr>
          <w:lang w:val="en-US"/>
        </w:rPr>
      </w:pPr>
      <w:r>
        <w:rPr>
          <w:lang w:val="en-US"/>
        </w:rPr>
        <w:br w:type="page"/>
      </w:r>
      <w:r>
        <w:rPr>
          <w:lang w:val="en-US"/>
        </w:rPr>
        <w:object w:dxaOrig="4791" w:dyaOrig="2962">
          <v:shape id="_x0000_i1108" type="#_x0000_t75" style="width:239.1pt;height:148.3pt" o:ole="">
            <v:imagedata r:id="rId148" o:title=""/>
          </v:shape>
          <o:OLEObject Type="Embed" ProgID="Designer.Drawing.7" ShapeID="_x0000_i1108" DrawAspect="Content" ObjectID="_1629894611" r:id="rId149"/>
        </w:object>
      </w:r>
    </w:p>
    <w:p w:rsidR="00B9359B" w:rsidRDefault="009A5268">
      <w:pPr>
        <w:pStyle w:val="Heading3"/>
        <w:rPr>
          <w:lang w:val="en-US"/>
        </w:rPr>
      </w:pPr>
      <w:bookmarkStart w:id="607" w:name="_Toc51046006"/>
      <w:r>
        <w:rPr>
          <w:lang w:val="en-US"/>
        </w:rPr>
        <w:t>4.4.2</w:t>
      </w:r>
      <w:r>
        <w:rPr>
          <w:lang w:val="en-US"/>
        </w:rPr>
        <w:tab/>
        <w:t>Dynamic calculations with GSO systems</w:t>
      </w:r>
      <w:bookmarkEnd w:id="607"/>
    </w:p>
    <w:p w:rsidR="00B9359B" w:rsidRDefault="009A5268">
      <w:pPr>
        <w:pStyle w:val="TableNo"/>
        <w:rPr>
          <w:lang w:val="en-US"/>
        </w:rPr>
      </w:pPr>
      <w:r>
        <w:rPr>
          <w:lang w:val="en-US"/>
        </w:rPr>
        <w:t>TABLE  105</w:t>
      </w:r>
    </w:p>
    <w:p w:rsidR="00B9359B" w:rsidRDefault="009A5268">
      <w:pPr>
        <w:pStyle w:val="Tabletitle"/>
        <w:rPr>
          <w:lang w:val="en-US"/>
        </w:rPr>
      </w:pPr>
      <w:r>
        <w:rPr>
          <w:lang w:val="en-US"/>
        </w:rPr>
        <w:t>Dynamic analysis between GSO system GSOV-B2 and EESS</w:t>
      </w:r>
      <w:r>
        <w:rPr>
          <w:lang w:val="en-US"/>
        </w:rPr>
        <w:br/>
        <w:t>with only one earth station operating at the location N0, E0</w:t>
      </w:r>
    </w:p>
    <w:tbl>
      <w:tblPr>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008"/>
        <w:gridCol w:w="756"/>
        <w:gridCol w:w="790"/>
        <w:gridCol w:w="791"/>
        <w:gridCol w:w="790"/>
        <w:gridCol w:w="791"/>
        <w:gridCol w:w="790"/>
        <w:gridCol w:w="923"/>
      </w:tblGrid>
      <w:tr w:rsidR="00B9359B">
        <w:tc>
          <w:tcPr>
            <w:tcW w:w="3952" w:type="dxa"/>
            <w:vAlign w:val="center"/>
          </w:tcPr>
          <w:p w:rsidR="00B9359B" w:rsidRDefault="009A5268">
            <w:pPr>
              <w:pStyle w:val="Tabletext"/>
              <w:framePr w:hSpace="181" w:wrap="notBeside" w:vAnchor="text" w:hAnchor="text" w:xAlign="center" w:y="1"/>
              <w:spacing w:before="100" w:after="100"/>
              <w:jc w:val="left"/>
              <w:rPr>
                <w:lang w:val="en-US"/>
              </w:rPr>
            </w:pPr>
            <w:r>
              <w:rPr>
                <w:lang w:val="en-US"/>
              </w:rPr>
              <w:t>Cumulative distribution (%)</w:t>
            </w:r>
          </w:p>
        </w:tc>
        <w:tc>
          <w:tcPr>
            <w:tcW w:w="745"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3</w:t>
            </w:r>
          </w:p>
        </w:tc>
        <w:tc>
          <w:tcPr>
            <w:tcW w:w="779"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1</w:t>
            </w:r>
          </w:p>
        </w:tc>
        <w:tc>
          <w:tcPr>
            <w:tcW w:w="780"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0.1</w:t>
            </w:r>
          </w:p>
        </w:tc>
        <w:tc>
          <w:tcPr>
            <w:tcW w:w="779"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0.06</w:t>
            </w:r>
          </w:p>
        </w:tc>
        <w:tc>
          <w:tcPr>
            <w:tcW w:w="780"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0.01</w:t>
            </w:r>
          </w:p>
        </w:tc>
        <w:tc>
          <w:tcPr>
            <w:tcW w:w="779"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0.001</w:t>
            </w:r>
          </w:p>
        </w:tc>
        <w:tc>
          <w:tcPr>
            <w:tcW w:w="910"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0.0002</w:t>
            </w:r>
          </w:p>
        </w:tc>
      </w:tr>
      <w:tr w:rsidR="00B9359B">
        <w:tc>
          <w:tcPr>
            <w:tcW w:w="3952" w:type="dxa"/>
            <w:vAlign w:val="center"/>
          </w:tcPr>
          <w:p w:rsidR="00B9359B" w:rsidRDefault="009A5268">
            <w:pPr>
              <w:pStyle w:val="Tabletext"/>
              <w:framePr w:hSpace="181" w:wrap="notBeside" w:vAnchor="text" w:hAnchor="text" w:xAlign="center" w:y="1"/>
              <w:spacing w:before="100" w:after="100"/>
              <w:jc w:val="left"/>
              <w:rPr>
                <w:lang w:val="en-US"/>
              </w:rPr>
            </w:pPr>
            <w:r>
              <w:rPr>
                <w:lang w:val="en-US"/>
              </w:rPr>
              <w:t>Push-broom: corresponding interference power received by EESS (dBW) (150 MHz bandwidth)</w:t>
            </w:r>
          </w:p>
        </w:tc>
        <w:tc>
          <w:tcPr>
            <w:tcW w:w="745"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–220</w:t>
            </w:r>
          </w:p>
        </w:tc>
        <w:tc>
          <w:tcPr>
            <w:tcW w:w="779"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–200</w:t>
            </w:r>
          </w:p>
        </w:tc>
        <w:tc>
          <w:tcPr>
            <w:tcW w:w="780"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–186</w:t>
            </w:r>
          </w:p>
        </w:tc>
        <w:tc>
          <w:tcPr>
            <w:tcW w:w="779"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–166</w:t>
            </w:r>
          </w:p>
        </w:tc>
        <w:tc>
          <w:tcPr>
            <w:tcW w:w="780"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–138</w:t>
            </w:r>
          </w:p>
        </w:tc>
        <w:tc>
          <w:tcPr>
            <w:tcW w:w="779"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–115</w:t>
            </w:r>
          </w:p>
        </w:tc>
        <w:tc>
          <w:tcPr>
            <w:tcW w:w="910"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–58</w:t>
            </w:r>
          </w:p>
        </w:tc>
      </w:tr>
    </w:tbl>
    <w:p w:rsidR="00B9359B" w:rsidRDefault="00B9359B">
      <w:pPr>
        <w:pStyle w:val="Tablefin"/>
      </w:pPr>
    </w:p>
    <w:p w:rsidR="00B9359B" w:rsidRDefault="009A5268">
      <w:pPr>
        <w:rPr>
          <w:lang w:val="en-US"/>
        </w:rPr>
      </w:pPr>
      <w:r>
        <w:rPr>
          <w:lang w:val="en-US"/>
        </w:rPr>
        <w:t xml:space="preserve">Table 105 shows that it is possible to find a 108 dB difference between the threshold of </w:t>
      </w:r>
      <w:r>
        <w:rPr>
          <w:rFonts w:ascii="Symbol" w:hAnsi="Symbol"/>
          <w:lang w:val="en-US"/>
        </w:rPr>
        <w:noBreakHyphen/>
      </w:r>
      <w:r>
        <w:rPr>
          <w:lang w:val="en-US"/>
        </w:rPr>
        <w:t>166 dBW and the maximum power received by the radiometer of –58 dBW. Such a level has a potential to cause damage to the sensor.</w:t>
      </w:r>
    </w:p>
    <w:p w:rsidR="00B9359B" w:rsidRDefault="009A5268">
      <w:pPr>
        <w:pStyle w:val="TableNo"/>
        <w:rPr>
          <w:lang w:val="en-US"/>
        </w:rPr>
      </w:pPr>
      <w:r>
        <w:rPr>
          <w:lang w:val="en-US"/>
        </w:rPr>
        <w:t>TABLE  106</w:t>
      </w:r>
    </w:p>
    <w:p w:rsidR="00B9359B" w:rsidRDefault="009A5268">
      <w:pPr>
        <w:pStyle w:val="Tabletitle"/>
        <w:rPr>
          <w:lang w:val="en-US"/>
        </w:rPr>
      </w:pPr>
      <w:r>
        <w:rPr>
          <w:lang w:val="en-US"/>
        </w:rPr>
        <w:t>Dynamic analysis between GSO system GSOV-B2 and EESS</w:t>
      </w:r>
      <w:r>
        <w:rPr>
          <w:lang w:val="en-US"/>
        </w:rPr>
        <w:br/>
        <w:t>with only one earth station operating at the location N50, E0</w:t>
      </w:r>
    </w:p>
    <w:tbl>
      <w:tblPr>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065"/>
        <w:gridCol w:w="929"/>
        <w:gridCol w:w="929"/>
        <w:gridCol w:w="929"/>
        <w:gridCol w:w="929"/>
        <w:gridCol w:w="929"/>
        <w:gridCol w:w="929"/>
      </w:tblGrid>
      <w:tr w:rsidR="00B9359B">
        <w:tc>
          <w:tcPr>
            <w:tcW w:w="3969" w:type="dxa"/>
          </w:tcPr>
          <w:p w:rsidR="00B9359B" w:rsidRDefault="009A5268">
            <w:pPr>
              <w:pStyle w:val="Tabletext"/>
              <w:framePr w:hSpace="181" w:wrap="notBeside" w:vAnchor="text" w:hAnchor="text" w:xAlign="center" w:y="1"/>
              <w:spacing w:before="100" w:after="100"/>
              <w:jc w:val="left"/>
              <w:rPr>
                <w:lang w:val="en-US"/>
              </w:rPr>
            </w:pPr>
            <w:r>
              <w:rPr>
                <w:lang w:val="en-US"/>
              </w:rPr>
              <w:t>Cumulative distribution (%)</w:t>
            </w:r>
          </w:p>
        </w:tc>
        <w:tc>
          <w:tcPr>
            <w:tcW w:w="907"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5.3</w:t>
            </w:r>
          </w:p>
        </w:tc>
        <w:tc>
          <w:tcPr>
            <w:tcW w:w="907"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1</w:t>
            </w:r>
          </w:p>
        </w:tc>
        <w:tc>
          <w:tcPr>
            <w:tcW w:w="907"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0.1</w:t>
            </w:r>
          </w:p>
        </w:tc>
        <w:tc>
          <w:tcPr>
            <w:tcW w:w="907"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0.08</w:t>
            </w:r>
          </w:p>
        </w:tc>
        <w:tc>
          <w:tcPr>
            <w:tcW w:w="907"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0.01</w:t>
            </w:r>
          </w:p>
        </w:tc>
        <w:tc>
          <w:tcPr>
            <w:tcW w:w="907"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0.008</w:t>
            </w:r>
          </w:p>
        </w:tc>
      </w:tr>
      <w:tr w:rsidR="00B9359B">
        <w:tc>
          <w:tcPr>
            <w:tcW w:w="3969" w:type="dxa"/>
            <w:vAlign w:val="center"/>
          </w:tcPr>
          <w:p w:rsidR="00B9359B" w:rsidRDefault="009A5268">
            <w:pPr>
              <w:pStyle w:val="Tabletext"/>
              <w:framePr w:hSpace="181" w:wrap="notBeside" w:vAnchor="text" w:hAnchor="text" w:xAlign="center" w:y="1"/>
              <w:spacing w:before="100" w:after="100"/>
              <w:jc w:val="left"/>
              <w:rPr>
                <w:lang w:val="en-US"/>
              </w:rPr>
            </w:pPr>
            <w:r>
              <w:rPr>
                <w:lang w:val="en-US"/>
              </w:rPr>
              <w:t>Push-broom: corresponding interference power received by EESS (dBW) (150 MHz bandwidth)</w:t>
            </w:r>
          </w:p>
        </w:tc>
        <w:tc>
          <w:tcPr>
            <w:tcW w:w="907"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–220</w:t>
            </w:r>
          </w:p>
        </w:tc>
        <w:tc>
          <w:tcPr>
            <w:tcW w:w="907"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–194</w:t>
            </w:r>
          </w:p>
        </w:tc>
        <w:tc>
          <w:tcPr>
            <w:tcW w:w="907"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–170</w:t>
            </w:r>
          </w:p>
        </w:tc>
        <w:tc>
          <w:tcPr>
            <w:tcW w:w="907"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–166</w:t>
            </w:r>
          </w:p>
        </w:tc>
        <w:tc>
          <w:tcPr>
            <w:tcW w:w="907"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–138</w:t>
            </w:r>
          </w:p>
        </w:tc>
        <w:tc>
          <w:tcPr>
            <w:tcW w:w="907"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–134</w:t>
            </w:r>
          </w:p>
        </w:tc>
      </w:tr>
    </w:tbl>
    <w:p w:rsidR="00B9359B" w:rsidRDefault="00B9359B">
      <w:pPr>
        <w:pStyle w:val="Tablefin"/>
      </w:pPr>
    </w:p>
    <w:p w:rsidR="00B9359B" w:rsidRDefault="009A5268">
      <w:pPr>
        <w:rPr>
          <w:lang w:val="en-US"/>
        </w:rPr>
      </w:pPr>
      <w:r>
        <w:rPr>
          <w:lang w:val="en-US"/>
        </w:rPr>
        <w:t>According to Tables 105 and 106, there is a risk that the EESS satellite experiences interference when only one earth station is in operation (or the percentage of data interfered is above the acceptable one). Taking into account the relative bandwidth, the required spectral attenuation is 26.3 dB for GSOV</w:t>
      </w:r>
      <w:r>
        <w:rPr>
          <w:lang w:val="en-US"/>
        </w:rPr>
        <w:noBreakHyphen/>
        <w:t>B2. It is expected that significantly more earth stations would be operational in the satellite systems for which the results of dynamic simulations are reported in Tables 105 and 106. Increasing the number of earth stations included in the dynamic simulations is likely to increase the percentage of time that the EESS criterion is exceeded. In this event, the conclusions drawn in § 4.5 with respect to the amount of required guardbands would have to be re-evaluated.</w:t>
      </w:r>
    </w:p>
    <w:p w:rsidR="00B9359B" w:rsidRDefault="009A5268">
      <w:pPr>
        <w:pStyle w:val="Heading3"/>
        <w:rPr>
          <w:lang w:val="en-US"/>
        </w:rPr>
      </w:pPr>
      <w:bookmarkStart w:id="608" w:name="_Toc51046007"/>
      <w:r>
        <w:rPr>
          <w:lang w:val="en-US"/>
        </w:rPr>
        <w:br w:type="page"/>
        <w:t>4.4.3</w:t>
      </w:r>
      <w:r>
        <w:rPr>
          <w:lang w:val="en-US"/>
        </w:rPr>
        <w:tab/>
        <w:t>Dynamic calculations with non-GSO systems</w:t>
      </w:r>
      <w:bookmarkEnd w:id="608"/>
    </w:p>
    <w:p w:rsidR="00B9359B" w:rsidRDefault="009A5268">
      <w:pPr>
        <w:pStyle w:val="TableNo"/>
        <w:rPr>
          <w:lang w:val="en-US"/>
        </w:rPr>
      </w:pPr>
      <w:r>
        <w:rPr>
          <w:lang w:val="en-US"/>
        </w:rPr>
        <w:t>TABLE  107</w:t>
      </w:r>
    </w:p>
    <w:p w:rsidR="00B9359B" w:rsidRDefault="009A5268">
      <w:pPr>
        <w:pStyle w:val="Tabletitle"/>
        <w:rPr>
          <w:lang w:val="en-US"/>
        </w:rPr>
      </w:pPr>
      <w:r>
        <w:rPr>
          <w:lang w:val="en-US"/>
        </w:rPr>
        <w:t>Dynamic analysis between non-GSO system MEOSAT-X and EESS</w:t>
      </w:r>
      <w:r>
        <w:rPr>
          <w:lang w:val="en-US"/>
        </w:rPr>
        <w:br/>
        <w:t>with six earth stations evenly operating along the equator</w:t>
      </w:r>
    </w:p>
    <w:tbl>
      <w:tblPr>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065"/>
        <w:gridCol w:w="929"/>
        <w:gridCol w:w="929"/>
        <w:gridCol w:w="929"/>
        <w:gridCol w:w="929"/>
        <w:gridCol w:w="929"/>
        <w:gridCol w:w="929"/>
      </w:tblGrid>
      <w:tr w:rsidR="00B9359B">
        <w:tc>
          <w:tcPr>
            <w:tcW w:w="3969" w:type="dxa"/>
            <w:vAlign w:val="center"/>
          </w:tcPr>
          <w:p w:rsidR="00B9359B" w:rsidRDefault="009A5268">
            <w:pPr>
              <w:pStyle w:val="Tabletext"/>
              <w:framePr w:hSpace="181" w:wrap="notBeside" w:vAnchor="text" w:hAnchor="text" w:xAlign="center" w:y="1"/>
              <w:spacing w:before="100" w:after="100"/>
              <w:jc w:val="left"/>
              <w:rPr>
                <w:lang w:val="en-US"/>
              </w:rPr>
            </w:pPr>
            <w:r>
              <w:rPr>
                <w:lang w:val="en-US"/>
              </w:rPr>
              <w:t>Cumulative distribution (%)</w:t>
            </w:r>
          </w:p>
        </w:tc>
        <w:tc>
          <w:tcPr>
            <w:tcW w:w="907"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23</w:t>
            </w:r>
          </w:p>
        </w:tc>
        <w:tc>
          <w:tcPr>
            <w:tcW w:w="907"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1</w:t>
            </w:r>
          </w:p>
        </w:tc>
        <w:tc>
          <w:tcPr>
            <w:tcW w:w="907"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0.3</w:t>
            </w:r>
          </w:p>
        </w:tc>
        <w:tc>
          <w:tcPr>
            <w:tcW w:w="907"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0.1</w:t>
            </w:r>
          </w:p>
        </w:tc>
        <w:tc>
          <w:tcPr>
            <w:tcW w:w="907"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0.01</w:t>
            </w:r>
          </w:p>
        </w:tc>
        <w:tc>
          <w:tcPr>
            <w:tcW w:w="907"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0.009</w:t>
            </w:r>
          </w:p>
        </w:tc>
      </w:tr>
      <w:tr w:rsidR="00B9359B">
        <w:tc>
          <w:tcPr>
            <w:tcW w:w="3969" w:type="dxa"/>
            <w:vAlign w:val="center"/>
          </w:tcPr>
          <w:p w:rsidR="00B9359B" w:rsidRDefault="009A5268">
            <w:pPr>
              <w:pStyle w:val="Tabletext"/>
              <w:framePr w:hSpace="181" w:wrap="notBeside" w:vAnchor="text" w:hAnchor="text" w:xAlign="center" w:y="1"/>
              <w:spacing w:before="100" w:after="100"/>
              <w:jc w:val="left"/>
              <w:rPr>
                <w:lang w:val="en-US"/>
              </w:rPr>
            </w:pPr>
            <w:r>
              <w:rPr>
                <w:lang w:val="en-US"/>
              </w:rPr>
              <w:t>Push-broom: corresponding interference power received by EESS (dBW) (500 MHz bandwidth)</w:t>
            </w:r>
          </w:p>
        </w:tc>
        <w:tc>
          <w:tcPr>
            <w:tcW w:w="907"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–250</w:t>
            </w:r>
          </w:p>
        </w:tc>
        <w:tc>
          <w:tcPr>
            <w:tcW w:w="907"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–175</w:t>
            </w:r>
          </w:p>
        </w:tc>
        <w:tc>
          <w:tcPr>
            <w:tcW w:w="907"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–166</w:t>
            </w:r>
          </w:p>
        </w:tc>
        <w:tc>
          <w:tcPr>
            <w:tcW w:w="907"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–134</w:t>
            </w:r>
          </w:p>
        </w:tc>
        <w:tc>
          <w:tcPr>
            <w:tcW w:w="907"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–120</w:t>
            </w:r>
          </w:p>
        </w:tc>
        <w:tc>
          <w:tcPr>
            <w:tcW w:w="907"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–119</w:t>
            </w:r>
          </w:p>
        </w:tc>
      </w:tr>
    </w:tbl>
    <w:p w:rsidR="00B9359B" w:rsidRDefault="00B9359B">
      <w:pPr>
        <w:pStyle w:val="Tablefin"/>
        <w:spacing w:before="0"/>
      </w:pPr>
    </w:p>
    <w:p w:rsidR="00B9359B" w:rsidRDefault="009A5268">
      <w:pPr>
        <w:pStyle w:val="TableNo"/>
        <w:rPr>
          <w:lang w:val="en-US"/>
        </w:rPr>
      </w:pPr>
      <w:r>
        <w:rPr>
          <w:lang w:val="en-US"/>
        </w:rPr>
        <w:t>TABLE  108</w:t>
      </w:r>
    </w:p>
    <w:p w:rsidR="00B9359B" w:rsidRDefault="009A5268">
      <w:pPr>
        <w:pStyle w:val="Tabletitle"/>
        <w:rPr>
          <w:lang w:val="en-US"/>
        </w:rPr>
      </w:pPr>
      <w:r>
        <w:rPr>
          <w:lang w:val="en-US"/>
        </w:rPr>
        <w:t>Dynamic analysis between non-GSO system MEOSAT-X and EESS with six earth stations operating at (N35,E0), (N35,E60), (N35,E120), (N0,W60), (N35,W110), (N35,W80)</w:t>
      </w:r>
    </w:p>
    <w:tbl>
      <w:tblPr>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065"/>
        <w:gridCol w:w="929"/>
        <w:gridCol w:w="929"/>
        <w:gridCol w:w="929"/>
        <w:gridCol w:w="929"/>
        <w:gridCol w:w="929"/>
        <w:gridCol w:w="929"/>
      </w:tblGrid>
      <w:tr w:rsidR="00B9359B">
        <w:tc>
          <w:tcPr>
            <w:tcW w:w="3969" w:type="dxa"/>
            <w:vAlign w:val="center"/>
          </w:tcPr>
          <w:p w:rsidR="00B9359B" w:rsidRDefault="009A5268">
            <w:pPr>
              <w:pStyle w:val="Tabletext"/>
              <w:framePr w:hSpace="181" w:wrap="notBeside" w:vAnchor="text" w:hAnchor="text" w:xAlign="center" w:y="1"/>
              <w:spacing w:before="60" w:after="60"/>
              <w:jc w:val="left"/>
              <w:rPr>
                <w:lang w:val="en-US"/>
              </w:rPr>
            </w:pPr>
            <w:r>
              <w:rPr>
                <w:lang w:val="en-US"/>
              </w:rPr>
              <w:t>Cumulative distribution (%)</w:t>
            </w:r>
          </w:p>
        </w:tc>
        <w:tc>
          <w:tcPr>
            <w:tcW w:w="907"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25</w:t>
            </w:r>
          </w:p>
        </w:tc>
        <w:tc>
          <w:tcPr>
            <w:tcW w:w="907"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1</w:t>
            </w:r>
          </w:p>
        </w:tc>
        <w:tc>
          <w:tcPr>
            <w:tcW w:w="907"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0.4</w:t>
            </w:r>
          </w:p>
        </w:tc>
        <w:tc>
          <w:tcPr>
            <w:tcW w:w="907"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0.1</w:t>
            </w:r>
          </w:p>
        </w:tc>
        <w:tc>
          <w:tcPr>
            <w:tcW w:w="907"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0.01</w:t>
            </w:r>
          </w:p>
        </w:tc>
        <w:tc>
          <w:tcPr>
            <w:tcW w:w="907"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0.004</w:t>
            </w:r>
          </w:p>
        </w:tc>
      </w:tr>
      <w:tr w:rsidR="00B9359B">
        <w:tc>
          <w:tcPr>
            <w:tcW w:w="3969" w:type="dxa"/>
            <w:vAlign w:val="center"/>
          </w:tcPr>
          <w:p w:rsidR="00B9359B" w:rsidRDefault="009A5268">
            <w:pPr>
              <w:pStyle w:val="Tabletext"/>
              <w:framePr w:hSpace="181" w:wrap="notBeside" w:vAnchor="text" w:hAnchor="text" w:xAlign="center" w:y="1"/>
              <w:spacing w:before="100" w:after="100"/>
              <w:jc w:val="left"/>
              <w:rPr>
                <w:lang w:val="en-US"/>
              </w:rPr>
            </w:pPr>
            <w:r>
              <w:rPr>
                <w:lang w:val="en-US"/>
              </w:rPr>
              <w:t>Push-broom: corresponding interference power received by EESS (dBW) (500 MHz bandwidth)</w:t>
            </w:r>
          </w:p>
        </w:tc>
        <w:tc>
          <w:tcPr>
            <w:tcW w:w="907"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–250</w:t>
            </w:r>
          </w:p>
        </w:tc>
        <w:tc>
          <w:tcPr>
            <w:tcW w:w="907"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–175</w:t>
            </w:r>
          </w:p>
        </w:tc>
        <w:tc>
          <w:tcPr>
            <w:tcW w:w="907"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–166</w:t>
            </w:r>
          </w:p>
        </w:tc>
        <w:tc>
          <w:tcPr>
            <w:tcW w:w="907"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–131</w:t>
            </w:r>
          </w:p>
        </w:tc>
        <w:tc>
          <w:tcPr>
            <w:tcW w:w="907"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–123</w:t>
            </w:r>
          </w:p>
        </w:tc>
        <w:tc>
          <w:tcPr>
            <w:tcW w:w="907" w:type="dxa"/>
            <w:vAlign w:val="center"/>
          </w:tcPr>
          <w:p w:rsidR="00B9359B" w:rsidRDefault="009A5268">
            <w:pPr>
              <w:pStyle w:val="Tabletext"/>
              <w:framePr w:hSpace="181" w:wrap="notBeside" w:vAnchor="text" w:hAnchor="text" w:xAlign="center" w:y="1"/>
              <w:spacing w:before="60" w:after="60"/>
              <w:jc w:val="center"/>
              <w:rPr>
                <w:lang w:val="en-US"/>
              </w:rPr>
            </w:pPr>
            <w:r>
              <w:rPr>
                <w:lang w:val="en-US"/>
              </w:rPr>
              <w:t>–122</w:t>
            </w:r>
          </w:p>
        </w:tc>
      </w:tr>
    </w:tbl>
    <w:p w:rsidR="00B9359B" w:rsidRDefault="00B9359B">
      <w:pPr>
        <w:pStyle w:val="Tablefin"/>
        <w:spacing w:before="240"/>
      </w:pPr>
    </w:p>
    <w:p w:rsidR="00B9359B" w:rsidRDefault="009A5268">
      <w:pPr>
        <w:rPr>
          <w:lang w:val="en-US"/>
        </w:rPr>
      </w:pPr>
      <w:r>
        <w:rPr>
          <w:lang w:val="en-US"/>
        </w:rPr>
        <w:t>According to the Tables 107 and 108, there is a risk that the EESS satellite experiences interference when six earth stations are in operation (or the percentage of data interfered is above the acceptable one). In that case, the required spectral attenuation is 39 dB for MEOSAT-X in the worst case. It is expected that significantly more earth stations would be operational in the satellite systems for which the results of dynamic simulations are reported in Tables 107 and 108. Increasing the number of earth stations included in the dynamic simulations is likely to increase the percentage of time that the EESS criterion is exceeded. In this event, the conclusions drawn in § 4.5 with respect to the amount of required guardbands would have to be re</w:t>
      </w:r>
      <w:r>
        <w:rPr>
          <w:lang w:val="en-US"/>
        </w:rPr>
        <w:noBreakHyphen/>
        <w:t>evaluated.</w:t>
      </w:r>
    </w:p>
    <w:p w:rsidR="00B9359B" w:rsidRDefault="009A5268">
      <w:pPr>
        <w:pStyle w:val="Heading2"/>
        <w:rPr>
          <w:lang w:val="en-US"/>
        </w:rPr>
      </w:pPr>
      <w:bookmarkStart w:id="609" w:name="_Toc51046008"/>
      <w:r>
        <w:rPr>
          <w:lang w:val="en-US"/>
        </w:rPr>
        <w:t>4.5</w:t>
      </w:r>
      <w:r>
        <w:rPr>
          <w:lang w:val="en-US"/>
        </w:rPr>
        <w:tab/>
        <w:t>Application of OoB spectral representation to the FSS earth station transmission</w:t>
      </w:r>
      <w:bookmarkEnd w:id="609"/>
    </w:p>
    <w:p w:rsidR="00B9359B" w:rsidRDefault="009A5268">
      <w:pPr>
        <w:rPr>
          <w:lang w:val="en-US"/>
        </w:rPr>
      </w:pPr>
      <w:r>
        <w:rPr>
          <w:lang w:val="en-US"/>
        </w:rPr>
        <w:t>Considering now that the FSS earth stations are transmitting in their own frequency band, the rejection of their transmitter power within the adjacent EESS (passive) allocated band is ranging between 26.4 dB and 49.9 dB for the configurations involving the GSO systems V</w:t>
      </w:r>
      <w:r>
        <w:rPr>
          <w:lang w:val="en-US"/>
        </w:rPr>
        <w:noBreakHyphen/>
        <w:t>B2 and SV. Peak values in case of scenarios involving the other GSO systems listed in the Table 102 are also computed.</w:t>
      </w:r>
    </w:p>
    <w:p w:rsidR="00B9359B" w:rsidRDefault="009A5268">
      <w:pPr>
        <w:rPr>
          <w:lang w:val="en-US"/>
        </w:rPr>
      </w:pPr>
      <w:r>
        <w:rPr>
          <w:lang w:val="en-US"/>
        </w:rPr>
        <w:t>Figure 73 represents the power falling within the EESS allocation, depending on guardband. To cover the varying characteristics of the FSS emissions, the sliding integration is performed for three values of the passive band, expressed in terms of percentage of the FSS necessary bandwidth (1</w:t>
      </w:r>
      <w:r>
        <w:rPr>
          <w:rFonts w:ascii="Tms Rmn" w:hAnsi="Tms Rmn"/>
          <w:sz w:val="12"/>
          <w:lang w:val="en-US"/>
        </w:rPr>
        <w:t> </w:t>
      </w:r>
      <w:r>
        <w:rPr>
          <w:lang w:val="en-US"/>
        </w:rPr>
        <w:t>000%, 100% and 50%). There is only a minor difference between the three curves.</w:t>
      </w:r>
    </w:p>
    <w:p w:rsidR="00B9359B" w:rsidRDefault="009A5268">
      <w:pPr>
        <w:rPr>
          <w:lang w:val="en-US"/>
        </w:rPr>
      </w:pPr>
      <w:r>
        <w:rPr>
          <w:lang w:val="en-US"/>
        </w:rPr>
        <w:t>Note that on Fig. 73, the frequency off-set is taken from the centre of the necessary bandwidth. This will be used to determine the minimum separation between the centre of the necessary bandwidth and the upper limit of the FSS allocated band, which is required to protect the adjacent EESS allocated band from unwanted FSS emissions.</w:t>
      </w:r>
    </w:p>
    <w:p w:rsidR="00B9359B" w:rsidRDefault="009A5268">
      <w:pPr>
        <w:pStyle w:val="FigureNo"/>
      </w:pPr>
      <w:r>
        <w:rPr>
          <w:lang w:val="en-US"/>
        </w:rPr>
        <w:br w:type="page"/>
      </w:r>
      <w:r>
        <w:object w:dxaOrig="8550" w:dyaOrig="7479">
          <v:shape id="_x0000_i1109" type="#_x0000_t75" style="width:428.25pt;height:374.5pt" o:ole="">
            <v:imagedata r:id="rId150" o:title=""/>
          </v:shape>
          <o:OLEObject Type="Embed" ProgID="Designer.Drawing.7" ShapeID="_x0000_i1109" DrawAspect="Content" ObjectID="_1629894612" r:id="rId151"/>
        </w:object>
      </w:r>
    </w:p>
    <w:p w:rsidR="00B9359B" w:rsidRDefault="009A5268">
      <w:pPr>
        <w:rPr>
          <w:lang w:val="en-US"/>
        </w:rPr>
      </w:pPr>
      <w:r>
        <w:rPr>
          <w:lang w:val="en-US"/>
        </w:rPr>
        <w:t xml:space="preserve">Using this spectral representation, the following conditions can be derived, which are summarized in Tables 109 and 110 for non-GSO FSS systems, in Tables 111 and 112 for GSO FSS systems. The last line in these Tables indicate the additional guardband which would be necessary </w:t>
      </w:r>
      <w:r>
        <w:rPr>
          <w:bCs/>
          <w:lang w:val="en-US"/>
        </w:rPr>
        <w:t xml:space="preserve">between the upper limit of </w:t>
      </w:r>
      <w:r>
        <w:rPr>
          <w:bCs/>
          <w:i/>
          <w:iCs/>
          <w:lang w:val="en-US"/>
        </w:rPr>
        <w:t>B</w:t>
      </w:r>
      <w:r>
        <w:rPr>
          <w:i/>
          <w:iCs/>
          <w:vertAlign w:val="subscript"/>
          <w:lang w:val="en-US"/>
        </w:rPr>
        <w:t>N</w:t>
      </w:r>
      <w:r>
        <w:rPr>
          <w:bCs/>
          <w:lang w:val="en-US"/>
        </w:rPr>
        <w:t xml:space="preserve"> and the lower limit of the EESS allocated band, t</w:t>
      </w:r>
      <w:r>
        <w:rPr>
          <w:lang w:val="en-US"/>
        </w:rPr>
        <w:t>o protect the passive sensors from unwanted emissions in the adjacent band. This additional guardband is expressed by Off</w:t>
      </w:r>
      <w:r>
        <w:rPr>
          <w:lang w:val="en-US"/>
        </w:rPr>
        <w:noBreakHyphen/>
        <w:t>set from centre </w:t>
      </w:r>
      <w:r>
        <w:rPr>
          <w:bCs/>
          <w:i/>
          <w:iCs/>
          <w:lang w:val="en-US"/>
        </w:rPr>
        <w:t>B</w:t>
      </w:r>
      <w:r>
        <w:rPr>
          <w:i/>
          <w:iCs/>
          <w:vertAlign w:val="subscript"/>
          <w:lang w:val="en-US"/>
        </w:rPr>
        <w:t>N</w:t>
      </w:r>
      <w:r>
        <w:rPr>
          <w:lang w:val="en-US"/>
        </w:rPr>
        <w:t> </w:t>
      </w:r>
      <w:r>
        <w:rPr>
          <w:rFonts w:ascii="Symbol" w:hAnsi="Symbol"/>
          <w:lang w:val="en-US"/>
        </w:rPr>
        <w:noBreakHyphen/>
      </w:r>
      <w:r>
        <w:rPr>
          <w:lang w:val="en-US"/>
        </w:rPr>
        <w:t> </w:t>
      </w:r>
      <w:r>
        <w:rPr>
          <w:bCs/>
          <w:i/>
          <w:iCs/>
          <w:lang w:val="en-US"/>
        </w:rPr>
        <w:t>B</w:t>
      </w:r>
      <w:r>
        <w:rPr>
          <w:i/>
          <w:iCs/>
          <w:vertAlign w:val="subscript"/>
          <w:lang w:val="en-US"/>
        </w:rPr>
        <w:t>N</w:t>
      </w:r>
      <w:r>
        <w:rPr>
          <w:rFonts w:ascii="Tms Rmn" w:hAnsi="Tms Rmn"/>
          <w:sz w:val="12"/>
          <w:vertAlign w:val="subscript"/>
          <w:lang w:val="en-US"/>
        </w:rPr>
        <w:t> </w:t>
      </w:r>
      <w:r>
        <w:rPr>
          <w:lang w:val="en-US"/>
        </w:rPr>
        <w:t>/2.</w:t>
      </w:r>
    </w:p>
    <w:p w:rsidR="00B9359B" w:rsidRDefault="009A5268">
      <w:pPr>
        <w:pStyle w:val="TableNo"/>
        <w:rPr>
          <w:lang w:val="en-US"/>
        </w:rPr>
      </w:pPr>
      <w:r>
        <w:rPr>
          <w:lang w:val="en-US"/>
        </w:rPr>
        <w:t>TABLE  109</w:t>
      </w:r>
    </w:p>
    <w:p w:rsidR="00B9359B" w:rsidRDefault="009A5268">
      <w:pPr>
        <w:pStyle w:val="Tabletitle"/>
        <w:rPr>
          <w:lang w:val="en-US"/>
        </w:rPr>
      </w:pPr>
      <w:r>
        <w:rPr>
          <w:lang w:val="en-US"/>
        </w:rPr>
        <w:t>Summary of necessary guardbands to protect passive sensors from non-GSO</w:t>
      </w:r>
      <w:r>
        <w:rPr>
          <w:sz w:val="16"/>
          <w:lang w:val="en-US"/>
        </w:rPr>
        <w:t xml:space="preserve">  </w:t>
      </w:r>
      <w:r>
        <w:rPr>
          <w:lang w:val="en-US"/>
        </w:rPr>
        <w:t>FSS</w:t>
      </w:r>
      <w:r>
        <w:rPr>
          <w:lang w:val="en-US"/>
        </w:rPr>
        <w:br/>
        <w:t>earth stations (sensor far-lobe to earth station main-lobe)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72"/>
        <w:gridCol w:w="4167"/>
      </w:tblGrid>
      <w:tr w:rsidR="00B9359B">
        <w:tc>
          <w:tcPr>
            <w:tcW w:w="5472" w:type="dxa"/>
          </w:tcPr>
          <w:p w:rsidR="00B9359B" w:rsidRDefault="009A5268">
            <w:pPr>
              <w:pStyle w:val="Tablehead"/>
              <w:framePr w:hSpace="181" w:wrap="notBeside" w:vAnchor="text" w:hAnchor="text" w:xAlign="center" w:y="1"/>
              <w:jc w:val="left"/>
              <w:rPr>
                <w:lang w:val="en-US"/>
              </w:rPr>
            </w:pPr>
            <w:r>
              <w:rPr>
                <w:lang w:val="en-US"/>
              </w:rPr>
              <w:t>FSS system</w:t>
            </w:r>
          </w:p>
        </w:tc>
        <w:tc>
          <w:tcPr>
            <w:tcW w:w="4167" w:type="dxa"/>
          </w:tcPr>
          <w:p w:rsidR="00B9359B" w:rsidRDefault="009A5268">
            <w:pPr>
              <w:pStyle w:val="Tablehead"/>
              <w:framePr w:hSpace="181" w:wrap="notBeside" w:vAnchor="text" w:hAnchor="text" w:xAlign="center" w:y="1"/>
              <w:rPr>
                <w:lang w:val="en-US"/>
              </w:rPr>
            </w:pPr>
            <w:r>
              <w:rPr>
                <w:lang w:val="en-US"/>
              </w:rPr>
              <w:t>MEOSAT-X</w:t>
            </w:r>
          </w:p>
        </w:tc>
      </w:tr>
      <w:tr w:rsidR="00B9359B">
        <w:tc>
          <w:tcPr>
            <w:tcW w:w="5472" w:type="dxa"/>
          </w:tcPr>
          <w:p w:rsidR="00B9359B" w:rsidRDefault="009A5268">
            <w:pPr>
              <w:pStyle w:val="Tabletext"/>
              <w:framePr w:hSpace="181" w:wrap="notBeside" w:vAnchor="text" w:hAnchor="text" w:xAlign="center" w:y="1"/>
              <w:spacing w:before="50" w:after="50"/>
              <w:rPr>
                <w:bCs/>
                <w:lang w:val="en-US"/>
              </w:rPr>
            </w:pPr>
            <w:r>
              <w:rPr>
                <w:bCs/>
                <w:lang w:val="en-US"/>
              </w:rPr>
              <w:t>Required power rejection (dB)</w:t>
            </w:r>
          </w:p>
        </w:tc>
        <w:tc>
          <w:tcPr>
            <w:tcW w:w="4167" w:type="dxa"/>
          </w:tcPr>
          <w:p w:rsidR="00B9359B" w:rsidRDefault="009A5268">
            <w:pPr>
              <w:pStyle w:val="Tabletext"/>
              <w:framePr w:hSpace="181" w:wrap="notBeside" w:vAnchor="text" w:hAnchor="text" w:xAlign="center" w:y="1"/>
              <w:spacing w:before="50" w:after="50"/>
              <w:jc w:val="center"/>
              <w:rPr>
                <w:lang w:val="en-US"/>
              </w:rPr>
            </w:pPr>
            <w:r>
              <w:rPr>
                <w:lang w:val="en-US"/>
              </w:rPr>
              <w:t>49.2</w:t>
            </w:r>
          </w:p>
        </w:tc>
      </w:tr>
      <w:tr w:rsidR="00B9359B">
        <w:tc>
          <w:tcPr>
            <w:tcW w:w="5472" w:type="dxa"/>
          </w:tcPr>
          <w:p w:rsidR="00B9359B" w:rsidRDefault="009A5268">
            <w:pPr>
              <w:pStyle w:val="Tabletext"/>
              <w:framePr w:hSpace="181" w:wrap="notBeside" w:vAnchor="text" w:hAnchor="text" w:xAlign="center" w:y="1"/>
              <w:spacing w:before="50" w:after="50"/>
              <w:rPr>
                <w:bCs/>
                <w:lang w:val="en-US"/>
              </w:rPr>
            </w:pPr>
            <w:r>
              <w:rPr>
                <w:bCs/>
                <w:lang w:val="en-US"/>
              </w:rPr>
              <w:t>Necessary bandwidth (MHz)</w:t>
            </w:r>
          </w:p>
        </w:tc>
        <w:tc>
          <w:tcPr>
            <w:tcW w:w="4167" w:type="dxa"/>
          </w:tcPr>
          <w:p w:rsidR="00B9359B" w:rsidRDefault="009A5268">
            <w:pPr>
              <w:pStyle w:val="Tabletext"/>
              <w:framePr w:hSpace="181" w:wrap="notBeside" w:vAnchor="text" w:hAnchor="text" w:xAlign="center" w:y="1"/>
              <w:spacing w:before="50" w:after="50"/>
              <w:jc w:val="center"/>
              <w:rPr>
                <w:lang w:val="en-US"/>
              </w:rPr>
            </w:pPr>
            <w:r>
              <w:rPr>
                <w:lang w:val="en-US"/>
              </w:rPr>
              <w:t>500</w:t>
            </w:r>
          </w:p>
        </w:tc>
      </w:tr>
      <w:tr w:rsidR="00B9359B">
        <w:tc>
          <w:tcPr>
            <w:tcW w:w="5472" w:type="dxa"/>
          </w:tcPr>
          <w:p w:rsidR="00B9359B" w:rsidRDefault="009A5268">
            <w:pPr>
              <w:pStyle w:val="Tabletext"/>
              <w:framePr w:hSpace="181" w:wrap="notBeside" w:vAnchor="text" w:hAnchor="text" w:xAlign="center" w:y="1"/>
              <w:spacing w:before="50" w:after="50"/>
              <w:rPr>
                <w:bCs/>
                <w:lang w:val="en-US"/>
              </w:rPr>
            </w:pPr>
            <w:r>
              <w:rPr>
                <w:bCs/>
                <w:lang w:val="en-US"/>
              </w:rPr>
              <w:t xml:space="preserve">Passive allocation (% </w:t>
            </w:r>
            <w:r>
              <w:rPr>
                <w:bCs/>
                <w:i/>
                <w:iCs/>
                <w:lang w:val="en-US"/>
              </w:rPr>
              <w:t>B</w:t>
            </w:r>
            <w:r>
              <w:rPr>
                <w:i/>
                <w:iCs/>
                <w:vertAlign w:val="subscript"/>
                <w:lang w:val="en-US"/>
              </w:rPr>
              <w:t>N</w:t>
            </w:r>
            <w:r>
              <w:rPr>
                <w:bCs/>
                <w:lang w:val="en-US"/>
              </w:rPr>
              <w:t>)</w:t>
            </w:r>
          </w:p>
        </w:tc>
        <w:tc>
          <w:tcPr>
            <w:tcW w:w="4167" w:type="dxa"/>
          </w:tcPr>
          <w:p w:rsidR="00B9359B" w:rsidRDefault="009A5268">
            <w:pPr>
              <w:pStyle w:val="Tabletext"/>
              <w:framePr w:hSpace="181" w:wrap="notBeside" w:vAnchor="text" w:hAnchor="text" w:xAlign="center" w:y="1"/>
              <w:spacing w:before="50" w:after="50"/>
              <w:jc w:val="center"/>
              <w:rPr>
                <w:lang w:val="en-US"/>
              </w:rPr>
            </w:pPr>
            <w:r>
              <w:rPr>
                <w:lang w:val="en-US"/>
              </w:rPr>
              <w:t>40</w:t>
            </w:r>
          </w:p>
        </w:tc>
      </w:tr>
      <w:tr w:rsidR="00B9359B">
        <w:tc>
          <w:tcPr>
            <w:tcW w:w="5472" w:type="dxa"/>
          </w:tcPr>
          <w:p w:rsidR="00B9359B" w:rsidRDefault="009A5268">
            <w:pPr>
              <w:pStyle w:val="Tabletext"/>
              <w:framePr w:hSpace="181" w:wrap="notBeside" w:vAnchor="text" w:hAnchor="text" w:xAlign="center" w:y="1"/>
              <w:spacing w:before="50" w:after="50"/>
              <w:rPr>
                <w:bCs/>
                <w:lang w:val="en-US"/>
              </w:rPr>
            </w:pPr>
            <w:r>
              <w:rPr>
                <w:bCs/>
                <w:lang w:val="en-US"/>
              </w:rPr>
              <w:t xml:space="preserve">Offset from centre of </w:t>
            </w:r>
            <w:r>
              <w:rPr>
                <w:bCs/>
                <w:i/>
                <w:iCs/>
                <w:lang w:val="en-US"/>
              </w:rPr>
              <w:t>B</w:t>
            </w:r>
            <w:r>
              <w:rPr>
                <w:i/>
                <w:iCs/>
                <w:vertAlign w:val="subscript"/>
                <w:lang w:val="en-US"/>
              </w:rPr>
              <w:t>N</w:t>
            </w:r>
            <w:r>
              <w:rPr>
                <w:bCs/>
                <w:lang w:val="en-US"/>
              </w:rPr>
              <w:t xml:space="preserve"> (% </w:t>
            </w:r>
            <w:r>
              <w:rPr>
                <w:bCs/>
                <w:i/>
                <w:iCs/>
                <w:lang w:val="en-US"/>
              </w:rPr>
              <w:t>B</w:t>
            </w:r>
            <w:r>
              <w:rPr>
                <w:i/>
                <w:iCs/>
                <w:vertAlign w:val="subscript"/>
                <w:lang w:val="en-US"/>
              </w:rPr>
              <w:t>N</w:t>
            </w:r>
            <w:r>
              <w:rPr>
                <w:bCs/>
                <w:lang w:val="en-US"/>
              </w:rPr>
              <w:t>)</w:t>
            </w:r>
          </w:p>
        </w:tc>
        <w:tc>
          <w:tcPr>
            <w:tcW w:w="4167" w:type="dxa"/>
          </w:tcPr>
          <w:p w:rsidR="00B9359B" w:rsidRDefault="009A5268">
            <w:pPr>
              <w:pStyle w:val="Tabletext"/>
              <w:framePr w:hSpace="181" w:wrap="notBeside" w:vAnchor="text" w:hAnchor="text" w:xAlign="center" w:y="1"/>
              <w:spacing w:before="50" w:after="50"/>
              <w:jc w:val="center"/>
              <w:rPr>
                <w:lang w:val="en-US"/>
              </w:rPr>
            </w:pPr>
            <w:r>
              <w:rPr>
                <w:lang w:val="en-US"/>
              </w:rPr>
              <w:t>180</w:t>
            </w:r>
          </w:p>
        </w:tc>
      </w:tr>
      <w:tr w:rsidR="00B9359B">
        <w:tc>
          <w:tcPr>
            <w:tcW w:w="5472" w:type="dxa"/>
          </w:tcPr>
          <w:p w:rsidR="00B9359B" w:rsidRDefault="009A5268">
            <w:pPr>
              <w:pStyle w:val="Tabletext"/>
              <w:framePr w:hSpace="181" w:wrap="notBeside" w:vAnchor="text" w:hAnchor="text" w:xAlign="center" w:y="1"/>
              <w:spacing w:before="50" w:after="50"/>
              <w:rPr>
                <w:bCs/>
                <w:lang w:val="en-US"/>
              </w:rPr>
            </w:pPr>
            <w:r>
              <w:rPr>
                <w:bCs/>
                <w:lang w:val="en-US"/>
              </w:rPr>
              <w:t xml:space="preserve">Offset from centre of </w:t>
            </w:r>
            <w:r>
              <w:rPr>
                <w:bCs/>
                <w:i/>
                <w:iCs/>
                <w:lang w:val="en-US"/>
              </w:rPr>
              <w:t>B</w:t>
            </w:r>
            <w:r>
              <w:rPr>
                <w:i/>
                <w:iCs/>
                <w:vertAlign w:val="subscript"/>
                <w:lang w:val="en-US"/>
              </w:rPr>
              <w:t>N</w:t>
            </w:r>
            <w:r>
              <w:rPr>
                <w:bCs/>
                <w:lang w:val="en-US"/>
              </w:rPr>
              <w:t xml:space="preserve"> (MHz)</w:t>
            </w:r>
          </w:p>
        </w:tc>
        <w:tc>
          <w:tcPr>
            <w:tcW w:w="4167" w:type="dxa"/>
          </w:tcPr>
          <w:p w:rsidR="00B9359B" w:rsidRDefault="009A5268">
            <w:pPr>
              <w:pStyle w:val="Tabletext"/>
              <w:framePr w:hSpace="181" w:wrap="notBeside" w:vAnchor="text" w:hAnchor="text" w:xAlign="center" w:y="1"/>
              <w:spacing w:before="50" w:after="50"/>
              <w:jc w:val="center"/>
              <w:rPr>
                <w:b/>
                <w:bCs/>
                <w:lang w:val="en-US"/>
              </w:rPr>
            </w:pPr>
            <w:r>
              <w:rPr>
                <w:b/>
                <w:bCs/>
                <w:lang w:val="en-US"/>
              </w:rPr>
              <w:t>900</w:t>
            </w:r>
          </w:p>
        </w:tc>
      </w:tr>
      <w:tr w:rsidR="00B9359B">
        <w:tc>
          <w:tcPr>
            <w:tcW w:w="5472" w:type="dxa"/>
          </w:tcPr>
          <w:p w:rsidR="00B9359B" w:rsidRDefault="009A5268">
            <w:pPr>
              <w:pStyle w:val="Tabletext"/>
              <w:framePr w:hSpace="181" w:wrap="notBeside" w:vAnchor="text" w:hAnchor="text" w:xAlign="center" w:y="1"/>
              <w:spacing w:before="50" w:after="50"/>
              <w:rPr>
                <w:bCs/>
                <w:lang w:val="en-US"/>
              </w:rPr>
            </w:pPr>
            <w:r>
              <w:rPr>
                <w:bCs/>
                <w:lang w:val="en-US"/>
              </w:rPr>
              <w:t>Required additional guardband (MHz)</w:t>
            </w:r>
          </w:p>
        </w:tc>
        <w:tc>
          <w:tcPr>
            <w:tcW w:w="4167" w:type="dxa"/>
          </w:tcPr>
          <w:p w:rsidR="00B9359B" w:rsidRDefault="009A5268">
            <w:pPr>
              <w:pStyle w:val="Tabletext"/>
              <w:framePr w:hSpace="181" w:wrap="notBeside" w:vAnchor="text" w:hAnchor="text" w:xAlign="center" w:y="1"/>
              <w:spacing w:before="50" w:after="50"/>
              <w:jc w:val="center"/>
              <w:rPr>
                <w:b/>
                <w:bCs/>
                <w:lang w:val="en-US"/>
              </w:rPr>
            </w:pPr>
            <w:r>
              <w:rPr>
                <w:b/>
                <w:bCs/>
                <w:lang w:val="en-US"/>
              </w:rPr>
              <w:t>650</w:t>
            </w:r>
          </w:p>
        </w:tc>
      </w:tr>
    </w:tbl>
    <w:p w:rsidR="00B9359B" w:rsidRDefault="00B9359B">
      <w:pPr>
        <w:pStyle w:val="Tablefin"/>
      </w:pPr>
    </w:p>
    <w:p w:rsidR="00B9359B" w:rsidRDefault="009A5268">
      <w:pPr>
        <w:pStyle w:val="TableNo"/>
        <w:rPr>
          <w:lang w:val="en-US"/>
        </w:rPr>
      </w:pPr>
      <w:r>
        <w:rPr>
          <w:lang w:val="en-US"/>
        </w:rPr>
        <w:br w:type="page"/>
        <w:t>TABLE  110</w:t>
      </w:r>
    </w:p>
    <w:p w:rsidR="00B9359B" w:rsidRDefault="009A5268">
      <w:pPr>
        <w:pStyle w:val="Tabletitle"/>
        <w:rPr>
          <w:lang w:val="en-US"/>
        </w:rPr>
      </w:pPr>
      <w:r>
        <w:rPr>
          <w:lang w:val="en-US"/>
        </w:rPr>
        <w:t>Summary of necessary guardbands to protect passive sensors from non-GSO</w:t>
      </w:r>
      <w:r>
        <w:rPr>
          <w:sz w:val="16"/>
          <w:lang w:val="en-US"/>
        </w:rPr>
        <w:t xml:space="preserve">  </w:t>
      </w:r>
      <w:r>
        <w:rPr>
          <w:lang w:val="en-US"/>
        </w:rPr>
        <w:t>FSS</w:t>
      </w:r>
      <w:r>
        <w:rPr>
          <w:lang w:val="en-US"/>
        </w:rPr>
        <w:br/>
        <w:t>earth stations (sensor close to zenith of the earth station)</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3"/>
        <w:gridCol w:w="4176"/>
      </w:tblGrid>
      <w:tr w:rsidR="00B9359B">
        <w:tc>
          <w:tcPr>
            <w:tcW w:w="5463" w:type="dxa"/>
          </w:tcPr>
          <w:p w:rsidR="00B9359B" w:rsidRDefault="009A5268">
            <w:pPr>
              <w:pStyle w:val="Tablehead"/>
              <w:framePr w:hSpace="181" w:wrap="notBeside" w:vAnchor="text" w:hAnchor="text" w:xAlign="center" w:y="1"/>
              <w:spacing w:before="60" w:after="60"/>
              <w:jc w:val="left"/>
              <w:rPr>
                <w:lang w:val="en-US"/>
              </w:rPr>
            </w:pPr>
            <w:r>
              <w:rPr>
                <w:lang w:val="en-US"/>
              </w:rPr>
              <w:t>FSS system</w:t>
            </w:r>
          </w:p>
        </w:tc>
        <w:tc>
          <w:tcPr>
            <w:tcW w:w="4176" w:type="dxa"/>
          </w:tcPr>
          <w:p w:rsidR="00B9359B" w:rsidRDefault="009A5268">
            <w:pPr>
              <w:pStyle w:val="Tablehead"/>
              <w:framePr w:hSpace="181" w:wrap="notBeside" w:vAnchor="text" w:hAnchor="text" w:xAlign="center" w:y="1"/>
              <w:spacing w:before="60" w:after="60"/>
              <w:rPr>
                <w:lang w:val="en-US"/>
              </w:rPr>
            </w:pPr>
            <w:r>
              <w:rPr>
                <w:lang w:val="en-US"/>
              </w:rPr>
              <w:t>MEOSAT-X</w:t>
            </w:r>
          </w:p>
        </w:tc>
      </w:tr>
      <w:tr w:rsidR="00B9359B">
        <w:tc>
          <w:tcPr>
            <w:tcW w:w="5463" w:type="dxa"/>
          </w:tcPr>
          <w:p w:rsidR="00B9359B" w:rsidRDefault="009A5268">
            <w:pPr>
              <w:pStyle w:val="Tabletext"/>
              <w:framePr w:hSpace="181" w:wrap="notBeside" w:vAnchor="text" w:hAnchor="text" w:xAlign="center" w:y="1"/>
              <w:spacing w:before="30" w:after="30"/>
              <w:rPr>
                <w:lang w:val="en-US"/>
              </w:rPr>
            </w:pPr>
            <w:r>
              <w:rPr>
                <w:lang w:val="en-US"/>
              </w:rPr>
              <w:t>Required power rejection (dB)</w:t>
            </w:r>
          </w:p>
        </w:tc>
        <w:tc>
          <w:tcPr>
            <w:tcW w:w="4176" w:type="dxa"/>
          </w:tcPr>
          <w:p w:rsidR="00B9359B" w:rsidRDefault="009A5268">
            <w:pPr>
              <w:pStyle w:val="Tabletext"/>
              <w:framePr w:hSpace="181" w:wrap="notBeside" w:vAnchor="text" w:hAnchor="text" w:xAlign="center" w:y="1"/>
              <w:spacing w:before="30" w:after="30"/>
              <w:jc w:val="center"/>
              <w:rPr>
                <w:lang w:val="en-US"/>
              </w:rPr>
            </w:pPr>
            <w:r>
              <w:rPr>
                <w:lang w:val="en-US"/>
              </w:rPr>
              <w:t>105.6</w:t>
            </w:r>
          </w:p>
        </w:tc>
      </w:tr>
      <w:tr w:rsidR="00B9359B">
        <w:tc>
          <w:tcPr>
            <w:tcW w:w="5463" w:type="dxa"/>
          </w:tcPr>
          <w:p w:rsidR="00B9359B" w:rsidRDefault="009A5268">
            <w:pPr>
              <w:pStyle w:val="Tabletext"/>
              <w:framePr w:hSpace="181" w:wrap="notBeside" w:vAnchor="text" w:hAnchor="text" w:xAlign="center" w:y="1"/>
              <w:spacing w:before="30" w:after="30"/>
              <w:rPr>
                <w:lang w:val="en-US"/>
              </w:rPr>
            </w:pPr>
            <w:r>
              <w:rPr>
                <w:lang w:val="en-US"/>
              </w:rPr>
              <w:t>Necessary bandwidth (MHz)</w:t>
            </w:r>
          </w:p>
        </w:tc>
        <w:tc>
          <w:tcPr>
            <w:tcW w:w="4176" w:type="dxa"/>
          </w:tcPr>
          <w:p w:rsidR="00B9359B" w:rsidRDefault="009A5268">
            <w:pPr>
              <w:pStyle w:val="Tabletext"/>
              <w:framePr w:hSpace="181" w:wrap="notBeside" w:vAnchor="text" w:hAnchor="text" w:xAlign="center" w:y="1"/>
              <w:spacing w:before="30" w:after="30"/>
              <w:jc w:val="center"/>
              <w:rPr>
                <w:lang w:val="en-US"/>
              </w:rPr>
            </w:pPr>
            <w:r>
              <w:rPr>
                <w:lang w:val="en-US"/>
              </w:rPr>
              <w:t>500</w:t>
            </w:r>
          </w:p>
        </w:tc>
      </w:tr>
      <w:tr w:rsidR="00B9359B">
        <w:tc>
          <w:tcPr>
            <w:tcW w:w="5463" w:type="dxa"/>
          </w:tcPr>
          <w:p w:rsidR="00B9359B" w:rsidRDefault="009A5268">
            <w:pPr>
              <w:pStyle w:val="Tabletext"/>
              <w:framePr w:hSpace="181" w:wrap="notBeside" w:vAnchor="text" w:hAnchor="text" w:xAlign="center" w:y="1"/>
              <w:spacing w:before="30" w:after="30"/>
              <w:rPr>
                <w:lang w:val="en-US"/>
              </w:rPr>
            </w:pPr>
            <w:r>
              <w:rPr>
                <w:lang w:val="en-US"/>
              </w:rPr>
              <w:t xml:space="preserve">Passive allocation (% </w:t>
            </w:r>
            <w:r>
              <w:rPr>
                <w:i/>
                <w:iCs/>
                <w:lang w:val="en-US"/>
              </w:rPr>
              <w:t>B</w:t>
            </w:r>
            <w:r>
              <w:rPr>
                <w:i/>
                <w:iCs/>
                <w:vertAlign w:val="subscript"/>
                <w:lang w:val="en-US"/>
              </w:rPr>
              <w:t>N</w:t>
            </w:r>
            <w:r>
              <w:rPr>
                <w:lang w:val="en-US"/>
              </w:rPr>
              <w:t>)</w:t>
            </w:r>
          </w:p>
        </w:tc>
        <w:tc>
          <w:tcPr>
            <w:tcW w:w="4176" w:type="dxa"/>
          </w:tcPr>
          <w:p w:rsidR="00B9359B" w:rsidRDefault="009A5268">
            <w:pPr>
              <w:pStyle w:val="Tabletext"/>
              <w:framePr w:hSpace="181" w:wrap="notBeside" w:vAnchor="text" w:hAnchor="text" w:xAlign="center" w:y="1"/>
              <w:spacing w:before="30" w:after="30"/>
              <w:jc w:val="center"/>
              <w:rPr>
                <w:lang w:val="en-US"/>
              </w:rPr>
            </w:pPr>
            <w:r>
              <w:rPr>
                <w:lang w:val="en-US"/>
              </w:rPr>
              <w:t>40</w:t>
            </w:r>
          </w:p>
        </w:tc>
      </w:tr>
      <w:tr w:rsidR="00B9359B">
        <w:tc>
          <w:tcPr>
            <w:tcW w:w="5463" w:type="dxa"/>
          </w:tcPr>
          <w:p w:rsidR="00B9359B" w:rsidRDefault="009A5268">
            <w:pPr>
              <w:pStyle w:val="Tabletext"/>
              <w:framePr w:hSpace="181" w:wrap="notBeside" w:vAnchor="text" w:hAnchor="text" w:xAlign="center" w:y="1"/>
              <w:spacing w:before="30" w:after="30"/>
              <w:rPr>
                <w:lang w:val="en-US"/>
              </w:rPr>
            </w:pPr>
            <w:r>
              <w:rPr>
                <w:lang w:val="en-US"/>
              </w:rPr>
              <w:t xml:space="preserve">Offset from centre of </w:t>
            </w:r>
            <w:r>
              <w:rPr>
                <w:i/>
                <w:iCs/>
                <w:lang w:val="en-US"/>
              </w:rPr>
              <w:t>B</w:t>
            </w:r>
            <w:r>
              <w:rPr>
                <w:i/>
                <w:iCs/>
                <w:vertAlign w:val="subscript"/>
                <w:lang w:val="en-US"/>
              </w:rPr>
              <w:t>N</w:t>
            </w:r>
            <w:r>
              <w:rPr>
                <w:lang w:val="en-US"/>
              </w:rPr>
              <w:t xml:space="preserve"> (% </w:t>
            </w:r>
            <w:r>
              <w:rPr>
                <w:i/>
                <w:iCs/>
                <w:lang w:val="en-US"/>
              </w:rPr>
              <w:t>B</w:t>
            </w:r>
            <w:r>
              <w:rPr>
                <w:i/>
                <w:iCs/>
                <w:vertAlign w:val="subscript"/>
                <w:lang w:val="en-US"/>
              </w:rPr>
              <w:t>N</w:t>
            </w:r>
            <w:r>
              <w:rPr>
                <w:lang w:val="en-US"/>
              </w:rPr>
              <w:t>)</w:t>
            </w:r>
          </w:p>
        </w:tc>
        <w:tc>
          <w:tcPr>
            <w:tcW w:w="4176" w:type="dxa"/>
          </w:tcPr>
          <w:p w:rsidR="00B9359B" w:rsidRDefault="009A5268">
            <w:pPr>
              <w:pStyle w:val="Tabletext"/>
              <w:framePr w:hSpace="181" w:wrap="notBeside" w:vAnchor="text" w:hAnchor="text" w:xAlign="center" w:y="1"/>
              <w:spacing w:before="30" w:after="30"/>
              <w:jc w:val="center"/>
              <w:rPr>
                <w:lang w:val="en-US"/>
              </w:rPr>
            </w:pPr>
            <w:r>
              <w:rPr>
                <w:rFonts w:ascii="Symbol" w:hAnsi="Symbol"/>
                <w:lang w:val="en-US"/>
              </w:rPr>
              <w:t></w:t>
            </w:r>
            <w:r>
              <w:rPr>
                <w:lang w:val="en-US"/>
              </w:rPr>
              <w:t xml:space="preserve"> 500</w:t>
            </w:r>
          </w:p>
        </w:tc>
      </w:tr>
      <w:tr w:rsidR="00B9359B">
        <w:tc>
          <w:tcPr>
            <w:tcW w:w="5463" w:type="dxa"/>
          </w:tcPr>
          <w:p w:rsidR="00B9359B" w:rsidRDefault="009A5268">
            <w:pPr>
              <w:pStyle w:val="Tabletext"/>
              <w:framePr w:hSpace="181" w:wrap="notBeside" w:vAnchor="text" w:hAnchor="text" w:xAlign="center" w:y="1"/>
              <w:spacing w:before="30" w:after="30"/>
              <w:rPr>
                <w:lang w:val="en-US"/>
              </w:rPr>
            </w:pPr>
            <w:r>
              <w:rPr>
                <w:lang w:val="en-US"/>
              </w:rPr>
              <w:t xml:space="preserve">Offset from centre of </w:t>
            </w:r>
            <w:r>
              <w:rPr>
                <w:i/>
                <w:iCs/>
                <w:lang w:val="en-US"/>
              </w:rPr>
              <w:t>B</w:t>
            </w:r>
            <w:r>
              <w:rPr>
                <w:i/>
                <w:iCs/>
                <w:vertAlign w:val="subscript"/>
                <w:lang w:val="en-US"/>
              </w:rPr>
              <w:t>N</w:t>
            </w:r>
            <w:r>
              <w:rPr>
                <w:lang w:val="en-US"/>
              </w:rPr>
              <w:t xml:space="preserve"> (MHz)</w:t>
            </w:r>
          </w:p>
        </w:tc>
        <w:tc>
          <w:tcPr>
            <w:tcW w:w="4176" w:type="dxa"/>
          </w:tcPr>
          <w:p w:rsidR="00B9359B" w:rsidRDefault="009A5268">
            <w:pPr>
              <w:pStyle w:val="Tabletext"/>
              <w:framePr w:hSpace="181" w:wrap="notBeside" w:vAnchor="text" w:hAnchor="text" w:xAlign="center" w:y="1"/>
              <w:spacing w:before="30" w:after="30"/>
              <w:jc w:val="center"/>
              <w:rPr>
                <w:b/>
                <w:bCs/>
                <w:lang w:val="en-US"/>
              </w:rPr>
            </w:pPr>
            <w:r>
              <w:rPr>
                <w:rFonts w:ascii="Symbol" w:hAnsi="Symbol"/>
                <w:b/>
                <w:bCs/>
                <w:lang w:val="en-US"/>
              </w:rPr>
              <w:t></w:t>
            </w:r>
            <w:r>
              <w:rPr>
                <w:b/>
                <w:bCs/>
                <w:lang w:val="en-US"/>
              </w:rPr>
              <w:t xml:space="preserve"> 2</w:t>
            </w:r>
            <w:r>
              <w:rPr>
                <w:rFonts w:ascii="Tms Rmn" w:hAnsi="Tms Rmn"/>
                <w:b/>
                <w:bCs/>
                <w:sz w:val="12"/>
                <w:lang w:val="en-US"/>
              </w:rPr>
              <w:t> </w:t>
            </w:r>
            <w:r>
              <w:rPr>
                <w:b/>
                <w:bCs/>
                <w:lang w:val="en-US"/>
              </w:rPr>
              <w:t>500</w:t>
            </w:r>
          </w:p>
        </w:tc>
      </w:tr>
      <w:tr w:rsidR="00B9359B">
        <w:tc>
          <w:tcPr>
            <w:tcW w:w="5463" w:type="dxa"/>
          </w:tcPr>
          <w:p w:rsidR="00B9359B" w:rsidRDefault="009A5268">
            <w:pPr>
              <w:pStyle w:val="Tabletext"/>
              <w:framePr w:hSpace="181" w:wrap="notBeside" w:vAnchor="text" w:hAnchor="text" w:xAlign="center" w:y="1"/>
              <w:spacing w:before="30" w:after="30"/>
              <w:rPr>
                <w:lang w:val="en-US"/>
              </w:rPr>
            </w:pPr>
            <w:r>
              <w:rPr>
                <w:lang w:val="en-US"/>
              </w:rPr>
              <w:t>Required additional guardband (MHz)</w:t>
            </w:r>
          </w:p>
        </w:tc>
        <w:tc>
          <w:tcPr>
            <w:tcW w:w="4176" w:type="dxa"/>
          </w:tcPr>
          <w:p w:rsidR="00B9359B" w:rsidRDefault="009A5268">
            <w:pPr>
              <w:pStyle w:val="Tabletext"/>
              <w:framePr w:hSpace="181" w:wrap="notBeside" w:vAnchor="text" w:hAnchor="text" w:xAlign="center" w:y="1"/>
              <w:spacing w:before="30" w:after="30"/>
              <w:jc w:val="center"/>
              <w:rPr>
                <w:b/>
                <w:bCs/>
                <w:lang w:val="en-US"/>
              </w:rPr>
            </w:pPr>
            <w:r>
              <w:rPr>
                <w:b/>
                <w:bCs/>
                <w:lang w:val="en-US"/>
              </w:rPr>
              <w:t>Out of range</w:t>
            </w:r>
          </w:p>
        </w:tc>
      </w:tr>
    </w:tbl>
    <w:p w:rsidR="00B9359B" w:rsidRDefault="00B9359B">
      <w:pPr>
        <w:pStyle w:val="Tablefin"/>
        <w:spacing w:before="0"/>
        <w:rPr>
          <w:sz w:val="6"/>
        </w:rPr>
      </w:pPr>
    </w:p>
    <w:p w:rsidR="00B9359B" w:rsidRDefault="009A5268">
      <w:pPr>
        <w:rPr>
          <w:lang w:val="en-US"/>
        </w:rPr>
      </w:pPr>
      <w:r>
        <w:rPr>
          <w:lang w:val="en-US"/>
        </w:rPr>
        <w:t>The dynamic analysis provides a required attenuation of 39 dB, which corresponds to a required guardband of 375 MHz.</w:t>
      </w:r>
    </w:p>
    <w:p w:rsidR="00B9359B" w:rsidRDefault="009A5268">
      <w:pPr>
        <w:pStyle w:val="TableNo"/>
        <w:rPr>
          <w:lang w:val="en-US"/>
        </w:rPr>
      </w:pPr>
      <w:r>
        <w:rPr>
          <w:lang w:val="en-US"/>
        </w:rPr>
        <w:t>TABLE  111</w:t>
      </w:r>
    </w:p>
    <w:p w:rsidR="00B9359B" w:rsidRDefault="009A5268">
      <w:pPr>
        <w:pStyle w:val="Tabletitle"/>
        <w:rPr>
          <w:lang w:val="en-US"/>
        </w:rPr>
      </w:pPr>
      <w:r>
        <w:rPr>
          <w:lang w:val="en-US"/>
        </w:rPr>
        <w:t>Summary of necessary guardbands to protect passive sensors from GSO</w:t>
      </w:r>
      <w:r>
        <w:rPr>
          <w:sz w:val="16"/>
          <w:lang w:val="en-US"/>
        </w:rPr>
        <w:t xml:space="preserve">  </w:t>
      </w:r>
      <w:r>
        <w:rPr>
          <w:lang w:val="en-US"/>
        </w:rPr>
        <w:t>FSS earth stations</w:t>
      </w:r>
      <w:r>
        <w:rPr>
          <w:lang w:val="en-US"/>
        </w:rPr>
        <w:br/>
        <w:t>(sensor in the earth station main-lobe)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31"/>
        <w:gridCol w:w="1250"/>
        <w:gridCol w:w="1250"/>
        <w:gridCol w:w="1072"/>
        <w:gridCol w:w="893"/>
        <w:gridCol w:w="1101"/>
        <w:gridCol w:w="1042"/>
      </w:tblGrid>
      <w:tr w:rsidR="00B9359B">
        <w:trPr>
          <w:cantSplit/>
        </w:trPr>
        <w:tc>
          <w:tcPr>
            <w:tcW w:w="3031" w:type="dxa"/>
            <w:vMerge w:val="restart"/>
            <w:vAlign w:val="center"/>
          </w:tcPr>
          <w:p w:rsidR="00B9359B" w:rsidRDefault="009A5268">
            <w:pPr>
              <w:pStyle w:val="Tablehead"/>
              <w:framePr w:hSpace="181" w:wrap="notBeside" w:vAnchor="text" w:hAnchor="text" w:xAlign="center" w:y="1"/>
              <w:spacing w:before="60"/>
              <w:jc w:val="left"/>
              <w:rPr>
                <w:lang w:val="en-US"/>
              </w:rPr>
            </w:pPr>
            <w:r>
              <w:rPr>
                <w:lang w:val="en-US"/>
              </w:rPr>
              <w:t>FSS system</w:t>
            </w:r>
          </w:p>
        </w:tc>
        <w:tc>
          <w:tcPr>
            <w:tcW w:w="1250" w:type="dxa"/>
            <w:vMerge w:val="restart"/>
            <w:vAlign w:val="center"/>
          </w:tcPr>
          <w:p w:rsidR="00B9359B" w:rsidRDefault="009A5268">
            <w:pPr>
              <w:pStyle w:val="Tablehead"/>
              <w:framePr w:hSpace="181" w:wrap="notBeside" w:vAnchor="text" w:hAnchor="text" w:xAlign="center" w:y="1"/>
              <w:spacing w:before="60"/>
              <w:rPr>
                <w:lang w:val="en-US"/>
              </w:rPr>
            </w:pPr>
            <w:r>
              <w:rPr>
                <w:lang w:val="en-US"/>
              </w:rPr>
              <w:t>GSOV-B1</w:t>
            </w:r>
          </w:p>
        </w:tc>
        <w:tc>
          <w:tcPr>
            <w:tcW w:w="1250" w:type="dxa"/>
            <w:vMerge w:val="restart"/>
            <w:vAlign w:val="center"/>
          </w:tcPr>
          <w:p w:rsidR="00B9359B" w:rsidRDefault="009A5268">
            <w:pPr>
              <w:pStyle w:val="Tablehead"/>
              <w:framePr w:hSpace="181" w:wrap="notBeside" w:vAnchor="text" w:hAnchor="text" w:xAlign="center" w:y="1"/>
              <w:spacing w:before="60"/>
              <w:rPr>
                <w:lang w:val="en-US"/>
              </w:rPr>
            </w:pPr>
            <w:r>
              <w:rPr>
                <w:lang w:val="en-US"/>
              </w:rPr>
              <w:t>GSOV-B2</w:t>
            </w:r>
          </w:p>
        </w:tc>
        <w:tc>
          <w:tcPr>
            <w:tcW w:w="1072" w:type="dxa"/>
            <w:vMerge w:val="restart"/>
            <w:vAlign w:val="center"/>
          </w:tcPr>
          <w:p w:rsidR="00B9359B" w:rsidRDefault="009A5268">
            <w:pPr>
              <w:pStyle w:val="Tablehead"/>
              <w:framePr w:hSpace="181" w:wrap="notBeside" w:vAnchor="text" w:hAnchor="text" w:xAlign="center" w:y="1"/>
              <w:spacing w:before="60"/>
              <w:ind w:left="-57" w:right="-57"/>
              <w:rPr>
                <w:lang w:val="en-US"/>
              </w:rPr>
            </w:pPr>
            <w:r>
              <w:rPr>
                <w:lang w:val="en-US"/>
              </w:rPr>
              <w:t>GSO-VX</w:t>
            </w:r>
          </w:p>
        </w:tc>
        <w:tc>
          <w:tcPr>
            <w:tcW w:w="893" w:type="dxa"/>
            <w:vMerge w:val="restart"/>
            <w:vAlign w:val="center"/>
          </w:tcPr>
          <w:p w:rsidR="00B9359B" w:rsidRDefault="009A5268">
            <w:pPr>
              <w:pStyle w:val="Tablehead"/>
              <w:framePr w:hSpace="181" w:wrap="notBeside" w:vAnchor="text" w:hAnchor="text" w:xAlign="center" w:y="1"/>
              <w:spacing w:before="60"/>
              <w:ind w:left="-85" w:right="-85"/>
              <w:rPr>
                <w:lang w:val="en-US"/>
              </w:rPr>
            </w:pPr>
            <w:r>
              <w:rPr>
                <w:lang w:val="en-US"/>
              </w:rPr>
              <w:t>GSO-SV</w:t>
            </w:r>
          </w:p>
        </w:tc>
        <w:tc>
          <w:tcPr>
            <w:tcW w:w="2143" w:type="dxa"/>
            <w:gridSpan w:val="2"/>
          </w:tcPr>
          <w:p w:rsidR="00B9359B" w:rsidRDefault="009A5268">
            <w:pPr>
              <w:pStyle w:val="Tablehead"/>
              <w:framePr w:hSpace="181" w:wrap="notBeside" w:vAnchor="text" w:hAnchor="text" w:xAlign="center" w:y="1"/>
              <w:spacing w:before="60"/>
              <w:rPr>
                <w:lang w:val="en-US"/>
              </w:rPr>
            </w:pPr>
            <w:r>
              <w:rPr>
                <w:lang w:val="en-US"/>
              </w:rPr>
              <w:t>GEOSAT</w:t>
            </w:r>
          </w:p>
        </w:tc>
      </w:tr>
      <w:tr w:rsidR="00B9359B">
        <w:trPr>
          <w:cantSplit/>
        </w:trPr>
        <w:tc>
          <w:tcPr>
            <w:tcW w:w="3031" w:type="dxa"/>
            <w:vMerge/>
          </w:tcPr>
          <w:p w:rsidR="00B9359B" w:rsidRDefault="00B9359B">
            <w:pPr>
              <w:pStyle w:val="Tablehead"/>
              <w:framePr w:hSpace="181" w:wrap="notBeside" w:vAnchor="text" w:hAnchor="text" w:xAlign="center" w:y="1"/>
              <w:spacing w:before="60"/>
              <w:jc w:val="left"/>
              <w:rPr>
                <w:lang w:val="en-US"/>
              </w:rPr>
            </w:pPr>
          </w:p>
        </w:tc>
        <w:tc>
          <w:tcPr>
            <w:tcW w:w="1250" w:type="dxa"/>
            <w:vMerge/>
          </w:tcPr>
          <w:p w:rsidR="00B9359B" w:rsidRDefault="00B9359B">
            <w:pPr>
              <w:pStyle w:val="Tablehead"/>
              <w:framePr w:hSpace="181" w:wrap="notBeside" w:vAnchor="text" w:hAnchor="text" w:xAlign="center" w:y="1"/>
              <w:spacing w:before="60"/>
              <w:rPr>
                <w:lang w:val="en-US"/>
              </w:rPr>
            </w:pPr>
          </w:p>
        </w:tc>
        <w:tc>
          <w:tcPr>
            <w:tcW w:w="1250" w:type="dxa"/>
            <w:vMerge/>
          </w:tcPr>
          <w:p w:rsidR="00B9359B" w:rsidRDefault="00B9359B">
            <w:pPr>
              <w:pStyle w:val="Tablehead"/>
              <w:framePr w:hSpace="181" w:wrap="notBeside" w:vAnchor="text" w:hAnchor="text" w:xAlign="center" w:y="1"/>
              <w:spacing w:before="60"/>
              <w:rPr>
                <w:lang w:val="en-US"/>
              </w:rPr>
            </w:pPr>
          </w:p>
        </w:tc>
        <w:tc>
          <w:tcPr>
            <w:tcW w:w="1072" w:type="dxa"/>
            <w:vMerge/>
          </w:tcPr>
          <w:p w:rsidR="00B9359B" w:rsidRDefault="00B9359B">
            <w:pPr>
              <w:pStyle w:val="Tablehead"/>
              <w:framePr w:hSpace="181" w:wrap="notBeside" w:vAnchor="text" w:hAnchor="text" w:xAlign="center" w:y="1"/>
              <w:spacing w:before="60"/>
              <w:rPr>
                <w:lang w:val="en-US"/>
              </w:rPr>
            </w:pPr>
          </w:p>
        </w:tc>
        <w:tc>
          <w:tcPr>
            <w:tcW w:w="893" w:type="dxa"/>
            <w:vMerge/>
          </w:tcPr>
          <w:p w:rsidR="00B9359B" w:rsidRDefault="00B9359B">
            <w:pPr>
              <w:pStyle w:val="Tablehead"/>
              <w:framePr w:hSpace="181" w:wrap="notBeside" w:vAnchor="text" w:hAnchor="text" w:xAlign="center" w:y="1"/>
              <w:spacing w:before="60"/>
              <w:rPr>
                <w:lang w:val="en-US"/>
              </w:rPr>
            </w:pPr>
          </w:p>
        </w:tc>
        <w:tc>
          <w:tcPr>
            <w:tcW w:w="1101" w:type="dxa"/>
          </w:tcPr>
          <w:p w:rsidR="00B9359B" w:rsidRDefault="009A5268">
            <w:pPr>
              <w:pStyle w:val="Tablehead"/>
              <w:framePr w:hSpace="181" w:wrap="notBeside" w:vAnchor="text" w:hAnchor="text" w:xAlign="center" w:y="1"/>
              <w:spacing w:before="60"/>
              <w:ind w:left="-57" w:right="-57"/>
              <w:rPr>
                <w:bCs/>
                <w:lang w:val="en-US"/>
              </w:rPr>
            </w:pPr>
            <w:r>
              <w:rPr>
                <w:lang w:val="en-US"/>
              </w:rPr>
              <w:t>Gateway</w:t>
            </w:r>
          </w:p>
        </w:tc>
        <w:tc>
          <w:tcPr>
            <w:tcW w:w="1042" w:type="dxa"/>
          </w:tcPr>
          <w:p w:rsidR="00B9359B" w:rsidRDefault="009A5268">
            <w:pPr>
              <w:pStyle w:val="Tablehead"/>
              <w:framePr w:hSpace="181" w:wrap="notBeside" w:vAnchor="text" w:hAnchor="text" w:xAlign="center" w:y="1"/>
              <w:spacing w:before="60"/>
              <w:ind w:left="-57" w:right="-57"/>
              <w:rPr>
                <w:bCs/>
                <w:lang w:val="en-US"/>
              </w:rPr>
            </w:pPr>
            <w:r>
              <w:rPr>
                <w:lang w:val="en-US"/>
              </w:rPr>
              <w:t>User</w:t>
            </w:r>
          </w:p>
        </w:tc>
      </w:tr>
      <w:tr w:rsidR="00B9359B">
        <w:tc>
          <w:tcPr>
            <w:tcW w:w="3031" w:type="dxa"/>
          </w:tcPr>
          <w:p w:rsidR="00B9359B" w:rsidRDefault="009A5268">
            <w:pPr>
              <w:pStyle w:val="Tabletext"/>
              <w:framePr w:hSpace="181" w:wrap="notBeside" w:vAnchor="text" w:hAnchor="text" w:xAlign="center" w:y="1"/>
              <w:spacing w:before="30" w:after="30"/>
              <w:jc w:val="left"/>
              <w:rPr>
                <w:lang w:val="en-US"/>
              </w:rPr>
            </w:pPr>
            <w:r>
              <w:rPr>
                <w:bCs/>
                <w:lang w:val="en-US"/>
              </w:rPr>
              <w:t>Required power rejection (dB)</w:t>
            </w:r>
          </w:p>
        </w:tc>
        <w:tc>
          <w:tcPr>
            <w:tcW w:w="1250" w:type="dxa"/>
          </w:tcPr>
          <w:p w:rsidR="00B9359B" w:rsidRDefault="009A5268">
            <w:pPr>
              <w:pStyle w:val="Tabletext"/>
              <w:framePr w:hSpace="181" w:wrap="notBeside" w:vAnchor="text" w:hAnchor="text" w:xAlign="center" w:y="1"/>
              <w:spacing w:before="30" w:after="30"/>
              <w:jc w:val="center"/>
              <w:rPr>
                <w:lang w:val="en-US"/>
              </w:rPr>
            </w:pPr>
            <w:r>
              <w:rPr>
                <w:lang w:val="en-US"/>
              </w:rPr>
              <w:t>None</w:t>
            </w:r>
          </w:p>
        </w:tc>
        <w:tc>
          <w:tcPr>
            <w:tcW w:w="1250" w:type="dxa"/>
          </w:tcPr>
          <w:p w:rsidR="00B9359B" w:rsidRDefault="009A5268">
            <w:pPr>
              <w:pStyle w:val="Tabletext"/>
              <w:framePr w:hSpace="181" w:wrap="notBeside" w:vAnchor="text" w:hAnchor="text" w:xAlign="center" w:y="1"/>
              <w:spacing w:before="30" w:after="30"/>
              <w:jc w:val="center"/>
              <w:rPr>
                <w:lang w:val="en-US"/>
              </w:rPr>
            </w:pPr>
            <w:r>
              <w:rPr>
                <w:lang w:val="en-US"/>
              </w:rPr>
              <w:t>49.9</w:t>
            </w:r>
          </w:p>
        </w:tc>
        <w:tc>
          <w:tcPr>
            <w:tcW w:w="1072" w:type="dxa"/>
          </w:tcPr>
          <w:p w:rsidR="00B9359B" w:rsidRDefault="009A5268">
            <w:pPr>
              <w:pStyle w:val="Tabletext"/>
              <w:framePr w:hSpace="181" w:wrap="notBeside" w:vAnchor="text" w:hAnchor="text" w:xAlign="center" w:y="1"/>
              <w:spacing w:before="30" w:after="30"/>
              <w:jc w:val="center"/>
              <w:rPr>
                <w:lang w:val="en-US"/>
              </w:rPr>
            </w:pPr>
            <w:r>
              <w:rPr>
                <w:lang w:val="en-US"/>
              </w:rPr>
              <w:t>37.2</w:t>
            </w:r>
          </w:p>
        </w:tc>
        <w:tc>
          <w:tcPr>
            <w:tcW w:w="893" w:type="dxa"/>
          </w:tcPr>
          <w:p w:rsidR="00B9359B" w:rsidRDefault="009A5268">
            <w:pPr>
              <w:pStyle w:val="Tabletext"/>
              <w:framePr w:hSpace="181" w:wrap="notBeside" w:vAnchor="text" w:hAnchor="text" w:xAlign="center" w:y="1"/>
              <w:spacing w:before="30" w:after="30"/>
              <w:jc w:val="center"/>
              <w:rPr>
                <w:lang w:val="en-US"/>
              </w:rPr>
            </w:pPr>
            <w:r>
              <w:rPr>
                <w:lang w:val="en-US"/>
              </w:rPr>
              <w:t>40.5</w:t>
            </w:r>
          </w:p>
        </w:tc>
        <w:tc>
          <w:tcPr>
            <w:tcW w:w="1101" w:type="dxa"/>
          </w:tcPr>
          <w:p w:rsidR="00B9359B" w:rsidRDefault="009A5268">
            <w:pPr>
              <w:pStyle w:val="Tabletext"/>
              <w:framePr w:hSpace="181" w:wrap="notBeside" w:vAnchor="text" w:hAnchor="text" w:xAlign="center" w:y="1"/>
              <w:spacing w:before="30" w:after="30"/>
              <w:jc w:val="center"/>
              <w:rPr>
                <w:lang w:val="en-US"/>
              </w:rPr>
            </w:pPr>
            <w:r>
              <w:rPr>
                <w:lang w:val="en-US"/>
              </w:rPr>
              <w:t>49.1</w:t>
            </w:r>
          </w:p>
        </w:tc>
        <w:tc>
          <w:tcPr>
            <w:tcW w:w="1042" w:type="dxa"/>
          </w:tcPr>
          <w:p w:rsidR="00B9359B" w:rsidRDefault="009A5268">
            <w:pPr>
              <w:pStyle w:val="Tabletext"/>
              <w:framePr w:hSpace="181" w:wrap="notBeside" w:vAnchor="text" w:hAnchor="text" w:xAlign="center" w:y="1"/>
              <w:spacing w:before="30" w:after="30"/>
              <w:jc w:val="center"/>
              <w:rPr>
                <w:lang w:val="en-US"/>
              </w:rPr>
            </w:pPr>
            <w:r>
              <w:rPr>
                <w:lang w:val="en-US"/>
              </w:rPr>
              <w:t>34.4</w:t>
            </w:r>
          </w:p>
        </w:tc>
      </w:tr>
      <w:tr w:rsidR="00B9359B">
        <w:tc>
          <w:tcPr>
            <w:tcW w:w="3031" w:type="dxa"/>
          </w:tcPr>
          <w:p w:rsidR="00B9359B" w:rsidRDefault="009A5268">
            <w:pPr>
              <w:pStyle w:val="Tabletext"/>
              <w:framePr w:hSpace="181" w:wrap="notBeside" w:vAnchor="text" w:hAnchor="text" w:xAlign="center" w:y="1"/>
              <w:spacing w:before="30" w:after="30"/>
              <w:jc w:val="left"/>
              <w:rPr>
                <w:lang w:val="en-US"/>
              </w:rPr>
            </w:pPr>
            <w:r>
              <w:rPr>
                <w:bCs/>
                <w:lang w:val="en-US"/>
              </w:rPr>
              <w:t xml:space="preserve">Necessary </w:t>
            </w:r>
            <w:r>
              <w:rPr>
                <w:lang w:val="en-US"/>
              </w:rPr>
              <w:t>bandwidth</w:t>
            </w:r>
            <w:r>
              <w:rPr>
                <w:bCs/>
                <w:lang w:val="en-US"/>
              </w:rPr>
              <w:t xml:space="preserve"> (MHz)</w:t>
            </w:r>
          </w:p>
        </w:tc>
        <w:tc>
          <w:tcPr>
            <w:tcW w:w="1250" w:type="dxa"/>
          </w:tcPr>
          <w:p w:rsidR="00B9359B" w:rsidRDefault="009A5268">
            <w:pPr>
              <w:pStyle w:val="Tabletext"/>
              <w:framePr w:hSpace="181" w:wrap="notBeside" w:vAnchor="text" w:hAnchor="text" w:xAlign="center" w:y="1"/>
              <w:spacing w:before="30" w:after="30"/>
              <w:jc w:val="center"/>
              <w:rPr>
                <w:lang w:val="en-US"/>
              </w:rPr>
            </w:pPr>
            <w:r>
              <w:rPr>
                <w:lang w:val="en-US"/>
              </w:rPr>
              <w:t>105.6</w:t>
            </w:r>
          </w:p>
        </w:tc>
        <w:tc>
          <w:tcPr>
            <w:tcW w:w="1250" w:type="dxa"/>
          </w:tcPr>
          <w:p w:rsidR="00B9359B" w:rsidRDefault="009A5268">
            <w:pPr>
              <w:pStyle w:val="Tabletext"/>
              <w:framePr w:hSpace="181" w:wrap="notBeside" w:vAnchor="text" w:hAnchor="text" w:xAlign="center" w:y="1"/>
              <w:spacing w:before="30" w:after="30"/>
              <w:jc w:val="center"/>
              <w:rPr>
                <w:lang w:val="en-US"/>
              </w:rPr>
            </w:pPr>
            <w:r>
              <w:rPr>
                <w:lang w:val="en-US"/>
              </w:rPr>
              <w:t>150</w:t>
            </w:r>
          </w:p>
        </w:tc>
        <w:tc>
          <w:tcPr>
            <w:tcW w:w="1072" w:type="dxa"/>
          </w:tcPr>
          <w:p w:rsidR="00B9359B" w:rsidRDefault="009A5268">
            <w:pPr>
              <w:pStyle w:val="Tabletext"/>
              <w:framePr w:hSpace="181" w:wrap="notBeside" w:vAnchor="text" w:hAnchor="text" w:xAlign="center" w:y="1"/>
              <w:spacing w:before="30" w:after="30"/>
              <w:jc w:val="center"/>
              <w:rPr>
                <w:lang w:val="en-US"/>
              </w:rPr>
            </w:pPr>
            <w:r>
              <w:rPr>
                <w:lang w:val="en-US"/>
              </w:rPr>
              <w:t>300</w:t>
            </w:r>
          </w:p>
        </w:tc>
        <w:tc>
          <w:tcPr>
            <w:tcW w:w="893" w:type="dxa"/>
          </w:tcPr>
          <w:p w:rsidR="00B9359B" w:rsidRDefault="009A5268">
            <w:pPr>
              <w:pStyle w:val="Tabletext"/>
              <w:framePr w:hSpace="181" w:wrap="notBeside" w:vAnchor="text" w:hAnchor="text" w:xAlign="center" w:y="1"/>
              <w:spacing w:before="30" w:after="30"/>
              <w:jc w:val="center"/>
              <w:rPr>
                <w:lang w:val="en-US"/>
              </w:rPr>
            </w:pPr>
            <w:r>
              <w:rPr>
                <w:lang w:val="en-US"/>
              </w:rPr>
              <w:t>200</w:t>
            </w:r>
          </w:p>
        </w:tc>
        <w:tc>
          <w:tcPr>
            <w:tcW w:w="1101" w:type="dxa"/>
          </w:tcPr>
          <w:p w:rsidR="00B9359B" w:rsidRDefault="009A5268">
            <w:pPr>
              <w:pStyle w:val="Tabletext"/>
              <w:framePr w:hSpace="181" w:wrap="notBeside" w:vAnchor="text" w:hAnchor="text" w:xAlign="center" w:y="1"/>
              <w:spacing w:before="30" w:after="30"/>
              <w:jc w:val="center"/>
              <w:rPr>
                <w:lang w:val="en-US"/>
              </w:rPr>
            </w:pPr>
            <w:r>
              <w:rPr>
                <w:lang w:val="en-US"/>
              </w:rPr>
              <w:t>125</w:t>
            </w:r>
          </w:p>
        </w:tc>
        <w:tc>
          <w:tcPr>
            <w:tcW w:w="1042" w:type="dxa"/>
          </w:tcPr>
          <w:p w:rsidR="00B9359B" w:rsidRDefault="009A5268">
            <w:pPr>
              <w:pStyle w:val="Tabletext"/>
              <w:framePr w:hSpace="181" w:wrap="notBeside" w:vAnchor="text" w:hAnchor="text" w:xAlign="center" w:y="1"/>
              <w:spacing w:before="30" w:after="30"/>
              <w:jc w:val="center"/>
              <w:rPr>
                <w:lang w:val="en-US"/>
              </w:rPr>
            </w:pPr>
            <w:r>
              <w:rPr>
                <w:lang w:val="en-US"/>
              </w:rPr>
              <w:t>11</w:t>
            </w:r>
          </w:p>
        </w:tc>
      </w:tr>
      <w:tr w:rsidR="00B9359B">
        <w:tc>
          <w:tcPr>
            <w:tcW w:w="3031" w:type="dxa"/>
          </w:tcPr>
          <w:p w:rsidR="00B9359B" w:rsidRDefault="009A5268">
            <w:pPr>
              <w:pStyle w:val="Tabletext"/>
              <w:framePr w:hSpace="181" w:wrap="notBeside" w:vAnchor="text" w:hAnchor="text" w:xAlign="center" w:y="1"/>
              <w:spacing w:before="30" w:after="30"/>
              <w:jc w:val="left"/>
              <w:rPr>
                <w:lang w:val="en-US"/>
              </w:rPr>
            </w:pPr>
            <w:r>
              <w:rPr>
                <w:bCs/>
                <w:lang w:val="en-US"/>
              </w:rPr>
              <w:t>Passive band (% </w:t>
            </w:r>
            <w:r>
              <w:rPr>
                <w:bCs/>
                <w:i/>
                <w:lang w:val="en-US"/>
              </w:rPr>
              <w:t>B</w:t>
            </w:r>
            <w:r>
              <w:rPr>
                <w:bCs/>
                <w:i/>
                <w:vertAlign w:val="subscript"/>
                <w:lang w:val="en-US"/>
              </w:rPr>
              <w:t>N</w:t>
            </w:r>
            <w:r>
              <w:rPr>
                <w:bCs/>
                <w:lang w:val="en-US"/>
              </w:rPr>
              <w:t>)</w:t>
            </w:r>
          </w:p>
        </w:tc>
        <w:tc>
          <w:tcPr>
            <w:tcW w:w="1250" w:type="dxa"/>
          </w:tcPr>
          <w:p w:rsidR="00B9359B" w:rsidRDefault="009A5268">
            <w:pPr>
              <w:pStyle w:val="Tabletext"/>
              <w:framePr w:hSpace="181" w:wrap="notBeside" w:vAnchor="text" w:hAnchor="text" w:xAlign="center" w:y="1"/>
              <w:spacing w:before="30" w:after="30"/>
              <w:jc w:val="center"/>
              <w:rPr>
                <w:lang w:val="en-US"/>
              </w:rPr>
            </w:pPr>
            <w:r>
              <w:rPr>
                <w:lang w:val="en-US"/>
              </w:rPr>
              <w:t>190</w:t>
            </w:r>
          </w:p>
        </w:tc>
        <w:tc>
          <w:tcPr>
            <w:tcW w:w="1250" w:type="dxa"/>
          </w:tcPr>
          <w:p w:rsidR="00B9359B" w:rsidRDefault="009A5268">
            <w:pPr>
              <w:pStyle w:val="Tabletext"/>
              <w:framePr w:hSpace="181" w:wrap="notBeside" w:vAnchor="text" w:hAnchor="text" w:xAlign="center" w:y="1"/>
              <w:spacing w:before="30" w:after="30"/>
              <w:jc w:val="center"/>
              <w:rPr>
                <w:lang w:val="en-US"/>
              </w:rPr>
            </w:pPr>
            <w:r>
              <w:rPr>
                <w:lang w:val="en-US"/>
              </w:rPr>
              <w:t>133</w:t>
            </w:r>
          </w:p>
        </w:tc>
        <w:tc>
          <w:tcPr>
            <w:tcW w:w="1072" w:type="dxa"/>
          </w:tcPr>
          <w:p w:rsidR="00B9359B" w:rsidRDefault="009A5268">
            <w:pPr>
              <w:pStyle w:val="Tabletext"/>
              <w:framePr w:hSpace="181" w:wrap="notBeside" w:vAnchor="text" w:hAnchor="text" w:xAlign="center" w:y="1"/>
              <w:spacing w:before="30" w:after="30"/>
              <w:jc w:val="center"/>
              <w:rPr>
                <w:lang w:val="en-US"/>
              </w:rPr>
            </w:pPr>
            <w:r>
              <w:rPr>
                <w:lang w:val="en-US"/>
              </w:rPr>
              <w:t>67</w:t>
            </w:r>
          </w:p>
        </w:tc>
        <w:tc>
          <w:tcPr>
            <w:tcW w:w="893" w:type="dxa"/>
          </w:tcPr>
          <w:p w:rsidR="00B9359B" w:rsidRDefault="009A5268">
            <w:pPr>
              <w:pStyle w:val="Tabletext"/>
              <w:framePr w:hSpace="181" w:wrap="notBeside" w:vAnchor="text" w:hAnchor="text" w:xAlign="center" w:y="1"/>
              <w:spacing w:before="30" w:after="30"/>
              <w:jc w:val="center"/>
              <w:rPr>
                <w:lang w:val="en-US"/>
              </w:rPr>
            </w:pPr>
            <w:r>
              <w:rPr>
                <w:lang w:val="en-US"/>
              </w:rPr>
              <w:t>100</w:t>
            </w:r>
          </w:p>
        </w:tc>
        <w:tc>
          <w:tcPr>
            <w:tcW w:w="1101" w:type="dxa"/>
          </w:tcPr>
          <w:p w:rsidR="00B9359B" w:rsidRDefault="00B9359B">
            <w:pPr>
              <w:pStyle w:val="Tabletext"/>
              <w:framePr w:hSpace="181" w:wrap="notBeside" w:vAnchor="text" w:hAnchor="text" w:xAlign="center" w:y="1"/>
              <w:spacing w:before="30" w:after="30"/>
              <w:jc w:val="center"/>
              <w:rPr>
                <w:lang w:val="en-US"/>
              </w:rPr>
            </w:pPr>
          </w:p>
        </w:tc>
        <w:tc>
          <w:tcPr>
            <w:tcW w:w="1042" w:type="dxa"/>
          </w:tcPr>
          <w:p w:rsidR="00B9359B" w:rsidRDefault="00B9359B">
            <w:pPr>
              <w:pStyle w:val="Tabletext"/>
              <w:framePr w:hSpace="181" w:wrap="notBeside" w:vAnchor="text" w:hAnchor="text" w:xAlign="center" w:y="1"/>
              <w:spacing w:before="30" w:after="30"/>
              <w:jc w:val="center"/>
              <w:rPr>
                <w:lang w:val="en-US"/>
              </w:rPr>
            </w:pPr>
          </w:p>
        </w:tc>
      </w:tr>
      <w:tr w:rsidR="00B9359B">
        <w:tc>
          <w:tcPr>
            <w:tcW w:w="3031" w:type="dxa"/>
          </w:tcPr>
          <w:p w:rsidR="00B9359B" w:rsidRDefault="009A5268">
            <w:pPr>
              <w:pStyle w:val="Tabletext"/>
              <w:framePr w:hSpace="181" w:wrap="notBeside" w:vAnchor="text" w:hAnchor="text" w:xAlign="center" w:y="1"/>
              <w:spacing w:before="30" w:after="30"/>
              <w:jc w:val="left"/>
              <w:rPr>
                <w:lang w:val="en-US"/>
              </w:rPr>
            </w:pPr>
            <w:r>
              <w:rPr>
                <w:bCs/>
                <w:lang w:val="en-US"/>
              </w:rPr>
              <w:t xml:space="preserve">Offset from centre </w:t>
            </w:r>
            <w:r>
              <w:rPr>
                <w:bCs/>
                <w:i/>
                <w:lang w:val="en-US"/>
              </w:rPr>
              <w:t>B</w:t>
            </w:r>
            <w:r>
              <w:rPr>
                <w:bCs/>
                <w:i/>
                <w:vertAlign w:val="subscript"/>
                <w:lang w:val="en-US"/>
              </w:rPr>
              <w:t>N</w:t>
            </w:r>
            <w:r>
              <w:rPr>
                <w:bCs/>
                <w:lang w:val="en-US"/>
              </w:rPr>
              <w:t> (% </w:t>
            </w:r>
            <w:r>
              <w:rPr>
                <w:bCs/>
                <w:i/>
                <w:lang w:val="en-US"/>
              </w:rPr>
              <w:t>B</w:t>
            </w:r>
            <w:r>
              <w:rPr>
                <w:bCs/>
                <w:i/>
                <w:vertAlign w:val="subscript"/>
                <w:lang w:val="en-US"/>
              </w:rPr>
              <w:t>N</w:t>
            </w:r>
            <w:r>
              <w:rPr>
                <w:bCs/>
                <w:lang w:val="en-US"/>
              </w:rPr>
              <w:t>)</w:t>
            </w:r>
          </w:p>
        </w:tc>
        <w:tc>
          <w:tcPr>
            <w:tcW w:w="1250" w:type="dxa"/>
          </w:tcPr>
          <w:p w:rsidR="00B9359B" w:rsidRDefault="009A5268">
            <w:pPr>
              <w:pStyle w:val="Tabletext"/>
              <w:framePr w:hSpace="181" w:wrap="notBeside" w:vAnchor="text" w:hAnchor="text" w:xAlign="center" w:y="1"/>
              <w:spacing w:before="30" w:after="30"/>
              <w:jc w:val="center"/>
              <w:rPr>
                <w:lang w:val="en-US"/>
              </w:rPr>
            </w:pPr>
            <w:r>
              <w:rPr>
                <w:lang w:val="en-US"/>
              </w:rPr>
              <w:t>None</w:t>
            </w:r>
          </w:p>
        </w:tc>
        <w:tc>
          <w:tcPr>
            <w:tcW w:w="1250" w:type="dxa"/>
          </w:tcPr>
          <w:p w:rsidR="00B9359B" w:rsidRDefault="009A5268">
            <w:pPr>
              <w:pStyle w:val="Tabletext"/>
              <w:framePr w:hSpace="181" w:wrap="notBeside" w:vAnchor="text" w:hAnchor="text" w:xAlign="center" w:y="1"/>
              <w:spacing w:before="30" w:after="30"/>
              <w:jc w:val="center"/>
              <w:rPr>
                <w:lang w:val="en-US"/>
              </w:rPr>
            </w:pPr>
            <w:r>
              <w:rPr>
                <w:lang w:val="en-US"/>
              </w:rPr>
              <w:t>184</w:t>
            </w:r>
          </w:p>
        </w:tc>
        <w:tc>
          <w:tcPr>
            <w:tcW w:w="1072" w:type="dxa"/>
          </w:tcPr>
          <w:p w:rsidR="00B9359B" w:rsidRDefault="009A5268">
            <w:pPr>
              <w:pStyle w:val="Tabletext"/>
              <w:framePr w:hSpace="181" w:wrap="notBeside" w:vAnchor="text" w:hAnchor="text" w:xAlign="center" w:y="1"/>
              <w:spacing w:before="30" w:after="30"/>
              <w:jc w:val="center"/>
              <w:rPr>
                <w:lang w:val="en-US"/>
              </w:rPr>
            </w:pPr>
            <w:r>
              <w:rPr>
                <w:lang w:val="en-US"/>
              </w:rPr>
              <w:t>116</w:t>
            </w:r>
          </w:p>
        </w:tc>
        <w:tc>
          <w:tcPr>
            <w:tcW w:w="893" w:type="dxa"/>
          </w:tcPr>
          <w:p w:rsidR="00B9359B" w:rsidRDefault="009A5268">
            <w:pPr>
              <w:pStyle w:val="Tabletext"/>
              <w:framePr w:hSpace="181" w:wrap="notBeside" w:vAnchor="text" w:hAnchor="text" w:xAlign="center" w:y="1"/>
              <w:spacing w:before="30" w:after="30"/>
              <w:jc w:val="center"/>
              <w:rPr>
                <w:lang w:val="en-US"/>
              </w:rPr>
            </w:pPr>
            <w:r>
              <w:rPr>
                <w:lang w:val="en-US"/>
              </w:rPr>
              <w:t>128</w:t>
            </w:r>
          </w:p>
        </w:tc>
        <w:tc>
          <w:tcPr>
            <w:tcW w:w="1101" w:type="dxa"/>
          </w:tcPr>
          <w:p w:rsidR="00B9359B" w:rsidRDefault="009A5268">
            <w:pPr>
              <w:pStyle w:val="Tabletext"/>
              <w:framePr w:hSpace="181" w:wrap="notBeside" w:vAnchor="text" w:hAnchor="text" w:xAlign="center" w:y="1"/>
              <w:spacing w:before="30" w:after="30"/>
              <w:jc w:val="center"/>
              <w:rPr>
                <w:lang w:val="en-US"/>
              </w:rPr>
            </w:pPr>
            <w:r>
              <w:rPr>
                <w:lang w:val="en-US"/>
              </w:rPr>
              <w:t>181</w:t>
            </w:r>
          </w:p>
        </w:tc>
        <w:tc>
          <w:tcPr>
            <w:tcW w:w="1042" w:type="dxa"/>
          </w:tcPr>
          <w:p w:rsidR="00B9359B" w:rsidRDefault="009A5268">
            <w:pPr>
              <w:pStyle w:val="Tabletext"/>
              <w:framePr w:hSpace="181" w:wrap="notBeside" w:vAnchor="text" w:hAnchor="text" w:xAlign="center" w:y="1"/>
              <w:spacing w:before="30" w:after="30"/>
              <w:jc w:val="center"/>
              <w:rPr>
                <w:lang w:val="en-US"/>
              </w:rPr>
            </w:pPr>
            <w:r>
              <w:rPr>
                <w:lang w:val="en-US"/>
              </w:rPr>
              <w:t>91</w:t>
            </w:r>
          </w:p>
        </w:tc>
      </w:tr>
      <w:tr w:rsidR="00B9359B">
        <w:tc>
          <w:tcPr>
            <w:tcW w:w="3031" w:type="dxa"/>
          </w:tcPr>
          <w:p w:rsidR="00B9359B" w:rsidRDefault="009A5268">
            <w:pPr>
              <w:pStyle w:val="Tabletext"/>
              <w:framePr w:hSpace="181" w:wrap="notBeside" w:vAnchor="text" w:hAnchor="text" w:xAlign="center" w:y="1"/>
              <w:spacing w:before="30" w:after="30"/>
              <w:jc w:val="left"/>
              <w:rPr>
                <w:lang w:val="en-US"/>
              </w:rPr>
            </w:pPr>
            <w:r>
              <w:rPr>
                <w:bCs/>
                <w:lang w:val="en-US"/>
              </w:rPr>
              <w:t xml:space="preserve">Offset from centre </w:t>
            </w:r>
            <w:r>
              <w:rPr>
                <w:bCs/>
                <w:i/>
                <w:lang w:val="en-US"/>
              </w:rPr>
              <w:t>B</w:t>
            </w:r>
            <w:r>
              <w:rPr>
                <w:bCs/>
                <w:i/>
                <w:vertAlign w:val="subscript"/>
                <w:lang w:val="en-US"/>
              </w:rPr>
              <w:t>N</w:t>
            </w:r>
            <w:r>
              <w:rPr>
                <w:bCs/>
                <w:lang w:val="en-US"/>
              </w:rPr>
              <w:t> (MHz)</w:t>
            </w:r>
          </w:p>
        </w:tc>
        <w:tc>
          <w:tcPr>
            <w:tcW w:w="1250" w:type="dxa"/>
          </w:tcPr>
          <w:p w:rsidR="00B9359B" w:rsidRDefault="009A5268">
            <w:pPr>
              <w:pStyle w:val="Tabletext"/>
              <w:framePr w:hSpace="181" w:wrap="notBeside" w:vAnchor="text" w:hAnchor="text" w:xAlign="center" w:y="1"/>
              <w:spacing w:before="30" w:after="30"/>
              <w:jc w:val="center"/>
              <w:rPr>
                <w:b/>
                <w:bCs/>
                <w:lang w:val="en-US"/>
              </w:rPr>
            </w:pPr>
            <w:r>
              <w:rPr>
                <w:b/>
                <w:bCs/>
                <w:lang w:val="en-US"/>
              </w:rPr>
              <w:t>None</w:t>
            </w:r>
          </w:p>
        </w:tc>
        <w:tc>
          <w:tcPr>
            <w:tcW w:w="1250" w:type="dxa"/>
          </w:tcPr>
          <w:p w:rsidR="00B9359B" w:rsidRDefault="009A5268">
            <w:pPr>
              <w:pStyle w:val="Tabletext"/>
              <w:framePr w:hSpace="181" w:wrap="notBeside" w:vAnchor="text" w:hAnchor="text" w:xAlign="center" w:y="1"/>
              <w:spacing w:before="30" w:after="30"/>
              <w:jc w:val="center"/>
              <w:rPr>
                <w:b/>
                <w:lang w:val="en-US"/>
              </w:rPr>
            </w:pPr>
            <w:r>
              <w:rPr>
                <w:b/>
                <w:lang w:val="en-US"/>
              </w:rPr>
              <w:t>276</w:t>
            </w:r>
          </w:p>
        </w:tc>
        <w:tc>
          <w:tcPr>
            <w:tcW w:w="1072" w:type="dxa"/>
          </w:tcPr>
          <w:p w:rsidR="00B9359B" w:rsidRDefault="009A5268">
            <w:pPr>
              <w:pStyle w:val="Tabletext"/>
              <w:framePr w:hSpace="181" w:wrap="notBeside" w:vAnchor="text" w:hAnchor="text" w:xAlign="center" w:y="1"/>
              <w:spacing w:before="30" w:after="30"/>
              <w:jc w:val="center"/>
              <w:rPr>
                <w:b/>
                <w:lang w:val="en-US"/>
              </w:rPr>
            </w:pPr>
            <w:r>
              <w:rPr>
                <w:b/>
                <w:lang w:val="en-US"/>
              </w:rPr>
              <w:t>250</w:t>
            </w:r>
          </w:p>
        </w:tc>
        <w:tc>
          <w:tcPr>
            <w:tcW w:w="893" w:type="dxa"/>
          </w:tcPr>
          <w:p w:rsidR="00B9359B" w:rsidRDefault="009A5268">
            <w:pPr>
              <w:pStyle w:val="Tabletext"/>
              <w:framePr w:hSpace="181" w:wrap="notBeside" w:vAnchor="text" w:hAnchor="text" w:xAlign="center" w:y="1"/>
              <w:spacing w:before="30" w:after="30"/>
              <w:ind w:left="-57" w:right="-57"/>
              <w:jc w:val="center"/>
              <w:rPr>
                <w:b/>
                <w:lang w:val="en-US"/>
              </w:rPr>
            </w:pPr>
            <w:r>
              <w:rPr>
                <w:b/>
                <w:lang w:val="en-US"/>
              </w:rPr>
              <w:t>256</w:t>
            </w:r>
          </w:p>
        </w:tc>
        <w:tc>
          <w:tcPr>
            <w:tcW w:w="1101" w:type="dxa"/>
          </w:tcPr>
          <w:p w:rsidR="00B9359B" w:rsidRDefault="009A5268">
            <w:pPr>
              <w:pStyle w:val="Tabletext"/>
              <w:framePr w:hSpace="181" w:wrap="notBeside" w:vAnchor="text" w:hAnchor="text" w:xAlign="center" w:y="1"/>
              <w:spacing w:before="30" w:after="30"/>
              <w:ind w:left="-57" w:right="-57"/>
              <w:jc w:val="center"/>
              <w:rPr>
                <w:b/>
                <w:lang w:val="en-US"/>
              </w:rPr>
            </w:pPr>
            <w:r>
              <w:rPr>
                <w:b/>
                <w:lang w:val="en-US"/>
              </w:rPr>
              <w:t>226</w:t>
            </w:r>
          </w:p>
        </w:tc>
        <w:tc>
          <w:tcPr>
            <w:tcW w:w="1042" w:type="dxa"/>
          </w:tcPr>
          <w:p w:rsidR="00B9359B" w:rsidRDefault="009A5268">
            <w:pPr>
              <w:pStyle w:val="Tabletext"/>
              <w:framePr w:hSpace="181" w:wrap="notBeside" w:vAnchor="text" w:hAnchor="text" w:xAlign="center" w:y="1"/>
              <w:spacing w:before="30" w:after="30"/>
              <w:ind w:left="-57" w:right="-57"/>
              <w:jc w:val="center"/>
              <w:rPr>
                <w:b/>
                <w:lang w:val="en-US"/>
              </w:rPr>
            </w:pPr>
            <w:r>
              <w:rPr>
                <w:b/>
                <w:lang w:val="en-US"/>
              </w:rPr>
              <w:t>10</w:t>
            </w:r>
          </w:p>
        </w:tc>
      </w:tr>
      <w:tr w:rsidR="00B9359B">
        <w:tc>
          <w:tcPr>
            <w:tcW w:w="3031" w:type="dxa"/>
          </w:tcPr>
          <w:p w:rsidR="00B9359B" w:rsidRDefault="009A5268">
            <w:pPr>
              <w:pStyle w:val="Tabletext"/>
              <w:framePr w:hSpace="181" w:wrap="notBeside" w:vAnchor="text" w:hAnchor="text" w:xAlign="center" w:y="1"/>
              <w:spacing w:before="30" w:after="30"/>
              <w:jc w:val="left"/>
              <w:rPr>
                <w:lang w:val="en-US"/>
              </w:rPr>
            </w:pPr>
            <w:r>
              <w:rPr>
                <w:bCs/>
                <w:lang w:val="en-US"/>
              </w:rPr>
              <w:t>Required additional guardband (MHz)</w:t>
            </w:r>
          </w:p>
        </w:tc>
        <w:tc>
          <w:tcPr>
            <w:tcW w:w="1250" w:type="dxa"/>
          </w:tcPr>
          <w:p w:rsidR="00B9359B" w:rsidRDefault="009A5268">
            <w:pPr>
              <w:pStyle w:val="Tabletext"/>
              <w:framePr w:hSpace="181" w:wrap="notBeside" w:vAnchor="text" w:hAnchor="text" w:xAlign="center" w:y="1"/>
              <w:spacing w:before="30" w:after="30"/>
              <w:jc w:val="center"/>
              <w:rPr>
                <w:b/>
                <w:lang w:val="en-US"/>
              </w:rPr>
            </w:pPr>
            <w:r>
              <w:rPr>
                <w:b/>
                <w:lang w:val="en-US"/>
              </w:rPr>
              <w:t>0</w:t>
            </w:r>
          </w:p>
        </w:tc>
        <w:tc>
          <w:tcPr>
            <w:tcW w:w="1250" w:type="dxa"/>
          </w:tcPr>
          <w:p w:rsidR="00B9359B" w:rsidRDefault="009A5268">
            <w:pPr>
              <w:pStyle w:val="Tabletext"/>
              <w:framePr w:hSpace="181" w:wrap="notBeside" w:vAnchor="text" w:hAnchor="text" w:xAlign="center" w:y="1"/>
              <w:spacing w:before="30" w:after="30"/>
              <w:jc w:val="center"/>
              <w:rPr>
                <w:b/>
                <w:lang w:val="en-US"/>
              </w:rPr>
            </w:pPr>
            <w:r>
              <w:rPr>
                <w:b/>
                <w:lang w:val="en-US"/>
              </w:rPr>
              <w:t>201</w:t>
            </w:r>
          </w:p>
        </w:tc>
        <w:tc>
          <w:tcPr>
            <w:tcW w:w="1072" w:type="dxa"/>
          </w:tcPr>
          <w:p w:rsidR="00B9359B" w:rsidRDefault="009A5268">
            <w:pPr>
              <w:pStyle w:val="Tabletext"/>
              <w:framePr w:hSpace="181" w:wrap="notBeside" w:vAnchor="text" w:hAnchor="text" w:xAlign="center" w:y="1"/>
              <w:spacing w:before="30" w:after="30"/>
              <w:jc w:val="center"/>
              <w:rPr>
                <w:b/>
                <w:lang w:val="en-US"/>
              </w:rPr>
            </w:pPr>
            <w:r>
              <w:rPr>
                <w:b/>
                <w:lang w:val="en-US"/>
              </w:rPr>
              <w:t>100</w:t>
            </w:r>
          </w:p>
        </w:tc>
        <w:tc>
          <w:tcPr>
            <w:tcW w:w="893" w:type="dxa"/>
          </w:tcPr>
          <w:p w:rsidR="00B9359B" w:rsidRDefault="009A5268">
            <w:pPr>
              <w:pStyle w:val="Tabletext"/>
              <w:framePr w:hSpace="181" w:wrap="notBeside" w:vAnchor="text" w:hAnchor="text" w:xAlign="center" w:y="1"/>
              <w:spacing w:before="30" w:after="30"/>
              <w:ind w:left="-57" w:right="-57"/>
              <w:jc w:val="center"/>
              <w:rPr>
                <w:b/>
                <w:lang w:val="en-US"/>
              </w:rPr>
            </w:pPr>
            <w:r>
              <w:rPr>
                <w:b/>
                <w:lang w:val="en-US"/>
              </w:rPr>
              <w:t>156</w:t>
            </w:r>
          </w:p>
        </w:tc>
        <w:tc>
          <w:tcPr>
            <w:tcW w:w="1101" w:type="dxa"/>
          </w:tcPr>
          <w:p w:rsidR="00B9359B" w:rsidRDefault="009A5268">
            <w:pPr>
              <w:pStyle w:val="Tabletext"/>
              <w:framePr w:hSpace="181" w:wrap="notBeside" w:vAnchor="text" w:hAnchor="text" w:xAlign="center" w:y="1"/>
              <w:spacing w:before="30" w:after="30"/>
              <w:ind w:left="-57" w:right="-57"/>
              <w:jc w:val="center"/>
              <w:rPr>
                <w:b/>
                <w:lang w:val="en-US"/>
              </w:rPr>
            </w:pPr>
            <w:r>
              <w:rPr>
                <w:b/>
                <w:lang w:val="en-US"/>
              </w:rPr>
              <w:t>164</w:t>
            </w:r>
          </w:p>
        </w:tc>
        <w:tc>
          <w:tcPr>
            <w:tcW w:w="1042" w:type="dxa"/>
          </w:tcPr>
          <w:p w:rsidR="00B9359B" w:rsidRDefault="009A5268">
            <w:pPr>
              <w:pStyle w:val="Tabletext"/>
              <w:framePr w:hSpace="181" w:wrap="notBeside" w:vAnchor="text" w:hAnchor="text" w:xAlign="center" w:y="1"/>
              <w:spacing w:before="30" w:after="30"/>
              <w:jc w:val="center"/>
              <w:rPr>
                <w:b/>
                <w:lang w:val="en-US"/>
              </w:rPr>
            </w:pPr>
            <w:r>
              <w:rPr>
                <w:b/>
                <w:lang w:val="en-US"/>
              </w:rPr>
              <w:t>0</w:t>
            </w:r>
          </w:p>
        </w:tc>
      </w:tr>
    </w:tbl>
    <w:p w:rsidR="00B9359B" w:rsidRDefault="00B9359B">
      <w:pPr>
        <w:pStyle w:val="Tablefin"/>
        <w:spacing w:before="0"/>
        <w:rPr>
          <w:sz w:val="6"/>
          <w:lang w:val="en-US"/>
        </w:rPr>
      </w:pPr>
    </w:p>
    <w:p w:rsidR="00B9359B" w:rsidRDefault="009A5268">
      <w:pPr>
        <w:pStyle w:val="TableNo"/>
        <w:rPr>
          <w:lang w:val="en-US"/>
        </w:rPr>
      </w:pPr>
      <w:r>
        <w:rPr>
          <w:lang w:val="en-US"/>
        </w:rPr>
        <w:t>TABLE  112</w:t>
      </w:r>
    </w:p>
    <w:p w:rsidR="00B9359B" w:rsidRDefault="009A5268">
      <w:pPr>
        <w:pStyle w:val="Tabletitle"/>
        <w:rPr>
          <w:lang w:val="en-US"/>
        </w:rPr>
      </w:pPr>
      <w:r>
        <w:rPr>
          <w:lang w:val="en-US"/>
        </w:rPr>
        <w:t>Summary of necessary guardbands to protect passive sensors from GSO</w:t>
      </w:r>
      <w:r>
        <w:rPr>
          <w:sz w:val="16"/>
          <w:lang w:val="en-US"/>
        </w:rPr>
        <w:t xml:space="preserve">  </w:t>
      </w:r>
      <w:r>
        <w:rPr>
          <w:lang w:val="en-US"/>
        </w:rPr>
        <w:t>FSS earth stations</w:t>
      </w:r>
      <w:r>
        <w:rPr>
          <w:lang w:val="en-US"/>
        </w:rPr>
        <w:br/>
        <w:t>(sensor close to zenith of the earth station)</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3"/>
        <w:gridCol w:w="1605"/>
        <w:gridCol w:w="1189"/>
        <w:gridCol w:w="1187"/>
        <w:gridCol w:w="1118"/>
        <w:gridCol w:w="1118"/>
        <w:gridCol w:w="979"/>
      </w:tblGrid>
      <w:tr w:rsidR="00B9359B">
        <w:trPr>
          <w:cantSplit/>
        </w:trPr>
        <w:tc>
          <w:tcPr>
            <w:tcW w:w="2443" w:type="dxa"/>
            <w:vMerge w:val="restart"/>
            <w:vAlign w:val="center"/>
          </w:tcPr>
          <w:p w:rsidR="00B9359B" w:rsidRDefault="009A5268">
            <w:pPr>
              <w:pStyle w:val="Tablehead"/>
              <w:framePr w:hSpace="181" w:wrap="notBeside" w:vAnchor="text" w:hAnchor="text" w:xAlign="center" w:y="1"/>
              <w:spacing w:before="60" w:after="60"/>
              <w:jc w:val="left"/>
              <w:rPr>
                <w:lang w:val="en-US"/>
              </w:rPr>
            </w:pPr>
            <w:r>
              <w:rPr>
                <w:lang w:val="en-US"/>
              </w:rPr>
              <w:t>FSS system</w:t>
            </w:r>
          </w:p>
        </w:tc>
        <w:tc>
          <w:tcPr>
            <w:tcW w:w="1605" w:type="dxa"/>
            <w:vMerge w:val="restart"/>
            <w:vAlign w:val="center"/>
          </w:tcPr>
          <w:p w:rsidR="00B9359B" w:rsidRDefault="009A5268">
            <w:pPr>
              <w:pStyle w:val="Tablehead"/>
              <w:framePr w:hSpace="181" w:wrap="notBeside" w:vAnchor="text" w:hAnchor="text" w:xAlign="center" w:y="1"/>
              <w:spacing w:before="60" w:after="60"/>
              <w:rPr>
                <w:lang w:val="en-US"/>
              </w:rPr>
            </w:pPr>
            <w:r>
              <w:rPr>
                <w:lang w:val="en-US"/>
              </w:rPr>
              <w:t>GSOV-B1</w:t>
            </w:r>
          </w:p>
        </w:tc>
        <w:tc>
          <w:tcPr>
            <w:tcW w:w="1189" w:type="dxa"/>
            <w:vMerge w:val="restart"/>
            <w:vAlign w:val="center"/>
          </w:tcPr>
          <w:p w:rsidR="00B9359B" w:rsidRDefault="009A5268">
            <w:pPr>
              <w:pStyle w:val="Tablehead"/>
              <w:framePr w:hSpace="181" w:wrap="notBeside" w:vAnchor="text" w:hAnchor="text" w:xAlign="center" w:y="1"/>
              <w:spacing w:before="60" w:after="60"/>
              <w:rPr>
                <w:lang w:val="en-US"/>
              </w:rPr>
            </w:pPr>
            <w:r>
              <w:rPr>
                <w:lang w:val="en-US"/>
              </w:rPr>
              <w:t>GSOV-B2</w:t>
            </w:r>
          </w:p>
        </w:tc>
        <w:tc>
          <w:tcPr>
            <w:tcW w:w="1187" w:type="dxa"/>
            <w:vMerge w:val="restart"/>
            <w:vAlign w:val="center"/>
          </w:tcPr>
          <w:p w:rsidR="00B9359B" w:rsidRDefault="009A5268">
            <w:pPr>
              <w:pStyle w:val="Tablehead"/>
              <w:framePr w:hSpace="181" w:wrap="notBeside" w:vAnchor="text" w:hAnchor="text" w:xAlign="center" w:y="1"/>
              <w:spacing w:before="60" w:after="60"/>
              <w:ind w:left="-57" w:right="-57"/>
              <w:rPr>
                <w:lang w:val="en-US"/>
              </w:rPr>
            </w:pPr>
            <w:r>
              <w:rPr>
                <w:lang w:val="en-US"/>
              </w:rPr>
              <w:t>GSO-VX</w:t>
            </w:r>
          </w:p>
        </w:tc>
        <w:tc>
          <w:tcPr>
            <w:tcW w:w="1118" w:type="dxa"/>
            <w:vMerge w:val="restart"/>
            <w:vAlign w:val="center"/>
          </w:tcPr>
          <w:p w:rsidR="00B9359B" w:rsidRDefault="009A5268">
            <w:pPr>
              <w:pStyle w:val="Tablehead"/>
              <w:framePr w:hSpace="181" w:wrap="notBeside" w:vAnchor="text" w:hAnchor="text" w:xAlign="center" w:y="1"/>
              <w:spacing w:before="60" w:after="60"/>
              <w:ind w:left="-85" w:right="-85"/>
              <w:rPr>
                <w:lang w:val="en-US"/>
              </w:rPr>
            </w:pPr>
            <w:r>
              <w:rPr>
                <w:lang w:val="en-US"/>
              </w:rPr>
              <w:t>GSO-SV</w:t>
            </w:r>
          </w:p>
        </w:tc>
        <w:tc>
          <w:tcPr>
            <w:tcW w:w="2097" w:type="dxa"/>
            <w:gridSpan w:val="2"/>
            <w:tcBorders>
              <w:bottom w:val="nil"/>
            </w:tcBorders>
            <w:vAlign w:val="center"/>
          </w:tcPr>
          <w:p w:rsidR="00B9359B" w:rsidRDefault="009A5268">
            <w:pPr>
              <w:pStyle w:val="Tablehead"/>
              <w:framePr w:hSpace="181" w:wrap="notBeside" w:vAnchor="text" w:hAnchor="text" w:xAlign="center" w:y="1"/>
              <w:spacing w:before="60" w:after="60"/>
              <w:rPr>
                <w:lang w:val="en-US"/>
              </w:rPr>
            </w:pPr>
            <w:r>
              <w:rPr>
                <w:lang w:val="en-US"/>
              </w:rPr>
              <w:t>GEOSAT</w:t>
            </w:r>
          </w:p>
        </w:tc>
      </w:tr>
      <w:tr w:rsidR="00B9359B">
        <w:trPr>
          <w:cantSplit/>
        </w:trPr>
        <w:tc>
          <w:tcPr>
            <w:tcW w:w="2443" w:type="dxa"/>
            <w:vMerge/>
            <w:vAlign w:val="center"/>
          </w:tcPr>
          <w:p w:rsidR="00B9359B" w:rsidRDefault="00B9359B">
            <w:pPr>
              <w:pStyle w:val="Tabletext"/>
              <w:framePr w:hSpace="181" w:wrap="notBeside" w:vAnchor="text" w:hAnchor="text" w:xAlign="center" w:y="1"/>
              <w:spacing w:before="60" w:after="60"/>
              <w:rPr>
                <w:lang w:val="en-US"/>
              </w:rPr>
            </w:pPr>
          </w:p>
        </w:tc>
        <w:tc>
          <w:tcPr>
            <w:tcW w:w="1605" w:type="dxa"/>
            <w:vMerge/>
            <w:vAlign w:val="center"/>
          </w:tcPr>
          <w:p w:rsidR="00B9359B" w:rsidRDefault="00B9359B">
            <w:pPr>
              <w:pStyle w:val="Tablehead"/>
              <w:framePr w:hSpace="181" w:wrap="notBeside" w:vAnchor="text" w:hAnchor="text" w:xAlign="center" w:y="1"/>
              <w:spacing w:before="60" w:after="60"/>
              <w:rPr>
                <w:lang w:val="en-US"/>
              </w:rPr>
            </w:pPr>
          </w:p>
        </w:tc>
        <w:tc>
          <w:tcPr>
            <w:tcW w:w="1189" w:type="dxa"/>
            <w:vMerge/>
            <w:vAlign w:val="center"/>
          </w:tcPr>
          <w:p w:rsidR="00B9359B" w:rsidRDefault="00B9359B">
            <w:pPr>
              <w:pStyle w:val="Tablehead"/>
              <w:framePr w:hSpace="181" w:wrap="notBeside" w:vAnchor="text" w:hAnchor="text" w:xAlign="center" w:y="1"/>
              <w:spacing w:before="60" w:after="60"/>
              <w:rPr>
                <w:lang w:val="en-US"/>
              </w:rPr>
            </w:pPr>
          </w:p>
        </w:tc>
        <w:tc>
          <w:tcPr>
            <w:tcW w:w="1187" w:type="dxa"/>
            <w:vMerge/>
            <w:vAlign w:val="center"/>
          </w:tcPr>
          <w:p w:rsidR="00B9359B" w:rsidRDefault="00B9359B">
            <w:pPr>
              <w:pStyle w:val="Tablehead"/>
              <w:framePr w:hSpace="181" w:wrap="notBeside" w:vAnchor="text" w:hAnchor="text" w:xAlign="center" w:y="1"/>
              <w:spacing w:before="60" w:after="60"/>
              <w:rPr>
                <w:lang w:val="en-US"/>
              </w:rPr>
            </w:pPr>
          </w:p>
        </w:tc>
        <w:tc>
          <w:tcPr>
            <w:tcW w:w="1118" w:type="dxa"/>
            <w:vMerge/>
            <w:vAlign w:val="center"/>
          </w:tcPr>
          <w:p w:rsidR="00B9359B" w:rsidRDefault="00B9359B">
            <w:pPr>
              <w:pStyle w:val="Tablehead"/>
              <w:framePr w:hSpace="181" w:wrap="notBeside" w:vAnchor="text" w:hAnchor="text" w:xAlign="center" w:y="1"/>
              <w:spacing w:before="60" w:after="60"/>
              <w:rPr>
                <w:lang w:val="en-US"/>
              </w:rPr>
            </w:pPr>
          </w:p>
        </w:tc>
        <w:tc>
          <w:tcPr>
            <w:tcW w:w="1118" w:type="dxa"/>
            <w:tcBorders>
              <w:top w:val="single" w:sz="4" w:space="0" w:color="auto"/>
            </w:tcBorders>
            <w:vAlign w:val="center"/>
          </w:tcPr>
          <w:p w:rsidR="00B9359B" w:rsidRDefault="009A5268">
            <w:pPr>
              <w:pStyle w:val="Tablehead"/>
              <w:framePr w:hSpace="181" w:wrap="notBeside" w:vAnchor="text" w:hAnchor="text" w:xAlign="center" w:y="1"/>
              <w:spacing w:before="60" w:after="60"/>
              <w:ind w:left="-57" w:right="-57"/>
              <w:rPr>
                <w:bCs/>
                <w:lang w:val="en-US"/>
              </w:rPr>
            </w:pPr>
            <w:r>
              <w:rPr>
                <w:lang w:val="en-US"/>
              </w:rPr>
              <w:t>Gateway</w:t>
            </w:r>
          </w:p>
        </w:tc>
        <w:tc>
          <w:tcPr>
            <w:tcW w:w="979" w:type="dxa"/>
            <w:tcBorders>
              <w:top w:val="single" w:sz="4" w:space="0" w:color="auto"/>
            </w:tcBorders>
            <w:vAlign w:val="center"/>
          </w:tcPr>
          <w:p w:rsidR="00B9359B" w:rsidRDefault="009A5268">
            <w:pPr>
              <w:pStyle w:val="Tablehead"/>
              <w:framePr w:hSpace="181" w:wrap="notBeside" w:vAnchor="text" w:hAnchor="text" w:xAlign="center" w:y="1"/>
              <w:spacing w:before="60" w:after="60"/>
              <w:ind w:left="-57" w:right="-57"/>
              <w:rPr>
                <w:bCs/>
                <w:lang w:val="en-US"/>
              </w:rPr>
            </w:pPr>
            <w:r>
              <w:rPr>
                <w:lang w:val="en-US"/>
              </w:rPr>
              <w:t>User</w:t>
            </w:r>
          </w:p>
        </w:tc>
      </w:tr>
      <w:tr w:rsidR="00B9359B">
        <w:tc>
          <w:tcPr>
            <w:tcW w:w="2443" w:type="dxa"/>
          </w:tcPr>
          <w:p w:rsidR="00B9359B" w:rsidRDefault="009A5268">
            <w:pPr>
              <w:pStyle w:val="Tabletext"/>
              <w:framePr w:hSpace="181" w:wrap="notBeside" w:vAnchor="text" w:hAnchor="text" w:xAlign="center" w:y="1"/>
              <w:spacing w:before="30" w:after="30"/>
              <w:jc w:val="left"/>
              <w:rPr>
                <w:lang w:val="en-US"/>
              </w:rPr>
            </w:pPr>
            <w:r>
              <w:rPr>
                <w:bCs/>
                <w:lang w:val="en-US"/>
              </w:rPr>
              <w:t>Required power rejection (dB)</w:t>
            </w:r>
          </w:p>
        </w:tc>
        <w:tc>
          <w:tcPr>
            <w:tcW w:w="1605" w:type="dxa"/>
          </w:tcPr>
          <w:p w:rsidR="00B9359B" w:rsidRDefault="009A5268">
            <w:pPr>
              <w:pStyle w:val="Tabletext"/>
              <w:framePr w:hSpace="181" w:wrap="notBeside" w:vAnchor="text" w:hAnchor="text" w:xAlign="center" w:y="1"/>
              <w:spacing w:before="30" w:after="30"/>
              <w:jc w:val="center"/>
              <w:rPr>
                <w:lang w:val="en-US"/>
              </w:rPr>
            </w:pPr>
            <w:r>
              <w:rPr>
                <w:lang w:val="en-US"/>
              </w:rPr>
              <w:t>None</w:t>
            </w:r>
          </w:p>
        </w:tc>
        <w:tc>
          <w:tcPr>
            <w:tcW w:w="1189" w:type="dxa"/>
          </w:tcPr>
          <w:p w:rsidR="00B9359B" w:rsidRDefault="009A5268">
            <w:pPr>
              <w:pStyle w:val="Tabletext"/>
              <w:framePr w:hSpace="181" w:wrap="notBeside" w:vAnchor="text" w:hAnchor="text" w:xAlign="center" w:y="1"/>
              <w:spacing w:before="30" w:after="30"/>
              <w:jc w:val="center"/>
              <w:rPr>
                <w:lang w:val="en-US"/>
              </w:rPr>
            </w:pPr>
            <w:r>
              <w:rPr>
                <w:lang w:val="en-US"/>
              </w:rPr>
              <w:t>29.7</w:t>
            </w:r>
          </w:p>
        </w:tc>
        <w:tc>
          <w:tcPr>
            <w:tcW w:w="1187" w:type="dxa"/>
          </w:tcPr>
          <w:p w:rsidR="00B9359B" w:rsidRDefault="009A5268">
            <w:pPr>
              <w:pStyle w:val="Tabletext"/>
              <w:framePr w:hSpace="181" w:wrap="notBeside" w:vAnchor="text" w:hAnchor="text" w:xAlign="center" w:y="1"/>
              <w:spacing w:before="30" w:after="30"/>
              <w:jc w:val="center"/>
              <w:rPr>
                <w:lang w:val="en-US"/>
              </w:rPr>
            </w:pPr>
            <w:r>
              <w:rPr>
                <w:lang w:val="en-US"/>
              </w:rPr>
              <w:t>17</w:t>
            </w:r>
          </w:p>
        </w:tc>
        <w:tc>
          <w:tcPr>
            <w:tcW w:w="1118" w:type="dxa"/>
          </w:tcPr>
          <w:p w:rsidR="00B9359B" w:rsidRDefault="009A5268">
            <w:pPr>
              <w:pStyle w:val="Tabletext"/>
              <w:framePr w:hSpace="181" w:wrap="notBeside" w:vAnchor="text" w:hAnchor="text" w:xAlign="center" w:y="1"/>
              <w:spacing w:before="30" w:after="30"/>
              <w:jc w:val="center"/>
              <w:rPr>
                <w:lang w:val="en-US"/>
              </w:rPr>
            </w:pPr>
            <w:r>
              <w:rPr>
                <w:lang w:val="en-US"/>
              </w:rPr>
              <w:t>26.4</w:t>
            </w:r>
          </w:p>
        </w:tc>
        <w:tc>
          <w:tcPr>
            <w:tcW w:w="1118" w:type="dxa"/>
            <w:tcBorders>
              <w:top w:val="single" w:sz="4" w:space="0" w:color="auto"/>
            </w:tcBorders>
          </w:tcPr>
          <w:p w:rsidR="00B9359B" w:rsidRDefault="009A5268">
            <w:pPr>
              <w:pStyle w:val="Tabletext"/>
              <w:framePr w:hSpace="181" w:wrap="notBeside" w:vAnchor="text" w:hAnchor="text" w:xAlign="center" w:y="1"/>
              <w:spacing w:before="30" w:after="30"/>
              <w:jc w:val="center"/>
              <w:rPr>
                <w:lang w:val="en-US"/>
              </w:rPr>
            </w:pPr>
            <w:r>
              <w:rPr>
                <w:lang w:val="en-US"/>
              </w:rPr>
              <w:t>28.9</w:t>
            </w:r>
          </w:p>
        </w:tc>
        <w:tc>
          <w:tcPr>
            <w:tcW w:w="979" w:type="dxa"/>
            <w:tcBorders>
              <w:top w:val="single" w:sz="4" w:space="0" w:color="auto"/>
            </w:tcBorders>
          </w:tcPr>
          <w:p w:rsidR="00B9359B" w:rsidRDefault="009A5268">
            <w:pPr>
              <w:pStyle w:val="Tabletext"/>
              <w:framePr w:hSpace="181" w:wrap="notBeside" w:vAnchor="text" w:hAnchor="text" w:xAlign="center" w:y="1"/>
              <w:spacing w:before="30" w:after="30"/>
              <w:jc w:val="center"/>
              <w:rPr>
                <w:lang w:val="en-US"/>
              </w:rPr>
            </w:pPr>
            <w:r>
              <w:rPr>
                <w:lang w:val="en-US"/>
              </w:rPr>
              <w:t>14.2</w:t>
            </w:r>
          </w:p>
        </w:tc>
      </w:tr>
      <w:tr w:rsidR="00B9359B">
        <w:tc>
          <w:tcPr>
            <w:tcW w:w="2443" w:type="dxa"/>
          </w:tcPr>
          <w:p w:rsidR="00B9359B" w:rsidRDefault="009A5268">
            <w:pPr>
              <w:pStyle w:val="Tabletext"/>
              <w:framePr w:hSpace="181" w:wrap="notBeside" w:vAnchor="text" w:hAnchor="text" w:xAlign="center" w:y="1"/>
              <w:spacing w:before="30" w:after="30"/>
              <w:jc w:val="left"/>
              <w:rPr>
                <w:lang w:val="en-US"/>
              </w:rPr>
            </w:pPr>
            <w:r>
              <w:rPr>
                <w:bCs/>
                <w:lang w:val="en-US"/>
              </w:rPr>
              <w:t xml:space="preserve">Necessary </w:t>
            </w:r>
            <w:r>
              <w:rPr>
                <w:lang w:val="en-US"/>
              </w:rPr>
              <w:t>bandwidth</w:t>
            </w:r>
            <w:r>
              <w:rPr>
                <w:bCs/>
                <w:lang w:val="en-US"/>
              </w:rPr>
              <w:t xml:space="preserve"> (MHz)</w:t>
            </w:r>
          </w:p>
        </w:tc>
        <w:tc>
          <w:tcPr>
            <w:tcW w:w="1605" w:type="dxa"/>
          </w:tcPr>
          <w:p w:rsidR="00B9359B" w:rsidRDefault="009A5268">
            <w:pPr>
              <w:pStyle w:val="Tabletext"/>
              <w:framePr w:hSpace="181" w:wrap="notBeside" w:vAnchor="text" w:hAnchor="text" w:xAlign="center" w:y="1"/>
              <w:spacing w:before="30" w:after="30"/>
              <w:jc w:val="center"/>
              <w:rPr>
                <w:lang w:val="en-US"/>
              </w:rPr>
            </w:pPr>
            <w:r>
              <w:rPr>
                <w:lang w:val="en-US"/>
              </w:rPr>
              <w:t>105.6</w:t>
            </w:r>
          </w:p>
        </w:tc>
        <w:tc>
          <w:tcPr>
            <w:tcW w:w="1189" w:type="dxa"/>
          </w:tcPr>
          <w:p w:rsidR="00B9359B" w:rsidRDefault="009A5268">
            <w:pPr>
              <w:pStyle w:val="Tabletext"/>
              <w:framePr w:hSpace="181" w:wrap="notBeside" w:vAnchor="text" w:hAnchor="text" w:xAlign="center" w:y="1"/>
              <w:spacing w:before="30" w:after="30"/>
              <w:jc w:val="center"/>
              <w:rPr>
                <w:lang w:val="en-US"/>
              </w:rPr>
            </w:pPr>
            <w:r>
              <w:rPr>
                <w:lang w:val="en-US"/>
              </w:rPr>
              <w:t>150</w:t>
            </w:r>
          </w:p>
        </w:tc>
        <w:tc>
          <w:tcPr>
            <w:tcW w:w="1187" w:type="dxa"/>
          </w:tcPr>
          <w:p w:rsidR="00B9359B" w:rsidRDefault="009A5268">
            <w:pPr>
              <w:pStyle w:val="Tabletext"/>
              <w:framePr w:hSpace="181" w:wrap="notBeside" w:vAnchor="text" w:hAnchor="text" w:xAlign="center" w:y="1"/>
              <w:spacing w:before="30" w:after="30"/>
              <w:jc w:val="center"/>
              <w:rPr>
                <w:lang w:val="en-US"/>
              </w:rPr>
            </w:pPr>
            <w:r>
              <w:rPr>
                <w:lang w:val="en-US"/>
              </w:rPr>
              <w:t>300</w:t>
            </w:r>
          </w:p>
        </w:tc>
        <w:tc>
          <w:tcPr>
            <w:tcW w:w="1118" w:type="dxa"/>
          </w:tcPr>
          <w:p w:rsidR="00B9359B" w:rsidRDefault="009A5268">
            <w:pPr>
              <w:pStyle w:val="Tabletext"/>
              <w:framePr w:hSpace="181" w:wrap="notBeside" w:vAnchor="text" w:hAnchor="text" w:xAlign="center" w:y="1"/>
              <w:spacing w:before="30" w:after="30"/>
              <w:jc w:val="center"/>
              <w:rPr>
                <w:lang w:val="en-US"/>
              </w:rPr>
            </w:pPr>
            <w:r>
              <w:rPr>
                <w:lang w:val="en-US"/>
              </w:rPr>
              <w:t>200</w:t>
            </w:r>
          </w:p>
        </w:tc>
        <w:tc>
          <w:tcPr>
            <w:tcW w:w="1118" w:type="dxa"/>
          </w:tcPr>
          <w:p w:rsidR="00B9359B" w:rsidRDefault="009A5268">
            <w:pPr>
              <w:pStyle w:val="Tabletext"/>
              <w:framePr w:hSpace="181" w:wrap="notBeside" w:vAnchor="text" w:hAnchor="text" w:xAlign="center" w:y="1"/>
              <w:spacing w:before="30" w:after="30"/>
              <w:jc w:val="center"/>
              <w:rPr>
                <w:lang w:val="en-US"/>
              </w:rPr>
            </w:pPr>
            <w:r>
              <w:rPr>
                <w:lang w:val="en-US"/>
              </w:rPr>
              <w:t>125</w:t>
            </w:r>
          </w:p>
        </w:tc>
        <w:tc>
          <w:tcPr>
            <w:tcW w:w="979" w:type="dxa"/>
          </w:tcPr>
          <w:p w:rsidR="00B9359B" w:rsidRDefault="009A5268">
            <w:pPr>
              <w:pStyle w:val="Tabletext"/>
              <w:framePr w:hSpace="181" w:wrap="notBeside" w:vAnchor="text" w:hAnchor="text" w:xAlign="center" w:y="1"/>
              <w:spacing w:before="30" w:after="30"/>
              <w:jc w:val="center"/>
              <w:rPr>
                <w:lang w:val="en-US"/>
              </w:rPr>
            </w:pPr>
            <w:r>
              <w:rPr>
                <w:lang w:val="en-US"/>
              </w:rPr>
              <w:t>11</w:t>
            </w:r>
          </w:p>
        </w:tc>
      </w:tr>
      <w:tr w:rsidR="00B9359B">
        <w:tc>
          <w:tcPr>
            <w:tcW w:w="2443" w:type="dxa"/>
          </w:tcPr>
          <w:p w:rsidR="00B9359B" w:rsidRDefault="009A5268">
            <w:pPr>
              <w:pStyle w:val="Tabletext"/>
              <w:framePr w:hSpace="181" w:wrap="notBeside" w:vAnchor="text" w:hAnchor="text" w:xAlign="center" w:y="1"/>
              <w:spacing w:before="30" w:after="30"/>
              <w:jc w:val="left"/>
              <w:rPr>
                <w:lang w:val="en-US"/>
              </w:rPr>
            </w:pPr>
            <w:r>
              <w:rPr>
                <w:bCs/>
                <w:lang w:val="en-US"/>
              </w:rPr>
              <w:t>Passive band (% </w:t>
            </w:r>
            <w:r>
              <w:rPr>
                <w:bCs/>
                <w:i/>
                <w:lang w:val="en-US"/>
              </w:rPr>
              <w:t>B</w:t>
            </w:r>
            <w:r>
              <w:rPr>
                <w:bCs/>
                <w:i/>
                <w:vertAlign w:val="subscript"/>
                <w:lang w:val="en-US"/>
              </w:rPr>
              <w:t>N</w:t>
            </w:r>
            <w:r>
              <w:rPr>
                <w:bCs/>
                <w:lang w:val="en-US"/>
              </w:rPr>
              <w:t>)</w:t>
            </w:r>
          </w:p>
        </w:tc>
        <w:tc>
          <w:tcPr>
            <w:tcW w:w="1605" w:type="dxa"/>
          </w:tcPr>
          <w:p w:rsidR="00B9359B" w:rsidRDefault="009A5268">
            <w:pPr>
              <w:pStyle w:val="Tabletext"/>
              <w:framePr w:hSpace="181" w:wrap="notBeside" w:vAnchor="text" w:hAnchor="text" w:xAlign="center" w:y="1"/>
              <w:spacing w:before="30" w:after="30"/>
              <w:jc w:val="center"/>
              <w:rPr>
                <w:lang w:val="en-US"/>
              </w:rPr>
            </w:pPr>
            <w:r>
              <w:rPr>
                <w:lang w:val="en-US"/>
              </w:rPr>
              <w:t>190</w:t>
            </w:r>
          </w:p>
        </w:tc>
        <w:tc>
          <w:tcPr>
            <w:tcW w:w="1189" w:type="dxa"/>
          </w:tcPr>
          <w:p w:rsidR="00B9359B" w:rsidRDefault="009A5268">
            <w:pPr>
              <w:pStyle w:val="Tabletext"/>
              <w:framePr w:hSpace="181" w:wrap="notBeside" w:vAnchor="text" w:hAnchor="text" w:xAlign="center" w:y="1"/>
              <w:spacing w:before="30" w:after="30"/>
              <w:jc w:val="center"/>
              <w:rPr>
                <w:lang w:val="en-US"/>
              </w:rPr>
            </w:pPr>
            <w:r>
              <w:rPr>
                <w:lang w:val="en-US"/>
              </w:rPr>
              <w:t>133</w:t>
            </w:r>
          </w:p>
        </w:tc>
        <w:tc>
          <w:tcPr>
            <w:tcW w:w="1187" w:type="dxa"/>
          </w:tcPr>
          <w:p w:rsidR="00B9359B" w:rsidRDefault="009A5268">
            <w:pPr>
              <w:pStyle w:val="Tabletext"/>
              <w:framePr w:hSpace="181" w:wrap="notBeside" w:vAnchor="text" w:hAnchor="text" w:xAlign="center" w:y="1"/>
              <w:spacing w:before="30" w:after="30"/>
              <w:jc w:val="center"/>
              <w:rPr>
                <w:lang w:val="en-US"/>
              </w:rPr>
            </w:pPr>
            <w:r>
              <w:rPr>
                <w:lang w:val="en-US"/>
              </w:rPr>
              <w:t>67</w:t>
            </w:r>
          </w:p>
        </w:tc>
        <w:tc>
          <w:tcPr>
            <w:tcW w:w="1118" w:type="dxa"/>
          </w:tcPr>
          <w:p w:rsidR="00B9359B" w:rsidRDefault="009A5268">
            <w:pPr>
              <w:pStyle w:val="Tabletext"/>
              <w:framePr w:hSpace="181" w:wrap="notBeside" w:vAnchor="text" w:hAnchor="text" w:xAlign="center" w:y="1"/>
              <w:spacing w:before="30" w:after="30"/>
              <w:jc w:val="center"/>
              <w:rPr>
                <w:lang w:val="en-US"/>
              </w:rPr>
            </w:pPr>
            <w:r>
              <w:rPr>
                <w:lang w:val="en-US"/>
              </w:rPr>
              <w:t>100</w:t>
            </w:r>
          </w:p>
        </w:tc>
        <w:tc>
          <w:tcPr>
            <w:tcW w:w="1118" w:type="dxa"/>
          </w:tcPr>
          <w:p w:rsidR="00B9359B" w:rsidRDefault="009A5268">
            <w:pPr>
              <w:pStyle w:val="Tabletext"/>
              <w:framePr w:hSpace="181" w:wrap="notBeside" w:vAnchor="text" w:hAnchor="text" w:xAlign="center" w:y="1"/>
              <w:spacing w:before="30" w:after="30"/>
              <w:jc w:val="center"/>
              <w:rPr>
                <w:lang w:val="en-US"/>
              </w:rPr>
            </w:pPr>
            <w:r>
              <w:rPr>
                <w:lang w:val="en-US"/>
              </w:rPr>
              <w:t>160</w:t>
            </w:r>
          </w:p>
        </w:tc>
        <w:tc>
          <w:tcPr>
            <w:tcW w:w="979" w:type="dxa"/>
          </w:tcPr>
          <w:p w:rsidR="00B9359B" w:rsidRDefault="009A5268">
            <w:pPr>
              <w:pStyle w:val="Tabletext"/>
              <w:framePr w:hSpace="181" w:wrap="notBeside" w:vAnchor="text" w:hAnchor="text" w:xAlign="center" w:y="1"/>
              <w:spacing w:before="30" w:after="30"/>
              <w:jc w:val="center"/>
              <w:rPr>
                <w:lang w:val="en-US"/>
              </w:rPr>
            </w:pPr>
            <w:r>
              <w:rPr>
                <w:lang w:val="en-US"/>
              </w:rPr>
              <w:t>1 818</w:t>
            </w:r>
          </w:p>
        </w:tc>
      </w:tr>
      <w:tr w:rsidR="00B9359B">
        <w:tc>
          <w:tcPr>
            <w:tcW w:w="2443" w:type="dxa"/>
          </w:tcPr>
          <w:p w:rsidR="00B9359B" w:rsidRDefault="009A5268">
            <w:pPr>
              <w:pStyle w:val="Tabletext"/>
              <w:framePr w:hSpace="181" w:wrap="notBeside" w:vAnchor="text" w:hAnchor="text" w:xAlign="center" w:y="1"/>
              <w:spacing w:before="30" w:after="30"/>
              <w:jc w:val="left"/>
              <w:rPr>
                <w:lang w:val="en-US"/>
              </w:rPr>
            </w:pPr>
            <w:r>
              <w:rPr>
                <w:bCs/>
                <w:lang w:val="en-US"/>
              </w:rPr>
              <w:t xml:space="preserve">Offset from centre </w:t>
            </w:r>
            <w:r>
              <w:rPr>
                <w:bCs/>
                <w:i/>
                <w:lang w:val="en-US"/>
              </w:rPr>
              <w:t>B</w:t>
            </w:r>
            <w:r>
              <w:rPr>
                <w:bCs/>
                <w:i/>
                <w:vertAlign w:val="subscript"/>
                <w:lang w:val="en-US"/>
              </w:rPr>
              <w:t>N</w:t>
            </w:r>
            <w:r>
              <w:rPr>
                <w:bCs/>
                <w:iCs/>
                <w:sz w:val="18"/>
                <w:lang w:val="en-US"/>
              </w:rPr>
              <w:t xml:space="preserve"> </w:t>
            </w:r>
            <w:r>
              <w:rPr>
                <w:bCs/>
                <w:lang w:val="en-US"/>
              </w:rPr>
              <w:t>(% </w:t>
            </w:r>
            <w:r>
              <w:rPr>
                <w:bCs/>
                <w:i/>
                <w:lang w:val="en-US"/>
              </w:rPr>
              <w:t>B</w:t>
            </w:r>
            <w:r>
              <w:rPr>
                <w:bCs/>
                <w:i/>
                <w:vertAlign w:val="subscript"/>
                <w:lang w:val="en-US"/>
              </w:rPr>
              <w:t>N</w:t>
            </w:r>
            <w:r>
              <w:rPr>
                <w:bCs/>
                <w:lang w:val="en-US"/>
              </w:rPr>
              <w:t>)</w:t>
            </w:r>
          </w:p>
        </w:tc>
        <w:tc>
          <w:tcPr>
            <w:tcW w:w="1605" w:type="dxa"/>
          </w:tcPr>
          <w:p w:rsidR="00B9359B" w:rsidRDefault="009A5268">
            <w:pPr>
              <w:pStyle w:val="Tabletext"/>
              <w:framePr w:hSpace="181" w:wrap="notBeside" w:vAnchor="text" w:hAnchor="text" w:xAlign="center" w:y="1"/>
              <w:spacing w:before="30" w:after="30"/>
              <w:jc w:val="center"/>
              <w:rPr>
                <w:lang w:val="en-US"/>
              </w:rPr>
            </w:pPr>
            <w:r>
              <w:rPr>
                <w:lang w:val="en-US"/>
              </w:rPr>
              <w:t>None</w:t>
            </w:r>
          </w:p>
        </w:tc>
        <w:tc>
          <w:tcPr>
            <w:tcW w:w="1189" w:type="dxa"/>
          </w:tcPr>
          <w:p w:rsidR="00B9359B" w:rsidRDefault="009A5268">
            <w:pPr>
              <w:pStyle w:val="Tabletext"/>
              <w:framePr w:hSpace="181" w:wrap="notBeside" w:vAnchor="text" w:hAnchor="text" w:xAlign="center" w:y="1"/>
              <w:spacing w:before="30" w:after="30"/>
              <w:jc w:val="center"/>
              <w:rPr>
                <w:lang w:val="en-US"/>
              </w:rPr>
            </w:pPr>
            <w:r>
              <w:rPr>
                <w:lang w:val="en-US"/>
              </w:rPr>
              <w:t>82</w:t>
            </w:r>
          </w:p>
        </w:tc>
        <w:tc>
          <w:tcPr>
            <w:tcW w:w="1187" w:type="dxa"/>
          </w:tcPr>
          <w:p w:rsidR="00B9359B" w:rsidRDefault="009A5268">
            <w:pPr>
              <w:pStyle w:val="Tabletext"/>
              <w:framePr w:hSpace="181" w:wrap="notBeside" w:vAnchor="text" w:hAnchor="text" w:xAlign="center" w:y="1"/>
              <w:spacing w:before="30" w:after="30"/>
              <w:jc w:val="center"/>
              <w:rPr>
                <w:lang w:val="en-US"/>
              </w:rPr>
            </w:pPr>
            <w:r>
              <w:rPr>
                <w:lang w:val="en-US"/>
              </w:rPr>
              <w:t>60</w:t>
            </w:r>
          </w:p>
        </w:tc>
        <w:tc>
          <w:tcPr>
            <w:tcW w:w="1118" w:type="dxa"/>
          </w:tcPr>
          <w:p w:rsidR="00B9359B" w:rsidRDefault="009A5268">
            <w:pPr>
              <w:pStyle w:val="Tabletext"/>
              <w:framePr w:hSpace="181" w:wrap="notBeside" w:vAnchor="text" w:hAnchor="text" w:xAlign="center" w:y="1"/>
              <w:spacing w:before="30" w:after="30"/>
              <w:jc w:val="center"/>
              <w:rPr>
                <w:lang w:val="en-US"/>
              </w:rPr>
            </w:pPr>
            <w:r>
              <w:rPr>
                <w:lang w:val="en-US"/>
              </w:rPr>
              <w:t>77</w:t>
            </w:r>
          </w:p>
        </w:tc>
        <w:tc>
          <w:tcPr>
            <w:tcW w:w="1118" w:type="dxa"/>
          </w:tcPr>
          <w:p w:rsidR="00B9359B" w:rsidRDefault="009A5268">
            <w:pPr>
              <w:pStyle w:val="Tabletext"/>
              <w:framePr w:hSpace="181" w:wrap="notBeside" w:vAnchor="text" w:hAnchor="text" w:xAlign="center" w:y="1"/>
              <w:spacing w:before="30" w:after="30"/>
              <w:jc w:val="center"/>
              <w:rPr>
                <w:lang w:val="en-US"/>
              </w:rPr>
            </w:pPr>
            <w:r>
              <w:rPr>
                <w:lang w:val="en-US"/>
              </w:rPr>
              <w:t>81</w:t>
            </w:r>
          </w:p>
        </w:tc>
        <w:tc>
          <w:tcPr>
            <w:tcW w:w="979" w:type="dxa"/>
          </w:tcPr>
          <w:p w:rsidR="00B9359B" w:rsidRDefault="009A5268">
            <w:pPr>
              <w:pStyle w:val="Tabletext"/>
              <w:framePr w:hSpace="181" w:wrap="notBeside" w:vAnchor="text" w:hAnchor="text" w:xAlign="center" w:y="1"/>
              <w:spacing w:before="30" w:after="30"/>
              <w:jc w:val="center"/>
              <w:rPr>
                <w:lang w:val="en-US"/>
              </w:rPr>
            </w:pPr>
            <w:r>
              <w:rPr>
                <w:lang w:val="en-US"/>
              </w:rPr>
              <w:t>53</w:t>
            </w:r>
          </w:p>
        </w:tc>
      </w:tr>
      <w:tr w:rsidR="00B9359B">
        <w:tc>
          <w:tcPr>
            <w:tcW w:w="2443" w:type="dxa"/>
          </w:tcPr>
          <w:p w:rsidR="00B9359B" w:rsidRDefault="009A5268">
            <w:pPr>
              <w:pStyle w:val="Tabletext"/>
              <w:framePr w:hSpace="181" w:wrap="notBeside" w:vAnchor="text" w:hAnchor="text" w:xAlign="center" w:y="1"/>
              <w:spacing w:before="30" w:after="30"/>
              <w:jc w:val="left"/>
              <w:rPr>
                <w:lang w:val="en-US"/>
              </w:rPr>
            </w:pPr>
            <w:r>
              <w:rPr>
                <w:bCs/>
                <w:lang w:val="en-US"/>
              </w:rPr>
              <w:t xml:space="preserve">Offset from centre </w:t>
            </w:r>
            <w:r>
              <w:rPr>
                <w:bCs/>
                <w:i/>
                <w:lang w:val="en-US"/>
              </w:rPr>
              <w:t>B</w:t>
            </w:r>
            <w:r>
              <w:rPr>
                <w:bCs/>
                <w:i/>
                <w:vertAlign w:val="subscript"/>
                <w:lang w:val="en-US"/>
              </w:rPr>
              <w:t>N</w:t>
            </w:r>
            <w:r>
              <w:rPr>
                <w:bCs/>
                <w:iCs/>
                <w:sz w:val="18"/>
                <w:lang w:val="en-US"/>
              </w:rPr>
              <w:t xml:space="preserve"> </w:t>
            </w:r>
            <w:r>
              <w:rPr>
                <w:bCs/>
                <w:lang w:val="en-US"/>
              </w:rPr>
              <w:t>(MHz)</w:t>
            </w:r>
          </w:p>
        </w:tc>
        <w:tc>
          <w:tcPr>
            <w:tcW w:w="1605" w:type="dxa"/>
          </w:tcPr>
          <w:p w:rsidR="00B9359B" w:rsidRDefault="009A5268">
            <w:pPr>
              <w:pStyle w:val="Tabletext"/>
              <w:framePr w:hSpace="181" w:wrap="notBeside" w:vAnchor="text" w:hAnchor="text" w:xAlign="center" w:y="1"/>
              <w:spacing w:before="30" w:after="30"/>
              <w:jc w:val="center"/>
              <w:rPr>
                <w:b/>
                <w:bCs/>
                <w:lang w:val="en-US"/>
              </w:rPr>
            </w:pPr>
            <w:r>
              <w:rPr>
                <w:b/>
                <w:lang w:val="en-US"/>
              </w:rPr>
              <w:t>None</w:t>
            </w:r>
          </w:p>
        </w:tc>
        <w:tc>
          <w:tcPr>
            <w:tcW w:w="1189" w:type="dxa"/>
          </w:tcPr>
          <w:p w:rsidR="00B9359B" w:rsidRDefault="009A5268">
            <w:pPr>
              <w:pStyle w:val="Tabletext"/>
              <w:framePr w:hSpace="181" w:wrap="notBeside" w:vAnchor="text" w:hAnchor="text" w:xAlign="center" w:y="1"/>
              <w:spacing w:before="30" w:after="30"/>
              <w:jc w:val="center"/>
              <w:rPr>
                <w:b/>
                <w:lang w:val="en-US"/>
              </w:rPr>
            </w:pPr>
            <w:r>
              <w:rPr>
                <w:b/>
                <w:lang w:val="en-US"/>
              </w:rPr>
              <w:t xml:space="preserve">123 </w:t>
            </w:r>
          </w:p>
        </w:tc>
        <w:tc>
          <w:tcPr>
            <w:tcW w:w="1187" w:type="dxa"/>
          </w:tcPr>
          <w:p w:rsidR="00B9359B" w:rsidRDefault="009A5268">
            <w:pPr>
              <w:pStyle w:val="Tabletext"/>
              <w:framePr w:hSpace="181" w:wrap="notBeside" w:vAnchor="text" w:hAnchor="text" w:xAlign="center" w:y="1"/>
              <w:spacing w:before="30" w:after="30"/>
              <w:jc w:val="center"/>
              <w:rPr>
                <w:b/>
                <w:lang w:val="en-US"/>
              </w:rPr>
            </w:pPr>
            <w:r>
              <w:rPr>
                <w:b/>
                <w:lang w:val="en-US"/>
              </w:rPr>
              <w:t xml:space="preserve">180 </w:t>
            </w:r>
          </w:p>
        </w:tc>
        <w:tc>
          <w:tcPr>
            <w:tcW w:w="1118" w:type="dxa"/>
          </w:tcPr>
          <w:p w:rsidR="00B9359B" w:rsidRDefault="009A5268">
            <w:pPr>
              <w:pStyle w:val="Tabletext"/>
              <w:framePr w:hSpace="181" w:wrap="notBeside" w:vAnchor="text" w:hAnchor="text" w:xAlign="center" w:y="1"/>
              <w:spacing w:before="30" w:after="30"/>
              <w:jc w:val="center"/>
              <w:rPr>
                <w:b/>
                <w:lang w:val="en-US"/>
              </w:rPr>
            </w:pPr>
            <w:r>
              <w:rPr>
                <w:b/>
                <w:lang w:val="en-US"/>
              </w:rPr>
              <w:t xml:space="preserve">154 </w:t>
            </w:r>
          </w:p>
        </w:tc>
        <w:tc>
          <w:tcPr>
            <w:tcW w:w="1118" w:type="dxa"/>
          </w:tcPr>
          <w:p w:rsidR="00B9359B" w:rsidRDefault="009A5268">
            <w:pPr>
              <w:pStyle w:val="Tabletext"/>
              <w:framePr w:hSpace="181" w:wrap="notBeside" w:vAnchor="text" w:hAnchor="text" w:xAlign="center" w:y="1"/>
              <w:spacing w:before="30" w:after="30"/>
              <w:ind w:left="-57" w:right="-57"/>
              <w:jc w:val="center"/>
              <w:rPr>
                <w:b/>
                <w:lang w:val="en-US"/>
              </w:rPr>
            </w:pPr>
            <w:r>
              <w:rPr>
                <w:b/>
                <w:lang w:val="en-US"/>
              </w:rPr>
              <w:t xml:space="preserve">101 </w:t>
            </w:r>
          </w:p>
        </w:tc>
        <w:tc>
          <w:tcPr>
            <w:tcW w:w="979" w:type="dxa"/>
          </w:tcPr>
          <w:p w:rsidR="00B9359B" w:rsidRDefault="009A5268">
            <w:pPr>
              <w:pStyle w:val="Tabletext"/>
              <w:framePr w:hSpace="181" w:wrap="notBeside" w:vAnchor="text" w:hAnchor="text" w:xAlign="center" w:y="1"/>
              <w:spacing w:before="30" w:after="30"/>
              <w:ind w:left="-57" w:right="-57"/>
              <w:jc w:val="center"/>
              <w:rPr>
                <w:b/>
                <w:lang w:val="en-US"/>
              </w:rPr>
            </w:pPr>
            <w:r>
              <w:rPr>
                <w:b/>
                <w:lang w:val="en-US"/>
              </w:rPr>
              <w:t xml:space="preserve">6 </w:t>
            </w:r>
          </w:p>
        </w:tc>
      </w:tr>
      <w:tr w:rsidR="00B9359B">
        <w:tc>
          <w:tcPr>
            <w:tcW w:w="2443" w:type="dxa"/>
          </w:tcPr>
          <w:p w:rsidR="00B9359B" w:rsidRDefault="009A5268">
            <w:pPr>
              <w:pStyle w:val="Tabletext"/>
              <w:framePr w:hSpace="181" w:wrap="notBeside" w:vAnchor="text" w:hAnchor="text" w:xAlign="center" w:y="1"/>
              <w:spacing w:before="30" w:after="30"/>
              <w:jc w:val="left"/>
              <w:rPr>
                <w:lang w:val="en-US"/>
              </w:rPr>
            </w:pPr>
            <w:r>
              <w:rPr>
                <w:bCs/>
                <w:lang w:val="en-US"/>
              </w:rPr>
              <w:t>Required additional guardband (MHz)</w:t>
            </w:r>
          </w:p>
        </w:tc>
        <w:tc>
          <w:tcPr>
            <w:tcW w:w="1605" w:type="dxa"/>
          </w:tcPr>
          <w:p w:rsidR="00B9359B" w:rsidRDefault="009A5268">
            <w:pPr>
              <w:pStyle w:val="Tabletext"/>
              <w:framePr w:hSpace="181" w:wrap="notBeside" w:vAnchor="text" w:hAnchor="text" w:xAlign="center" w:y="1"/>
              <w:spacing w:before="30" w:after="30"/>
              <w:jc w:val="center"/>
              <w:rPr>
                <w:b/>
                <w:lang w:val="en-US"/>
              </w:rPr>
            </w:pPr>
            <w:r>
              <w:rPr>
                <w:b/>
                <w:lang w:val="en-US"/>
              </w:rPr>
              <w:t>0</w:t>
            </w:r>
          </w:p>
        </w:tc>
        <w:tc>
          <w:tcPr>
            <w:tcW w:w="1189" w:type="dxa"/>
          </w:tcPr>
          <w:p w:rsidR="00B9359B" w:rsidRDefault="009A5268">
            <w:pPr>
              <w:pStyle w:val="Tabletext"/>
              <w:framePr w:hSpace="181" w:wrap="notBeside" w:vAnchor="text" w:hAnchor="text" w:xAlign="center" w:y="1"/>
              <w:spacing w:before="30" w:after="30"/>
              <w:jc w:val="center"/>
              <w:rPr>
                <w:b/>
                <w:lang w:val="en-US"/>
              </w:rPr>
            </w:pPr>
            <w:r>
              <w:rPr>
                <w:b/>
                <w:lang w:val="en-US"/>
              </w:rPr>
              <w:t xml:space="preserve">48 </w:t>
            </w:r>
          </w:p>
        </w:tc>
        <w:tc>
          <w:tcPr>
            <w:tcW w:w="1187" w:type="dxa"/>
          </w:tcPr>
          <w:p w:rsidR="00B9359B" w:rsidRDefault="009A5268">
            <w:pPr>
              <w:pStyle w:val="Tabletext"/>
              <w:framePr w:hSpace="181" w:wrap="notBeside" w:vAnchor="text" w:hAnchor="text" w:xAlign="center" w:y="1"/>
              <w:spacing w:before="30" w:after="30"/>
              <w:jc w:val="center"/>
              <w:rPr>
                <w:b/>
                <w:lang w:val="en-US"/>
              </w:rPr>
            </w:pPr>
            <w:r>
              <w:rPr>
                <w:b/>
                <w:lang w:val="en-US"/>
              </w:rPr>
              <w:t xml:space="preserve">30 </w:t>
            </w:r>
          </w:p>
        </w:tc>
        <w:tc>
          <w:tcPr>
            <w:tcW w:w="1118" w:type="dxa"/>
          </w:tcPr>
          <w:p w:rsidR="00B9359B" w:rsidRDefault="009A5268">
            <w:pPr>
              <w:pStyle w:val="Tabletext"/>
              <w:framePr w:hSpace="181" w:wrap="notBeside" w:vAnchor="text" w:hAnchor="text" w:xAlign="center" w:y="1"/>
              <w:spacing w:before="30" w:after="30"/>
              <w:jc w:val="center"/>
              <w:rPr>
                <w:b/>
                <w:lang w:val="en-US"/>
              </w:rPr>
            </w:pPr>
            <w:r>
              <w:rPr>
                <w:b/>
                <w:lang w:val="en-US"/>
              </w:rPr>
              <w:t xml:space="preserve">54 </w:t>
            </w:r>
          </w:p>
        </w:tc>
        <w:tc>
          <w:tcPr>
            <w:tcW w:w="1118" w:type="dxa"/>
          </w:tcPr>
          <w:p w:rsidR="00B9359B" w:rsidRDefault="009A5268">
            <w:pPr>
              <w:pStyle w:val="Tabletext"/>
              <w:framePr w:hSpace="181" w:wrap="notBeside" w:vAnchor="text" w:hAnchor="text" w:xAlign="center" w:y="1"/>
              <w:spacing w:before="30" w:after="30"/>
              <w:jc w:val="center"/>
              <w:rPr>
                <w:b/>
                <w:lang w:val="en-US"/>
              </w:rPr>
            </w:pPr>
            <w:r>
              <w:rPr>
                <w:b/>
                <w:lang w:val="en-US"/>
              </w:rPr>
              <w:t xml:space="preserve">39 </w:t>
            </w:r>
          </w:p>
        </w:tc>
        <w:tc>
          <w:tcPr>
            <w:tcW w:w="979" w:type="dxa"/>
          </w:tcPr>
          <w:p w:rsidR="00B9359B" w:rsidRDefault="009A5268">
            <w:pPr>
              <w:pStyle w:val="Tabletext"/>
              <w:framePr w:hSpace="181" w:wrap="notBeside" w:vAnchor="text" w:hAnchor="text" w:xAlign="center" w:y="1"/>
              <w:spacing w:before="30" w:after="30"/>
              <w:jc w:val="center"/>
              <w:rPr>
                <w:b/>
                <w:lang w:val="en-US"/>
              </w:rPr>
            </w:pPr>
            <w:r>
              <w:rPr>
                <w:b/>
                <w:lang w:val="en-US"/>
              </w:rPr>
              <w:t>0</w:t>
            </w:r>
          </w:p>
        </w:tc>
      </w:tr>
    </w:tbl>
    <w:p w:rsidR="00B9359B" w:rsidRDefault="00B9359B">
      <w:pPr>
        <w:pStyle w:val="Tablefin"/>
        <w:spacing w:before="0"/>
        <w:rPr>
          <w:sz w:val="6"/>
        </w:rPr>
      </w:pPr>
    </w:p>
    <w:p w:rsidR="00B9359B" w:rsidRDefault="009A5268">
      <w:pPr>
        <w:rPr>
          <w:lang w:val="en-US"/>
        </w:rPr>
      </w:pPr>
      <w:r>
        <w:rPr>
          <w:lang w:val="en-US"/>
        </w:rPr>
        <w:br w:type="page"/>
        <w:t>The dynamic analysis provides a required attenuation of 26.3 dB for GSOV</w:t>
      </w:r>
      <w:r>
        <w:rPr>
          <w:lang w:val="en-US"/>
        </w:rPr>
        <w:noBreakHyphen/>
        <w:t>B2 which implies a guardband of 30 MHz.</w:t>
      </w:r>
    </w:p>
    <w:p w:rsidR="00B9359B" w:rsidRPr="00D35B94" w:rsidRDefault="009A5268">
      <w:pPr>
        <w:pStyle w:val="Heading1"/>
        <w:rPr>
          <w:lang w:val="en-GB"/>
        </w:rPr>
      </w:pPr>
      <w:bookmarkStart w:id="610" w:name="_Toc51046009"/>
      <w:r w:rsidRPr="00D35B94">
        <w:rPr>
          <w:lang w:val="en-GB"/>
        </w:rPr>
        <w:t>5</w:t>
      </w:r>
      <w:r w:rsidRPr="00D35B94">
        <w:rPr>
          <w:lang w:val="en-GB"/>
        </w:rPr>
        <w:tab/>
        <w:t>Mitigation techniques</w:t>
      </w:r>
      <w:bookmarkEnd w:id="610"/>
    </w:p>
    <w:p w:rsidR="00B9359B" w:rsidRPr="00D35B94" w:rsidRDefault="009A5268">
      <w:pPr>
        <w:pStyle w:val="Heading2"/>
        <w:rPr>
          <w:lang w:val="en-GB"/>
        </w:rPr>
      </w:pPr>
      <w:bookmarkStart w:id="611" w:name="_Toc51046010"/>
      <w:r w:rsidRPr="00D35B94">
        <w:rPr>
          <w:lang w:val="en-GB"/>
        </w:rPr>
        <w:t>5.1</w:t>
      </w:r>
      <w:r w:rsidRPr="00D35B94">
        <w:rPr>
          <w:lang w:val="en-GB"/>
        </w:rPr>
        <w:tab/>
        <w:t>EESS (passive)</w:t>
      </w:r>
      <w:bookmarkEnd w:id="611"/>
    </w:p>
    <w:p w:rsidR="00B9359B" w:rsidRDefault="009A5268">
      <w:pPr>
        <w:rPr>
          <w:lang w:val="en-US"/>
        </w:rPr>
      </w:pPr>
      <w:r>
        <w:rPr>
          <w:lang w:val="en-US"/>
        </w:rPr>
        <w:t>This subject needs further investigation.</w:t>
      </w:r>
    </w:p>
    <w:p w:rsidR="00B9359B" w:rsidRDefault="009A5268">
      <w:pPr>
        <w:pStyle w:val="Heading2"/>
        <w:rPr>
          <w:lang w:val="en-US"/>
        </w:rPr>
      </w:pPr>
      <w:bookmarkStart w:id="612" w:name="_Toc51046011"/>
      <w:r>
        <w:rPr>
          <w:lang w:val="en-US"/>
        </w:rPr>
        <w:t>5.2</w:t>
      </w:r>
      <w:r>
        <w:rPr>
          <w:lang w:val="en-US"/>
        </w:rPr>
        <w:tab/>
        <w:t>FSS</w:t>
      </w:r>
      <w:bookmarkEnd w:id="612"/>
    </w:p>
    <w:p w:rsidR="00B9359B" w:rsidRDefault="009A5268">
      <w:pPr>
        <w:pStyle w:val="Heading3"/>
        <w:rPr>
          <w:lang w:val="en-US"/>
        </w:rPr>
      </w:pPr>
      <w:bookmarkStart w:id="613" w:name="_Toc51046012"/>
      <w:r>
        <w:rPr>
          <w:lang w:val="en-US"/>
        </w:rPr>
        <w:t>5.2.1</w:t>
      </w:r>
      <w:r>
        <w:rPr>
          <w:lang w:val="en-US"/>
        </w:rPr>
        <w:tab/>
        <w:t>Offset of the active channel from band edge</w:t>
      </w:r>
      <w:bookmarkEnd w:id="613"/>
    </w:p>
    <w:p w:rsidR="00B9359B" w:rsidRDefault="009A5268">
      <w:pPr>
        <w:rPr>
          <w:lang w:val="en-US"/>
        </w:rPr>
      </w:pPr>
      <w:r>
        <w:rPr>
          <w:lang w:val="en-US"/>
        </w:rPr>
        <w:t>The results of the analysis (see Tables 111 and 112) indicate that, in most cases, considerable frequency off</w:t>
      </w:r>
      <w:r>
        <w:rPr>
          <w:lang w:val="en-US"/>
        </w:rPr>
        <w:noBreakHyphen/>
        <w:t>sets between the centre of the necessary bandwidths and the upper limit of the FSS allocated band would be required to protect the passive sensors from unwanted emissions. The most critical situations are obtained with transmissions involving simultaneously high e.i.r.p. and wide necessary bandwidth. Because the likelihood of main-lobe to main-lobe coincidences may be high in case of non</w:t>
      </w:r>
      <w:r>
        <w:rPr>
          <w:lang w:val="en-US"/>
        </w:rPr>
        <w:noBreakHyphen/>
        <w:t>GSO FSS systems and in case of GSO FSS earth stations close to the equator, in most cases, there are difficulties to achieve acceptable frequency offset to protect the adjacent passive allocation.</w:t>
      </w:r>
    </w:p>
    <w:p w:rsidR="00B9359B" w:rsidRDefault="009A5268">
      <w:pPr>
        <w:pStyle w:val="Heading3"/>
        <w:rPr>
          <w:lang w:val="en-US"/>
        </w:rPr>
      </w:pPr>
      <w:bookmarkStart w:id="614" w:name="_Toc51046013"/>
      <w:r>
        <w:rPr>
          <w:lang w:val="en-US"/>
        </w:rPr>
        <w:t>5.2.2</w:t>
      </w:r>
      <w:r>
        <w:rPr>
          <w:lang w:val="en-US"/>
        </w:rPr>
        <w:tab/>
        <w:t>Power and necessary bandwidth</w:t>
      </w:r>
      <w:bookmarkEnd w:id="614"/>
    </w:p>
    <w:p w:rsidR="00B9359B" w:rsidRDefault="009A5268">
      <w:pPr>
        <w:rPr>
          <w:lang w:val="en-US"/>
        </w:rPr>
      </w:pPr>
      <w:r>
        <w:rPr>
          <w:lang w:val="en-US"/>
        </w:rPr>
        <w:t>The reduction of power and necessary bandwidth could reduce the size of the required frequency offset.</w:t>
      </w:r>
    </w:p>
    <w:p w:rsidR="00B9359B" w:rsidRDefault="009A5268">
      <w:pPr>
        <w:pStyle w:val="Heading3"/>
        <w:rPr>
          <w:lang w:val="en-US"/>
        </w:rPr>
      </w:pPr>
      <w:bookmarkStart w:id="615" w:name="_Toc51046014"/>
      <w:r>
        <w:rPr>
          <w:lang w:val="en-US"/>
        </w:rPr>
        <w:t>5.2.3</w:t>
      </w:r>
      <w:r>
        <w:rPr>
          <w:lang w:val="en-US"/>
        </w:rPr>
        <w:tab/>
        <w:t>Inversion of the directions of transmission</w:t>
      </w:r>
      <w:bookmarkEnd w:id="615"/>
    </w:p>
    <w:p w:rsidR="00B9359B" w:rsidRDefault="009A5268">
      <w:pPr>
        <w:rPr>
          <w:lang w:val="en-US"/>
        </w:rPr>
      </w:pPr>
      <w:r>
        <w:rPr>
          <w:lang w:val="en-US"/>
        </w:rPr>
        <w:t>According to the characteristics of some GSO FSS Earth-to-space links, guardbands of about 30 MHz (following dynamic analysis) would be needed to fully protect the EESS (passive) band 50.2-50.4 GHz.</w:t>
      </w:r>
    </w:p>
    <w:p w:rsidR="00B9359B" w:rsidRDefault="009A5268">
      <w:pPr>
        <w:rPr>
          <w:lang w:val="en-US"/>
        </w:rPr>
      </w:pPr>
      <w:r>
        <w:rPr>
          <w:lang w:val="en-US"/>
        </w:rPr>
        <w:t>The characteristics of some non</w:t>
      </w:r>
      <w:r>
        <w:rPr>
          <w:lang w:val="en-US"/>
        </w:rPr>
        <w:noBreakHyphen/>
        <w:t>GSO FSS Earth-to-space links make them clearly incompatible with satisfactory operations of passive sensors in the adjacent frequency band, because the frequency offset that would be required to ensure sufficient rejection of the unwanted power is generally too large (required guardband of about 375 MHz). In Table 113, the power excess over the interference threshold is computed (co-frequency), under the assumption that the space-to-Earth links are implemented in the 47.2-50.2 GHz frequency band, instead of in the 37.5-42.5 GHz frequency band. The results show that the situation would be more favourable and that no, or minor frequency offsets would be required to protect the allocated passive band.</w:t>
      </w:r>
    </w:p>
    <w:p w:rsidR="00B9359B" w:rsidRDefault="009A5268">
      <w:pPr>
        <w:pStyle w:val="TableNo"/>
        <w:rPr>
          <w:lang w:val="en-US"/>
        </w:rPr>
      </w:pPr>
      <w:r>
        <w:rPr>
          <w:lang w:val="en-US"/>
        </w:rPr>
        <w:br w:type="page"/>
        <w:t>TABLE  113</w:t>
      </w:r>
    </w:p>
    <w:p w:rsidR="00B9359B" w:rsidRDefault="009A5268">
      <w:pPr>
        <w:pStyle w:val="Tabletitle"/>
        <w:rPr>
          <w:lang w:val="en-US"/>
        </w:rPr>
      </w:pPr>
      <w:r>
        <w:rPr>
          <w:lang w:val="en-US"/>
        </w:rPr>
        <w:t>Co-frequency interference with FSS downlinks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7"/>
        <w:gridCol w:w="1390"/>
        <w:gridCol w:w="975"/>
        <w:gridCol w:w="976"/>
        <w:gridCol w:w="1114"/>
        <w:gridCol w:w="975"/>
        <w:gridCol w:w="1252"/>
      </w:tblGrid>
      <w:tr w:rsidR="00B9359B">
        <w:tc>
          <w:tcPr>
            <w:tcW w:w="2957" w:type="dxa"/>
            <w:tcBorders>
              <w:bottom w:val="single" w:sz="4" w:space="0" w:color="auto"/>
            </w:tcBorders>
            <w:tcMar>
              <w:left w:w="108" w:type="dxa"/>
              <w:right w:w="108" w:type="dxa"/>
            </w:tcMar>
          </w:tcPr>
          <w:p w:rsidR="00B9359B" w:rsidRDefault="009A5268">
            <w:pPr>
              <w:pStyle w:val="Tablehead"/>
              <w:framePr w:hSpace="181" w:wrap="notBeside" w:vAnchor="text" w:hAnchor="text" w:xAlign="center" w:y="1"/>
              <w:spacing w:before="120" w:after="120"/>
              <w:jc w:val="left"/>
              <w:rPr>
                <w:lang w:val="en-US"/>
              </w:rPr>
            </w:pPr>
            <w:r>
              <w:rPr>
                <w:lang w:val="en-US"/>
              </w:rPr>
              <w:t>FSS system</w:t>
            </w:r>
          </w:p>
        </w:tc>
        <w:tc>
          <w:tcPr>
            <w:tcW w:w="1390" w:type="dxa"/>
            <w:tcBorders>
              <w:bottom w:val="single" w:sz="4" w:space="0" w:color="auto"/>
            </w:tcBorders>
            <w:tcMar>
              <w:left w:w="108" w:type="dxa"/>
              <w:right w:w="108" w:type="dxa"/>
            </w:tcMar>
          </w:tcPr>
          <w:p w:rsidR="00B9359B" w:rsidRDefault="009A5268">
            <w:pPr>
              <w:pStyle w:val="Tablehead"/>
              <w:framePr w:hSpace="181" w:wrap="notBeside" w:vAnchor="text" w:hAnchor="text" w:xAlign="center" w:y="1"/>
              <w:spacing w:before="120" w:after="120"/>
              <w:ind w:left="-57" w:right="-57"/>
              <w:rPr>
                <w:lang w:val="en-US"/>
              </w:rPr>
            </w:pPr>
            <w:r>
              <w:rPr>
                <w:lang w:val="en-US"/>
              </w:rPr>
              <w:t>MEOSAT-X</w:t>
            </w:r>
          </w:p>
        </w:tc>
        <w:tc>
          <w:tcPr>
            <w:tcW w:w="975" w:type="dxa"/>
            <w:tcBorders>
              <w:bottom w:val="single" w:sz="4" w:space="0" w:color="auto"/>
            </w:tcBorders>
            <w:tcMar>
              <w:left w:w="108" w:type="dxa"/>
              <w:right w:w="108" w:type="dxa"/>
            </w:tcMar>
          </w:tcPr>
          <w:p w:rsidR="00B9359B" w:rsidRDefault="009A5268">
            <w:pPr>
              <w:pStyle w:val="Tablehead"/>
              <w:framePr w:hSpace="181" w:wrap="notBeside" w:vAnchor="text" w:hAnchor="text" w:xAlign="center" w:y="1"/>
              <w:spacing w:before="120" w:after="120"/>
              <w:ind w:left="-57" w:right="-57"/>
              <w:rPr>
                <w:lang w:val="es-ES"/>
              </w:rPr>
            </w:pPr>
            <w:r>
              <w:rPr>
                <w:lang w:val="es-ES"/>
              </w:rPr>
              <w:t>LEO V1</w:t>
            </w:r>
          </w:p>
        </w:tc>
        <w:tc>
          <w:tcPr>
            <w:tcW w:w="976" w:type="dxa"/>
            <w:tcBorders>
              <w:bottom w:val="single" w:sz="4" w:space="0" w:color="auto"/>
            </w:tcBorders>
            <w:tcMar>
              <w:left w:w="108" w:type="dxa"/>
              <w:right w:w="108" w:type="dxa"/>
            </w:tcMar>
          </w:tcPr>
          <w:p w:rsidR="00B9359B" w:rsidRDefault="009A5268">
            <w:pPr>
              <w:pStyle w:val="Tablehead"/>
              <w:framePr w:hSpace="181" w:wrap="notBeside" w:vAnchor="text" w:hAnchor="text" w:xAlign="center" w:y="1"/>
              <w:spacing w:before="120" w:after="120"/>
              <w:ind w:left="-57" w:right="-57"/>
              <w:rPr>
                <w:lang w:val="es-ES"/>
              </w:rPr>
            </w:pPr>
            <w:r>
              <w:rPr>
                <w:lang w:val="es-ES"/>
              </w:rPr>
              <w:t>LEO V2</w:t>
            </w:r>
          </w:p>
        </w:tc>
        <w:tc>
          <w:tcPr>
            <w:tcW w:w="1114" w:type="dxa"/>
            <w:tcBorders>
              <w:bottom w:val="single" w:sz="4" w:space="0" w:color="auto"/>
            </w:tcBorders>
            <w:tcMar>
              <w:left w:w="108" w:type="dxa"/>
              <w:right w:w="108" w:type="dxa"/>
            </w:tcMar>
          </w:tcPr>
          <w:p w:rsidR="00B9359B" w:rsidRDefault="009A5268">
            <w:pPr>
              <w:pStyle w:val="Tablehead"/>
              <w:framePr w:hSpace="181" w:wrap="notBeside" w:vAnchor="text" w:hAnchor="text" w:xAlign="center" w:y="1"/>
              <w:spacing w:before="120" w:after="120"/>
              <w:rPr>
                <w:lang w:val="es-ES"/>
              </w:rPr>
            </w:pPr>
            <w:r>
              <w:rPr>
                <w:lang w:val="es-ES"/>
              </w:rPr>
              <w:t>GSO-VX</w:t>
            </w:r>
          </w:p>
        </w:tc>
        <w:tc>
          <w:tcPr>
            <w:tcW w:w="975" w:type="dxa"/>
            <w:tcBorders>
              <w:bottom w:val="single" w:sz="4" w:space="0" w:color="auto"/>
            </w:tcBorders>
            <w:tcMar>
              <w:left w:w="108" w:type="dxa"/>
              <w:right w:w="108" w:type="dxa"/>
            </w:tcMar>
          </w:tcPr>
          <w:p w:rsidR="00B9359B" w:rsidRDefault="009A5268">
            <w:pPr>
              <w:pStyle w:val="Tablehead"/>
              <w:framePr w:hSpace="181" w:wrap="notBeside" w:vAnchor="text" w:hAnchor="text" w:xAlign="center" w:y="1"/>
              <w:spacing w:before="120" w:after="120"/>
              <w:ind w:left="-57" w:right="-57"/>
              <w:rPr>
                <w:lang w:val="es-ES"/>
              </w:rPr>
            </w:pPr>
            <w:r>
              <w:rPr>
                <w:lang w:val="es-ES"/>
              </w:rPr>
              <w:t>GSO-SV</w:t>
            </w:r>
          </w:p>
        </w:tc>
        <w:tc>
          <w:tcPr>
            <w:tcW w:w="1252" w:type="dxa"/>
            <w:tcBorders>
              <w:bottom w:val="single" w:sz="4" w:space="0" w:color="auto"/>
            </w:tcBorders>
            <w:tcMar>
              <w:left w:w="108" w:type="dxa"/>
              <w:right w:w="108" w:type="dxa"/>
            </w:tcMar>
          </w:tcPr>
          <w:p w:rsidR="00B9359B" w:rsidRDefault="009A5268">
            <w:pPr>
              <w:pStyle w:val="Tablehead"/>
              <w:framePr w:hSpace="181" w:wrap="notBeside" w:vAnchor="text" w:hAnchor="text" w:xAlign="center" w:y="1"/>
              <w:spacing w:before="120" w:after="120"/>
              <w:rPr>
                <w:lang w:val="en-US"/>
              </w:rPr>
            </w:pPr>
            <w:r>
              <w:rPr>
                <w:lang w:val="en-US"/>
              </w:rPr>
              <w:t>GSOV-B2</w:t>
            </w:r>
          </w:p>
        </w:tc>
      </w:tr>
      <w:tr w:rsidR="00B9359B">
        <w:tc>
          <w:tcPr>
            <w:tcW w:w="2957" w:type="dxa"/>
            <w:tcMar>
              <w:left w:w="108" w:type="dxa"/>
              <w:right w:w="108" w:type="dxa"/>
            </w:tcMar>
          </w:tcPr>
          <w:p w:rsidR="00B9359B" w:rsidRDefault="009A5268">
            <w:pPr>
              <w:pStyle w:val="Tabletext"/>
              <w:framePr w:hSpace="181" w:wrap="notBeside" w:vAnchor="text" w:hAnchor="text" w:xAlign="center" w:y="1"/>
              <w:spacing w:before="80" w:after="80"/>
              <w:jc w:val="left"/>
              <w:rPr>
                <w:bCs/>
                <w:lang w:val="en-US"/>
              </w:rPr>
            </w:pPr>
            <w:r>
              <w:rPr>
                <w:bCs/>
                <w:lang w:val="en-US"/>
              </w:rPr>
              <w:t>Frequency (GHz)</w:t>
            </w:r>
          </w:p>
        </w:tc>
        <w:tc>
          <w:tcPr>
            <w:tcW w:w="6682" w:type="dxa"/>
            <w:gridSpan w:val="6"/>
            <w:tcMar>
              <w:left w:w="108" w:type="dxa"/>
              <w:right w:w="108" w:type="dxa"/>
            </w:tcMar>
          </w:tcPr>
          <w:p w:rsidR="00B9359B" w:rsidRDefault="009A5268">
            <w:pPr>
              <w:pStyle w:val="Tabletext"/>
              <w:framePr w:hSpace="181" w:wrap="notBeside" w:vAnchor="text" w:hAnchor="text" w:xAlign="center" w:y="1"/>
              <w:spacing w:before="80" w:after="80"/>
              <w:jc w:val="center"/>
              <w:rPr>
                <w:bCs/>
                <w:lang w:val="en-US"/>
              </w:rPr>
            </w:pPr>
            <w:r>
              <w:rPr>
                <w:bCs/>
                <w:lang w:val="en-US"/>
              </w:rPr>
              <w:t>37.5</w:t>
            </w:r>
            <w:r>
              <w:rPr>
                <w:bCs/>
                <w:lang w:val="en-US"/>
              </w:rPr>
              <w:noBreakHyphen/>
              <w:t>42.5</w:t>
            </w:r>
          </w:p>
        </w:tc>
      </w:tr>
      <w:tr w:rsidR="00B9359B">
        <w:tc>
          <w:tcPr>
            <w:tcW w:w="2957" w:type="dxa"/>
            <w:tcMar>
              <w:left w:w="108" w:type="dxa"/>
              <w:right w:w="108" w:type="dxa"/>
            </w:tcMar>
          </w:tcPr>
          <w:p w:rsidR="00B9359B" w:rsidRDefault="009A5268">
            <w:pPr>
              <w:pStyle w:val="Tabletext"/>
              <w:framePr w:hSpace="181" w:wrap="notBeside" w:vAnchor="text" w:hAnchor="text" w:xAlign="center" w:y="1"/>
              <w:spacing w:before="60" w:after="60"/>
              <w:jc w:val="left"/>
              <w:rPr>
                <w:bCs/>
                <w:lang w:val="en-US"/>
              </w:rPr>
            </w:pPr>
            <w:r>
              <w:rPr>
                <w:bCs/>
                <w:lang w:val="en-US"/>
              </w:rPr>
              <w:t>Orbit shape</w:t>
            </w:r>
          </w:p>
        </w:tc>
        <w:tc>
          <w:tcPr>
            <w:tcW w:w="3341" w:type="dxa"/>
            <w:gridSpan w:val="3"/>
            <w:tcMar>
              <w:left w:w="108" w:type="dxa"/>
              <w:right w:w="108" w:type="dxa"/>
            </w:tcMar>
          </w:tcPr>
          <w:p w:rsidR="00B9359B" w:rsidRDefault="009A5268">
            <w:pPr>
              <w:pStyle w:val="Tabletext"/>
              <w:framePr w:hSpace="181" w:wrap="notBeside" w:vAnchor="text" w:hAnchor="text" w:xAlign="center" w:y="1"/>
              <w:spacing w:before="60" w:after="60"/>
              <w:jc w:val="center"/>
              <w:rPr>
                <w:bCs/>
                <w:lang w:val="en-US"/>
              </w:rPr>
            </w:pPr>
            <w:r>
              <w:rPr>
                <w:bCs/>
                <w:lang w:val="en-US"/>
              </w:rPr>
              <w:t>Circular</w:t>
            </w:r>
          </w:p>
        </w:tc>
        <w:tc>
          <w:tcPr>
            <w:tcW w:w="3341" w:type="dxa"/>
            <w:gridSpan w:val="3"/>
            <w:tcMar>
              <w:left w:w="108" w:type="dxa"/>
              <w:right w:w="108" w:type="dxa"/>
            </w:tcMar>
          </w:tcPr>
          <w:p w:rsidR="00B9359B" w:rsidRDefault="009A5268">
            <w:pPr>
              <w:pStyle w:val="Tabletext"/>
              <w:framePr w:hSpace="181" w:wrap="notBeside" w:vAnchor="text" w:hAnchor="text" w:xAlign="center" w:y="1"/>
              <w:spacing w:before="60" w:after="60"/>
              <w:jc w:val="center"/>
              <w:rPr>
                <w:bCs/>
                <w:lang w:val="en-US"/>
              </w:rPr>
            </w:pPr>
            <w:r>
              <w:rPr>
                <w:bCs/>
                <w:lang w:val="en-US"/>
              </w:rPr>
              <w:t>GSO</w:t>
            </w:r>
          </w:p>
        </w:tc>
      </w:tr>
      <w:tr w:rsidR="00B9359B">
        <w:tc>
          <w:tcPr>
            <w:tcW w:w="2957" w:type="dxa"/>
            <w:tcMar>
              <w:left w:w="108" w:type="dxa"/>
              <w:right w:w="108" w:type="dxa"/>
            </w:tcMar>
          </w:tcPr>
          <w:p w:rsidR="00B9359B" w:rsidRDefault="009A5268">
            <w:pPr>
              <w:pStyle w:val="Tabletext"/>
              <w:framePr w:hSpace="181" w:wrap="notBeside" w:vAnchor="text" w:hAnchor="text" w:xAlign="center" w:y="1"/>
              <w:jc w:val="left"/>
              <w:rPr>
                <w:bCs/>
                <w:lang w:val="en-US"/>
              </w:rPr>
            </w:pPr>
            <w:r>
              <w:rPr>
                <w:bCs/>
                <w:lang w:val="en-US"/>
              </w:rPr>
              <w:t>Orbit altitude (km)</w:t>
            </w:r>
          </w:p>
        </w:tc>
        <w:tc>
          <w:tcPr>
            <w:tcW w:w="1390" w:type="dxa"/>
            <w:tcMar>
              <w:left w:w="108" w:type="dxa"/>
              <w:right w:w="108" w:type="dxa"/>
            </w:tcMar>
          </w:tcPr>
          <w:p w:rsidR="00B9359B" w:rsidRDefault="009A5268">
            <w:pPr>
              <w:pStyle w:val="Tabletext"/>
              <w:framePr w:hSpace="181" w:wrap="notBeside" w:vAnchor="text" w:hAnchor="text" w:xAlign="center" w:y="1"/>
              <w:jc w:val="center"/>
              <w:rPr>
                <w:lang w:val="en-US"/>
              </w:rPr>
            </w:pPr>
            <w:r>
              <w:rPr>
                <w:lang w:val="en-US"/>
              </w:rPr>
              <w:t>10</w:t>
            </w:r>
            <w:r>
              <w:rPr>
                <w:rFonts w:ascii="Tms Rmn" w:hAnsi="Tms Rmn"/>
                <w:sz w:val="12"/>
                <w:lang w:val="en-US"/>
              </w:rPr>
              <w:t> </w:t>
            </w:r>
            <w:r>
              <w:rPr>
                <w:lang w:val="en-US"/>
              </w:rPr>
              <w:t>352</w:t>
            </w:r>
          </w:p>
        </w:tc>
        <w:tc>
          <w:tcPr>
            <w:tcW w:w="975" w:type="dxa"/>
            <w:tcMar>
              <w:left w:w="108" w:type="dxa"/>
              <w:right w:w="108" w:type="dxa"/>
            </w:tcMar>
          </w:tcPr>
          <w:p w:rsidR="00B9359B" w:rsidRDefault="009A5268">
            <w:pPr>
              <w:pStyle w:val="Tabletext"/>
              <w:framePr w:hSpace="181" w:wrap="notBeside" w:vAnchor="text" w:hAnchor="text" w:xAlign="center" w:y="1"/>
              <w:jc w:val="center"/>
              <w:rPr>
                <w:lang w:val="en-US"/>
              </w:rPr>
            </w:pPr>
            <w:r>
              <w:rPr>
                <w:lang w:val="en-US"/>
              </w:rPr>
              <w:t>1</w:t>
            </w:r>
            <w:r>
              <w:rPr>
                <w:rFonts w:ascii="Tms Rmn" w:hAnsi="Tms Rmn"/>
                <w:sz w:val="12"/>
                <w:lang w:val="en-US"/>
              </w:rPr>
              <w:t> </w:t>
            </w:r>
            <w:r>
              <w:rPr>
                <w:lang w:val="en-US"/>
              </w:rPr>
              <w:t>350</w:t>
            </w:r>
          </w:p>
        </w:tc>
        <w:tc>
          <w:tcPr>
            <w:tcW w:w="976" w:type="dxa"/>
            <w:tcMar>
              <w:left w:w="108" w:type="dxa"/>
              <w:right w:w="108" w:type="dxa"/>
            </w:tcMar>
          </w:tcPr>
          <w:p w:rsidR="00B9359B" w:rsidRDefault="009A5268">
            <w:pPr>
              <w:pStyle w:val="Tabletext"/>
              <w:framePr w:hSpace="181" w:wrap="notBeside" w:vAnchor="text" w:hAnchor="text" w:xAlign="center" w:y="1"/>
              <w:jc w:val="center"/>
              <w:rPr>
                <w:lang w:val="en-US"/>
              </w:rPr>
            </w:pPr>
            <w:r>
              <w:rPr>
                <w:lang w:val="en-US"/>
              </w:rPr>
              <w:t>10</w:t>
            </w:r>
            <w:r>
              <w:rPr>
                <w:rFonts w:ascii="Tms Rmn" w:hAnsi="Tms Rmn"/>
                <w:sz w:val="12"/>
                <w:lang w:val="en-US"/>
              </w:rPr>
              <w:t> </w:t>
            </w:r>
            <w:r>
              <w:rPr>
                <w:lang w:val="en-US"/>
              </w:rPr>
              <w:t>355</w:t>
            </w:r>
          </w:p>
        </w:tc>
        <w:tc>
          <w:tcPr>
            <w:tcW w:w="3341" w:type="dxa"/>
            <w:gridSpan w:val="3"/>
            <w:tcMar>
              <w:left w:w="108" w:type="dxa"/>
              <w:right w:w="108" w:type="dxa"/>
            </w:tcMar>
          </w:tcPr>
          <w:p w:rsidR="00B9359B" w:rsidRDefault="009A5268">
            <w:pPr>
              <w:pStyle w:val="Tabletext"/>
              <w:framePr w:hSpace="181" w:wrap="notBeside" w:vAnchor="text" w:hAnchor="text" w:xAlign="center" w:y="1"/>
              <w:jc w:val="center"/>
              <w:rPr>
                <w:lang w:val="en-US"/>
              </w:rPr>
            </w:pPr>
            <w:r>
              <w:rPr>
                <w:lang w:val="en-US"/>
              </w:rPr>
              <w:t>35</w:t>
            </w:r>
            <w:r>
              <w:rPr>
                <w:rFonts w:ascii="Tms Rmn" w:hAnsi="Tms Rmn"/>
                <w:sz w:val="12"/>
                <w:lang w:val="en-US"/>
              </w:rPr>
              <w:t> </w:t>
            </w:r>
            <w:r>
              <w:rPr>
                <w:lang w:val="en-US"/>
              </w:rPr>
              <w:t>900</w:t>
            </w:r>
          </w:p>
        </w:tc>
      </w:tr>
      <w:tr w:rsidR="00B9359B">
        <w:tc>
          <w:tcPr>
            <w:tcW w:w="2957" w:type="dxa"/>
            <w:tcMar>
              <w:left w:w="108" w:type="dxa"/>
              <w:right w:w="108" w:type="dxa"/>
            </w:tcMar>
          </w:tcPr>
          <w:p w:rsidR="00B9359B" w:rsidRDefault="009A5268">
            <w:pPr>
              <w:pStyle w:val="Tabletext"/>
              <w:framePr w:hSpace="181" w:wrap="notBeside" w:vAnchor="text" w:hAnchor="text" w:xAlign="center" w:y="1"/>
              <w:jc w:val="left"/>
              <w:rPr>
                <w:bCs/>
                <w:lang w:val="en-US"/>
              </w:rPr>
            </w:pPr>
            <w:r>
              <w:rPr>
                <w:bCs/>
                <w:lang w:val="en-US"/>
              </w:rPr>
              <w:t>e.i.r.p. (dBW)</w:t>
            </w:r>
          </w:p>
        </w:tc>
        <w:tc>
          <w:tcPr>
            <w:tcW w:w="1390" w:type="dxa"/>
            <w:tcMar>
              <w:left w:w="108" w:type="dxa"/>
              <w:right w:w="108" w:type="dxa"/>
            </w:tcMar>
          </w:tcPr>
          <w:p w:rsidR="00B9359B" w:rsidRDefault="009A5268">
            <w:pPr>
              <w:pStyle w:val="Tabletext"/>
              <w:framePr w:hSpace="181" w:wrap="notBeside" w:vAnchor="text" w:hAnchor="text" w:xAlign="center" w:y="1"/>
              <w:jc w:val="center"/>
              <w:rPr>
                <w:lang w:val="en-US"/>
              </w:rPr>
            </w:pPr>
            <w:r>
              <w:rPr>
                <w:lang w:val="en-US"/>
              </w:rPr>
              <w:t>60</w:t>
            </w:r>
          </w:p>
        </w:tc>
        <w:tc>
          <w:tcPr>
            <w:tcW w:w="975" w:type="dxa"/>
            <w:tcMar>
              <w:left w:w="108" w:type="dxa"/>
              <w:right w:w="108" w:type="dxa"/>
            </w:tcMar>
          </w:tcPr>
          <w:p w:rsidR="00B9359B" w:rsidRDefault="009A5268">
            <w:pPr>
              <w:pStyle w:val="Tabletext"/>
              <w:framePr w:hSpace="181" w:wrap="notBeside" w:vAnchor="text" w:hAnchor="text" w:xAlign="center" w:y="1"/>
              <w:jc w:val="center"/>
              <w:rPr>
                <w:lang w:val="en-US"/>
              </w:rPr>
            </w:pPr>
            <w:r>
              <w:rPr>
                <w:lang w:val="en-US"/>
              </w:rPr>
              <w:t>46.9</w:t>
            </w:r>
          </w:p>
        </w:tc>
        <w:tc>
          <w:tcPr>
            <w:tcW w:w="976" w:type="dxa"/>
            <w:tcMar>
              <w:left w:w="108" w:type="dxa"/>
              <w:right w:w="108" w:type="dxa"/>
            </w:tcMar>
          </w:tcPr>
          <w:p w:rsidR="00B9359B" w:rsidRDefault="009A5268">
            <w:pPr>
              <w:pStyle w:val="Tabletext"/>
              <w:framePr w:hSpace="181" w:wrap="notBeside" w:vAnchor="text" w:hAnchor="text" w:xAlign="center" w:y="1"/>
              <w:jc w:val="center"/>
              <w:rPr>
                <w:lang w:val="en-US"/>
              </w:rPr>
            </w:pPr>
            <w:r>
              <w:rPr>
                <w:lang w:val="en-US"/>
              </w:rPr>
              <w:t>49.5</w:t>
            </w:r>
          </w:p>
        </w:tc>
        <w:tc>
          <w:tcPr>
            <w:tcW w:w="1114" w:type="dxa"/>
            <w:tcMar>
              <w:left w:w="108" w:type="dxa"/>
              <w:right w:w="108" w:type="dxa"/>
            </w:tcMar>
          </w:tcPr>
          <w:p w:rsidR="00B9359B" w:rsidRDefault="009A5268">
            <w:pPr>
              <w:pStyle w:val="Tabletext"/>
              <w:framePr w:hSpace="181" w:wrap="notBeside" w:vAnchor="text" w:hAnchor="text" w:xAlign="center" w:y="1"/>
              <w:jc w:val="center"/>
              <w:rPr>
                <w:lang w:val="en-US"/>
              </w:rPr>
            </w:pPr>
            <w:r>
              <w:rPr>
                <w:lang w:val="en-US"/>
              </w:rPr>
              <w:t>56</w:t>
            </w:r>
          </w:p>
        </w:tc>
        <w:tc>
          <w:tcPr>
            <w:tcW w:w="975" w:type="dxa"/>
            <w:tcMar>
              <w:left w:w="108" w:type="dxa"/>
              <w:right w:w="108" w:type="dxa"/>
            </w:tcMar>
          </w:tcPr>
          <w:p w:rsidR="00B9359B" w:rsidRDefault="009A5268">
            <w:pPr>
              <w:pStyle w:val="Tabletext"/>
              <w:framePr w:hSpace="181" w:wrap="notBeside" w:vAnchor="text" w:hAnchor="text" w:xAlign="center" w:y="1"/>
              <w:jc w:val="center"/>
              <w:rPr>
                <w:lang w:val="en-US"/>
              </w:rPr>
            </w:pPr>
            <w:r>
              <w:rPr>
                <w:lang w:val="en-US"/>
              </w:rPr>
              <w:t>62</w:t>
            </w:r>
          </w:p>
        </w:tc>
        <w:tc>
          <w:tcPr>
            <w:tcW w:w="1252" w:type="dxa"/>
            <w:tcMar>
              <w:left w:w="108" w:type="dxa"/>
              <w:right w:w="108" w:type="dxa"/>
            </w:tcMar>
          </w:tcPr>
          <w:p w:rsidR="00B9359B" w:rsidRDefault="009A5268">
            <w:pPr>
              <w:pStyle w:val="Tabletext"/>
              <w:framePr w:hSpace="181" w:wrap="notBeside" w:vAnchor="text" w:hAnchor="text" w:xAlign="center" w:y="1"/>
              <w:jc w:val="center"/>
              <w:rPr>
                <w:lang w:val="en-US"/>
              </w:rPr>
            </w:pPr>
            <w:r>
              <w:rPr>
                <w:lang w:val="en-US"/>
              </w:rPr>
              <w:t>63.8</w:t>
            </w:r>
          </w:p>
        </w:tc>
      </w:tr>
      <w:tr w:rsidR="00B9359B">
        <w:tc>
          <w:tcPr>
            <w:tcW w:w="2957" w:type="dxa"/>
            <w:tcMar>
              <w:left w:w="108" w:type="dxa"/>
              <w:right w:w="108" w:type="dxa"/>
            </w:tcMar>
          </w:tcPr>
          <w:p w:rsidR="00B9359B" w:rsidRDefault="009A5268">
            <w:pPr>
              <w:pStyle w:val="Tabletext"/>
              <w:framePr w:hSpace="181" w:wrap="notBeside" w:vAnchor="text" w:hAnchor="text" w:xAlign="center" w:y="1"/>
              <w:jc w:val="left"/>
              <w:rPr>
                <w:bCs/>
                <w:lang w:val="en-US"/>
              </w:rPr>
            </w:pPr>
            <w:r>
              <w:rPr>
                <w:bCs/>
                <w:lang w:val="en-US"/>
              </w:rPr>
              <w:t>Bandwidth (MHz)</w:t>
            </w:r>
          </w:p>
        </w:tc>
        <w:tc>
          <w:tcPr>
            <w:tcW w:w="1390" w:type="dxa"/>
            <w:tcMar>
              <w:left w:w="108" w:type="dxa"/>
              <w:right w:w="108" w:type="dxa"/>
            </w:tcMar>
          </w:tcPr>
          <w:p w:rsidR="00B9359B" w:rsidRDefault="009A5268">
            <w:pPr>
              <w:pStyle w:val="Tabletext"/>
              <w:framePr w:hSpace="181" w:wrap="notBeside" w:vAnchor="text" w:hAnchor="text" w:xAlign="center" w:y="1"/>
              <w:jc w:val="center"/>
              <w:rPr>
                <w:bCs/>
                <w:lang w:val="en-US"/>
              </w:rPr>
            </w:pPr>
            <w:r>
              <w:rPr>
                <w:bCs/>
                <w:lang w:val="en-US"/>
              </w:rPr>
              <w:t>500</w:t>
            </w:r>
          </w:p>
        </w:tc>
        <w:tc>
          <w:tcPr>
            <w:tcW w:w="975" w:type="dxa"/>
            <w:tcMar>
              <w:left w:w="108" w:type="dxa"/>
              <w:right w:w="108" w:type="dxa"/>
            </w:tcMar>
          </w:tcPr>
          <w:p w:rsidR="00B9359B" w:rsidRDefault="009A5268">
            <w:pPr>
              <w:pStyle w:val="Tabletext"/>
              <w:framePr w:hSpace="181" w:wrap="notBeside" w:vAnchor="text" w:hAnchor="text" w:xAlign="center" w:y="1"/>
              <w:jc w:val="center"/>
              <w:rPr>
                <w:bCs/>
                <w:lang w:val="en-US"/>
              </w:rPr>
            </w:pPr>
            <w:r>
              <w:rPr>
                <w:bCs/>
                <w:lang w:val="en-US"/>
              </w:rPr>
              <w:t>90</w:t>
            </w:r>
          </w:p>
        </w:tc>
        <w:tc>
          <w:tcPr>
            <w:tcW w:w="976" w:type="dxa"/>
            <w:tcMar>
              <w:left w:w="108" w:type="dxa"/>
              <w:right w:w="108" w:type="dxa"/>
            </w:tcMar>
          </w:tcPr>
          <w:p w:rsidR="00B9359B" w:rsidRDefault="009A5268">
            <w:pPr>
              <w:pStyle w:val="Tabletext"/>
              <w:framePr w:hSpace="181" w:wrap="notBeside" w:vAnchor="text" w:hAnchor="text" w:xAlign="center" w:y="1"/>
              <w:jc w:val="center"/>
              <w:rPr>
                <w:bCs/>
                <w:lang w:val="en-US"/>
              </w:rPr>
            </w:pPr>
            <w:r>
              <w:rPr>
                <w:bCs/>
                <w:lang w:val="en-US"/>
              </w:rPr>
              <w:t>300</w:t>
            </w:r>
          </w:p>
        </w:tc>
        <w:tc>
          <w:tcPr>
            <w:tcW w:w="1114" w:type="dxa"/>
            <w:tcMar>
              <w:left w:w="108" w:type="dxa"/>
              <w:right w:w="108" w:type="dxa"/>
            </w:tcMar>
          </w:tcPr>
          <w:p w:rsidR="00B9359B" w:rsidRDefault="009A5268">
            <w:pPr>
              <w:pStyle w:val="Tabletext"/>
              <w:framePr w:hSpace="181" w:wrap="notBeside" w:vAnchor="text" w:hAnchor="text" w:xAlign="center" w:y="1"/>
              <w:jc w:val="center"/>
              <w:rPr>
                <w:bCs/>
                <w:lang w:val="en-US"/>
              </w:rPr>
            </w:pPr>
            <w:r>
              <w:rPr>
                <w:bCs/>
                <w:lang w:val="en-US"/>
              </w:rPr>
              <w:t>300</w:t>
            </w:r>
          </w:p>
        </w:tc>
        <w:tc>
          <w:tcPr>
            <w:tcW w:w="975" w:type="dxa"/>
            <w:tcMar>
              <w:left w:w="108" w:type="dxa"/>
              <w:right w:w="108" w:type="dxa"/>
            </w:tcMar>
          </w:tcPr>
          <w:p w:rsidR="00B9359B" w:rsidRDefault="009A5268">
            <w:pPr>
              <w:pStyle w:val="Tabletext"/>
              <w:framePr w:hSpace="181" w:wrap="notBeside" w:vAnchor="text" w:hAnchor="text" w:xAlign="center" w:y="1"/>
              <w:jc w:val="center"/>
              <w:rPr>
                <w:bCs/>
                <w:lang w:val="en-US"/>
              </w:rPr>
            </w:pPr>
            <w:r>
              <w:rPr>
                <w:bCs/>
                <w:lang w:val="en-US"/>
              </w:rPr>
              <w:t>200</w:t>
            </w:r>
          </w:p>
        </w:tc>
        <w:tc>
          <w:tcPr>
            <w:tcW w:w="1252" w:type="dxa"/>
            <w:tcMar>
              <w:left w:w="108" w:type="dxa"/>
              <w:right w:w="108" w:type="dxa"/>
            </w:tcMar>
          </w:tcPr>
          <w:p w:rsidR="00B9359B" w:rsidRDefault="009A5268">
            <w:pPr>
              <w:pStyle w:val="Tabletext"/>
              <w:framePr w:hSpace="181" w:wrap="notBeside" w:vAnchor="text" w:hAnchor="text" w:xAlign="center" w:y="1"/>
              <w:jc w:val="center"/>
              <w:rPr>
                <w:bCs/>
                <w:lang w:val="en-US"/>
              </w:rPr>
            </w:pPr>
            <w:r>
              <w:rPr>
                <w:bCs/>
                <w:lang w:val="en-US"/>
              </w:rPr>
              <w:t>150</w:t>
            </w:r>
          </w:p>
        </w:tc>
      </w:tr>
      <w:tr w:rsidR="00B9359B">
        <w:tc>
          <w:tcPr>
            <w:tcW w:w="2957" w:type="dxa"/>
            <w:tcMar>
              <w:left w:w="108" w:type="dxa"/>
              <w:right w:w="108" w:type="dxa"/>
            </w:tcMar>
          </w:tcPr>
          <w:p w:rsidR="00B9359B" w:rsidRDefault="009A5268">
            <w:pPr>
              <w:pStyle w:val="Tabletext"/>
              <w:framePr w:hSpace="181" w:wrap="notBeside" w:vAnchor="text" w:hAnchor="text" w:xAlign="center" w:y="1"/>
              <w:jc w:val="left"/>
              <w:rPr>
                <w:bCs/>
                <w:lang w:val="en-US"/>
              </w:rPr>
            </w:pPr>
            <w:r>
              <w:rPr>
                <w:bCs/>
                <w:lang w:val="en-US"/>
              </w:rPr>
              <w:t>Minimum distance to sensor (km)</w:t>
            </w:r>
          </w:p>
        </w:tc>
        <w:tc>
          <w:tcPr>
            <w:tcW w:w="1390" w:type="dxa"/>
            <w:tcMar>
              <w:left w:w="108" w:type="dxa"/>
              <w:right w:w="108" w:type="dxa"/>
            </w:tcMar>
          </w:tcPr>
          <w:p w:rsidR="00B9359B" w:rsidRDefault="009A5268">
            <w:pPr>
              <w:pStyle w:val="Tabletext"/>
              <w:framePr w:hSpace="181" w:wrap="notBeside" w:vAnchor="text" w:hAnchor="text" w:xAlign="center" w:y="1"/>
              <w:jc w:val="center"/>
              <w:rPr>
                <w:bCs/>
                <w:lang w:val="en-US"/>
              </w:rPr>
            </w:pPr>
            <w:r>
              <w:rPr>
                <w:bCs/>
                <w:lang w:val="en-US"/>
              </w:rPr>
              <w:t>9</w:t>
            </w:r>
            <w:r>
              <w:rPr>
                <w:rFonts w:ascii="Tms Rmn" w:hAnsi="Tms Rmn"/>
                <w:bCs/>
                <w:sz w:val="12"/>
                <w:lang w:val="en-US"/>
              </w:rPr>
              <w:t> </w:t>
            </w:r>
            <w:r>
              <w:rPr>
                <w:bCs/>
                <w:lang w:val="en-US"/>
              </w:rPr>
              <w:t>502</w:t>
            </w:r>
          </w:p>
        </w:tc>
        <w:tc>
          <w:tcPr>
            <w:tcW w:w="975" w:type="dxa"/>
            <w:tcMar>
              <w:left w:w="108" w:type="dxa"/>
              <w:right w:w="108" w:type="dxa"/>
            </w:tcMar>
          </w:tcPr>
          <w:p w:rsidR="00B9359B" w:rsidRDefault="009A5268">
            <w:pPr>
              <w:pStyle w:val="Tabletext"/>
              <w:framePr w:hSpace="181" w:wrap="notBeside" w:vAnchor="text" w:hAnchor="text" w:xAlign="center" w:y="1"/>
              <w:jc w:val="center"/>
              <w:rPr>
                <w:bCs/>
                <w:lang w:val="en-US"/>
              </w:rPr>
            </w:pPr>
            <w:r>
              <w:rPr>
                <w:bCs/>
                <w:lang w:val="en-US"/>
              </w:rPr>
              <w:t>500</w:t>
            </w:r>
          </w:p>
        </w:tc>
        <w:tc>
          <w:tcPr>
            <w:tcW w:w="976" w:type="dxa"/>
            <w:tcMar>
              <w:left w:w="108" w:type="dxa"/>
              <w:right w:w="108" w:type="dxa"/>
            </w:tcMar>
          </w:tcPr>
          <w:p w:rsidR="00B9359B" w:rsidRDefault="009A5268">
            <w:pPr>
              <w:pStyle w:val="Tabletext"/>
              <w:framePr w:hSpace="181" w:wrap="notBeside" w:vAnchor="text" w:hAnchor="text" w:xAlign="center" w:y="1"/>
              <w:jc w:val="center"/>
              <w:rPr>
                <w:bCs/>
                <w:lang w:val="en-US"/>
              </w:rPr>
            </w:pPr>
            <w:r>
              <w:rPr>
                <w:bCs/>
                <w:lang w:val="en-US"/>
              </w:rPr>
              <w:t>9</w:t>
            </w:r>
            <w:r>
              <w:rPr>
                <w:rFonts w:ascii="Tms Rmn" w:hAnsi="Tms Rmn"/>
                <w:bCs/>
                <w:sz w:val="12"/>
                <w:lang w:val="en-US"/>
              </w:rPr>
              <w:t> </w:t>
            </w:r>
            <w:r>
              <w:rPr>
                <w:bCs/>
                <w:lang w:val="en-US"/>
              </w:rPr>
              <w:t>505</w:t>
            </w:r>
          </w:p>
        </w:tc>
        <w:tc>
          <w:tcPr>
            <w:tcW w:w="1114" w:type="dxa"/>
            <w:tcMar>
              <w:left w:w="108" w:type="dxa"/>
              <w:right w:w="108" w:type="dxa"/>
            </w:tcMar>
          </w:tcPr>
          <w:p w:rsidR="00B9359B" w:rsidRDefault="009A5268">
            <w:pPr>
              <w:pStyle w:val="Tabletext"/>
              <w:framePr w:hSpace="181" w:wrap="notBeside" w:vAnchor="text" w:hAnchor="text" w:xAlign="center" w:y="1"/>
              <w:jc w:val="center"/>
              <w:rPr>
                <w:bCs/>
                <w:lang w:val="en-US"/>
              </w:rPr>
            </w:pPr>
            <w:r>
              <w:rPr>
                <w:bCs/>
                <w:lang w:val="en-US"/>
              </w:rPr>
              <w:t>35</w:t>
            </w:r>
            <w:r>
              <w:rPr>
                <w:rFonts w:ascii="Tms Rmn" w:hAnsi="Tms Rmn"/>
                <w:bCs/>
                <w:sz w:val="12"/>
                <w:lang w:val="en-US"/>
              </w:rPr>
              <w:t> </w:t>
            </w:r>
            <w:r>
              <w:rPr>
                <w:bCs/>
                <w:lang w:val="en-US"/>
              </w:rPr>
              <w:t>050</w:t>
            </w:r>
          </w:p>
        </w:tc>
        <w:tc>
          <w:tcPr>
            <w:tcW w:w="975" w:type="dxa"/>
            <w:tcMar>
              <w:left w:w="108" w:type="dxa"/>
              <w:right w:w="108" w:type="dxa"/>
            </w:tcMar>
          </w:tcPr>
          <w:p w:rsidR="00B9359B" w:rsidRDefault="009A5268">
            <w:pPr>
              <w:pStyle w:val="Tabletext"/>
              <w:framePr w:hSpace="181" w:wrap="notBeside" w:vAnchor="text" w:hAnchor="text" w:xAlign="center" w:y="1"/>
              <w:jc w:val="center"/>
              <w:rPr>
                <w:bCs/>
                <w:lang w:val="en-US"/>
              </w:rPr>
            </w:pPr>
            <w:r>
              <w:rPr>
                <w:bCs/>
                <w:lang w:val="en-US"/>
              </w:rPr>
              <w:t>–850</w:t>
            </w:r>
          </w:p>
        </w:tc>
        <w:tc>
          <w:tcPr>
            <w:tcW w:w="1252" w:type="dxa"/>
            <w:tcMar>
              <w:left w:w="108" w:type="dxa"/>
              <w:right w:w="108" w:type="dxa"/>
            </w:tcMar>
          </w:tcPr>
          <w:p w:rsidR="00B9359B" w:rsidRDefault="009A5268">
            <w:pPr>
              <w:pStyle w:val="Tabletext"/>
              <w:framePr w:hSpace="181" w:wrap="notBeside" w:vAnchor="text" w:hAnchor="text" w:xAlign="center" w:y="1"/>
              <w:jc w:val="center"/>
              <w:rPr>
                <w:bCs/>
                <w:lang w:val="en-US"/>
              </w:rPr>
            </w:pPr>
            <w:r>
              <w:rPr>
                <w:bCs/>
                <w:lang w:val="en-US"/>
              </w:rPr>
              <w:t>–850</w:t>
            </w:r>
          </w:p>
        </w:tc>
      </w:tr>
      <w:tr w:rsidR="00B9359B">
        <w:tc>
          <w:tcPr>
            <w:tcW w:w="2957" w:type="dxa"/>
            <w:tcMar>
              <w:left w:w="108" w:type="dxa"/>
              <w:right w:w="108" w:type="dxa"/>
            </w:tcMar>
          </w:tcPr>
          <w:p w:rsidR="00B9359B" w:rsidRDefault="009A5268">
            <w:pPr>
              <w:pStyle w:val="Tabletext"/>
              <w:framePr w:hSpace="181" w:wrap="notBeside" w:vAnchor="text" w:hAnchor="text" w:xAlign="center" w:y="1"/>
              <w:jc w:val="left"/>
              <w:rPr>
                <w:bCs/>
                <w:lang w:val="en-US"/>
              </w:rPr>
            </w:pPr>
            <w:r>
              <w:rPr>
                <w:bCs/>
                <w:lang w:val="en-US"/>
              </w:rPr>
              <w:t>Minimum path-loss (dB)</w:t>
            </w:r>
          </w:p>
        </w:tc>
        <w:tc>
          <w:tcPr>
            <w:tcW w:w="1390" w:type="dxa"/>
            <w:tcMar>
              <w:left w:w="108" w:type="dxa"/>
              <w:right w:w="108" w:type="dxa"/>
            </w:tcMar>
          </w:tcPr>
          <w:p w:rsidR="00B9359B" w:rsidRDefault="009A5268">
            <w:pPr>
              <w:pStyle w:val="Tabletext"/>
              <w:framePr w:hSpace="181" w:wrap="notBeside" w:vAnchor="text" w:hAnchor="text" w:xAlign="center" w:y="1"/>
              <w:jc w:val="center"/>
              <w:rPr>
                <w:bCs/>
                <w:lang w:val="en-US"/>
              </w:rPr>
            </w:pPr>
            <w:r>
              <w:rPr>
                <w:bCs/>
                <w:lang w:val="en-US"/>
              </w:rPr>
              <w:t>–206.03</w:t>
            </w:r>
          </w:p>
        </w:tc>
        <w:tc>
          <w:tcPr>
            <w:tcW w:w="975" w:type="dxa"/>
            <w:tcMar>
              <w:left w:w="108" w:type="dxa"/>
              <w:right w:w="108" w:type="dxa"/>
            </w:tcMar>
          </w:tcPr>
          <w:p w:rsidR="00B9359B" w:rsidRDefault="009A5268">
            <w:pPr>
              <w:pStyle w:val="Tabletext"/>
              <w:framePr w:hSpace="181" w:wrap="notBeside" w:vAnchor="text" w:hAnchor="text" w:xAlign="center" w:y="1"/>
              <w:jc w:val="center"/>
              <w:rPr>
                <w:bCs/>
                <w:lang w:val="en-US"/>
              </w:rPr>
            </w:pPr>
            <w:r>
              <w:rPr>
                <w:bCs/>
                <w:lang w:val="en-US"/>
              </w:rPr>
              <w:t>–180.45</w:t>
            </w:r>
          </w:p>
        </w:tc>
        <w:tc>
          <w:tcPr>
            <w:tcW w:w="976" w:type="dxa"/>
            <w:tcMar>
              <w:left w:w="108" w:type="dxa"/>
              <w:right w:w="108" w:type="dxa"/>
            </w:tcMar>
          </w:tcPr>
          <w:p w:rsidR="00B9359B" w:rsidRDefault="009A5268">
            <w:pPr>
              <w:pStyle w:val="Tabletext"/>
              <w:framePr w:hSpace="181" w:wrap="notBeside" w:vAnchor="text" w:hAnchor="text" w:xAlign="center" w:y="1"/>
              <w:jc w:val="center"/>
              <w:rPr>
                <w:bCs/>
                <w:lang w:val="en-US"/>
              </w:rPr>
            </w:pPr>
            <w:r>
              <w:rPr>
                <w:bCs/>
                <w:lang w:val="en-US"/>
              </w:rPr>
              <w:t>–206.03</w:t>
            </w:r>
          </w:p>
        </w:tc>
        <w:tc>
          <w:tcPr>
            <w:tcW w:w="1114" w:type="dxa"/>
            <w:tcMar>
              <w:left w:w="108" w:type="dxa"/>
              <w:right w:w="108" w:type="dxa"/>
            </w:tcMar>
          </w:tcPr>
          <w:p w:rsidR="00B9359B" w:rsidRDefault="009A5268">
            <w:pPr>
              <w:pStyle w:val="Tabletext"/>
              <w:framePr w:hSpace="181" w:wrap="notBeside" w:vAnchor="text" w:hAnchor="text" w:xAlign="center" w:y="1"/>
              <w:jc w:val="center"/>
              <w:rPr>
                <w:bCs/>
                <w:lang w:val="en-US"/>
              </w:rPr>
            </w:pPr>
            <w:r>
              <w:rPr>
                <w:bCs/>
                <w:lang w:val="en-US"/>
              </w:rPr>
              <w:t>–217.37</w:t>
            </w:r>
          </w:p>
        </w:tc>
        <w:tc>
          <w:tcPr>
            <w:tcW w:w="975" w:type="dxa"/>
            <w:tcMar>
              <w:left w:w="108" w:type="dxa"/>
              <w:right w:w="108" w:type="dxa"/>
            </w:tcMar>
          </w:tcPr>
          <w:p w:rsidR="00B9359B" w:rsidRDefault="009A5268">
            <w:pPr>
              <w:pStyle w:val="Tabletext"/>
              <w:framePr w:hSpace="181" w:wrap="notBeside" w:vAnchor="text" w:hAnchor="text" w:xAlign="center" w:y="1"/>
              <w:jc w:val="center"/>
              <w:rPr>
                <w:bCs/>
                <w:lang w:val="en-US"/>
              </w:rPr>
            </w:pPr>
            <w:r>
              <w:rPr>
                <w:bCs/>
                <w:lang w:val="en-US"/>
              </w:rPr>
              <w:t>–217.37</w:t>
            </w:r>
          </w:p>
        </w:tc>
        <w:tc>
          <w:tcPr>
            <w:tcW w:w="1252" w:type="dxa"/>
            <w:tcMar>
              <w:left w:w="108" w:type="dxa"/>
              <w:right w:w="108" w:type="dxa"/>
            </w:tcMar>
          </w:tcPr>
          <w:p w:rsidR="00B9359B" w:rsidRDefault="009A5268">
            <w:pPr>
              <w:pStyle w:val="Tabletext"/>
              <w:framePr w:hSpace="181" w:wrap="notBeside" w:vAnchor="text" w:hAnchor="text" w:xAlign="center" w:y="1"/>
              <w:jc w:val="center"/>
              <w:rPr>
                <w:bCs/>
                <w:lang w:val="en-US"/>
              </w:rPr>
            </w:pPr>
            <w:r>
              <w:rPr>
                <w:bCs/>
                <w:lang w:val="en-US"/>
              </w:rPr>
              <w:t>–217.37</w:t>
            </w:r>
          </w:p>
        </w:tc>
      </w:tr>
      <w:tr w:rsidR="00B9359B">
        <w:tc>
          <w:tcPr>
            <w:tcW w:w="2957" w:type="dxa"/>
            <w:tcMar>
              <w:left w:w="108" w:type="dxa"/>
              <w:right w:w="108" w:type="dxa"/>
            </w:tcMar>
          </w:tcPr>
          <w:p w:rsidR="00B9359B" w:rsidRDefault="009A5268">
            <w:pPr>
              <w:pStyle w:val="Tabletext"/>
              <w:framePr w:hSpace="181" w:wrap="notBeside" w:vAnchor="text" w:hAnchor="text" w:xAlign="center" w:y="1"/>
              <w:jc w:val="left"/>
              <w:rPr>
                <w:bCs/>
                <w:lang w:val="en-US"/>
              </w:rPr>
            </w:pPr>
            <w:r>
              <w:rPr>
                <w:bCs/>
                <w:lang w:val="en-US"/>
              </w:rPr>
              <w:t>Co-frequency received power (dBW)</w:t>
            </w:r>
          </w:p>
        </w:tc>
        <w:tc>
          <w:tcPr>
            <w:tcW w:w="1390" w:type="dxa"/>
            <w:tcMar>
              <w:left w:w="108" w:type="dxa"/>
              <w:right w:w="108" w:type="dxa"/>
            </w:tcMar>
          </w:tcPr>
          <w:p w:rsidR="00B9359B" w:rsidRDefault="009A5268">
            <w:pPr>
              <w:pStyle w:val="Tabletext"/>
              <w:framePr w:hSpace="181" w:wrap="notBeside" w:vAnchor="text" w:hAnchor="text" w:xAlign="center" w:y="1"/>
              <w:jc w:val="center"/>
              <w:rPr>
                <w:bCs/>
                <w:lang w:val="en-US"/>
              </w:rPr>
            </w:pPr>
            <w:r>
              <w:rPr>
                <w:bCs/>
                <w:lang w:val="en-US"/>
              </w:rPr>
              <w:t>–162.34</w:t>
            </w:r>
          </w:p>
        </w:tc>
        <w:tc>
          <w:tcPr>
            <w:tcW w:w="975" w:type="dxa"/>
            <w:tcMar>
              <w:left w:w="108" w:type="dxa"/>
              <w:right w:w="108" w:type="dxa"/>
            </w:tcMar>
          </w:tcPr>
          <w:p w:rsidR="00B9359B" w:rsidRDefault="009A5268">
            <w:pPr>
              <w:pStyle w:val="Tabletext"/>
              <w:framePr w:hSpace="181" w:wrap="notBeside" w:vAnchor="text" w:hAnchor="text" w:xAlign="center" w:y="1"/>
              <w:jc w:val="center"/>
              <w:rPr>
                <w:bCs/>
                <w:lang w:val="en-US"/>
              </w:rPr>
            </w:pPr>
            <w:r>
              <w:rPr>
                <w:bCs/>
                <w:lang w:val="en-US"/>
              </w:rPr>
              <w:t>–145.88</w:t>
            </w:r>
          </w:p>
        </w:tc>
        <w:tc>
          <w:tcPr>
            <w:tcW w:w="976" w:type="dxa"/>
            <w:tcMar>
              <w:left w:w="108" w:type="dxa"/>
              <w:right w:w="108" w:type="dxa"/>
            </w:tcMar>
          </w:tcPr>
          <w:p w:rsidR="00B9359B" w:rsidRDefault="009A5268">
            <w:pPr>
              <w:pStyle w:val="Tabletext"/>
              <w:framePr w:hSpace="181" w:wrap="notBeside" w:vAnchor="text" w:hAnchor="text" w:xAlign="center" w:y="1"/>
              <w:jc w:val="center"/>
              <w:rPr>
                <w:bCs/>
                <w:lang w:val="en-US"/>
              </w:rPr>
            </w:pPr>
            <w:r>
              <w:rPr>
                <w:bCs/>
                <w:lang w:val="en-US"/>
              </w:rPr>
              <w:t>–170.62</w:t>
            </w:r>
          </w:p>
        </w:tc>
        <w:tc>
          <w:tcPr>
            <w:tcW w:w="1114" w:type="dxa"/>
            <w:tcMar>
              <w:left w:w="108" w:type="dxa"/>
              <w:right w:w="108" w:type="dxa"/>
            </w:tcMar>
          </w:tcPr>
          <w:p w:rsidR="00B9359B" w:rsidRDefault="009A5268">
            <w:pPr>
              <w:pStyle w:val="Tabletext"/>
              <w:framePr w:hSpace="181" w:wrap="notBeside" w:vAnchor="text" w:hAnchor="text" w:xAlign="center" w:y="1"/>
              <w:jc w:val="center"/>
              <w:rPr>
                <w:bCs/>
                <w:lang w:val="en-US"/>
              </w:rPr>
            </w:pPr>
            <w:r>
              <w:rPr>
                <w:bCs/>
                <w:lang w:val="en-US"/>
              </w:rPr>
              <w:t>–175.46</w:t>
            </w:r>
          </w:p>
        </w:tc>
        <w:tc>
          <w:tcPr>
            <w:tcW w:w="975" w:type="dxa"/>
            <w:tcMar>
              <w:left w:w="108" w:type="dxa"/>
              <w:right w:w="108" w:type="dxa"/>
            </w:tcMar>
          </w:tcPr>
          <w:p w:rsidR="00B9359B" w:rsidRDefault="009A5268">
            <w:pPr>
              <w:pStyle w:val="Tabletext"/>
              <w:framePr w:hSpace="181" w:wrap="notBeside" w:vAnchor="text" w:hAnchor="text" w:xAlign="center" w:y="1"/>
              <w:jc w:val="center"/>
              <w:rPr>
                <w:bCs/>
                <w:lang w:val="en-US"/>
              </w:rPr>
            </w:pPr>
            <w:r>
              <w:rPr>
                <w:bCs/>
                <w:lang w:val="en-US"/>
              </w:rPr>
              <w:t>–167.70</w:t>
            </w:r>
          </w:p>
        </w:tc>
        <w:tc>
          <w:tcPr>
            <w:tcW w:w="1252" w:type="dxa"/>
            <w:tcMar>
              <w:left w:w="108" w:type="dxa"/>
              <w:right w:w="108" w:type="dxa"/>
            </w:tcMar>
          </w:tcPr>
          <w:p w:rsidR="00B9359B" w:rsidRDefault="009A5268">
            <w:pPr>
              <w:pStyle w:val="Tabletext"/>
              <w:framePr w:hSpace="181" w:wrap="notBeside" w:vAnchor="text" w:hAnchor="text" w:xAlign="center" w:y="1"/>
              <w:jc w:val="center"/>
              <w:rPr>
                <w:bCs/>
                <w:lang w:val="en-US"/>
              </w:rPr>
            </w:pPr>
            <w:r>
              <w:rPr>
                <w:bCs/>
                <w:lang w:val="en-US"/>
              </w:rPr>
              <w:t>–165.90</w:t>
            </w:r>
          </w:p>
        </w:tc>
      </w:tr>
      <w:tr w:rsidR="00B9359B">
        <w:tc>
          <w:tcPr>
            <w:tcW w:w="2957" w:type="dxa"/>
            <w:tcBorders>
              <w:bottom w:val="single" w:sz="4" w:space="0" w:color="auto"/>
            </w:tcBorders>
            <w:tcMar>
              <w:left w:w="108" w:type="dxa"/>
              <w:right w:w="108" w:type="dxa"/>
            </w:tcMar>
          </w:tcPr>
          <w:p w:rsidR="00B9359B" w:rsidRDefault="009A5268">
            <w:pPr>
              <w:pStyle w:val="Tabletext"/>
              <w:framePr w:hSpace="181" w:wrap="notBeside" w:vAnchor="text" w:hAnchor="text" w:xAlign="center" w:y="1"/>
              <w:jc w:val="left"/>
              <w:rPr>
                <w:bCs/>
                <w:lang w:val="en-US"/>
              </w:rPr>
            </w:pPr>
            <w:r>
              <w:rPr>
                <w:bCs/>
                <w:lang w:val="en-US"/>
              </w:rPr>
              <w:t>Excess over interference threshold (dB)</w:t>
            </w:r>
          </w:p>
        </w:tc>
        <w:tc>
          <w:tcPr>
            <w:tcW w:w="1390" w:type="dxa"/>
            <w:tcBorders>
              <w:bottom w:val="single" w:sz="4" w:space="0" w:color="auto"/>
            </w:tcBorders>
            <w:tcMar>
              <w:left w:w="108" w:type="dxa"/>
              <w:right w:w="108" w:type="dxa"/>
            </w:tcMar>
          </w:tcPr>
          <w:p w:rsidR="00B9359B" w:rsidRDefault="009A5268">
            <w:pPr>
              <w:pStyle w:val="Tabletext"/>
              <w:framePr w:hSpace="181" w:wrap="notBeside" w:vAnchor="text" w:hAnchor="text" w:xAlign="center" w:y="1"/>
              <w:jc w:val="center"/>
              <w:rPr>
                <w:b/>
                <w:lang w:val="en-US"/>
              </w:rPr>
            </w:pPr>
            <w:r>
              <w:rPr>
                <w:b/>
                <w:lang w:val="en-US"/>
              </w:rPr>
              <w:t>0.66</w:t>
            </w:r>
          </w:p>
        </w:tc>
        <w:tc>
          <w:tcPr>
            <w:tcW w:w="975" w:type="dxa"/>
            <w:tcBorders>
              <w:bottom w:val="single" w:sz="4" w:space="0" w:color="auto"/>
            </w:tcBorders>
            <w:tcMar>
              <w:left w:w="108" w:type="dxa"/>
              <w:right w:w="108" w:type="dxa"/>
            </w:tcMar>
          </w:tcPr>
          <w:p w:rsidR="00B9359B" w:rsidRDefault="009A5268">
            <w:pPr>
              <w:pStyle w:val="Tabletext"/>
              <w:framePr w:hSpace="181" w:wrap="notBeside" w:vAnchor="text" w:hAnchor="text" w:xAlign="center" w:y="1"/>
              <w:jc w:val="center"/>
              <w:rPr>
                <w:b/>
                <w:lang w:val="en-US"/>
              </w:rPr>
            </w:pPr>
            <w:r>
              <w:rPr>
                <w:b/>
                <w:lang w:val="en-US"/>
              </w:rPr>
              <w:t>17.12</w:t>
            </w:r>
          </w:p>
        </w:tc>
        <w:tc>
          <w:tcPr>
            <w:tcW w:w="976" w:type="dxa"/>
            <w:tcBorders>
              <w:bottom w:val="single" w:sz="4" w:space="0" w:color="auto"/>
            </w:tcBorders>
            <w:tcMar>
              <w:left w:w="108" w:type="dxa"/>
              <w:right w:w="108" w:type="dxa"/>
            </w:tcMar>
          </w:tcPr>
          <w:p w:rsidR="00B9359B" w:rsidRDefault="009A5268">
            <w:pPr>
              <w:pStyle w:val="Tabletext"/>
              <w:framePr w:hSpace="181" w:wrap="notBeside" w:vAnchor="text" w:hAnchor="text" w:xAlign="center" w:y="1"/>
              <w:jc w:val="center"/>
              <w:rPr>
                <w:b/>
                <w:lang w:val="en-US"/>
              </w:rPr>
            </w:pPr>
            <w:r>
              <w:rPr>
                <w:b/>
                <w:lang w:val="en-US"/>
              </w:rPr>
              <w:t>–7.62</w:t>
            </w:r>
          </w:p>
        </w:tc>
        <w:tc>
          <w:tcPr>
            <w:tcW w:w="1114" w:type="dxa"/>
            <w:tcBorders>
              <w:bottom w:val="single" w:sz="4" w:space="0" w:color="auto"/>
            </w:tcBorders>
            <w:tcMar>
              <w:left w:w="108" w:type="dxa"/>
              <w:right w:w="108" w:type="dxa"/>
            </w:tcMar>
          </w:tcPr>
          <w:p w:rsidR="00B9359B" w:rsidRDefault="009A5268">
            <w:pPr>
              <w:pStyle w:val="Tabletext"/>
              <w:framePr w:hSpace="181" w:wrap="notBeside" w:vAnchor="text" w:hAnchor="text" w:xAlign="center" w:y="1"/>
              <w:jc w:val="center"/>
              <w:rPr>
                <w:b/>
                <w:lang w:val="en-US"/>
              </w:rPr>
            </w:pPr>
            <w:r>
              <w:rPr>
                <w:b/>
                <w:lang w:val="en-US"/>
              </w:rPr>
              <w:t>–12.46</w:t>
            </w:r>
          </w:p>
        </w:tc>
        <w:tc>
          <w:tcPr>
            <w:tcW w:w="975" w:type="dxa"/>
            <w:tcBorders>
              <w:bottom w:val="single" w:sz="4" w:space="0" w:color="auto"/>
            </w:tcBorders>
            <w:tcMar>
              <w:left w:w="108" w:type="dxa"/>
              <w:right w:w="108" w:type="dxa"/>
            </w:tcMar>
          </w:tcPr>
          <w:p w:rsidR="00B9359B" w:rsidRDefault="009A5268">
            <w:pPr>
              <w:pStyle w:val="Tabletext"/>
              <w:framePr w:hSpace="181" w:wrap="notBeside" w:vAnchor="text" w:hAnchor="text" w:xAlign="center" w:y="1"/>
              <w:jc w:val="center"/>
              <w:rPr>
                <w:b/>
                <w:lang w:val="en-US"/>
              </w:rPr>
            </w:pPr>
            <w:r>
              <w:rPr>
                <w:b/>
                <w:lang w:val="en-US"/>
              </w:rPr>
              <w:t>–</w:t>
            </w:r>
            <w:r>
              <w:rPr>
                <w:sz w:val="4"/>
                <w:lang w:val="en-US"/>
              </w:rPr>
              <w:t> </w:t>
            </w:r>
            <w:r>
              <w:rPr>
                <w:b/>
                <w:lang w:val="en-US"/>
              </w:rPr>
              <w:t>4.70</w:t>
            </w:r>
          </w:p>
        </w:tc>
        <w:tc>
          <w:tcPr>
            <w:tcW w:w="1252" w:type="dxa"/>
            <w:tcBorders>
              <w:bottom w:val="single" w:sz="4" w:space="0" w:color="auto"/>
            </w:tcBorders>
            <w:tcMar>
              <w:left w:w="108" w:type="dxa"/>
              <w:right w:w="108" w:type="dxa"/>
            </w:tcMar>
          </w:tcPr>
          <w:p w:rsidR="00B9359B" w:rsidRDefault="009A5268">
            <w:pPr>
              <w:pStyle w:val="Tabletext"/>
              <w:framePr w:hSpace="181" w:wrap="notBeside" w:vAnchor="text" w:hAnchor="text" w:xAlign="center" w:y="1"/>
              <w:jc w:val="center"/>
              <w:rPr>
                <w:b/>
                <w:lang w:val="en-US"/>
              </w:rPr>
            </w:pPr>
            <w:r>
              <w:rPr>
                <w:b/>
                <w:lang w:val="en-US"/>
              </w:rPr>
              <w:t>–2.90</w:t>
            </w:r>
          </w:p>
        </w:tc>
      </w:tr>
      <w:tr w:rsidR="00B9359B" w:rsidRPr="00D35B94">
        <w:trPr>
          <w:cantSplit/>
        </w:trPr>
        <w:tc>
          <w:tcPr>
            <w:tcW w:w="9639" w:type="dxa"/>
            <w:gridSpan w:val="7"/>
            <w:tcBorders>
              <w:left w:val="nil"/>
              <w:bottom w:val="nil"/>
              <w:right w:val="nil"/>
            </w:tcBorders>
          </w:tcPr>
          <w:p w:rsidR="00B9359B" w:rsidRDefault="009A5268">
            <w:pPr>
              <w:pStyle w:val="Tablelegend"/>
              <w:framePr w:hSpace="181" w:wrap="notBeside" w:vAnchor="text" w:hAnchor="text" w:xAlign="center" w:y="1"/>
              <w:ind w:left="-85" w:firstLine="0"/>
              <w:rPr>
                <w:b/>
                <w:lang w:val="en-US"/>
              </w:rPr>
            </w:pPr>
            <w:r>
              <w:rPr>
                <w:lang w:val="en-US"/>
              </w:rPr>
              <w:t>NOTE 1 – The above characteristics may need further refinement.</w:t>
            </w:r>
          </w:p>
        </w:tc>
      </w:tr>
    </w:tbl>
    <w:p w:rsidR="00B9359B" w:rsidRDefault="00B9359B">
      <w:pPr>
        <w:pStyle w:val="Tablefin"/>
      </w:pPr>
    </w:p>
    <w:p w:rsidR="00B9359B" w:rsidRDefault="00B9359B">
      <w:pPr>
        <w:rPr>
          <w:lang w:val="en-GB"/>
        </w:rPr>
      </w:pPr>
    </w:p>
    <w:p w:rsidR="00B9359B" w:rsidRDefault="009A5268">
      <w:pPr>
        <w:pStyle w:val="Heading3"/>
        <w:rPr>
          <w:lang w:val="en-US"/>
        </w:rPr>
      </w:pPr>
      <w:bookmarkStart w:id="616" w:name="_Toc51046015"/>
      <w:r>
        <w:rPr>
          <w:lang w:val="en-US"/>
        </w:rPr>
        <w:t>5.2.4</w:t>
      </w:r>
      <w:r>
        <w:rPr>
          <w:lang w:val="en-US"/>
        </w:rPr>
        <w:tab/>
        <w:t>Baseband filtering</w:t>
      </w:r>
      <w:bookmarkEnd w:id="616"/>
    </w:p>
    <w:p w:rsidR="00B9359B" w:rsidRDefault="009A5268">
      <w:pPr>
        <w:rPr>
          <w:lang w:val="en-US"/>
        </w:rPr>
      </w:pPr>
      <w:r>
        <w:rPr>
          <w:lang w:val="en-US"/>
        </w:rPr>
        <w:t xml:space="preserve">The levels of unwanted emissions from the active service systems can be reduced through the use of efficient modulation techniques and filtering. </w:t>
      </w:r>
    </w:p>
    <w:p w:rsidR="00B9359B" w:rsidRDefault="009A5268">
      <w:pPr>
        <w:pStyle w:val="Heading2"/>
        <w:rPr>
          <w:lang w:val="en-US"/>
        </w:rPr>
      </w:pPr>
      <w:bookmarkStart w:id="617" w:name="_Toc51046016"/>
      <w:r>
        <w:rPr>
          <w:lang w:val="en-US"/>
        </w:rPr>
        <w:t>5.3</w:t>
      </w:r>
      <w:r>
        <w:rPr>
          <w:lang w:val="en-US"/>
        </w:rPr>
        <w:tab/>
        <w:t>Potential impact</w:t>
      </w:r>
      <w:bookmarkEnd w:id="617"/>
    </w:p>
    <w:p w:rsidR="00B9359B" w:rsidRDefault="009A5268">
      <w:pPr>
        <w:pStyle w:val="Heading3"/>
        <w:rPr>
          <w:lang w:val="en-US"/>
        </w:rPr>
      </w:pPr>
      <w:bookmarkStart w:id="618" w:name="_Toc51046017"/>
      <w:r>
        <w:rPr>
          <w:lang w:val="en-US"/>
        </w:rPr>
        <w:t>5.3.1</w:t>
      </w:r>
      <w:r>
        <w:rPr>
          <w:lang w:val="en-US"/>
        </w:rPr>
        <w:tab/>
        <w:t>EESS (passive)</w:t>
      </w:r>
      <w:bookmarkEnd w:id="618"/>
    </w:p>
    <w:p w:rsidR="00B9359B" w:rsidRDefault="009A5268">
      <w:pPr>
        <w:rPr>
          <w:lang w:val="en-US"/>
        </w:rPr>
      </w:pPr>
      <w:r>
        <w:rPr>
          <w:lang w:val="en-US"/>
        </w:rPr>
        <w:t>The potential impact on the EESS (passive) cannot be assessed until the mitigation techniques (§ 5.1) are finalized.</w:t>
      </w:r>
    </w:p>
    <w:p w:rsidR="00B9359B" w:rsidRDefault="009A5268">
      <w:pPr>
        <w:pStyle w:val="Heading3"/>
        <w:rPr>
          <w:lang w:val="en-US"/>
        </w:rPr>
      </w:pPr>
      <w:bookmarkStart w:id="619" w:name="_Toc51046018"/>
      <w:r>
        <w:rPr>
          <w:lang w:val="en-US"/>
        </w:rPr>
        <w:t>5.3.2</w:t>
      </w:r>
      <w:r>
        <w:rPr>
          <w:lang w:val="en-US"/>
        </w:rPr>
        <w:tab/>
        <w:t>FS</w:t>
      </w:r>
      <w:bookmarkEnd w:id="619"/>
      <w:r>
        <w:rPr>
          <w:lang w:val="en-US"/>
        </w:rPr>
        <w:t>S</w:t>
      </w:r>
    </w:p>
    <w:p w:rsidR="00B9359B" w:rsidRDefault="009A5268">
      <w:pPr>
        <w:rPr>
          <w:lang w:val="en-US"/>
        </w:rPr>
      </w:pPr>
      <w:r>
        <w:rPr>
          <w:lang w:val="en-US"/>
        </w:rPr>
        <w:t>The impact of the mitigation techniques needs to be evaluated.</w:t>
      </w:r>
    </w:p>
    <w:p w:rsidR="00B9359B" w:rsidRDefault="009A5268">
      <w:pPr>
        <w:pStyle w:val="Heading1"/>
        <w:rPr>
          <w:lang w:val="en-US"/>
        </w:rPr>
      </w:pPr>
      <w:bookmarkStart w:id="620" w:name="_Toc51046019"/>
      <w:r>
        <w:rPr>
          <w:lang w:val="en-US"/>
        </w:rPr>
        <w:t>6</w:t>
      </w:r>
      <w:r>
        <w:rPr>
          <w:lang w:val="en-US"/>
        </w:rPr>
        <w:tab/>
        <w:t>Results of studies</w:t>
      </w:r>
      <w:bookmarkEnd w:id="620"/>
    </w:p>
    <w:p w:rsidR="00B9359B" w:rsidRDefault="009A5268">
      <w:pPr>
        <w:rPr>
          <w:lang w:val="en-US"/>
        </w:rPr>
      </w:pPr>
      <w:r>
        <w:rPr>
          <w:lang w:val="en-US"/>
        </w:rPr>
        <w:t>This analysis shows that, in general, a push-broom sensor will receive considerable unwanted power, exceeding the interference threshold both in magnitude and in duration, twice per orbit through one of its antenna beams when crossing the latitude of any earth station.</w:t>
      </w:r>
    </w:p>
    <w:p w:rsidR="00B9359B" w:rsidRDefault="009A5268">
      <w:pPr>
        <w:rPr>
          <w:lang w:val="en-US"/>
        </w:rPr>
      </w:pPr>
      <w:r>
        <w:rPr>
          <w:lang w:val="en-US"/>
        </w:rPr>
        <w:t>Worst</w:t>
      </w:r>
      <w:r>
        <w:rPr>
          <w:lang w:val="en-US"/>
        </w:rPr>
        <w:noBreakHyphen/>
        <w:t>case configurations involving interference paths through the earth station main-lobe are more detrimental because they lead to the loss of a number of successive complete scan-lines of the passive sensor. Furthermore, the magnitude of the power excess over the interference threshold, which can be as high as 108 dB, might have a destructive effect on the passive sensor’s receivers.</w:t>
      </w:r>
    </w:p>
    <w:p w:rsidR="00B9359B" w:rsidRDefault="009A5268">
      <w:pPr>
        <w:pStyle w:val="AnnexNoTitle"/>
        <w:rPr>
          <w:lang w:val="en-US"/>
        </w:rPr>
      </w:pPr>
      <w:r>
        <w:rPr>
          <w:lang w:val="en-US"/>
        </w:rPr>
        <w:br w:type="page"/>
        <w:t>Annex 20</w:t>
      </w:r>
      <w:r>
        <w:rPr>
          <w:lang w:val="en-US"/>
        </w:rPr>
        <w:br/>
      </w:r>
      <w:r>
        <w:rPr>
          <w:lang w:val="en-US"/>
        </w:rPr>
        <w:br/>
        <w:t>Compatibility analysis between EESS (passive) systems operating</w:t>
      </w:r>
      <w:r>
        <w:rPr>
          <w:lang w:val="en-US"/>
        </w:rPr>
        <w:br/>
        <w:t>in the 50.2-50.4 GHz band and the FSS (Earth-to-space) and MSS</w:t>
      </w:r>
      <w:r>
        <w:rPr>
          <w:lang w:val="en-US"/>
        </w:rPr>
        <w:br/>
        <w:t>(Earth-to-space) service systems operating in the 50.4-51.4 GHz band</w:t>
      </w:r>
    </w:p>
    <w:p w:rsidR="00B9359B" w:rsidRDefault="009A5268">
      <w:pPr>
        <w:pStyle w:val="Heading1"/>
        <w:rPr>
          <w:lang w:val="en-US"/>
        </w:rPr>
      </w:pPr>
      <w:bookmarkStart w:id="621" w:name="_Toc51046020"/>
      <w:r>
        <w:rPr>
          <w:lang w:val="en-US"/>
        </w:rPr>
        <w:t>1</w:t>
      </w:r>
      <w:r>
        <w:rPr>
          <w:lang w:val="en-US"/>
        </w:rPr>
        <w:tab/>
        <w:t>EESS</w:t>
      </w:r>
      <w:bookmarkEnd w:id="621"/>
      <w:r>
        <w:rPr>
          <w:lang w:val="en-US"/>
        </w:rPr>
        <w:t xml:space="preserve"> (passive)</w:t>
      </w:r>
    </w:p>
    <w:p w:rsidR="00B9359B" w:rsidRDefault="009A5268">
      <w:pPr>
        <w:pStyle w:val="Heading2"/>
        <w:rPr>
          <w:lang w:val="en-US"/>
        </w:rPr>
      </w:pPr>
      <w:bookmarkStart w:id="622" w:name="_Toc51046021"/>
      <w:r>
        <w:rPr>
          <w:lang w:val="en-US"/>
        </w:rPr>
        <w:t>1.1</w:t>
      </w:r>
      <w:r>
        <w:rPr>
          <w:lang w:val="en-US"/>
        </w:rPr>
        <w:tab/>
        <w:t>Allocated band</w:t>
      </w:r>
      <w:bookmarkEnd w:id="622"/>
    </w:p>
    <w:p w:rsidR="00B9359B" w:rsidRDefault="009A5268">
      <w:pPr>
        <w:rPr>
          <w:lang w:val="en-US"/>
        </w:rPr>
      </w:pPr>
      <w:r>
        <w:rPr>
          <w:lang w:val="en-US"/>
        </w:rPr>
        <w:t>The allocations adjacent to the 50.2-50.4 GHz EESS passive band are shown in Table 114. It should be noted that the band 50.2-50.4 GHz is covered by RR No. 5.340 and RR No. 5.340.1 is also applicable.</w:t>
      </w:r>
    </w:p>
    <w:p w:rsidR="00B9359B" w:rsidRDefault="009A5268">
      <w:pPr>
        <w:pStyle w:val="TableNo"/>
        <w:rPr>
          <w:lang w:val="en-US"/>
        </w:rPr>
      </w:pPr>
      <w:r>
        <w:rPr>
          <w:lang w:val="en-US"/>
        </w:rPr>
        <w:t>TABLE  114</w:t>
      </w:r>
    </w:p>
    <w:p w:rsidR="00B9359B" w:rsidRDefault="009A5268">
      <w:pPr>
        <w:pStyle w:val="Tabletitle"/>
        <w:rPr>
          <w:lang w:val="en-US"/>
        </w:rPr>
      </w:pPr>
      <w:r>
        <w:rPr>
          <w:lang w:val="en-US"/>
        </w:rPr>
        <w:t>Adjacent band allocations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B9359B" w:rsidRPr="00D35B94">
        <w:tc>
          <w:tcPr>
            <w:tcW w:w="3213" w:type="dxa"/>
          </w:tcPr>
          <w:p w:rsidR="00B9359B" w:rsidRDefault="009A5268">
            <w:pPr>
              <w:pStyle w:val="Tablehead"/>
              <w:framePr w:hSpace="181" w:wrap="notBeside" w:vAnchor="text" w:hAnchor="text" w:xAlign="center" w:y="1"/>
              <w:rPr>
                <w:lang w:val="en-US"/>
              </w:rPr>
            </w:pPr>
            <w:r>
              <w:rPr>
                <w:lang w:val="en-US"/>
              </w:rPr>
              <w:t xml:space="preserve">Services in lower </w:t>
            </w:r>
            <w:r>
              <w:rPr>
                <w:lang w:val="en-US"/>
              </w:rPr>
              <w:br/>
              <w:t>allocated band</w:t>
            </w:r>
          </w:p>
        </w:tc>
        <w:tc>
          <w:tcPr>
            <w:tcW w:w="3213" w:type="dxa"/>
            <w:vAlign w:val="center"/>
          </w:tcPr>
          <w:p w:rsidR="00B9359B" w:rsidRDefault="009A5268">
            <w:pPr>
              <w:pStyle w:val="Tablehead"/>
              <w:framePr w:hSpace="181" w:wrap="notBeside" w:vAnchor="text" w:hAnchor="text" w:xAlign="center" w:y="1"/>
              <w:rPr>
                <w:lang w:val="en-US"/>
              </w:rPr>
            </w:pPr>
            <w:r>
              <w:rPr>
                <w:lang w:val="en-US"/>
              </w:rPr>
              <w:t>Passive band</w:t>
            </w:r>
          </w:p>
        </w:tc>
        <w:tc>
          <w:tcPr>
            <w:tcW w:w="3213" w:type="dxa"/>
          </w:tcPr>
          <w:p w:rsidR="00B9359B" w:rsidRDefault="009A5268">
            <w:pPr>
              <w:pStyle w:val="Tablehead"/>
              <w:framePr w:hSpace="181" w:wrap="notBeside" w:vAnchor="text" w:hAnchor="text" w:xAlign="center" w:y="1"/>
              <w:rPr>
                <w:lang w:val="en-US"/>
              </w:rPr>
            </w:pPr>
            <w:r>
              <w:rPr>
                <w:lang w:val="en-US"/>
              </w:rPr>
              <w:t xml:space="preserve">Services in upper </w:t>
            </w:r>
            <w:r>
              <w:rPr>
                <w:lang w:val="en-US"/>
              </w:rPr>
              <w:br/>
              <w:t>allocated band</w:t>
            </w:r>
          </w:p>
        </w:tc>
      </w:tr>
      <w:tr w:rsidR="00B9359B">
        <w:tc>
          <w:tcPr>
            <w:tcW w:w="3213" w:type="dxa"/>
          </w:tcPr>
          <w:p w:rsidR="00B9359B" w:rsidRDefault="009A5268">
            <w:pPr>
              <w:pStyle w:val="Tablehead"/>
              <w:framePr w:hSpace="181" w:wrap="notBeside" w:vAnchor="text" w:hAnchor="text" w:xAlign="center" w:y="1"/>
              <w:rPr>
                <w:lang w:val="en-US"/>
              </w:rPr>
            </w:pPr>
            <w:r>
              <w:rPr>
                <w:lang w:val="en-US"/>
              </w:rPr>
              <w:t>47.2-50.2 GHz</w:t>
            </w:r>
          </w:p>
        </w:tc>
        <w:tc>
          <w:tcPr>
            <w:tcW w:w="3213" w:type="dxa"/>
          </w:tcPr>
          <w:p w:rsidR="00B9359B" w:rsidRDefault="009A5268">
            <w:pPr>
              <w:pStyle w:val="Tablehead"/>
              <w:framePr w:hSpace="181" w:wrap="notBeside" w:vAnchor="text" w:hAnchor="text" w:xAlign="center" w:y="1"/>
              <w:rPr>
                <w:lang w:val="en-US"/>
              </w:rPr>
            </w:pPr>
            <w:r>
              <w:rPr>
                <w:lang w:val="en-US"/>
              </w:rPr>
              <w:t>50.2-50.4 GHz</w:t>
            </w:r>
          </w:p>
        </w:tc>
        <w:tc>
          <w:tcPr>
            <w:tcW w:w="3213" w:type="dxa"/>
          </w:tcPr>
          <w:p w:rsidR="00B9359B" w:rsidRDefault="009A5268">
            <w:pPr>
              <w:pStyle w:val="Tablehead"/>
              <w:framePr w:hSpace="181" w:wrap="notBeside" w:vAnchor="text" w:hAnchor="text" w:xAlign="center" w:y="1"/>
              <w:rPr>
                <w:lang w:val="en-US"/>
              </w:rPr>
            </w:pPr>
            <w:r>
              <w:rPr>
                <w:lang w:val="en-US"/>
              </w:rPr>
              <w:t>50.4-51.4 GHz</w:t>
            </w:r>
          </w:p>
        </w:tc>
      </w:tr>
      <w:tr w:rsidR="00B9359B" w:rsidRPr="00D35B94">
        <w:tc>
          <w:tcPr>
            <w:tcW w:w="3213" w:type="dxa"/>
            <w:tcBorders>
              <w:bottom w:val="nil"/>
            </w:tcBorders>
          </w:tcPr>
          <w:p w:rsidR="00B9359B" w:rsidRDefault="009A5268">
            <w:pPr>
              <w:pStyle w:val="Tabletext"/>
              <w:framePr w:hSpace="181" w:wrap="notBeside" w:vAnchor="text" w:hAnchor="text" w:xAlign="center" w:y="1"/>
              <w:spacing w:before="60" w:after="60"/>
              <w:jc w:val="left"/>
              <w:rPr>
                <w:lang w:val="en-US"/>
              </w:rPr>
            </w:pPr>
            <w:r>
              <w:rPr>
                <w:lang w:val="en-US"/>
              </w:rPr>
              <w:t>FIXED</w:t>
            </w:r>
          </w:p>
          <w:p w:rsidR="00B9359B" w:rsidRDefault="009A5268">
            <w:pPr>
              <w:pStyle w:val="Tabletext"/>
              <w:framePr w:hSpace="181" w:wrap="notBeside" w:vAnchor="text" w:hAnchor="text" w:xAlign="center" w:y="1"/>
              <w:spacing w:before="60" w:after="60"/>
              <w:jc w:val="left"/>
              <w:rPr>
                <w:lang w:val="en-US"/>
              </w:rPr>
            </w:pPr>
            <w:r>
              <w:rPr>
                <w:lang w:val="en-US"/>
              </w:rPr>
              <w:t xml:space="preserve">FIXED-SATELLITE </w:t>
            </w:r>
            <w:r>
              <w:rPr>
                <w:lang w:val="en-US"/>
              </w:rPr>
              <w:br/>
              <w:t>(Earth-to-space)</w:t>
            </w:r>
          </w:p>
          <w:p w:rsidR="00B9359B" w:rsidRDefault="009A5268">
            <w:pPr>
              <w:pStyle w:val="Tabletext"/>
              <w:spacing w:before="60" w:after="0"/>
              <w:rPr>
                <w:lang w:val="en-US"/>
              </w:rPr>
            </w:pPr>
            <w:r>
              <w:rPr>
                <w:lang w:val="en-US"/>
              </w:rPr>
              <w:t>MOBILE</w:t>
            </w:r>
          </w:p>
        </w:tc>
        <w:tc>
          <w:tcPr>
            <w:tcW w:w="3213" w:type="dxa"/>
            <w:tcBorders>
              <w:bottom w:val="nil"/>
            </w:tcBorders>
          </w:tcPr>
          <w:p w:rsidR="00B9359B" w:rsidRDefault="009A5268">
            <w:pPr>
              <w:pStyle w:val="Tabletext"/>
              <w:framePr w:hSpace="181" w:wrap="notBeside" w:vAnchor="text" w:hAnchor="text" w:xAlign="center" w:y="1"/>
              <w:spacing w:before="60" w:after="60"/>
              <w:jc w:val="left"/>
              <w:rPr>
                <w:lang w:val="en-US"/>
              </w:rPr>
            </w:pPr>
            <w:r>
              <w:rPr>
                <w:lang w:val="en-US"/>
              </w:rPr>
              <w:t>EARTH  EXPLORATION-SATELLITE (passive)</w:t>
            </w:r>
          </w:p>
          <w:p w:rsidR="00B9359B" w:rsidRDefault="009A5268">
            <w:pPr>
              <w:pStyle w:val="Tabletext"/>
              <w:spacing w:before="60" w:after="0"/>
              <w:rPr>
                <w:lang w:val="en-US"/>
              </w:rPr>
            </w:pPr>
            <w:r>
              <w:rPr>
                <w:lang w:val="en-US"/>
              </w:rPr>
              <w:t xml:space="preserve">SPACE  RESEARCH (passive) </w:t>
            </w:r>
          </w:p>
        </w:tc>
        <w:tc>
          <w:tcPr>
            <w:tcW w:w="3213" w:type="dxa"/>
            <w:tcBorders>
              <w:bottom w:val="nil"/>
            </w:tcBorders>
          </w:tcPr>
          <w:p w:rsidR="00B9359B" w:rsidRDefault="009A5268">
            <w:pPr>
              <w:pStyle w:val="Tabletext"/>
              <w:framePr w:hSpace="181" w:wrap="notBeside" w:vAnchor="text" w:hAnchor="text" w:xAlign="center" w:y="1"/>
              <w:spacing w:before="60" w:after="60"/>
              <w:jc w:val="left"/>
              <w:rPr>
                <w:lang w:val="en-US"/>
              </w:rPr>
            </w:pPr>
            <w:r>
              <w:rPr>
                <w:lang w:val="en-US"/>
              </w:rPr>
              <w:t>FIXED</w:t>
            </w:r>
          </w:p>
          <w:p w:rsidR="00B9359B" w:rsidRDefault="009A5268">
            <w:pPr>
              <w:pStyle w:val="Tabletext"/>
              <w:framePr w:hSpace="181" w:wrap="notBeside" w:vAnchor="text" w:hAnchor="text" w:xAlign="center" w:y="1"/>
              <w:spacing w:before="60" w:after="60"/>
              <w:jc w:val="left"/>
              <w:rPr>
                <w:lang w:val="en-US"/>
              </w:rPr>
            </w:pPr>
            <w:r>
              <w:rPr>
                <w:lang w:val="en-US"/>
              </w:rPr>
              <w:t xml:space="preserve">FIXED  SATELLITE </w:t>
            </w:r>
            <w:r>
              <w:rPr>
                <w:lang w:val="en-US"/>
              </w:rPr>
              <w:br/>
              <w:t>(Earth-to-space)</w:t>
            </w:r>
          </w:p>
          <w:p w:rsidR="00B9359B" w:rsidRDefault="009A5268">
            <w:pPr>
              <w:pStyle w:val="Tabletext"/>
              <w:framePr w:hSpace="181" w:wrap="notBeside" w:vAnchor="text" w:hAnchor="text" w:xAlign="center" w:y="1"/>
              <w:spacing w:before="60" w:after="60"/>
              <w:jc w:val="left"/>
              <w:rPr>
                <w:lang w:val="en-US"/>
              </w:rPr>
            </w:pPr>
            <w:r>
              <w:rPr>
                <w:lang w:val="en-US"/>
              </w:rPr>
              <w:t>MOBILE</w:t>
            </w:r>
          </w:p>
          <w:p w:rsidR="00B9359B" w:rsidRDefault="009A5268">
            <w:pPr>
              <w:pStyle w:val="Tabletext"/>
              <w:framePr w:hSpace="181" w:wrap="notBeside" w:vAnchor="text" w:hAnchor="text" w:xAlign="center" w:y="1"/>
              <w:spacing w:before="60" w:after="0"/>
              <w:jc w:val="left"/>
              <w:rPr>
                <w:lang w:val="en-US"/>
              </w:rPr>
            </w:pPr>
            <w:r>
              <w:rPr>
                <w:lang w:val="en-US"/>
              </w:rPr>
              <w:t>Mobile-satellite (Earth-to-space)</w:t>
            </w:r>
          </w:p>
        </w:tc>
      </w:tr>
      <w:tr w:rsidR="00B9359B">
        <w:tc>
          <w:tcPr>
            <w:tcW w:w="3213" w:type="dxa"/>
            <w:tcBorders>
              <w:top w:val="nil"/>
            </w:tcBorders>
          </w:tcPr>
          <w:p w:rsidR="00B9359B" w:rsidRDefault="009A5268">
            <w:pPr>
              <w:pStyle w:val="Tabletext"/>
              <w:framePr w:hSpace="181" w:wrap="notBeside" w:vAnchor="text" w:hAnchor="text" w:xAlign="center" w:y="1"/>
              <w:spacing w:before="0"/>
              <w:jc w:val="left"/>
              <w:rPr>
                <w:lang w:val="en-US"/>
              </w:rPr>
            </w:pPr>
            <w:r>
              <w:rPr>
                <w:lang w:val="en-US"/>
              </w:rPr>
              <w:t>5.149  5.340  5.552  5.552A  5.555</w:t>
            </w:r>
          </w:p>
        </w:tc>
        <w:tc>
          <w:tcPr>
            <w:tcW w:w="3213" w:type="dxa"/>
            <w:tcBorders>
              <w:top w:val="nil"/>
            </w:tcBorders>
          </w:tcPr>
          <w:p w:rsidR="00B9359B" w:rsidRDefault="009A5268">
            <w:pPr>
              <w:pStyle w:val="Tabletext"/>
              <w:framePr w:hSpace="181" w:wrap="notBeside" w:vAnchor="text" w:hAnchor="text" w:xAlign="center" w:y="1"/>
              <w:spacing w:before="0"/>
              <w:jc w:val="left"/>
              <w:rPr>
                <w:lang w:val="en-US"/>
              </w:rPr>
            </w:pPr>
            <w:r>
              <w:rPr>
                <w:lang w:val="en-US"/>
              </w:rPr>
              <w:br/>
              <w:t>5.340  5.555A</w:t>
            </w:r>
          </w:p>
        </w:tc>
        <w:tc>
          <w:tcPr>
            <w:tcW w:w="3213" w:type="dxa"/>
            <w:tcBorders>
              <w:top w:val="nil"/>
            </w:tcBorders>
          </w:tcPr>
          <w:p w:rsidR="00B9359B" w:rsidRDefault="00B9359B">
            <w:pPr>
              <w:pStyle w:val="Tabletext"/>
              <w:framePr w:hSpace="181" w:wrap="notBeside" w:vAnchor="text" w:hAnchor="text" w:xAlign="center" w:y="1"/>
              <w:spacing w:before="0"/>
              <w:jc w:val="left"/>
              <w:rPr>
                <w:lang w:val="en-US"/>
              </w:rPr>
            </w:pPr>
          </w:p>
        </w:tc>
      </w:tr>
    </w:tbl>
    <w:p w:rsidR="00B9359B" w:rsidRDefault="00B9359B">
      <w:pPr>
        <w:pStyle w:val="Tablefin"/>
        <w:rPr>
          <w:lang w:val="en-US"/>
        </w:rPr>
      </w:pPr>
    </w:p>
    <w:p w:rsidR="00B9359B" w:rsidRDefault="009A5268">
      <w:pPr>
        <w:pStyle w:val="Heading2"/>
        <w:rPr>
          <w:lang w:val="en-US"/>
        </w:rPr>
      </w:pPr>
      <w:bookmarkStart w:id="623" w:name="_Toc51046022"/>
      <w:r>
        <w:rPr>
          <w:lang w:val="en-US"/>
        </w:rPr>
        <w:t>1.2</w:t>
      </w:r>
      <w:r>
        <w:rPr>
          <w:lang w:val="en-US"/>
        </w:rPr>
        <w:tab/>
        <w:t>Application</w:t>
      </w:r>
      <w:bookmarkEnd w:id="623"/>
    </w:p>
    <w:p w:rsidR="00B9359B" w:rsidRDefault="009A5268">
      <w:pPr>
        <w:rPr>
          <w:lang w:val="en-US"/>
        </w:rPr>
      </w:pPr>
      <w:r>
        <w:rPr>
          <w:lang w:val="en-US"/>
        </w:rPr>
        <w:t>This frequency band is one of several bands between 50 GHz and 60 GHz that are used collectively to provide three-dimensional temperature profiles of the atmosphere.</w:t>
      </w:r>
    </w:p>
    <w:p w:rsidR="00B9359B" w:rsidRDefault="009A5268">
      <w:pPr>
        <w:rPr>
          <w:b/>
          <w:lang w:val="en-US"/>
        </w:rPr>
      </w:pPr>
      <w:r>
        <w:rPr>
          <w:lang w:val="en-US"/>
        </w:rPr>
        <w:t>These measurements feed the numerical weather prediction models. The model needs data every 6 h and is used for fine mesh weather predictions (10 km or less) on a short time basis (6 to 48 h.)</w:t>
      </w:r>
    </w:p>
    <w:p w:rsidR="00B9359B" w:rsidRDefault="009A5268">
      <w:pPr>
        <w:pStyle w:val="Heading2"/>
        <w:rPr>
          <w:lang w:val="en-US"/>
        </w:rPr>
      </w:pPr>
      <w:bookmarkStart w:id="624" w:name="_Toc51046023"/>
      <w:r>
        <w:rPr>
          <w:lang w:val="en-US"/>
        </w:rPr>
        <w:t>1.3</w:t>
      </w:r>
      <w:r>
        <w:rPr>
          <w:lang w:val="en-US"/>
        </w:rPr>
        <w:tab/>
        <w:t>Required protection criteria</w:t>
      </w:r>
      <w:bookmarkEnd w:id="624"/>
    </w:p>
    <w:p w:rsidR="00B9359B" w:rsidRDefault="009A5268">
      <w:pPr>
        <w:rPr>
          <w:lang w:val="en-US"/>
        </w:rPr>
      </w:pPr>
      <w:r>
        <w:rPr>
          <w:lang w:val="en-US"/>
        </w:rPr>
        <w:t>The following three Recommendations establish the interference criteria for passive sensors:</w:t>
      </w:r>
    </w:p>
    <w:p w:rsidR="00B9359B" w:rsidRDefault="009A5268">
      <w:pPr>
        <w:pStyle w:val="enumlev1"/>
        <w:tabs>
          <w:tab w:val="clear" w:pos="794"/>
          <w:tab w:val="clear" w:pos="1191"/>
          <w:tab w:val="clear" w:pos="1588"/>
          <w:tab w:val="clear" w:pos="1985"/>
          <w:tab w:val="left" w:pos="3515"/>
        </w:tabs>
        <w:ind w:left="3515" w:hanging="3515"/>
        <w:rPr>
          <w:lang w:val="en-US"/>
        </w:rPr>
      </w:pPr>
      <w:r>
        <w:rPr>
          <w:lang w:val="en-US"/>
        </w:rPr>
        <w:t>Recommendation ITU-R SA.515 –</w:t>
      </w:r>
      <w:r>
        <w:rPr>
          <w:lang w:val="en-US"/>
        </w:rPr>
        <w:tab/>
        <w:t>Frequency bands and bandwidths used for satellite passive sensing.</w:t>
      </w:r>
    </w:p>
    <w:p w:rsidR="00B9359B" w:rsidRDefault="009A5268">
      <w:pPr>
        <w:pStyle w:val="enumlev1"/>
        <w:tabs>
          <w:tab w:val="clear" w:pos="794"/>
          <w:tab w:val="clear" w:pos="1191"/>
          <w:tab w:val="clear" w:pos="1588"/>
          <w:tab w:val="clear" w:pos="1985"/>
          <w:tab w:val="left" w:pos="3515"/>
        </w:tabs>
        <w:ind w:left="3515" w:hanging="3515"/>
        <w:rPr>
          <w:lang w:val="en-US"/>
        </w:rPr>
      </w:pPr>
      <w:r>
        <w:rPr>
          <w:lang w:val="en-US"/>
        </w:rPr>
        <w:t>Recommendation ITU-R SA.1028 –</w:t>
      </w:r>
      <w:r>
        <w:rPr>
          <w:lang w:val="en-US"/>
        </w:rPr>
        <w:tab/>
        <w:t>Performance criteria for satellite passive remote sensing.</w:t>
      </w:r>
    </w:p>
    <w:p w:rsidR="00B9359B" w:rsidRDefault="009A5268">
      <w:pPr>
        <w:pStyle w:val="enumlev1"/>
        <w:tabs>
          <w:tab w:val="clear" w:pos="794"/>
          <w:tab w:val="clear" w:pos="1191"/>
          <w:tab w:val="clear" w:pos="1588"/>
          <w:tab w:val="clear" w:pos="1985"/>
          <w:tab w:val="left" w:pos="3515"/>
        </w:tabs>
        <w:ind w:left="3515" w:hanging="3515"/>
        <w:rPr>
          <w:lang w:val="en-US"/>
        </w:rPr>
      </w:pPr>
      <w:r>
        <w:rPr>
          <w:lang w:val="en-US"/>
        </w:rPr>
        <w:t>Recommendation ITU-R SA.1029 –</w:t>
      </w:r>
      <w:r>
        <w:rPr>
          <w:lang w:val="en-US"/>
        </w:rPr>
        <w:tab/>
        <w:t>Interference criteria for satellite passive remote sensing.</w:t>
      </w:r>
    </w:p>
    <w:p w:rsidR="00B9359B" w:rsidRDefault="009A5268">
      <w:pPr>
        <w:rPr>
          <w:lang w:val="en-US"/>
        </w:rPr>
      </w:pPr>
      <w:r>
        <w:rPr>
          <w:lang w:val="en-US"/>
        </w:rPr>
        <w:br w:type="page"/>
        <w:t xml:space="preserve">The first criterion is the acceptable interference power received by the EESS sensor, which is </w:t>
      </w:r>
      <w:r>
        <w:rPr>
          <w:rFonts w:ascii="Symbol" w:hAnsi="Symbol"/>
          <w:lang w:val="en-US"/>
        </w:rPr>
        <w:noBreakHyphen/>
      </w:r>
      <w:r>
        <w:rPr>
          <w:lang w:val="en-US"/>
        </w:rPr>
        <w:t>166 dBW in the reference bandwidth of 100 MHz. This is a maximum interference level from all sources.</w:t>
      </w:r>
    </w:p>
    <w:p w:rsidR="00B9359B" w:rsidRDefault="009A5268">
      <w:pPr>
        <w:rPr>
          <w:lang w:val="en-US"/>
        </w:rPr>
      </w:pPr>
      <w:r>
        <w:rPr>
          <w:lang w:val="en-US"/>
        </w:rPr>
        <w:t>The second criterion is the frequency of occurrence limit on the threshold being exceeded. For nadir sounders used for three-dimensional measurements of atmospheric temperature or gas concen</w:t>
      </w:r>
      <w:r>
        <w:rPr>
          <w:lang w:val="en-US"/>
        </w:rPr>
        <w:softHyphen/>
        <w:t>tration, the proportion of measurement cells lost due to interference must not exceed 0.01%. This frequency of occurrence limit is valid for mechanically scanned and push-broom nadir sounders.</w:t>
      </w:r>
    </w:p>
    <w:p w:rsidR="00B9359B" w:rsidRDefault="009A5268">
      <w:pPr>
        <w:pStyle w:val="Heading2"/>
        <w:rPr>
          <w:lang w:val="en-US"/>
        </w:rPr>
      </w:pPr>
      <w:bookmarkStart w:id="625" w:name="_Toc51046024"/>
      <w:r>
        <w:rPr>
          <w:lang w:val="en-US"/>
        </w:rPr>
        <w:t>1.4</w:t>
      </w:r>
      <w:r>
        <w:rPr>
          <w:lang w:val="en-US"/>
        </w:rPr>
        <w:tab/>
        <w:t>Operational characteristics</w:t>
      </w:r>
      <w:bookmarkEnd w:id="625"/>
      <w:r>
        <w:rPr>
          <w:lang w:val="en-US"/>
        </w:rPr>
        <w:t xml:space="preserve"> </w:t>
      </w:r>
    </w:p>
    <w:p w:rsidR="00B9359B" w:rsidRDefault="009A5268">
      <w:pPr>
        <w:rPr>
          <w:lang w:val="en-US"/>
        </w:rPr>
      </w:pPr>
      <w:r>
        <w:rPr>
          <w:lang w:val="en-US"/>
        </w:rPr>
        <w:t>Three types of sensor designs have been considered for measurements in this frequency range. The cross track scanner which scans through nadir, the conical scanner which scans in an arc in front of the space station across its track, and the push-broom which uses multiple fixed beams across its track. The push-broom instrument is a nadir-looking instrument configured to measure in a plane normal to the satellite velocity vector. The push-broom scanner will be analysed because it represents the future in microwave sounding. It has the specific advantage of permitting a longer integration time. Table 115 provides the operating characteristics of the sensor under study.</w:t>
      </w:r>
    </w:p>
    <w:p w:rsidR="00B9359B" w:rsidRDefault="009A5268">
      <w:pPr>
        <w:pStyle w:val="TableNo"/>
        <w:rPr>
          <w:lang w:val="en-US"/>
        </w:rPr>
      </w:pPr>
      <w:r>
        <w:rPr>
          <w:lang w:val="en-US"/>
        </w:rPr>
        <w:t>TABLE  115</w:t>
      </w:r>
    </w:p>
    <w:p w:rsidR="00B9359B" w:rsidRDefault="009A5268">
      <w:pPr>
        <w:pStyle w:val="Tabletitle"/>
        <w:rPr>
          <w:lang w:val="en-US"/>
        </w:rPr>
      </w:pPr>
      <w:r>
        <w:rPr>
          <w:lang w:val="en-US"/>
        </w:rPr>
        <w:t>Parameters of the push-broom sensor</w:t>
      </w:r>
    </w:p>
    <w:tbl>
      <w:tblPr>
        <w:tblW w:w="963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807"/>
        <w:gridCol w:w="4832"/>
      </w:tblGrid>
      <w:tr w:rsidR="00B9359B">
        <w:tc>
          <w:tcPr>
            <w:tcW w:w="4807" w:type="dxa"/>
          </w:tcPr>
          <w:p w:rsidR="00B9359B" w:rsidRDefault="009A5268">
            <w:pPr>
              <w:pStyle w:val="Tablehead"/>
              <w:framePr w:hSpace="181" w:wrap="notBeside" w:vAnchor="text" w:hAnchor="text" w:xAlign="center" w:y="1"/>
              <w:rPr>
                <w:lang w:val="en-US"/>
              </w:rPr>
            </w:pPr>
            <w:r>
              <w:rPr>
                <w:lang w:val="en-US"/>
              </w:rPr>
              <w:t>Parameter</w:t>
            </w:r>
          </w:p>
        </w:tc>
        <w:tc>
          <w:tcPr>
            <w:tcW w:w="4832" w:type="dxa"/>
          </w:tcPr>
          <w:p w:rsidR="00B9359B" w:rsidRDefault="009A5268">
            <w:pPr>
              <w:pStyle w:val="Tablehead"/>
              <w:framePr w:hSpace="181" w:wrap="notBeside" w:vAnchor="text" w:hAnchor="text" w:xAlign="center" w:y="1"/>
              <w:rPr>
                <w:lang w:val="en-US"/>
              </w:rPr>
            </w:pPr>
            <w:r>
              <w:rPr>
                <w:lang w:val="en-US"/>
              </w:rPr>
              <w:t>Value</w:t>
            </w:r>
          </w:p>
        </w:tc>
      </w:tr>
      <w:tr w:rsidR="00B9359B">
        <w:tc>
          <w:tcPr>
            <w:tcW w:w="4807" w:type="dxa"/>
          </w:tcPr>
          <w:p w:rsidR="00B9359B" w:rsidRDefault="009A5268">
            <w:pPr>
              <w:pStyle w:val="Tabletext"/>
              <w:framePr w:hSpace="181" w:wrap="notBeside" w:vAnchor="text" w:hAnchor="text" w:xAlign="center" w:y="1"/>
              <w:spacing w:before="50" w:after="50"/>
              <w:rPr>
                <w:lang w:val="en-US"/>
              </w:rPr>
            </w:pPr>
            <w:r>
              <w:rPr>
                <w:lang w:val="en-US"/>
              </w:rPr>
              <w:t>Altitude (km)</w:t>
            </w:r>
          </w:p>
        </w:tc>
        <w:tc>
          <w:tcPr>
            <w:tcW w:w="4832" w:type="dxa"/>
          </w:tcPr>
          <w:p w:rsidR="00B9359B" w:rsidRDefault="009A5268">
            <w:pPr>
              <w:pStyle w:val="Tabletext"/>
              <w:framePr w:hSpace="181" w:wrap="notBeside" w:vAnchor="text" w:hAnchor="text" w:xAlign="center" w:y="1"/>
              <w:spacing w:before="50" w:after="50"/>
              <w:jc w:val="center"/>
            </w:pPr>
            <w:r>
              <w:t>850</w:t>
            </w:r>
          </w:p>
        </w:tc>
      </w:tr>
      <w:tr w:rsidR="00B9359B">
        <w:tc>
          <w:tcPr>
            <w:tcW w:w="4807" w:type="dxa"/>
          </w:tcPr>
          <w:p w:rsidR="00B9359B" w:rsidRDefault="009A5268">
            <w:pPr>
              <w:pStyle w:val="Tabletext"/>
              <w:framePr w:hSpace="181" w:wrap="notBeside" w:vAnchor="text" w:hAnchor="text" w:xAlign="center" w:y="1"/>
              <w:spacing w:before="50" w:after="50"/>
            </w:pPr>
            <w:r>
              <w:t>Orbit</w:t>
            </w:r>
          </w:p>
        </w:tc>
        <w:tc>
          <w:tcPr>
            <w:tcW w:w="4832" w:type="dxa"/>
          </w:tcPr>
          <w:p w:rsidR="00B9359B" w:rsidRDefault="009A5268">
            <w:pPr>
              <w:pStyle w:val="Tabletext"/>
              <w:framePr w:hSpace="181" w:wrap="notBeside" w:vAnchor="text" w:hAnchor="text" w:xAlign="center" w:y="1"/>
              <w:spacing w:before="50" w:after="50"/>
              <w:jc w:val="center"/>
            </w:pPr>
            <w:r>
              <w:t>Sun-synchronous polar</w:t>
            </w:r>
          </w:p>
        </w:tc>
      </w:tr>
      <w:tr w:rsidR="00B9359B">
        <w:tc>
          <w:tcPr>
            <w:tcW w:w="4807" w:type="dxa"/>
          </w:tcPr>
          <w:p w:rsidR="00B9359B" w:rsidRDefault="009A5268">
            <w:pPr>
              <w:pStyle w:val="Tabletext"/>
              <w:framePr w:hSpace="181" w:wrap="notBeside" w:vAnchor="text" w:hAnchor="text" w:xAlign="center" w:y="1"/>
              <w:spacing w:before="50" w:after="50"/>
              <w:rPr>
                <w:lang w:val="en-US"/>
              </w:rPr>
            </w:pPr>
            <w:r>
              <w:rPr>
                <w:lang w:val="en-US"/>
              </w:rPr>
              <w:t>Main lobe antenna gain (dBi)</w:t>
            </w:r>
          </w:p>
        </w:tc>
        <w:tc>
          <w:tcPr>
            <w:tcW w:w="4832" w:type="dxa"/>
          </w:tcPr>
          <w:p w:rsidR="00B9359B" w:rsidRDefault="009A5268">
            <w:pPr>
              <w:pStyle w:val="Tabletext"/>
              <w:framePr w:hSpace="181" w:wrap="notBeside" w:vAnchor="text" w:hAnchor="text" w:xAlign="center" w:y="1"/>
              <w:spacing w:before="50" w:after="50"/>
              <w:jc w:val="center"/>
              <w:rPr>
                <w:lang w:val="en-US"/>
              </w:rPr>
            </w:pPr>
            <w:r>
              <w:rPr>
                <w:lang w:val="en-US"/>
              </w:rPr>
              <w:t>45</w:t>
            </w:r>
          </w:p>
        </w:tc>
      </w:tr>
      <w:tr w:rsidR="00B9359B">
        <w:tc>
          <w:tcPr>
            <w:tcW w:w="4807" w:type="dxa"/>
          </w:tcPr>
          <w:p w:rsidR="00B9359B" w:rsidRDefault="009A5268">
            <w:pPr>
              <w:pStyle w:val="Tabletext"/>
              <w:framePr w:hSpace="181" w:wrap="notBeside" w:vAnchor="text" w:hAnchor="text" w:xAlign="center" w:y="1"/>
              <w:spacing w:before="50" w:after="50"/>
              <w:rPr>
                <w:lang w:val="en-US"/>
              </w:rPr>
            </w:pPr>
            <w:r>
              <w:rPr>
                <w:lang w:val="en-US"/>
              </w:rPr>
              <w:t>Antenna 3 dB beamwidth (degrees)</w:t>
            </w:r>
          </w:p>
        </w:tc>
        <w:tc>
          <w:tcPr>
            <w:tcW w:w="4832" w:type="dxa"/>
          </w:tcPr>
          <w:p w:rsidR="00B9359B" w:rsidRDefault="009A5268">
            <w:pPr>
              <w:pStyle w:val="Tabletext"/>
              <w:framePr w:hSpace="181" w:wrap="notBeside" w:vAnchor="text" w:hAnchor="text" w:xAlign="center" w:y="1"/>
              <w:spacing w:before="50" w:after="50"/>
              <w:jc w:val="center"/>
              <w:rPr>
                <w:lang w:val="en-US"/>
              </w:rPr>
            </w:pPr>
            <w:r>
              <w:rPr>
                <w:lang w:val="en-US"/>
              </w:rPr>
              <w:t>1.1</w:t>
            </w:r>
          </w:p>
        </w:tc>
      </w:tr>
      <w:tr w:rsidR="00B9359B">
        <w:tc>
          <w:tcPr>
            <w:tcW w:w="4807" w:type="dxa"/>
          </w:tcPr>
          <w:p w:rsidR="00B9359B" w:rsidRDefault="009A5268">
            <w:pPr>
              <w:pStyle w:val="Tabletext"/>
              <w:framePr w:hSpace="181" w:wrap="notBeside" w:vAnchor="text" w:hAnchor="text" w:xAlign="center" w:y="1"/>
              <w:spacing w:before="50" w:after="50"/>
              <w:rPr>
                <w:lang w:val="en-US"/>
              </w:rPr>
            </w:pPr>
            <w:r>
              <w:rPr>
                <w:lang w:val="en-US"/>
              </w:rPr>
              <w:t>Antenna pattern</w:t>
            </w:r>
          </w:p>
        </w:tc>
        <w:tc>
          <w:tcPr>
            <w:tcW w:w="4832" w:type="dxa"/>
          </w:tcPr>
          <w:p w:rsidR="00B9359B" w:rsidRDefault="009A5268">
            <w:pPr>
              <w:pStyle w:val="Tabletext"/>
              <w:framePr w:hSpace="181" w:wrap="notBeside" w:vAnchor="text" w:hAnchor="text" w:xAlign="center" w:y="1"/>
              <w:spacing w:before="50" w:after="50"/>
              <w:jc w:val="center"/>
              <w:rPr>
                <w:lang w:val="en-US"/>
              </w:rPr>
            </w:pPr>
            <w:r>
              <w:rPr>
                <w:lang w:val="en-US"/>
              </w:rPr>
              <w:t>Recommendation ITU-R F.1245</w:t>
            </w:r>
          </w:p>
        </w:tc>
      </w:tr>
      <w:tr w:rsidR="00B9359B" w:rsidRPr="00D35B94">
        <w:tc>
          <w:tcPr>
            <w:tcW w:w="4807" w:type="dxa"/>
          </w:tcPr>
          <w:p w:rsidR="00B9359B" w:rsidRDefault="009A5268">
            <w:pPr>
              <w:pStyle w:val="Tabletext"/>
              <w:framePr w:hSpace="181" w:wrap="notBeside" w:vAnchor="text" w:hAnchor="text" w:xAlign="center" w:y="1"/>
              <w:spacing w:before="50" w:after="50"/>
              <w:rPr>
                <w:lang w:val="en-US"/>
              </w:rPr>
            </w:pPr>
            <w:r>
              <w:rPr>
                <w:lang w:val="en-US"/>
              </w:rPr>
              <w:t>FOV (re. sensor) (degrees)</w:t>
            </w:r>
          </w:p>
        </w:tc>
        <w:tc>
          <w:tcPr>
            <w:tcW w:w="4832" w:type="dxa"/>
          </w:tcPr>
          <w:p w:rsidR="00B9359B" w:rsidRDefault="009A5268">
            <w:pPr>
              <w:pStyle w:val="Tabletext"/>
              <w:framePr w:hSpace="181" w:wrap="notBeside" w:vAnchor="text" w:hAnchor="text" w:xAlign="center" w:y="1"/>
              <w:spacing w:before="50" w:after="50"/>
              <w:jc w:val="center"/>
              <w:rPr>
                <w:lang w:val="en-US"/>
              </w:rPr>
            </w:pPr>
            <w:r>
              <w:rPr>
                <w:rFonts w:ascii="Symbol" w:hAnsi="Symbol"/>
                <w:lang w:val="en-US"/>
              </w:rPr>
              <w:t></w:t>
            </w:r>
            <w:r>
              <w:rPr>
                <w:lang w:val="en-US"/>
              </w:rPr>
              <w:t xml:space="preserve"> 50 cross track re. nadir direction</w:t>
            </w:r>
          </w:p>
        </w:tc>
      </w:tr>
      <w:tr w:rsidR="00B9359B">
        <w:tc>
          <w:tcPr>
            <w:tcW w:w="4807" w:type="dxa"/>
          </w:tcPr>
          <w:p w:rsidR="00B9359B" w:rsidRDefault="009A5268">
            <w:pPr>
              <w:pStyle w:val="Tabletext"/>
              <w:framePr w:hSpace="181" w:wrap="notBeside" w:vAnchor="text" w:hAnchor="text" w:xAlign="center" w:y="1"/>
              <w:spacing w:before="50" w:after="50"/>
              <w:rPr>
                <w:lang w:val="en-US"/>
              </w:rPr>
            </w:pPr>
            <w:r>
              <w:rPr>
                <w:lang w:val="en-US"/>
              </w:rPr>
              <w:t>FOV (re. Earth’s centre) (degrees)</w:t>
            </w:r>
          </w:p>
        </w:tc>
        <w:tc>
          <w:tcPr>
            <w:tcW w:w="4832" w:type="dxa"/>
          </w:tcPr>
          <w:p w:rsidR="00B9359B" w:rsidRDefault="009A5268">
            <w:pPr>
              <w:pStyle w:val="Tabletext"/>
              <w:framePr w:hSpace="181" w:wrap="notBeside" w:vAnchor="text" w:hAnchor="text" w:xAlign="center" w:y="1"/>
              <w:spacing w:before="50" w:after="50"/>
              <w:jc w:val="center"/>
              <w:rPr>
                <w:lang w:val="en-US"/>
              </w:rPr>
            </w:pPr>
            <w:r>
              <w:rPr>
                <w:rFonts w:ascii="Symbol" w:hAnsi="Symbol"/>
                <w:lang w:val="en-US"/>
              </w:rPr>
              <w:t></w:t>
            </w:r>
            <w:r>
              <w:rPr>
                <w:lang w:val="en-US"/>
              </w:rPr>
              <w:t xml:space="preserve"> 10.25 geocentric</w:t>
            </w:r>
          </w:p>
        </w:tc>
      </w:tr>
      <w:tr w:rsidR="00B9359B">
        <w:tc>
          <w:tcPr>
            <w:tcW w:w="4807" w:type="dxa"/>
          </w:tcPr>
          <w:p w:rsidR="00B9359B" w:rsidRDefault="009A5268">
            <w:pPr>
              <w:pStyle w:val="Tabletext"/>
              <w:framePr w:hSpace="181" w:wrap="notBeside" w:vAnchor="text" w:hAnchor="text" w:xAlign="center" w:y="1"/>
              <w:spacing w:before="50" w:after="50"/>
              <w:rPr>
                <w:lang w:val="en-US"/>
              </w:rPr>
            </w:pPr>
            <w:r>
              <w:rPr>
                <w:lang w:val="en-US"/>
              </w:rPr>
              <w:t>Pixel diameter at nadir (km)</w:t>
            </w:r>
          </w:p>
        </w:tc>
        <w:tc>
          <w:tcPr>
            <w:tcW w:w="4832" w:type="dxa"/>
          </w:tcPr>
          <w:p w:rsidR="00B9359B" w:rsidRDefault="009A5268">
            <w:pPr>
              <w:pStyle w:val="Tabletext"/>
              <w:framePr w:hSpace="181" w:wrap="notBeside" w:vAnchor="text" w:hAnchor="text" w:xAlign="center" w:y="1"/>
              <w:spacing w:before="50" w:after="50"/>
              <w:jc w:val="center"/>
              <w:rPr>
                <w:lang w:val="en-US"/>
              </w:rPr>
            </w:pPr>
            <w:r>
              <w:rPr>
                <w:lang w:val="en-US"/>
              </w:rPr>
              <w:t>16</w:t>
            </w:r>
          </w:p>
        </w:tc>
      </w:tr>
      <w:tr w:rsidR="00B9359B">
        <w:tc>
          <w:tcPr>
            <w:tcW w:w="4807" w:type="dxa"/>
          </w:tcPr>
          <w:p w:rsidR="00B9359B" w:rsidRDefault="009A5268">
            <w:pPr>
              <w:pStyle w:val="Tabletext"/>
              <w:framePr w:hSpace="181" w:wrap="notBeside" w:vAnchor="text" w:hAnchor="text" w:xAlign="center" w:y="1"/>
              <w:spacing w:before="50" w:after="50"/>
              <w:rPr>
                <w:lang w:val="en-US"/>
              </w:rPr>
            </w:pPr>
            <w:r>
              <w:rPr>
                <w:lang w:val="en-US"/>
              </w:rPr>
              <w:t>Pixels per swath</w:t>
            </w:r>
          </w:p>
        </w:tc>
        <w:tc>
          <w:tcPr>
            <w:tcW w:w="4832" w:type="dxa"/>
          </w:tcPr>
          <w:p w:rsidR="00B9359B" w:rsidRDefault="009A5268">
            <w:pPr>
              <w:pStyle w:val="Tabletext"/>
              <w:framePr w:hSpace="181" w:wrap="notBeside" w:vAnchor="text" w:hAnchor="text" w:xAlign="center" w:y="1"/>
              <w:spacing w:before="50" w:after="50"/>
              <w:jc w:val="center"/>
              <w:rPr>
                <w:lang w:val="en-US"/>
              </w:rPr>
            </w:pPr>
            <w:r>
              <w:rPr>
                <w:lang w:val="en-US"/>
              </w:rPr>
              <w:t>90</w:t>
            </w:r>
          </w:p>
        </w:tc>
      </w:tr>
      <w:tr w:rsidR="00B9359B">
        <w:tc>
          <w:tcPr>
            <w:tcW w:w="4807" w:type="dxa"/>
          </w:tcPr>
          <w:p w:rsidR="00B9359B" w:rsidRDefault="009A5268">
            <w:pPr>
              <w:pStyle w:val="Tabletext"/>
              <w:framePr w:hSpace="181" w:wrap="notBeside" w:vAnchor="text" w:hAnchor="text" w:xAlign="center" w:y="1"/>
              <w:spacing w:before="50" w:after="50"/>
              <w:rPr>
                <w:lang w:val="en-US"/>
              </w:rPr>
            </w:pPr>
            <w:r>
              <w:rPr>
                <w:lang w:val="en-US"/>
              </w:rPr>
              <w:t>Swath width (km)</w:t>
            </w:r>
          </w:p>
        </w:tc>
        <w:tc>
          <w:tcPr>
            <w:tcW w:w="4832" w:type="dxa"/>
          </w:tcPr>
          <w:p w:rsidR="00B9359B" w:rsidRDefault="009A5268">
            <w:pPr>
              <w:pStyle w:val="Tabletext"/>
              <w:framePr w:hSpace="181" w:wrap="notBeside" w:vAnchor="text" w:hAnchor="text" w:xAlign="center" w:y="1"/>
              <w:spacing w:before="50" w:after="50"/>
              <w:jc w:val="center"/>
              <w:rPr>
                <w:lang w:val="en-US"/>
              </w:rPr>
            </w:pPr>
            <w:r>
              <w:rPr>
                <w:lang w:val="en-US"/>
              </w:rPr>
              <w:t>2</w:t>
            </w:r>
            <w:r>
              <w:rPr>
                <w:rFonts w:ascii="Tms Rmn" w:hAnsi="Tms Rmn"/>
                <w:sz w:val="12"/>
                <w:lang w:val="en-US"/>
              </w:rPr>
              <w:t> </w:t>
            </w:r>
            <w:r>
              <w:rPr>
                <w:lang w:val="en-US"/>
              </w:rPr>
              <w:t>300</w:t>
            </w:r>
          </w:p>
        </w:tc>
      </w:tr>
    </w:tbl>
    <w:p w:rsidR="00B9359B" w:rsidRDefault="00B9359B">
      <w:pPr>
        <w:pStyle w:val="Tablefin"/>
      </w:pPr>
    </w:p>
    <w:p w:rsidR="00B9359B" w:rsidRDefault="009A5268">
      <w:pPr>
        <w:pStyle w:val="Heading1"/>
        <w:rPr>
          <w:lang w:val="en-US"/>
        </w:rPr>
      </w:pPr>
      <w:bookmarkStart w:id="626" w:name="_Toc51046025"/>
      <w:r>
        <w:rPr>
          <w:lang w:val="en-US"/>
        </w:rPr>
        <w:t>2</w:t>
      </w:r>
      <w:r>
        <w:rPr>
          <w:lang w:val="en-US"/>
        </w:rPr>
        <w:tab/>
        <w:t>FSS and MSS</w:t>
      </w:r>
      <w:bookmarkEnd w:id="626"/>
    </w:p>
    <w:p w:rsidR="00B9359B" w:rsidRDefault="009A5268">
      <w:pPr>
        <w:pStyle w:val="Heading2"/>
        <w:rPr>
          <w:lang w:val="en-US"/>
        </w:rPr>
      </w:pPr>
      <w:bookmarkStart w:id="627" w:name="_Toc51046026"/>
      <w:r>
        <w:rPr>
          <w:lang w:val="en-US"/>
        </w:rPr>
        <w:t>2.1</w:t>
      </w:r>
      <w:r>
        <w:rPr>
          <w:lang w:val="en-US"/>
        </w:rPr>
        <w:tab/>
        <w:t>Allocated transmit band</w:t>
      </w:r>
      <w:bookmarkEnd w:id="627"/>
    </w:p>
    <w:p w:rsidR="00B9359B" w:rsidRDefault="009A5268">
      <w:pPr>
        <w:rPr>
          <w:lang w:val="en-US"/>
        </w:rPr>
      </w:pPr>
      <w:r>
        <w:rPr>
          <w:lang w:val="en-US"/>
        </w:rPr>
        <w:t>Refer to Table 114.</w:t>
      </w:r>
    </w:p>
    <w:p w:rsidR="00B9359B" w:rsidRDefault="009A5268">
      <w:pPr>
        <w:pStyle w:val="Heading2"/>
        <w:rPr>
          <w:lang w:val="en-US"/>
        </w:rPr>
      </w:pPr>
      <w:bookmarkStart w:id="628" w:name="_Toc51046027"/>
      <w:r>
        <w:rPr>
          <w:lang w:val="en-US"/>
        </w:rPr>
        <w:t>2.2</w:t>
      </w:r>
      <w:r>
        <w:rPr>
          <w:lang w:val="en-US"/>
        </w:rPr>
        <w:tab/>
        <w:t>Application</w:t>
      </w:r>
      <w:bookmarkEnd w:id="628"/>
    </w:p>
    <w:p w:rsidR="00B9359B" w:rsidRDefault="009A5268">
      <w:pPr>
        <w:rPr>
          <w:lang w:val="en-US"/>
        </w:rPr>
      </w:pPr>
      <w:r>
        <w:rPr>
          <w:lang w:val="en-US"/>
        </w:rPr>
        <w:t>The active service under consideration for this Annex is the FSS (Earth-to-space) and MSS (Earth-to-space) in the 47.2</w:t>
      </w:r>
      <w:r>
        <w:rPr>
          <w:lang w:val="en-US"/>
        </w:rPr>
        <w:noBreakHyphen/>
        <w:t>50.2 GHz band.</w:t>
      </w:r>
    </w:p>
    <w:p w:rsidR="00B9359B" w:rsidRDefault="009A5268">
      <w:pPr>
        <w:pStyle w:val="Heading2"/>
        <w:rPr>
          <w:lang w:val="en-US"/>
        </w:rPr>
      </w:pPr>
      <w:bookmarkStart w:id="629" w:name="_Toc51046028"/>
      <w:r>
        <w:rPr>
          <w:lang w:val="en-US"/>
        </w:rPr>
        <w:br w:type="page"/>
        <w:t>2.3</w:t>
      </w:r>
      <w:r>
        <w:rPr>
          <w:lang w:val="en-US"/>
        </w:rPr>
        <w:tab/>
        <w:t>Levels based on spectral representation</w:t>
      </w:r>
      <w:bookmarkEnd w:id="629"/>
    </w:p>
    <w:p w:rsidR="00B9359B" w:rsidRDefault="009A5268">
      <w:pPr>
        <w:rPr>
          <w:lang w:val="en-US"/>
        </w:rPr>
      </w:pPr>
      <w:r>
        <w:rPr>
          <w:lang w:val="en-US"/>
        </w:rPr>
        <w:t>This Annex uses the raised cosine spectral representation which is described in Annex 1.</w:t>
      </w:r>
    </w:p>
    <w:p w:rsidR="00B9359B" w:rsidRDefault="009A5268">
      <w:pPr>
        <w:rPr>
          <w:lang w:val="en-US"/>
        </w:rPr>
      </w:pPr>
      <w:r>
        <w:rPr>
          <w:lang w:val="en-US"/>
        </w:rPr>
        <w:t>This spectral representation is intended for band-by-band studies and is provisional, pending further review within the ITU-R. It represents in a very general way the typical mean power distribution through the OoB and spurious domains in an adjacent or nearby allocation.</w:t>
      </w:r>
    </w:p>
    <w:p w:rsidR="00B9359B" w:rsidRDefault="009A5268">
      <w:pPr>
        <w:pStyle w:val="Heading2"/>
        <w:rPr>
          <w:lang w:val="en-US"/>
        </w:rPr>
      </w:pPr>
      <w:bookmarkStart w:id="630" w:name="_Toc51046029"/>
      <w:r>
        <w:rPr>
          <w:lang w:val="en-US"/>
        </w:rPr>
        <w:t>2.4</w:t>
      </w:r>
      <w:r>
        <w:rPr>
          <w:lang w:val="en-US"/>
        </w:rPr>
        <w:tab/>
        <w:t>Transmitter characteristics</w:t>
      </w:r>
      <w:bookmarkEnd w:id="630"/>
    </w:p>
    <w:p w:rsidR="00B9359B" w:rsidRDefault="009A5268">
      <w:pPr>
        <w:rPr>
          <w:lang w:val="en-US"/>
        </w:rPr>
      </w:pPr>
      <w:r>
        <w:rPr>
          <w:lang w:val="en-US"/>
        </w:rPr>
        <w:t>The characteristics for the FSS and MSS are derived from Recommendation ITU-R S.1328</w:t>
      </w:r>
      <w:r>
        <w:rPr>
          <w:lang w:val="en-US"/>
        </w:rPr>
        <w:noBreakHyphen/>
        <w:t>3 – Satellite system characteristics to be considered in frequency sharing analyses between geostationary-satellite orbit (GSO) and non-GSO satellite systems in the fixed-satellite service (FSS) including feeder links for the mobile-satellite service (MSS). MSS terminals are modelled as similarly to the fixed-satellite terminals except for narrower bandwidths and smaller antennas. It is assumed that they are mounted on a vehicle and used while at rest.</w:t>
      </w:r>
    </w:p>
    <w:p w:rsidR="00B9359B" w:rsidRDefault="00B9359B">
      <w:pPr>
        <w:rPr>
          <w:lang w:val="en-US"/>
        </w:rPr>
      </w:pPr>
    </w:p>
    <w:p w:rsidR="00B9359B" w:rsidRDefault="009A5268">
      <w:pPr>
        <w:pStyle w:val="TableNo"/>
        <w:rPr>
          <w:lang w:val="en-US"/>
        </w:rPr>
      </w:pPr>
      <w:r>
        <w:rPr>
          <w:lang w:val="en-US"/>
        </w:rPr>
        <w:t>TABLE  116</w:t>
      </w:r>
    </w:p>
    <w:p w:rsidR="00B9359B" w:rsidRDefault="009A5268">
      <w:pPr>
        <w:pStyle w:val="Tabletitle"/>
        <w:rPr>
          <w:lang w:val="en-US"/>
        </w:rPr>
      </w:pPr>
      <w:r>
        <w:rPr>
          <w:lang w:val="en-US"/>
        </w:rPr>
        <w:t>Characteristics of GSO uplink earth stations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4"/>
        <w:gridCol w:w="1800"/>
        <w:gridCol w:w="2330"/>
      </w:tblGrid>
      <w:tr w:rsidR="00B9359B">
        <w:trPr>
          <w:cantSplit/>
          <w:trHeight w:val="173"/>
        </w:trPr>
        <w:tc>
          <w:tcPr>
            <w:tcW w:w="3394" w:type="dxa"/>
            <w:vMerge w:val="restart"/>
            <w:tcBorders>
              <w:top w:val="nil"/>
              <w:left w:val="nil"/>
              <w:bottom w:val="single" w:sz="4" w:space="0" w:color="auto"/>
              <w:right w:val="single" w:sz="4" w:space="0" w:color="auto"/>
            </w:tcBorders>
          </w:tcPr>
          <w:p w:rsidR="00B9359B" w:rsidRDefault="00B9359B">
            <w:pPr>
              <w:framePr w:hSpace="181" w:wrap="notBeside" w:vAnchor="text" w:hAnchor="text" w:xAlign="center" w:y="1"/>
              <w:spacing w:after="120"/>
              <w:jc w:val="center"/>
              <w:rPr>
                <w:lang w:val="en-US"/>
              </w:rPr>
            </w:pPr>
          </w:p>
        </w:tc>
        <w:tc>
          <w:tcPr>
            <w:tcW w:w="4130" w:type="dxa"/>
            <w:gridSpan w:val="2"/>
            <w:tcBorders>
              <w:top w:val="single" w:sz="4" w:space="0" w:color="auto"/>
              <w:left w:val="single" w:sz="4" w:space="0" w:color="auto"/>
              <w:bottom w:val="single" w:sz="4" w:space="0" w:color="auto"/>
              <w:right w:val="single" w:sz="4" w:space="0" w:color="auto"/>
            </w:tcBorders>
          </w:tcPr>
          <w:p w:rsidR="00B9359B" w:rsidRDefault="009A5268">
            <w:pPr>
              <w:pStyle w:val="Tablehead"/>
              <w:spacing w:before="120" w:after="120"/>
              <w:rPr>
                <w:lang w:val="en-US"/>
              </w:rPr>
            </w:pPr>
            <w:r>
              <w:rPr>
                <w:lang w:val="en-US"/>
              </w:rPr>
              <w:t>System</w:t>
            </w:r>
          </w:p>
        </w:tc>
      </w:tr>
      <w:tr w:rsidR="00B9359B">
        <w:trPr>
          <w:cantSplit/>
          <w:trHeight w:val="172"/>
        </w:trPr>
        <w:tc>
          <w:tcPr>
            <w:tcW w:w="3394" w:type="dxa"/>
            <w:vMerge/>
            <w:tcBorders>
              <w:top w:val="nil"/>
              <w:left w:val="nil"/>
              <w:bottom w:val="single" w:sz="4" w:space="0" w:color="auto"/>
              <w:right w:val="single" w:sz="4" w:space="0" w:color="auto"/>
            </w:tcBorders>
          </w:tcPr>
          <w:p w:rsidR="00B9359B" w:rsidRDefault="00B9359B">
            <w:pPr>
              <w:framePr w:hSpace="181" w:wrap="notBeside" w:vAnchor="text" w:hAnchor="text" w:xAlign="center" w:y="1"/>
              <w:spacing w:after="120"/>
              <w:jc w:val="center"/>
              <w:rPr>
                <w:lang w:val="en-US"/>
              </w:rPr>
            </w:pPr>
          </w:p>
        </w:tc>
        <w:tc>
          <w:tcPr>
            <w:tcW w:w="1800" w:type="dxa"/>
            <w:tcBorders>
              <w:top w:val="single" w:sz="4" w:space="0" w:color="auto"/>
              <w:left w:val="single" w:sz="4" w:space="0" w:color="auto"/>
              <w:bottom w:val="single" w:sz="4" w:space="0" w:color="auto"/>
              <w:right w:val="single" w:sz="4" w:space="0" w:color="auto"/>
            </w:tcBorders>
          </w:tcPr>
          <w:p w:rsidR="00B9359B" w:rsidRDefault="009A5268">
            <w:pPr>
              <w:pStyle w:val="Tablehead"/>
              <w:spacing w:before="120" w:after="120"/>
              <w:rPr>
                <w:lang w:val="en-US"/>
              </w:rPr>
            </w:pPr>
            <w:r>
              <w:rPr>
                <w:lang w:val="en-US"/>
              </w:rPr>
              <w:t>Fixed-satellite</w:t>
            </w:r>
          </w:p>
        </w:tc>
        <w:tc>
          <w:tcPr>
            <w:tcW w:w="2330" w:type="dxa"/>
            <w:tcBorders>
              <w:top w:val="single" w:sz="4" w:space="0" w:color="auto"/>
              <w:left w:val="single" w:sz="4" w:space="0" w:color="auto"/>
              <w:bottom w:val="single" w:sz="4" w:space="0" w:color="auto"/>
              <w:right w:val="single" w:sz="4" w:space="0" w:color="auto"/>
            </w:tcBorders>
          </w:tcPr>
          <w:p w:rsidR="00B9359B" w:rsidRDefault="009A5268">
            <w:pPr>
              <w:pStyle w:val="Tablehead"/>
              <w:spacing w:before="120" w:after="120"/>
            </w:pPr>
            <w:r>
              <w:t>Mobile-satellite</w:t>
            </w:r>
          </w:p>
        </w:tc>
      </w:tr>
      <w:tr w:rsidR="00B9359B">
        <w:tc>
          <w:tcPr>
            <w:tcW w:w="3394" w:type="dxa"/>
            <w:tcBorders>
              <w:top w:val="single" w:sz="4" w:space="0" w:color="auto"/>
              <w:left w:val="single" w:sz="4" w:space="0" w:color="auto"/>
              <w:bottom w:val="single" w:sz="6" w:space="0" w:color="auto"/>
              <w:right w:val="single" w:sz="6" w:space="0" w:color="auto"/>
            </w:tcBorders>
          </w:tcPr>
          <w:p w:rsidR="00B9359B" w:rsidRDefault="009A5268">
            <w:pPr>
              <w:pStyle w:val="Tabletext"/>
              <w:framePr w:hSpace="181" w:wrap="notBeside" w:vAnchor="text" w:hAnchor="text" w:xAlign="center" w:y="1"/>
              <w:spacing w:before="80" w:after="80"/>
              <w:rPr>
                <w:lang w:val="fr-CH"/>
              </w:rPr>
            </w:pPr>
            <w:r>
              <w:t>Polarization</w:t>
            </w:r>
          </w:p>
        </w:tc>
        <w:tc>
          <w:tcPr>
            <w:tcW w:w="1800" w:type="dxa"/>
            <w:tcBorders>
              <w:top w:val="single" w:sz="4" w:space="0" w:color="auto"/>
              <w:left w:val="single" w:sz="6" w:space="0" w:color="auto"/>
            </w:tcBorders>
          </w:tcPr>
          <w:p w:rsidR="00B9359B" w:rsidRDefault="009A5268">
            <w:pPr>
              <w:pStyle w:val="Tabletext"/>
              <w:framePr w:hSpace="181" w:wrap="notBeside" w:vAnchor="text" w:hAnchor="text" w:xAlign="center" w:y="1"/>
              <w:spacing w:before="80" w:after="80"/>
              <w:jc w:val="center"/>
              <w:rPr>
                <w:lang w:val="fr-CH"/>
              </w:rPr>
            </w:pPr>
            <w:r>
              <w:t>LHCP/RHCP</w:t>
            </w:r>
          </w:p>
        </w:tc>
        <w:tc>
          <w:tcPr>
            <w:tcW w:w="2330" w:type="dxa"/>
            <w:tcBorders>
              <w:top w:val="single" w:sz="4" w:space="0" w:color="auto"/>
              <w:right w:val="single" w:sz="4" w:space="0" w:color="auto"/>
            </w:tcBorders>
          </w:tcPr>
          <w:p w:rsidR="00B9359B" w:rsidRDefault="009A5268">
            <w:pPr>
              <w:pStyle w:val="Tabletext"/>
              <w:framePr w:hSpace="181" w:wrap="notBeside" w:vAnchor="text" w:hAnchor="text" w:xAlign="center" w:y="1"/>
              <w:spacing w:before="80" w:after="80"/>
              <w:jc w:val="center"/>
              <w:rPr>
                <w:lang w:val="fr-CH"/>
              </w:rPr>
            </w:pPr>
            <w:r>
              <w:t>RHCP/LHCP</w:t>
            </w:r>
          </w:p>
        </w:tc>
      </w:tr>
      <w:tr w:rsidR="00B9359B">
        <w:tc>
          <w:tcPr>
            <w:tcW w:w="3394" w:type="dxa"/>
            <w:tcBorders>
              <w:top w:val="single" w:sz="6" w:space="0" w:color="auto"/>
              <w:left w:val="single" w:sz="4" w:space="0" w:color="auto"/>
              <w:bottom w:val="single" w:sz="6" w:space="0" w:color="auto"/>
              <w:right w:val="single" w:sz="6" w:space="0" w:color="auto"/>
            </w:tcBorders>
          </w:tcPr>
          <w:p w:rsidR="00B9359B" w:rsidRDefault="009A5268">
            <w:pPr>
              <w:pStyle w:val="Tabletext"/>
              <w:framePr w:hSpace="181" w:wrap="notBeside" w:vAnchor="text" w:hAnchor="text" w:xAlign="center" w:y="1"/>
              <w:spacing w:before="80" w:after="80"/>
              <w:rPr>
                <w:lang w:val="fr-CH"/>
              </w:rPr>
            </w:pPr>
            <w:r>
              <w:rPr>
                <w:lang w:val="fr-CH"/>
              </w:rPr>
              <w:t>Modulation</w:t>
            </w:r>
          </w:p>
        </w:tc>
        <w:tc>
          <w:tcPr>
            <w:tcW w:w="1800" w:type="dxa"/>
            <w:tcBorders>
              <w:left w:val="single" w:sz="6" w:space="0" w:color="auto"/>
            </w:tcBorders>
          </w:tcPr>
          <w:p w:rsidR="00B9359B" w:rsidRDefault="009A5268">
            <w:pPr>
              <w:pStyle w:val="Tabletext"/>
              <w:framePr w:hSpace="181" w:wrap="notBeside" w:vAnchor="text" w:hAnchor="text" w:xAlign="center" w:y="1"/>
              <w:spacing w:before="80" w:after="80"/>
              <w:jc w:val="center"/>
              <w:rPr>
                <w:lang w:val="fr-CH"/>
              </w:rPr>
            </w:pPr>
            <w:r>
              <w:rPr>
                <w:lang w:val="fr-CH"/>
              </w:rPr>
              <w:t>QPSK</w:t>
            </w:r>
          </w:p>
        </w:tc>
        <w:tc>
          <w:tcPr>
            <w:tcW w:w="2330" w:type="dxa"/>
            <w:tcBorders>
              <w:right w:val="single" w:sz="4" w:space="0" w:color="auto"/>
            </w:tcBorders>
          </w:tcPr>
          <w:p w:rsidR="00B9359B" w:rsidRDefault="009A5268">
            <w:pPr>
              <w:pStyle w:val="Tabletext"/>
              <w:framePr w:hSpace="181" w:wrap="notBeside" w:vAnchor="text" w:hAnchor="text" w:xAlign="center" w:y="1"/>
              <w:spacing w:before="80" w:after="80"/>
              <w:jc w:val="center"/>
              <w:rPr>
                <w:lang w:val="fr-CH"/>
              </w:rPr>
            </w:pPr>
            <w:r>
              <w:rPr>
                <w:lang w:val="fr-CH"/>
              </w:rPr>
              <w:t>QPSK</w:t>
            </w:r>
          </w:p>
        </w:tc>
      </w:tr>
      <w:tr w:rsidR="00B9359B">
        <w:tc>
          <w:tcPr>
            <w:tcW w:w="3394" w:type="dxa"/>
            <w:tcBorders>
              <w:top w:val="single" w:sz="6" w:space="0" w:color="auto"/>
              <w:left w:val="single" w:sz="4" w:space="0" w:color="auto"/>
              <w:bottom w:val="single" w:sz="6" w:space="0" w:color="auto"/>
              <w:right w:val="single" w:sz="6" w:space="0" w:color="auto"/>
            </w:tcBorders>
          </w:tcPr>
          <w:p w:rsidR="00B9359B" w:rsidRDefault="009A5268">
            <w:pPr>
              <w:pStyle w:val="Tabletext"/>
              <w:framePr w:hSpace="181" w:wrap="notBeside" w:vAnchor="text" w:hAnchor="text" w:xAlign="center" w:y="1"/>
              <w:spacing w:before="80" w:after="80"/>
              <w:rPr>
                <w:lang w:val="fr-CH"/>
              </w:rPr>
            </w:pPr>
            <w:r>
              <w:rPr>
                <w:lang w:val="fr-CH"/>
              </w:rPr>
              <w:t>Bandwidth (MHz)</w:t>
            </w:r>
          </w:p>
        </w:tc>
        <w:tc>
          <w:tcPr>
            <w:tcW w:w="1800" w:type="dxa"/>
            <w:tcBorders>
              <w:left w:val="single" w:sz="6" w:space="0" w:color="auto"/>
            </w:tcBorders>
          </w:tcPr>
          <w:p w:rsidR="00B9359B" w:rsidRDefault="009A5268">
            <w:pPr>
              <w:pStyle w:val="Tabletext"/>
              <w:framePr w:hSpace="181" w:wrap="notBeside" w:vAnchor="text" w:hAnchor="text" w:xAlign="center" w:y="1"/>
              <w:spacing w:before="80" w:after="80"/>
              <w:jc w:val="center"/>
              <w:rPr>
                <w:lang w:val="fr-CH"/>
              </w:rPr>
            </w:pPr>
            <w:r>
              <w:rPr>
                <w:lang w:val="fr-CH"/>
              </w:rPr>
              <w:t>125</w:t>
            </w:r>
          </w:p>
        </w:tc>
        <w:tc>
          <w:tcPr>
            <w:tcW w:w="2330" w:type="dxa"/>
            <w:tcBorders>
              <w:right w:val="single" w:sz="4" w:space="0" w:color="auto"/>
            </w:tcBorders>
          </w:tcPr>
          <w:p w:rsidR="00B9359B" w:rsidRDefault="009A5268">
            <w:pPr>
              <w:pStyle w:val="Tabletext"/>
              <w:framePr w:hSpace="181" w:wrap="notBeside" w:vAnchor="text" w:hAnchor="text" w:xAlign="center" w:y="1"/>
              <w:spacing w:before="80" w:after="80"/>
              <w:jc w:val="center"/>
              <w:rPr>
                <w:lang w:val="fr-CH"/>
              </w:rPr>
            </w:pPr>
            <w:r>
              <w:rPr>
                <w:lang w:val="fr-CH"/>
              </w:rPr>
              <w:t>11</w:t>
            </w:r>
          </w:p>
        </w:tc>
      </w:tr>
      <w:tr w:rsidR="00B9359B">
        <w:tc>
          <w:tcPr>
            <w:tcW w:w="3394" w:type="dxa"/>
            <w:tcBorders>
              <w:top w:val="single" w:sz="6" w:space="0" w:color="auto"/>
              <w:left w:val="single" w:sz="4" w:space="0" w:color="auto"/>
              <w:bottom w:val="single" w:sz="6" w:space="0" w:color="auto"/>
              <w:right w:val="single" w:sz="6" w:space="0" w:color="auto"/>
            </w:tcBorders>
          </w:tcPr>
          <w:p w:rsidR="00B9359B" w:rsidRDefault="009A5268">
            <w:pPr>
              <w:pStyle w:val="Tabletext"/>
              <w:framePr w:hSpace="181" w:wrap="notBeside" w:vAnchor="text" w:hAnchor="text" w:xAlign="center" w:y="1"/>
              <w:spacing w:before="80" w:after="80"/>
              <w:rPr>
                <w:lang w:val="fr-CH"/>
              </w:rPr>
            </w:pPr>
            <w:r>
              <w:t>e.i.r.p. (dBW)</w:t>
            </w:r>
          </w:p>
        </w:tc>
        <w:tc>
          <w:tcPr>
            <w:tcW w:w="1800" w:type="dxa"/>
            <w:tcBorders>
              <w:left w:val="single" w:sz="6" w:space="0" w:color="auto"/>
            </w:tcBorders>
          </w:tcPr>
          <w:p w:rsidR="00B9359B" w:rsidRDefault="009A5268">
            <w:pPr>
              <w:pStyle w:val="Tabletext"/>
              <w:framePr w:hSpace="181" w:wrap="notBeside" w:vAnchor="text" w:hAnchor="text" w:xAlign="center" w:y="1"/>
              <w:spacing w:before="80" w:after="80"/>
              <w:jc w:val="center"/>
              <w:rPr>
                <w:lang w:val="en-US"/>
              </w:rPr>
            </w:pPr>
            <w:r>
              <w:rPr>
                <w:lang w:val="en-US"/>
              </w:rPr>
              <w:t>83.9</w:t>
            </w:r>
          </w:p>
        </w:tc>
        <w:tc>
          <w:tcPr>
            <w:tcW w:w="2330" w:type="dxa"/>
            <w:tcBorders>
              <w:right w:val="single" w:sz="4" w:space="0" w:color="auto"/>
            </w:tcBorders>
          </w:tcPr>
          <w:p w:rsidR="00B9359B" w:rsidRDefault="009A5268">
            <w:pPr>
              <w:pStyle w:val="Tabletext"/>
              <w:framePr w:hSpace="181" w:wrap="notBeside" w:vAnchor="text" w:hAnchor="text" w:xAlign="center" w:y="1"/>
              <w:spacing w:before="80" w:after="80"/>
              <w:jc w:val="center"/>
              <w:rPr>
                <w:lang w:val="en-US"/>
              </w:rPr>
            </w:pPr>
            <w:r>
              <w:rPr>
                <w:lang w:val="en-US"/>
              </w:rPr>
              <w:t>69.2</w:t>
            </w:r>
          </w:p>
        </w:tc>
      </w:tr>
      <w:tr w:rsidR="00B9359B">
        <w:tc>
          <w:tcPr>
            <w:tcW w:w="3394" w:type="dxa"/>
            <w:tcBorders>
              <w:top w:val="single" w:sz="6" w:space="0" w:color="auto"/>
              <w:left w:val="single" w:sz="4" w:space="0" w:color="auto"/>
              <w:bottom w:val="single" w:sz="6" w:space="0" w:color="auto"/>
              <w:right w:val="single" w:sz="6" w:space="0" w:color="auto"/>
            </w:tcBorders>
          </w:tcPr>
          <w:p w:rsidR="00B9359B" w:rsidRDefault="009A5268">
            <w:pPr>
              <w:pStyle w:val="Tabletext"/>
              <w:framePr w:hSpace="181" w:wrap="notBeside" w:vAnchor="text" w:hAnchor="text" w:xAlign="center" w:y="1"/>
              <w:spacing w:before="80" w:after="80"/>
              <w:rPr>
                <w:lang w:val="en-US"/>
              </w:rPr>
            </w:pPr>
            <w:r>
              <w:rPr>
                <w:lang w:val="en-US"/>
              </w:rPr>
              <w:t>Antenna gain (dBi)</w:t>
            </w:r>
          </w:p>
        </w:tc>
        <w:tc>
          <w:tcPr>
            <w:tcW w:w="1800" w:type="dxa"/>
            <w:tcBorders>
              <w:left w:val="single" w:sz="6" w:space="0" w:color="auto"/>
            </w:tcBorders>
          </w:tcPr>
          <w:p w:rsidR="00B9359B" w:rsidRDefault="009A5268">
            <w:pPr>
              <w:pStyle w:val="Tabletext"/>
              <w:framePr w:hSpace="181" w:wrap="notBeside" w:vAnchor="text" w:hAnchor="text" w:xAlign="center" w:y="1"/>
              <w:spacing w:before="80" w:after="80"/>
              <w:jc w:val="center"/>
              <w:rPr>
                <w:lang w:val="en-US"/>
              </w:rPr>
            </w:pPr>
            <w:r>
              <w:rPr>
                <w:lang w:val="en-US"/>
              </w:rPr>
              <w:t>64.8</w:t>
            </w:r>
          </w:p>
        </w:tc>
        <w:tc>
          <w:tcPr>
            <w:tcW w:w="2330" w:type="dxa"/>
            <w:tcBorders>
              <w:right w:val="single" w:sz="4" w:space="0" w:color="auto"/>
            </w:tcBorders>
          </w:tcPr>
          <w:p w:rsidR="00B9359B" w:rsidRDefault="009A5268">
            <w:pPr>
              <w:pStyle w:val="Tabletext"/>
              <w:framePr w:hSpace="181" w:wrap="notBeside" w:vAnchor="text" w:hAnchor="text" w:xAlign="center" w:y="1"/>
              <w:spacing w:before="80" w:after="80"/>
              <w:jc w:val="center"/>
              <w:rPr>
                <w:lang w:val="en-US"/>
              </w:rPr>
            </w:pPr>
            <w:r>
              <w:rPr>
                <w:lang w:val="en-US"/>
              </w:rPr>
              <w:t>59.3</w:t>
            </w:r>
          </w:p>
        </w:tc>
      </w:tr>
      <w:tr w:rsidR="00B9359B">
        <w:tc>
          <w:tcPr>
            <w:tcW w:w="3394" w:type="dxa"/>
            <w:tcBorders>
              <w:top w:val="single" w:sz="6" w:space="0" w:color="auto"/>
              <w:left w:val="single" w:sz="4" w:space="0" w:color="auto"/>
              <w:bottom w:val="single" w:sz="4" w:space="0" w:color="auto"/>
              <w:right w:val="single" w:sz="6" w:space="0" w:color="auto"/>
            </w:tcBorders>
          </w:tcPr>
          <w:p w:rsidR="00B9359B" w:rsidRDefault="009A5268">
            <w:pPr>
              <w:pStyle w:val="Tabletext"/>
              <w:framePr w:hSpace="181" w:wrap="notBeside" w:vAnchor="text" w:hAnchor="text" w:xAlign="center" w:y="1"/>
              <w:spacing w:before="80" w:after="80"/>
              <w:rPr>
                <w:bCs/>
                <w:lang w:val="en-US"/>
              </w:rPr>
            </w:pPr>
            <w:r>
              <w:rPr>
                <w:bCs/>
                <w:lang w:val="en-US"/>
              </w:rPr>
              <w:t>Transmitter power (dBW)</w:t>
            </w:r>
          </w:p>
        </w:tc>
        <w:tc>
          <w:tcPr>
            <w:tcW w:w="1800" w:type="dxa"/>
            <w:tcBorders>
              <w:left w:val="single" w:sz="6" w:space="0" w:color="auto"/>
              <w:bottom w:val="single" w:sz="4" w:space="0" w:color="auto"/>
            </w:tcBorders>
          </w:tcPr>
          <w:p w:rsidR="00B9359B" w:rsidRDefault="009A5268">
            <w:pPr>
              <w:pStyle w:val="Tabletext"/>
              <w:framePr w:hSpace="181" w:wrap="notBeside" w:vAnchor="text" w:hAnchor="text" w:xAlign="center" w:y="1"/>
              <w:spacing w:before="80" w:after="80"/>
              <w:jc w:val="center"/>
              <w:rPr>
                <w:bCs/>
                <w:lang w:val="en-US"/>
              </w:rPr>
            </w:pPr>
            <w:r>
              <w:rPr>
                <w:bCs/>
                <w:lang w:val="en-US"/>
              </w:rPr>
              <w:t>19.1</w:t>
            </w:r>
          </w:p>
        </w:tc>
        <w:tc>
          <w:tcPr>
            <w:tcW w:w="2330" w:type="dxa"/>
            <w:tcBorders>
              <w:bottom w:val="single" w:sz="4" w:space="0" w:color="auto"/>
              <w:right w:val="single" w:sz="4" w:space="0" w:color="auto"/>
            </w:tcBorders>
          </w:tcPr>
          <w:p w:rsidR="00B9359B" w:rsidRDefault="009A5268">
            <w:pPr>
              <w:pStyle w:val="Tabletext"/>
              <w:framePr w:hSpace="181" w:wrap="notBeside" w:vAnchor="text" w:hAnchor="text" w:xAlign="center" w:y="1"/>
              <w:spacing w:before="80" w:after="80"/>
              <w:jc w:val="center"/>
              <w:rPr>
                <w:bCs/>
                <w:lang w:val="en-US"/>
              </w:rPr>
            </w:pPr>
            <w:r>
              <w:rPr>
                <w:bCs/>
                <w:lang w:val="en-US"/>
              </w:rPr>
              <w:t>9.9</w:t>
            </w:r>
          </w:p>
        </w:tc>
      </w:tr>
    </w:tbl>
    <w:p w:rsidR="00B9359B" w:rsidRDefault="00B9359B">
      <w:pPr>
        <w:pStyle w:val="Tablefin"/>
        <w:rPr>
          <w:lang w:val="en-US"/>
        </w:rPr>
      </w:pPr>
    </w:p>
    <w:p w:rsidR="00B9359B" w:rsidRDefault="00B9359B">
      <w:pPr>
        <w:rPr>
          <w:lang w:val="en-US"/>
        </w:rPr>
      </w:pPr>
    </w:p>
    <w:p w:rsidR="00B9359B" w:rsidRDefault="009A5268">
      <w:pPr>
        <w:pStyle w:val="Heading1"/>
        <w:rPr>
          <w:lang w:val="en-US"/>
        </w:rPr>
      </w:pPr>
      <w:bookmarkStart w:id="631" w:name="_Toc51046030"/>
      <w:r>
        <w:rPr>
          <w:lang w:val="en-US"/>
        </w:rPr>
        <w:t>3</w:t>
      </w:r>
      <w:r>
        <w:rPr>
          <w:lang w:val="en-US"/>
        </w:rPr>
        <w:tab/>
        <w:t>Compatibility threshold</w:t>
      </w:r>
      <w:bookmarkEnd w:id="631"/>
    </w:p>
    <w:p w:rsidR="00B9359B" w:rsidRDefault="009A5268">
      <w:pPr>
        <w:rPr>
          <w:lang w:val="en-US"/>
        </w:rPr>
      </w:pPr>
      <w:r>
        <w:rPr>
          <w:lang w:val="en-US"/>
        </w:rPr>
        <w:t>Interference is potentially received from several sources arising from multiple services simulta</w:t>
      </w:r>
      <w:r>
        <w:rPr>
          <w:lang w:val="en-US"/>
        </w:rPr>
        <w:softHyphen/>
        <w:t>neously. The value listed in Recommendation ITU-R SA.1029 (for a specific band) is the maximum allowable interference level for the passive sensor.</w:t>
      </w:r>
    </w:p>
    <w:p w:rsidR="00B9359B" w:rsidRDefault="009A5268">
      <w:pPr>
        <w:rPr>
          <w:lang w:val="en-US"/>
        </w:rPr>
      </w:pPr>
      <w:r>
        <w:rPr>
          <w:lang w:val="en-US"/>
        </w:rPr>
        <w:t>This Annex provides an analysis of the interference generated by a single active service. Therefore further work is needed to address the impact of multiple active services above and below the passive band.</w:t>
      </w:r>
    </w:p>
    <w:p w:rsidR="00B9359B" w:rsidRDefault="009A5268">
      <w:pPr>
        <w:pStyle w:val="Heading1"/>
        <w:rPr>
          <w:lang w:val="en-US"/>
        </w:rPr>
      </w:pPr>
      <w:bookmarkStart w:id="632" w:name="_Toc51046031"/>
      <w:r>
        <w:rPr>
          <w:lang w:val="en-US"/>
        </w:rPr>
        <w:br w:type="page"/>
        <w:t>4</w:t>
      </w:r>
      <w:r>
        <w:rPr>
          <w:lang w:val="en-US"/>
        </w:rPr>
        <w:tab/>
        <w:t>Interference assessment</w:t>
      </w:r>
      <w:bookmarkEnd w:id="632"/>
    </w:p>
    <w:p w:rsidR="00B9359B" w:rsidRDefault="009A5268">
      <w:pPr>
        <w:pStyle w:val="Heading2"/>
        <w:rPr>
          <w:lang w:val="en-US"/>
        </w:rPr>
      </w:pPr>
      <w:bookmarkStart w:id="633" w:name="_Toc51046032"/>
      <w:r>
        <w:rPr>
          <w:lang w:val="en-US"/>
        </w:rPr>
        <w:t>4.1</w:t>
      </w:r>
      <w:r>
        <w:rPr>
          <w:lang w:val="en-US"/>
        </w:rPr>
        <w:tab/>
        <w:t>Methodology used to assess interference level</w:t>
      </w:r>
      <w:bookmarkEnd w:id="633"/>
    </w:p>
    <w:p w:rsidR="00B9359B" w:rsidRDefault="009A5268">
      <w:pPr>
        <w:rPr>
          <w:lang w:val="en-US"/>
        </w:rPr>
      </w:pPr>
      <w:r>
        <w:rPr>
          <w:lang w:val="en-US"/>
        </w:rPr>
        <w:t>In a first step, interference levels are computed in a co-frequency case, where the FSS/MSS earth stations are assumed to transmit within the EESS (passive) band. In cases where the earth station necessary bandwidth is greater than the EESS (passive) band, the emitted power is adjusted, assuming that the power density is constant in the necessary bandwidth.</w:t>
      </w:r>
    </w:p>
    <w:p w:rsidR="00B9359B" w:rsidRDefault="009A5268">
      <w:pPr>
        <w:rPr>
          <w:lang w:val="en-US"/>
        </w:rPr>
      </w:pPr>
      <w:r>
        <w:rPr>
          <w:lang w:val="en-US"/>
        </w:rPr>
        <w:t>In a second step, the OoB mask for the active service is taken into account, and the guardband, which may be necessary to protect the passive service, is defined.</w:t>
      </w:r>
    </w:p>
    <w:p w:rsidR="00B9359B" w:rsidRDefault="009A5268">
      <w:pPr>
        <w:rPr>
          <w:lang w:val="en-US"/>
        </w:rPr>
      </w:pPr>
      <w:r>
        <w:rPr>
          <w:lang w:val="en-US"/>
        </w:rPr>
        <w:t>The following basic hypothesis are adopted for the analysis:</w:t>
      </w:r>
    </w:p>
    <w:p w:rsidR="00B9359B" w:rsidRDefault="009A5268">
      <w:pPr>
        <w:pStyle w:val="enumlev1"/>
        <w:rPr>
          <w:lang w:val="en-US"/>
        </w:rPr>
      </w:pPr>
      <w:r>
        <w:rPr>
          <w:lang w:val="en-US"/>
        </w:rPr>
        <w:t>–</w:t>
      </w:r>
      <w:r>
        <w:rPr>
          <w:lang w:val="en-US"/>
        </w:rPr>
        <w:tab/>
        <w:t>the interference occurs via direct coupling between the passive sensor and the FSS/MSS earth station antennas;</w:t>
      </w:r>
    </w:p>
    <w:p w:rsidR="00B9359B" w:rsidRDefault="009A5268">
      <w:pPr>
        <w:pStyle w:val="enumlev1"/>
        <w:rPr>
          <w:lang w:val="en-US"/>
        </w:rPr>
      </w:pPr>
      <w:r>
        <w:rPr>
          <w:lang w:val="en-US"/>
        </w:rPr>
        <w:t>–</w:t>
      </w:r>
      <w:r>
        <w:rPr>
          <w:lang w:val="en-US"/>
        </w:rPr>
        <w:tab/>
        <w:t>both antennas are modelled using Recommendation ITU</w:t>
      </w:r>
      <w:r>
        <w:rPr>
          <w:lang w:val="en-US"/>
        </w:rPr>
        <w:noBreakHyphen/>
        <w:t>R F.1245;</w:t>
      </w:r>
    </w:p>
    <w:p w:rsidR="00B9359B" w:rsidRDefault="009A5268">
      <w:pPr>
        <w:pStyle w:val="enumlev1"/>
        <w:rPr>
          <w:lang w:val="en-US"/>
        </w:rPr>
      </w:pPr>
      <w:r>
        <w:rPr>
          <w:lang w:val="en-US"/>
        </w:rPr>
        <w:t>–</w:t>
      </w:r>
      <w:r>
        <w:rPr>
          <w:lang w:val="en-US"/>
        </w:rPr>
        <w:tab/>
        <w:t>as a worst-case configuration, it is assumed that the pointing direction of the FSS/MSS earth station (aiming at the geostationary orbit) is contained in the orbit plane of the Earth exploration-satellite. This configuration renders possible sensor side-lobe to earth station main-lobe and sensor main-lobe to earth station side-lobe interfering paths. Main-lobe to main-lobe interfering paths are also possible, but only if the earth stations is located near the equator, a case which is not further considered in this Annex;</w:t>
      </w:r>
    </w:p>
    <w:p w:rsidR="00B9359B" w:rsidRDefault="009A5268">
      <w:pPr>
        <w:pStyle w:val="enumlev1"/>
        <w:rPr>
          <w:lang w:val="en-US"/>
        </w:rPr>
      </w:pPr>
      <w:r>
        <w:rPr>
          <w:lang w:val="en-US"/>
        </w:rPr>
        <w:t>–</w:t>
      </w:r>
      <w:r>
        <w:rPr>
          <w:lang w:val="en-US"/>
        </w:rPr>
        <w:tab/>
        <w:t>the FSS/MSS earth station is assumed to be located at a latitude of 35</w:t>
      </w:r>
      <w:r>
        <w:rPr>
          <w:rFonts w:ascii="Symbol" w:hAnsi="Symbol"/>
          <w:lang w:val="en-US"/>
        </w:rPr>
        <w:t></w:t>
      </w:r>
      <w:r>
        <w:rPr>
          <w:lang w:val="en-US"/>
        </w:rPr>
        <w:t>. This value was selected as a fair compromise to represent a worst-case sensor side-lobe to earth station main-lobe scenario, because it may represent the lower latitude above which earth stations are the most densely distributed and where, due to the relatively high incidence angle of the interfering path (about 49</w:t>
      </w:r>
      <w:r>
        <w:rPr>
          <w:rFonts w:ascii="Symbol" w:hAnsi="Symbol"/>
          <w:lang w:val="en-US"/>
        </w:rPr>
        <w:t></w:t>
      </w:r>
      <w:r>
        <w:rPr>
          <w:lang w:val="en-US"/>
        </w:rPr>
        <w:t>), the natural protection due to the path plus atmospheric absorption losses is the lowest;</w:t>
      </w:r>
    </w:p>
    <w:p w:rsidR="00B9359B" w:rsidRDefault="009A5268">
      <w:pPr>
        <w:pStyle w:val="enumlev1"/>
        <w:rPr>
          <w:lang w:val="en-US"/>
        </w:rPr>
      </w:pPr>
      <w:r>
        <w:rPr>
          <w:lang w:val="en-US"/>
        </w:rPr>
        <w:t>–</w:t>
      </w:r>
      <w:r>
        <w:rPr>
          <w:lang w:val="en-US"/>
        </w:rPr>
        <w:tab/>
        <w:t>the dynamic analysis in § 4.4 will consider latitudes between 0</w:t>
      </w:r>
      <w:r>
        <w:rPr>
          <w:rFonts w:ascii="Symbol" w:hAnsi="Symbol"/>
          <w:lang w:val="en-US"/>
        </w:rPr>
        <w:t></w:t>
      </w:r>
      <w:r>
        <w:rPr>
          <w:lang w:val="en-US"/>
        </w:rPr>
        <w:t xml:space="preserve"> and 50</w:t>
      </w:r>
      <w:r>
        <w:rPr>
          <w:rFonts w:ascii="Symbol" w:hAnsi="Symbol"/>
          <w:lang w:val="en-US"/>
        </w:rPr>
        <w:t></w:t>
      </w:r>
      <w:r>
        <w:rPr>
          <w:lang w:val="en-US"/>
        </w:rPr>
        <w:t xml:space="preserve"> N in order to get an extended range of results.</w:t>
      </w:r>
    </w:p>
    <w:p w:rsidR="00B9359B" w:rsidRDefault="009A5268">
      <w:pPr>
        <w:rPr>
          <w:lang w:val="en-US"/>
        </w:rPr>
      </w:pPr>
      <w:r>
        <w:rPr>
          <w:lang w:val="en-US"/>
        </w:rPr>
        <w:t>This configuration is described on the Fig. 74, where the major geometric parameters of the analysis are indicated.</w:t>
      </w:r>
    </w:p>
    <w:p w:rsidR="00B9359B" w:rsidRDefault="009A5268">
      <w:pPr>
        <w:pStyle w:val="Heading2"/>
        <w:rPr>
          <w:lang w:val="en-US"/>
        </w:rPr>
      </w:pPr>
      <w:bookmarkStart w:id="634" w:name="_Toc51046033"/>
      <w:r>
        <w:rPr>
          <w:lang w:val="en-US"/>
        </w:rPr>
        <w:t>4.2</w:t>
      </w:r>
      <w:r>
        <w:rPr>
          <w:lang w:val="en-US"/>
        </w:rPr>
        <w:tab/>
        <w:t>Calculation of interference in the co-frequency hypothesis</w:t>
      </w:r>
      <w:bookmarkEnd w:id="634"/>
    </w:p>
    <w:p w:rsidR="00B9359B" w:rsidRDefault="009A5268">
      <w:pPr>
        <w:rPr>
          <w:lang w:val="en-US"/>
        </w:rPr>
      </w:pPr>
      <w:r>
        <w:rPr>
          <w:lang w:val="en-US"/>
        </w:rPr>
        <w:t>Assuming that the pointing direction of the FSS/MSS earth station antenna (aiming at the geosta</w:t>
      </w:r>
      <w:r>
        <w:rPr>
          <w:lang w:val="en-US"/>
        </w:rPr>
        <w:softHyphen/>
        <w:t>tionary orbit) is contained in the orbital plane of the Earth exploration-satellite, and considering only the nadir beam of the push-broom passive sensor, the following parameters are computed, depending on the latitudinal distance between the passive sensor and the FSS/MSS earth station:</w:t>
      </w:r>
    </w:p>
    <w:p w:rsidR="00B9359B" w:rsidRDefault="009A5268">
      <w:pPr>
        <w:pStyle w:val="enumlev1"/>
        <w:rPr>
          <w:lang w:val="en-US"/>
        </w:rPr>
      </w:pPr>
      <w:r>
        <w:rPr>
          <w:lang w:val="en-US"/>
        </w:rPr>
        <w:t>–</w:t>
      </w:r>
      <w:r>
        <w:rPr>
          <w:lang w:val="en-US"/>
        </w:rPr>
        <w:tab/>
        <w:t>the linear distance between the sensor and the earth station (km);</w:t>
      </w:r>
    </w:p>
    <w:p w:rsidR="00B9359B" w:rsidRDefault="009A5268">
      <w:pPr>
        <w:pStyle w:val="enumlev1"/>
        <w:rPr>
          <w:lang w:val="en-US"/>
        </w:rPr>
      </w:pPr>
      <w:r>
        <w:rPr>
          <w:lang w:val="en-US"/>
        </w:rPr>
        <w:t>–</w:t>
      </w:r>
      <w:r>
        <w:rPr>
          <w:lang w:val="en-US"/>
        </w:rPr>
        <w:tab/>
        <w:t>the offset angles between the line-of-sight sensor/earth station and the antennas main axis;</w:t>
      </w:r>
    </w:p>
    <w:p w:rsidR="00B9359B" w:rsidRDefault="009A5268">
      <w:pPr>
        <w:pStyle w:val="enumlev1"/>
        <w:rPr>
          <w:lang w:val="en-US"/>
        </w:rPr>
      </w:pPr>
      <w:r>
        <w:rPr>
          <w:lang w:val="en-US"/>
        </w:rPr>
        <w:br w:type="page"/>
        <w:t>–</w:t>
      </w:r>
      <w:r>
        <w:rPr>
          <w:lang w:val="en-US"/>
        </w:rPr>
        <w:tab/>
        <w:t>the mutual gains in direction of each other, of the sensor and earth station antennas;</w:t>
      </w:r>
    </w:p>
    <w:p w:rsidR="00B9359B" w:rsidRDefault="009A5268">
      <w:pPr>
        <w:pStyle w:val="enumlev1"/>
        <w:rPr>
          <w:lang w:val="en-US"/>
        </w:rPr>
      </w:pPr>
      <w:r>
        <w:rPr>
          <w:lang w:val="en-US"/>
        </w:rPr>
        <w:t>–</w:t>
      </w:r>
      <w:r>
        <w:rPr>
          <w:lang w:val="en-US"/>
        </w:rPr>
        <w:tab/>
        <w:t>the space loss;</w:t>
      </w:r>
    </w:p>
    <w:p w:rsidR="00B9359B" w:rsidRDefault="009A5268">
      <w:pPr>
        <w:pStyle w:val="enumlev1"/>
        <w:rPr>
          <w:lang w:val="en-US"/>
        </w:rPr>
      </w:pPr>
      <w:r>
        <w:rPr>
          <w:lang w:val="en-US"/>
        </w:rPr>
        <w:t>–</w:t>
      </w:r>
      <w:r>
        <w:rPr>
          <w:lang w:val="en-US"/>
        </w:rPr>
        <w:tab/>
        <w:t>the atmospheric absorption depending on the elevation angle of the path (Recommendation ITU</w:t>
      </w:r>
      <w:r>
        <w:rPr>
          <w:lang w:val="en-US"/>
        </w:rPr>
        <w:noBreakHyphen/>
        <w:t>R P.676);</w:t>
      </w:r>
    </w:p>
    <w:p w:rsidR="00B9359B" w:rsidRDefault="009A5268">
      <w:pPr>
        <w:pStyle w:val="enumlev1"/>
        <w:rPr>
          <w:lang w:val="en-US"/>
        </w:rPr>
      </w:pPr>
      <w:r>
        <w:rPr>
          <w:lang w:val="en-US"/>
        </w:rPr>
        <w:t>–</w:t>
      </w:r>
      <w:r>
        <w:rPr>
          <w:lang w:val="en-US"/>
        </w:rPr>
        <w:tab/>
        <w:t>the power received by the passive sensor in the 200 MHz allocated bandwidth;</w:t>
      </w:r>
    </w:p>
    <w:p w:rsidR="00B9359B" w:rsidRDefault="009A5268">
      <w:pPr>
        <w:pStyle w:val="enumlev1"/>
        <w:rPr>
          <w:lang w:val="en-US"/>
        </w:rPr>
      </w:pPr>
      <w:r>
        <w:rPr>
          <w:lang w:val="en-US"/>
        </w:rPr>
        <w:t>–</w:t>
      </w:r>
      <w:r>
        <w:rPr>
          <w:lang w:val="en-US"/>
        </w:rPr>
        <w:tab/>
        <w:t>the margin referred to the interference threshold, in the FSS and the MSS cases;</w:t>
      </w:r>
    </w:p>
    <w:p w:rsidR="00B9359B" w:rsidRDefault="009A5268">
      <w:pPr>
        <w:pStyle w:val="enumlev1"/>
        <w:rPr>
          <w:lang w:val="en-US"/>
        </w:rPr>
      </w:pPr>
      <w:r>
        <w:rPr>
          <w:lang w:val="en-US"/>
        </w:rPr>
        <w:t>–</w:t>
      </w:r>
      <w:r>
        <w:rPr>
          <w:lang w:val="en-US"/>
        </w:rPr>
        <w:tab/>
        <w:t>the size of the area around the earth station position, where sounding data are contaminated by interference.</w:t>
      </w:r>
    </w:p>
    <w:p w:rsidR="00B9359B" w:rsidRDefault="00B9359B">
      <w:pPr>
        <w:rPr>
          <w:lang w:val="en-US"/>
        </w:rPr>
      </w:pPr>
    </w:p>
    <w:p w:rsidR="00B9359B" w:rsidRDefault="00B9359B">
      <w:pPr>
        <w:rPr>
          <w:lang w:val="en-US"/>
        </w:rPr>
      </w:pPr>
    </w:p>
    <w:p w:rsidR="00B9359B" w:rsidRDefault="009A5268">
      <w:pPr>
        <w:pStyle w:val="FigureNo"/>
      </w:pPr>
      <w:r>
        <w:object w:dxaOrig="7258" w:dyaOrig="6769">
          <v:shape id="_x0000_i1110" type="#_x0000_t75" style="width:362.7pt;height:338.5pt" o:ole="">
            <v:imagedata r:id="rId152" o:title=""/>
          </v:shape>
          <o:OLEObject Type="Embed" ProgID="Designer.Drawing.7" ShapeID="_x0000_i1110" DrawAspect="Content" ObjectID="_1629894613" r:id="rId153"/>
        </w:object>
      </w:r>
    </w:p>
    <w:p w:rsidR="00B9359B" w:rsidRDefault="00B9359B">
      <w:pPr>
        <w:rPr>
          <w:lang w:val="en-US"/>
        </w:rPr>
      </w:pPr>
    </w:p>
    <w:p w:rsidR="00B9359B" w:rsidRDefault="00B9359B">
      <w:pPr>
        <w:rPr>
          <w:lang w:val="en-US"/>
        </w:rPr>
      </w:pPr>
    </w:p>
    <w:p w:rsidR="00B9359B" w:rsidRDefault="009A5268">
      <w:pPr>
        <w:rPr>
          <w:lang w:val="en-US"/>
        </w:rPr>
      </w:pPr>
      <w:r>
        <w:rPr>
          <w:lang w:val="en-US"/>
        </w:rPr>
        <w:t>A sampling of numerical calculation is shown in the Table 118. Note that the resolution (in latitude) of the real spreadsheet is ten times better, in order to accurately identify the interference peaks and the size of the zones contaminated.</w:t>
      </w:r>
    </w:p>
    <w:p w:rsidR="00B9359B" w:rsidRDefault="009A5268">
      <w:pPr>
        <w:pStyle w:val="Heading2"/>
        <w:rPr>
          <w:lang w:val="en-US"/>
        </w:rPr>
      </w:pPr>
      <w:bookmarkStart w:id="635" w:name="_Toc51046034"/>
      <w:r>
        <w:rPr>
          <w:lang w:val="en-US"/>
        </w:rPr>
        <w:br w:type="page"/>
        <w:t>4.3</w:t>
      </w:r>
      <w:r>
        <w:rPr>
          <w:lang w:val="en-US"/>
        </w:rPr>
        <w:tab/>
        <w:t>Result of the analysis and discussion</w:t>
      </w:r>
      <w:bookmarkEnd w:id="635"/>
    </w:p>
    <w:p w:rsidR="00B9359B" w:rsidRDefault="009A5268">
      <w:pPr>
        <w:rPr>
          <w:lang w:val="en-US"/>
        </w:rPr>
      </w:pPr>
      <w:r>
        <w:rPr>
          <w:lang w:val="en-US"/>
        </w:rPr>
        <w:t>The results are plotted in Figs. 75 and 76, for FSS and MSS earth stations respectively. While the Earth exploration-satellite is moving in direction of the earth station, a first event appears when the sensor is crossing the earth station’s main-lobe and the second event occurs when the sensor is at the zenith of the earth station.</w:t>
      </w:r>
    </w:p>
    <w:p w:rsidR="00B9359B" w:rsidRDefault="009A5268">
      <w:pPr>
        <w:pStyle w:val="FigureNo"/>
      </w:pPr>
      <w:r>
        <w:object w:dxaOrig="7724" w:dyaOrig="5775">
          <v:shape id="_x0000_i1111" type="#_x0000_t75" style="width:386.35pt;height:288.55pt" o:ole="">
            <v:imagedata r:id="rId154" o:title=""/>
          </v:shape>
          <o:OLEObject Type="Embed" ProgID="Designer.Drawing.7" ShapeID="_x0000_i1111" DrawAspect="Content" ObjectID="_1629894614" r:id="rId155"/>
        </w:object>
      </w:r>
    </w:p>
    <w:p w:rsidR="00B9359B" w:rsidRDefault="009A5268">
      <w:pPr>
        <w:pStyle w:val="FigureNo"/>
        <w:spacing w:before="240" w:after="0"/>
      </w:pPr>
      <w:r>
        <w:object w:dxaOrig="7724" w:dyaOrig="5775">
          <v:shape id="_x0000_i1112" type="#_x0000_t75" style="width:386.35pt;height:288.55pt" o:ole="">
            <v:imagedata r:id="rId156" o:title=""/>
          </v:shape>
          <o:OLEObject Type="Embed" ProgID="Designer.Drawing.7" ShapeID="_x0000_i1112" DrawAspect="Content" ObjectID="_1629894615" r:id="rId157"/>
        </w:object>
      </w:r>
    </w:p>
    <w:p w:rsidR="00B9359B" w:rsidRDefault="009A5268">
      <w:pPr>
        <w:pStyle w:val="Heading3"/>
        <w:rPr>
          <w:lang w:val="en-US"/>
        </w:rPr>
      </w:pPr>
      <w:bookmarkStart w:id="636" w:name="_Toc51046035"/>
      <w:r>
        <w:rPr>
          <w:lang w:val="en-US"/>
        </w:rPr>
        <w:br w:type="page"/>
        <w:t>4.3.1</w:t>
      </w:r>
      <w:r>
        <w:rPr>
          <w:lang w:val="en-US"/>
        </w:rPr>
        <w:tab/>
        <w:t>Interference events which occur when the passive sensor is in the main lobe of the FSS earth station</w:t>
      </w:r>
      <w:bookmarkEnd w:id="636"/>
    </w:p>
    <w:p w:rsidR="00B9359B" w:rsidRDefault="009A5268">
      <w:pPr>
        <w:rPr>
          <w:lang w:val="en-US"/>
        </w:rPr>
      </w:pPr>
      <w:r>
        <w:rPr>
          <w:lang w:val="en-US"/>
        </w:rPr>
        <w:t xml:space="preserve">They are 49 dB above the interference threshold of the passive sensor. They last up to 21 s, which is to be compared to the passive sensor orbital period of 100 min. Since all antenna beams of the sensor are permanently activated, several complete scan-lines (90 pixels each) are contaminated at each event; this leads to about 810 pixels being lost at each event in case of the GSO FSS earth station. Since the Earth exploration-satellite is in an almost polar orbit, the condition required for interference is a coincidence within </w:t>
      </w:r>
      <w:r>
        <w:rPr>
          <w:rFonts w:ascii="Symbol" w:hAnsi="Symbol"/>
        </w:rPr>
        <w:sym w:font="Symbol" w:char="F0B1"/>
      </w:r>
      <w:r>
        <w:rPr>
          <w:lang w:val="en-US"/>
        </w:rPr>
        <w:t>0.6</w:t>
      </w:r>
      <w:r>
        <w:rPr>
          <w:rFonts w:ascii="Symbol" w:hAnsi="Symbol"/>
          <w:lang w:val="en-US"/>
        </w:rPr>
        <w:t></w:t>
      </w:r>
      <w:r>
        <w:rPr>
          <w:lang w:val="en-US"/>
        </w:rPr>
        <w:t xml:space="preserve"> around the longitude of the earth station. The probability of occurrence of such events should be further studied, considering in particular the passive sensor drifting orbit parameters, the density and latitude of earth stations and the availability criteria of passive sensors. Owing to the size of the events, it is doubtful however, that their probability of occurrence may be neglected.</w:t>
      </w:r>
    </w:p>
    <w:p w:rsidR="00B9359B" w:rsidRDefault="009A5268">
      <w:pPr>
        <w:pStyle w:val="Heading3"/>
        <w:rPr>
          <w:lang w:val="en-US"/>
        </w:rPr>
      </w:pPr>
      <w:bookmarkStart w:id="637" w:name="_Toc51046036"/>
      <w:r>
        <w:rPr>
          <w:lang w:val="en-US"/>
        </w:rPr>
        <w:t>4.3.2</w:t>
      </w:r>
      <w:r>
        <w:rPr>
          <w:lang w:val="en-US"/>
        </w:rPr>
        <w:tab/>
        <w:t>Interference which occurs when the passive sensor is close to the zenith of the FSS earth station</w:t>
      </w:r>
      <w:bookmarkEnd w:id="637"/>
    </w:p>
    <w:p w:rsidR="00B9359B" w:rsidRDefault="009A5268">
      <w:pPr>
        <w:rPr>
          <w:lang w:val="en-US"/>
        </w:rPr>
      </w:pPr>
      <w:r>
        <w:rPr>
          <w:lang w:val="en-US"/>
        </w:rPr>
        <w:t>They are 29.5 dB above the sensor’s interference threshold. They appear the most serious matter of concern, because the 100</w:t>
      </w:r>
      <w:r>
        <w:rPr>
          <w:rFonts w:ascii="Symbol" w:hAnsi="Symbol"/>
          <w:lang w:val="en-US"/>
        </w:rPr>
        <w:t></w:t>
      </w:r>
      <w:r>
        <w:rPr>
          <w:lang w:val="en-US"/>
        </w:rPr>
        <w:t xml:space="preserve"> FOV of the push-broom sensor (cross-track) is composed of about 90, permanently activated, adjacent antenna beams, creating a </w:t>
      </w:r>
      <w:r>
        <w:rPr>
          <w:rFonts w:ascii="Symbol" w:hAnsi="Symbol"/>
        </w:rPr>
        <w:sym w:font="Symbol" w:char="F0B1"/>
      </w:r>
      <w:r>
        <w:rPr>
          <w:lang w:val="en-US"/>
        </w:rPr>
        <w:t>10.25</w:t>
      </w:r>
      <w:r>
        <w:rPr>
          <w:rFonts w:ascii="Symbol" w:hAnsi="Symbol"/>
          <w:lang w:val="en-US"/>
        </w:rPr>
        <w:t></w:t>
      </w:r>
      <w:r>
        <w:rPr>
          <w:lang w:val="en-US"/>
        </w:rPr>
        <w:t xml:space="preserve"> longitudinal zone around the earth station position, where the sensor can receive harmful interference in any of it antenna beams.</w:t>
      </w:r>
    </w:p>
    <w:p w:rsidR="00B9359B" w:rsidRDefault="009A5268">
      <w:pPr>
        <w:rPr>
          <w:lang w:val="en-US"/>
        </w:rPr>
      </w:pPr>
      <w:r>
        <w:rPr>
          <w:lang w:val="en-US"/>
        </w:rPr>
        <w:t>Therefore interference will certainly occur whenever the two following geometric conditions are met:</w:t>
      </w:r>
    </w:p>
    <w:p w:rsidR="00B9359B" w:rsidRDefault="009A5268">
      <w:pPr>
        <w:pStyle w:val="enumlev1"/>
        <w:rPr>
          <w:lang w:val="en-US"/>
        </w:rPr>
      </w:pPr>
      <w:r>
        <w:rPr>
          <w:lang w:val="en-US"/>
        </w:rPr>
        <w:t>–</w:t>
      </w:r>
      <w:r>
        <w:rPr>
          <w:lang w:val="en-US"/>
        </w:rPr>
        <w:tab/>
        <w:t>the sensor is crossing the latitude of the earth station;</w:t>
      </w:r>
    </w:p>
    <w:p w:rsidR="00B9359B" w:rsidRDefault="009A5268">
      <w:pPr>
        <w:pStyle w:val="enumlev1"/>
        <w:rPr>
          <w:lang w:val="en-US"/>
        </w:rPr>
      </w:pPr>
      <w:r>
        <w:rPr>
          <w:lang w:val="en-US"/>
        </w:rPr>
        <w:t>–</w:t>
      </w:r>
      <w:r>
        <w:rPr>
          <w:lang w:val="en-US"/>
        </w:rPr>
        <w:tab/>
        <w:t xml:space="preserve">the sensor is at a longitudinal distance within </w:t>
      </w:r>
      <w:r>
        <w:rPr>
          <w:rFonts w:ascii="Symbol" w:hAnsi="Symbol"/>
        </w:rPr>
        <w:sym w:font="Symbol" w:char="F0B1"/>
      </w:r>
      <w:r>
        <w:rPr>
          <w:lang w:val="en-US"/>
        </w:rPr>
        <w:t>10.25</w:t>
      </w:r>
      <w:r>
        <w:rPr>
          <w:rFonts w:ascii="Symbol" w:hAnsi="Symbol"/>
          <w:lang w:val="en-US"/>
        </w:rPr>
        <w:t></w:t>
      </w:r>
      <w:r>
        <w:rPr>
          <w:lang w:val="en-US"/>
        </w:rPr>
        <w:t xml:space="preserve"> from the earth station.</w:t>
      </w:r>
    </w:p>
    <w:p w:rsidR="00B9359B" w:rsidRDefault="009A5268">
      <w:pPr>
        <w:rPr>
          <w:lang w:val="en-US"/>
        </w:rPr>
      </w:pPr>
      <w:r>
        <w:rPr>
          <w:lang w:val="en-US"/>
        </w:rPr>
        <w:t>Considering that the longitudinal distance between two successive orbits is about 25</w:t>
      </w:r>
      <w:r>
        <w:rPr>
          <w:rFonts w:ascii="Symbol" w:hAnsi="Symbol"/>
          <w:lang w:val="en-US"/>
        </w:rPr>
        <w:t></w:t>
      </w:r>
      <w:r>
        <w:rPr>
          <w:lang w:val="en-US"/>
        </w:rPr>
        <w:t xml:space="preserve"> at the equator, the consequence is that passive sensor operation will be hampered by one interference event about twice a day from a unique earth station, considering both ascending and descending orbital paths. The number of events increases with the latitude of the earth station, as the distance between successive orbits decreases with the cosine of the latitude. It is directly proportional to the number of earth stations.</w:t>
      </w:r>
    </w:p>
    <w:p w:rsidR="00B9359B" w:rsidRDefault="009A5268">
      <w:pPr>
        <w:rPr>
          <w:lang w:val="en-US"/>
        </w:rPr>
      </w:pPr>
      <w:r>
        <w:rPr>
          <w:lang w:val="en-US"/>
        </w:rPr>
        <w:t>The main characteristics of each interference event are the following, in the case of a FSS earth station:</w:t>
      </w:r>
    </w:p>
    <w:p w:rsidR="00B9359B" w:rsidRDefault="009A5268">
      <w:pPr>
        <w:pStyle w:val="enumlev1"/>
        <w:rPr>
          <w:lang w:val="en-US"/>
        </w:rPr>
      </w:pPr>
      <w:r>
        <w:rPr>
          <w:lang w:val="en-US"/>
        </w:rPr>
        <w:t>–</w:t>
      </w:r>
      <w:r>
        <w:rPr>
          <w:lang w:val="en-US"/>
        </w:rPr>
        <w:tab/>
        <w:t>the duration is about 16 s;</w:t>
      </w:r>
    </w:p>
    <w:p w:rsidR="00B9359B" w:rsidRDefault="009A5268">
      <w:pPr>
        <w:pStyle w:val="enumlev1"/>
        <w:rPr>
          <w:lang w:val="en-US"/>
        </w:rPr>
      </w:pPr>
      <w:r>
        <w:rPr>
          <w:lang w:val="en-US"/>
        </w:rPr>
        <w:t>–</w:t>
      </w:r>
      <w:r>
        <w:rPr>
          <w:lang w:val="en-US"/>
        </w:rPr>
        <w:tab/>
        <w:t>a circular area on the Earth’s surface of about 110 km in diameter around each earth station position, is contaminated by harmful interference;</w:t>
      </w:r>
    </w:p>
    <w:p w:rsidR="00B9359B" w:rsidRDefault="009A5268">
      <w:pPr>
        <w:pStyle w:val="enumlev1"/>
        <w:rPr>
          <w:lang w:val="en-US"/>
        </w:rPr>
      </w:pPr>
      <w:r>
        <w:rPr>
          <w:lang w:val="en-US"/>
        </w:rPr>
        <w:t>–</w:t>
      </w:r>
      <w:r>
        <w:rPr>
          <w:lang w:val="en-US"/>
        </w:rPr>
        <w:tab/>
        <w:t>this 9</w:t>
      </w:r>
      <w:r>
        <w:rPr>
          <w:rFonts w:ascii="Tms Rmn" w:hAnsi="Tms Rmn"/>
          <w:sz w:val="12"/>
          <w:lang w:val="en-US"/>
        </w:rPr>
        <w:t> </w:t>
      </w:r>
      <w:r>
        <w:rPr>
          <w:lang w:val="en-US"/>
        </w:rPr>
        <w:t>500 km</w:t>
      </w:r>
      <w:r>
        <w:rPr>
          <w:vertAlign w:val="superscript"/>
          <w:lang w:val="en-US"/>
        </w:rPr>
        <w:t>2</w:t>
      </w:r>
      <w:r>
        <w:rPr>
          <w:lang w:val="en-US"/>
        </w:rPr>
        <w:t xml:space="preserve"> zone, corresponding to 47 pixels is to be compared to the 2</w:t>
      </w:r>
      <w:r>
        <w:rPr>
          <w:rFonts w:ascii="Tms Rmn" w:hAnsi="Tms Rmn"/>
          <w:sz w:val="12"/>
          <w:lang w:val="en-US"/>
        </w:rPr>
        <w:t> </w:t>
      </w:r>
      <w:r>
        <w:rPr>
          <w:lang w:val="en-US"/>
        </w:rPr>
        <w:t>000</w:t>
      </w:r>
      <w:r>
        <w:rPr>
          <w:rFonts w:ascii="Tms Rmn" w:hAnsi="Tms Rmn"/>
          <w:sz w:val="12"/>
          <w:lang w:val="en-US"/>
        </w:rPr>
        <w:t> </w:t>
      </w:r>
      <w:r>
        <w:rPr>
          <w:lang w:val="en-US"/>
        </w:rPr>
        <w:t>000 km</w:t>
      </w:r>
      <w:r>
        <w:rPr>
          <w:vertAlign w:val="superscript"/>
          <w:lang w:val="en-US"/>
        </w:rPr>
        <w:t>2</w:t>
      </w:r>
      <w:r>
        <w:rPr>
          <w:lang w:val="en-US"/>
        </w:rPr>
        <w:t xml:space="preserve"> reference</w:t>
      </w:r>
      <w:r>
        <w:rPr>
          <w:sz w:val="23"/>
          <w:lang w:val="en-US"/>
        </w:rPr>
        <w:t xml:space="preserve"> </w:t>
      </w:r>
      <w:r>
        <w:rPr>
          <w:lang w:val="en-US"/>
        </w:rPr>
        <w:t>sensor’s</w:t>
      </w:r>
      <w:r>
        <w:rPr>
          <w:sz w:val="23"/>
          <w:lang w:val="en-US"/>
        </w:rPr>
        <w:t xml:space="preserve"> </w:t>
      </w:r>
      <w:r>
        <w:rPr>
          <w:lang w:val="en-US"/>
        </w:rPr>
        <w:t>service</w:t>
      </w:r>
      <w:r>
        <w:rPr>
          <w:sz w:val="23"/>
          <w:lang w:val="en-US"/>
        </w:rPr>
        <w:t xml:space="preserve"> </w:t>
      </w:r>
      <w:r>
        <w:rPr>
          <w:lang w:val="en-US"/>
        </w:rPr>
        <w:t>area</w:t>
      </w:r>
      <w:r>
        <w:rPr>
          <w:sz w:val="23"/>
          <w:lang w:val="en-US"/>
        </w:rPr>
        <w:t xml:space="preserve"> </w:t>
      </w:r>
      <w:r>
        <w:rPr>
          <w:lang w:val="en-US"/>
        </w:rPr>
        <w:t>which</w:t>
      </w:r>
      <w:r>
        <w:rPr>
          <w:sz w:val="23"/>
          <w:lang w:val="en-US"/>
        </w:rPr>
        <w:t xml:space="preserve"> </w:t>
      </w:r>
      <w:r>
        <w:rPr>
          <w:lang w:val="en-US"/>
        </w:rPr>
        <w:t>is</w:t>
      </w:r>
      <w:r>
        <w:rPr>
          <w:sz w:val="23"/>
          <w:lang w:val="en-US"/>
        </w:rPr>
        <w:t xml:space="preserve"> </w:t>
      </w:r>
      <w:r>
        <w:rPr>
          <w:lang w:val="en-US"/>
        </w:rPr>
        <w:t>stipulated</w:t>
      </w:r>
      <w:r>
        <w:rPr>
          <w:sz w:val="23"/>
          <w:lang w:val="en-US"/>
        </w:rPr>
        <w:t xml:space="preserve"> </w:t>
      </w:r>
      <w:r>
        <w:rPr>
          <w:lang w:val="en-US"/>
        </w:rPr>
        <w:t>in</w:t>
      </w:r>
      <w:r>
        <w:rPr>
          <w:sz w:val="23"/>
          <w:lang w:val="en-US"/>
        </w:rPr>
        <w:t xml:space="preserve"> </w:t>
      </w:r>
      <w:r>
        <w:rPr>
          <w:lang w:val="en-US"/>
        </w:rPr>
        <w:t>the</w:t>
      </w:r>
      <w:r>
        <w:rPr>
          <w:sz w:val="23"/>
          <w:lang w:val="en-US"/>
        </w:rPr>
        <w:t xml:space="preserve"> </w:t>
      </w:r>
      <w:r>
        <w:rPr>
          <w:lang w:val="en-US"/>
        </w:rPr>
        <w:t>Recommendations</w:t>
      </w:r>
      <w:r>
        <w:rPr>
          <w:sz w:val="23"/>
          <w:lang w:val="en-US"/>
        </w:rPr>
        <w:t xml:space="preserve"> </w:t>
      </w:r>
      <w:r>
        <w:rPr>
          <w:lang w:val="en-US"/>
        </w:rPr>
        <w:t>ITU</w:t>
      </w:r>
      <w:r>
        <w:rPr>
          <w:lang w:val="en-US"/>
        </w:rPr>
        <w:noBreakHyphen/>
        <w:t>R</w:t>
      </w:r>
      <w:r>
        <w:rPr>
          <w:sz w:val="23"/>
          <w:lang w:val="en-US"/>
        </w:rPr>
        <w:t> </w:t>
      </w:r>
      <w:r>
        <w:rPr>
          <w:lang w:val="en-US"/>
        </w:rPr>
        <w:t>SA.1028 and ITU</w:t>
      </w:r>
      <w:r>
        <w:rPr>
          <w:lang w:val="en-US"/>
        </w:rPr>
        <w:noBreakHyphen/>
        <w:t>R SA.1029;</w:t>
      </w:r>
    </w:p>
    <w:p w:rsidR="00B9359B" w:rsidRDefault="009A5268">
      <w:pPr>
        <w:pStyle w:val="enumlev1"/>
        <w:rPr>
          <w:lang w:val="en-US"/>
        </w:rPr>
      </w:pPr>
      <w:r>
        <w:rPr>
          <w:lang w:val="en-US"/>
        </w:rPr>
        <w:t>–</w:t>
      </w:r>
      <w:r>
        <w:rPr>
          <w:lang w:val="en-US"/>
        </w:rPr>
        <w:tab/>
        <w:t>the non-availability criteria of 0.01% is by far exceeded in the vicinity of earth stations.</w:t>
      </w:r>
    </w:p>
    <w:p w:rsidR="00B9359B" w:rsidRDefault="009A5268">
      <w:pPr>
        <w:rPr>
          <w:lang w:val="en-US"/>
        </w:rPr>
      </w:pPr>
      <w:r>
        <w:rPr>
          <w:lang w:val="en-US"/>
        </w:rPr>
        <w:br w:type="page"/>
        <w:t>This configuration is described in Fig. 77.</w:t>
      </w:r>
    </w:p>
    <w:p w:rsidR="00B9359B" w:rsidRDefault="009A5268">
      <w:pPr>
        <w:pStyle w:val="FigureNo"/>
        <w:rPr>
          <w:lang w:val="en-US"/>
        </w:rPr>
      </w:pPr>
      <w:r>
        <w:rPr>
          <w:lang w:val="en-US"/>
        </w:rPr>
        <w:object w:dxaOrig="7239" w:dyaOrig="6543">
          <v:shape id="_x0000_i1113" type="#_x0000_t75" style="width:362.15pt;height:327.2pt" o:ole="">
            <v:imagedata r:id="rId158" o:title=""/>
          </v:shape>
          <o:OLEObject Type="Embed" ProgID="Designer.Drawing.7" ShapeID="_x0000_i1113" DrawAspect="Content" ObjectID="_1629894616" r:id="rId159"/>
        </w:object>
      </w:r>
    </w:p>
    <w:p w:rsidR="00B9359B" w:rsidRDefault="009A5268">
      <w:pPr>
        <w:rPr>
          <w:lang w:val="en-US"/>
        </w:rPr>
      </w:pPr>
      <w:r>
        <w:rPr>
          <w:lang w:val="en-US"/>
        </w:rPr>
        <w:t>The most significant numerical results are summarized in the Table 117.</w:t>
      </w:r>
    </w:p>
    <w:p w:rsidR="00B9359B" w:rsidRDefault="009A5268">
      <w:pPr>
        <w:pStyle w:val="TableNo"/>
        <w:rPr>
          <w:lang w:val="en-US"/>
        </w:rPr>
      </w:pPr>
      <w:r>
        <w:rPr>
          <w:lang w:val="en-US"/>
        </w:rPr>
        <w:t>TABLE  117</w:t>
      </w:r>
    </w:p>
    <w:p w:rsidR="00B9359B" w:rsidRDefault="009A5268">
      <w:pPr>
        <w:pStyle w:val="Tabletitle"/>
        <w:rPr>
          <w:lang w:val="en-US"/>
        </w:rPr>
      </w:pPr>
      <w:r>
        <w:rPr>
          <w:lang w:val="en-US"/>
        </w:rPr>
        <w:t>Power excess over interference threshold (co-frequency assumption)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2466"/>
        <w:gridCol w:w="2466"/>
      </w:tblGrid>
      <w:tr w:rsidR="00B9359B">
        <w:tc>
          <w:tcPr>
            <w:tcW w:w="4678" w:type="dxa"/>
          </w:tcPr>
          <w:p w:rsidR="00B9359B" w:rsidRDefault="009A5268">
            <w:pPr>
              <w:pStyle w:val="Tablehead"/>
              <w:framePr w:hSpace="181" w:wrap="notBeside" w:vAnchor="text" w:hAnchor="text" w:xAlign="center" w:y="1"/>
              <w:spacing w:before="120" w:after="120"/>
              <w:rPr>
                <w:lang w:val="en-US"/>
              </w:rPr>
            </w:pPr>
            <w:r>
              <w:rPr>
                <w:lang w:val="en-US"/>
              </w:rPr>
              <w:t>Sensor in earth station main lobe</w:t>
            </w:r>
          </w:p>
        </w:tc>
        <w:tc>
          <w:tcPr>
            <w:tcW w:w="2466" w:type="dxa"/>
          </w:tcPr>
          <w:p w:rsidR="00B9359B" w:rsidRDefault="009A5268">
            <w:pPr>
              <w:pStyle w:val="Tablehead"/>
              <w:framePr w:hSpace="181" w:wrap="notBeside" w:vAnchor="text" w:hAnchor="text" w:xAlign="center" w:y="1"/>
              <w:spacing w:before="120" w:after="120"/>
              <w:rPr>
                <w:lang w:val="en-US"/>
              </w:rPr>
            </w:pPr>
            <w:r>
              <w:rPr>
                <w:lang w:val="en-US"/>
              </w:rPr>
              <w:t>FSS earth station</w:t>
            </w:r>
          </w:p>
        </w:tc>
        <w:tc>
          <w:tcPr>
            <w:tcW w:w="2466" w:type="dxa"/>
          </w:tcPr>
          <w:p w:rsidR="00B9359B" w:rsidRDefault="009A5268">
            <w:pPr>
              <w:pStyle w:val="Tablehead"/>
              <w:framePr w:hSpace="181" w:wrap="notBeside" w:vAnchor="text" w:hAnchor="text" w:xAlign="center" w:y="1"/>
              <w:spacing w:before="120" w:after="120"/>
              <w:rPr>
                <w:lang w:val="en-US"/>
              </w:rPr>
            </w:pPr>
            <w:r>
              <w:rPr>
                <w:lang w:val="en-US"/>
              </w:rPr>
              <w:t>MSS earth station</w:t>
            </w:r>
          </w:p>
        </w:tc>
      </w:tr>
      <w:tr w:rsidR="00B9359B">
        <w:tc>
          <w:tcPr>
            <w:tcW w:w="4678" w:type="dxa"/>
          </w:tcPr>
          <w:p w:rsidR="00B9359B" w:rsidRDefault="009A5268">
            <w:pPr>
              <w:pStyle w:val="Tabletext"/>
              <w:framePr w:hSpace="181" w:wrap="notBeside" w:vAnchor="text" w:hAnchor="text" w:xAlign="center" w:y="1"/>
              <w:rPr>
                <w:lang w:val="en-US"/>
              </w:rPr>
            </w:pPr>
            <w:r>
              <w:rPr>
                <w:lang w:val="en-US"/>
              </w:rPr>
              <w:t>Power excess (dB)</w:t>
            </w:r>
          </w:p>
        </w:tc>
        <w:tc>
          <w:tcPr>
            <w:tcW w:w="2466" w:type="dxa"/>
          </w:tcPr>
          <w:p w:rsidR="00B9359B" w:rsidRDefault="009A5268">
            <w:pPr>
              <w:pStyle w:val="Tabletext"/>
              <w:framePr w:hSpace="181" w:wrap="notBeside" w:vAnchor="text" w:hAnchor="text" w:xAlign="center" w:y="1"/>
              <w:jc w:val="center"/>
              <w:rPr>
                <w:lang w:val="en-US"/>
              </w:rPr>
            </w:pPr>
            <w:r>
              <w:rPr>
                <w:lang w:val="en-US"/>
              </w:rPr>
              <w:t xml:space="preserve">49.1 </w:t>
            </w:r>
          </w:p>
        </w:tc>
        <w:tc>
          <w:tcPr>
            <w:tcW w:w="2466" w:type="dxa"/>
          </w:tcPr>
          <w:p w:rsidR="00B9359B" w:rsidRDefault="009A5268">
            <w:pPr>
              <w:pStyle w:val="Tabletext"/>
              <w:framePr w:hSpace="181" w:wrap="notBeside" w:vAnchor="text" w:hAnchor="text" w:xAlign="center" w:y="1"/>
              <w:jc w:val="center"/>
              <w:rPr>
                <w:lang w:val="en-US"/>
              </w:rPr>
            </w:pPr>
            <w:r>
              <w:rPr>
                <w:lang w:val="en-US"/>
              </w:rPr>
              <w:t xml:space="preserve">34.4 </w:t>
            </w:r>
          </w:p>
        </w:tc>
      </w:tr>
      <w:tr w:rsidR="00B9359B">
        <w:tc>
          <w:tcPr>
            <w:tcW w:w="4678" w:type="dxa"/>
          </w:tcPr>
          <w:p w:rsidR="00B9359B" w:rsidRDefault="009A5268">
            <w:pPr>
              <w:pStyle w:val="Tabletext"/>
              <w:framePr w:hSpace="181" w:wrap="notBeside" w:vAnchor="text" w:hAnchor="text" w:xAlign="center" w:y="1"/>
              <w:rPr>
                <w:lang w:val="en-US"/>
              </w:rPr>
            </w:pPr>
            <w:r>
              <w:rPr>
                <w:lang w:val="en-US"/>
              </w:rPr>
              <w:t>Zone around earth station (approximately) (km)</w:t>
            </w:r>
          </w:p>
        </w:tc>
        <w:tc>
          <w:tcPr>
            <w:tcW w:w="2466" w:type="dxa"/>
          </w:tcPr>
          <w:p w:rsidR="00B9359B" w:rsidRDefault="009A5268">
            <w:pPr>
              <w:pStyle w:val="Tabletext"/>
              <w:framePr w:hSpace="181" w:wrap="notBeside" w:vAnchor="text" w:hAnchor="text" w:xAlign="center" w:y="1"/>
              <w:jc w:val="center"/>
              <w:rPr>
                <w:lang w:val="en-US"/>
              </w:rPr>
            </w:pPr>
            <w:r>
              <w:rPr>
                <w:lang w:val="en-US"/>
              </w:rPr>
              <w:t xml:space="preserve">150 </w:t>
            </w:r>
            <w:r>
              <w:rPr>
                <w:rFonts w:ascii="Symbol" w:hAnsi="Symbol"/>
              </w:rPr>
              <w:t></w:t>
            </w:r>
            <w:r>
              <w:rPr>
                <w:lang w:val="en-US"/>
              </w:rPr>
              <w:t xml:space="preserve"> 130 </w:t>
            </w:r>
          </w:p>
        </w:tc>
        <w:tc>
          <w:tcPr>
            <w:tcW w:w="2466" w:type="dxa"/>
          </w:tcPr>
          <w:p w:rsidR="00B9359B" w:rsidRDefault="009A5268">
            <w:pPr>
              <w:pStyle w:val="Tabletext"/>
              <w:framePr w:hSpace="181" w:wrap="notBeside" w:vAnchor="text" w:hAnchor="text" w:xAlign="center" w:y="1"/>
              <w:jc w:val="center"/>
              <w:rPr>
                <w:lang w:val="en-US"/>
              </w:rPr>
            </w:pPr>
            <w:r>
              <w:rPr>
                <w:lang w:val="en-US"/>
              </w:rPr>
              <w:t xml:space="preserve">60 </w:t>
            </w:r>
            <w:r>
              <w:rPr>
                <w:rFonts w:ascii="Symbol" w:hAnsi="Symbol"/>
              </w:rPr>
              <w:t></w:t>
            </w:r>
            <w:r>
              <w:rPr>
                <w:lang w:val="en-US"/>
              </w:rPr>
              <w:t xml:space="preserve"> 51 </w:t>
            </w:r>
          </w:p>
        </w:tc>
      </w:tr>
      <w:tr w:rsidR="00B9359B">
        <w:tc>
          <w:tcPr>
            <w:tcW w:w="4678" w:type="dxa"/>
          </w:tcPr>
          <w:p w:rsidR="00B9359B" w:rsidRDefault="009A5268">
            <w:pPr>
              <w:pStyle w:val="Tabletext"/>
              <w:framePr w:hSpace="181" w:wrap="notBeside" w:vAnchor="text" w:hAnchor="text" w:xAlign="center" w:y="1"/>
              <w:rPr>
                <w:lang w:val="en-US"/>
              </w:rPr>
            </w:pPr>
            <w:r>
              <w:rPr>
                <w:lang w:val="en-US"/>
              </w:rPr>
              <w:t>Number of contaminated pixels/event</w:t>
            </w:r>
          </w:p>
        </w:tc>
        <w:tc>
          <w:tcPr>
            <w:tcW w:w="2466" w:type="dxa"/>
          </w:tcPr>
          <w:p w:rsidR="00B9359B" w:rsidRDefault="009A5268">
            <w:pPr>
              <w:pStyle w:val="Tabletext"/>
              <w:framePr w:hSpace="181" w:wrap="notBeside" w:vAnchor="text" w:hAnchor="text" w:xAlign="center" w:y="1"/>
              <w:jc w:val="center"/>
              <w:rPr>
                <w:lang w:val="en-US"/>
              </w:rPr>
            </w:pPr>
            <w:r>
              <w:rPr>
                <w:lang w:val="en-US"/>
              </w:rPr>
              <w:t>9 scan-lines</w:t>
            </w:r>
          </w:p>
        </w:tc>
        <w:tc>
          <w:tcPr>
            <w:tcW w:w="2466" w:type="dxa"/>
          </w:tcPr>
          <w:p w:rsidR="00B9359B" w:rsidRDefault="009A5268">
            <w:pPr>
              <w:pStyle w:val="Tabletext"/>
              <w:framePr w:hSpace="181" w:wrap="notBeside" w:vAnchor="text" w:hAnchor="text" w:xAlign="center" w:y="1"/>
              <w:jc w:val="center"/>
              <w:rPr>
                <w:lang w:val="en-US"/>
              </w:rPr>
            </w:pPr>
            <w:r>
              <w:rPr>
                <w:lang w:val="en-US"/>
              </w:rPr>
              <w:t>4 scan-lines</w:t>
            </w:r>
          </w:p>
        </w:tc>
      </w:tr>
      <w:tr w:rsidR="00B9359B">
        <w:tc>
          <w:tcPr>
            <w:tcW w:w="4678" w:type="dxa"/>
          </w:tcPr>
          <w:p w:rsidR="00B9359B" w:rsidRDefault="009A5268">
            <w:pPr>
              <w:pStyle w:val="Tabletext"/>
              <w:framePr w:hSpace="181" w:wrap="notBeside" w:vAnchor="text" w:hAnchor="text" w:xAlign="center" w:y="1"/>
              <w:rPr>
                <w:lang w:val="en-US"/>
              </w:rPr>
            </w:pPr>
            <w:r>
              <w:rPr>
                <w:lang w:val="en-US"/>
              </w:rPr>
              <w:t>Duration of one event (approximately) (s)</w:t>
            </w:r>
          </w:p>
        </w:tc>
        <w:tc>
          <w:tcPr>
            <w:tcW w:w="2466" w:type="dxa"/>
          </w:tcPr>
          <w:p w:rsidR="00B9359B" w:rsidRDefault="009A5268">
            <w:pPr>
              <w:pStyle w:val="Tabletext"/>
              <w:framePr w:hSpace="181" w:wrap="notBeside" w:vAnchor="text" w:hAnchor="text" w:xAlign="center" w:y="1"/>
              <w:jc w:val="center"/>
              <w:rPr>
                <w:lang w:val="en-US"/>
              </w:rPr>
            </w:pPr>
            <w:r>
              <w:rPr>
                <w:lang w:val="en-US"/>
              </w:rPr>
              <w:t xml:space="preserve">21 </w:t>
            </w:r>
          </w:p>
        </w:tc>
        <w:tc>
          <w:tcPr>
            <w:tcW w:w="2466" w:type="dxa"/>
          </w:tcPr>
          <w:p w:rsidR="00B9359B" w:rsidRDefault="009A5268">
            <w:pPr>
              <w:pStyle w:val="Tabletext"/>
              <w:framePr w:hSpace="181" w:wrap="notBeside" w:vAnchor="text" w:hAnchor="text" w:xAlign="center" w:y="1"/>
              <w:jc w:val="center"/>
              <w:rPr>
                <w:lang w:val="en-US"/>
              </w:rPr>
            </w:pPr>
            <w:r>
              <w:rPr>
                <w:lang w:val="en-US"/>
              </w:rPr>
              <w:t xml:space="preserve">8.3 </w:t>
            </w:r>
          </w:p>
        </w:tc>
      </w:tr>
      <w:tr w:rsidR="00B9359B">
        <w:tc>
          <w:tcPr>
            <w:tcW w:w="4678" w:type="dxa"/>
          </w:tcPr>
          <w:p w:rsidR="00B9359B" w:rsidRDefault="009A5268">
            <w:pPr>
              <w:pStyle w:val="Tablehead"/>
              <w:framePr w:hSpace="181" w:wrap="notBeside" w:vAnchor="text" w:hAnchor="text" w:xAlign="center" w:y="1"/>
              <w:spacing w:before="120" w:after="120"/>
              <w:rPr>
                <w:lang w:val="en-US"/>
              </w:rPr>
            </w:pPr>
            <w:r>
              <w:rPr>
                <w:lang w:val="en-US"/>
              </w:rPr>
              <w:t>Sensor close to zenith of earth station</w:t>
            </w:r>
          </w:p>
        </w:tc>
        <w:tc>
          <w:tcPr>
            <w:tcW w:w="2466" w:type="dxa"/>
          </w:tcPr>
          <w:p w:rsidR="00B9359B" w:rsidRDefault="009A5268">
            <w:pPr>
              <w:pStyle w:val="Tablehead"/>
              <w:framePr w:hSpace="181" w:wrap="notBeside" w:vAnchor="text" w:hAnchor="text" w:xAlign="center" w:y="1"/>
              <w:spacing w:before="120" w:after="120"/>
              <w:rPr>
                <w:lang w:val="en-US"/>
              </w:rPr>
            </w:pPr>
            <w:r>
              <w:rPr>
                <w:lang w:val="en-US"/>
              </w:rPr>
              <w:t>FSS earth station</w:t>
            </w:r>
          </w:p>
        </w:tc>
        <w:tc>
          <w:tcPr>
            <w:tcW w:w="2466" w:type="dxa"/>
          </w:tcPr>
          <w:p w:rsidR="00B9359B" w:rsidRDefault="009A5268">
            <w:pPr>
              <w:pStyle w:val="Tablehead"/>
              <w:framePr w:hSpace="181" w:wrap="notBeside" w:vAnchor="text" w:hAnchor="text" w:xAlign="center" w:y="1"/>
              <w:spacing w:before="120" w:after="120"/>
              <w:rPr>
                <w:lang w:val="en-US"/>
              </w:rPr>
            </w:pPr>
            <w:r>
              <w:rPr>
                <w:lang w:val="en-US"/>
              </w:rPr>
              <w:t>MSS earth station</w:t>
            </w:r>
          </w:p>
        </w:tc>
      </w:tr>
      <w:tr w:rsidR="00B9359B">
        <w:tc>
          <w:tcPr>
            <w:tcW w:w="4678" w:type="dxa"/>
          </w:tcPr>
          <w:p w:rsidR="00B9359B" w:rsidRDefault="009A5268">
            <w:pPr>
              <w:pStyle w:val="Tabletext"/>
              <w:framePr w:hSpace="181" w:wrap="notBeside" w:vAnchor="text" w:hAnchor="text" w:xAlign="center" w:y="1"/>
              <w:rPr>
                <w:lang w:val="en-US"/>
              </w:rPr>
            </w:pPr>
            <w:r>
              <w:rPr>
                <w:lang w:val="en-US"/>
              </w:rPr>
              <w:t>Nadir beam (dB)</w:t>
            </w:r>
          </w:p>
        </w:tc>
        <w:tc>
          <w:tcPr>
            <w:tcW w:w="2466" w:type="dxa"/>
          </w:tcPr>
          <w:p w:rsidR="00B9359B" w:rsidRDefault="009A5268">
            <w:pPr>
              <w:pStyle w:val="Tabletext"/>
              <w:framePr w:hSpace="181" w:wrap="notBeside" w:vAnchor="text" w:hAnchor="text" w:xAlign="center" w:y="1"/>
              <w:jc w:val="center"/>
              <w:rPr>
                <w:lang w:val="en-US"/>
              </w:rPr>
            </w:pPr>
            <w:r>
              <w:rPr>
                <w:lang w:val="en-US"/>
              </w:rPr>
              <w:t xml:space="preserve">29.5 </w:t>
            </w:r>
          </w:p>
        </w:tc>
        <w:tc>
          <w:tcPr>
            <w:tcW w:w="2466" w:type="dxa"/>
          </w:tcPr>
          <w:p w:rsidR="00B9359B" w:rsidRDefault="009A5268">
            <w:pPr>
              <w:pStyle w:val="Tabletext"/>
              <w:framePr w:hSpace="181" w:wrap="notBeside" w:vAnchor="text" w:hAnchor="text" w:xAlign="center" w:y="1"/>
              <w:jc w:val="center"/>
              <w:rPr>
                <w:lang w:val="en-US"/>
              </w:rPr>
            </w:pPr>
            <w:r>
              <w:rPr>
                <w:lang w:val="en-US"/>
              </w:rPr>
              <w:t xml:space="preserve">20.3 </w:t>
            </w:r>
          </w:p>
        </w:tc>
      </w:tr>
      <w:tr w:rsidR="00B9359B">
        <w:tc>
          <w:tcPr>
            <w:tcW w:w="4678" w:type="dxa"/>
          </w:tcPr>
          <w:p w:rsidR="00B9359B" w:rsidRDefault="009A5268">
            <w:pPr>
              <w:pStyle w:val="Tabletext"/>
              <w:framePr w:hSpace="181" w:wrap="notBeside" w:vAnchor="text" w:hAnchor="text" w:xAlign="center" w:y="1"/>
              <w:rPr>
                <w:lang w:val="en-US"/>
              </w:rPr>
            </w:pPr>
            <w:r>
              <w:rPr>
                <w:rFonts w:ascii="Symbol" w:hAnsi="Symbol"/>
              </w:rPr>
              <w:sym w:font="Symbol" w:char="F0B1"/>
            </w:r>
            <w:r>
              <w:rPr>
                <w:lang w:val="en-US"/>
              </w:rPr>
              <w:t>50</w:t>
            </w:r>
            <w:r>
              <w:rPr>
                <w:rFonts w:ascii="Symbol" w:hAnsi="Symbol"/>
                <w:lang w:val="en-US"/>
              </w:rPr>
              <w:t></w:t>
            </w:r>
            <w:r>
              <w:rPr>
                <w:lang w:val="en-US"/>
              </w:rPr>
              <w:t xml:space="preserve"> off-nadir beams (dB)</w:t>
            </w:r>
          </w:p>
        </w:tc>
        <w:tc>
          <w:tcPr>
            <w:tcW w:w="2466" w:type="dxa"/>
          </w:tcPr>
          <w:p w:rsidR="00B9359B" w:rsidRDefault="009A5268">
            <w:pPr>
              <w:pStyle w:val="Tabletext"/>
              <w:framePr w:hSpace="181" w:wrap="notBeside" w:vAnchor="text" w:hAnchor="text" w:xAlign="center" w:y="1"/>
              <w:jc w:val="center"/>
              <w:rPr>
                <w:lang w:val="en-US"/>
              </w:rPr>
            </w:pPr>
            <w:r>
              <w:rPr>
                <w:lang w:val="en-US"/>
              </w:rPr>
              <w:t xml:space="preserve">23.3 </w:t>
            </w:r>
          </w:p>
        </w:tc>
        <w:tc>
          <w:tcPr>
            <w:tcW w:w="2466" w:type="dxa"/>
          </w:tcPr>
          <w:p w:rsidR="00B9359B" w:rsidRDefault="009A5268">
            <w:pPr>
              <w:pStyle w:val="Tabletext"/>
              <w:framePr w:hSpace="181" w:wrap="notBeside" w:vAnchor="text" w:hAnchor="text" w:xAlign="center" w:y="1"/>
              <w:jc w:val="center"/>
              <w:rPr>
                <w:lang w:val="en-US"/>
              </w:rPr>
            </w:pPr>
            <w:r>
              <w:rPr>
                <w:lang w:val="en-US"/>
              </w:rPr>
              <w:t xml:space="preserve">14.2 </w:t>
            </w:r>
          </w:p>
        </w:tc>
      </w:tr>
      <w:tr w:rsidR="00B9359B">
        <w:tc>
          <w:tcPr>
            <w:tcW w:w="4678" w:type="dxa"/>
          </w:tcPr>
          <w:p w:rsidR="00B9359B" w:rsidRDefault="009A5268">
            <w:pPr>
              <w:pStyle w:val="Tabletext"/>
              <w:framePr w:hSpace="181" w:wrap="notBeside" w:vAnchor="text" w:hAnchor="text" w:xAlign="center" w:y="1"/>
              <w:rPr>
                <w:lang w:val="en-US"/>
              </w:rPr>
            </w:pPr>
            <w:r>
              <w:rPr>
                <w:lang w:val="en-US"/>
              </w:rPr>
              <w:t>Zone around earth station (approximately) (km)</w:t>
            </w:r>
          </w:p>
        </w:tc>
        <w:tc>
          <w:tcPr>
            <w:tcW w:w="2466" w:type="dxa"/>
          </w:tcPr>
          <w:p w:rsidR="00B9359B" w:rsidRDefault="009A5268">
            <w:pPr>
              <w:pStyle w:val="Tabletext"/>
              <w:framePr w:hSpace="181" w:wrap="notBeside" w:vAnchor="text" w:hAnchor="text" w:xAlign="center" w:y="1"/>
              <w:jc w:val="center"/>
              <w:rPr>
                <w:lang w:val="en-US"/>
              </w:rPr>
            </w:pPr>
            <w:r>
              <w:rPr>
                <w:lang w:val="en-US"/>
              </w:rPr>
              <w:t xml:space="preserve">Diameter 110 </w:t>
            </w:r>
          </w:p>
        </w:tc>
        <w:tc>
          <w:tcPr>
            <w:tcW w:w="2466" w:type="dxa"/>
          </w:tcPr>
          <w:p w:rsidR="00B9359B" w:rsidRDefault="009A5268">
            <w:pPr>
              <w:pStyle w:val="Tabletext"/>
              <w:framePr w:hSpace="181" w:wrap="notBeside" w:vAnchor="text" w:hAnchor="text" w:xAlign="center" w:y="1"/>
              <w:jc w:val="center"/>
              <w:rPr>
                <w:lang w:val="en-US"/>
              </w:rPr>
            </w:pPr>
            <w:r>
              <w:rPr>
                <w:lang w:val="en-US"/>
              </w:rPr>
              <w:t xml:space="preserve">Diameter 41 </w:t>
            </w:r>
          </w:p>
        </w:tc>
      </w:tr>
      <w:tr w:rsidR="00B9359B">
        <w:tc>
          <w:tcPr>
            <w:tcW w:w="4678" w:type="dxa"/>
          </w:tcPr>
          <w:p w:rsidR="00B9359B" w:rsidRDefault="009A5268">
            <w:pPr>
              <w:pStyle w:val="Tabletext"/>
              <w:framePr w:hSpace="181" w:wrap="notBeside" w:vAnchor="text" w:hAnchor="text" w:xAlign="center" w:y="1"/>
              <w:rPr>
                <w:lang w:val="en-US"/>
              </w:rPr>
            </w:pPr>
            <w:r>
              <w:rPr>
                <w:lang w:val="en-US"/>
              </w:rPr>
              <w:t>Number of contaminated pixels/event</w:t>
            </w:r>
          </w:p>
        </w:tc>
        <w:tc>
          <w:tcPr>
            <w:tcW w:w="2466" w:type="dxa"/>
          </w:tcPr>
          <w:p w:rsidR="00B9359B" w:rsidRDefault="009A5268">
            <w:pPr>
              <w:pStyle w:val="Tabletext"/>
              <w:framePr w:hSpace="181" w:wrap="notBeside" w:vAnchor="text" w:hAnchor="text" w:xAlign="center" w:y="1"/>
              <w:jc w:val="center"/>
              <w:rPr>
                <w:lang w:val="en-US"/>
              </w:rPr>
            </w:pPr>
            <w:r>
              <w:rPr>
                <w:lang w:val="en-US"/>
              </w:rPr>
              <w:t>47</w:t>
            </w:r>
          </w:p>
        </w:tc>
        <w:tc>
          <w:tcPr>
            <w:tcW w:w="2466" w:type="dxa"/>
          </w:tcPr>
          <w:p w:rsidR="00B9359B" w:rsidRDefault="009A5268">
            <w:pPr>
              <w:pStyle w:val="Tabletext"/>
              <w:framePr w:hSpace="181" w:wrap="notBeside" w:vAnchor="text" w:hAnchor="text" w:xAlign="center" w:y="1"/>
              <w:jc w:val="center"/>
              <w:rPr>
                <w:lang w:val="en-US"/>
              </w:rPr>
            </w:pPr>
            <w:r>
              <w:rPr>
                <w:lang w:val="en-US"/>
              </w:rPr>
              <w:t>7</w:t>
            </w:r>
          </w:p>
        </w:tc>
      </w:tr>
      <w:tr w:rsidR="00B9359B">
        <w:tc>
          <w:tcPr>
            <w:tcW w:w="4678" w:type="dxa"/>
          </w:tcPr>
          <w:p w:rsidR="00B9359B" w:rsidRDefault="009A5268">
            <w:pPr>
              <w:pStyle w:val="Tabletext"/>
              <w:framePr w:hSpace="181" w:wrap="notBeside" w:vAnchor="text" w:hAnchor="text" w:xAlign="center" w:y="1"/>
              <w:rPr>
                <w:lang w:val="en-US"/>
              </w:rPr>
            </w:pPr>
            <w:r>
              <w:rPr>
                <w:lang w:val="en-US"/>
              </w:rPr>
              <w:t>Duration of one event (approximately) (s)</w:t>
            </w:r>
          </w:p>
        </w:tc>
        <w:tc>
          <w:tcPr>
            <w:tcW w:w="2466" w:type="dxa"/>
          </w:tcPr>
          <w:p w:rsidR="00B9359B" w:rsidRDefault="009A5268">
            <w:pPr>
              <w:pStyle w:val="Tabletext"/>
              <w:framePr w:hSpace="181" w:wrap="notBeside" w:vAnchor="text" w:hAnchor="text" w:xAlign="center" w:y="1"/>
              <w:jc w:val="center"/>
              <w:rPr>
                <w:lang w:val="en-US"/>
              </w:rPr>
            </w:pPr>
            <w:r>
              <w:rPr>
                <w:lang w:val="en-US"/>
              </w:rPr>
              <w:t>16</w:t>
            </w:r>
          </w:p>
        </w:tc>
        <w:tc>
          <w:tcPr>
            <w:tcW w:w="2466" w:type="dxa"/>
          </w:tcPr>
          <w:p w:rsidR="00B9359B" w:rsidRDefault="009A5268">
            <w:pPr>
              <w:pStyle w:val="Tabletext"/>
              <w:framePr w:hSpace="181" w:wrap="notBeside" w:vAnchor="text" w:hAnchor="text" w:xAlign="center" w:y="1"/>
              <w:jc w:val="center"/>
              <w:rPr>
                <w:lang w:val="en-US"/>
              </w:rPr>
            </w:pPr>
            <w:r>
              <w:rPr>
                <w:lang w:val="en-US"/>
              </w:rPr>
              <w:t>6</w:t>
            </w:r>
          </w:p>
        </w:tc>
      </w:tr>
    </w:tbl>
    <w:p w:rsidR="00B9359B" w:rsidRDefault="00B9359B">
      <w:pPr>
        <w:pStyle w:val="Tablefin"/>
      </w:pPr>
    </w:p>
    <w:p w:rsidR="00B9359B" w:rsidRDefault="009A5268">
      <w:pPr>
        <w:rPr>
          <w:lang w:val="en-US"/>
        </w:rPr>
      </w:pPr>
      <w:r>
        <w:rPr>
          <w:lang w:val="en-US"/>
        </w:rPr>
        <w:br w:type="page"/>
        <w:t>Note that main-lobe to main-lobe configurations are becoming possible for FSS/MSS earth stations located near the equator. In that case the power excess indicated in the second part of Table 117 are augmented by the earth station antenna discrimination (up to 80 dB). The probability of occurrence of such configurations must be studied further.</w:t>
      </w:r>
    </w:p>
    <w:p w:rsidR="00B9359B" w:rsidRDefault="009A5268">
      <w:pPr>
        <w:pStyle w:val="Heading2"/>
        <w:rPr>
          <w:lang w:val="en-US"/>
        </w:rPr>
      </w:pPr>
      <w:bookmarkStart w:id="638" w:name="_Toc51046037"/>
      <w:r>
        <w:rPr>
          <w:lang w:val="en-US"/>
        </w:rPr>
        <w:t>4.4</w:t>
      </w:r>
      <w:r>
        <w:rPr>
          <w:lang w:val="en-US"/>
        </w:rPr>
        <w:tab/>
        <w:t>Dynamic interference analysis</w:t>
      </w:r>
      <w:bookmarkEnd w:id="638"/>
    </w:p>
    <w:p w:rsidR="00B9359B" w:rsidRDefault="009A5268">
      <w:pPr>
        <w:rPr>
          <w:noProof/>
          <w:lang w:val="en-US"/>
        </w:rPr>
      </w:pPr>
      <w:r>
        <w:rPr>
          <w:noProof/>
          <w:lang w:val="en-US"/>
        </w:rPr>
        <w:t>In addition to the above static and semi-static cases, a dynamic analysis is necessary in order to take into consideration the percentage of time when the interference occurs. As indicated above, the threshold of –166 dBW must not be exceeded by no more than 0.01% of time in a bandwidth of 100 MHz.</w:t>
      </w:r>
    </w:p>
    <w:p w:rsidR="00B9359B" w:rsidRDefault="009A5268">
      <w:pPr>
        <w:rPr>
          <w:noProof/>
          <w:lang w:val="en-US"/>
        </w:rPr>
      </w:pPr>
      <w:r>
        <w:rPr>
          <w:noProof/>
          <w:lang w:val="en-US"/>
        </w:rPr>
        <w:t>Simulations were conducted to determine the probability of interference using a time increment (sampling) of 5 s in order to get accurate results. Simulations stopped when the cumulative distri</w:t>
      </w:r>
      <w:r>
        <w:rPr>
          <w:noProof/>
          <w:lang w:val="en-US"/>
        </w:rPr>
        <w:softHyphen/>
        <w:t>bution function becomes stable. Furthermore, it has to be noted that all these simulations presented hereunder only deal with the nadir sounder push-broom satellite, because the above static and semi-static cases have shown that it is the worst case.</w:t>
      </w:r>
    </w:p>
    <w:p w:rsidR="00B9359B" w:rsidRDefault="009A5268">
      <w:pPr>
        <w:pStyle w:val="Heading3"/>
        <w:rPr>
          <w:lang w:val="en-US"/>
        </w:rPr>
      </w:pPr>
      <w:bookmarkStart w:id="639" w:name="_Toc51046038"/>
      <w:r>
        <w:rPr>
          <w:lang w:val="en-US"/>
        </w:rPr>
        <w:t>4.4.1</w:t>
      </w:r>
      <w:r>
        <w:rPr>
          <w:lang w:val="en-US"/>
        </w:rPr>
        <w:tab/>
        <w:t>Modelling of the push-broom antenna</w:t>
      </w:r>
      <w:bookmarkEnd w:id="639"/>
    </w:p>
    <w:p w:rsidR="00B9359B" w:rsidRDefault="009A5268">
      <w:pPr>
        <w:rPr>
          <w:lang w:val="en-US"/>
        </w:rPr>
      </w:pPr>
      <w:r>
        <w:rPr>
          <w:lang w:val="en-US"/>
        </w:rPr>
        <w:t xml:space="preserve">As explained above, the push-broom antenna is able to see a whole line of pixels located around the nadir at </w:t>
      </w:r>
      <w:r>
        <w:rPr>
          <w:rFonts w:ascii="Symbol" w:hAnsi="Symbol"/>
        </w:rPr>
        <w:sym w:font="Symbol" w:char="F0B1"/>
      </w:r>
      <w:r>
        <w:rPr>
          <w:lang w:val="en-US"/>
        </w:rPr>
        <w:t>50</w:t>
      </w:r>
      <w:r>
        <w:rPr>
          <w:rFonts w:ascii="Symbol" w:hAnsi="Symbol"/>
          <w:lang w:val="en-US"/>
        </w:rPr>
        <w:t></w:t>
      </w:r>
      <w:r>
        <w:rPr>
          <w:lang w:val="en-US"/>
        </w:rPr>
        <w:t xml:space="preserve"> for the azimuth, and in </w:t>
      </w:r>
      <w:r>
        <w:rPr>
          <w:rFonts w:ascii="Symbol" w:hAnsi="Symbol"/>
        </w:rPr>
        <w:sym w:font="Symbol" w:char="F0B1"/>
      </w:r>
      <w:r>
        <w:rPr>
          <w:lang w:val="en-US"/>
        </w:rPr>
        <w:t>0.55</w:t>
      </w:r>
      <w:r>
        <w:rPr>
          <w:rFonts w:ascii="Symbol" w:hAnsi="Symbol"/>
          <w:lang w:val="en-US"/>
        </w:rPr>
        <w:t></w:t>
      </w:r>
      <w:r>
        <w:rPr>
          <w:lang w:val="en-US"/>
        </w:rPr>
        <w:t xml:space="preserve"> for the elevation. The maximum antenna gain is 45 dBi, and as usual for radiometer antennas, there is a steep decrease to the side-lobe level of </w:t>
      </w:r>
      <w:r>
        <w:rPr>
          <w:rFonts w:ascii="Symbol" w:hAnsi="Symbol"/>
          <w:lang w:val="en-US"/>
        </w:rPr>
        <w:noBreakHyphen/>
      </w:r>
      <w:r>
        <w:rPr>
          <w:lang w:val="en-US"/>
        </w:rPr>
        <w:t>12 dBi. Figure 78 shows the antenna pattern according to the azimuth off</w:t>
      </w:r>
      <w:r>
        <w:rPr>
          <w:lang w:val="en-US"/>
        </w:rPr>
        <w:noBreakHyphen/>
        <w:t>axis angle.</w:t>
      </w:r>
    </w:p>
    <w:p w:rsidR="00B9359B" w:rsidRDefault="009A5268">
      <w:pPr>
        <w:pStyle w:val="FigureNo"/>
      </w:pPr>
      <w:r>
        <w:object w:dxaOrig="4796" w:dyaOrig="2886">
          <v:shape id="_x0000_i1114" type="#_x0000_t75" style="width:240.2pt;height:144.55pt" o:ole="">
            <v:imagedata r:id="rId160" o:title=""/>
          </v:shape>
          <o:OLEObject Type="Embed" ProgID="Designer.Drawing.7" ShapeID="_x0000_i1114" DrawAspect="Content" ObjectID="_1629894617" r:id="rId161"/>
        </w:object>
      </w:r>
    </w:p>
    <w:p w:rsidR="00B9359B" w:rsidRDefault="009A5268">
      <w:pPr>
        <w:pStyle w:val="Heading3"/>
        <w:rPr>
          <w:lang w:val="en-US"/>
        </w:rPr>
      </w:pPr>
      <w:bookmarkStart w:id="640" w:name="_Toc51046039"/>
      <w:r>
        <w:rPr>
          <w:lang w:val="en-US"/>
        </w:rPr>
        <w:t>4.4.2</w:t>
      </w:r>
      <w:r>
        <w:rPr>
          <w:lang w:val="en-US"/>
        </w:rPr>
        <w:tab/>
        <w:t>Dynamic calculations with GSO</w:t>
      </w:r>
      <w:r>
        <w:rPr>
          <w:sz w:val="16"/>
          <w:lang w:val="en-US"/>
        </w:rPr>
        <w:t xml:space="preserve">  </w:t>
      </w:r>
      <w:r>
        <w:rPr>
          <w:lang w:val="en-US"/>
        </w:rPr>
        <w:t>FSS systems</w:t>
      </w:r>
      <w:bookmarkEnd w:id="640"/>
    </w:p>
    <w:p w:rsidR="00B9359B" w:rsidRDefault="009A5268">
      <w:pPr>
        <w:pStyle w:val="TableNo"/>
        <w:rPr>
          <w:lang w:val="en-US"/>
        </w:rPr>
      </w:pPr>
      <w:r>
        <w:rPr>
          <w:lang w:val="en-US"/>
        </w:rPr>
        <w:t>TABLE  118</w:t>
      </w:r>
    </w:p>
    <w:p w:rsidR="00B9359B" w:rsidRDefault="009A5268">
      <w:pPr>
        <w:pStyle w:val="Tabletitle"/>
        <w:rPr>
          <w:lang w:val="en-US"/>
        </w:rPr>
      </w:pPr>
      <w:r>
        <w:rPr>
          <w:lang w:val="en-US"/>
        </w:rPr>
        <w:t>Dynamic analysis between GSO FSS system and EESS with only</w:t>
      </w:r>
      <w:r>
        <w:rPr>
          <w:lang w:val="en-US"/>
        </w:rPr>
        <w:br/>
        <w:t>one earth station operating at the location N0, E0</w:t>
      </w:r>
    </w:p>
    <w:tbl>
      <w:tblPr>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215"/>
        <w:gridCol w:w="1084"/>
        <w:gridCol w:w="1085"/>
        <w:gridCol w:w="1085"/>
        <w:gridCol w:w="1085"/>
        <w:gridCol w:w="1085"/>
      </w:tblGrid>
      <w:tr w:rsidR="00B9359B">
        <w:tc>
          <w:tcPr>
            <w:tcW w:w="3969" w:type="dxa"/>
            <w:vAlign w:val="center"/>
          </w:tcPr>
          <w:p w:rsidR="00B9359B" w:rsidRDefault="009A5268">
            <w:pPr>
              <w:pStyle w:val="Tabletext"/>
              <w:framePr w:hSpace="181" w:wrap="notBeside" w:vAnchor="text" w:hAnchor="text" w:xAlign="center" w:y="1"/>
              <w:spacing w:before="100" w:after="100"/>
              <w:rPr>
                <w:lang w:val="en-US"/>
              </w:rPr>
            </w:pPr>
            <w:r>
              <w:rPr>
                <w:lang w:val="en-US"/>
              </w:rPr>
              <w:t>Cumulative distribution (%)</w:t>
            </w:r>
          </w:p>
        </w:tc>
        <w:tc>
          <w:tcPr>
            <w:tcW w:w="1021"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4.1</w:t>
            </w:r>
          </w:p>
        </w:tc>
        <w:tc>
          <w:tcPr>
            <w:tcW w:w="1021"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1</w:t>
            </w:r>
          </w:p>
        </w:tc>
        <w:tc>
          <w:tcPr>
            <w:tcW w:w="1021"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0.07</w:t>
            </w:r>
          </w:p>
        </w:tc>
        <w:tc>
          <w:tcPr>
            <w:tcW w:w="1021"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0.01</w:t>
            </w:r>
          </w:p>
        </w:tc>
        <w:tc>
          <w:tcPr>
            <w:tcW w:w="1021"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0.002</w:t>
            </w:r>
          </w:p>
        </w:tc>
      </w:tr>
      <w:tr w:rsidR="00B9359B">
        <w:tc>
          <w:tcPr>
            <w:tcW w:w="3969" w:type="dxa"/>
            <w:vAlign w:val="center"/>
          </w:tcPr>
          <w:p w:rsidR="00B9359B" w:rsidRDefault="009A5268">
            <w:pPr>
              <w:pStyle w:val="Tabletext"/>
              <w:framePr w:hSpace="181" w:wrap="notBeside" w:vAnchor="text" w:hAnchor="text" w:xAlign="center" w:y="1"/>
              <w:spacing w:before="100" w:after="100"/>
              <w:jc w:val="left"/>
              <w:rPr>
                <w:lang w:val="en-US"/>
              </w:rPr>
            </w:pPr>
            <w:r>
              <w:rPr>
                <w:lang w:val="en-US"/>
              </w:rPr>
              <w:t>Push-broom: corresponding interference power received by EESS (dBW)</w:t>
            </w:r>
            <w:r>
              <w:rPr>
                <w:lang w:val="en-US"/>
              </w:rPr>
              <w:br/>
              <w:t>(125 MHz bandwidth)</w:t>
            </w:r>
          </w:p>
        </w:tc>
        <w:tc>
          <w:tcPr>
            <w:tcW w:w="1021"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–212</w:t>
            </w:r>
          </w:p>
        </w:tc>
        <w:tc>
          <w:tcPr>
            <w:tcW w:w="1021"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–190</w:t>
            </w:r>
          </w:p>
        </w:tc>
        <w:tc>
          <w:tcPr>
            <w:tcW w:w="1021"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–166</w:t>
            </w:r>
          </w:p>
        </w:tc>
        <w:tc>
          <w:tcPr>
            <w:tcW w:w="1021"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–131</w:t>
            </w:r>
          </w:p>
        </w:tc>
        <w:tc>
          <w:tcPr>
            <w:tcW w:w="1021"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–53</w:t>
            </w:r>
          </w:p>
        </w:tc>
      </w:tr>
    </w:tbl>
    <w:p w:rsidR="00B9359B" w:rsidRDefault="00B9359B">
      <w:pPr>
        <w:pStyle w:val="Tablefin"/>
        <w:rPr>
          <w:lang w:val="en-US"/>
        </w:rPr>
      </w:pPr>
    </w:p>
    <w:p w:rsidR="00B9359B" w:rsidRDefault="009A5268">
      <w:pPr>
        <w:rPr>
          <w:lang w:val="en-US"/>
        </w:rPr>
      </w:pPr>
      <w:r>
        <w:rPr>
          <w:lang w:val="en-US"/>
        </w:rPr>
        <w:br w:type="page"/>
        <w:t xml:space="preserve">Table 118 shows that it is possible to find a 113 dB difference between the threshold of </w:t>
      </w:r>
      <w:r>
        <w:rPr>
          <w:rFonts w:ascii="Symbol" w:hAnsi="Symbol"/>
          <w:lang w:val="en-US"/>
        </w:rPr>
        <w:noBreakHyphen/>
      </w:r>
      <w:r>
        <w:rPr>
          <w:lang w:val="en-US"/>
        </w:rPr>
        <w:t xml:space="preserve">166 dBW and the maximum power received by the radiometer of –53 dBW. Such a level has a potential to cause damage to the sensor. </w:t>
      </w:r>
    </w:p>
    <w:p w:rsidR="00B9359B" w:rsidRDefault="009A5268">
      <w:pPr>
        <w:pStyle w:val="TableNo"/>
        <w:rPr>
          <w:lang w:val="en-US"/>
        </w:rPr>
      </w:pPr>
      <w:r>
        <w:rPr>
          <w:lang w:val="en-US"/>
        </w:rPr>
        <w:t>TABLE  119</w:t>
      </w:r>
    </w:p>
    <w:p w:rsidR="00B9359B" w:rsidRDefault="009A5268">
      <w:pPr>
        <w:pStyle w:val="Tabletitle"/>
        <w:rPr>
          <w:lang w:val="en-US"/>
        </w:rPr>
      </w:pPr>
      <w:r>
        <w:rPr>
          <w:lang w:val="en-US"/>
        </w:rPr>
        <w:t>Dynamic analysis between GSO FSS system and EESS with only</w:t>
      </w:r>
      <w:r>
        <w:rPr>
          <w:lang w:val="en-US"/>
        </w:rPr>
        <w:br/>
        <w:t>one earth station operating at the location N50, E0</w:t>
      </w:r>
    </w:p>
    <w:tbl>
      <w:tblPr>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215"/>
        <w:gridCol w:w="1084"/>
        <w:gridCol w:w="1085"/>
        <w:gridCol w:w="1085"/>
        <w:gridCol w:w="1085"/>
        <w:gridCol w:w="1085"/>
      </w:tblGrid>
      <w:tr w:rsidR="00B9359B">
        <w:tc>
          <w:tcPr>
            <w:tcW w:w="3969" w:type="dxa"/>
            <w:vAlign w:val="center"/>
          </w:tcPr>
          <w:p w:rsidR="00B9359B" w:rsidRDefault="009A5268">
            <w:pPr>
              <w:pStyle w:val="Tabletext"/>
              <w:framePr w:hSpace="181" w:wrap="notBeside" w:vAnchor="text" w:hAnchor="text" w:xAlign="center" w:y="1"/>
              <w:spacing w:before="100" w:after="100"/>
              <w:rPr>
                <w:lang w:val="en-US"/>
              </w:rPr>
            </w:pPr>
            <w:r>
              <w:rPr>
                <w:lang w:val="en-US"/>
              </w:rPr>
              <w:t>Cumulative distribution (%)</w:t>
            </w:r>
          </w:p>
        </w:tc>
        <w:tc>
          <w:tcPr>
            <w:tcW w:w="1021"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7.2</w:t>
            </w:r>
          </w:p>
        </w:tc>
        <w:tc>
          <w:tcPr>
            <w:tcW w:w="1021"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1</w:t>
            </w:r>
          </w:p>
        </w:tc>
        <w:tc>
          <w:tcPr>
            <w:tcW w:w="1021"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0.15</w:t>
            </w:r>
          </w:p>
        </w:tc>
        <w:tc>
          <w:tcPr>
            <w:tcW w:w="1021"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0.01</w:t>
            </w:r>
          </w:p>
        </w:tc>
        <w:tc>
          <w:tcPr>
            <w:tcW w:w="1021"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0.004</w:t>
            </w:r>
          </w:p>
        </w:tc>
      </w:tr>
      <w:tr w:rsidR="00B9359B">
        <w:tc>
          <w:tcPr>
            <w:tcW w:w="3969" w:type="dxa"/>
            <w:vAlign w:val="center"/>
          </w:tcPr>
          <w:p w:rsidR="00B9359B" w:rsidRDefault="009A5268">
            <w:pPr>
              <w:pStyle w:val="Tabletext"/>
              <w:framePr w:hSpace="181" w:wrap="notBeside" w:vAnchor="text" w:hAnchor="text" w:xAlign="center" w:y="1"/>
              <w:spacing w:before="100" w:after="100"/>
              <w:jc w:val="left"/>
              <w:rPr>
                <w:lang w:val="en-US"/>
              </w:rPr>
            </w:pPr>
            <w:r>
              <w:rPr>
                <w:lang w:val="en-US"/>
              </w:rPr>
              <w:t>Push-broom: corresponding interference power received by EESS (dBW)</w:t>
            </w:r>
            <w:r>
              <w:rPr>
                <w:lang w:val="en-US"/>
              </w:rPr>
              <w:br/>
              <w:t>(125 MHz bandwidth)</w:t>
            </w:r>
          </w:p>
        </w:tc>
        <w:tc>
          <w:tcPr>
            <w:tcW w:w="1021"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–212</w:t>
            </w:r>
          </w:p>
        </w:tc>
        <w:tc>
          <w:tcPr>
            <w:tcW w:w="1021"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–186</w:t>
            </w:r>
          </w:p>
        </w:tc>
        <w:tc>
          <w:tcPr>
            <w:tcW w:w="1021"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–166</w:t>
            </w:r>
          </w:p>
        </w:tc>
        <w:tc>
          <w:tcPr>
            <w:tcW w:w="1021"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–131</w:t>
            </w:r>
          </w:p>
        </w:tc>
        <w:tc>
          <w:tcPr>
            <w:tcW w:w="1021"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–126</w:t>
            </w:r>
          </w:p>
        </w:tc>
      </w:tr>
    </w:tbl>
    <w:p w:rsidR="00B9359B" w:rsidRDefault="00B9359B">
      <w:pPr>
        <w:pStyle w:val="Tablefin"/>
      </w:pPr>
    </w:p>
    <w:p w:rsidR="00B9359B" w:rsidRDefault="009A5268">
      <w:pPr>
        <w:rPr>
          <w:lang w:val="en-US"/>
        </w:rPr>
      </w:pPr>
      <w:r>
        <w:rPr>
          <w:lang w:val="en-US"/>
        </w:rPr>
        <w:t>According to Table 119, there is a risk that the EESS satellite experiences interference when only one earth station is in operation (or the percentage of data interfered is above the acceptable one). Taking into account the relative bandwidth, the required spectral attenuation is 34 dB for GSO FSS. It is expected that significantly more earth stations would be operational in the satellite systems for which the results of dynamic simulations are reported in Tables 118 and 119. Increasing the number of earth stations included in the dynamic simulations is likely to increase the percentage of time that the EESS criterion is exceeded. In this event, the conclusions drawn in § 4.5 with respect to the amount of required guardbands would have to be re-evaluated.</w:t>
      </w:r>
    </w:p>
    <w:p w:rsidR="00B9359B" w:rsidRDefault="009A5268">
      <w:pPr>
        <w:pStyle w:val="Heading3"/>
        <w:rPr>
          <w:lang w:val="en-US"/>
        </w:rPr>
      </w:pPr>
      <w:bookmarkStart w:id="641" w:name="_Toc51046040"/>
      <w:r>
        <w:rPr>
          <w:lang w:val="en-US"/>
        </w:rPr>
        <w:t>4.4.3</w:t>
      </w:r>
      <w:r>
        <w:rPr>
          <w:lang w:val="en-US"/>
        </w:rPr>
        <w:tab/>
        <w:t>Dynamic calculations with GSO</w:t>
      </w:r>
      <w:r>
        <w:rPr>
          <w:sz w:val="16"/>
          <w:lang w:val="en-US"/>
        </w:rPr>
        <w:t xml:space="preserve">  </w:t>
      </w:r>
      <w:r>
        <w:rPr>
          <w:lang w:val="en-US"/>
        </w:rPr>
        <w:t>MSS systems</w:t>
      </w:r>
      <w:bookmarkEnd w:id="641"/>
    </w:p>
    <w:p w:rsidR="00B9359B" w:rsidRDefault="009A5268">
      <w:pPr>
        <w:pStyle w:val="TableNo"/>
        <w:rPr>
          <w:lang w:val="en-US"/>
        </w:rPr>
      </w:pPr>
      <w:r>
        <w:rPr>
          <w:lang w:val="en-US"/>
        </w:rPr>
        <w:t>TABLE  120</w:t>
      </w:r>
    </w:p>
    <w:p w:rsidR="00B9359B" w:rsidRDefault="009A5268">
      <w:pPr>
        <w:pStyle w:val="Tabletitle"/>
        <w:rPr>
          <w:lang w:val="en-US"/>
        </w:rPr>
      </w:pPr>
      <w:r>
        <w:rPr>
          <w:lang w:val="en-US"/>
        </w:rPr>
        <w:t>Dynamic analysis between GSO MSS system and EESS with only</w:t>
      </w:r>
      <w:r>
        <w:rPr>
          <w:lang w:val="en-US"/>
        </w:rPr>
        <w:br/>
        <w:t>one earth station operating at the location N0, E0</w:t>
      </w:r>
    </w:p>
    <w:tbl>
      <w:tblPr>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915"/>
        <w:gridCol w:w="954"/>
        <w:gridCol w:w="954"/>
        <w:gridCol w:w="954"/>
        <w:gridCol w:w="954"/>
        <w:gridCol w:w="954"/>
        <w:gridCol w:w="954"/>
      </w:tblGrid>
      <w:tr w:rsidR="00B9359B">
        <w:tc>
          <w:tcPr>
            <w:tcW w:w="3915" w:type="dxa"/>
            <w:vAlign w:val="center"/>
          </w:tcPr>
          <w:p w:rsidR="00B9359B" w:rsidRDefault="009A5268">
            <w:pPr>
              <w:pStyle w:val="Tabletext"/>
              <w:framePr w:hSpace="181" w:wrap="notBeside" w:vAnchor="text" w:hAnchor="text" w:xAlign="center" w:y="1"/>
              <w:spacing w:before="100" w:after="100"/>
              <w:rPr>
                <w:lang w:val="en-US"/>
              </w:rPr>
            </w:pPr>
            <w:r>
              <w:rPr>
                <w:lang w:val="en-US"/>
              </w:rPr>
              <w:t>Cumulative distribution (%)</w:t>
            </w:r>
          </w:p>
        </w:tc>
        <w:tc>
          <w:tcPr>
            <w:tcW w:w="954"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3.9</w:t>
            </w:r>
          </w:p>
        </w:tc>
        <w:tc>
          <w:tcPr>
            <w:tcW w:w="954"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1</w:t>
            </w:r>
          </w:p>
        </w:tc>
        <w:tc>
          <w:tcPr>
            <w:tcW w:w="954"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0.1</w:t>
            </w:r>
          </w:p>
        </w:tc>
        <w:tc>
          <w:tcPr>
            <w:tcW w:w="954"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0.05</w:t>
            </w:r>
          </w:p>
        </w:tc>
        <w:tc>
          <w:tcPr>
            <w:tcW w:w="954"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0.01</w:t>
            </w:r>
          </w:p>
        </w:tc>
        <w:tc>
          <w:tcPr>
            <w:tcW w:w="954"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0.003</w:t>
            </w:r>
          </w:p>
        </w:tc>
      </w:tr>
      <w:tr w:rsidR="00B9359B">
        <w:tc>
          <w:tcPr>
            <w:tcW w:w="3915" w:type="dxa"/>
            <w:vAlign w:val="center"/>
          </w:tcPr>
          <w:p w:rsidR="00B9359B" w:rsidRDefault="009A5268">
            <w:pPr>
              <w:pStyle w:val="Tabletext"/>
              <w:framePr w:hSpace="181" w:wrap="notBeside" w:vAnchor="text" w:hAnchor="text" w:xAlign="center" w:y="1"/>
              <w:spacing w:before="100" w:after="100"/>
              <w:jc w:val="left"/>
              <w:rPr>
                <w:lang w:val="en-US"/>
              </w:rPr>
            </w:pPr>
            <w:r>
              <w:rPr>
                <w:lang w:val="en-US"/>
              </w:rPr>
              <w:t>Push-broom: corresponding interference power received by EESS (dBW) (11 MHz bandwidth)</w:t>
            </w:r>
          </w:p>
        </w:tc>
        <w:tc>
          <w:tcPr>
            <w:tcW w:w="954"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–220</w:t>
            </w:r>
          </w:p>
        </w:tc>
        <w:tc>
          <w:tcPr>
            <w:tcW w:w="954"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–200</w:t>
            </w:r>
          </w:p>
        </w:tc>
        <w:tc>
          <w:tcPr>
            <w:tcW w:w="954"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–186</w:t>
            </w:r>
          </w:p>
        </w:tc>
        <w:tc>
          <w:tcPr>
            <w:tcW w:w="954"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–166</w:t>
            </w:r>
          </w:p>
        </w:tc>
        <w:tc>
          <w:tcPr>
            <w:tcW w:w="954"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–141</w:t>
            </w:r>
          </w:p>
        </w:tc>
        <w:tc>
          <w:tcPr>
            <w:tcW w:w="954"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–67</w:t>
            </w:r>
          </w:p>
        </w:tc>
      </w:tr>
    </w:tbl>
    <w:p w:rsidR="00B9359B" w:rsidRDefault="00B9359B">
      <w:pPr>
        <w:pStyle w:val="Tablefin"/>
      </w:pPr>
    </w:p>
    <w:p w:rsidR="00B9359B" w:rsidRDefault="009A5268">
      <w:pPr>
        <w:pStyle w:val="TableNo"/>
        <w:rPr>
          <w:lang w:val="en-US"/>
        </w:rPr>
      </w:pPr>
      <w:r>
        <w:rPr>
          <w:lang w:val="en-US"/>
        </w:rPr>
        <w:t>TABLE  121</w:t>
      </w:r>
    </w:p>
    <w:p w:rsidR="00B9359B" w:rsidRDefault="009A5268">
      <w:pPr>
        <w:pStyle w:val="Tabletitle"/>
        <w:rPr>
          <w:lang w:val="en-US"/>
        </w:rPr>
      </w:pPr>
      <w:r>
        <w:rPr>
          <w:lang w:val="en-US"/>
        </w:rPr>
        <w:t>Dynamic analysis between GSO MSS system and EESS with only</w:t>
      </w:r>
      <w:r>
        <w:rPr>
          <w:lang w:val="en-US"/>
        </w:rPr>
        <w:br/>
        <w:t>one earth station operating at the location N50, E0</w:t>
      </w:r>
    </w:p>
    <w:tbl>
      <w:tblPr>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910"/>
        <w:gridCol w:w="954"/>
        <w:gridCol w:w="955"/>
        <w:gridCol w:w="955"/>
        <w:gridCol w:w="955"/>
        <w:gridCol w:w="955"/>
        <w:gridCol w:w="955"/>
      </w:tblGrid>
      <w:tr w:rsidR="00B9359B">
        <w:tc>
          <w:tcPr>
            <w:tcW w:w="4008" w:type="dxa"/>
            <w:vAlign w:val="center"/>
          </w:tcPr>
          <w:p w:rsidR="00B9359B" w:rsidRDefault="009A5268">
            <w:pPr>
              <w:pStyle w:val="Tabletext"/>
              <w:framePr w:hSpace="181" w:wrap="notBeside" w:vAnchor="text" w:hAnchor="text" w:xAlign="center" w:y="1"/>
              <w:spacing w:before="100" w:after="100"/>
              <w:rPr>
                <w:lang w:val="en-US"/>
              </w:rPr>
            </w:pPr>
            <w:r>
              <w:rPr>
                <w:lang w:val="en-US"/>
              </w:rPr>
              <w:t>Cumulative distribution (%)</w:t>
            </w:r>
          </w:p>
        </w:tc>
        <w:tc>
          <w:tcPr>
            <w:tcW w:w="973"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7.2</w:t>
            </w:r>
          </w:p>
        </w:tc>
        <w:tc>
          <w:tcPr>
            <w:tcW w:w="974"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1</w:t>
            </w:r>
          </w:p>
        </w:tc>
        <w:tc>
          <w:tcPr>
            <w:tcW w:w="974"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0.1</w:t>
            </w:r>
          </w:p>
        </w:tc>
        <w:tc>
          <w:tcPr>
            <w:tcW w:w="974"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0.06</w:t>
            </w:r>
          </w:p>
        </w:tc>
        <w:tc>
          <w:tcPr>
            <w:tcW w:w="974"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0.01</w:t>
            </w:r>
          </w:p>
        </w:tc>
        <w:tc>
          <w:tcPr>
            <w:tcW w:w="974"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0.003</w:t>
            </w:r>
          </w:p>
        </w:tc>
      </w:tr>
      <w:tr w:rsidR="00B9359B">
        <w:trPr>
          <w:trHeight w:val="968"/>
        </w:trPr>
        <w:tc>
          <w:tcPr>
            <w:tcW w:w="4008" w:type="dxa"/>
            <w:vAlign w:val="center"/>
          </w:tcPr>
          <w:p w:rsidR="00B9359B" w:rsidRDefault="009A5268">
            <w:pPr>
              <w:pStyle w:val="Tabletext"/>
              <w:framePr w:hSpace="181" w:wrap="notBeside" w:vAnchor="text" w:hAnchor="text" w:xAlign="center" w:y="1"/>
              <w:spacing w:before="100" w:after="100"/>
              <w:jc w:val="left"/>
              <w:rPr>
                <w:lang w:val="en-US"/>
              </w:rPr>
            </w:pPr>
            <w:r>
              <w:rPr>
                <w:lang w:val="en-US"/>
              </w:rPr>
              <w:t>Push-broom: corresponding interference power received by EESS (dBW)</w:t>
            </w:r>
            <w:r>
              <w:rPr>
                <w:lang w:val="en-US"/>
              </w:rPr>
              <w:br/>
              <w:t>(11 MHz bandwidth)</w:t>
            </w:r>
          </w:p>
        </w:tc>
        <w:tc>
          <w:tcPr>
            <w:tcW w:w="973"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–220</w:t>
            </w:r>
          </w:p>
        </w:tc>
        <w:tc>
          <w:tcPr>
            <w:tcW w:w="974"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–194</w:t>
            </w:r>
          </w:p>
        </w:tc>
        <w:tc>
          <w:tcPr>
            <w:tcW w:w="974"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–172</w:t>
            </w:r>
          </w:p>
        </w:tc>
        <w:tc>
          <w:tcPr>
            <w:tcW w:w="974"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–166</w:t>
            </w:r>
          </w:p>
        </w:tc>
        <w:tc>
          <w:tcPr>
            <w:tcW w:w="974"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–141</w:t>
            </w:r>
          </w:p>
        </w:tc>
        <w:tc>
          <w:tcPr>
            <w:tcW w:w="974" w:type="dxa"/>
            <w:vAlign w:val="center"/>
          </w:tcPr>
          <w:p w:rsidR="00B9359B" w:rsidRDefault="009A5268">
            <w:pPr>
              <w:pStyle w:val="Tabletext"/>
              <w:framePr w:hSpace="181" w:wrap="notBeside" w:vAnchor="text" w:hAnchor="text" w:xAlign="center" w:y="1"/>
              <w:spacing w:before="100" w:after="100"/>
              <w:jc w:val="center"/>
              <w:rPr>
                <w:lang w:val="en-US"/>
              </w:rPr>
            </w:pPr>
            <w:r>
              <w:rPr>
                <w:lang w:val="en-US"/>
              </w:rPr>
              <w:t>–136</w:t>
            </w:r>
          </w:p>
        </w:tc>
      </w:tr>
    </w:tbl>
    <w:p w:rsidR="00B9359B" w:rsidRDefault="00B9359B">
      <w:pPr>
        <w:pStyle w:val="Tablefin"/>
        <w:rPr>
          <w:lang w:val="en-US"/>
        </w:rPr>
      </w:pPr>
    </w:p>
    <w:p w:rsidR="00B9359B" w:rsidRDefault="009A5268">
      <w:pPr>
        <w:rPr>
          <w:lang w:val="en-US"/>
        </w:rPr>
      </w:pPr>
      <w:r>
        <w:rPr>
          <w:lang w:val="en-US"/>
        </w:rPr>
        <w:br w:type="page"/>
        <w:t>According to Table 121, there is a risk that the EESS satellite experiences interference when one earth stations is in operation (or the percentage of data interfered is above the acceptable one). In that case, the required spectral attenuation is 25 dB for GSO MSS. It is expected that significantly more earth stations would be operational in the satellite systems for which the results of dynamic simulations are reported in Tables 120 and 121. Increasing the number of earth stations included in the dynamic simulations is likely to increase the percentage of time that the EESS criteria is exceeded. In this event, the conclusions drawn in § 4.5 with respect to the amount of required guardbands would have to be re-evaluated.</w:t>
      </w:r>
    </w:p>
    <w:p w:rsidR="00B9359B" w:rsidRDefault="009A5268">
      <w:pPr>
        <w:pStyle w:val="Heading2"/>
        <w:rPr>
          <w:lang w:val="en-US"/>
        </w:rPr>
      </w:pPr>
      <w:bookmarkStart w:id="642" w:name="_Toc51046041"/>
      <w:r>
        <w:rPr>
          <w:lang w:val="en-US"/>
        </w:rPr>
        <w:t>4.5</w:t>
      </w:r>
      <w:r>
        <w:rPr>
          <w:lang w:val="en-US"/>
        </w:rPr>
        <w:tab/>
        <w:t>Application of OoB masks to the FSS/MSS earth station transmission</w:t>
      </w:r>
      <w:bookmarkEnd w:id="642"/>
    </w:p>
    <w:p w:rsidR="00B9359B" w:rsidRDefault="009A5268">
      <w:pPr>
        <w:rPr>
          <w:lang w:val="en-US"/>
        </w:rPr>
      </w:pPr>
      <w:r>
        <w:rPr>
          <w:lang w:val="en-US"/>
        </w:rPr>
        <w:t>Assuming now that the FSS/MSS earth stations are transmitting in their own frequency band, the rejection of this power within the adjacent EESS (passive) allocated band must be:</w:t>
      </w:r>
    </w:p>
    <w:p w:rsidR="00B9359B" w:rsidRDefault="009A5268">
      <w:pPr>
        <w:pStyle w:val="enumlev1"/>
        <w:rPr>
          <w:lang w:val="en-US"/>
        </w:rPr>
      </w:pPr>
      <w:r>
        <w:rPr>
          <w:lang w:val="en-US"/>
        </w:rPr>
        <w:t>–</w:t>
      </w:r>
      <w:r>
        <w:rPr>
          <w:lang w:val="en-US"/>
        </w:rPr>
        <w:tab/>
        <w:t>up to 49 dB to cover the case where the passive sensor is crossing the main-lobe of the FSS earth station antenna;</w:t>
      </w:r>
    </w:p>
    <w:p w:rsidR="00B9359B" w:rsidRDefault="009A5268">
      <w:pPr>
        <w:pStyle w:val="enumlev1"/>
        <w:rPr>
          <w:lang w:val="en-US"/>
        </w:rPr>
      </w:pPr>
      <w:r>
        <w:rPr>
          <w:lang w:val="en-US"/>
        </w:rPr>
        <w:t>–</w:t>
      </w:r>
      <w:r>
        <w:rPr>
          <w:lang w:val="en-US"/>
        </w:rPr>
        <w:tab/>
        <w:t>up to 29.5 dB to cover the case where the passive sensor is close to the zenith of the FSS earth station antenna;</w:t>
      </w:r>
    </w:p>
    <w:p w:rsidR="00B9359B" w:rsidRDefault="009A5268">
      <w:pPr>
        <w:pStyle w:val="enumlev1"/>
        <w:rPr>
          <w:lang w:val="en-US"/>
        </w:rPr>
      </w:pPr>
      <w:r>
        <w:rPr>
          <w:lang w:val="en-US"/>
        </w:rPr>
        <w:t>–</w:t>
      </w:r>
      <w:r>
        <w:rPr>
          <w:lang w:val="en-US"/>
        </w:rPr>
        <w:tab/>
        <w:t>up to 34 dB according to the dynamic analysis (see Tables 119 and 120).</w:t>
      </w:r>
    </w:p>
    <w:p w:rsidR="00B9359B" w:rsidRDefault="009A5268">
      <w:pPr>
        <w:rPr>
          <w:lang w:val="en-US"/>
        </w:rPr>
      </w:pPr>
      <w:r>
        <w:rPr>
          <w:lang w:val="en-US"/>
        </w:rPr>
        <w:t>Clearly the OoB mask described in the Recommendation ITU-R SM.1541 does not provide an appropriate protection. The raised cosine mask proposed by the Radiocommunication Working Party 4A is much more realistic. Figure 79 represents the power falling within the EESS allocation, depending on guardband. To cover the varying characteristics of the FSS emissions, the sliding integration is performed for three values of the passive band, expressed in terms of percentage of the FSS necessary bandwidth (1</w:t>
      </w:r>
      <w:r>
        <w:rPr>
          <w:rFonts w:ascii="Tms Rmn" w:hAnsi="Tms Rmn"/>
          <w:sz w:val="12"/>
          <w:lang w:val="en-US"/>
        </w:rPr>
        <w:t> </w:t>
      </w:r>
      <w:r>
        <w:rPr>
          <w:lang w:val="en-US"/>
        </w:rPr>
        <w:t>000%, 100% and 50%). There is only a minor difference between the three curves.</w:t>
      </w:r>
    </w:p>
    <w:p w:rsidR="00B9359B" w:rsidRDefault="009A5268">
      <w:pPr>
        <w:rPr>
          <w:lang w:val="en-US"/>
        </w:rPr>
      </w:pPr>
      <w:r>
        <w:rPr>
          <w:lang w:val="en-US"/>
        </w:rPr>
        <w:t>It should be noted that in Fig. 79, the frequency offset is taken from the centre of the necessary bandwidth. This will be used to determine the minimum distance between the centre of the necessary bandwidth and the upper limit of the FSS/MSS allocated band, which is required to protect the adjacent EESS allocated band from unwanted FSS/MSS emissions.</w:t>
      </w:r>
    </w:p>
    <w:p w:rsidR="00B9359B" w:rsidRDefault="009A5268">
      <w:pPr>
        <w:rPr>
          <w:lang w:val="en-US"/>
        </w:rPr>
      </w:pPr>
      <w:r>
        <w:rPr>
          <w:lang w:val="en-US"/>
        </w:rPr>
        <w:t>Assuming that this mask will be adopted and is representing reliably the real spectral characteristics of the FSS transmitters, the following conditions can be derived, which are summarized in the Table 122 for GSO FSS and GSO MSS systems. The last line in this Table indicate the additional guardband above the lower limit of the FSS allocated band which would need to be applied to protect the passive sensors from unwanted emissions in the adjacent band.</w:t>
      </w:r>
    </w:p>
    <w:p w:rsidR="00B9359B" w:rsidRDefault="009A5268">
      <w:pPr>
        <w:rPr>
          <w:lang w:val="en-US"/>
        </w:rPr>
      </w:pPr>
      <w:r>
        <w:rPr>
          <w:lang w:val="en-US"/>
        </w:rPr>
        <w:t>The dynamic analysis provides a 34 dB rejection for FSS, and a 25 dB rejection for MSS. Therefore, the corresponding required additional guardbands are 50 MHz and 2.3 MHz.</w:t>
      </w:r>
    </w:p>
    <w:p w:rsidR="00B9359B" w:rsidRDefault="009A5268">
      <w:pPr>
        <w:pStyle w:val="FigureNo"/>
      </w:pPr>
      <w:r>
        <w:rPr>
          <w:lang w:val="en-US"/>
        </w:rPr>
        <w:br w:type="page"/>
      </w:r>
      <w:r>
        <w:object w:dxaOrig="8535" w:dyaOrig="7479">
          <v:shape id="_x0000_i1115" type="#_x0000_t75" style="width:426.65pt;height:374.5pt" o:ole="">
            <v:imagedata r:id="rId162" o:title=""/>
          </v:shape>
          <o:OLEObject Type="Embed" ProgID="Designer.Drawing.7" ShapeID="_x0000_i1115" DrawAspect="Content" ObjectID="_1629894618" r:id="rId163"/>
        </w:object>
      </w:r>
    </w:p>
    <w:p w:rsidR="00B9359B" w:rsidRDefault="009A5268">
      <w:pPr>
        <w:pStyle w:val="TableNo"/>
        <w:rPr>
          <w:lang w:val="en-US"/>
        </w:rPr>
      </w:pPr>
      <w:r>
        <w:rPr>
          <w:lang w:val="en-US"/>
        </w:rPr>
        <w:t>TABLE  122</w:t>
      </w:r>
    </w:p>
    <w:p w:rsidR="00B9359B" w:rsidRDefault="009A5268">
      <w:pPr>
        <w:pStyle w:val="Tabletitle"/>
        <w:rPr>
          <w:lang w:val="en-US"/>
        </w:rPr>
      </w:pPr>
      <w:r>
        <w:rPr>
          <w:lang w:val="en-US"/>
        </w:rPr>
        <w:t xml:space="preserve">Summary of necessary guardbands to protect passive sensors </w:t>
      </w:r>
      <w:r>
        <w:rPr>
          <w:lang w:val="en-US"/>
        </w:rPr>
        <w:br/>
        <w:t>from GSO</w:t>
      </w:r>
      <w:r>
        <w:rPr>
          <w:sz w:val="16"/>
          <w:lang w:val="en-US"/>
        </w:rPr>
        <w:t xml:space="preserve">  </w:t>
      </w:r>
      <w:r>
        <w:rPr>
          <w:lang w:val="en-US"/>
        </w:rPr>
        <w:t>FSS/MSS earth stations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71"/>
        <w:gridCol w:w="1407"/>
        <w:gridCol w:w="1569"/>
        <w:gridCol w:w="1562"/>
        <w:gridCol w:w="1830"/>
      </w:tblGrid>
      <w:tr w:rsidR="00B9359B">
        <w:trPr>
          <w:cantSplit/>
        </w:trPr>
        <w:tc>
          <w:tcPr>
            <w:tcW w:w="3271" w:type="dxa"/>
            <w:vMerge w:val="restart"/>
            <w:vAlign w:val="center"/>
          </w:tcPr>
          <w:p w:rsidR="00B9359B" w:rsidRDefault="00B9359B">
            <w:pPr>
              <w:pStyle w:val="Tablehead"/>
              <w:framePr w:hSpace="181" w:wrap="notBeside" w:vAnchor="text" w:hAnchor="text" w:xAlign="center" w:y="1"/>
              <w:rPr>
                <w:lang w:val="en-US"/>
              </w:rPr>
            </w:pPr>
          </w:p>
        </w:tc>
        <w:tc>
          <w:tcPr>
            <w:tcW w:w="2976" w:type="dxa"/>
            <w:gridSpan w:val="2"/>
            <w:vAlign w:val="center"/>
          </w:tcPr>
          <w:p w:rsidR="00B9359B" w:rsidRDefault="009A5268">
            <w:pPr>
              <w:pStyle w:val="Tablehead"/>
              <w:framePr w:hSpace="181" w:wrap="notBeside" w:vAnchor="text" w:hAnchor="text" w:xAlign="center" w:y="1"/>
              <w:rPr>
                <w:caps/>
                <w:lang w:val="en-US"/>
              </w:rPr>
            </w:pPr>
            <w:r>
              <w:rPr>
                <w:caps/>
                <w:lang w:val="en-US"/>
              </w:rPr>
              <w:t>GSO</w:t>
            </w:r>
            <w:r>
              <w:rPr>
                <w:caps/>
                <w:sz w:val="16"/>
                <w:lang w:val="en-US"/>
              </w:rPr>
              <w:t xml:space="preserve">  </w:t>
            </w:r>
            <w:r>
              <w:rPr>
                <w:caps/>
                <w:lang w:val="en-US"/>
              </w:rPr>
              <w:t>FSS</w:t>
            </w:r>
          </w:p>
        </w:tc>
        <w:tc>
          <w:tcPr>
            <w:tcW w:w="3392" w:type="dxa"/>
            <w:gridSpan w:val="2"/>
            <w:vAlign w:val="center"/>
          </w:tcPr>
          <w:p w:rsidR="00B9359B" w:rsidRDefault="009A5268">
            <w:pPr>
              <w:pStyle w:val="Tablehead"/>
              <w:framePr w:hSpace="181" w:wrap="notBeside" w:vAnchor="text" w:hAnchor="text" w:xAlign="center" w:y="1"/>
              <w:rPr>
                <w:lang w:val="en-US"/>
              </w:rPr>
            </w:pPr>
            <w:r>
              <w:rPr>
                <w:caps/>
                <w:lang w:val="en-US"/>
              </w:rPr>
              <w:t>GSO</w:t>
            </w:r>
            <w:r>
              <w:rPr>
                <w:caps/>
                <w:sz w:val="16"/>
                <w:lang w:val="en-US"/>
              </w:rPr>
              <w:t xml:space="preserve">  </w:t>
            </w:r>
            <w:r>
              <w:rPr>
                <w:caps/>
                <w:lang w:val="en-US"/>
              </w:rPr>
              <w:t>MSS</w:t>
            </w:r>
          </w:p>
        </w:tc>
      </w:tr>
      <w:tr w:rsidR="00B9359B" w:rsidRPr="00D35B94">
        <w:trPr>
          <w:cantSplit/>
        </w:trPr>
        <w:tc>
          <w:tcPr>
            <w:tcW w:w="3271" w:type="dxa"/>
            <w:vMerge/>
            <w:vAlign w:val="center"/>
          </w:tcPr>
          <w:p w:rsidR="00B9359B" w:rsidRDefault="00B9359B">
            <w:pPr>
              <w:pStyle w:val="Tablehead"/>
              <w:framePr w:hSpace="181" w:wrap="notBeside" w:vAnchor="text" w:hAnchor="text" w:xAlign="center" w:y="1"/>
              <w:rPr>
                <w:lang w:val="en-US"/>
              </w:rPr>
            </w:pPr>
          </w:p>
        </w:tc>
        <w:tc>
          <w:tcPr>
            <w:tcW w:w="1407" w:type="dxa"/>
            <w:vAlign w:val="center"/>
          </w:tcPr>
          <w:p w:rsidR="00B9359B" w:rsidRDefault="009A5268">
            <w:pPr>
              <w:pStyle w:val="Tablehead"/>
              <w:framePr w:hSpace="181" w:wrap="notBeside" w:vAnchor="text" w:hAnchor="text" w:xAlign="center" w:y="1"/>
              <w:rPr>
                <w:lang w:val="en-US"/>
              </w:rPr>
            </w:pPr>
            <w:r>
              <w:rPr>
                <w:lang w:val="en-US"/>
              </w:rPr>
              <w:t>Sensor</w:t>
            </w:r>
            <w:r>
              <w:rPr>
                <w:lang w:val="en-US"/>
              </w:rPr>
              <w:br/>
              <w:t>in station main-lobe</w:t>
            </w:r>
          </w:p>
        </w:tc>
        <w:tc>
          <w:tcPr>
            <w:tcW w:w="1569" w:type="dxa"/>
            <w:vAlign w:val="center"/>
          </w:tcPr>
          <w:p w:rsidR="00B9359B" w:rsidRDefault="009A5268">
            <w:pPr>
              <w:pStyle w:val="Tablehead"/>
              <w:framePr w:hSpace="181" w:wrap="notBeside" w:vAnchor="text" w:hAnchor="text" w:xAlign="center" w:y="1"/>
              <w:rPr>
                <w:lang w:val="en-US"/>
              </w:rPr>
            </w:pPr>
            <w:r>
              <w:rPr>
                <w:lang w:val="en-US"/>
              </w:rPr>
              <w:t>Sensor</w:t>
            </w:r>
            <w:r>
              <w:rPr>
                <w:lang w:val="en-US"/>
              </w:rPr>
              <w:br/>
              <w:t>near zenith</w:t>
            </w:r>
            <w:r>
              <w:rPr>
                <w:lang w:val="en-US"/>
              </w:rPr>
              <w:br/>
              <w:t>of station</w:t>
            </w:r>
          </w:p>
        </w:tc>
        <w:tc>
          <w:tcPr>
            <w:tcW w:w="1562" w:type="dxa"/>
            <w:vAlign w:val="center"/>
          </w:tcPr>
          <w:p w:rsidR="00B9359B" w:rsidRDefault="009A5268">
            <w:pPr>
              <w:pStyle w:val="Tablehead"/>
              <w:framePr w:hSpace="181" w:wrap="notBeside" w:vAnchor="text" w:hAnchor="text" w:xAlign="center" w:y="1"/>
              <w:rPr>
                <w:lang w:val="en-US"/>
              </w:rPr>
            </w:pPr>
            <w:r>
              <w:rPr>
                <w:lang w:val="en-US"/>
              </w:rPr>
              <w:t>Sensor</w:t>
            </w:r>
            <w:r>
              <w:rPr>
                <w:lang w:val="en-US"/>
              </w:rPr>
              <w:br/>
              <w:t>in station</w:t>
            </w:r>
            <w:r>
              <w:rPr>
                <w:lang w:val="en-US"/>
              </w:rPr>
              <w:br/>
              <w:t>main-lobe</w:t>
            </w:r>
          </w:p>
        </w:tc>
        <w:tc>
          <w:tcPr>
            <w:tcW w:w="1830" w:type="dxa"/>
            <w:vAlign w:val="center"/>
          </w:tcPr>
          <w:p w:rsidR="00B9359B" w:rsidRDefault="009A5268">
            <w:pPr>
              <w:pStyle w:val="Tablehead"/>
              <w:framePr w:hSpace="181" w:wrap="notBeside" w:vAnchor="text" w:hAnchor="text" w:xAlign="center" w:y="1"/>
              <w:rPr>
                <w:lang w:val="en-US"/>
              </w:rPr>
            </w:pPr>
            <w:r>
              <w:rPr>
                <w:lang w:val="en-US"/>
              </w:rPr>
              <w:t>Sensor</w:t>
            </w:r>
            <w:r>
              <w:rPr>
                <w:lang w:val="en-US"/>
              </w:rPr>
              <w:br/>
              <w:t>near zenith</w:t>
            </w:r>
            <w:r>
              <w:rPr>
                <w:lang w:val="en-US"/>
              </w:rPr>
              <w:br/>
              <w:t>of station</w:t>
            </w:r>
          </w:p>
        </w:tc>
      </w:tr>
      <w:tr w:rsidR="00B9359B">
        <w:tc>
          <w:tcPr>
            <w:tcW w:w="3271" w:type="dxa"/>
          </w:tcPr>
          <w:p w:rsidR="00B9359B" w:rsidRDefault="009A5268">
            <w:pPr>
              <w:pStyle w:val="Tabletext"/>
              <w:framePr w:hSpace="181" w:wrap="notBeside" w:vAnchor="text" w:hAnchor="text" w:xAlign="center" w:y="1"/>
              <w:spacing w:before="50" w:after="50"/>
              <w:jc w:val="left"/>
              <w:rPr>
                <w:lang w:val="en-US"/>
              </w:rPr>
            </w:pPr>
            <w:r>
              <w:rPr>
                <w:lang w:val="en-US"/>
              </w:rPr>
              <w:t>Power rejection (dB)</w:t>
            </w:r>
          </w:p>
        </w:tc>
        <w:tc>
          <w:tcPr>
            <w:tcW w:w="1407" w:type="dxa"/>
          </w:tcPr>
          <w:p w:rsidR="00B9359B" w:rsidRDefault="009A5268">
            <w:pPr>
              <w:pStyle w:val="Tabletext"/>
              <w:framePr w:hSpace="181" w:wrap="notBeside" w:vAnchor="text" w:hAnchor="text" w:xAlign="center" w:y="1"/>
              <w:spacing w:before="50" w:after="50"/>
              <w:jc w:val="center"/>
              <w:rPr>
                <w:lang w:val="en-US"/>
              </w:rPr>
            </w:pPr>
            <w:r>
              <w:rPr>
                <w:lang w:val="en-US"/>
              </w:rPr>
              <w:t>49</w:t>
            </w:r>
          </w:p>
        </w:tc>
        <w:tc>
          <w:tcPr>
            <w:tcW w:w="1569" w:type="dxa"/>
          </w:tcPr>
          <w:p w:rsidR="00B9359B" w:rsidRDefault="009A5268">
            <w:pPr>
              <w:pStyle w:val="Tabletext"/>
              <w:framePr w:hSpace="181" w:wrap="notBeside" w:vAnchor="text" w:hAnchor="text" w:xAlign="center" w:y="1"/>
              <w:spacing w:before="50" w:after="50"/>
              <w:jc w:val="center"/>
              <w:rPr>
                <w:lang w:val="en-US"/>
              </w:rPr>
            </w:pPr>
            <w:r>
              <w:rPr>
                <w:lang w:val="en-US"/>
              </w:rPr>
              <w:t>29.5</w:t>
            </w:r>
          </w:p>
        </w:tc>
        <w:tc>
          <w:tcPr>
            <w:tcW w:w="1562" w:type="dxa"/>
          </w:tcPr>
          <w:p w:rsidR="00B9359B" w:rsidRDefault="009A5268">
            <w:pPr>
              <w:pStyle w:val="Tabletext"/>
              <w:framePr w:hSpace="181" w:wrap="notBeside" w:vAnchor="text" w:hAnchor="text" w:xAlign="center" w:y="1"/>
              <w:spacing w:before="50" w:after="50"/>
              <w:jc w:val="center"/>
              <w:rPr>
                <w:lang w:val="en-US"/>
              </w:rPr>
            </w:pPr>
            <w:r>
              <w:rPr>
                <w:lang w:val="en-US"/>
              </w:rPr>
              <w:t>34.4</w:t>
            </w:r>
          </w:p>
        </w:tc>
        <w:tc>
          <w:tcPr>
            <w:tcW w:w="1830" w:type="dxa"/>
          </w:tcPr>
          <w:p w:rsidR="00B9359B" w:rsidRDefault="009A5268">
            <w:pPr>
              <w:pStyle w:val="Tabletext"/>
              <w:framePr w:hSpace="181" w:wrap="notBeside" w:vAnchor="text" w:hAnchor="text" w:xAlign="center" w:y="1"/>
              <w:spacing w:before="50" w:after="50"/>
              <w:jc w:val="center"/>
              <w:rPr>
                <w:lang w:val="en-US"/>
              </w:rPr>
            </w:pPr>
            <w:r>
              <w:rPr>
                <w:lang w:val="en-US"/>
              </w:rPr>
              <w:t>20.3</w:t>
            </w:r>
          </w:p>
        </w:tc>
      </w:tr>
      <w:tr w:rsidR="00B9359B">
        <w:tc>
          <w:tcPr>
            <w:tcW w:w="3271" w:type="dxa"/>
          </w:tcPr>
          <w:p w:rsidR="00B9359B" w:rsidRDefault="009A5268">
            <w:pPr>
              <w:pStyle w:val="Tabletext"/>
              <w:framePr w:hSpace="181" w:wrap="notBeside" w:vAnchor="text" w:hAnchor="text" w:xAlign="center" w:y="1"/>
              <w:spacing w:before="50" w:after="50"/>
              <w:jc w:val="left"/>
              <w:rPr>
                <w:lang w:val="en-US"/>
              </w:rPr>
            </w:pPr>
            <w:r>
              <w:rPr>
                <w:lang w:val="en-US"/>
              </w:rPr>
              <w:t>Necessary bandwidth (MHz)</w:t>
            </w:r>
          </w:p>
        </w:tc>
        <w:tc>
          <w:tcPr>
            <w:tcW w:w="2976" w:type="dxa"/>
            <w:gridSpan w:val="2"/>
            <w:vAlign w:val="center"/>
          </w:tcPr>
          <w:p w:rsidR="00B9359B" w:rsidRDefault="009A5268">
            <w:pPr>
              <w:pStyle w:val="Tabletext"/>
              <w:framePr w:hSpace="181" w:wrap="notBeside" w:vAnchor="text" w:hAnchor="text" w:xAlign="center" w:y="1"/>
              <w:spacing w:before="50" w:after="50"/>
              <w:jc w:val="center"/>
              <w:rPr>
                <w:lang w:val="en-US"/>
              </w:rPr>
            </w:pPr>
            <w:r>
              <w:rPr>
                <w:lang w:val="en-US"/>
              </w:rPr>
              <w:t>125</w:t>
            </w:r>
          </w:p>
        </w:tc>
        <w:tc>
          <w:tcPr>
            <w:tcW w:w="3392" w:type="dxa"/>
            <w:gridSpan w:val="2"/>
            <w:vAlign w:val="center"/>
          </w:tcPr>
          <w:p w:rsidR="00B9359B" w:rsidRDefault="009A5268">
            <w:pPr>
              <w:pStyle w:val="Tabletext"/>
              <w:framePr w:hSpace="181" w:wrap="notBeside" w:vAnchor="text" w:hAnchor="text" w:xAlign="center" w:y="1"/>
              <w:spacing w:before="50" w:after="50"/>
              <w:jc w:val="center"/>
              <w:rPr>
                <w:lang w:val="en-US"/>
              </w:rPr>
            </w:pPr>
            <w:r>
              <w:rPr>
                <w:lang w:val="en-US"/>
              </w:rPr>
              <w:t>11</w:t>
            </w:r>
          </w:p>
        </w:tc>
      </w:tr>
      <w:tr w:rsidR="00B9359B">
        <w:tc>
          <w:tcPr>
            <w:tcW w:w="3271" w:type="dxa"/>
          </w:tcPr>
          <w:p w:rsidR="00B9359B" w:rsidRDefault="009A5268">
            <w:pPr>
              <w:pStyle w:val="Tabletext"/>
              <w:framePr w:hSpace="181" w:wrap="notBeside" w:vAnchor="text" w:hAnchor="text" w:xAlign="center" w:y="1"/>
              <w:spacing w:before="50" w:after="50"/>
              <w:jc w:val="left"/>
              <w:rPr>
                <w:lang w:val="en-US"/>
              </w:rPr>
            </w:pPr>
            <w:r>
              <w:rPr>
                <w:lang w:val="en-US"/>
              </w:rPr>
              <w:t xml:space="preserve">Passive band (% </w:t>
            </w:r>
            <w:r>
              <w:rPr>
                <w:i/>
                <w:lang w:val="en-US"/>
              </w:rPr>
              <w:t>B</w:t>
            </w:r>
            <w:r>
              <w:rPr>
                <w:i/>
                <w:vertAlign w:val="subscript"/>
                <w:lang w:val="en-US"/>
              </w:rPr>
              <w:t>N</w:t>
            </w:r>
            <w:r>
              <w:rPr>
                <w:lang w:val="en-US"/>
              </w:rPr>
              <w:t>)</w:t>
            </w:r>
          </w:p>
        </w:tc>
        <w:tc>
          <w:tcPr>
            <w:tcW w:w="2976" w:type="dxa"/>
            <w:gridSpan w:val="2"/>
          </w:tcPr>
          <w:p w:rsidR="00B9359B" w:rsidRDefault="009A5268">
            <w:pPr>
              <w:pStyle w:val="Tabletext"/>
              <w:framePr w:hSpace="181" w:wrap="notBeside" w:vAnchor="text" w:hAnchor="text" w:xAlign="center" w:y="1"/>
              <w:spacing w:before="50" w:after="50"/>
              <w:jc w:val="center"/>
              <w:rPr>
                <w:lang w:val="en-US"/>
              </w:rPr>
            </w:pPr>
            <w:r>
              <w:rPr>
                <w:lang w:val="en-US"/>
              </w:rPr>
              <w:t>160</w:t>
            </w:r>
          </w:p>
        </w:tc>
        <w:tc>
          <w:tcPr>
            <w:tcW w:w="3392" w:type="dxa"/>
            <w:gridSpan w:val="2"/>
          </w:tcPr>
          <w:p w:rsidR="00B9359B" w:rsidRDefault="009A5268">
            <w:pPr>
              <w:pStyle w:val="Tabletext"/>
              <w:framePr w:hSpace="181" w:wrap="notBeside" w:vAnchor="text" w:hAnchor="text" w:xAlign="center" w:y="1"/>
              <w:spacing w:before="50" w:after="50"/>
              <w:jc w:val="center"/>
              <w:rPr>
                <w:lang w:val="en-US"/>
              </w:rPr>
            </w:pPr>
            <w:r>
              <w:rPr>
                <w:lang w:val="en-US"/>
              </w:rPr>
              <w:t>1</w:t>
            </w:r>
            <w:r>
              <w:rPr>
                <w:rFonts w:ascii="Tms Rmn" w:hAnsi="Tms Rmn"/>
                <w:sz w:val="12"/>
                <w:lang w:val="en-US"/>
              </w:rPr>
              <w:t> </w:t>
            </w:r>
            <w:r>
              <w:rPr>
                <w:lang w:val="en-US"/>
              </w:rPr>
              <w:t>818</w:t>
            </w:r>
          </w:p>
        </w:tc>
      </w:tr>
      <w:tr w:rsidR="00B9359B">
        <w:tc>
          <w:tcPr>
            <w:tcW w:w="3271" w:type="dxa"/>
          </w:tcPr>
          <w:p w:rsidR="00B9359B" w:rsidRDefault="009A5268">
            <w:pPr>
              <w:pStyle w:val="Tabletext"/>
              <w:framePr w:hSpace="181" w:wrap="notBeside" w:vAnchor="text" w:hAnchor="text" w:xAlign="center" w:y="1"/>
              <w:spacing w:before="50" w:after="50"/>
              <w:jc w:val="left"/>
              <w:rPr>
                <w:lang w:val="en-US"/>
              </w:rPr>
            </w:pPr>
            <w:r>
              <w:rPr>
                <w:lang w:val="en-US"/>
              </w:rPr>
              <w:t xml:space="preserve">Offset (% </w:t>
            </w:r>
            <w:r>
              <w:rPr>
                <w:i/>
                <w:lang w:val="en-US"/>
              </w:rPr>
              <w:t>B</w:t>
            </w:r>
            <w:r>
              <w:rPr>
                <w:i/>
                <w:vertAlign w:val="subscript"/>
                <w:lang w:val="en-US"/>
              </w:rPr>
              <w:t>N</w:t>
            </w:r>
            <w:r>
              <w:rPr>
                <w:lang w:val="en-US"/>
              </w:rPr>
              <w:t>)</w:t>
            </w:r>
          </w:p>
        </w:tc>
        <w:tc>
          <w:tcPr>
            <w:tcW w:w="1407" w:type="dxa"/>
          </w:tcPr>
          <w:p w:rsidR="00B9359B" w:rsidRDefault="009A5268">
            <w:pPr>
              <w:pStyle w:val="Tabletext"/>
              <w:framePr w:hSpace="181" w:wrap="notBeside" w:vAnchor="text" w:hAnchor="text" w:xAlign="center" w:y="1"/>
              <w:spacing w:before="50" w:after="50"/>
              <w:jc w:val="center"/>
              <w:rPr>
                <w:lang w:val="en-US"/>
              </w:rPr>
            </w:pPr>
            <w:r>
              <w:rPr>
                <w:lang w:val="en-US"/>
              </w:rPr>
              <w:t>181</w:t>
            </w:r>
          </w:p>
        </w:tc>
        <w:tc>
          <w:tcPr>
            <w:tcW w:w="1569" w:type="dxa"/>
          </w:tcPr>
          <w:p w:rsidR="00B9359B" w:rsidRDefault="009A5268">
            <w:pPr>
              <w:pStyle w:val="Tabletext"/>
              <w:framePr w:hSpace="181" w:wrap="notBeside" w:vAnchor="text" w:hAnchor="text" w:xAlign="center" w:y="1"/>
              <w:spacing w:before="50" w:after="50"/>
              <w:jc w:val="center"/>
              <w:rPr>
                <w:lang w:val="en-US"/>
              </w:rPr>
            </w:pPr>
            <w:r>
              <w:rPr>
                <w:lang w:val="en-US"/>
              </w:rPr>
              <w:t>82</w:t>
            </w:r>
          </w:p>
        </w:tc>
        <w:tc>
          <w:tcPr>
            <w:tcW w:w="1562" w:type="dxa"/>
          </w:tcPr>
          <w:p w:rsidR="00B9359B" w:rsidRDefault="009A5268">
            <w:pPr>
              <w:pStyle w:val="Tabletext"/>
              <w:framePr w:hSpace="181" w:wrap="notBeside" w:vAnchor="text" w:hAnchor="text" w:xAlign="center" w:y="1"/>
              <w:spacing w:before="50" w:after="50"/>
              <w:jc w:val="center"/>
              <w:rPr>
                <w:lang w:val="en-US"/>
              </w:rPr>
            </w:pPr>
            <w:r>
              <w:rPr>
                <w:lang w:val="en-US"/>
              </w:rPr>
              <w:t>91</w:t>
            </w:r>
          </w:p>
        </w:tc>
        <w:tc>
          <w:tcPr>
            <w:tcW w:w="1830" w:type="dxa"/>
          </w:tcPr>
          <w:p w:rsidR="00B9359B" w:rsidRDefault="009A5268">
            <w:pPr>
              <w:pStyle w:val="Tabletext"/>
              <w:framePr w:hSpace="181" w:wrap="notBeside" w:vAnchor="text" w:hAnchor="text" w:xAlign="center" w:y="1"/>
              <w:spacing w:before="50" w:after="50"/>
              <w:jc w:val="center"/>
              <w:rPr>
                <w:lang w:val="en-US"/>
              </w:rPr>
            </w:pPr>
            <w:r>
              <w:rPr>
                <w:lang w:val="en-US"/>
              </w:rPr>
              <w:t>67</w:t>
            </w:r>
          </w:p>
        </w:tc>
      </w:tr>
      <w:tr w:rsidR="00B9359B">
        <w:tc>
          <w:tcPr>
            <w:tcW w:w="3271" w:type="dxa"/>
          </w:tcPr>
          <w:p w:rsidR="00B9359B" w:rsidRDefault="009A5268">
            <w:pPr>
              <w:pStyle w:val="Tabletext"/>
              <w:framePr w:hSpace="181" w:wrap="notBeside" w:vAnchor="text" w:hAnchor="text" w:xAlign="center" w:y="1"/>
              <w:spacing w:before="50" w:after="50"/>
              <w:jc w:val="left"/>
              <w:rPr>
                <w:lang w:val="en-US"/>
              </w:rPr>
            </w:pPr>
            <w:r>
              <w:rPr>
                <w:lang w:val="en-US"/>
              </w:rPr>
              <w:t>Offset (MHz)</w:t>
            </w:r>
          </w:p>
        </w:tc>
        <w:tc>
          <w:tcPr>
            <w:tcW w:w="1407" w:type="dxa"/>
          </w:tcPr>
          <w:p w:rsidR="00B9359B" w:rsidRDefault="009A5268">
            <w:pPr>
              <w:pStyle w:val="Tabletext"/>
              <w:framePr w:hSpace="181" w:wrap="notBeside" w:vAnchor="text" w:hAnchor="text" w:xAlign="center" w:y="1"/>
              <w:spacing w:before="50" w:after="50"/>
              <w:jc w:val="center"/>
              <w:rPr>
                <w:lang w:val="en-US"/>
              </w:rPr>
            </w:pPr>
            <w:r>
              <w:rPr>
                <w:lang w:val="en-US"/>
              </w:rPr>
              <w:t>226</w:t>
            </w:r>
          </w:p>
        </w:tc>
        <w:tc>
          <w:tcPr>
            <w:tcW w:w="1569" w:type="dxa"/>
          </w:tcPr>
          <w:p w:rsidR="00B9359B" w:rsidRDefault="009A5268">
            <w:pPr>
              <w:pStyle w:val="Tabletext"/>
              <w:framePr w:hSpace="181" w:wrap="notBeside" w:vAnchor="text" w:hAnchor="text" w:xAlign="center" w:y="1"/>
              <w:spacing w:before="50" w:after="50"/>
              <w:jc w:val="center"/>
              <w:rPr>
                <w:lang w:val="en-US"/>
              </w:rPr>
            </w:pPr>
            <w:r>
              <w:rPr>
                <w:lang w:val="en-US"/>
              </w:rPr>
              <w:t>103</w:t>
            </w:r>
          </w:p>
        </w:tc>
        <w:tc>
          <w:tcPr>
            <w:tcW w:w="1562" w:type="dxa"/>
          </w:tcPr>
          <w:p w:rsidR="00B9359B" w:rsidRDefault="009A5268">
            <w:pPr>
              <w:pStyle w:val="Tabletext"/>
              <w:framePr w:hSpace="181" w:wrap="notBeside" w:vAnchor="text" w:hAnchor="text" w:xAlign="center" w:y="1"/>
              <w:spacing w:before="50" w:after="50"/>
              <w:jc w:val="center"/>
              <w:rPr>
                <w:lang w:val="en-US"/>
              </w:rPr>
            </w:pPr>
            <w:r>
              <w:rPr>
                <w:lang w:val="en-US"/>
              </w:rPr>
              <w:t>10</w:t>
            </w:r>
          </w:p>
        </w:tc>
        <w:tc>
          <w:tcPr>
            <w:tcW w:w="1830" w:type="dxa"/>
          </w:tcPr>
          <w:p w:rsidR="00B9359B" w:rsidRDefault="009A5268">
            <w:pPr>
              <w:pStyle w:val="Tabletext"/>
              <w:framePr w:hSpace="181" w:wrap="notBeside" w:vAnchor="text" w:hAnchor="text" w:xAlign="center" w:y="1"/>
              <w:spacing w:before="50" w:after="50"/>
              <w:jc w:val="center"/>
              <w:rPr>
                <w:lang w:val="en-US"/>
              </w:rPr>
            </w:pPr>
            <w:r>
              <w:rPr>
                <w:lang w:val="en-US"/>
              </w:rPr>
              <w:t>7.4</w:t>
            </w:r>
          </w:p>
        </w:tc>
      </w:tr>
      <w:tr w:rsidR="00B9359B">
        <w:tc>
          <w:tcPr>
            <w:tcW w:w="3271" w:type="dxa"/>
          </w:tcPr>
          <w:p w:rsidR="00B9359B" w:rsidRDefault="009A5268">
            <w:pPr>
              <w:pStyle w:val="Tabletext"/>
              <w:framePr w:hSpace="181" w:wrap="notBeside" w:vAnchor="text" w:hAnchor="text" w:xAlign="center" w:y="1"/>
              <w:spacing w:before="50" w:after="50"/>
              <w:jc w:val="left"/>
              <w:rPr>
                <w:lang w:val="en-US"/>
              </w:rPr>
            </w:pPr>
            <w:r>
              <w:rPr>
                <w:lang w:val="en-US"/>
              </w:rPr>
              <w:t>Required additional guardband (MHz)</w:t>
            </w:r>
          </w:p>
        </w:tc>
        <w:tc>
          <w:tcPr>
            <w:tcW w:w="1407" w:type="dxa"/>
          </w:tcPr>
          <w:p w:rsidR="00B9359B" w:rsidRDefault="009A5268">
            <w:pPr>
              <w:pStyle w:val="Tabletext"/>
              <w:framePr w:hSpace="181" w:wrap="notBeside" w:vAnchor="text" w:hAnchor="text" w:xAlign="center" w:y="1"/>
              <w:spacing w:before="50" w:after="50"/>
              <w:jc w:val="center"/>
              <w:rPr>
                <w:lang w:val="en-US"/>
              </w:rPr>
            </w:pPr>
            <w:r>
              <w:rPr>
                <w:lang w:val="en-US"/>
              </w:rPr>
              <w:t>164</w:t>
            </w:r>
          </w:p>
        </w:tc>
        <w:tc>
          <w:tcPr>
            <w:tcW w:w="1569" w:type="dxa"/>
          </w:tcPr>
          <w:p w:rsidR="00B9359B" w:rsidRDefault="009A5268">
            <w:pPr>
              <w:pStyle w:val="Tabletext"/>
              <w:framePr w:hSpace="181" w:wrap="notBeside" w:vAnchor="text" w:hAnchor="text" w:xAlign="center" w:y="1"/>
              <w:spacing w:before="50" w:after="50"/>
              <w:jc w:val="center"/>
              <w:rPr>
                <w:lang w:val="en-US"/>
              </w:rPr>
            </w:pPr>
            <w:r>
              <w:rPr>
                <w:lang w:val="en-US"/>
              </w:rPr>
              <w:t>41</w:t>
            </w:r>
          </w:p>
        </w:tc>
        <w:tc>
          <w:tcPr>
            <w:tcW w:w="1562" w:type="dxa"/>
          </w:tcPr>
          <w:p w:rsidR="00B9359B" w:rsidRDefault="009A5268">
            <w:pPr>
              <w:pStyle w:val="Tabletext"/>
              <w:framePr w:hSpace="181" w:wrap="notBeside" w:vAnchor="text" w:hAnchor="text" w:xAlign="center" w:y="1"/>
              <w:spacing w:before="50" w:after="50"/>
              <w:jc w:val="center"/>
              <w:rPr>
                <w:lang w:val="en-US"/>
              </w:rPr>
            </w:pPr>
            <w:r>
              <w:rPr>
                <w:lang w:val="en-US"/>
              </w:rPr>
              <w:t>4</w:t>
            </w:r>
          </w:p>
        </w:tc>
        <w:tc>
          <w:tcPr>
            <w:tcW w:w="1830" w:type="dxa"/>
          </w:tcPr>
          <w:p w:rsidR="00B9359B" w:rsidRDefault="009A5268">
            <w:pPr>
              <w:pStyle w:val="Tabletext"/>
              <w:framePr w:hSpace="181" w:wrap="notBeside" w:vAnchor="text" w:hAnchor="text" w:xAlign="center" w:y="1"/>
              <w:spacing w:before="50" w:after="50"/>
              <w:jc w:val="center"/>
              <w:rPr>
                <w:lang w:val="en-US"/>
              </w:rPr>
            </w:pPr>
            <w:r>
              <w:rPr>
                <w:lang w:val="en-US"/>
              </w:rPr>
              <w:t>1.4</w:t>
            </w:r>
          </w:p>
        </w:tc>
      </w:tr>
    </w:tbl>
    <w:p w:rsidR="00B9359B" w:rsidRDefault="00B9359B">
      <w:pPr>
        <w:pStyle w:val="Tablefin"/>
      </w:pPr>
    </w:p>
    <w:p w:rsidR="00B9359B" w:rsidRDefault="009A5268">
      <w:pPr>
        <w:pStyle w:val="Heading1"/>
        <w:rPr>
          <w:lang w:val="fr-CH"/>
        </w:rPr>
      </w:pPr>
      <w:bookmarkStart w:id="643" w:name="_Toc51046042"/>
      <w:r>
        <w:rPr>
          <w:lang w:val="fr-CH"/>
        </w:rPr>
        <w:br w:type="page"/>
        <w:t>5</w:t>
      </w:r>
      <w:r>
        <w:rPr>
          <w:lang w:val="fr-CH"/>
        </w:rPr>
        <w:tab/>
        <w:t>Mitigation techniques</w:t>
      </w:r>
      <w:bookmarkEnd w:id="643"/>
    </w:p>
    <w:p w:rsidR="00B9359B" w:rsidRDefault="009A5268">
      <w:pPr>
        <w:pStyle w:val="Heading2"/>
        <w:rPr>
          <w:lang w:val="fr-CH"/>
        </w:rPr>
      </w:pPr>
      <w:bookmarkStart w:id="644" w:name="_Toc51046043"/>
      <w:r>
        <w:rPr>
          <w:lang w:val="fr-CH"/>
        </w:rPr>
        <w:t>5.1</w:t>
      </w:r>
      <w:r>
        <w:rPr>
          <w:lang w:val="fr-CH"/>
        </w:rPr>
        <w:tab/>
        <w:t>EESS (passive)</w:t>
      </w:r>
      <w:bookmarkEnd w:id="644"/>
    </w:p>
    <w:p w:rsidR="00B9359B" w:rsidRDefault="009A5268">
      <w:pPr>
        <w:rPr>
          <w:lang w:val="en-US"/>
        </w:rPr>
      </w:pPr>
      <w:r>
        <w:rPr>
          <w:lang w:val="en-US"/>
        </w:rPr>
        <w:t>This subject needs further investigation.</w:t>
      </w:r>
    </w:p>
    <w:p w:rsidR="00B9359B" w:rsidRDefault="009A5268">
      <w:pPr>
        <w:pStyle w:val="Heading2"/>
        <w:rPr>
          <w:lang w:val="en-US"/>
        </w:rPr>
      </w:pPr>
      <w:bookmarkStart w:id="645" w:name="_Toc51046044"/>
      <w:r>
        <w:rPr>
          <w:lang w:val="en-US"/>
        </w:rPr>
        <w:t>5.2</w:t>
      </w:r>
      <w:r>
        <w:rPr>
          <w:lang w:val="en-US"/>
        </w:rPr>
        <w:tab/>
        <w:t>SFS and MSS</w:t>
      </w:r>
      <w:bookmarkEnd w:id="645"/>
    </w:p>
    <w:p w:rsidR="00B9359B" w:rsidRDefault="009A5268">
      <w:pPr>
        <w:pStyle w:val="Heading3"/>
        <w:rPr>
          <w:lang w:val="en-US"/>
        </w:rPr>
      </w:pPr>
      <w:bookmarkStart w:id="646" w:name="_Toc51046045"/>
      <w:r>
        <w:rPr>
          <w:lang w:val="en-US"/>
        </w:rPr>
        <w:t>5.2.1</w:t>
      </w:r>
      <w:r>
        <w:rPr>
          <w:lang w:val="en-US"/>
        </w:rPr>
        <w:tab/>
        <w:t>Implementation of guardbands</w:t>
      </w:r>
      <w:bookmarkEnd w:id="646"/>
    </w:p>
    <w:p w:rsidR="00B9359B" w:rsidRDefault="009A5268">
      <w:pPr>
        <w:rPr>
          <w:lang w:val="en-US"/>
        </w:rPr>
      </w:pPr>
      <w:r>
        <w:rPr>
          <w:lang w:val="en-US"/>
        </w:rPr>
        <w:t>The results of the analysis (see Table 122) indicate that guardbands would be required to protect the passive sensors from unwanted emissions. The most critical situations are obtained with trans</w:t>
      </w:r>
      <w:r>
        <w:rPr>
          <w:lang w:val="en-US"/>
        </w:rPr>
        <w:softHyphen/>
        <w:t>missions involving simultaneously high e.i.r.p. and wide necessary bandwidth. Because the likelihood of main-lobe to main-lobe alignment may be high in case of GSO FSS/MSS earth stations located near the equator, no practicable size of frequency offset seems to be possible with such systems, to protect the adjacent passive allocation.</w:t>
      </w:r>
    </w:p>
    <w:p w:rsidR="00B9359B" w:rsidRDefault="009A5268">
      <w:pPr>
        <w:pStyle w:val="Heading3"/>
        <w:rPr>
          <w:lang w:val="en-US"/>
        </w:rPr>
      </w:pPr>
      <w:bookmarkStart w:id="647" w:name="_Toc51046046"/>
      <w:r>
        <w:rPr>
          <w:lang w:val="en-US"/>
        </w:rPr>
        <w:t>5.2.2</w:t>
      </w:r>
      <w:r>
        <w:rPr>
          <w:lang w:val="en-US"/>
        </w:rPr>
        <w:tab/>
        <w:t>Power and necessary bandwidth</w:t>
      </w:r>
      <w:bookmarkEnd w:id="647"/>
    </w:p>
    <w:p w:rsidR="00B9359B" w:rsidRDefault="009A5268">
      <w:pPr>
        <w:rPr>
          <w:lang w:val="en-US"/>
        </w:rPr>
      </w:pPr>
      <w:r>
        <w:rPr>
          <w:lang w:val="en-US"/>
        </w:rPr>
        <w:t>The reduction of power and necessary bandwidth could reduce the size of the required frequency offset.</w:t>
      </w:r>
    </w:p>
    <w:p w:rsidR="00B9359B" w:rsidRDefault="009A5268">
      <w:pPr>
        <w:pStyle w:val="Heading3"/>
        <w:rPr>
          <w:lang w:val="en-US"/>
        </w:rPr>
      </w:pPr>
      <w:bookmarkStart w:id="648" w:name="_Toc51046047"/>
      <w:r>
        <w:rPr>
          <w:lang w:val="en-US"/>
        </w:rPr>
        <w:t>5.2.3</w:t>
      </w:r>
      <w:r>
        <w:rPr>
          <w:lang w:val="en-US"/>
        </w:rPr>
        <w:tab/>
        <w:t>Baseband filtering</w:t>
      </w:r>
      <w:bookmarkEnd w:id="648"/>
    </w:p>
    <w:p w:rsidR="00B9359B" w:rsidRDefault="009A5268">
      <w:pPr>
        <w:rPr>
          <w:lang w:val="en-US"/>
        </w:rPr>
      </w:pPr>
      <w:r>
        <w:rPr>
          <w:lang w:val="en-US"/>
        </w:rPr>
        <w:t>The level of unwanted emissions from the active service systems can be reduced through the use of efficient modulation techniques and filtering.</w:t>
      </w:r>
    </w:p>
    <w:p w:rsidR="00B9359B" w:rsidRDefault="009A5268">
      <w:pPr>
        <w:pStyle w:val="Heading2"/>
        <w:rPr>
          <w:lang w:val="en-US"/>
        </w:rPr>
      </w:pPr>
      <w:bookmarkStart w:id="649" w:name="_Toc51046048"/>
      <w:r>
        <w:rPr>
          <w:lang w:val="en-US"/>
        </w:rPr>
        <w:t>5.3</w:t>
      </w:r>
      <w:r>
        <w:rPr>
          <w:lang w:val="en-US"/>
        </w:rPr>
        <w:tab/>
        <w:t>Potential impact</w:t>
      </w:r>
      <w:bookmarkEnd w:id="649"/>
    </w:p>
    <w:p w:rsidR="00B9359B" w:rsidRDefault="009A5268">
      <w:pPr>
        <w:pStyle w:val="Heading3"/>
        <w:rPr>
          <w:lang w:val="en-US"/>
        </w:rPr>
      </w:pPr>
      <w:bookmarkStart w:id="650" w:name="_Toc51046049"/>
      <w:r>
        <w:rPr>
          <w:lang w:val="en-US"/>
        </w:rPr>
        <w:t>5.3.1</w:t>
      </w:r>
      <w:r>
        <w:rPr>
          <w:lang w:val="en-US"/>
        </w:rPr>
        <w:tab/>
        <w:t>EESS (passive)</w:t>
      </w:r>
      <w:bookmarkEnd w:id="650"/>
    </w:p>
    <w:p w:rsidR="00B9359B" w:rsidRDefault="009A5268">
      <w:pPr>
        <w:rPr>
          <w:lang w:val="en-US"/>
        </w:rPr>
      </w:pPr>
      <w:r>
        <w:rPr>
          <w:lang w:val="en-US"/>
        </w:rPr>
        <w:t>The potential impact on the EESS (passive) cannot be assessed until the mitigation techniques (§ 5.1) are finalized.</w:t>
      </w:r>
    </w:p>
    <w:p w:rsidR="00B9359B" w:rsidRDefault="009A5268">
      <w:pPr>
        <w:pStyle w:val="Heading3"/>
        <w:rPr>
          <w:lang w:val="en-US"/>
        </w:rPr>
      </w:pPr>
      <w:bookmarkStart w:id="651" w:name="_Toc51046050"/>
      <w:r>
        <w:rPr>
          <w:lang w:val="en-US"/>
        </w:rPr>
        <w:t>5.3.2</w:t>
      </w:r>
      <w:r>
        <w:rPr>
          <w:lang w:val="en-US"/>
        </w:rPr>
        <w:tab/>
        <w:t>FSS and MSS</w:t>
      </w:r>
      <w:bookmarkEnd w:id="651"/>
    </w:p>
    <w:p w:rsidR="00B9359B" w:rsidRDefault="009A5268">
      <w:pPr>
        <w:rPr>
          <w:lang w:val="en-US"/>
        </w:rPr>
      </w:pPr>
      <w:r>
        <w:rPr>
          <w:lang w:val="en-US"/>
        </w:rPr>
        <w:t>The impact of the mitigation techniques needs to be evaluated and reviewed within the ITU</w:t>
      </w:r>
      <w:r>
        <w:rPr>
          <w:lang w:val="en-US"/>
        </w:rPr>
        <w:noBreakHyphen/>
        <w:t>R.</w:t>
      </w:r>
    </w:p>
    <w:p w:rsidR="00B9359B" w:rsidRDefault="009A5268">
      <w:pPr>
        <w:pStyle w:val="Heading1"/>
        <w:rPr>
          <w:lang w:val="en-US"/>
        </w:rPr>
      </w:pPr>
      <w:bookmarkStart w:id="652" w:name="_Toc51046051"/>
      <w:r>
        <w:rPr>
          <w:lang w:val="en-US"/>
        </w:rPr>
        <w:t>6</w:t>
      </w:r>
      <w:r>
        <w:rPr>
          <w:lang w:val="en-US"/>
        </w:rPr>
        <w:tab/>
        <w:t>Results of studies</w:t>
      </w:r>
      <w:bookmarkEnd w:id="652"/>
    </w:p>
    <w:p w:rsidR="00B9359B" w:rsidRDefault="009A5268">
      <w:pPr>
        <w:rPr>
          <w:lang w:val="en-US"/>
        </w:rPr>
      </w:pPr>
      <w:r>
        <w:rPr>
          <w:lang w:val="en-US"/>
        </w:rPr>
        <w:t>This analysis shows that, in general, a push-broom sensor will receive considerable unwanted power, exceeding the interference threshold both in magnitude and in duration, twice per orbit through one of its antenna beams when crossing the latitude of any earth station.</w:t>
      </w:r>
    </w:p>
    <w:p w:rsidR="00B9359B" w:rsidRDefault="009A5268">
      <w:pPr>
        <w:rPr>
          <w:lang w:val="en-US"/>
        </w:rPr>
      </w:pPr>
      <w:r>
        <w:rPr>
          <w:lang w:val="en-US"/>
        </w:rPr>
        <w:t>Worst-case configurations involving interference paths through the earth station main lobe are more detrimental because they lead to the loss of a number of successive complete scan-lines of the passive sensor. Furthermore, the magnitude of the power excess over the interference threshold, which can be as high as 113 dB, raises concerns about the possibility of damages on the passive sensor’s receivers.</w:t>
      </w:r>
    </w:p>
    <w:p w:rsidR="00B9359B" w:rsidRDefault="009A5268">
      <w:pPr>
        <w:pStyle w:val="AnnexNoTitle"/>
        <w:rPr>
          <w:lang w:val="en-US"/>
        </w:rPr>
      </w:pPr>
      <w:r>
        <w:rPr>
          <w:lang w:val="en-US"/>
        </w:rPr>
        <w:br w:type="page"/>
        <w:t>Annex 21</w:t>
      </w:r>
      <w:r>
        <w:rPr>
          <w:lang w:val="en-US"/>
        </w:rPr>
        <w:br/>
      </w:r>
      <w:r>
        <w:rPr>
          <w:lang w:val="en-US"/>
        </w:rPr>
        <w:br/>
        <w:t>Compatibility analysis between EESS (passive) systems</w:t>
      </w:r>
      <w:r>
        <w:rPr>
          <w:lang w:val="en-US"/>
        </w:rPr>
        <w:br/>
        <w:t>operating in the 52.6-52.8 GHz band and FS systems</w:t>
      </w:r>
      <w:r>
        <w:rPr>
          <w:lang w:val="en-US"/>
        </w:rPr>
        <w:br/>
        <w:t>operating in the 51.4-52.6 GHz band</w:t>
      </w:r>
    </w:p>
    <w:p w:rsidR="00B9359B" w:rsidRDefault="009A5268">
      <w:pPr>
        <w:pStyle w:val="Heading1"/>
        <w:rPr>
          <w:lang w:val="en-US"/>
        </w:rPr>
      </w:pPr>
      <w:bookmarkStart w:id="653" w:name="_Toc51046052"/>
      <w:r>
        <w:rPr>
          <w:lang w:val="en-US"/>
        </w:rPr>
        <w:t>1</w:t>
      </w:r>
      <w:r>
        <w:rPr>
          <w:lang w:val="en-US"/>
        </w:rPr>
        <w:tab/>
        <w:t>EESS (passive)</w:t>
      </w:r>
      <w:bookmarkEnd w:id="653"/>
    </w:p>
    <w:p w:rsidR="00B9359B" w:rsidRDefault="009A5268">
      <w:pPr>
        <w:pStyle w:val="Heading2"/>
        <w:rPr>
          <w:lang w:val="en-US"/>
        </w:rPr>
      </w:pPr>
      <w:bookmarkStart w:id="654" w:name="_Toc51046053"/>
      <w:r>
        <w:rPr>
          <w:lang w:val="en-US"/>
        </w:rPr>
        <w:t>1.1</w:t>
      </w:r>
      <w:r>
        <w:rPr>
          <w:lang w:val="en-US"/>
        </w:rPr>
        <w:tab/>
        <w:t>Allocated band</w:t>
      </w:r>
      <w:bookmarkEnd w:id="654"/>
    </w:p>
    <w:p w:rsidR="00B9359B" w:rsidRDefault="009A5268">
      <w:pPr>
        <w:rPr>
          <w:lang w:val="en-US"/>
        </w:rPr>
      </w:pPr>
      <w:r>
        <w:rPr>
          <w:lang w:val="en-US"/>
        </w:rPr>
        <w:t>The 51.4-52.6 GHz band is allocated to FS and this band is adjacent to the 52.6-52.8 GHz band allocated to the EESS. Therefore there is a need to evaluate the effect of unwanted emissions from FS systems falling in the EESS 52.6-52.8 GHz band. This Annex provides for FS system operating above 31.8 GHz calculation of levels of unwanted emissions falling in the 51.4-52.6 GHz band.</w:t>
      </w:r>
    </w:p>
    <w:p w:rsidR="00B9359B" w:rsidRDefault="009A5268">
      <w:pPr>
        <w:rPr>
          <w:lang w:val="en-US"/>
        </w:rPr>
      </w:pPr>
      <w:r>
        <w:rPr>
          <w:lang w:val="en-US"/>
        </w:rPr>
        <w:t xml:space="preserve">It should be noted that according to RR </w:t>
      </w:r>
      <w:r>
        <w:rPr>
          <w:bCs/>
          <w:lang w:val="en-US"/>
        </w:rPr>
        <w:t>No. 5.340, all</w:t>
      </w:r>
      <w:r>
        <w:rPr>
          <w:lang w:val="en-US"/>
        </w:rPr>
        <w:t xml:space="preserve"> emissions are prohibited in the band 52.6-54.25 GHz.</w:t>
      </w:r>
    </w:p>
    <w:p w:rsidR="00B9359B" w:rsidRDefault="009A5268">
      <w:pPr>
        <w:rPr>
          <w:lang w:val="en-US"/>
        </w:rPr>
      </w:pPr>
      <w:r>
        <w:rPr>
          <w:lang w:val="en-US"/>
        </w:rPr>
        <w:t>The allocations adjacent to the 52.6-52.8 GHz passive bands are shown in Table 123.</w:t>
      </w:r>
    </w:p>
    <w:p w:rsidR="00B9359B" w:rsidRDefault="009A5268">
      <w:pPr>
        <w:pStyle w:val="TableNo"/>
        <w:rPr>
          <w:lang w:val="en-US"/>
        </w:rPr>
      </w:pPr>
      <w:r>
        <w:rPr>
          <w:lang w:val="en-US"/>
        </w:rPr>
        <w:t>TABLE  123</w:t>
      </w:r>
    </w:p>
    <w:p w:rsidR="00B9359B" w:rsidRDefault="009A5268">
      <w:pPr>
        <w:pStyle w:val="Tabletitle"/>
        <w:rPr>
          <w:lang w:val="en-US"/>
        </w:rPr>
      </w:pPr>
      <w:r>
        <w:rPr>
          <w:lang w:val="en-US"/>
        </w:rPr>
        <w:t>Adjacent band allocations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0"/>
        <w:gridCol w:w="2801"/>
        <w:gridCol w:w="4418"/>
      </w:tblGrid>
      <w:tr w:rsidR="00B9359B" w:rsidRPr="00D35B94">
        <w:tc>
          <w:tcPr>
            <w:tcW w:w="2420" w:type="dxa"/>
            <w:vAlign w:val="center"/>
          </w:tcPr>
          <w:p w:rsidR="00B9359B" w:rsidRDefault="009A5268">
            <w:pPr>
              <w:pStyle w:val="Tablehead"/>
              <w:framePr w:hSpace="180" w:wrap="around" w:vAnchor="text" w:hAnchor="text" w:y="1"/>
              <w:rPr>
                <w:lang w:val="en-US"/>
              </w:rPr>
            </w:pPr>
            <w:r>
              <w:rPr>
                <w:lang w:val="en-US"/>
              </w:rPr>
              <w:t xml:space="preserve">Services in lower </w:t>
            </w:r>
            <w:r>
              <w:rPr>
                <w:lang w:val="en-US"/>
              </w:rPr>
              <w:br/>
              <w:t>allocated band</w:t>
            </w:r>
          </w:p>
        </w:tc>
        <w:tc>
          <w:tcPr>
            <w:tcW w:w="2801" w:type="dxa"/>
            <w:vAlign w:val="center"/>
          </w:tcPr>
          <w:p w:rsidR="00B9359B" w:rsidRDefault="009A5268">
            <w:pPr>
              <w:pStyle w:val="Tablehead"/>
              <w:framePr w:hSpace="180" w:wrap="around" w:vAnchor="text" w:hAnchor="text" w:y="1"/>
              <w:rPr>
                <w:lang w:val="en-US"/>
              </w:rPr>
            </w:pPr>
            <w:r>
              <w:rPr>
                <w:lang w:val="en-US"/>
              </w:rPr>
              <w:t>Passive band</w:t>
            </w:r>
          </w:p>
        </w:tc>
        <w:tc>
          <w:tcPr>
            <w:tcW w:w="4418" w:type="dxa"/>
            <w:vAlign w:val="center"/>
          </w:tcPr>
          <w:p w:rsidR="00B9359B" w:rsidRDefault="009A5268">
            <w:pPr>
              <w:pStyle w:val="Tablehead"/>
              <w:framePr w:hSpace="180" w:wrap="around" w:vAnchor="text" w:hAnchor="text" w:y="1"/>
              <w:rPr>
                <w:lang w:val="en-US"/>
              </w:rPr>
            </w:pPr>
            <w:r>
              <w:rPr>
                <w:lang w:val="en-US"/>
              </w:rPr>
              <w:t xml:space="preserve">Services in upper </w:t>
            </w:r>
            <w:r>
              <w:rPr>
                <w:lang w:val="en-US"/>
              </w:rPr>
              <w:br/>
              <w:t>allocated band</w:t>
            </w:r>
          </w:p>
        </w:tc>
      </w:tr>
      <w:tr w:rsidR="00B9359B">
        <w:tc>
          <w:tcPr>
            <w:tcW w:w="2420" w:type="dxa"/>
          </w:tcPr>
          <w:p w:rsidR="00B9359B" w:rsidRDefault="009A5268">
            <w:pPr>
              <w:pStyle w:val="Tablehead"/>
              <w:framePr w:hSpace="180" w:wrap="around" w:vAnchor="text" w:hAnchor="text" w:y="1"/>
              <w:rPr>
                <w:lang w:val="de-DE"/>
              </w:rPr>
            </w:pPr>
            <w:r>
              <w:rPr>
                <w:lang w:val="de-DE"/>
              </w:rPr>
              <w:t>51.4-52.6 GHz</w:t>
            </w:r>
          </w:p>
        </w:tc>
        <w:tc>
          <w:tcPr>
            <w:tcW w:w="2801" w:type="dxa"/>
          </w:tcPr>
          <w:p w:rsidR="00B9359B" w:rsidRDefault="009A5268">
            <w:pPr>
              <w:pStyle w:val="Tablehead"/>
              <w:framePr w:hSpace="180" w:wrap="around" w:vAnchor="text" w:hAnchor="text" w:y="1"/>
              <w:rPr>
                <w:lang w:val="de-DE"/>
              </w:rPr>
            </w:pPr>
            <w:r>
              <w:rPr>
                <w:lang w:val="de-DE"/>
              </w:rPr>
              <w:t>52.6-54.25 GHz</w:t>
            </w:r>
          </w:p>
        </w:tc>
        <w:tc>
          <w:tcPr>
            <w:tcW w:w="4418" w:type="dxa"/>
          </w:tcPr>
          <w:p w:rsidR="00B9359B" w:rsidRDefault="009A5268">
            <w:pPr>
              <w:pStyle w:val="Tablehead"/>
              <w:framePr w:hSpace="180" w:wrap="around" w:vAnchor="text" w:hAnchor="text" w:y="1"/>
              <w:rPr>
                <w:lang w:val="de-DE"/>
              </w:rPr>
            </w:pPr>
            <w:r>
              <w:rPr>
                <w:lang w:val="de-DE"/>
              </w:rPr>
              <w:t>54.25</w:t>
            </w:r>
            <w:r>
              <w:rPr>
                <w:lang w:val="de-DE"/>
              </w:rPr>
              <w:noBreakHyphen/>
              <w:t>55.78 GHz</w:t>
            </w:r>
          </w:p>
        </w:tc>
      </w:tr>
      <w:tr w:rsidR="00B9359B">
        <w:tc>
          <w:tcPr>
            <w:tcW w:w="2420" w:type="dxa"/>
          </w:tcPr>
          <w:p w:rsidR="00B9359B" w:rsidRDefault="009A5268">
            <w:pPr>
              <w:pStyle w:val="Tabletext"/>
              <w:framePr w:hSpace="180" w:wrap="around" w:vAnchor="text" w:hAnchor="text" w:y="1"/>
              <w:spacing w:before="60" w:after="60"/>
              <w:jc w:val="left"/>
              <w:rPr>
                <w:lang w:val="en-US"/>
              </w:rPr>
            </w:pPr>
            <w:r>
              <w:rPr>
                <w:lang w:val="en-US"/>
              </w:rPr>
              <w:t>FIXED</w:t>
            </w:r>
          </w:p>
          <w:p w:rsidR="00B9359B" w:rsidRDefault="009A5268">
            <w:pPr>
              <w:pStyle w:val="Tabletext"/>
              <w:framePr w:hSpace="180" w:wrap="around" w:vAnchor="text" w:hAnchor="text" w:y="1"/>
              <w:spacing w:before="60" w:after="60"/>
              <w:jc w:val="left"/>
              <w:rPr>
                <w:lang w:val="en-US"/>
              </w:rPr>
            </w:pPr>
            <w:r>
              <w:rPr>
                <w:lang w:val="en-US"/>
              </w:rPr>
              <w:t>MOBILE</w:t>
            </w:r>
          </w:p>
        </w:tc>
        <w:tc>
          <w:tcPr>
            <w:tcW w:w="2801" w:type="dxa"/>
          </w:tcPr>
          <w:p w:rsidR="00B9359B" w:rsidRDefault="009A5268">
            <w:pPr>
              <w:pStyle w:val="Tabletext"/>
              <w:framePr w:hSpace="180" w:wrap="around" w:vAnchor="text" w:hAnchor="text" w:y="1"/>
              <w:spacing w:before="60" w:after="60"/>
              <w:jc w:val="left"/>
              <w:rPr>
                <w:lang w:val="en-US"/>
              </w:rPr>
            </w:pPr>
            <w:r>
              <w:rPr>
                <w:lang w:val="en-US"/>
              </w:rPr>
              <w:t>EARTH  EXPLORATION-SATELLITE (passive)</w:t>
            </w:r>
          </w:p>
          <w:p w:rsidR="00B9359B" w:rsidRDefault="009A5268">
            <w:pPr>
              <w:pStyle w:val="Tabletext"/>
              <w:framePr w:hSpace="180" w:wrap="around" w:vAnchor="text" w:hAnchor="text" w:y="1"/>
              <w:spacing w:before="60" w:after="60"/>
              <w:jc w:val="left"/>
              <w:rPr>
                <w:lang w:val="en-US"/>
              </w:rPr>
            </w:pPr>
            <w:r>
              <w:rPr>
                <w:lang w:val="en-US"/>
              </w:rPr>
              <w:t>SPACE  RESEARCH (passive)</w:t>
            </w:r>
          </w:p>
        </w:tc>
        <w:tc>
          <w:tcPr>
            <w:tcW w:w="4418" w:type="dxa"/>
          </w:tcPr>
          <w:p w:rsidR="00B9359B" w:rsidRDefault="009A5268">
            <w:pPr>
              <w:pStyle w:val="Tabletext"/>
              <w:framePr w:hSpace="180" w:wrap="around" w:vAnchor="text" w:hAnchor="text" w:y="1"/>
              <w:spacing w:before="60" w:after="60"/>
              <w:jc w:val="left"/>
              <w:rPr>
                <w:lang w:val="en-US"/>
              </w:rPr>
            </w:pPr>
            <w:r>
              <w:rPr>
                <w:lang w:val="en-US"/>
              </w:rPr>
              <w:t>EARTH  EXPLORATION-SATELLITE (passive)</w:t>
            </w:r>
          </w:p>
          <w:p w:rsidR="00B9359B" w:rsidRDefault="009A5268">
            <w:pPr>
              <w:pStyle w:val="Tabletext"/>
              <w:framePr w:hSpace="180" w:wrap="around" w:vAnchor="text" w:hAnchor="text" w:y="1"/>
              <w:spacing w:before="60" w:after="60"/>
              <w:jc w:val="left"/>
              <w:rPr>
                <w:lang w:val="en-US"/>
              </w:rPr>
            </w:pPr>
            <w:r>
              <w:rPr>
                <w:lang w:val="en-US"/>
              </w:rPr>
              <w:t>INTER-SATELLITE  5.556A</w:t>
            </w:r>
            <w:r>
              <w:rPr>
                <w:lang w:val="en-US"/>
              </w:rPr>
              <w:br/>
              <w:t>GSO only with pfd limit</w:t>
            </w:r>
          </w:p>
          <w:p w:rsidR="00B9359B" w:rsidRDefault="009A5268">
            <w:pPr>
              <w:pStyle w:val="Tabletext"/>
              <w:framePr w:hSpace="180" w:wrap="around" w:vAnchor="text" w:hAnchor="text" w:y="1"/>
              <w:spacing w:before="60" w:after="60"/>
              <w:jc w:val="left"/>
              <w:rPr>
                <w:lang w:val="en-US"/>
              </w:rPr>
            </w:pPr>
            <w:r>
              <w:rPr>
                <w:lang w:val="en-US"/>
              </w:rPr>
              <w:t>SPACE  RESEARCH (passive)</w:t>
            </w:r>
          </w:p>
        </w:tc>
      </w:tr>
    </w:tbl>
    <w:p w:rsidR="00B9359B" w:rsidRDefault="00B9359B">
      <w:pPr>
        <w:pStyle w:val="Tablefin"/>
      </w:pPr>
    </w:p>
    <w:p w:rsidR="00B9359B" w:rsidRDefault="009A5268">
      <w:pPr>
        <w:pStyle w:val="Heading2"/>
        <w:rPr>
          <w:lang w:val="en-US"/>
        </w:rPr>
      </w:pPr>
      <w:bookmarkStart w:id="655" w:name="_Toc51046054"/>
      <w:r>
        <w:rPr>
          <w:lang w:val="en-US"/>
        </w:rPr>
        <w:t>1.2</w:t>
      </w:r>
      <w:r>
        <w:rPr>
          <w:lang w:val="en-US"/>
        </w:rPr>
        <w:tab/>
        <w:t>Application</w:t>
      </w:r>
      <w:bookmarkEnd w:id="655"/>
    </w:p>
    <w:p w:rsidR="00B9359B" w:rsidRDefault="009A5268">
      <w:pPr>
        <w:rPr>
          <w:lang w:val="en-US"/>
        </w:rPr>
      </w:pPr>
      <w:r>
        <w:rPr>
          <w:lang w:val="en-US"/>
        </w:rPr>
        <w:t>This band is one of the bands used for close-to-nadir atmospheric sounding in conjunction with the bands at 23.8 GHz, 31.5 GHz, 50.3 GHz to characterize each layer of the atmosphere.</w:t>
      </w:r>
    </w:p>
    <w:p w:rsidR="00B9359B" w:rsidRDefault="009A5268">
      <w:pPr>
        <w:pStyle w:val="Heading2"/>
        <w:rPr>
          <w:lang w:val="en-US"/>
        </w:rPr>
      </w:pPr>
      <w:bookmarkStart w:id="656" w:name="_Toc51046055"/>
      <w:r>
        <w:rPr>
          <w:lang w:val="en-US"/>
        </w:rPr>
        <w:t>1.3</w:t>
      </w:r>
      <w:r>
        <w:rPr>
          <w:lang w:val="en-US"/>
        </w:rPr>
        <w:tab/>
        <w:t>Required protection criteria</w:t>
      </w:r>
      <w:bookmarkEnd w:id="656"/>
    </w:p>
    <w:p w:rsidR="00B9359B" w:rsidRDefault="009A5268">
      <w:pPr>
        <w:rPr>
          <w:lang w:val="en-US"/>
        </w:rPr>
      </w:pPr>
      <w:r>
        <w:rPr>
          <w:lang w:val="en-US"/>
        </w:rPr>
        <w:t>These following three Recommendations establish the interference criteria for passive sensors:</w:t>
      </w:r>
    </w:p>
    <w:p w:rsidR="00B9359B" w:rsidRDefault="009A5268">
      <w:pPr>
        <w:pStyle w:val="enumlev1"/>
        <w:tabs>
          <w:tab w:val="clear" w:pos="794"/>
          <w:tab w:val="clear" w:pos="1191"/>
          <w:tab w:val="clear" w:pos="1588"/>
          <w:tab w:val="clear" w:pos="1985"/>
          <w:tab w:val="left" w:pos="3515"/>
        </w:tabs>
        <w:ind w:left="3515" w:hanging="3515"/>
        <w:rPr>
          <w:lang w:val="en-US"/>
        </w:rPr>
      </w:pPr>
      <w:bookmarkStart w:id="657" w:name="_Toc51046056"/>
      <w:r>
        <w:rPr>
          <w:lang w:val="en-US"/>
        </w:rPr>
        <w:t>Recommendation ITU-R SA.515 –</w:t>
      </w:r>
      <w:r>
        <w:rPr>
          <w:lang w:val="en-US"/>
        </w:rPr>
        <w:tab/>
        <w:t>Frequency bands and bandwidths used for satellite passive sensing.</w:t>
      </w:r>
    </w:p>
    <w:p w:rsidR="00B9359B" w:rsidRDefault="009A5268">
      <w:pPr>
        <w:pStyle w:val="enumlev1"/>
        <w:tabs>
          <w:tab w:val="clear" w:pos="794"/>
          <w:tab w:val="clear" w:pos="1191"/>
          <w:tab w:val="clear" w:pos="1588"/>
          <w:tab w:val="clear" w:pos="1985"/>
          <w:tab w:val="left" w:pos="3515"/>
        </w:tabs>
        <w:ind w:left="3515" w:hanging="3515"/>
        <w:rPr>
          <w:lang w:val="en-US"/>
        </w:rPr>
      </w:pPr>
      <w:r>
        <w:rPr>
          <w:lang w:val="en-US"/>
        </w:rPr>
        <w:t>Recommendation ITU-R SA.1028 –</w:t>
      </w:r>
      <w:r>
        <w:rPr>
          <w:lang w:val="en-US"/>
        </w:rPr>
        <w:tab/>
        <w:t>Performance criteria for satellite passive remote sensing.</w:t>
      </w:r>
    </w:p>
    <w:p w:rsidR="00B9359B" w:rsidRDefault="009A5268">
      <w:pPr>
        <w:pStyle w:val="enumlev1"/>
        <w:tabs>
          <w:tab w:val="clear" w:pos="794"/>
          <w:tab w:val="clear" w:pos="1191"/>
          <w:tab w:val="clear" w:pos="1588"/>
          <w:tab w:val="clear" w:pos="1985"/>
          <w:tab w:val="left" w:pos="3515"/>
        </w:tabs>
        <w:ind w:left="3515" w:hanging="3515"/>
        <w:rPr>
          <w:lang w:val="en-US"/>
        </w:rPr>
      </w:pPr>
      <w:r>
        <w:rPr>
          <w:lang w:val="en-US"/>
        </w:rPr>
        <w:t>Recommendation ITU-R SA.1029 –</w:t>
      </w:r>
      <w:r>
        <w:rPr>
          <w:lang w:val="en-US"/>
        </w:rPr>
        <w:tab/>
        <w:t>Interference criteria for satellite passive remote sensing.</w:t>
      </w:r>
    </w:p>
    <w:p w:rsidR="00B9359B" w:rsidRDefault="009A5268">
      <w:pPr>
        <w:pStyle w:val="Heading2"/>
        <w:rPr>
          <w:lang w:val="en-US"/>
        </w:rPr>
      </w:pPr>
      <w:r>
        <w:rPr>
          <w:lang w:val="en-US"/>
        </w:rPr>
        <w:br w:type="page"/>
        <w:t>1.4</w:t>
      </w:r>
      <w:r>
        <w:rPr>
          <w:lang w:val="en-US"/>
        </w:rPr>
        <w:tab/>
        <w:t>Operational characteristics</w:t>
      </w:r>
      <w:bookmarkEnd w:id="657"/>
    </w:p>
    <w:p w:rsidR="00B9359B" w:rsidRDefault="009A5268">
      <w:pPr>
        <w:rPr>
          <w:lang w:val="en-US"/>
        </w:rPr>
      </w:pPr>
      <w:r>
        <w:rPr>
          <w:lang w:val="en-US"/>
        </w:rPr>
        <w:t>The following operational characteristics are considered for the EESS system:</w:t>
      </w:r>
    </w:p>
    <w:p w:rsidR="00B9359B" w:rsidRDefault="009A5268">
      <w:pPr>
        <w:pStyle w:val="enumlev1"/>
        <w:rPr>
          <w:lang w:val="en-US"/>
        </w:rPr>
      </w:pPr>
      <w:r>
        <w:rPr>
          <w:lang w:val="en-US"/>
        </w:rPr>
        <w:t>–</w:t>
      </w:r>
      <w:r>
        <w:rPr>
          <w:lang w:val="en-US"/>
        </w:rPr>
        <w:tab/>
        <w:t>The EESS sensor is assumed to have an antenna with a gain of 45 dBi.</w:t>
      </w:r>
    </w:p>
    <w:p w:rsidR="00B9359B" w:rsidRDefault="009A5268">
      <w:pPr>
        <w:pStyle w:val="enumlev1"/>
        <w:rPr>
          <w:lang w:val="en-US"/>
        </w:rPr>
      </w:pPr>
      <w:r>
        <w:rPr>
          <w:lang w:val="en-US"/>
        </w:rPr>
        <w:t>–</w:t>
      </w:r>
      <w:r>
        <w:rPr>
          <w:lang w:val="en-US"/>
        </w:rPr>
        <w:tab/>
        <w:t xml:space="preserve">The EESS sensor is pointing in the nadir direction. </w:t>
      </w:r>
    </w:p>
    <w:p w:rsidR="00B9359B" w:rsidRDefault="009A5268">
      <w:pPr>
        <w:pStyle w:val="enumlev1"/>
        <w:rPr>
          <w:lang w:val="en-US"/>
        </w:rPr>
      </w:pPr>
      <w:r>
        <w:rPr>
          <w:lang w:val="en-US"/>
        </w:rPr>
        <w:t>–</w:t>
      </w:r>
      <w:r>
        <w:rPr>
          <w:lang w:val="en-US"/>
        </w:rPr>
        <w:tab/>
        <w:t>The pixel size for a sensor at an altitude of 850 km is 201 km</w:t>
      </w:r>
      <w:r>
        <w:rPr>
          <w:vertAlign w:val="superscript"/>
          <w:lang w:val="en-US"/>
        </w:rPr>
        <w:t>2</w:t>
      </w:r>
      <w:r>
        <w:rPr>
          <w:lang w:val="en-US"/>
        </w:rPr>
        <w:t xml:space="preserve"> (16 km diameter).</w:t>
      </w:r>
    </w:p>
    <w:p w:rsidR="00B9359B" w:rsidRDefault="009A5268">
      <w:pPr>
        <w:pStyle w:val="Heading1"/>
        <w:rPr>
          <w:lang w:val="en-US"/>
        </w:rPr>
      </w:pPr>
      <w:bookmarkStart w:id="658" w:name="_Toc51046057"/>
      <w:r>
        <w:rPr>
          <w:lang w:val="en-US"/>
        </w:rPr>
        <w:t>2</w:t>
      </w:r>
      <w:r>
        <w:rPr>
          <w:lang w:val="en-US"/>
        </w:rPr>
        <w:tab/>
        <w:t>FS</w:t>
      </w:r>
      <w:bookmarkEnd w:id="658"/>
    </w:p>
    <w:p w:rsidR="00B9359B" w:rsidRDefault="009A5268">
      <w:pPr>
        <w:pStyle w:val="Heading2"/>
        <w:rPr>
          <w:lang w:val="en-US"/>
        </w:rPr>
      </w:pPr>
      <w:bookmarkStart w:id="659" w:name="_Toc51046058"/>
      <w:r>
        <w:rPr>
          <w:lang w:val="en-US"/>
        </w:rPr>
        <w:t>2.1</w:t>
      </w:r>
      <w:r>
        <w:rPr>
          <w:lang w:val="en-US"/>
        </w:rPr>
        <w:tab/>
        <w:t>Allocated band</w:t>
      </w:r>
      <w:bookmarkEnd w:id="659"/>
    </w:p>
    <w:p w:rsidR="00B9359B" w:rsidRDefault="009A5268">
      <w:pPr>
        <w:rPr>
          <w:lang w:val="en-US"/>
        </w:rPr>
      </w:pPr>
      <w:r>
        <w:rPr>
          <w:lang w:val="en-US"/>
        </w:rPr>
        <w:t>See Table 123.</w:t>
      </w:r>
    </w:p>
    <w:p w:rsidR="00B9359B" w:rsidRDefault="009A5268">
      <w:pPr>
        <w:pStyle w:val="Heading2"/>
        <w:rPr>
          <w:lang w:val="en-US"/>
        </w:rPr>
      </w:pPr>
      <w:bookmarkStart w:id="660" w:name="_Toc51046059"/>
      <w:r>
        <w:rPr>
          <w:lang w:val="en-US"/>
        </w:rPr>
        <w:t>2.2</w:t>
      </w:r>
      <w:r>
        <w:rPr>
          <w:lang w:val="en-US"/>
        </w:rPr>
        <w:tab/>
        <w:t>Application</w:t>
      </w:r>
      <w:bookmarkEnd w:id="660"/>
    </w:p>
    <w:p w:rsidR="00B9359B" w:rsidRDefault="009A5268">
      <w:pPr>
        <w:rPr>
          <w:lang w:val="en-US"/>
        </w:rPr>
      </w:pPr>
      <w:r>
        <w:rPr>
          <w:lang w:val="en-US"/>
        </w:rPr>
        <w:t xml:space="preserve">According to RR </w:t>
      </w:r>
      <w:r>
        <w:rPr>
          <w:bCs/>
          <w:lang w:val="en-US"/>
        </w:rPr>
        <w:t>No. 5.547</w:t>
      </w:r>
      <w:r>
        <w:rPr>
          <w:lang w:val="en-US"/>
        </w:rPr>
        <w:t>, the band 51.4-52.6 GHz is available for high-density applications in the FS.</w:t>
      </w:r>
    </w:p>
    <w:p w:rsidR="00B9359B" w:rsidRDefault="009A5268">
      <w:pPr>
        <w:rPr>
          <w:lang w:val="en-US"/>
        </w:rPr>
      </w:pPr>
      <w:r>
        <w:rPr>
          <w:lang w:val="en-US"/>
        </w:rPr>
        <w:t>This band may be used for both P</w:t>
      </w:r>
      <w:r>
        <w:rPr>
          <w:lang w:val="en-US"/>
        </w:rPr>
        <w:noBreakHyphen/>
        <w:t>P FS systems and P</w:t>
      </w:r>
      <w:r>
        <w:rPr>
          <w:lang w:val="en-US"/>
        </w:rPr>
        <w:noBreakHyphen/>
        <w:t>MP FS systems.</w:t>
      </w:r>
    </w:p>
    <w:p w:rsidR="00B9359B" w:rsidRDefault="009A5268">
      <w:pPr>
        <w:pStyle w:val="Heading2"/>
        <w:rPr>
          <w:lang w:val="en-US"/>
        </w:rPr>
      </w:pPr>
      <w:bookmarkStart w:id="661" w:name="_Toc51046060"/>
      <w:r>
        <w:rPr>
          <w:lang w:val="en-US"/>
        </w:rPr>
        <w:t>2.3</w:t>
      </w:r>
      <w:r>
        <w:rPr>
          <w:lang w:val="en-US"/>
        </w:rPr>
        <w:tab/>
        <w:t>Levels based on existing ITU documents</w:t>
      </w:r>
      <w:bookmarkEnd w:id="661"/>
    </w:p>
    <w:p w:rsidR="00B9359B" w:rsidRDefault="009A5268">
      <w:pPr>
        <w:rPr>
          <w:lang w:val="en-US"/>
        </w:rPr>
      </w:pPr>
      <w:r>
        <w:rPr>
          <w:lang w:val="en-US"/>
        </w:rPr>
        <w:t>The following ITU-R Recommendations provide information on unwanted emissions of FS systems:</w:t>
      </w:r>
    </w:p>
    <w:p w:rsidR="00B9359B" w:rsidRDefault="009A5268">
      <w:pPr>
        <w:pStyle w:val="enumlev1"/>
        <w:tabs>
          <w:tab w:val="clear" w:pos="794"/>
          <w:tab w:val="clear" w:pos="1191"/>
          <w:tab w:val="clear" w:pos="1588"/>
          <w:tab w:val="clear" w:pos="1985"/>
          <w:tab w:val="left" w:pos="3374"/>
        </w:tabs>
        <w:ind w:left="0" w:firstLine="0"/>
        <w:rPr>
          <w:lang w:val="en-US"/>
        </w:rPr>
      </w:pPr>
      <w:r>
        <w:rPr>
          <w:lang w:val="en-US"/>
        </w:rPr>
        <w:t xml:space="preserve">Recommendation ITU-R F.1191 – Bandwidths and unwanted emissions of digital fixed service </w:t>
      </w:r>
      <w:r>
        <w:rPr>
          <w:lang w:val="en-US"/>
        </w:rPr>
        <w:tab/>
        <w:t>systems.</w:t>
      </w:r>
    </w:p>
    <w:p w:rsidR="00B9359B" w:rsidRDefault="009A5268">
      <w:pPr>
        <w:pStyle w:val="enumlev1"/>
        <w:rPr>
          <w:lang w:val="en-US"/>
        </w:rPr>
      </w:pPr>
      <w:r>
        <w:rPr>
          <w:lang w:val="en-US"/>
        </w:rPr>
        <w:t>Recommendation ITU-R SM.329 – Unwanted emissions in the spurious domain.</w:t>
      </w:r>
    </w:p>
    <w:p w:rsidR="00B9359B" w:rsidRDefault="009A5268">
      <w:pPr>
        <w:pStyle w:val="enumlev1"/>
        <w:rPr>
          <w:lang w:val="en-US"/>
        </w:rPr>
      </w:pPr>
      <w:r>
        <w:rPr>
          <w:lang w:val="en-US"/>
        </w:rPr>
        <w:t>Recommendation ITU-R SM.1541 – Unwanted emissions in the out-of-band domain.</w:t>
      </w:r>
    </w:p>
    <w:p w:rsidR="00B9359B" w:rsidRDefault="009A5268">
      <w:pPr>
        <w:pStyle w:val="Heading2"/>
        <w:rPr>
          <w:lang w:val="en-US"/>
        </w:rPr>
      </w:pPr>
      <w:bookmarkStart w:id="662" w:name="_Toc51046061"/>
      <w:r>
        <w:rPr>
          <w:lang w:val="en-US"/>
        </w:rPr>
        <w:t>2.4</w:t>
      </w:r>
      <w:r>
        <w:rPr>
          <w:lang w:val="en-US"/>
        </w:rPr>
        <w:tab/>
        <w:t>Transmitter characteristics</w:t>
      </w:r>
      <w:bookmarkEnd w:id="662"/>
    </w:p>
    <w:p w:rsidR="00B9359B" w:rsidRDefault="009A5268">
      <w:pPr>
        <w:rPr>
          <w:lang w:val="en-US"/>
        </w:rPr>
      </w:pPr>
      <w:r>
        <w:rPr>
          <w:lang w:val="en-US"/>
        </w:rPr>
        <w:t>The following characteristics contained in Tables 124 and 125 have been used.</w:t>
      </w:r>
    </w:p>
    <w:p w:rsidR="00B9359B" w:rsidRDefault="009A5268">
      <w:pPr>
        <w:pStyle w:val="TableNo"/>
        <w:rPr>
          <w:lang w:val="en-US"/>
        </w:rPr>
      </w:pPr>
      <w:r>
        <w:rPr>
          <w:lang w:val="en-US"/>
        </w:rPr>
        <w:t>TABLE  124</w:t>
      </w:r>
    </w:p>
    <w:p w:rsidR="00B9359B" w:rsidRDefault="009A5268">
      <w:pPr>
        <w:pStyle w:val="Tabletitle"/>
        <w:rPr>
          <w:lang w:val="en-US"/>
        </w:rPr>
      </w:pPr>
      <w:r>
        <w:rPr>
          <w:lang w:val="en-US"/>
        </w:rPr>
        <w:t xml:space="preserve">Characteristics of P-P systems </w:t>
      </w:r>
      <w:r>
        <w:rPr>
          <w:lang w:val="en-US"/>
        </w:rPr>
        <w:br/>
        <w:t>(Recommendation ITU-R F.758)</w:t>
      </w:r>
    </w:p>
    <w:tbl>
      <w:tblPr>
        <w:tblW w:w="963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191"/>
        <w:gridCol w:w="2224"/>
        <w:gridCol w:w="2224"/>
      </w:tblGrid>
      <w:tr w:rsidR="00B9359B">
        <w:trPr>
          <w:cantSplit/>
        </w:trPr>
        <w:tc>
          <w:tcPr>
            <w:tcW w:w="5191" w:type="dxa"/>
          </w:tcPr>
          <w:p w:rsidR="00B9359B" w:rsidRDefault="009A5268">
            <w:pPr>
              <w:pStyle w:val="Tabletext"/>
              <w:framePr w:hSpace="181" w:wrap="notBeside" w:vAnchor="text" w:hAnchor="text" w:xAlign="center" w:y="1"/>
              <w:spacing w:before="100" w:after="100"/>
              <w:jc w:val="left"/>
              <w:rPr>
                <w:lang w:val="en-US"/>
              </w:rPr>
            </w:pPr>
            <w:r>
              <w:rPr>
                <w:lang w:val="en-US"/>
              </w:rPr>
              <w:t>Channel spacing (MHz)</w:t>
            </w:r>
          </w:p>
        </w:tc>
        <w:tc>
          <w:tcPr>
            <w:tcW w:w="2224" w:type="dxa"/>
          </w:tcPr>
          <w:p w:rsidR="00B9359B" w:rsidRDefault="009A5268">
            <w:pPr>
              <w:pStyle w:val="Tabletext"/>
              <w:framePr w:hSpace="181" w:wrap="notBeside" w:vAnchor="text" w:hAnchor="text" w:xAlign="center" w:y="1"/>
              <w:spacing w:before="100" w:after="100"/>
              <w:jc w:val="center"/>
              <w:rPr>
                <w:lang w:val="en-US"/>
              </w:rPr>
            </w:pPr>
            <w:r>
              <w:rPr>
                <w:lang w:val="en-US"/>
              </w:rPr>
              <w:t>56</w:t>
            </w:r>
          </w:p>
        </w:tc>
        <w:tc>
          <w:tcPr>
            <w:tcW w:w="2224" w:type="dxa"/>
          </w:tcPr>
          <w:p w:rsidR="00B9359B" w:rsidRDefault="009A5268">
            <w:pPr>
              <w:pStyle w:val="Tabletext"/>
              <w:framePr w:hSpace="181" w:wrap="notBeside" w:vAnchor="text" w:hAnchor="text" w:xAlign="center" w:y="1"/>
              <w:spacing w:before="100" w:after="100"/>
              <w:jc w:val="center"/>
              <w:rPr>
                <w:lang w:val="en-US"/>
              </w:rPr>
            </w:pPr>
            <w:r>
              <w:rPr>
                <w:lang w:val="en-US"/>
              </w:rPr>
              <w:t>3,5</w:t>
            </w:r>
          </w:p>
        </w:tc>
      </w:tr>
      <w:tr w:rsidR="00B9359B">
        <w:trPr>
          <w:cantSplit/>
        </w:trPr>
        <w:tc>
          <w:tcPr>
            <w:tcW w:w="5191" w:type="dxa"/>
          </w:tcPr>
          <w:p w:rsidR="00B9359B" w:rsidRDefault="009A5268">
            <w:pPr>
              <w:pStyle w:val="Tabletext"/>
              <w:framePr w:hSpace="181" w:wrap="notBeside" w:vAnchor="text" w:hAnchor="text" w:xAlign="center" w:y="1"/>
              <w:spacing w:before="100" w:after="100"/>
              <w:jc w:val="left"/>
              <w:rPr>
                <w:lang w:val="en-US"/>
              </w:rPr>
            </w:pPr>
            <w:r>
              <w:rPr>
                <w:lang w:val="en-US"/>
              </w:rPr>
              <w:t>Antenna gain (maximum) (dBi)</w:t>
            </w:r>
          </w:p>
        </w:tc>
        <w:tc>
          <w:tcPr>
            <w:tcW w:w="2224" w:type="dxa"/>
          </w:tcPr>
          <w:p w:rsidR="00B9359B" w:rsidRDefault="009A5268">
            <w:pPr>
              <w:pStyle w:val="Tabletext"/>
              <w:framePr w:hSpace="181" w:wrap="notBeside" w:vAnchor="text" w:hAnchor="text" w:xAlign="center" w:y="1"/>
              <w:spacing w:before="100" w:after="100"/>
              <w:jc w:val="center"/>
              <w:rPr>
                <w:lang w:val="en-US"/>
              </w:rPr>
            </w:pPr>
            <w:r>
              <w:rPr>
                <w:lang w:val="en-US"/>
              </w:rPr>
              <w:t>50</w:t>
            </w:r>
          </w:p>
        </w:tc>
        <w:tc>
          <w:tcPr>
            <w:tcW w:w="2224" w:type="dxa"/>
          </w:tcPr>
          <w:p w:rsidR="00B9359B" w:rsidRDefault="009A5268">
            <w:pPr>
              <w:pStyle w:val="Tabletext"/>
              <w:framePr w:hSpace="181" w:wrap="notBeside" w:vAnchor="text" w:hAnchor="text" w:xAlign="center" w:y="1"/>
              <w:spacing w:before="100" w:after="100"/>
              <w:jc w:val="center"/>
              <w:rPr>
                <w:lang w:val="en-US"/>
              </w:rPr>
            </w:pPr>
            <w:r>
              <w:rPr>
                <w:lang w:val="en-US"/>
              </w:rPr>
              <w:t>50</w:t>
            </w:r>
          </w:p>
        </w:tc>
      </w:tr>
      <w:tr w:rsidR="00B9359B">
        <w:trPr>
          <w:cantSplit/>
        </w:trPr>
        <w:tc>
          <w:tcPr>
            <w:tcW w:w="5191" w:type="dxa"/>
          </w:tcPr>
          <w:p w:rsidR="00B9359B" w:rsidRDefault="009A5268">
            <w:pPr>
              <w:pStyle w:val="Tabletext"/>
              <w:framePr w:hSpace="181" w:wrap="notBeside" w:vAnchor="text" w:hAnchor="text" w:xAlign="center" w:y="1"/>
              <w:spacing w:before="100" w:after="100"/>
              <w:jc w:val="left"/>
              <w:rPr>
                <w:lang w:val="en-US"/>
              </w:rPr>
            </w:pPr>
            <w:r>
              <w:rPr>
                <w:lang w:val="en-US"/>
              </w:rPr>
              <w:t>Feeder/multiplexer loss (minimum) (dB)</w:t>
            </w:r>
          </w:p>
        </w:tc>
        <w:tc>
          <w:tcPr>
            <w:tcW w:w="2224" w:type="dxa"/>
          </w:tcPr>
          <w:p w:rsidR="00B9359B" w:rsidRDefault="009A5268">
            <w:pPr>
              <w:pStyle w:val="Tabletext"/>
              <w:framePr w:hSpace="181" w:wrap="notBeside" w:vAnchor="text" w:hAnchor="text" w:xAlign="center" w:y="1"/>
              <w:spacing w:before="100" w:after="100"/>
              <w:jc w:val="center"/>
              <w:rPr>
                <w:lang w:val="en-US"/>
              </w:rPr>
            </w:pPr>
            <w:r>
              <w:rPr>
                <w:lang w:val="en-US"/>
              </w:rPr>
              <w:t>0</w:t>
            </w:r>
          </w:p>
        </w:tc>
        <w:tc>
          <w:tcPr>
            <w:tcW w:w="2224" w:type="dxa"/>
          </w:tcPr>
          <w:p w:rsidR="00B9359B" w:rsidRDefault="009A5268">
            <w:pPr>
              <w:pStyle w:val="Tabletext"/>
              <w:framePr w:hSpace="181" w:wrap="notBeside" w:vAnchor="text" w:hAnchor="text" w:xAlign="center" w:y="1"/>
              <w:spacing w:before="100" w:after="100"/>
              <w:jc w:val="center"/>
              <w:rPr>
                <w:lang w:val="en-US"/>
              </w:rPr>
            </w:pPr>
            <w:r>
              <w:rPr>
                <w:lang w:val="en-US"/>
              </w:rPr>
              <w:t>0</w:t>
            </w:r>
          </w:p>
        </w:tc>
      </w:tr>
      <w:tr w:rsidR="00B9359B">
        <w:trPr>
          <w:cantSplit/>
        </w:trPr>
        <w:tc>
          <w:tcPr>
            <w:tcW w:w="5191" w:type="dxa"/>
          </w:tcPr>
          <w:p w:rsidR="00B9359B" w:rsidRDefault="009A5268">
            <w:pPr>
              <w:pStyle w:val="Tabletext"/>
              <w:framePr w:hSpace="181" w:wrap="notBeside" w:vAnchor="text" w:hAnchor="text" w:xAlign="center" w:y="1"/>
              <w:spacing w:before="100" w:after="100"/>
              <w:jc w:val="left"/>
              <w:rPr>
                <w:lang w:val="en-US"/>
              </w:rPr>
            </w:pPr>
            <w:r>
              <w:rPr>
                <w:lang w:val="en-US"/>
              </w:rPr>
              <w:t>Antenna type</w:t>
            </w:r>
          </w:p>
        </w:tc>
        <w:tc>
          <w:tcPr>
            <w:tcW w:w="2224" w:type="dxa"/>
          </w:tcPr>
          <w:p w:rsidR="00B9359B" w:rsidRDefault="009A5268">
            <w:pPr>
              <w:pStyle w:val="Tabletext"/>
              <w:framePr w:hSpace="181" w:wrap="notBeside" w:vAnchor="text" w:hAnchor="text" w:xAlign="center" w:y="1"/>
              <w:spacing w:before="100" w:after="100"/>
              <w:jc w:val="center"/>
              <w:rPr>
                <w:lang w:val="en-US"/>
              </w:rPr>
            </w:pPr>
            <w:r>
              <w:rPr>
                <w:lang w:val="en-US"/>
              </w:rPr>
              <w:t>Dish/horn</w:t>
            </w:r>
          </w:p>
        </w:tc>
        <w:tc>
          <w:tcPr>
            <w:tcW w:w="2224" w:type="dxa"/>
          </w:tcPr>
          <w:p w:rsidR="00B9359B" w:rsidRDefault="009A5268">
            <w:pPr>
              <w:pStyle w:val="Tabletext"/>
              <w:framePr w:hSpace="181" w:wrap="notBeside" w:vAnchor="text" w:hAnchor="text" w:xAlign="center" w:y="1"/>
              <w:spacing w:before="100" w:after="100"/>
              <w:jc w:val="center"/>
              <w:rPr>
                <w:lang w:val="en-US"/>
              </w:rPr>
            </w:pPr>
            <w:r>
              <w:rPr>
                <w:lang w:val="en-US"/>
              </w:rPr>
              <w:t>Dish/horn</w:t>
            </w:r>
          </w:p>
        </w:tc>
      </w:tr>
      <w:tr w:rsidR="00B9359B">
        <w:trPr>
          <w:cantSplit/>
        </w:trPr>
        <w:tc>
          <w:tcPr>
            <w:tcW w:w="5191" w:type="dxa"/>
          </w:tcPr>
          <w:p w:rsidR="00B9359B" w:rsidRDefault="009A5268">
            <w:pPr>
              <w:pStyle w:val="Tabletext"/>
              <w:framePr w:hSpace="181" w:wrap="notBeside" w:vAnchor="text" w:hAnchor="text" w:xAlign="center" w:y="1"/>
              <w:spacing w:before="100" w:after="100"/>
              <w:jc w:val="left"/>
              <w:rPr>
                <w:lang w:val="en-US"/>
              </w:rPr>
            </w:pPr>
            <w:r>
              <w:rPr>
                <w:lang w:val="en-US"/>
              </w:rPr>
              <w:t>Maximum Tx output power (dBW)</w:t>
            </w:r>
          </w:p>
        </w:tc>
        <w:tc>
          <w:tcPr>
            <w:tcW w:w="2224" w:type="dxa"/>
          </w:tcPr>
          <w:p w:rsidR="00B9359B" w:rsidRDefault="009A5268">
            <w:pPr>
              <w:pStyle w:val="Tabletext"/>
              <w:framePr w:hSpace="181" w:wrap="notBeside" w:vAnchor="text" w:hAnchor="text" w:xAlign="center" w:y="1"/>
              <w:spacing w:before="100" w:after="100"/>
              <w:jc w:val="center"/>
              <w:rPr>
                <w:lang w:val="en-US"/>
              </w:rPr>
            </w:pPr>
            <w:r>
              <w:rPr>
                <w:lang w:val="en-US"/>
              </w:rPr>
              <w:t>–20</w:t>
            </w:r>
          </w:p>
        </w:tc>
        <w:tc>
          <w:tcPr>
            <w:tcW w:w="2224" w:type="dxa"/>
          </w:tcPr>
          <w:p w:rsidR="00B9359B" w:rsidRDefault="009A5268">
            <w:pPr>
              <w:pStyle w:val="Tabletext"/>
              <w:framePr w:hSpace="181" w:wrap="notBeside" w:vAnchor="text" w:hAnchor="text" w:xAlign="center" w:y="1"/>
              <w:spacing w:before="100" w:after="100"/>
              <w:jc w:val="center"/>
              <w:rPr>
                <w:lang w:val="en-US"/>
              </w:rPr>
            </w:pPr>
            <w:r>
              <w:rPr>
                <w:lang w:val="en-US"/>
              </w:rPr>
              <w:t>–20</w:t>
            </w:r>
          </w:p>
        </w:tc>
      </w:tr>
      <w:tr w:rsidR="00B9359B">
        <w:trPr>
          <w:cantSplit/>
        </w:trPr>
        <w:tc>
          <w:tcPr>
            <w:tcW w:w="5191" w:type="dxa"/>
          </w:tcPr>
          <w:p w:rsidR="00B9359B" w:rsidRDefault="009A5268">
            <w:pPr>
              <w:pStyle w:val="Tabletext"/>
              <w:framePr w:hSpace="181" w:wrap="notBeside" w:vAnchor="text" w:hAnchor="text" w:xAlign="center" w:y="1"/>
              <w:spacing w:before="100" w:after="100"/>
              <w:jc w:val="left"/>
              <w:rPr>
                <w:lang w:val="en-US"/>
              </w:rPr>
            </w:pPr>
            <w:r>
              <w:rPr>
                <w:lang w:val="en-US"/>
              </w:rPr>
              <w:t>e.i.r.p. (maximum) (dBW)</w:t>
            </w:r>
          </w:p>
        </w:tc>
        <w:tc>
          <w:tcPr>
            <w:tcW w:w="2224" w:type="dxa"/>
          </w:tcPr>
          <w:p w:rsidR="00B9359B" w:rsidRDefault="009A5268">
            <w:pPr>
              <w:pStyle w:val="Tabletext"/>
              <w:framePr w:hSpace="181" w:wrap="notBeside" w:vAnchor="text" w:hAnchor="text" w:xAlign="center" w:y="1"/>
              <w:spacing w:before="100" w:after="100"/>
              <w:jc w:val="center"/>
              <w:rPr>
                <w:lang w:val="en-US"/>
              </w:rPr>
            </w:pPr>
            <w:r>
              <w:rPr>
                <w:lang w:val="en-US"/>
              </w:rPr>
              <w:t>30</w:t>
            </w:r>
          </w:p>
        </w:tc>
        <w:tc>
          <w:tcPr>
            <w:tcW w:w="2224" w:type="dxa"/>
          </w:tcPr>
          <w:p w:rsidR="00B9359B" w:rsidRDefault="009A5268">
            <w:pPr>
              <w:pStyle w:val="Tabletext"/>
              <w:framePr w:hSpace="181" w:wrap="notBeside" w:vAnchor="text" w:hAnchor="text" w:xAlign="center" w:y="1"/>
              <w:spacing w:before="100" w:after="100"/>
              <w:jc w:val="center"/>
              <w:rPr>
                <w:lang w:val="en-US"/>
              </w:rPr>
            </w:pPr>
            <w:r>
              <w:rPr>
                <w:lang w:val="en-US"/>
              </w:rPr>
              <w:t>30</w:t>
            </w:r>
          </w:p>
        </w:tc>
      </w:tr>
    </w:tbl>
    <w:p w:rsidR="00B9359B" w:rsidRDefault="00B9359B">
      <w:pPr>
        <w:pStyle w:val="Tablefin"/>
        <w:spacing w:before="0"/>
      </w:pPr>
    </w:p>
    <w:p w:rsidR="00B9359B" w:rsidRDefault="009A5268">
      <w:pPr>
        <w:pStyle w:val="TableNo"/>
        <w:rPr>
          <w:lang w:val="en-US"/>
        </w:rPr>
      </w:pPr>
      <w:r>
        <w:rPr>
          <w:lang w:val="en-US"/>
        </w:rPr>
        <w:br w:type="page"/>
        <w:t>TABLE  125</w:t>
      </w:r>
    </w:p>
    <w:p w:rsidR="00B9359B" w:rsidRDefault="009A5268">
      <w:pPr>
        <w:pStyle w:val="Tabletitle"/>
        <w:rPr>
          <w:lang w:val="en-US"/>
        </w:rPr>
      </w:pPr>
      <w:r>
        <w:rPr>
          <w:lang w:val="en-US"/>
        </w:rPr>
        <w:t xml:space="preserve">Characteristics of P-MP systems </w:t>
      </w:r>
      <w:r>
        <w:rPr>
          <w:lang w:val="en-US"/>
        </w:rPr>
        <w:br/>
        <w:t>(Recommendation ITU-R F.758)</w:t>
      </w:r>
    </w:p>
    <w:tbl>
      <w:tblPr>
        <w:tblW w:w="963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171"/>
        <w:gridCol w:w="1734"/>
        <w:gridCol w:w="1734"/>
      </w:tblGrid>
      <w:tr w:rsidR="00B9359B">
        <w:trPr>
          <w:cantSplit/>
        </w:trPr>
        <w:tc>
          <w:tcPr>
            <w:tcW w:w="6171" w:type="dxa"/>
          </w:tcPr>
          <w:p w:rsidR="00B9359B" w:rsidRDefault="009A5268">
            <w:pPr>
              <w:pStyle w:val="Tablehead"/>
              <w:framePr w:hSpace="181" w:wrap="notBeside" w:vAnchor="text" w:hAnchor="text" w:xAlign="center" w:y="1"/>
              <w:rPr>
                <w:b w:val="0"/>
                <w:lang w:val="en-US"/>
              </w:rPr>
            </w:pPr>
            <w:r>
              <w:rPr>
                <w:lang w:val="en-US"/>
              </w:rPr>
              <w:t>Station type</w:t>
            </w:r>
          </w:p>
        </w:tc>
        <w:tc>
          <w:tcPr>
            <w:tcW w:w="1734" w:type="dxa"/>
          </w:tcPr>
          <w:p w:rsidR="00B9359B" w:rsidRDefault="009A5268">
            <w:pPr>
              <w:pStyle w:val="Tablehead"/>
              <w:framePr w:hSpace="181" w:wrap="notBeside" w:vAnchor="text" w:hAnchor="text" w:xAlign="center" w:y="1"/>
              <w:rPr>
                <w:b w:val="0"/>
                <w:lang w:val="en-US"/>
              </w:rPr>
            </w:pPr>
            <w:r>
              <w:rPr>
                <w:lang w:val="en-US"/>
              </w:rPr>
              <w:t>CS</w:t>
            </w:r>
          </w:p>
        </w:tc>
        <w:tc>
          <w:tcPr>
            <w:tcW w:w="1734" w:type="dxa"/>
          </w:tcPr>
          <w:p w:rsidR="00B9359B" w:rsidRDefault="009A5268">
            <w:pPr>
              <w:pStyle w:val="Tablehead"/>
              <w:framePr w:hSpace="181" w:wrap="notBeside" w:vAnchor="text" w:hAnchor="text" w:xAlign="center" w:y="1"/>
              <w:rPr>
                <w:b w:val="0"/>
                <w:lang w:val="en-US"/>
              </w:rPr>
            </w:pPr>
            <w:r>
              <w:rPr>
                <w:lang w:val="en-US"/>
              </w:rPr>
              <w:t>TS</w:t>
            </w:r>
          </w:p>
        </w:tc>
      </w:tr>
      <w:tr w:rsidR="00B9359B">
        <w:trPr>
          <w:cantSplit/>
        </w:trPr>
        <w:tc>
          <w:tcPr>
            <w:tcW w:w="6171" w:type="dxa"/>
          </w:tcPr>
          <w:p w:rsidR="00B9359B" w:rsidRDefault="009A5268">
            <w:pPr>
              <w:pStyle w:val="Tabletext"/>
              <w:framePr w:hSpace="181" w:wrap="notBeside" w:vAnchor="text" w:hAnchor="text" w:xAlign="center" w:y="1"/>
              <w:jc w:val="left"/>
              <w:rPr>
                <w:lang w:val="en-US"/>
              </w:rPr>
            </w:pPr>
            <w:r>
              <w:rPr>
                <w:lang w:val="en-US"/>
              </w:rPr>
              <w:t>Channel spacing (MHz)</w:t>
            </w:r>
          </w:p>
        </w:tc>
        <w:tc>
          <w:tcPr>
            <w:tcW w:w="1734" w:type="dxa"/>
          </w:tcPr>
          <w:p w:rsidR="00B9359B" w:rsidRDefault="009A5268">
            <w:pPr>
              <w:pStyle w:val="Tabletext"/>
              <w:framePr w:hSpace="181" w:wrap="notBeside" w:vAnchor="text" w:hAnchor="text" w:xAlign="center" w:y="1"/>
              <w:jc w:val="center"/>
              <w:rPr>
                <w:lang w:val="en-US"/>
              </w:rPr>
            </w:pPr>
            <w:r>
              <w:rPr>
                <w:lang w:val="en-US"/>
              </w:rPr>
              <w:t>28</w:t>
            </w:r>
          </w:p>
        </w:tc>
        <w:tc>
          <w:tcPr>
            <w:tcW w:w="1734" w:type="dxa"/>
          </w:tcPr>
          <w:p w:rsidR="00B9359B" w:rsidRDefault="009A5268">
            <w:pPr>
              <w:pStyle w:val="Tabletext"/>
              <w:framePr w:hSpace="181" w:wrap="notBeside" w:vAnchor="text" w:hAnchor="text" w:xAlign="center" w:y="1"/>
              <w:jc w:val="center"/>
              <w:rPr>
                <w:lang w:val="en-US"/>
              </w:rPr>
            </w:pPr>
            <w:r>
              <w:rPr>
                <w:lang w:val="en-US"/>
              </w:rPr>
              <w:t>28</w:t>
            </w:r>
          </w:p>
        </w:tc>
      </w:tr>
      <w:tr w:rsidR="00B9359B">
        <w:trPr>
          <w:cantSplit/>
        </w:trPr>
        <w:tc>
          <w:tcPr>
            <w:tcW w:w="6171" w:type="dxa"/>
          </w:tcPr>
          <w:p w:rsidR="00B9359B" w:rsidRDefault="009A5268">
            <w:pPr>
              <w:pStyle w:val="Tabletext"/>
              <w:framePr w:hSpace="181" w:wrap="notBeside" w:vAnchor="text" w:hAnchor="text" w:xAlign="center" w:y="1"/>
              <w:jc w:val="left"/>
              <w:rPr>
                <w:lang w:val="en-US"/>
              </w:rPr>
            </w:pPr>
            <w:r>
              <w:rPr>
                <w:lang w:val="en-US"/>
              </w:rPr>
              <w:t>Antenna gain (maximum) (dBi)</w:t>
            </w:r>
          </w:p>
        </w:tc>
        <w:tc>
          <w:tcPr>
            <w:tcW w:w="1734" w:type="dxa"/>
          </w:tcPr>
          <w:p w:rsidR="00B9359B" w:rsidRDefault="009A5268">
            <w:pPr>
              <w:pStyle w:val="Tabletext"/>
              <w:framePr w:hSpace="181" w:wrap="notBeside" w:vAnchor="text" w:hAnchor="text" w:xAlign="center" w:y="1"/>
              <w:jc w:val="center"/>
              <w:rPr>
                <w:lang w:val="en-US"/>
              </w:rPr>
            </w:pPr>
            <w:r>
              <w:rPr>
                <w:lang w:val="en-US"/>
              </w:rPr>
              <w:t>14</w:t>
            </w:r>
          </w:p>
        </w:tc>
        <w:tc>
          <w:tcPr>
            <w:tcW w:w="1734" w:type="dxa"/>
          </w:tcPr>
          <w:p w:rsidR="00B9359B" w:rsidRDefault="009A5268">
            <w:pPr>
              <w:pStyle w:val="Tabletext"/>
              <w:framePr w:hSpace="181" w:wrap="notBeside" w:vAnchor="text" w:hAnchor="text" w:xAlign="center" w:y="1"/>
              <w:jc w:val="center"/>
              <w:rPr>
                <w:lang w:val="en-US"/>
              </w:rPr>
            </w:pPr>
            <w:r>
              <w:rPr>
                <w:lang w:val="en-US"/>
              </w:rPr>
              <w:t>Dish 41</w:t>
            </w:r>
            <w:r>
              <w:rPr>
                <w:lang w:val="en-US"/>
              </w:rPr>
              <w:br/>
              <w:t>Planar 28</w:t>
            </w:r>
          </w:p>
        </w:tc>
      </w:tr>
      <w:tr w:rsidR="00B9359B">
        <w:trPr>
          <w:cantSplit/>
        </w:trPr>
        <w:tc>
          <w:tcPr>
            <w:tcW w:w="6171" w:type="dxa"/>
          </w:tcPr>
          <w:p w:rsidR="00B9359B" w:rsidRDefault="009A5268">
            <w:pPr>
              <w:pStyle w:val="Tabletext"/>
              <w:framePr w:hSpace="181" w:wrap="notBeside" w:vAnchor="text" w:hAnchor="text" w:xAlign="center" w:y="1"/>
              <w:jc w:val="left"/>
              <w:rPr>
                <w:lang w:val="en-US"/>
              </w:rPr>
            </w:pPr>
            <w:r>
              <w:rPr>
                <w:lang w:val="en-US"/>
              </w:rPr>
              <w:t>Feeder/multiplexer loss (minimum) (dB)</w:t>
            </w:r>
          </w:p>
        </w:tc>
        <w:tc>
          <w:tcPr>
            <w:tcW w:w="1734" w:type="dxa"/>
          </w:tcPr>
          <w:p w:rsidR="00B9359B" w:rsidRDefault="009A5268">
            <w:pPr>
              <w:pStyle w:val="Tabletext"/>
              <w:framePr w:hSpace="181" w:wrap="notBeside" w:vAnchor="text" w:hAnchor="text" w:xAlign="center" w:y="1"/>
              <w:jc w:val="center"/>
              <w:rPr>
                <w:lang w:val="en-US"/>
              </w:rPr>
            </w:pPr>
            <w:r>
              <w:rPr>
                <w:lang w:val="en-US"/>
              </w:rPr>
              <w:t>0</w:t>
            </w:r>
          </w:p>
        </w:tc>
        <w:tc>
          <w:tcPr>
            <w:tcW w:w="1734" w:type="dxa"/>
          </w:tcPr>
          <w:p w:rsidR="00B9359B" w:rsidRDefault="009A5268">
            <w:pPr>
              <w:pStyle w:val="Tabletext"/>
              <w:framePr w:hSpace="181" w:wrap="notBeside" w:vAnchor="text" w:hAnchor="text" w:xAlign="center" w:y="1"/>
              <w:jc w:val="center"/>
              <w:rPr>
                <w:lang w:val="en-US"/>
              </w:rPr>
            </w:pPr>
            <w:r>
              <w:rPr>
                <w:lang w:val="en-US"/>
              </w:rPr>
              <w:t>0</w:t>
            </w:r>
          </w:p>
        </w:tc>
      </w:tr>
      <w:tr w:rsidR="00B9359B">
        <w:trPr>
          <w:cantSplit/>
        </w:trPr>
        <w:tc>
          <w:tcPr>
            <w:tcW w:w="6171" w:type="dxa"/>
          </w:tcPr>
          <w:p w:rsidR="00B9359B" w:rsidRDefault="009A5268">
            <w:pPr>
              <w:pStyle w:val="Tabletext"/>
              <w:framePr w:hSpace="181" w:wrap="notBeside" w:vAnchor="text" w:hAnchor="text" w:xAlign="center" w:y="1"/>
              <w:jc w:val="left"/>
              <w:rPr>
                <w:lang w:val="en-US"/>
              </w:rPr>
            </w:pPr>
            <w:r>
              <w:rPr>
                <w:lang w:val="en-US"/>
              </w:rPr>
              <w:t>Antenna beamwidth (3 dB) azimuth/elevation (degrees)</w:t>
            </w:r>
          </w:p>
        </w:tc>
        <w:tc>
          <w:tcPr>
            <w:tcW w:w="1734" w:type="dxa"/>
          </w:tcPr>
          <w:p w:rsidR="00B9359B" w:rsidRDefault="009A5268">
            <w:pPr>
              <w:pStyle w:val="Tabletext"/>
              <w:framePr w:hSpace="181" w:wrap="notBeside" w:vAnchor="text" w:hAnchor="text" w:xAlign="center" w:y="1"/>
              <w:jc w:val="center"/>
              <w:rPr>
                <w:lang w:val="en-US"/>
              </w:rPr>
            </w:pPr>
            <w:r>
              <w:rPr>
                <w:rFonts w:ascii="Symbol" w:hAnsi="Symbol"/>
                <w:lang w:val="es-ES"/>
              </w:rPr>
              <w:t></w:t>
            </w:r>
            <w:r>
              <w:rPr>
                <w:lang w:val="en-US"/>
              </w:rPr>
              <w:t>15</w:t>
            </w:r>
          </w:p>
        </w:tc>
        <w:tc>
          <w:tcPr>
            <w:tcW w:w="1734" w:type="dxa"/>
          </w:tcPr>
          <w:p w:rsidR="00B9359B" w:rsidRDefault="009A5268">
            <w:pPr>
              <w:pStyle w:val="Tabletext"/>
              <w:framePr w:hSpace="181" w:wrap="notBeside" w:vAnchor="text" w:hAnchor="text" w:xAlign="center" w:y="1"/>
              <w:jc w:val="center"/>
              <w:rPr>
                <w:lang w:val="en-US"/>
              </w:rPr>
            </w:pPr>
            <w:r>
              <w:rPr>
                <w:lang w:val="en-US"/>
              </w:rPr>
              <w:t xml:space="preserve">1.2 </w:t>
            </w:r>
            <w:r>
              <w:rPr>
                <w:rFonts w:ascii="Symbol" w:hAnsi="Symbol"/>
                <w:lang w:val="fr-CH"/>
              </w:rPr>
              <w:t></w:t>
            </w:r>
            <w:r>
              <w:rPr>
                <w:lang w:val="en-US"/>
              </w:rPr>
              <w:t xml:space="preserve"> 1.2</w:t>
            </w:r>
          </w:p>
        </w:tc>
      </w:tr>
      <w:tr w:rsidR="00B9359B">
        <w:trPr>
          <w:cantSplit/>
        </w:trPr>
        <w:tc>
          <w:tcPr>
            <w:tcW w:w="6171" w:type="dxa"/>
          </w:tcPr>
          <w:p w:rsidR="00B9359B" w:rsidRDefault="009A5268">
            <w:pPr>
              <w:pStyle w:val="Tabletext"/>
              <w:framePr w:hSpace="181" w:wrap="notBeside" w:vAnchor="text" w:hAnchor="text" w:xAlign="center" w:y="1"/>
              <w:jc w:val="left"/>
              <w:rPr>
                <w:lang w:val="en-US"/>
              </w:rPr>
            </w:pPr>
            <w:r>
              <w:rPr>
                <w:lang w:val="en-US"/>
              </w:rPr>
              <w:t>Maximum Tx output power (dBW)</w:t>
            </w:r>
          </w:p>
        </w:tc>
        <w:tc>
          <w:tcPr>
            <w:tcW w:w="1734" w:type="dxa"/>
          </w:tcPr>
          <w:p w:rsidR="00B9359B" w:rsidRDefault="009A5268">
            <w:pPr>
              <w:pStyle w:val="Tabletext"/>
              <w:framePr w:hSpace="181" w:wrap="notBeside" w:vAnchor="text" w:hAnchor="text" w:xAlign="center" w:y="1"/>
              <w:jc w:val="center"/>
              <w:rPr>
                <w:lang w:val="en-US"/>
              </w:rPr>
            </w:pPr>
            <w:r>
              <w:rPr>
                <w:lang w:val="en-US"/>
              </w:rPr>
              <w:t>–10</w:t>
            </w:r>
          </w:p>
        </w:tc>
        <w:tc>
          <w:tcPr>
            <w:tcW w:w="1734" w:type="dxa"/>
          </w:tcPr>
          <w:p w:rsidR="00B9359B" w:rsidRDefault="009A5268">
            <w:pPr>
              <w:pStyle w:val="Tabletext"/>
              <w:framePr w:hSpace="181" w:wrap="notBeside" w:vAnchor="text" w:hAnchor="text" w:xAlign="center" w:y="1"/>
              <w:jc w:val="center"/>
              <w:rPr>
                <w:lang w:val="en-US"/>
              </w:rPr>
            </w:pPr>
            <w:r>
              <w:rPr>
                <w:lang w:val="en-US"/>
              </w:rPr>
              <w:t>–15</w:t>
            </w:r>
          </w:p>
        </w:tc>
      </w:tr>
      <w:tr w:rsidR="00B9359B">
        <w:trPr>
          <w:cantSplit/>
        </w:trPr>
        <w:tc>
          <w:tcPr>
            <w:tcW w:w="6171" w:type="dxa"/>
            <w:tcBorders>
              <w:bottom w:val="single" w:sz="4" w:space="0" w:color="auto"/>
            </w:tcBorders>
          </w:tcPr>
          <w:p w:rsidR="00B9359B" w:rsidRDefault="009A5268">
            <w:pPr>
              <w:pStyle w:val="Tabletext"/>
              <w:framePr w:hSpace="181" w:wrap="notBeside" w:vAnchor="text" w:hAnchor="text" w:xAlign="center" w:y="1"/>
              <w:jc w:val="left"/>
              <w:rPr>
                <w:lang w:val="en-US"/>
              </w:rPr>
            </w:pPr>
            <w:r>
              <w:rPr>
                <w:lang w:val="en-US"/>
              </w:rPr>
              <w:t>e.i.r.p. (maximum) (dBW)</w:t>
            </w:r>
          </w:p>
        </w:tc>
        <w:tc>
          <w:tcPr>
            <w:tcW w:w="1734" w:type="dxa"/>
            <w:tcBorders>
              <w:bottom w:val="single" w:sz="4" w:space="0" w:color="auto"/>
            </w:tcBorders>
          </w:tcPr>
          <w:p w:rsidR="00B9359B" w:rsidRDefault="009A5268">
            <w:pPr>
              <w:pStyle w:val="Tabletext"/>
              <w:framePr w:hSpace="181" w:wrap="notBeside" w:vAnchor="text" w:hAnchor="text" w:xAlign="center" w:y="1"/>
              <w:jc w:val="center"/>
              <w:rPr>
                <w:lang w:val="en-US"/>
              </w:rPr>
            </w:pPr>
            <w:r>
              <w:rPr>
                <w:lang w:val="en-US"/>
              </w:rPr>
              <w:t>4</w:t>
            </w:r>
          </w:p>
        </w:tc>
        <w:tc>
          <w:tcPr>
            <w:tcW w:w="1734" w:type="dxa"/>
            <w:tcBorders>
              <w:bottom w:val="single" w:sz="4" w:space="0" w:color="auto"/>
            </w:tcBorders>
          </w:tcPr>
          <w:p w:rsidR="00B9359B" w:rsidRDefault="009A5268">
            <w:pPr>
              <w:pStyle w:val="Tabletext"/>
              <w:framePr w:hSpace="181" w:wrap="notBeside" w:vAnchor="text" w:hAnchor="text" w:xAlign="center" w:y="1"/>
              <w:jc w:val="center"/>
              <w:rPr>
                <w:lang w:val="en-US"/>
              </w:rPr>
            </w:pPr>
            <w:r>
              <w:rPr>
                <w:lang w:val="en-US"/>
              </w:rPr>
              <w:t>26/13</w:t>
            </w:r>
          </w:p>
        </w:tc>
      </w:tr>
    </w:tbl>
    <w:p w:rsidR="00B9359B" w:rsidRDefault="00B9359B">
      <w:pPr>
        <w:pStyle w:val="Tablefin"/>
        <w:spacing w:before="0"/>
      </w:pPr>
    </w:p>
    <w:p w:rsidR="00B9359B" w:rsidRDefault="009A5268">
      <w:pPr>
        <w:pStyle w:val="Heading2"/>
        <w:rPr>
          <w:lang w:val="en-US"/>
        </w:rPr>
      </w:pPr>
      <w:bookmarkStart w:id="663" w:name="_Toc51046062"/>
      <w:r>
        <w:rPr>
          <w:lang w:val="en-US"/>
        </w:rPr>
        <w:t>2.5</w:t>
      </w:r>
      <w:r>
        <w:rPr>
          <w:lang w:val="en-US"/>
        </w:rPr>
        <w:tab/>
        <w:t>Operational characteristics</w:t>
      </w:r>
      <w:bookmarkEnd w:id="663"/>
    </w:p>
    <w:p w:rsidR="00B9359B" w:rsidRDefault="009A5268">
      <w:pPr>
        <w:rPr>
          <w:lang w:val="en-US"/>
        </w:rPr>
      </w:pPr>
      <w:r>
        <w:rPr>
          <w:lang w:val="en-US"/>
        </w:rPr>
        <w:t>Recommendation ITU-R F.1496 provides channel arrangements for systems using 3.5 MHz, 7 MHz, 14 MHz, 28 MHz and 56 MHz channel spacing to be deployed in this band.</w:t>
      </w:r>
    </w:p>
    <w:p w:rsidR="00B9359B" w:rsidRDefault="009A5268">
      <w:pPr>
        <w:pStyle w:val="Heading3"/>
        <w:rPr>
          <w:lang w:val="en-US"/>
        </w:rPr>
      </w:pPr>
      <w:bookmarkStart w:id="664" w:name="_Toc51046063"/>
      <w:r>
        <w:rPr>
          <w:lang w:val="en-US"/>
        </w:rPr>
        <w:t>2.5.1</w:t>
      </w:r>
      <w:r>
        <w:rPr>
          <w:lang w:val="en-US"/>
        </w:rPr>
        <w:tab/>
        <w:t>P-P operational characteristics</w:t>
      </w:r>
      <w:bookmarkEnd w:id="664"/>
    </w:p>
    <w:p w:rsidR="00B9359B" w:rsidRDefault="009A5268">
      <w:pPr>
        <w:rPr>
          <w:lang w:val="en-US"/>
        </w:rPr>
      </w:pPr>
      <w:r>
        <w:rPr>
          <w:lang w:val="en-US"/>
        </w:rPr>
        <w:t>It is proposed to use as a first step a density of terminals of one terminal per km</w:t>
      </w:r>
      <w:r>
        <w:rPr>
          <w:vertAlign w:val="superscript"/>
          <w:lang w:val="en-US"/>
        </w:rPr>
        <w:t>2</w:t>
      </w:r>
      <w:r>
        <w:rPr>
          <w:rStyle w:val="FootnoteReference"/>
          <w:lang w:val="en-US"/>
        </w:rPr>
        <w:footnoteReference w:customMarkFollows="1" w:id="8"/>
        <w:t>*</w:t>
      </w:r>
      <w:r>
        <w:rPr>
          <w:lang w:val="en-US"/>
        </w:rPr>
        <w:t>.</w:t>
      </w:r>
    </w:p>
    <w:p w:rsidR="00B9359B" w:rsidRDefault="009A5268">
      <w:pPr>
        <w:pStyle w:val="Heading3"/>
        <w:rPr>
          <w:lang w:val="en-US"/>
        </w:rPr>
      </w:pPr>
      <w:bookmarkStart w:id="665" w:name="_Toc51046064"/>
      <w:r>
        <w:rPr>
          <w:lang w:val="en-US"/>
        </w:rPr>
        <w:t>2.5.2</w:t>
      </w:r>
      <w:r>
        <w:rPr>
          <w:lang w:val="en-US"/>
        </w:rPr>
        <w:tab/>
        <w:t>P-MP operational characteristics</w:t>
      </w:r>
      <w:bookmarkEnd w:id="665"/>
    </w:p>
    <w:p w:rsidR="00B9359B" w:rsidRDefault="009A5268">
      <w:pPr>
        <w:rPr>
          <w:lang w:val="en-US"/>
        </w:rPr>
      </w:pPr>
      <w:r>
        <w:rPr>
          <w:lang w:val="en-US"/>
        </w:rPr>
        <w:t>It is proposed to use as a first step a density of terminals of 0.3 terminal per km</w:t>
      </w:r>
      <w:r>
        <w:rPr>
          <w:vertAlign w:val="superscript"/>
          <w:lang w:val="en-US"/>
        </w:rPr>
        <w:t>2*</w:t>
      </w:r>
      <w:r>
        <w:rPr>
          <w:sz w:val="28"/>
          <w:vertAlign w:val="superscript"/>
          <w:lang w:val="en-US"/>
        </w:rPr>
        <w:t>.</w:t>
      </w:r>
    </w:p>
    <w:p w:rsidR="00B9359B" w:rsidRDefault="009A5268">
      <w:pPr>
        <w:rPr>
          <w:lang w:val="en-US"/>
        </w:rPr>
      </w:pPr>
      <w:r>
        <w:rPr>
          <w:bCs/>
          <w:i/>
          <w:iCs/>
          <w:lang w:val="en-US"/>
        </w:rPr>
        <w:t>Frequency reuse</w:t>
      </w:r>
      <w:r>
        <w:rPr>
          <w:bCs/>
          <w:lang w:val="en-US"/>
        </w:rPr>
        <w:t>:  </w:t>
      </w:r>
      <w:r>
        <w:rPr>
          <w:lang w:val="en-US"/>
        </w:rPr>
        <w:t>A frequency reuse of two is commonly used and is considered as a typical scenario. A frequency reuse factor of one is to be considered as a worst-case situation, which occurs rarely.</w:t>
      </w:r>
    </w:p>
    <w:p w:rsidR="00B9359B" w:rsidRDefault="009A5268">
      <w:pPr>
        <w:rPr>
          <w:lang w:val="en-US"/>
        </w:rPr>
      </w:pPr>
      <w:r>
        <w:rPr>
          <w:bCs/>
          <w:i/>
          <w:iCs/>
          <w:lang w:val="en-US"/>
        </w:rPr>
        <w:t>Sector antenna</w:t>
      </w:r>
      <w:r>
        <w:rPr>
          <w:bCs/>
          <w:lang w:val="en-US"/>
        </w:rPr>
        <w:t>:  </w:t>
      </w:r>
      <w:r>
        <w:rPr>
          <w:lang w:val="en-US"/>
        </w:rPr>
        <w:t>The typical sector antenna width is 90</w:t>
      </w:r>
      <w:r>
        <w:rPr>
          <w:rFonts w:ascii="Symbol" w:hAnsi="Symbol"/>
          <w:lang w:val="en-US"/>
        </w:rPr>
        <w:t></w:t>
      </w:r>
      <w:r>
        <w:rPr>
          <w:lang w:val="en-US"/>
        </w:rPr>
        <w:t>. In some cases, 45</w:t>
      </w:r>
      <w:r>
        <w:rPr>
          <w:rFonts w:ascii="Symbol" w:hAnsi="Symbol"/>
          <w:lang w:val="en-US"/>
        </w:rPr>
        <w:t></w:t>
      </w:r>
      <w:r>
        <w:rPr>
          <w:lang w:val="en-US"/>
        </w:rPr>
        <w:t xml:space="preserve"> sector antennas are foreseen where high amount of traffic capacities have to be transported from one station location.</w:t>
      </w:r>
    </w:p>
    <w:p w:rsidR="00B9359B" w:rsidRDefault="009A5268">
      <w:pPr>
        <w:rPr>
          <w:lang w:val="en-US"/>
        </w:rPr>
      </w:pPr>
      <w:r>
        <w:rPr>
          <w:lang w:val="en-US"/>
        </w:rPr>
        <w:t>Based on these considerations, a hub of a P-MP cell may serve typically two co-channel subscribers within a given cell.</w:t>
      </w:r>
    </w:p>
    <w:p w:rsidR="00B9359B" w:rsidRDefault="009A5268">
      <w:pPr>
        <w:pStyle w:val="Heading2"/>
        <w:rPr>
          <w:lang w:val="en-US"/>
        </w:rPr>
      </w:pPr>
      <w:bookmarkStart w:id="666" w:name="_Toc51046065"/>
      <w:r>
        <w:rPr>
          <w:lang w:val="en-US"/>
        </w:rPr>
        <w:t>2.6</w:t>
      </w:r>
      <w:r>
        <w:rPr>
          <w:lang w:val="en-US"/>
        </w:rPr>
        <w:tab/>
        <w:t>In-band transmit power</w:t>
      </w:r>
      <w:bookmarkEnd w:id="666"/>
    </w:p>
    <w:p w:rsidR="00B9359B" w:rsidRDefault="009A5268">
      <w:pPr>
        <w:rPr>
          <w:lang w:val="en-US"/>
        </w:rPr>
      </w:pPr>
      <w:r>
        <w:rPr>
          <w:lang w:val="en-US"/>
        </w:rPr>
        <w:t>See Tables 124 and 125.</w:t>
      </w:r>
    </w:p>
    <w:p w:rsidR="00B9359B" w:rsidRDefault="009A5268">
      <w:pPr>
        <w:pStyle w:val="Heading1"/>
        <w:rPr>
          <w:lang w:val="en-US"/>
        </w:rPr>
      </w:pPr>
      <w:bookmarkStart w:id="667" w:name="_Toc51046066"/>
      <w:r>
        <w:rPr>
          <w:lang w:val="en-US"/>
        </w:rPr>
        <w:t>3</w:t>
      </w:r>
      <w:r>
        <w:rPr>
          <w:lang w:val="en-US"/>
        </w:rPr>
        <w:tab/>
        <w:t>Compatibility threshold</w:t>
      </w:r>
      <w:bookmarkEnd w:id="667"/>
    </w:p>
    <w:p w:rsidR="00B9359B" w:rsidRDefault="009A5268">
      <w:pPr>
        <w:rPr>
          <w:lang w:val="en-US"/>
        </w:rPr>
      </w:pPr>
      <w:r>
        <w:rPr>
          <w:lang w:val="en-US"/>
        </w:rPr>
        <w:t>The passive sensor protection criterion is –166 dBW in a 100 MHz bandwidth (not to be exceeded for more than 0.01% of time as stipulated by Recommendation ITU-R SA.1029). Section 2.4 provides a set of characteristics for FS systems to be deployed in this band. Based on this information, it is possible to derive the allowed power from each FS system falling into the EESS band.</w:t>
      </w:r>
    </w:p>
    <w:p w:rsidR="00B9359B" w:rsidRDefault="00B9359B">
      <w:pPr>
        <w:rPr>
          <w:lang w:val="en-US"/>
        </w:rPr>
      </w:pPr>
    </w:p>
    <w:p w:rsidR="00B9359B" w:rsidRDefault="009A5268">
      <w:pPr>
        <w:rPr>
          <w:lang w:val="en-US"/>
        </w:rPr>
      </w:pPr>
      <w:r>
        <w:rPr>
          <w:lang w:val="en-US"/>
        </w:rPr>
        <w:br w:type="page"/>
        <w:t>Interference is potentially received from several sources from multiple services simultaneously. The value listed in Recommendation ITU-R SA.1029 (for a specific band) is the maximum allowable interference level for the passive sensor.</w:t>
      </w:r>
    </w:p>
    <w:p w:rsidR="00B9359B" w:rsidRDefault="009A5268">
      <w:pPr>
        <w:rPr>
          <w:lang w:val="en-US"/>
        </w:rPr>
      </w:pPr>
      <w:r>
        <w:rPr>
          <w:lang w:val="en-US"/>
        </w:rPr>
        <w:t>This Annex provides an analysis of the interference generated by a single active service.</w:t>
      </w:r>
    </w:p>
    <w:p w:rsidR="00B9359B" w:rsidRDefault="009A5268">
      <w:pPr>
        <w:rPr>
          <w:lang w:val="en-US"/>
        </w:rPr>
      </w:pPr>
      <w:r>
        <w:rPr>
          <w:lang w:val="en-US"/>
        </w:rPr>
        <w:t>Further work is needed to address the impact of these multiple active services operating above and below the passive band.</w:t>
      </w:r>
    </w:p>
    <w:p w:rsidR="00B9359B" w:rsidRDefault="009A5268">
      <w:pPr>
        <w:pStyle w:val="Heading1"/>
        <w:spacing w:before="400"/>
        <w:rPr>
          <w:lang w:val="en-US"/>
        </w:rPr>
      </w:pPr>
      <w:bookmarkStart w:id="668" w:name="_Toc51046067"/>
      <w:r>
        <w:rPr>
          <w:lang w:val="en-US"/>
        </w:rPr>
        <w:t>4</w:t>
      </w:r>
      <w:r>
        <w:rPr>
          <w:lang w:val="en-US"/>
        </w:rPr>
        <w:tab/>
        <w:t>Interference assessment</w:t>
      </w:r>
      <w:bookmarkEnd w:id="668"/>
    </w:p>
    <w:p w:rsidR="00B9359B" w:rsidRDefault="009A5268">
      <w:pPr>
        <w:pStyle w:val="Heading2"/>
        <w:rPr>
          <w:lang w:val="en-US"/>
        </w:rPr>
      </w:pPr>
      <w:bookmarkStart w:id="669" w:name="_Toc51046068"/>
      <w:r>
        <w:rPr>
          <w:lang w:val="en-US"/>
        </w:rPr>
        <w:t>4.1</w:t>
      </w:r>
      <w:r>
        <w:rPr>
          <w:lang w:val="en-US"/>
        </w:rPr>
        <w:tab/>
        <w:t>Methodology to assess the interference level</w:t>
      </w:r>
      <w:bookmarkEnd w:id="669"/>
    </w:p>
    <w:p w:rsidR="00B9359B" w:rsidRDefault="009A5268">
      <w:pPr>
        <w:rPr>
          <w:lang w:val="en-US"/>
        </w:rPr>
      </w:pPr>
      <w:r>
        <w:rPr>
          <w:lang w:val="en-US"/>
        </w:rPr>
        <w:t>The first step of this approach is to calculate the acceptable power resulting from a deployment of FS systems that may fall within an EESS pixel:</w:t>
      </w:r>
    </w:p>
    <w:p w:rsidR="00B9359B" w:rsidRDefault="009A5268">
      <w:pPr>
        <w:pStyle w:val="Equation"/>
        <w:spacing w:before="80"/>
        <w:jc w:val="center"/>
        <w:rPr>
          <w:lang w:val="en-US"/>
        </w:rPr>
      </w:pPr>
      <w:r>
        <w:rPr>
          <w:lang w:val="en-US"/>
        </w:rPr>
        <w:t xml:space="preserve">Aggregate power at the earth in 100 MHz </w:t>
      </w:r>
      <w:r>
        <w:rPr>
          <w:rFonts w:ascii="Symbol" w:hAnsi="Symbol"/>
          <w:lang w:val="en-US"/>
        </w:rPr>
        <w:t></w:t>
      </w:r>
      <w:r>
        <w:rPr>
          <w:lang w:val="en-US"/>
        </w:rPr>
        <w:t xml:space="preserve"> EESS protection criteria (dB(W/100 MHz)) –</w:t>
      </w:r>
      <w:r>
        <w:rPr>
          <w:lang w:val="en-US"/>
        </w:rPr>
        <w:br/>
        <w:t xml:space="preserve">EESS gain </w:t>
      </w:r>
      <w:r>
        <w:rPr>
          <w:rFonts w:ascii="Symbol" w:hAnsi="Symbol"/>
          <w:lang w:val="en-US"/>
        </w:rPr>
        <w:t></w:t>
      </w:r>
      <w:r>
        <w:rPr>
          <w:lang w:val="en-US"/>
        </w:rPr>
        <w:t xml:space="preserve"> free space loss.</w:t>
      </w:r>
    </w:p>
    <w:p w:rsidR="00B9359B" w:rsidRDefault="009A5268">
      <w:pPr>
        <w:rPr>
          <w:lang w:val="en-US"/>
        </w:rPr>
      </w:pPr>
      <w:r>
        <w:rPr>
          <w:lang w:val="en-US"/>
        </w:rPr>
        <w:t>Then it is possible to derive the unwanted level of emissions per FS system falling into the EESS 100 MHz reference bandwidth:</w:t>
      </w:r>
    </w:p>
    <w:p w:rsidR="00B9359B" w:rsidRDefault="009A5268">
      <w:pPr>
        <w:pStyle w:val="Equation"/>
        <w:spacing w:before="80"/>
        <w:jc w:val="center"/>
        <w:rPr>
          <w:lang w:val="en-US"/>
        </w:rPr>
      </w:pPr>
      <w:r>
        <w:rPr>
          <w:lang w:val="en-US"/>
        </w:rPr>
        <w:t xml:space="preserve">Power/Tx (dB(W/100 MHz)) </w:t>
      </w:r>
      <w:r>
        <w:rPr>
          <w:rFonts w:ascii="Symbol" w:hAnsi="Symbol"/>
        </w:rPr>
        <w:t></w:t>
      </w:r>
      <w:r>
        <w:rPr>
          <w:lang w:val="en-US"/>
        </w:rPr>
        <w:t xml:space="preserve"> aggregate power at the Earth in 100 MHz –</w:t>
      </w:r>
      <w:r>
        <w:rPr>
          <w:lang w:val="en-US"/>
        </w:rPr>
        <w:br/>
      </w:r>
      <w:r>
        <w:rPr>
          <w:i/>
          <w:iCs/>
          <w:lang w:val="en-US"/>
        </w:rPr>
        <w:t>N</w:t>
      </w:r>
      <w:r>
        <w:rPr>
          <w:i/>
          <w:iCs/>
          <w:vertAlign w:val="subscript"/>
          <w:lang w:val="en-US"/>
        </w:rPr>
        <w:t>b</w:t>
      </w:r>
      <w:r>
        <w:rPr>
          <w:lang w:val="en-US"/>
        </w:rPr>
        <w:t xml:space="preserve"> Tx (in EESS pixel) – FS gain in the EESS direction</w:t>
      </w:r>
    </w:p>
    <w:p w:rsidR="00B9359B" w:rsidRDefault="009A5268">
      <w:pPr>
        <w:pStyle w:val="Heading2"/>
        <w:spacing w:before="260"/>
        <w:rPr>
          <w:lang w:val="en-US"/>
        </w:rPr>
      </w:pPr>
      <w:bookmarkStart w:id="670" w:name="_Toc51046069"/>
      <w:r>
        <w:rPr>
          <w:lang w:val="en-US"/>
        </w:rPr>
        <w:t>4.2</w:t>
      </w:r>
      <w:r>
        <w:rPr>
          <w:lang w:val="en-US"/>
        </w:rPr>
        <w:tab/>
        <w:t>Calculation</w:t>
      </w:r>
      <w:bookmarkEnd w:id="670"/>
    </w:p>
    <w:p w:rsidR="00B9359B" w:rsidRDefault="009A5268">
      <w:pPr>
        <w:rPr>
          <w:lang w:val="en-US"/>
        </w:rPr>
      </w:pPr>
      <w:r>
        <w:rPr>
          <w:lang w:val="en-US"/>
        </w:rPr>
        <w:t>For P-P systems (see Table 126), Recommendation ITU-R F.1245 was used to derive the antenna gain in the zenith direction. The density of terminals operating at the same frequency is assumed to be one terminal per km</w:t>
      </w:r>
      <w:r>
        <w:rPr>
          <w:vertAlign w:val="superscript"/>
          <w:lang w:val="en-US"/>
        </w:rPr>
        <w:t>2</w:t>
      </w:r>
      <w:r>
        <w:rPr>
          <w:lang w:val="en-US"/>
        </w:rPr>
        <w:t>.</w:t>
      </w:r>
    </w:p>
    <w:p w:rsidR="00B9359B" w:rsidRDefault="009A5268">
      <w:pPr>
        <w:pStyle w:val="TableNo"/>
        <w:spacing w:before="0" w:after="100"/>
        <w:rPr>
          <w:lang w:val="en-US"/>
        </w:rPr>
      </w:pPr>
      <w:r>
        <w:rPr>
          <w:lang w:val="en-US"/>
        </w:rPr>
        <w:t>TABLE  126</w:t>
      </w:r>
    </w:p>
    <w:p w:rsidR="00B9359B" w:rsidRDefault="009A5268">
      <w:pPr>
        <w:pStyle w:val="Tabletitle"/>
        <w:spacing w:after="100"/>
        <w:rPr>
          <w:lang w:val="en-US"/>
        </w:rPr>
      </w:pPr>
      <w:r>
        <w:rPr>
          <w:lang w:val="en-US"/>
        </w:rPr>
        <w:t>Acceptable unwanted emissions level per P-P FS system</w:t>
      </w:r>
      <w:r>
        <w:rPr>
          <w:lang w:val="en-US"/>
        </w:rPr>
        <w:br/>
        <w:t>falling into the EESS band</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366"/>
        <w:gridCol w:w="1247"/>
        <w:gridCol w:w="1248"/>
      </w:tblGrid>
      <w:tr w:rsidR="00B9359B">
        <w:tc>
          <w:tcPr>
            <w:tcW w:w="4366" w:type="dxa"/>
          </w:tcPr>
          <w:p w:rsidR="00B9359B" w:rsidRDefault="009A5268">
            <w:pPr>
              <w:pStyle w:val="Tabletext"/>
              <w:framePr w:hSpace="181" w:wrap="notBeside" w:vAnchor="text" w:hAnchor="text" w:xAlign="center" w:y="1"/>
              <w:spacing w:before="20" w:after="20"/>
              <w:rPr>
                <w:rFonts w:eastAsia="Arial Unicode MS"/>
                <w:lang w:val="en-US"/>
              </w:rPr>
            </w:pPr>
            <w:r>
              <w:rPr>
                <w:lang w:val="en-US"/>
              </w:rPr>
              <w:t>Frequency (GHz)</w:t>
            </w:r>
          </w:p>
        </w:tc>
        <w:tc>
          <w:tcPr>
            <w:tcW w:w="2495" w:type="dxa"/>
            <w:gridSpan w:val="2"/>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52.6</w:t>
            </w:r>
          </w:p>
        </w:tc>
      </w:tr>
      <w:tr w:rsidR="00B9359B">
        <w:tc>
          <w:tcPr>
            <w:tcW w:w="4366" w:type="dxa"/>
          </w:tcPr>
          <w:p w:rsidR="00B9359B" w:rsidRDefault="009A5268">
            <w:pPr>
              <w:pStyle w:val="Tabletext"/>
              <w:framePr w:hSpace="181" w:wrap="notBeside" w:vAnchor="text" w:hAnchor="text" w:xAlign="center" w:y="1"/>
              <w:spacing w:before="20" w:after="20"/>
              <w:rPr>
                <w:rFonts w:eastAsia="Arial Unicode MS"/>
                <w:lang w:val="en-US"/>
              </w:rPr>
            </w:pPr>
            <w:r>
              <w:rPr>
                <w:lang w:val="en-US"/>
              </w:rPr>
              <w:t>Interference criteria (dB(W/100 MHz))</w:t>
            </w:r>
          </w:p>
        </w:tc>
        <w:tc>
          <w:tcPr>
            <w:tcW w:w="2495" w:type="dxa"/>
            <w:gridSpan w:val="2"/>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–166</w:t>
            </w:r>
          </w:p>
        </w:tc>
      </w:tr>
      <w:tr w:rsidR="00B9359B">
        <w:tc>
          <w:tcPr>
            <w:tcW w:w="4366" w:type="dxa"/>
          </w:tcPr>
          <w:p w:rsidR="00B9359B" w:rsidRDefault="009A5268">
            <w:pPr>
              <w:pStyle w:val="Tabletext"/>
              <w:framePr w:hSpace="181" w:wrap="notBeside" w:vAnchor="text" w:hAnchor="text" w:xAlign="center" w:y="1"/>
              <w:spacing w:before="20" w:after="20"/>
              <w:rPr>
                <w:rFonts w:eastAsia="Arial Unicode MS"/>
                <w:lang w:val="en-US"/>
              </w:rPr>
            </w:pPr>
            <w:r>
              <w:rPr>
                <w:lang w:val="en-US"/>
              </w:rPr>
              <w:t>Altitude (km)</w:t>
            </w:r>
          </w:p>
        </w:tc>
        <w:tc>
          <w:tcPr>
            <w:tcW w:w="2495" w:type="dxa"/>
            <w:gridSpan w:val="2"/>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850</w:t>
            </w:r>
          </w:p>
        </w:tc>
      </w:tr>
      <w:tr w:rsidR="00B9359B">
        <w:tc>
          <w:tcPr>
            <w:tcW w:w="4366" w:type="dxa"/>
          </w:tcPr>
          <w:p w:rsidR="00B9359B" w:rsidRDefault="009A5268">
            <w:pPr>
              <w:pStyle w:val="Tabletext"/>
              <w:framePr w:hSpace="181" w:wrap="notBeside" w:vAnchor="text" w:hAnchor="text" w:xAlign="center" w:y="1"/>
              <w:spacing w:before="20" w:after="20"/>
              <w:rPr>
                <w:rFonts w:eastAsia="Arial Unicode MS"/>
                <w:lang w:val="en-US"/>
              </w:rPr>
            </w:pPr>
            <w:r>
              <w:rPr>
                <w:lang w:val="en-US"/>
              </w:rPr>
              <w:t>Reference bandwidth (MHz)</w:t>
            </w:r>
          </w:p>
        </w:tc>
        <w:tc>
          <w:tcPr>
            <w:tcW w:w="2495" w:type="dxa"/>
            <w:gridSpan w:val="2"/>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100</w:t>
            </w:r>
          </w:p>
        </w:tc>
      </w:tr>
      <w:tr w:rsidR="00B9359B">
        <w:tc>
          <w:tcPr>
            <w:tcW w:w="4366" w:type="dxa"/>
          </w:tcPr>
          <w:p w:rsidR="00B9359B" w:rsidRDefault="009A5268">
            <w:pPr>
              <w:pStyle w:val="Tabletext"/>
              <w:framePr w:hSpace="181" w:wrap="notBeside" w:vAnchor="text" w:hAnchor="text" w:xAlign="center" w:y="1"/>
              <w:spacing w:before="20" w:after="20"/>
              <w:rPr>
                <w:rFonts w:eastAsia="Arial Unicode MS"/>
                <w:lang w:val="en-US"/>
              </w:rPr>
            </w:pPr>
            <w:r>
              <w:rPr>
                <w:lang w:val="en-US"/>
              </w:rPr>
              <w:t>Gain EESS</w:t>
            </w:r>
          </w:p>
        </w:tc>
        <w:tc>
          <w:tcPr>
            <w:tcW w:w="2495" w:type="dxa"/>
            <w:gridSpan w:val="2"/>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45</w:t>
            </w:r>
          </w:p>
        </w:tc>
      </w:tr>
      <w:tr w:rsidR="00B9359B">
        <w:tc>
          <w:tcPr>
            <w:tcW w:w="4366" w:type="dxa"/>
          </w:tcPr>
          <w:p w:rsidR="00B9359B" w:rsidRDefault="009A5268">
            <w:pPr>
              <w:pStyle w:val="Tabletext"/>
              <w:framePr w:hSpace="181" w:wrap="notBeside" w:vAnchor="text" w:hAnchor="text" w:xAlign="center" w:y="1"/>
              <w:spacing w:before="20" w:after="20"/>
              <w:rPr>
                <w:rFonts w:eastAsia="Arial Unicode MS"/>
                <w:lang w:val="en-US"/>
              </w:rPr>
            </w:pPr>
            <w:r>
              <w:rPr>
                <w:lang w:val="en-US"/>
              </w:rPr>
              <w:t>Free space loss</w:t>
            </w:r>
          </w:p>
        </w:tc>
        <w:tc>
          <w:tcPr>
            <w:tcW w:w="2495" w:type="dxa"/>
            <w:gridSpan w:val="2"/>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185.5</w:t>
            </w:r>
          </w:p>
        </w:tc>
      </w:tr>
      <w:tr w:rsidR="00B9359B">
        <w:tc>
          <w:tcPr>
            <w:tcW w:w="4366" w:type="dxa"/>
          </w:tcPr>
          <w:p w:rsidR="00B9359B" w:rsidRDefault="009A5268">
            <w:pPr>
              <w:pStyle w:val="Tabletext"/>
              <w:framePr w:hSpace="181" w:wrap="notBeside" w:vAnchor="text" w:hAnchor="text" w:xAlign="center" w:y="1"/>
              <w:spacing w:before="20" w:after="20"/>
              <w:rPr>
                <w:lang w:val="en-US"/>
              </w:rPr>
            </w:pPr>
            <w:r>
              <w:rPr>
                <w:lang w:val="en-US"/>
              </w:rPr>
              <w:t>Gaseous absorption (dB)</w:t>
            </w:r>
          </w:p>
        </w:tc>
        <w:tc>
          <w:tcPr>
            <w:tcW w:w="2495" w:type="dxa"/>
            <w:gridSpan w:val="2"/>
            <w:vAlign w:val="bottom"/>
          </w:tcPr>
          <w:p w:rsidR="00B9359B" w:rsidRDefault="009A5268">
            <w:pPr>
              <w:pStyle w:val="Tabletext"/>
              <w:framePr w:hSpace="181" w:wrap="notBeside" w:vAnchor="text" w:hAnchor="text" w:xAlign="center" w:y="1"/>
              <w:spacing w:before="20" w:after="20"/>
              <w:jc w:val="center"/>
              <w:rPr>
                <w:lang w:val="en-US"/>
              </w:rPr>
            </w:pPr>
            <w:r>
              <w:rPr>
                <w:lang w:val="en-US"/>
              </w:rPr>
              <w:t>3</w:t>
            </w:r>
          </w:p>
        </w:tc>
      </w:tr>
      <w:tr w:rsidR="00B9359B">
        <w:tc>
          <w:tcPr>
            <w:tcW w:w="4366" w:type="dxa"/>
          </w:tcPr>
          <w:p w:rsidR="00B9359B" w:rsidRDefault="009A5268">
            <w:pPr>
              <w:pStyle w:val="Tabletext"/>
              <w:framePr w:hSpace="181" w:wrap="notBeside" w:vAnchor="text" w:hAnchor="text" w:xAlign="center" w:y="1"/>
              <w:spacing w:before="20" w:after="20"/>
              <w:rPr>
                <w:rFonts w:eastAsia="Arial Unicode MS"/>
                <w:lang w:val="en-US"/>
              </w:rPr>
            </w:pPr>
            <w:r>
              <w:rPr>
                <w:lang w:val="en-US"/>
              </w:rPr>
              <w:t>Aggregate at the Earth (dB(W/100 MHz))</w:t>
            </w:r>
          </w:p>
        </w:tc>
        <w:tc>
          <w:tcPr>
            <w:tcW w:w="2495" w:type="dxa"/>
            <w:gridSpan w:val="2"/>
            <w:vAlign w:val="bottom"/>
          </w:tcPr>
          <w:p w:rsidR="00B9359B" w:rsidRDefault="009A5268">
            <w:pPr>
              <w:pStyle w:val="Tabletext"/>
              <w:framePr w:hSpace="181" w:wrap="notBeside" w:vAnchor="text" w:hAnchor="text" w:xAlign="center" w:y="1"/>
              <w:spacing w:before="20" w:after="20"/>
              <w:jc w:val="center"/>
              <w:rPr>
                <w:rFonts w:eastAsia="Arial Unicode MS"/>
                <w:b/>
                <w:bCs/>
                <w:lang w:val="en-US"/>
              </w:rPr>
            </w:pPr>
            <w:r>
              <w:rPr>
                <w:b/>
                <w:bCs/>
                <w:lang w:val="en-US"/>
              </w:rPr>
              <w:t>–22.5</w:t>
            </w:r>
          </w:p>
        </w:tc>
      </w:tr>
      <w:tr w:rsidR="00B9359B">
        <w:tc>
          <w:tcPr>
            <w:tcW w:w="4366" w:type="dxa"/>
          </w:tcPr>
          <w:p w:rsidR="00B9359B" w:rsidRDefault="009A5268">
            <w:pPr>
              <w:pStyle w:val="Tabletext"/>
              <w:framePr w:hSpace="181" w:wrap="notBeside" w:vAnchor="text" w:hAnchor="text" w:xAlign="center" w:y="1"/>
              <w:spacing w:before="20" w:after="20"/>
              <w:rPr>
                <w:rFonts w:eastAsia="Arial Unicode MS"/>
                <w:lang w:val="en-US"/>
              </w:rPr>
            </w:pPr>
            <w:r>
              <w:rPr>
                <w:lang w:val="en-US"/>
              </w:rPr>
              <w:t>Aggregate at the Earth (dB(W/MHz))</w:t>
            </w:r>
          </w:p>
        </w:tc>
        <w:tc>
          <w:tcPr>
            <w:tcW w:w="2495" w:type="dxa"/>
            <w:gridSpan w:val="2"/>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w:t>
            </w:r>
            <w:r>
              <w:rPr>
                <w:sz w:val="4"/>
                <w:lang w:val="en-US"/>
              </w:rPr>
              <w:t> </w:t>
            </w:r>
            <w:r>
              <w:rPr>
                <w:lang w:val="en-US"/>
              </w:rPr>
              <w:t>42.5</w:t>
            </w:r>
          </w:p>
        </w:tc>
      </w:tr>
      <w:tr w:rsidR="00B9359B">
        <w:tc>
          <w:tcPr>
            <w:tcW w:w="4366" w:type="dxa"/>
          </w:tcPr>
          <w:p w:rsidR="00B9359B" w:rsidRDefault="009A5268">
            <w:pPr>
              <w:pStyle w:val="Tabletext"/>
              <w:framePr w:hSpace="181" w:wrap="notBeside" w:vAnchor="text" w:hAnchor="text" w:xAlign="center" w:y="1"/>
              <w:spacing w:before="20" w:after="20"/>
              <w:rPr>
                <w:rFonts w:eastAsia="Arial Unicode MS"/>
                <w:i/>
                <w:iCs/>
                <w:lang w:val="en-US"/>
              </w:rPr>
            </w:pPr>
            <w:r>
              <w:rPr>
                <w:rFonts w:eastAsia="Arial Unicode MS"/>
                <w:i/>
                <w:iCs/>
                <w:lang w:val="en-US"/>
              </w:rPr>
              <w:t>Station type</w:t>
            </w:r>
          </w:p>
        </w:tc>
        <w:tc>
          <w:tcPr>
            <w:tcW w:w="1247"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rFonts w:eastAsia="Arial Unicode MS"/>
                <w:lang w:val="en-US"/>
              </w:rPr>
              <w:t>CS</w:t>
            </w:r>
          </w:p>
        </w:tc>
        <w:tc>
          <w:tcPr>
            <w:tcW w:w="1248"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rFonts w:eastAsia="Arial Unicode MS"/>
                <w:lang w:val="en-US"/>
              </w:rPr>
              <w:t>TS</w:t>
            </w:r>
          </w:p>
        </w:tc>
      </w:tr>
      <w:tr w:rsidR="00B9359B">
        <w:tc>
          <w:tcPr>
            <w:tcW w:w="4366" w:type="dxa"/>
          </w:tcPr>
          <w:p w:rsidR="00B9359B" w:rsidRDefault="009A5268">
            <w:pPr>
              <w:pStyle w:val="Tabletext"/>
              <w:framePr w:hSpace="181" w:wrap="notBeside" w:vAnchor="text" w:hAnchor="text" w:xAlign="center" w:y="1"/>
              <w:spacing w:before="20" w:after="20"/>
              <w:ind w:left="284" w:right="284"/>
              <w:rPr>
                <w:rFonts w:eastAsia="Arial Unicode MS"/>
                <w:lang w:val="en-US"/>
              </w:rPr>
            </w:pPr>
            <w:r>
              <w:rPr>
                <w:lang w:val="en-US"/>
              </w:rPr>
              <w:t>Channel spacing (MHz)</w:t>
            </w:r>
          </w:p>
        </w:tc>
        <w:tc>
          <w:tcPr>
            <w:tcW w:w="1247" w:type="dxa"/>
            <w:vAlign w:val="bottom"/>
          </w:tcPr>
          <w:p w:rsidR="00B9359B" w:rsidRDefault="009A5268">
            <w:pPr>
              <w:pStyle w:val="Tabletext"/>
              <w:framePr w:hSpace="181" w:wrap="notBeside" w:vAnchor="text" w:hAnchor="text" w:xAlign="center" w:y="1"/>
              <w:spacing w:before="20" w:after="20"/>
              <w:jc w:val="center"/>
              <w:rPr>
                <w:rFonts w:eastAsia="Arial Unicode MS"/>
                <w:b/>
                <w:bCs/>
                <w:lang w:val="en-US"/>
              </w:rPr>
            </w:pPr>
            <w:r>
              <w:rPr>
                <w:b/>
                <w:bCs/>
                <w:lang w:val="en-US"/>
              </w:rPr>
              <w:t>56</w:t>
            </w:r>
          </w:p>
        </w:tc>
        <w:tc>
          <w:tcPr>
            <w:tcW w:w="1248" w:type="dxa"/>
            <w:vAlign w:val="bottom"/>
          </w:tcPr>
          <w:p w:rsidR="00B9359B" w:rsidRDefault="009A5268">
            <w:pPr>
              <w:pStyle w:val="Tabletext"/>
              <w:framePr w:hSpace="181" w:wrap="notBeside" w:vAnchor="text" w:hAnchor="text" w:xAlign="center" w:y="1"/>
              <w:spacing w:before="20" w:after="20"/>
              <w:jc w:val="center"/>
              <w:rPr>
                <w:rFonts w:eastAsia="Arial Unicode MS"/>
                <w:b/>
                <w:bCs/>
                <w:lang w:val="en-US"/>
              </w:rPr>
            </w:pPr>
            <w:r>
              <w:rPr>
                <w:b/>
                <w:bCs/>
                <w:lang w:val="en-US"/>
              </w:rPr>
              <w:t>3.5</w:t>
            </w:r>
          </w:p>
        </w:tc>
      </w:tr>
      <w:tr w:rsidR="00B9359B">
        <w:tc>
          <w:tcPr>
            <w:tcW w:w="4366" w:type="dxa"/>
          </w:tcPr>
          <w:p w:rsidR="00B9359B" w:rsidRDefault="009A5268">
            <w:pPr>
              <w:pStyle w:val="Tabletext"/>
              <w:framePr w:hSpace="181" w:wrap="notBeside" w:vAnchor="text" w:hAnchor="text" w:xAlign="center" w:y="1"/>
              <w:spacing w:before="20" w:after="20"/>
              <w:ind w:left="284" w:right="284"/>
              <w:rPr>
                <w:rFonts w:eastAsia="Arial Unicode MS"/>
                <w:lang w:val="en-US"/>
              </w:rPr>
            </w:pPr>
            <w:r>
              <w:rPr>
                <w:lang w:val="en-US"/>
              </w:rPr>
              <w:t>FS antenna gain</w:t>
            </w:r>
          </w:p>
        </w:tc>
        <w:tc>
          <w:tcPr>
            <w:tcW w:w="1247"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50</w:t>
            </w:r>
          </w:p>
        </w:tc>
        <w:tc>
          <w:tcPr>
            <w:tcW w:w="1248"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50</w:t>
            </w:r>
          </w:p>
        </w:tc>
      </w:tr>
      <w:tr w:rsidR="00B9359B">
        <w:tc>
          <w:tcPr>
            <w:tcW w:w="4366" w:type="dxa"/>
          </w:tcPr>
          <w:p w:rsidR="00B9359B" w:rsidRDefault="009A5268">
            <w:pPr>
              <w:pStyle w:val="Tabletext"/>
              <w:framePr w:hSpace="181" w:wrap="notBeside" w:vAnchor="text" w:hAnchor="text" w:xAlign="center" w:y="1"/>
              <w:spacing w:before="20" w:after="20"/>
              <w:ind w:left="284" w:right="284"/>
              <w:rPr>
                <w:rFonts w:eastAsia="Arial Unicode MS"/>
                <w:lang w:val="en-US"/>
              </w:rPr>
            </w:pPr>
            <w:r>
              <w:rPr>
                <w:lang w:val="en-US"/>
              </w:rPr>
              <w:t>FS gain in the EESS direction</w:t>
            </w:r>
          </w:p>
        </w:tc>
        <w:tc>
          <w:tcPr>
            <w:tcW w:w="1247"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–13</w:t>
            </w:r>
          </w:p>
        </w:tc>
        <w:tc>
          <w:tcPr>
            <w:tcW w:w="1248"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–13</w:t>
            </w:r>
          </w:p>
        </w:tc>
      </w:tr>
      <w:tr w:rsidR="00B9359B">
        <w:tc>
          <w:tcPr>
            <w:tcW w:w="4366" w:type="dxa"/>
          </w:tcPr>
          <w:p w:rsidR="00B9359B" w:rsidRDefault="009A5268">
            <w:pPr>
              <w:pStyle w:val="Tabletext"/>
              <w:framePr w:hSpace="181" w:wrap="notBeside" w:vAnchor="text" w:hAnchor="text" w:xAlign="center" w:y="1"/>
              <w:spacing w:before="20" w:after="20"/>
              <w:ind w:left="284" w:right="284"/>
              <w:rPr>
                <w:rFonts w:eastAsia="Arial Unicode MS"/>
                <w:lang w:val="en-US"/>
              </w:rPr>
            </w:pPr>
            <w:r>
              <w:rPr>
                <w:lang w:val="en-US"/>
              </w:rPr>
              <w:t>Aggregate power (dB(W/MHz))</w:t>
            </w:r>
          </w:p>
        </w:tc>
        <w:tc>
          <w:tcPr>
            <w:tcW w:w="1247"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–29.5</w:t>
            </w:r>
          </w:p>
        </w:tc>
        <w:tc>
          <w:tcPr>
            <w:tcW w:w="1248"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–29.5</w:t>
            </w:r>
          </w:p>
        </w:tc>
      </w:tr>
      <w:tr w:rsidR="00B9359B">
        <w:tc>
          <w:tcPr>
            <w:tcW w:w="4366" w:type="dxa"/>
          </w:tcPr>
          <w:p w:rsidR="00B9359B" w:rsidRDefault="009A5268">
            <w:pPr>
              <w:pStyle w:val="Tabletext"/>
              <w:framePr w:hSpace="181" w:wrap="notBeside" w:vAnchor="text" w:hAnchor="text" w:xAlign="center" w:y="1"/>
              <w:spacing w:before="20" w:after="20"/>
              <w:ind w:left="284" w:right="284"/>
              <w:rPr>
                <w:rFonts w:eastAsia="Arial Unicode MS"/>
                <w:lang w:val="en-US"/>
              </w:rPr>
            </w:pPr>
            <w:r>
              <w:rPr>
                <w:lang w:val="en-US"/>
              </w:rPr>
              <w:t>Density of systems/km</w:t>
            </w:r>
            <w:r>
              <w:rPr>
                <w:vertAlign w:val="superscript"/>
                <w:lang w:val="en-US"/>
              </w:rPr>
              <w:t>2</w:t>
            </w:r>
          </w:p>
        </w:tc>
        <w:tc>
          <w:tcPr>
            <w:tcW w:w="1247"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1</w:t>
            </w:r>
          </w:p>
        </w:tc>
        <w:tc>
          <w:tcPr>
            <w:tcW w:w="1248"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1</w:t>
            </w:r>
          </w:p>
        </w:tc>
      </w:tr>
      <w:tr w:rsidR="00B9359B">
        <w:tc>
          <w:tcPr>
            <w:tcW w:w="4366" w:type="dxa"/>
          </w:tcPr>
          <w:p w:rsidR="00B9359B" w:rsidRDefault="009A5268">
            <w:pPr>
              <w:pStyle w:val="Tabletext"/>
              <w:framePr w:hSpace="181" w:wrap="notBeside" w:vAnchor="text" w:hAnchor="text" w:xAlign="center" w:y="1"/>
              <w:spacing w:before="20" w:after="20"/>
              <w:ind w:left="284" w:right="284"/>
              <w:rPr>
                <w:rFonts w:eastAsia="Arial Unicode MS"/>
                <w:lang w:val="en-US"/>
              </w:rPr>
            </w:pPr>
            <w:r>
              <w:rPr>
                <w:lang w:val="en-US"/>
              </w:rPr>
              <w:t>Pixel size/km</w:t>
            </w:r>
            <w:r>
              <w:rPr>
                <w:vertAlign w:val="superscript"/>
                <w:lang w:val="en-US"/>
              </w:rPr>
              <w:t>2</w:t>
            </w:r>
          </w:p>
        </w:tc>
        <w:tc>
          <w:tcPr>
            <w:tcW w:w="1247"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201</w:t>
            </w:r>
          </w:p>
        </w:tc>
        <w:tc>
          <w:tcPr>
            <w:tcW w:w="1248"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201</w:t>
            </w:r>
          </w:p>
        </w:tc>
      </w:tr>
      <w:tr w:rsidR="00B9359B">
        <w:tc>
          <w:tcPr>
            <w:tcW w:w="4366" w:type="dxa"/>
          </w:tcPr>
          <w:p w:rsidR="00B9359B" w:rsidRDefault="009A5268">
            <w:pPr>
              <w:pStyle w:val="Tabletext"/>
              <w:framePr w:hSpace="181" w:wrap="notBeside" w:vAnchor="text" w:hAnchor="text" w:xAlign="center" w:y="1"/>
              <w:spacing w:before="20" w:after="20"/>
              <w:ind w:left="284" w:right="284"/>
              <w:rPr>
                <w:rFonts w:eastAsia="Arial Unicode MS"/>
                <w:lang w:val="en-US"/>
              </w:rPr>
            </w:pPr>
            <w:r>
              <w:rPr>
                <w:i/>
                <w:iCs/>
                <w:lang w:val="en-US"/>
              </w:rPr>
              <w:t>N</w:t>
            </w:r>
            <w:r>
              <w:rPr>
                <w:i/>
                <w:iCs/>
                <w:vertAlign w:val="subscript"/>
                <w:lang w:val="en-US"/>
              </w:rPr>
              <w:t>b</w:t>
            </w:r>
            <w:r>
              <w:rPr>
                <w:lang w:val="en-US"/>
              </w:rPr>
              <w:t xml:space="preserve"> Tx</w:t>
            </w:r>
          </w:p>
        </w:tc>
        <w:tc>
          <w:tcPr>
            <w:tcW w:w="1247"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201</w:t>
            </w:r>
          </w:p>
        </w:tc>
        <w:tc>
          <w:tcPr>
            <w:tcW w:w="1248"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201</w:t>
            </w:r>
          </w:p>
        </w:tc>
      </w:tr>
      <w:tr w:rsidR="00B9359B">
        <w:tc>
          <w:tcPr>
            <w:tcW w:w="4366" w:type="dxa"/>
          </w:tcPr>
          <w:p w:rsidR="00B9359B" w:rsidRDefault="009A5268">
            <w:pPr>
              <w:pStyle w:val="Tabletext"/>
              <w:framePr w:hSpace="181" w:wrap="notBeside" w:vAnchor="text" w:hAnchor="text" w:xAlign="center" w:y="1"/>
              <w:spacing w:before="20" w:after="20"/>
              <w:ind w:left="284" w:right="284"/>
              <w:rPr>
                <w:rFonts w:eastAsia="Arial Unicode MS"/>
                <w:lang w:val="en-US"/>
              </w:rPr>
            </w:pPr>
            <w:r>
              <w:rPr>
                <w:lang w:val="en-US"/>
              </w:rPr>
              <w:t>Power/Tx (dB(W/MHz))</w:t>
            </w:r>
          </w:p>
        </w:tc>
        <w:tc>
          <w:tcPr>
            <w:tcW w:w="1247"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–52.5</w:t>
            </w:r>
          </w:p>
        </w:tc>
        <w:tc>
          <w:tcPr>
            <w:tcW w:w="1248" w:type="dxa"/>
            <w:vAlign w:val="bottom"/>
          </w:tcPr>
          <w:p w:rsidR="00B9359B" w:rsidRDefault="009A5268">
            <w:pPr>
              <w:pStyle w:val="Tabletext"/>
              <w:framePr w:hSpace="181" w:wrap="notBeside" w:vAnchor="text" w:hAnchor="text" w:xAlign="center" w:y="1"/>
              <w:spacing w:before="20" w:after="20"/>
              <w:jc w:val="center"/>
              <w:rPr>
                <w:rFonts w:eastAsia="Arial Unicode MS"/>
                <w:lang w:val="en-US"/>
              </w:rPr>
            </w:pPr>
            <w:r>
              <w:rPr>
                <w:lang w:val="en-US"/>
              </w:rPr>
              <w:t>–52.5</w:t>
            </w:r>
          </w:p>
        </w:tc>
      </w:tr>
      <w:tr w:rsidR="00B9359B">
        <w:tc>
          <w:tcPr>
            <w:tcW w:w="4366" w:type="dxa"/>
          </w:tcPr>
          <w:p w:rsidR="00B9359B" w:rsidRDefault="009A5268">
            <w:pPr>
              <w:pStyle w:val="Tabletext"/>
              <w:framePr w:hSpace="181" w:wrap="notBeside" w:vAnchor="text" w:hAnchor="text" w:xAlign="center" w:y="1"/>
              <w:spacing w:before="20" w:after="20"/>
              <w:ind w:left="284" w:right="284"/>
              <w:rPr>
                <w:rFonts w:eastAsia="Arial Unicode MS"/>
                <w:lang w:val="en-US"/>
              </w:rPr>
            </w:pPr>
            <w:r>
              <w:rPr>
                <w:lang w:val="en-US"/>
              </w:rPr>
              <w:t>Power/Tx (dB(W/100 MHz))</w:t>
            </w:r>
          </w:p>
        </w:tc>
        <w:tc>
          <w:tcPr>
            <w:tcW w:w="1247" w:type="dxa"/>
            <w:vAlign w:val="bottom"/>
          </w:tcPr>
          <w:p w:rsidR="00B9359B" w:rsidRDefault="009A5268">
            <w:pPr>
              <w:pStyle w:val="Tabletext"/>
              <w:framePr w:hSpace="181" w:wrap="notBeside" w:vAnchor="text" w:hAnchor="text" w:xAlign="center" w:y="1"/>
              <w:spacing w:before="20" w:after="20"/>
              <w:jc w:val="center"/>
              <w:rPr>
                <w:rFonts w:eastAsia="Arial Unicode MS"/>
                <w:b/>
                <w:bCs/>
                <w:lang w:val="en-US"/>
              </w:rPr>
            </w:pPr>
            <w:r>
              <w:rPr>
                <w:b/>
                <w:bCs/>
                <w:lang w:val="en-US"/>
              </w:rPr>
              <w:t>–32.5</w:t>
            </w:r>
          </w:p>
        </w:tc>
        <w:tc>
          <w:tcPr>
            <w:tcW w:w="1248" w:type="dxa"/>
            <w:vAlign w:val="bottom"/>
          </w:tcPr>
          <w:p w:rsidR="00B9359B" w:rsidRDefault="009A5268">
            <w:pPr>
              <w:pStyle w:val="Tabletext"/>
              <w:framePr w:hSpace="181" w:wrap="notBeside" w:vAnchor="text" w:hAnchor="text" w:xAlign="center" w:y="1"/>
              <w:spacing w:before="20" w:after="20"/>
              <w:jc w:val="center"/>
              <w:rPr>
                <w:rFonts w:eastAsia="Arial Unicode MS"/>
                <w:b/>
                <w:bCs/>
                <w:lang w:val="en-US"/>
              </w:rPr>
            </w:pPr>
            <w:r>
              <w:rPr>
                <w:b/>
                <w:bCs/>
                <w:lang w:val="en-US"/>
              </w:rPr>
              <w:t>–32.5</w:t>
            </w:r>
          </w:p>
        </w:tc>
      </w:tr>
    </w:tbl>
    <w:p w:rsidR="00B9359B" w:rsidRDefault="00B9359B">
      <w:pPr>
        <w:pStyle w:val="Tablefin"/>
        <w:spacing w:before="0"/>
        <w:rPr>
          <w:sz w:val="6"/>
        </w:rPr>
      </w:pPr>
    </w:p>
    <w:p w:rsidR="00B9359B" w:rsidRDefault="009A5268">
      <w:pPr>
        <w:rPr>
          <w:lang w:val="en-US"/>
        </w:rPr>
      </w:pPr>
      <w:r>
        <w:rPr>
          <w:lang w:val="en-US"/>
        </w:rPr>
        <w:br w:type="page"/>
        <w:t>For P-MP terminal stations (see Table 127), Recommendation ITU-R F.1245 was used to derive the antenna gain in the zenith direction. For P-MP central stations, Recommendation ITU</w:t>
      </w:r>
      <w:r>
        <w:rPr>
          <w:lang w:val="en-US"/>
        </w:rPr>
        <w:noBreakHyphen/>
        <w:t>R F.1336 was used to derive the antenna gain in the zenith direction. The density of site of a central station operating at the same frequency is assumed to be 0.3 terminal per km</w:t>
      </w:r>
      <w:r>
        <w:rPr>
          <w:vertAlign w:val="superscript"/>
          <w:lang w:val="en-US"/>
        </w:rPr>
        <w:t>2</w:t>
      </w:r>
      <w:r>
        <w:rPr>
          <w:lang w:val="en-US"/>
        </w:rPr>
        <w:t>. On the same site, two central stations may use the same frequency assuming 90</w:t>
      </w:r>
      <w:r>
        <w:rPr>
          <w:rFonts w:ascii="Symbol" w:hAnsi="Symbol"/>
          <w:lang w:val="en-US"/>
        </w:rPr>
        <w:t></w:t>
      </w:r>
      <w:r>
        <w:rPr>
          <w:lang w:val="en-US"/>
        </w:rPr>
        <w:t xml:space="preserve"> sector antenna. Therefore, two terminal stations may use the same frequency within the same cell.</w:t>
      </w:r>
    </w:p>
    <w:p w:rsidR="00B9359B" w:rsidRDefault="009A5268">
      <w:pPr>
        <w:pStyle w:val="TableNo"/>
        <w:rPr>
          <w:lang w:val="en-US"/>
        </w:rPr>
      </w:pPr>
      <w:r>
        <w:rPr>
          <w:lang w:val="en-US"/>
        </w:rPr>
        <w:t>TABLE  127</w:t>
      </w:r>
    </w:p>
    <w:p w:rsidR="00B9359B" w:rsidRDefault="009A5268">
      <w:pPr>
        <w:pStyle w:val="Tabletitle"/>
        <w:rPr>
          <w:lang w:val="en-US"/>
        </w:rPr>
      </w:pPr>
      <w:r>
        <w:rPr>
          <w:lang w:val="en-US"/>
        </w:rPr>
        <w:t>Acceptable unwanted emissions level per P-MP FS system</w:t>
      </w:r>
      <w:r>
        <w:rPr>
          <w:lang w:val="en-US"/>
        </w:rPr>
        <w:br/>
        <w:t>falling into the EESS band</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366"/>
        <w:gridCol w:w="1247"/>
        <w:gridCol w:w="1248"/>
      </w:tblGrid>
      <w:tr w:rsidR="00B9359B">
        <w:trPr>
          <w:trHeight w:val="255"/>
        </w:trPr>
        <w:tc>
          <w:tcPr>
            <w:tcW w:w="4366" w:type="dxa"/>
            <w:vAlign w:val="bottom"/>
          </w:tcPr>
          <w:p w:rsidR="00B9359B" w:rsidRDefault="009A5268">
            <w:pPr>
              <w:pStyle w:val="Tabletext"/>
              <w:framePr w:hSpace="181" w:wrap="notBeside" w:vAnchor="text" w:hAnchor="text" w:xAlign="center" w:y="1"/>
              <w:spacing w:before="50" w:after="50"/>
              <w:rPr>
                <w:rFonts w:eastAsia="Arial Unicode MS"/>
                <w:lang w:val="en-US"/>
              </w:rPr>
            </w:pPr>
            <w:r>
              <w:rPr>
                <w:lang w:val="en-US"/>
              </w:rPr>
              <w:t>Frequency (GHz)</w:t>
            </w:r>
          </w:p>
        </w:tc>
        <w:tc>
          <w:tcPr>
            <w:tcW w:w="2495" w:type="dxa"/>
            <w:gridSpan w:val="2"/>
            <w:vAlign w:val="bottom"/>
          </w:tcPr>
          <w:p w:rsidR="00B9359B" w:rsidRDefault="009A5268">
            <w:pPr>
              <w:pStyle w:val="Tabletext"/>
              <w:framePr w:hSpace="181" w:wrap="notBeside" w:vAnchor="text" w:hAnchor="text" w:xAlign="center" w:y="1"/>
              <w:spacing w:before="50" w:after="50"/>
              <w:jc w:val="center"/>
              <w:rPr>
                <w:rFonts w:eastAsia="Arial Unicode MS"/>
                <w:lang w:val="en-US"/>
              </w:rPr>
            </w:pPr>
            <w:r>
              <w:rPr>
                <w:lang w:val="en-US"/>
              </w:rPr>
              <w:t>52.6</w:t>
            </w:r>
          </w:p>
        </w:tc>
      </w:tr>
      <w:tr w:rsidR="00B9359B">
        <w:trPr>
          <w:trHeight w:val="255"/>
        </w:trPr>
        <w:tc>
          <w:tcPr>
            <w:tcW w:w="4366" w:type="dxa"/>
            <w:vAlign w:val="bottom"/>
          </w:tcPr>
          <w:p w:rsidR="00B9359B" w:rsidRDefault="009A5268">
            <w:pPr>
              <w:pStyle w:val="Tabletext"/>
              <w:framePr w:hSpace="181" w:wrap="notBeside" w:vAnchor="text" w:hAnchor="text" w:xAlign="center" w:y="1"/>
              <w:spacing w:before="50" w:after="50"/>
              <w:rPr>
                <w:rFonts w:eastAsia="Arial Unicode MS"/>
                <w:lang w:val="en-US"/>
              </w:rPr>
            </w:pPr>
            <w:r>
              <w:rPr>
                <w:lang w:val="en-US"/>
              </w:rPr>
              <w:t>Interference criteria (dB(W/100 MHz))</w:t>
            </w:r>
          </w:p>
        </w:tc>
        <w:tc>
          <w:tcPr>
            <w:tcW w:w="2495" w:type="dxa"/>
            <w:gridSpan w:val="2"/>
            <w:vAlign w:val="bottom"/>
          </w:tcPr>
          <w:p w:rsidR="00B9359B" w:rsidRDefault="009A5268">
            <w:pPr>
              <w:pStyle w:val="Tabletext"/>
              <w:framePr w:hSpace="181" w:wrap="notBeside" w:vAnchor="text" w:hAnchor="text" w:xAlign="center" w:y="1"/>
              <w:spacing w:before="50" w:after="50"/>
              <w:jc w:val="center"/>
              <w:rPr>
                <w:rFonts w:eastAsia="Arial Unicode MS"/>
                <w:lang w:val="en-US"/>
              </w:rPr>
            </w:pPr>
            <w:r>
              <w:rPr>
                <w:lang w:val="en-US"/>
              </w:rPr>
              <w:t>–166</w:t>
            </w:r>
          </w:p>
        </w:tc>
      </w:tr>
      <w:tr w:rsidR="00B9359B">
        <w:trPr>
          <w:trHeight w:val="255"/>
        </w:trPr>
        <w:tc>
          <w:tcPr>
            <w:tcW w:w="4366" w:type="dxa"/>
            <w:vAlign w:val="bottom"/>
          </w:tcPr>
          <w:p w:rsidR="00B9359B" w:rsidRDefault="009A5268">
            <w:pPr>
              <w:pStyle w:val="Tabletext"/>
              <w:framePr w:hSpace="181" w:wrap="notBeside" w:vAnchor="text" w:hAnchor="text" w:xAlign="center" w:y="1"/>
              <w:spacing w:before="50" w:after="50"/>
              <w:rPr>
                <w:rFonts w:eastAsia="Arial Unicode MS"/>
                <w:lang w:val="en-US"/>
              </w:rPr>
            </w:pPr>
            <w:r>
              <w:rPr>
                <w:lang w:val="en-US"/>
              </w:rPr>
              <w:t>Altitude (km)</w:t>
            </w:r>
          </w:p>
        </w:tc>
        <w:tc>
          <w:tcPr>
            <w:tcW w:w="2495" w:type="dxa"/>
            <w:gridSpan w:val="2"/>
            <w:vAlign w:val="bottom"/>
          </w:tcPr>
          <w:p w:rsidR="00B9359B" w:rsidRDefault="009A5268">
            <w:pPr>
              <w:pStyle w:val="Tabletext"/>
              <w:framePr w:hSpace="181" w:wrap="notBeside" w:vAnchor="text" w:hAnchor="text" w:xAlign="center" w:y="1"/>
              <w:spacing w:before="50" w:after="50"/>
              <w:jc w:val="center"/>
              <w:rPr>
                <w:rFonts w:eastAsia="Arial Unicode MS"/>
                <w:lang w:val="en-US"/>
              </w:rPr>
            </w:pPr>
            <w:r>
              <w:rPr>
                <w:lang w:val="en-US"/>
              </w:rPr>
              <w:t>850</w:t>
            </w:r>
          </w:p>
        </w:tc>
      </w:tr>
      <w:tr w:rsidR="00B9359B">
        <w:trPr>
          <w:trHeight w:val="255"/>
        </w:trPr>
        <w:tc>
          <w:tcPr>
            <w:tcW w:w="4366" w:type="dxa"/>
            <w:vAlign w:val="bottom"/>
          </w:tcPr>
          <w:p w:rsidR="00B9359B" w:rsidRDefault="009A5268">
            <w:pPr>
              <w:pStyle w:val="Tabletext"/>
              <w:framePr w:hSpace="181" w:wrap="notBeside" w:vAnchor="text" w:hAnchor="text" w:xAlign="center" w:y="1"/>
              <w:spacing w:before="50" w:after="50"/>
              <w:rPr>
                <w:rFonts w:eastAsia="Arial Unicode MS"/>
                <w:lang w:val="en-US"/>
              </w:rPr>
            </w:pPr>
            <w:r>
              <w:rPr>
                <w:lang w:val="en-US"/>
              </w:rPr>
              <w:t>Reference bandwidth (MHz)</w:t>
            </w:r>
          </w:p>
        </w:tc>
        <w:tc>
          <w:tcPr>
            <w:tcW w:w="2495" w:type="dxa"/>
            <w:gridSpan w:val="2"/>
            <w:vAlign w:val="bottom"/>
          </w:tcPr>
          <w:p w:rsidR="00B9359B" w:rsidRDefault="009A5268">
            <w:pPr>
              <w:pStyle w:val="Tabletext"/>
              <w:framePr w:hSpace="181" w:wrap="notBeside" w:vAnchor="text" w:hAnchor="text" w:xAlign="center" w:y="1"/>
              <w:spacing w:before="50" w:after="50"/>
              <w:jc w:val="center"/>
              <w:rPr>
                <w:rFonts w:eastAsia="Arial Unicode MS"/>
                <w:lang w:val="en-US"/>
              </w:rPr>
            </w:pPr>
            <w:r>
              <w:rPr>
                <w:lang w:val="en-US"/>
              </w:rPr>
              <w:t>100</w:t>
            </w:r>
          </w:p>
        </w:tc>
      </w:tr>
      <w:tr w:rsidR="00B9359B">
        <w:trPr>
          <w:trHeight w:val="255"/>
        </w:trPr>
        <w:tc>
          <w:tcPr>
            <w:tcW w:w="4366" w:type="dxa"/>
            <w:vAlign w:val="bottom"/>
          </w:tcPr>
          <w:p w:rsidR="00B9359B" w:rsidRDefault="009A5268">
            <w:pPr>
              <w:pStyle w:val="Tabletext"/>
              <w:framePr w:hSpace="181" w:wrap="notBeside" w:vAnchor="text" w:hAnchor="text" w:xAlign="center" w:y="1"/>
              <w:spacing w:before="50" w:after="50"/>
              <w:rPr>
                <w:rFonts w:eastAsia="Arial Unicode MS"/>
                <w:lang w:val="en-US"/>
              </w:rPr>
            </w:pPr>
            <w:r>
              <w:rPr>
                <w:lang w:val="en-US"/>
              </w:rPr>
              <w:t>Gain EESS</w:t>
            </w:r>
          </w:p>
        </w:tc>
        <w:tc>
          <w:tcPr>
            <w:tcW w:w="2495" w:type="dxa"/>
            <w:gridSpan w:val="2"/>
            <w:vAlign w:val="bottom"/>
          </w:tcPr>
          <w:p w:rsidR="00B9359B" w:rsidRDefault="009A5268">
            <w:pPr>
              <w:pStyle w:val="Tabletext"/>
              <w:framePr w:hSpace="181" w:wrap="notBeside" w:vAnchor="text" w:hAnchor="text" w:xAlign="center" w:y="1"/>
              <w:spacing w:before="50" w:after="50"/>
              <w:jc w:val="center"/>
              <w:rPr>
                <w:rFonts w:eastAsia="Arial Unicode MS"/>
                <w:lang w:val="en-US"/>
              </w:rPr>
            </w:pPr>
            <w:r>
              <w:rPr>
                <w:lang w:val="en-US"/>
              </w:rPr>
              <w:t>45</w:t>
            </w:r>
          </w:p>
        </w:tc>
      </w:tr>
      <w:tr w:rsidR="00B9359B">
        <w:trPr>
          <w:trHeight w:val="255"/>
        </w:trPr>
        <w:tc>
          <w:tcPr>
            <w:tcW w:w="4366" w:type="dxa"/>
            <w:vAlign w:val="bottom"/>
          </w:tcPr>
          <w:p w:rsidR="00B9359B" w:rsidRDefault="009A5268">
            <w:pPr>
              <w:pStyle w:val="Tabletext"/>
              <w:framePr w:hSpace="181" w:wrap="notBeside" w:vAnchor="text" w:hAnchor="text" w:xAlign="center" w:y="1"/>
              <w:spacing w:before="50" w:after="50"/>
              <w:rPr>
                <w:rFonts w:eastAsia="Arial Unicode MS"/>
                <w:lang w:val="en-US"/>
              </w:rPr>
            </w:pPr>
            <w:r>
              <w:rPr>
                <w:lang w:val="en-US"/>
              </w:rPr>
              <w:t>Free space loss</w:t>
            </w:r>
          </w:p>
        </w:tc>
        <w:tc>
          <w:tcPr>
            <w:tcW w:w="2495" w:type="dxa"/>
            <w:gridSpan w:val="2"/>
            <w:vAlign w:val="bottom"/>
          </w:tcPr>
          <w:p w:rsidR="00B9359B" w:rsidRDefault="009A5268">
            <w:pPr>
              <w:pStyle w:val="Tabletext"/>
              <w:framePr w:hSpace="181" w:wrap="notBeside" w:vAnchor="text" w:hAnchor="text" w:xAlign="center" w:y="1"/>
              <w:spacing w:before="50" w:after="50"/>
              <w:jc w:val="center"/>
              <w:rPr>
                <w:rFonts w:eastAsia="Arial Unicode MS"/>
                <w:lang w:val="en-US"/>
              </w:rPr>
            </w:pPr>
            <w:r>
              <w:rPr>
                <w:lang w:val="en-US"/>
              </w:rPr>
              <w:t>185.5</w:t>
            </w:r>
          </w:p>
        </w:tc>
      </w:tr>
      <w:tr w:rsidR="00B9359B">
        <w:trPr>
          <w:trHeight w:val="255"/>
        </w:trPr>
        <w:tc>
          <w:tcPr>
            <w:tcW w:w="4366" w:type="dxa"/>
            <w:vAlign w:val="bottom"/>
          </w:tcPr>
          <w:p w:rsidR="00B9359B" w:rsidRDefault="009A5268">
            <w:pPr>
              <w:pStyle w:val="Tabletext"/>
              <w:framePr w:hSpace="181" w:wrap="notBeside" w:vAnchor="text" w:hAnchor="text" w:xAlign="center" w:y="1"/>
              <w:spacing w:before="50" w:after="50"/>
              <w:rPr>
                <w:lang w:val="en-US"/>
              </w:rPr>
            </w:pPr>
            <w:r>
              <w:rPr>
                <w:lang w:val="en-US"/>
              </w:rPr>
              <w:t>Gaseous absorption</w:t>
            </w:r>
          </w:p>
        </w:tc>
        <w:tc>
          <w:tcPr>
            <w:tcW w:w="2495" w:type="dxa"/>
            <w:gridSpan w:val="2"/>
            <w:vAlign w:val="bottom"/>
          </w:tcPr>
          <w:p w:rsidR="00B9359B" w:rsidRDefault="009A5268">
            <w:pPr>
              <w:pStyle w:val="Tabletext"/>
              <w:framePr w:hSpace="181" w:wrap="notBeside" w:vAnchor="text" w:hAnchor="text" w:xAlign="center" w:y="1"/>
              <w:spacing w:before="50" w:after="50"/>
              <w:jc w:val="center"/>
              <w:rPr>
                <w:lang w:val="en-US"/>
              </w:rPr>
            </w:pPr>
            <w:r>
              <w:rPr>
                <w:lang w:val="en-US"/>
              </w:rPr>
              <w:t>3</w:t>
            </w:r>
          </w:p>
        </w:tc>
      </w:tr>
      <w:tr w:rsidR="00B9359B">
        <w:trPr>
          <w:trHeight w:val="255"/>
        </w:trPr>
        <w:tc>
          <w:tcPr>
            <w:tcW w:w="4366" w:type="dxa"/>
            <w:vAlign w:val="bottom"/>
          </w:tcPr>
          <w:p w:rsidR="00B9359B" w:rsidRDefault="009A5268">
            <w:pPr>
              <w:pStyle w:val="Tabletext"/>
              <w:framePr w:hSpace="181" w:wrap="notBeside" w:vAnchor="text" w:hAnchor="text" w:xAlign="center" w:y="1"/>
              <w:spacing w:before="50" w:after="50"/>
              <w:rPr>
                <w:rFonts w:eastAsia="Arial Unicode MS"/>
                <w:lang w:val="en-US"/>
              </w:rPr>
            </w:pPr>
            <w:r>
              <w:rPr>
                <w:lang w:val="en-US"/>
              </w:rPr>
              <w:t>Aggregate at the Earth (dB(W/100 MHz))</w:t>
            </w:r>
          </w:p>
        </w:tc>
        <w:tc>
          <w:tcPr>
            <w:tcW w:w="2495" w:type="dxa"/>
            <w:gridSpan w:val="2"/>
            <w:vAlign w:val="bottom"/>
          </w:tcPr>
          <w:p w:rsidR="00B9359B" w:rsidRDefault="009A5268">
            <w:pPr>
              <w:pStyle w:val="Tabletext"/>
              <w:framePr w:hSpace="181" w:wrap="notBeside" w:vAnchor="text" w:hAnchor="text" w:xAlign="center" w:y="1"/>
              <w:spacing w:before="50" w:after="50"/>
              <w:jc w:val="center"/>
              <w:rPr>
                <w:rFonts w:eastAsia="Arial Unicode MS"/>
                <w:lang w:val="en-US"/>
              </w:rPr>
            </w:pPr>
            <w:r>
              <w:rPr>
                <w:lang w:val="en-US"/>
              </w:rPr>
              <w:t>–22.5</w:t>
            </w:r>
          </w:p>
        </w:tc>
      </w:tr>
      <w:tr w:rsidR="00B9359B">
        <w:trPr>
          <w:trHeight w:val="255"/>
        </w:trPr>
        <w:tc>
          <w:tcPr>
            <w:tcW w:w="4366" w:type="dxa"/>
            <w:vAlign w:val="bottom"/>
          </w:tcPr>
          <w:p w:rsidR="00B9359B" w:rsidRDefault="009A5268">
            <w:pPr>
              <w:pStyle w:val="Tabletext"/>
              <w:framePr w:hSpace="181" w:wrap="notBeside" w:vAnchor="text" w:hAnchor="text" w:xAlign="center" w:y="1"/>
              <w:spacing w:before="50" w:after="50"/>
              <w:rPr>
                <w:rFonts w:eastAsia="Arial Unicode MS"/>
                <w:lang w:val="en-US"/>
              </w:rPr>
            </w:pPr>
            <w:r>
              <w:rPr>
                <w:lang w:val="en-US"/>
              </w:rPr>
              <w:t>Aggregate at the Earth (dB(W/MHz))</w:t>
            </w:r>
          </w:p>
        </w:tc>
        <w:tc>
          <w:tcPr>
            <w:tcW w:w="2495" w:type="dxa"/>
            <w:gridSpan w:val="2"/>
            <w:vAlign w:val="bottom"/>
          </w:tcPr>
          <w:p w:rsidR="00B9359B" w:rsidRDefault="009A5268">
            <w:pPr>
              <w:pStyle w:val="Tabletext"/>
              <w:framePr w:hSpace="181" w:wrap="notBeside" w:vAnchor="text" w:hAnchor="text" w:xAlign="center" w:y="1"/>
              <w:spacing w:before="50" w:after="50"/>
              <w:jc w:val="center"/>
              <w:rPr>
                <w:rFonts w:eastAsia="Arial Unicode MS"/>
                <w:lang w:val="en-US"/>
              </w:rPr>
            </w:pPr>
            <w:r>
              <w:rPr>
                <w:lang w:val="en-US"/>
              </w:rPr>
              <w:t>–</w:t>
            </w:r>
            <w:r>
              <w:rPr>
                <w:sz w:val="4"/>
                <w:lang w:val="en-US"/>
              </w:rPr>
              <w:t> </w:t>
            </w:r>
            <w:r>
              <w:rPr>
                <w:lang w:val="en-US"/>
              </w:rPr>
              <w:t>42.5</w:t>
            </w:r>
          </w:p>
        </w:tc>
      </w:tr>
      <w:tr w:rsidR="00B9359B">
        <w:trPr>
          <w:trHeight w:val="255"/>
        </w:trPr>
        <w:tc>
          <w:tcPr>
            <w:tcW w:w="4366" w:type="dxa"/>
            <w:vAlign w:val="bottom"/>
          </w:tcPr>
          <w:p w:rsidR="00B9359B" w:rsidRDefault="009A5268">
            <w:pPr>
              <w:pStyle w:val="Tabletext"/>
              <w:framePr w:hSpace="181" w:wrap="notBeside" w:vAnchor="text" w:hAnchor="text" w:xAlign="center" w:y="1"/>
              <w:spacing w:before="50" w:after="50"/>
              <w:rPr>
                <w:i/>
                <w:iCs/>
                <w:lang w:val="en-US"/>
              </w:rPr>
            </w:pPr>
            <w:r>
              <w:rPr>
                <w:i/>
                <w:iCs/>
                <w:lang w:val="en-US"/>
              </w:rPr>
              <w:t>Station type</w:t>
            </w:r>
          </w:p>
        </w:tc>
        <w:tc>
          <w:tcPr>
            <w:tcW w:w="1247" w:type="dxa"/>
            <w:vAlign w:val="bottom"/>
          </w:tcPr>
          <w:p w:rsidR="00B9359B" w:rsidRDefault="009A5268">
            <w:pPr>
              <w:pStyle w:val="Tabletext"/>
              <w:framePr w:hSpace="181" w:wrap="notBeside" w:vAnchor="text" w:hAnchor="text" w:xAlign="center" w:y="1"/>
              <w:spacing w:before="50" w:after="50"/>
              <w:jc w:val="center"/>
              <w:rPr>
                <w:lang w:val="en-US"/>
              </w:rPr>
            </w:pPr>
            <w:r>
              <w:rPr>
                <w:lang w:val="en-US"/>
              </w:rPr>
              <w:t>CS</w:t>
            </w:r>
          </w:p>
        </w:tc>
        <w:tc>
          <w:tcPr>
            <w:tcW w:w="1247" w:type="dxa"/>
            <w:vAlign w:val="bottom"/>
          </w:tcPr>
          <w:p w:rsidR="00B9359B" w:rsidRDefault="009A5268">
            <w:pPr>
              <w:pStyle w:val="Tabletext"/>
              <w:framePr w:hSpace="181" w:wrap="notBeside" w:vAnchor="text" w:hAnchor="text" w:xAlign="center" w:y="1"/>
              <w:spacing w:before="50" w:after="50"/>
              <w:jc w:val="center"/>
              <w:rPr>
                <w:lang w:val="en-US"/>
              </w:rPr>
            </w:pPr>
            <w:r>
              <w:rPr>
                <w:lang w:val="en-US"/>
              </w:rPr>
              <w:t>TS</w:t>
            </w:r>
          </w:p>
        </w:tc>
      </w:tr>
      <w:tr w:rsidR="00B9359B">
        <w:trPr>
          <w:trHeight w:val="255"/>
        </w:trPr>
        <w:tc>
          <w:tcPr>
            <w:tcW w:w="4366" w:type="dxa"/>
            <w:vAlign w:val="bottom"/>
          </w:tcPr>
          <w:p w:rsidR="00B9359B" w:rsidRDefault="009A5268">
            <w:pPr>
              <w:pStyle w:val="Tabletext"/>
              <w:framePr w:hSpace="181" w:wrap="notBeside" w:vAnchor="text" w:hAnchor="text" w:xAlign="center" w:y="1"/>
              <w:spacing w:before="50" w:after="50"/>
              <w:ind w:left="284" w:right="284"/>
              <w:rPr>
                <w:rFonts w:eastAsia="Arial Unicode MS"/>
                <w:lang w:val="en-US"/>
              </w:rPr>
            </w:pPr>
            <w:r>
              <w:rPr>
                <w:lang w:val="en-US"/>
              </w:rPr>
              <w:t>Channel spacing (MHz)</w:t>
            </w:r>
          </w:p>
        </w:tc>
        <w:tc>
          <w:tcPr>
            <w:tcW w:w="1247" w:type="dxa"/>
            <w:vAlign w:val="bottom"/>
          </w:tcPr>
          <w:p w:rsidR="00B9359B" w:rsidRDefault="009A5268">
            <w:pPr>
              <w:pStyle w:val="Tabletext"/>
              <w:framePr w:hSpace="181" w:wrap="notBeside" w:vAnchor="text" w:hAnchor="text" w:xAlign="center" w:y="1"/>
              <w:spacing w:before="50" w:after="50"/>
              <w:jc w:val="center"/>
              <w:rPr>
                <w:rFonts w:eastAsia="Arial Unicode MS"/>
                <w:lang w:val="en-US"/>
              </w:rPr>
            </w:pPr>
            <w:r>
              <w:rPr>
                <w:lang w:val="en-US"/>
              </w:rPr>
              <w:t>28</w:t>
            </w:r>
          </w:p>
        </w:tc>
        <w:tc>
          <w:tcPr>
            <w:tcW w:w="1247" w:type="dxa"/>
            <w:vAlign w:val="bottom"/>
          </w:tcPr>
          <w:p w:rsidR="00B9359B" w:rsidRDefault="009A5268">
            <w:pPr>
              <w:pStyle w:val="Tabletext"/>
              <w:framePr w:hSpace="181" w:wrap="notBeside" w:vAnchor="text" w:hAnchor="text" w:xAlign="center" w:y="1"/>
              <w:spacing w:before="50" w:after="50"/>
              <w:jc w:val="center"/>
              <w:rPr>
                <w:rFonts w:eastAsia="Arial Unicode MS"/>
                <w:lang w:val="en-US"/>
              </w:rPr>
            </w:pPr>
            <w:r>
              <w:rPr>
                <w:lang w:val="en-US"/>
              </w:rPr>
              <w:t>28</w:t>
            </w:r>
          </w:p>
        </w:tc>
      </w:tr>
      <w:tr w:rsidR="00B9359B">
        <w:trPr>
          <w:trHeight w:val="255"/>
        </w:trPr>
        <w:tc>
          <w:tcPr>
            <w:tcW w:w="4366" w:type="dxa"/>
            <w:vAlign w:val="bottom"/>
          </w:tcPr>
          <w:p w:rsidR="00B9359B" w:rsidRDefault="009A5268">
            <w:pPr>
              <w:pStyle w:val="Tabletext"/>
              <w:framePr w:hSpace="181" w:wrap="notBeside" w:vAnchor="text" w:hAnchor="text" w:xAlign="center" w:y="1"/>
              <w:spacing w:before="50" w:after="50"/>
              <w:ind w:left="284" w:right="284"/>
              <w:rPr>
                <w:rFonts w:eastAsia="Arial Unicode MS"/>
                <w:lang w:val="en-US"/>
              </w:rPr>
            </w:pPr>
            <w:r>
              <w:rPr>
                <w:lang w:val="en-US"/>
              </w:rPr>
              <w:t>FS antenna gain</w:t>
            </w:r>
          </w:p>
        </w:tc>
        <w:tc>
          <w:tcPr>
            <w:tcW w:w="1247" w:type="dxa"/>
            <w:vAlign w:val="bottom"/>
          </w:tcPr>
          <w:p w:rsidR="00B9359B" w:rsidRDefault="009A5268">
            <w:pPr>
              <w:pStyle w:val="Tabletext"/>
              <w:framePr w:hSpace="181" w:wrap="notBeside" w:vAnchor="text" w:hAnchor="text" w:xAlign="center" w:y="1"/>
              <w:spacing w:before="50" w:after="50"/>
              <w:jc w:val="center"/>
              <w:rPr>
                <w:rFonts w:eastAsia="Arial Unicode MS"/>
                <w:lang w:val="en-US"/>
              </w:rPr>
            </w:pPr>
            <w:r>
              <w:rPr>
                <w:lang w:val="en-US"/>
              </w:rPr>
              <w:t>14</w:t>
            </w:r>
          </w:p>
        </w:tc>
        <w:tc>
          <w:tcPr>
            <w:tcW w:w="1247" w:type="dxa"/>
            <w:vAlign w:val="bottom"/>
          </w:tcPr>
          <w:p w:rsidR="00B9359B" w:rsidRDefault="009A5268">
            <w:pPr>
              <w:pStyle w:val="Tabletext"/>
              <w:framePr w:hSpace="181" w:wrap="notBeside" w:vAnchor="text" w:hAnchor="text" w:xAlign="center" w:y="1"/>
              <w:spacing w:before="50" w:after="50"/>
              <w:jc w:val="center"/>
              <w:rPr>
                <w:rFonts w:eastAsia="Arial Unicode MS"/>
                <w:lang w:val="en-US"/>
              </w:rPr>
            </w:pPr>
            <w:r>
              <w:rPr>
                <w:lang w:val="en-US"/>
              </w:rPr>
              <w:t>41</w:t>
            </w:r>
          </w:p>
        </w:tc>
      </w:tr>
      <w:tr w:rsidR="00B9359B">
        <w:trPr>
          <w:trHeight w:val="255"/>
        </w:trPr>
        <w:tc>
          <w:tcPr>
            <w:tcW w:w="4366" w:type="dxa"/>
            <w:vAlign w:val="bottom"/>
          </w:tcPr>
          <w:p w:rsidR="00B9359B" w:rsidRDefault="009A5268">
            <w:pPr>
              <w:pStyle w:val="Tabletext"/>
              <w:framePr w:hSpace="181" w:wrap="notBeside" w:vAnchor="text" w:hAnchor="text" w:xAlign="center" w:y="1"/>
              <w:spacing w:before="50" w:after="50"/>
              <w:ind w:left="284" w:right="284"/>
              <w:rPr>
                <w:rFonts w:eastAsia="Arial Unicode MS"/>
                <w:lang w:val="en-US"/>
              </w:rPr>
            </w:pPr>
            <w:r>
              <w:rPr>
                <w:lang w:val="en-US"/>
              </w:rPr>
              <w:t>FS Gain in the EESS direction</w:t>
            </w:r>
          </w:p>
        </w:tc>
        <w:tc>
          <w:tcPr>
            <w:tcW w:w="1247" w:type="dxa"/>
            <w:vAlign w:val="bottom"/>
          </w:tcPr>
          <w:p w:rsidR="00B9359B" w:rsidRDefault="009A5268">
            <w:pPr>
              <w:pStyle w:val="Tabletext"/>
              <w:framePr w:hSpace="181" w:wrap="notBeside" w:vAnchor="text" w:hAnchor="text" w:xAlign="center" w:y="1"/>
              <w:spacing w:before="50" w:after="50"/>
              <w:jc w:val="center"/>
              <w:rPr>
                <w:rFonts w:eastAsia="Arial Unicode MS"/>
                <w:lang w:val="en-US"/>
              </w:rPr>
            </w:pPr>
            <w:r>
              <w:rPr>
                <w:lang w:val="en-US"/>
              </w:rPr>
              <w:t>–10.3</w:t>
            </w:r>
          </w:p>
        </w:tc>
        <w:tc>
          <w:tcPr>
            <w:tcW w:w="1247" w:type="dxa"/>
            <w:vAlign w:val="bottom"/>
          </w:tcPr>
          <w:p w:rsidR="00B9359B" w:rsidRDefault="009A5268">
            <w:pPr>
              <w:pStyle w:val="Tabletext"/>
              <w:framePr w:hSpace="181" w:wrap="notBeside" w:vAnchor="text" w:hAnchor="text" w:xAlign="center" w:y="1"/>
              <w:spacing w:before="50" w:after="50"/>
              <w:jc w:val="center"/>
              <w:rPr>
                <w:rFonts w:eastAsia="Arial Unicode MS"/>
                <w:lang w:val="en-US"/>
              </w:rPr>
            </w:pPr>
            <w:r>
              <w:rPr>
                <w:lang w:val="en-US"/>
              </w:rPr>
              <w:t>–11.3</w:t>
            </w:r>
          </w:p>
        </w:tc>
      </w:tr>
      <w:tr w:rsidR="00B9359B">
        <w:trPr>
          <w:trHeight w:val="255"/>
        </w:trPr>
        <w:tc>
          <w:tcPr>
            <w:tcW w:w="4366" w:type="dxa"/>
            <w:vAlign w:val="bottom"/>
          </w:tcPr>
          <w:p w:rsidR="00B9359B" w:rsidRDefault="009A5268">
            <w:pPr>
              <w:pStyle w:val="Tabletext"/>
              <w:framePr w:hSpace="181" w:wrap="notBeside" w:vAnchor="text" w:hAnchor="text" w:xAlign="center" w:y="1"/>
              <w:spacing w:before="50" w:after="50"/>
              <w:ind w:left="284" w:right="284"/>
              <w:rPr>
                <w:rFonts w:eastAsia="Arial Unicode MS"/>
                <w:lang w:val="en-US"/>
              </w:rPr>
            </w:pPr>
            <w:r>
              <w:rPr>
                <w:lang w:val="en-US"/>
              </w:rPr>
              <w:t>Aggregate power (dB(W/MHz))</w:t>
            </w:r>
          </w:p>
        </w:tc>
        <w:tc>
          <w:tcPr>
            <w:tcW w:w="1247" w:type="dxa"/>
            <w:vAlign w:val="bottom"/>
          </w:tcPr>
          <w:p w:rsidR="00B9359B" w:rsidRDefault="009A5268">
            <w:pPr>
              <w:pStyle w:val="Tabletext"/>
              <w:framePr w:hSpace="181" w:wrap="notBeside" w:vAnchor="text" w:hAnchor="text" w:xAlign="center" w:y="1"/>
              <w:spacing w:before="50" w:after="50"/>
              <w:jc w:val="center"/>
              <w:rPr>
                <w:rFonts w:eastAsia="Arial Unicode MS"/>
                <w:lang w:val="en-US"/>
              </w:rPr>
            </w:pPr>
            <w:r>
              <w:rPr>
                <w:lang w:val="en-US"/>
              </w:rPr>
              <w:t>–32.2</w:t>
            </w:r>
          </w:p>
        </w:tc>
        <w:tc>
          <w:tcPr>
            <w:tcW w:w="1247" w:type="dxa"/>
            <w:vAlign w:val="bottom"/>
          </w:tcPr>
          <w:p w:rsidR="00B9359B" w:rsidRDefault="009A5268">
            <w:pPr>
              <w:pStyle w:val="Tabletext"/>
              <w:framePr w:hSpace="181" w:wrap="notBeside" w:vAnchor="text" w:hAnchor="text" w:xAlign="center" w:y="1"/>
              <w:spacing w:before="50" w:after="50"/>
              <w:jc w:val="center"/>
              <w:rPr>
                <w:rFonts w:eastAsia="Arial Unicode MS"/>
                <w:lang w:val="en-US"/>
              </w:rPr>
            </w:pPr>
            <w:r>
              <w:rPr>
                <w:lang w:val="en-US"/>
              </w:rPr>
              <w:t>–31.2</w:t>
            </w:r>
          </w:p>
        </w:tc>
      </w:tr>
      <w:tr w:rsidR="00B9359B">
        <w:trPr>
          <w:trHeight w:val="255"/>
        </w:trPr>
        <w:tc>
          <w:tcPr>
            <w:tcW w:w="4366" w:type="dxa"/>
            <w:vAlign w:val="bottom"/>
          </w:tcPr>
          <w:p w:rsidR="00B9359B" w:rsidRDefault="009A5268">
            <w:pPr>
              <w:pStyle w:val="Tabletext"/>
              <w:framePr w:hSpace="181" w:wrap="notBeside" w:vAnchor="text" w:hAnchor="text" w:xAlign="center" w:y="1"/>
              <w:spacing w:before="50" w:after="50"/>
              <w:ind w:left="284" w:right="284"/>
              <w:rPr>
                <w:rFonts w:eastAsia="Arial Unicode MS"/>
                <w:lang w:val="en-US"/>
              </w:rPr>
            </w:pPr>
            <w:r>
              <w:rPr>
                <w:lang w:val="en-US"/>
              </w:rPr>
              <w:t>Density of systems/km</w:t>
            </w:r>
            <w:r>
              <w:rPr>
                <w:vertAlign w:val="superscript"/>
                <w:lang w:val="en-US"/>
              </w:rPr>
              <w:t>2</w:t>
            </w:r>
          </w:p>
        </w:tc>
        <w:tc>
          <w:tcPr>
            <w:tcW w:w="1247" w:type="dxa"/>
            <w:vAlign w:val="bottom"/>
          </w:tcPr>
          <w:p w:rsidR="00B9359B" w:rsidRDefault="009A5268">
            <w:pPr>
              <w:pStyle w:val="Tabletext"/>
              <w:framePr w:hSpace="181" w:wrap="notBeside" w:vAnchor="text" w:hAnchor="text" w:xAlign="center" w:y="1"/>
              <w:spacing w:before="50" w:after="50"/>
              <w:jc w:val="center"/>
              <w:rPr>
                <w:rFonts w:eastAsia="Arial Unicode MS"/>
                <w:lang w:val="en-US"/>
              </w:rPr>
            </w:pPr>
            <w:r>
              <w:rPr>
                <w:lang w:val="en-US"/>
              </w:rPr>
              <w:t>0.6</w:t>
            </w:r>
          </w:p>
        </w:tc>
        <w:tc>
          <w:tcPr>
            <w:tcW w:w="1247" w:type="dxa"/>
            <w:vAlign w:val="bottom"/>
          </w:tcPr>
          <w:p w:rsidR="00B9359B" w:rsidRDefault="009A5268">
            <w:pPr>
              <w:pStyle w:val="Tabletext"/>
              <w:framePr w:hSpace="181" w:wrap="notBeside" w:vAnchor="text" w:hAnchor="text" w:xAlign="center" w:y="1"/>
              <w:spacing w:before="50" w:after="50"/>
              <w:jc w:val="center"/>
              <w:rPr>
                <w:rFonts w:eastAsia="Arial Unicode MS"/>
                <w:lang w:val="en-US"/>
              </w:rPr>
            </w:pPr>
            <w:r>
              <w:rPr>
                <w:lang w:val="en-US"/>
              </w:rPr>
              <w:t>0.6</w:t>
            </w:r>
          </w:p>
        </w:tc>
      </w:tr>
      <w:tr w:rsidR="00B9359B">
        <w:trPr>
          <w:trHeight w:val="255"/>
        </w:trPr>
        <w:tc>
          <w:tcPr>
            <w:tcW w:w="4366" w:type="dxa"/>
            <w:vAlign w:val="bottom"/>
          </w:tcPr>
          <w:p w:rsidR="00B9359B" w:rsidRDefault="009A5268">
            <w:pPr>
              <w:pStyle w:val="Tabletext"/>
              <w:framePr w:hSpace="181" w:wrap="notBeside" w:vAnchor="text" w:hAnchor="text" w:xAlign="center" w:y="1"/>
              <w:spacing w:before="50" w:after="50"/>
              <w:ind w:left="284" w:right="284"/>
              <w:rPr>
                <w:rFonts w:eastAsia="Arial Unicode MS"/>
                <w:lang w:val="en-US"/>
              </w:rPr>
            </w:pPr>
            <w:r>
              <w:rPr>
                <w:lang w:val="en-US"/>
              </w:rPr>
              <w:t>Pixel size/km</w:t>
            </w:r>
            <w:r>
              <w:rPr>
                <w:vertAlign w:val="superscript"/>
                <w:lang w:val="en-US"/>
              </w:rPr>
              <w:t>2</w:t>
            </w:r>
          </w:p>
        </w:tc>
        <w:tc>
          <w:tcPr>
            <w:tcW w:w="1247" w:type="dxa"/>
            <w:vAlign w:val="bottom"/>
          </w:tcPr>
          <w:p w:rsidR="00B9359B" w:rsidRDefault="009A5268">
            <w:pPr>
              <w:pStyle w:val="Tabletext"/>
              <w:framePr w:hSpace="181" w:wrap="notBeside" w:vAnchor="text" w:hAnchor="text" w:xAlign="center" w:y="1"/>
              <w:spacing w:before="50" w:after="50"/>
              <w:jc w:val="center"/>
              <w:rPr>
                <w:rFonts w:eastAsia="Arial Unicode MS"/>
                <w:lang w:val="en-US"/>
              </w:rPr>
            </w:pPr>
            <w:r>
              <w:rPr>
                <w:lang w:val="en-US"/>
              </w:rPr>
              <w:t>201</w:t>
            </w:r>
          </w:p>
        </w:tc>
        <w:tc>
          <w:tcPr>
            <w:tcW w:w="1247" w:type="dxa"/>
            <w:vAlign w:val="bottom"/>
          </w:tcPr>
          <w:p w:rsidR="00B9359B" w:rsidRDefault="009A5268">
            <w:pPr>
              <w:pStyle w:val="Tabletext"/>
              <w:framePr w:hSpace="181" w:wrap="notBeside" w:vAnchor="text" w:hAnchor="text" w:xAlign="center" w:y="1"/>
              <w:spacing w:before="50" w:after="50"/>
              <w:jc w:val="center"/>
              <w:rPr>
                <w:rFonts w:eastAsia="Arial Unicode MS"/>
                <w:lang w:val="en-US"/>
              </w:rPr>
            </w:pPr>
            <w:r>
              <w:rPr>
                <w:lang w:val="en-US"/>
              </w:rPr>
              <w:t>201</w:t>
            </w:r>
          </w:p>
        </w:tc>
      </w:tr>
      <w:tr w:rsidR="00B9359B">
        <w:trPr>
          <w:trHeight w:val="255"/>
        </w:trPr>
        <w:tc>
          <w:tcPr>
            <w:tcW w:w="4366" w:type="dxa"/>
            <w:vAlign w:val="bottom"/>
          </w:tcPr>
          <w:p w:rsidR="00B9359B" w:rsidRDefault="009A5268">
            <w:pPr>
              <w:pStyle w:val="Tabletext"/>
              <w:framePr w:hSpace="181" w:wrap="notBeside" w:vAnchor="text" w:hAnchor="text" w:xAlign="center" w:y="1"/>
              <w:spacing w:before="50" w:after="50"/>
              <w:ind w:left="284" w:right="284"/>
              <w:rPr>
                <w:rFonts w:eastAsia="Arial Unicode MS"/>
                <w:lang w:val="en-US"/>
              </w:rPr>
            </w:pPr>
            <w:r>
              <w:rPr>
                <w:i/>
                <w:iCs/>
                <w:lang w:val="en-US"/>
              </w:rPr>
              <w:t>N</w:t>
            </w:r>
            <w:r>
              <w:rPr>
                <w:i/>
                <w:iCs/>
                <w:vertAlign w:val="subscript"/>
                <w:lang w:val="en-US"/>
              </w:rPr>
              <w:t>b</w:t>
            </w:r>
            <w:r>
              <w:rPr>
                <w:lang w:val="en-US"/>
              </w:rPr>
              <w:t xml:space="preserve"> Tx</w:t>
            </w:r>
          </w:p>
        </w:tc>
        <w:tc>
          <w:tcPr>
            <w:tcW w:w="1247" w:type="dxa"/>
            <w:vAlign w:val="bottom"/>
          </w:tcPr>
          <w:p w:rsidR="00B9359B" w:rsidRDefault="009A5268">
            <w:pPr>
              <w:pStyle w:val="Tabletext"/>
              <w:framePr w:hSpace="181" w:wrap="notBeside" w:vAnchor="text" w:hAnchor="text" w:xAlign="center" w:y="1"/>
              <w:spacing w:before="50" w:after="50"/>
              <w:jc w:val="center"/>
              <w:rPr>
                <w:rFonts w:eastAsia="Arial Unicode MS"/>
                <w:lang w:val="en-US"/>
              </w:rPr>
            </w:pPr>
            <w:r>
              <w:rPr>
                <w:lang w:val="en-US"/>
              </w:rPr>
              <w:t>121</w:t>
            </w:r>
          </w:p>
        </w:tc>
        <w:tc>
          <w:tcPr>
            <w:tcW w:w="1247" w:type="dxa"/>
            <w:vAlign w:val="bottom"/>
          </w:tcPr>
          <w:p w:rsidR="00B9359B" w:rsidRDefault="009A5268">
            <w:pPr>
              <w:pStyle w:val="Tabletext"/>
              <w:framePr w:hSpace="181" w:wrap="notBeside" w:vAnchor="text" w:hAnchor="text" w:xAlign="center" w:y="1"/>
              <w:spacing w:before="50" w:after="50"/>
              <w:jc w:val="center"/>
              <w:rPr>
                <w:rFonts w:eastAsia="Arial Unicode MS"/>
                <w:lang w:val="en-US"/>
              </w:rPr>
            </w:pPr>
            <w:r>
              <w:rPr>
                <w:lang w:val="en-US"/>
              </w:rPr>
              <w:t>121</w:t>
            </w:r>
          </w:p>
        </w:tc>
      </w:tr>
      <w:tr w:rsidR="00B9359B">
        <w:trPr>
          <w:trHeight w:val="255"/>
        </w:trPr>
        <w:tc>
          <w:tcPr>
            <w:tcW w:w="4366" w:type="dxa"/>
            <w:vAlign w:val="bottom"/>
          </w:tcPr>
          <w:p w:rsidR="00B9359B" w:rsidRDefault="009A5268">
            <w:pPr>
              <w:pStyle w:val="Tabletext"/>
              <w:framePr w:hSpace="181" w:wrap="notBeside" w:vAnchor="text" w:hAnchor="text" w:xAlign="center" w:y="1"/>
              <w:spacing w:before="50" w:after="50"/>
              <w:ind w:left="284" w:right="284"/>
              <w:rPr>
                <w:rFonts w:eastAsia="Arial Unicode MS"/>
                <w:lang w:val="en-US"/>
              </w:rPr>
            </w:pPr>
            <w:r>
              <w:rPr>
                <w:lang w:val="en-US"/>
              </w:rPr>
              <w:t>Power/Tx (dB(W/MHz))</w:t>
            </w:r>
          </w:p>
        </w:tc>
        <w:tc>
          <w:tcPr>
            <w:tcW w:w="1247" w:type="dxa"/>
            <w:vAlign w:val="bottom"/>
          </w:tcPr>
          <w:p w:rsidR="00B9359B" w:rsidRDefault="009A5268">
            <w:pPr>
              <w:pStyle w:val="Tabletext"/>
              <w:framePr w:hSpace="181" w:wrap="notBeside" w:vAnchor="text" w:hAnchor="text" w:xAlign="center" w:y="1"/>
              <w:spacing w:before="50" w:after="50"/>
              <w:jc w:val="center"/>
              <w:rPr>
                <w:rFonts w:eastAsia="Arial Unicode MS"/>
                <w:lang w:val="en-US"/>
              </w:rPr>
            </w:pPr>
            <w:r>
              <w:rPr>
                <w:lang w:val="en-US"/>
              </w:rPr>
              <w:t>–53</w:t>
            </w:r>
          </w:p>
        </w:tc>
        <w:tc>
          <w:tcPr>
            <w:tcW w:w="1247" w:type="dxa"/>
            <w:vAlign w:val="bottom"/>
          </w:tcPr>
          <w:p w:rsidR="00B9359B" w:rsidRDefault="009A5268">
            <w:pPr>
              <w:pStyle w:val="Tabletext"/>
              <w:framePr w:hSpace="181" w:wrap="notBeside" w:vAnchor="text" w:hAnchor="text" w:xAlign="center" w:y="1"/>
              <w:spacing w:before="50" w:after="50"/>
              <w:jc w:val="center"/>
              <w:rPr>
                <w:rFonts w:eastAsia="Arial Unicode MS"/>
                <w:lang w:val="en-US"/>
              </w:rPr>
            </w:pPr>
            <w:r>
              <w:rPr>
                <w:lang w:val="en-US"/>
              </w:rPr>
              <w:t>–52</w:t>
            </w:r>
          </w:p>
        </w:tc>
      </w:tr>
      <w:tr w:rsidR="00B9359B">
        <w:trPr>
          <w:trHeight w:val="255"/>
        </w:trPr>
        <w:tc>
          <w:tcPr>
            <w:tcW w:w="4366" w:type="dxa"/>
            <w:vAlign w:val="bottom"/>
          </w:tcPr>
          <w:p w:rsidR="00B9359B" w:rsidRDefault="009A5268">
            <w:pPr>
              <w:pStyle w:val="Tabletext"/>
              <w:framePr w:hSpace="181" w:wrap="notBeside" w:vAnchor="text" w:hAnchor="text" w:xAlign="center" w:y="1"/>
              <w:spacing w:before="50" w:after="50"/>
              <w:ind w:left="284" w:right="284"/>
              <w:rPr>
                <w:rFonts w:eastAsia="Arial Unicode MS"/>
                <w:lang w:val="en-US"/>
              </w:rPr>
            </w:pPr>
            <w:r>
              <w:rPr>
                <w:lang w:val="en-US"/>
              </w:rPr>
              <w:t>Power/Tx (dB(W/100 MHz))</w:t>
            </w:r>
          </w:p>
        </w:tc>
        <w:tc>
          <w:tcPr>
            <w:tcW w:w="1247" w:type="dxa"/>
            <w:vAlign w:val="bottom"/>
          </w:tcPr>
          <w:p w:rsidR="00B9359B" w:rsidRDefault="009A5268">
            <w:pPr>
              <w:pStyle w:val="Tabletext"/>
              <w:framePr w:hSpace="181" w:wrap="notBeside" w:vAnchor="text" w:hAnchor="text" w:xAlign="center" w:y="1"/>
              <w:spacing w:before="50" w:after="50"/>
              <w:jc w:val="center"/>
              <w:rPr>
                <w:rFonts w:eastAsia="Arial Unicode MS"/>
                <w:lang w:val="en-US"/>
              </w:rPr>
            </w:pPr>
            <w:r>
              <w:rPr>
                <w:lang w:val="en-US"/>
              </w:rPr>
              <w:t>–33</w:t>
            </w:r>
          </w:p>
        </w:tc>
        <w:tc>
          <w:tcPr>
            <w:tcW w:w="1247" w:type="dxa"/>
            <w:vAlign w:val="bottom"/>
          </w:tcPr>
          <w:p w:rsidR="00B9359B" w:rsidRDefault="009A5268">
            <w:pPr>
              <w:pStyle w:val="Tabletext"/>
              <w:framePr w:hSpace="181" w:wrap="notBeside" w:vAnchor="text" w:hAnchor="text" w:xAlign="center" w:y="1"/>
              <w:spacing w:before="50" w:after="50"/>
              <w:jc w:val="center"/>
              <w:rPr>
                <w:rFonts w:eastAsia="Arial Unicode MS"/>
                <w:lang w:val="en-US"/>
              </w:rPr>
            </w:pPr>
            <w:r>
              <w:rPr>
                <w:lang w:val="en-US"/>
              </w:rPr>
              <w:t>–32</w:t>
            </w:r>
          </w:p>
        </w:tc>
      </w:tr>
    </w:tbl>
    <w:p w:rsidR="00B9359B" w:rsidRDefault="00B9359B">
      <w:pPr>
        <w:pStyle w:val="Tablefin"/>
      </w:pPr>
    </w:p>
    <w:p w:rsidR="00B9359B" w:rsidRDefault="009A5268">
      <w:pPr>
        <w:pStyle w:val="Heading2"/>
        <w:rPr>
          <w:lang w:val="en-US"/>
        </w:rPr>
      </w:pPr>
      <w:bookmarkStart w:id="671" w:name="_Toc51046070"/>
      <w:r>
        <w:rPr>
          <w:lang w:val="en-US"/>
        </w:rPr>
        <w:t>4.3</w:t>
      </w:r>
      <w:r>
        <w:rPr>
          <w:lang w:val="en-US"/>
        </w:rPr>
        <w:tab/>
        <w:t>Value achieved</w:t>
      </w:r>
      <w:bookmarkEnd w:id="671"/>
    </w:p>
    <w:p w:rsidR="00B9359B" w:rsidRDefault="009A5268">
      <w:pPr>
        <w:pStyle w:val="Heading3"/>
        <w:rPr>
          <w:lang w:val="en-US"/>
        </w:rPr>
      </w:pPr>
      <w:bookmarkStart w:id="672" w:name="_Toc51046071"/>
      <w:r>
        <w:rPr>
          <w:lang w:val="en-US"/>
        </w:rPr>
        <w:t>4.3.1</w:t>
      </w:r>
      <w:r>
        <w:rPr>
          <w:lang w:val="en-US"/>
        </w:rPr>
        <w:tab/>
        <w:t>Level of unwanted emissions based on ITU-R Recommendations</w:t>
      </w:r>
      <w:bookmarkEnd w:id="672"/>
    </w:p>
    <w:p w:rsidR="00B9359B" w:rsidRDefault="009A5268">
      <w:pPr>
        <w:rPr>
          <w:lang w:val="en-US"/>
        </w:rPr>
      </w:pPr>
      <w:r>
        <w:rPr>
          <w:lang w:val="en-US"/>
        </w:rPr>
        <w:t>As a first step approach, only unwanted emissions falling into spurious emissions are considered (if  the guardband is larger than the OoB domain). Then, levels of attenuation provided in RR Appendix 3 of the RR and Recommendation ITU-R SM.329 are used to derive the levels of unwanted emissions from FS falling within the spurious emission domain (offset higher than 250% of the necessary bandwidth or channel separation compared to the centre frequency of the FS signal). In the case of FS systems, the attenuation specified in RR Appendix 3 should be in dBc, the minimum of 70 dBc or (43 </w:t>
      </w:r>
      <w:r>
        <w:rPr>
          <w:rFonts w:ascii="Symbol" w:hAnsi="Symbol"/>
          <w:lang w:val="en-US"/>
        </w:rPr>
        <w:t></w:t>
      </w:r>
      <w:r>
        <w:rPr>
          <w:lang w:val="en-US"/>
        </w:rPr>
        <w:t> 10 log (</w:t>
      </w:r>
      <w:r>
        <w:rPr>
          <w:i/>
          <w:iCs/>
          <w:lang w:val="en-US"/>
        </w:rPr>
        <w:t>P</w:t>
      </w:r>
      <w:r>
        <w:rPr>
          <w:lang w:val="en-US"/>
        </w:rPr>
        <w:t>)).</w:t>
      </w:r>
    </w:p>
    <w:p w:rsidR="00B9359B" w:rsidRDefault="009A5268">
      <w:pPr>
        <w:rPr>
          <w:lang w:val="en-US"/>
        </w:rPr>
      </w:pPr>
      <w:r>
        <w:rPr>
          <w:lang w:val="en-US"/>
        </w:rPr>
        <w:br w:type="page"/>
        <w:t xml:space="preserve">Based on the first step approach, for a system operating with an output power of </w:t>
      </w:r>
      <w:r>
        <w:rPr>
          <w:rFonts w:ascii="Symbol" w:hAnsi="Symbol"/>
          <w:lang w:val="en-US"/>
        </w:rPr>
        <w:noBreakHyphen/>
      </w:r>
      <w:r>
        <w:rPr>
          <w:lang w:val="en-US"/>
        </w:rPr>
        <w:t>6 dBW and a channel spacing of 56 MHz (see Table 124). The spurious emission limits for this system is:</w:t>
      </w:r>
    </w:p>
    <w:p w:rsidR="00B9359B" w:rsidRDefault="009A5268">
      <w:pPr>
        <w:pStyle w:val="Equation"/>
        <w:jc w:val="center"/>
        <w:rPr>
          <w:lang w:val="en-US"/>
        </w:rPr>
      </w:pPr>
      <w:r>
        <w:rPr>
          <w:i/>
          <w:iCs/>
          <w:lang w:val="en-US"/>
        </w:rPr>
        <w:t>P</w:t>
      </w:r>
      <w:r>
        <w:rPr>
          <w:lang w:val="en-US"/>
        </w:rPr>
        <w:t xml:space="preserve"> (dBW) – (43 </w:t>
      </w:r>
      <w:r>
        <w:rPr>
          <w:rFonts w:ascii="Symbol" w:hAnsi="Symbol"/>
          <w:lang w:val="en-US"/>
        </w:rPr>
        <w:t></w:t>
      </w:r>
      <w:r>
        <w:rPr>
          <w:i/>
          <w:iCs/>
          <w:lang w:val="en-US"/>
        </w:rPr>
        <w:t xml:space="preserve"> P</w:t>
      </w:r>
      <w:r>
        <w:rPr>
          <w:lang w:val="en-US"/>
        </w:rPr>
        <w:t>)                dB in a 1 MHz reference bandwidth</w:t>
      </w:r>
    </w:p>
    <w:p w:rsidR="00B9359B" w:rsidRDefault="009A5268">
      <w:pPr>
        <w:rPr>
          <w:lang w:val="en-US"/>
        </w:rPr>
      </w:pPr>
      <w:r>
        <w:rPr>
          <w:lang w:val="en-US"/>
        </w:rPr>
        <w:t>Table 128 provides the level of unwanted emissions that may fall in a 100 MHz reference bandwidth.</w:t>
      </w:r>
    </w:p>
    <w:p w:rsidR="00B9359B" w:rsidRDefault="009A5268">
      <w:pPr>
        <w:pStyle w:val="TableNo"/>
        <w:rPr>
          <w:lang w:val="en-US"/>
        </w:rPr>
      </w:pPr>
      <w:r>
        <w:rPr>
          <w:lang w:val="en-US"/>
        </w:rPr>
        <w:t>TABLE  128</w:t>
      </w:r>
    </w:p>
    <w:p w:rsidR="00B9359B" w:rsidRDefault="009A5268">
      <w:pPr>
        <w:pStyle w:val="Tabletitle"/>
        <w:rPr>
          <w:lang w:val="en-US" w:eastAsia="fr-FR"/>
        </w:rPr>
      </w:pPr>
      <w:r>
        <w:rPr>
          <w:lang w:val="en-US" w:eastAsia="fr-FR"/>
        </w:rPr>
        <w:t>Calculation of the level of unwanted emissions that may fall within a 100 MHz bandwidth</w:t>
      </w:r>
    </w:p>
    <w:tbl>
      <w:tblPr>
        <w:tblW w:w="963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145"/>
        <w:gridCol w:w="3004"/>
        <w:gridCol w:w="3490"/>
      </w:tblGrid>
      <w:tr w:rsidR="00B9359B" w:rsidRPr="00D35B94">
        <w:tc>
          <w:tcPr>
            <w:tcW w:w="3145" w:type="dxa"/>
            <w:vAlign w:val="center"/>
          </w:tcPr>
          <w:p w:rsidR="00B9359B" w:rsidRDefault="009A5268">
            <w:pPr>
              <w:pStyle w:val="Tablehead"/>
              <w:framePr w:hSpace="181" w:wrap="notBeside" w:vAnchor="text" w:hAnchor="text" w:xAlign="center" w:y="1"/>
              <w:spacing w:before="120" w:after="120"/>
              <w:rPr>
                <w:lang w:val="en-US"/>
              </w:rPr>
            </w:pPr>
            <w:r>
              <w:rPr>
                <w:lang w:val="en-US"/>
              </w:rPr>
              <w:t>FS system</w:t>
            </w:r>
          </w:p>
        </w:tc>
        <w:tc>
          <w:tcPr>
            <w:tcW w:w="3004" w:type="dxa"/>
            <w:vAlign w:val="center"/>
          </w:tcPr>
          <w:p w:rsidR="00B9359B" w:rsidRDefault="009A5268">
            <w:pPr>
              <w:pStyle w:val="Tablehead"/>
              <w:framePr w:hSpace="181" w:wrap="notBeside" w:vAnchor="text" w:hAnchor="text" w:xAlign="center" w:y="1"/>
              <w:spacing w:before="120" w:after="120"/>
              <w:rPr>
                <w:lang w:val="en-US"/>
              </w:rPr>
            </w:pPr>
            <w:r>
              <w:rPr>
                <w:lang w:val="en-US"/>
              </w:rPr>
              <w:t xml:space="preserve">Level of spurious emissions </w:t>
            </w:r>
            <w:r>
              <w:rPr>
                <w:lang w:val="en-US"/>
              </w:rPr>
              <w:br/>
              <w:t>per MHz</w:t>
            </w:r>
          </w:p>
        </w:tc>
        <w:tc>
          <w:tcPr>
            <w:tcW w:w="3490" w:type="dxa"/>
            <w:vAlign w:val="center"/>
          </w:tcPr>
          <w:p w:rsidR="00B9359B" w:rsidRDefault="009A5268">
            <w:pPr>
              <w:pStyle w:val="Tablehead"/>
              <w:framePr w:hSpace="181" w:wrap="notBeside" w:vAnchor="text" w:hAnchor="text" w:xAlign="center" w:y="1"/>
              <w:spacing w:before="120" w:after="120"/>
              <w:rPr>
                <w:lang w:val="en-US"/>
              </w:rPr>
            </w:pPr>
            <w:r>
              <w:rPr>
                <w:lang w:val="en-US"/>
              </w:rPr>
              <w:t xml:space="preserve">Level of spurious emissions </w:t>
            </w:r>
            <w:r>
              <w:rPr>
                <w:lang w:val="en-US"/>
              </w:rPr>
              <w:br/>
              <w:t>per 100 MHz</w:t>
            </w:r>
          </w:p>
        </w:tc>
      </w:tr>
      <w:tr w:rsidR="00B9359B">
        <w:tc>
          <w:tcPr>
            <w:tcW w:w="3145" w:type="dxa"/>
          </w:tcPr>
          <w:p w:rsidR="00B9359B" w:rsidRDefault="009A5268">
            <w:pPr>
              <w:pStyle w:val="Tabletext"/>
              <w:framePr w:hSpace="181" w:wrap="notBeside" w:vAnchor="text" w:hAnchor="text" w:xAlign="center" w:y="1"/>
              <w:spacing w:before="80" w:after="80"/>
              <w:jc w:val="left"/>
              <w:rPr>
                <w:lang w:val="en-US"/>
              </w:rPr>
            </w:pPr>
            <w:r>
              <w:rPr>
                <w:lang w:val="en-US"/>
              </w:rPr>
              <w:t>P-P 56 MHz (Table 124)</w:t>
            </w:r>
          </w:p>
        </w:tc>
        <w:tc>
          <w:tcPr>
            <w:tcW w:w="3004" w:type="dxa"/>
          </w:tcPr>
          <w:p w:rsidR="00B9359B" w:rsidRDefault="009A5268">
            <w:pPr>
              <w:pStyle w:val="Tabletext"/>
              <w:framePr w:hSpace="181" w:wrap="notBeside" w:vAnchor="text" w:hAnchor="text" w:xAlign="center" w:y="1"/>
              <w:spacing w:before="80" w:after="80"/>
              <w:jc w:val="center"/>
              <w:rPr>
                <w:lang w:val="en-US"/>
              </w:rPr>
            </w:pPr>
            <w:r>
              <w:rPr>
                <w:lang w:val="en-US"/>
              </w:rPr>
              <w:t>–</w:t>
            </w:r>
            <w:r>
              <w:rPr>
                <w:sz w:val="4"/>
                <w:lang w:val="en-US"/>
              </w:rPr>
              <w:t> </w:t>
            </w:r>
            <w:r>
              <w:rPr>
                <w:lang w:val="en-US"/>
              </w:rPr>
              <w:t>43 dBW</w:t>
            </w:r>
          </w:p>
        </w:tc>
        <w:tc>
          <w:tcPr>
            <w:tcW w:w="3490" w:type="dxa"/>
          </w:tcPr>
          <w:p w:rsidR="00B9359B" w:rsidRDefault="009A5268">
            <w:pPr>
              <w:pStyle w:val="Tabletext"/>
              <w:framePr w:hSpace="181" w:wrap="notBeside" w:vAnchor="text" w:hAnchor="text" w:xAlign="center" w:y="1"/>
              <w:spacing w:before="80" w:after="80"/>
              <w:jc w:val="center"/>
              <w:rPr>
                <w:lang w:val="en-US"/>
              </w:rPr>
            </w:pPr>
            <w:r>
              <w:rPr>
                <w:lang w:val="en-US"/>
              </w:rPr>
              <w:t>–23 dBW</w:t>
            </w:r>
          </w:p>
        </w:tc>
      </w:tr>
      <w:tr w:rsidR="00B9359B">
        <w:tc>
          <w:tcPr>
            <w:tcW w:w="3145" w:type="dxa"/>
          </w:tcPr>
          <w:p w:rsidR="00B9359B" w:rsidRDefault="009A5268">
            <w:pPr>
              <w:pStyle w:val="Tabletext"/>
              <w:framePr w:hSpace="181" w:wrap="notBeside" w:vAnchor="text" w:hAnchor="text" w:xAlign="center" w:y="1"/>
              <w:spacing w:before="80" w:after="80"/>
              <w:jc w:val="left"/>
              <w:rPr>
                <w:lang w:val="en-US"/>
              </w:rPr>
            </w:pPr>
            <w:r>
              <w:rPr>
                <w:lang w:val="en-US"/>
              </w:rPr>
              <w:t>P-P 3.5 MHz (Table 124)</w:t>
            </w:r>
          </w:p>
        </w:tc>
        <w:tc>
          <w:tcPr>
            <w:tcW w:w="3004" w:type="dxa"/>
          </w:tcPr>
          <w:p w:rsidR="00B9359B" w:rsidRDefault="009A5268">
            <w:pPr>
              <w:pStyle w:val="Tabletext"/>
              <w:framePr w:hSpace="181" w:wrap="notBeside" w:vAnchor="text" w:hAnchor="text" w:xAlign="center" w:y="1"/>
              <w:spacing w:before="80" w:after="80"/>
              <w:jc w:val="center"/>
              <w:rPr>
                <w:lang w:val="en-US"/>
              </w:rPr>
            </w:pPr>
            <w:r>
              <w:rPr>
                <w:lang w:val="en-US"/>
              </w:rPr>
              <w:t>–</w:t>
            </w:r>
            <w:r>
              <w:rPr>
                <w:sz w:val="4"/>
                <w:lang w:val="en-US"/>
              </w:rPr>
              <w:t> </w:t>
            </w:r>
            <w:r>
              <w:rPr>
                <w:lang w:val="en-US"/>
              </w:rPr>
              <w:t>43 dBW</w:t>
            </w:r>
          </w:p>
        </w:tc>
        <w:tc>
          <w:tcPr>
            <w:tcW w:w="3490" w:type="dxa"/>
          </w:tcPr>
          <w:p w:rsidR="00B9359B" w:rsidRDefault="009A5268">
            <w:pPr>
              <w:pStyle w:val="Tabletext"/>
              <w:framePr w:hSpace="181" w:wrap="notBeside" w:vAnchor="text" w:hAnchor="text" w:xAlign="center" w:y="1"/>
              <w:spacing w:before="80" w:after="80"/>
              <w:jc w:val="center"/>
              <w:rPr>
                <w:lang w:val="en-US"/>
              </w:rPr>
            </w:pPr>
            <w:r>
              <w:rPr>
                <w:lang w:val="en-US"/>
              </w:rPr>
              <w:t>–23 dBW</w:t>
            </w:r>
          </w:p>
        </w:tc>
      </w:tr>
      <w:tr w:rsidR="00B9359B">
        <w:tc>
          <w:tcPr>
            <w:tcW w:w="3145" w:type="dxa"/>
          </w:tcPr>
          <w:p w:rsidR="00B9359B" w:rsidRDefault="009A5268">
            <w:pPr>
              <w:pStyle w:val="Tabletext"/>
              <w:framePr w:hSpace="181" w:wrap="notBeside" w:vAnchor="text" w:hAnchor="text" w:xAlign="center" w:y="1"/>
              <w:spacing w:before="80" w:after="80"/>
              <w:rPr>
                <w:lang w:val="en-US"/>
              </w:rPr>
            </w:pPr>
            <w:r>
              <w:rPr>
                <w:lang w:val="en-US"/>
              </w:rPr>
              <w:t>P-MP 50 MHz (Table 125)</w:t>
            </w:r>
          </w:p>
        </w:tc>
        <w:tc>
          <w:tcPr>
            <w:tcW w:w="3004" w:type="dxa"/>
          </w:tcPr>
          <w:p w:rsidR="00B9359B" w:rsidRDefault="009A5268">
            <w:pPr>
              <w:pStyle w:val="Tabletext"/>
              <w:framePr w:hSpace="181" w:wrap="notBeside" w:vAnchor="text" w:hAnchor="text" w:xAlign="center" w:y="1"/>
              <w:spacing w:before="80" w:after="80"/>
              <w:jc w:val="center"/>
              <w:rPr>
                <w:lang w:val="en-US"/>
              </w:rPr>
            </w:pPr>
            <w:r>
              <w:rPr>
                <w:lang w:val="en-US"/>
              </w:rPr>
              <w:t>–</w:t>
            </w:r>
            <w:r>
              <w:rPr>
                <w:sz w:val="4"/>
                <w:lang w:val="en-US"/>
              </w:rPr>
              <w:t> </w:t>
            </w:r>
            <w:r>
              <w:rPr>
                <w:lang w:val="en-US"/>
              </w:rPr>
              <w:t>43 dBW</w:t>
            </w:r>
          </w:p>
        </w:tc>
        <w:tc>
          <w:tcPr>
            <w:tcW w:w="3490" w:type="dxa"/>
          </w:tcPr>
          <w:p w:rsidR="00B9359B" w:rsidRDefault="009A5268">
            <w:pPr>
              <w:pStyle w:val="Tabletext"/>
              <w:framePr w:hSpace="181" w:wrap="notBeside" w:vAnchor="text" w:hAnchor="text" w:xAlign="center" w:y="1"/>
              <w:spacing w:before="80" w:after="80"/>
              <w:jc w:val="center"/>
              <w:rPr>
                <w:lang w:val="en-US"/>
              </w:rPr>
            </w:pPr>
            <w:r>
              <w:rPr>
                <w:lang w:val="en-US"/>
              </w:rPr>
              <w:t>–23 dBW</w:t>
            </w:r>
          </w:p>
        </w:tc>
      </w:tr>
      <w:tr w:rsidR="00B9359B">
        <w:tc>
          <w:tcPr>
            <w:tcW w:w="3145" w:type="dxa"/>
          </w:tcPr>
          <w:p w:rsidR="00B9359B" w:rsidRDefault="009A5268">
            <w:pPr>
              <w:pStyle w:val="Tabletext"/>
              <w:framePr w:hSpace="181" w:wrap="notBeside" w:vAnchor="text" w:hAnchor="text" w:xAlign="center" w:y="1"/>
              <w:spacing w:before="80" w:after="80"/>
              <w:rPr>
                <w:lang w:val="en-US"/>
              </w:rPr>
            </w:pPr>
            <w:r>
              <w:rPr>
                <w:lang w:val="en-US"/>
              </w:rPr>
              <w:t>P-MP 2.5 MHz (Table 125)</w:t>
            </w:r>
          </w:p>
        </w:tc>
        <w:tc>
          <w:tcPr>
            <w:tcW w:w="3004" w:type="dxa"/>
          </w:tcPr>
          <w:p w:rsidR="00B9359B" w:rsidRDefault="009A5268">
            <w:pPr>
              <w:pStyle w:val="Tabletext"/>
              <w:framePr w:hSpace="181" w:wrap="notBeside" w:vAnchor="text" w:hAnchor="text" w:xAlign="center" w:y="1"/>
              <w:spacing w:before="80" w:after="80"/>
              <w:jc w:val="center"/>
              <w:rPr>
                <w:lang w:val="en-US"/>
              </w:rPr>
            </w:pPr>
            <w:r>
              <w:rPr>
                <w:lang w:val="en-US"/>
              </w:rPr>
              <w:t>–</w:t>
            </w:r>
            <w:r>
              <w:rPr>
                <w:sz w:val="4"/>
                <w:lang w:val="en-US"/>
              </w:rPr>
              <w:t> </w:t>
            </w:r>
            <w:r>
              <w:rPr>
                <w:lang w:val="en-US"/>
              </w:rPr>
              <w:t>43 dBW</w:t>
            </w:r>
          </w:p>
        </w:tc>
        <w:tc>
          <w:tcPr>
            <w:tcW w:w="3490" w:type="dxa"/>
          </w:tcPr>
          <w:p w:rsidR="00B9359B" w:rsidRDefault="009A5268">
            <w:pPr>
              <w:pStyle w:val="Tabletext"/>
              <w:framePr w:hSpace="181" w:wrap="notBeside" w:vAnchor="text" w:hAnchor="text" w:xAlign="center" w:y="1"/>
              <w:spacing w:before="80" w:after="80"/>
              <w:jc w:val="center"/>
              <w:rPr>
                <w:lang w:val="en-US"/>
              </w:rPr>
            </w:pPr>
            <w:r>
              <w:rPr>
                <w:lang w:val="en-US"/>
              </w:rPr>
              <w:t>–23 dBW</w:t>
            </w:r>
          </w:p>
        </w:tc>
      </w:tr>
    </w:tbl>
    <w:p w:rsidR="00B9359B" w:rsidRDefault="00B9359B">
      <w:pPr>
        <w:pStyle w:val="Tablefin"/>
        <w:spacing w:before="240"/>
      </w:pPr>
    </w:p>
    <w:p w:rsidR="00B9359B" w:rsidRDefault="009A5268">
      <w:pPr>
        <w:rPr>
          <w:lang w:val="en-US"/>
        </w:rPr>
      </w:pPr>
      <w:r>
        <w:rPr>
          <w:lang w:val="en-US"/>
        </w:rPr>
        <w:t>This first step approach leads to the conclusion that even if only unwanted emissions falling into the spurious domain are considered then the EESS protection criteria is not met.</w:t>
      </w:r>
    </w:p>
    <w:p w:rsidR="00B9359B" w:rsidRDefault="009A5268">
      <w:pPr>
        <w:pStyle w:val="Heading3"/>
        <w:rPr>
          <w:lang w:val="en-US"/>
        </w:rPr>
      </w:pPr>
      <w:bookmarkStart w:id="673" w:name="_Toc51046072"/>
      <w:r>
        <w:rPr>
          <w:lang w:val="en-US"/>
        </w:rPr>
        <w:t>4.3.2</w:t>
      </w:r>
      <w:r>
        <w:rPr>
          <w:lang w:val="en-US"/>
        </w:rPr>
        <w:tab/>
        <w:t>Refinement of the calculations</w:t>
      </w:r>
      <w:bookmarkEnd w:id="673"/>
    </w:p>
    <w:p w:rsidR="00B9359B" w:rsidRDefault="009A5268">
      <w:pPr>
        <w:pStyle w:val="Heading4"/>
        <w:rPr>
          <w:lang w:val="en-US"/>
        </w:rPr>
      </w:pPr>
      <w:bookmarkStart w:id="674" w:name="OLE_LINK1"/>
      <w:bookmarkStart w:id="675" w:name="_Toc51046073"/>
      <w:r>
        <w:rPr>
          <w:lang w:val="en-US"/>
        </w:rPr>
        <w:t>4.3.2.1</w:t>
      </w:r>
      <w:r>
        <w:rPr>
          <w:lang w:val="en-US"/>
        </w:rPr>
        <w:tab/>
        <w:t>Refinement of calculations using the methodology described in Appendix 1 to Annex 1</w:t>
      </w:r>
      <w:bookmarkEnd w:id="674"/>
      <w:bookmarkEnd w:id="675"/>
    </w:p>
    <w:p w:rsidR="00B9359B" w:rsidRDefault="009A5268">
      <w:pPr>
        <w:rPr>
          <w:lang w:val="en-US"/>
        </w:rPr>
      </w:pPr>
      <w:r>
        <w:rPr>
          <w:lang w:val="en-US"/>
        </w:rPr>
        <w:t>Recommendation ITU-R SM.1541 provides mask for OoB emissions in case of FS systems. The integrated power within the EESS band may be calculated by assuming (see Appendix 1 to Annex 1) that the spurious emission level does not exceed the limit at the edge of the OoB domain</w:t>
      </w:r>
    </w:p>
    <w:p w:rsidR="00B9359B" w:rsidRDefault="009A5268">
      <w:pPr>
        <w:pStyle w:val="Heading5"/>
        <w:rPr>
          <w:lang w:val="en-US"/>
        </w:rPr>
      </w:pPr>
      <w:bookmarkStart w:id="676" w:name="_Toc51046074"/>
      <w:r>
        <w:rPr>
          <w:lang w:val="en-US"/>
        </w:rPr>
        <w:t>4.3.2.1.1</w:t>
      </w:r>
      <w:r>
        <w:rPr>
          <w:lang w:val="en-US"/>
        </w:rPr>
        <w:tab/>
        <w:t xml:space="preserve">Case of 3.5, 7 and 14 MHz channel spacing, </w:t>
      </w:r>
      <w:bookmarkEnd w:id="676"/>
      <w:r>
        <w:rPr>
          <w:i/>
          <w:iCs/>
          <w:lang w:val="en-US"/>
        </w:rPr>
        <w:t>C</w:t>
      </w:r>
      <w:r>
        <w:rPr>
          <w:i/>
          <w:iCs/>
          <w:vertAlign w:val="subscript"/>
          <w:lang w:val="en-US"/>
        </w:rPr>
        <w:t>s</w:t>
      </w:r>
    </w:p>
    <w:p w:rsidR="00B9359B" w:rsidRDefault="009A5268">
      <w:pPr>
        <w:rPr>
          <w:lang w:val="en-US"/>
        </w:rPr>
      </w:pPr>
      <w:r>
        <w:rPr>
          <w:lang w:val="en-US"/>
        </w:rPr>
        <w:t xml:space="preserve">It should be noted that Recommendation ITU-R F.1496 provides channel arrangements for systems using 3.5 MHz, 7 MHz, 14 MHz, 28 MHz and 56 MHz </w:t>
      </w:r>
      <w:r>
        <w:rPr>
          <w:i/>
          <w:iCs/>
          <w:lang w:val="en-US"/>
        </w:rPr>
        <w:t>C</w:t>
      </w:r>
      <w:r>
        <w:rPr>
          <w:i/>
          <w:iCs/>
          <w:vertAlign w:val="subscript"/>
          <w:lang w:val="en-US"/>
        </w:rPr>
        <w:t>s</w:t>
      </w:r>
      <w:r>
        <w:rPr>
          <w:lang w:val="en-US"/>
        </w:rPr>
        <w:t xml:space="preserve"> to be deployed in this band. These channel arrangements include a guardband of 40 MHz in the lower part of the FS band.</w:t>
      </w:r>
    </w:p>
    <w:p w:rsidR="00B9359B" w:rsidRDefault="009A5268">
      <w:pPr>
        <w:rPr>
          <w:lang w:val="en-US"/>
        </w:rPr>
      </w:pPr>
      <w:r>
        <w:rPr>
          <w:lang w:val="en-US"/>
        </w:rPr>
        <w:t xml:space="preserve">This means that for </w:t>
      </w:r>
      <w:r>
        <w:rPr>
          <w:i/>
          <w:iCs/>
          <w:lang w:val="en-US"/>
        </w:rPr>
        <w:t>C</w:t>
      </w:r>
      <w:r>
        <w:rPr>
          <w:i/>
          <w:iCs/>
          <w:vertAlign w:val="subscript"/>
          <w:lang w:val="en-US"/>
        </w:rPr>
        <w:t>s</w:t>
      </w:r>
      <w:r>
        <w:rPr>
          <w:lang w:val="en-US"/>
        </w:rPr>
        <w:t xml:space="preserve"> of 3.5, 7 and 14 MHz, the OoB domain (which extend from 50% of the </w:t>
      </w:r>
      <w:r>
        <w:rPr>
          <w:i/>
          <w:iCs/>
          <w:lang w:val="en-US"/>
        </w:rPr>
        <w:t>C</w:t>
      </w:r>
      <w:r>
        <w:rPr>
          <w:i/>
          <w:iCs/>
          <w:vertAlign w:val="subscript"/>
          <w:lang w:val="en-US"/>
        </w:rPr>
        <w:t>s</w:t>
      </w:r>
      <w:r>
        <w:rPr>
          <w:lang w:val="en-US"/>
        </w:rPr>
        <w:t xml:space="preserve"> to 250% of the channel spacing compared to the centre frequency of the FS signal) will be included in the guardband. Then, for systems using 3.5, 7 and 14 MHz </w:t>
      </w:r>
      <w:r>
        <w:rPr>
          <w:i/>
          <w:iCs/>
          <w:lang w:val="en-US"/>
        </w:rPr>
        <w:t>C</w:t>
      </w:r>
      <w:r>
        <w:rPr>
          <w:i/>
          <w:iCs/>
          <w:vertAlign w:val="subscript"/>
          <w:lang w:val="en-US"/>
        </w:rPr>
        <w:t>s</w:t>
      </w:r>
      <w:r>
        <w:rPr>
          <w:lang w:val="en-US"/>
        </w:rPr>
        <w:t xml:space="preserve"> only unwanted emissions falling into the spurious domain need to be considered.</w:t>
      </w:r>
    </w:p>
    <w:p w:rsidR="00B9359B" w:rsidRDefault="009A5268">
      <w:pPr>
        <w:rPr>
          <w:lang w:val="en-US"/>
        </w:rPr>
      </w:pPr>
      <w:r>
        <w:rPr>
          <w:lang w:val="en-US"/>
        </w:rPr>
        <w:br w:type="page"/>
        <w:t>Recommendation ITU-R SM.1541 provides mask for OoB emissions in case of FS systems. At this edge of the OoB domain, the attenuation is equal to 40 dBsd. If we assume that the spurious emission level does not exceed the limit at the edge of the OoB domain, the integrated power within the EESS band will be:</w:t>
      </w:r>
    </w:p>
    <w:p w:rsidR="00B9359B" w:rsidRDefault="009A5268">
      <w:pPr>
        <w:pStyle w:val="enumlev1"/>
        <w:rPr>
          <w:lang w:val="en-US"/>
        </w:rPr>
      </w:pPr>
      <w:r>
        <w:rPr>
          <w:lang w:val="en-US"/>
        </w:rPr>
        <w:t xml:space="preserve">For 3.5 MHz </w:t>
      </w:r>
      <w:r>
        <w:rPr>
          <w:i/>
          <w:iCs/>
          <w:lang w:val="en-US"/>
        </w:rPr>
        <w:t>C</w:t>
      </w:r>
      <w:r>
        <w:rPr>
          <w:i/>
          <w:iCs/>
          <w:vertAlign w:val="subscript"/>
          <w:lang w:val="en-US"/>
        </w:rPr>
        <w:t>s</w:t>
      </w:r>
      <w:r>
        <w:rPr>
          <w:lang w:val="en-US"/>
        </w:rPr>
        <w:t>:</w:t>
      </w:r>
    </w:p>
    <w:p w:rsidR="00B9359B" w:rsidRDefault="009A5268">
      <w:pPr>
        <w:pStyle w:val="enumlev1"/>
        <w:rPr>
          <w:lang w:val="en-US"/>
        </w:rPr>
      </w:pPr>
      <w:r>
        <w:rPr>
          <w:lang w:val="en-US"/>
        </w:rPr>
        <w:t>–10 dBW –10 log (3.5) –</w:t>
      </w:r>
      <w:r>
        <w:rPr>
          <w:rFonts w:ascii="Tms Rmn" w:hAnsi="Tms Rmn"/>
          <w:sz w:val="6"/>
          <w:lang w:val="en-US"/>
        </w:rPr>
        <w:t> </w:t>
      </w:r>
      <w:r>
        <w:rPr>
          <w:lang w:val="en-US"/>
        </w:rPr>
        <w:t xml:space="preserve">40 </w:t>
      </w:r>
      <w:r>
        <w:rPr>
          <w:rFonts w:ascii="Symbol" w:hAnsi="Symbol"/>
          <w:lang w:val="fr-CH"/>
        </w:rPr>
        <w:t></w:t>
      </w:r>
      <w:r>
        <w:rPr>
          <w:lang w:val="en-US"/>
        </w:rPr>
        <w:t xml:space="preserve"> 10 log (100) </w:t>
      </w:r>
      <w:r>
        <w:rPr>
          <w:rFonts w:ascii="Symbol" w:hAnsi="Symbol"/>
          <w:lang w:val="fr-CH"/>
        </w:rPr>
        <w:t></w:t>
      </w:r>
      <w:r>
        <w:rPr>
          <w:lang w:val="en-US"/>
        </w:rPr>
        <w:t xml:space="preserve"> –35 dB(W/100 MHz)</w:t>
      </w:r>
    </w:p>
    <w:p w:rsidR="00B9359B" w:rsidRDefault="009A5268">
      <w:pPr>
        <w:pStyle w:val="enumlev1"/>
        <w:rPr>
          <w:lang w:val="en-US"/>
        </w:rPr>
      </w:pPr>
      <w:r>
        <w:rPr>
          <w:lang w:val="en-US"/>
        </w:rPr>
        <w:t xml:space="preserve">For 7 MHz </w:t>
      </w:r>
      <w:r>
        <w:rPr>
          <w:i/>
          <w:iCs/>
          <w:lang w:val="en-US"/>
        </w:rPr>
        <w:t>C</w:t>
      </w:r>
      <w:r>
        <w:rPr>
          <w:i/>
          <w:iCs/>
          <w:vertAlign w:val="subscript"/>
          <w:lang w:val="en-US"/>
        </w:rPr>
        <w:t>s</w:t>
      </w:r>
      <w:r>
        <w:rPr>
          <w:lang w:val="en-US"/>
        </w:rPr>
        <w:t>:</w:t>
      </w:r>
    </w:p>
    <w:p w:rsidR="00B9359B" w:rsidRDefault="009A5268">
      <w:pPr>
        <w:pStyle w:val="enumlev1"/>
        <w:rPr>
          <w:lang w:val="en-US"/>
        </w:rPr>
      </w:pPr>
      <w:r>
        <w:rPr>
          <w:lang w:val="en-US"/>
        </w:rPr>
        <w:t>–10 dBW –10 log (7) –</w:t>
      </w:r>
      <w:r>
        <w:rPr>
          <w:rFonts w:ascii="Tms Rmn" w:hAnsi="Tms Rmn"/>
          <w:sz w:val="6"/>
          <w:lang w:val="en-US"/>
        </w:rPr>
        <w:t> </w:t>
      </w:r>
      <w:r>
        <w:rPr>
          <w:lang w:val="en-US"/>
        </w:rPr>
        <w:t xml:space="preserve">40 </w:t>
      </w:r>
      <w:r>
        <w:rPr>
          <w:rFonts w:ascii="Symbol" w:hAnsi="Symbol"/>
          <w:lang w:val="fr-CH"/>
        </w:rPr>
        <w:t></w:t>
      </w:r>
      <w:r>
        <w:rPr>
          <w:lang w:val="en-US"/>
        </w:rPr>
        <w:t xml:space="preserve"> 10 log (100) </w:t>
      </w:r>
      <w:r>
        <w:rPr>
          <w:rFonts w:ascii="Symbol" w:hAnsi="Symbol"/>
          <w:lang w:val="fr-CH"/>
        </w:rPr>
        <w:t></w:t>
      </w:r>
      <w:r>
        <w:rPr>
          <w:lang w:val="en-US"/>
        </w:rPr>
        <w:t xml:space="preserve"> –38 dB(W/100 MHz)</w:t>
      </w:r>
    </w:p>
    <w:p w:rsidR="00B9359B" w:rsidRDefault="009A5268">
      <w:pPr>
        <w:pStyle w:val="enumlev1"/>
        <w:rPr>
          <w:lang w:val="en-US"/>
        </w:rPr>
      </w:pPr>
      <w:r>
        <w:rPr>
          <w:lang w:val="en-US"/>
        </w:rPr>
        <w:t xml:space="preserve">For 14 MHz </w:t>
      </w:r>
      <w:r>
        <w:rPr>
          <w:i/>
          <w:iCs/>
          <w:lang w:val="en-US"/>
        </w:rPr>
        <w:t>C</w:t>
      </w:r>
      <w:r>
        <w:rPr>
          <w:i/>
          <w:iCs/>
          <w:vertAlign w:val="subscript"/>
          <w:lang w:val="en-US"/>
        </w:rPr>
        <w:t>s</w:t>
      </w:r>
      <w:r>
        <w:rPr>
          <w:lang w:val="en-US"/>
        </w:rPr>
        <w:t>:</w:t>
      </w:r>
    </w:p>
    <w:p w:rsidR="00B9359B" w:rsidRDefault="009A5268">
      <w:pPr>
        <w:pStyle w:val="enumlev1"/>
        <w:rPr>
          <w:lang w:val="en-US"/>
        </w:rPr>
      </w:pPr>
      <w:r>
        <w:rPr>
          <w:lang w:val="en-US"/>
        </w:rPr>
        <w:t>–10 dBW –10 log (14) –</w:t>
      </w:r>
      <w:r>
        <w:rPr>
          <w:rFonts w:ascii="Tms Rmn" w:hAnsi="Tms Rmn"/>
          <w:sz w:val="6"/>
          <w:lang w:val="en-US"/>
        </w:rPr>
        <w:t> </w:t>
      </w:r>
      <w:r>
        <w:rPr>
          <w:lang w:val="en-US"/>
        </w:rPr>
        <w:t xml:space="preserve">40 </w:t>
      </w:r>
      <w:r>
        <w:rPr>
          <w:rFonts w:ascii="Symbol" w:hAnsi="Symbol"/>
          <w:lang w:val="fr-CH"/>
        </w:rPr>
        <w:t></w:t>
      </w:r>
      <w:r>
        <w:rPr>
          <w:lang w:val="en-US"/>
        </w:rPr>
        <w:t xml:space="preserve"> 10 log (100) </w:t>
      </w:r>
      <w:r>
        <w:rPr>
          <w:rFonts w:ascii="Symbol" w:hAnsi="Symbol"/>
          <w:lang w:val="fr-CH"/>
        </w:rPr>
        <w:t></w:t>
      </w:r>
      <w:r>
        <w:rPr>
          <w:lang w:val="en-US"/>
        </w:rPr>
        <w:t xml:space="preserve"> –</w:t>
      </w:r>
      <w:r>
        <w:rPr>
          <w:rFonts w:ascii="Tms Rmn" w:hAnsi="Tms Rmn"/>
          <w:sz w:val="6"/>
          <w:lang w:val="en-US"/>
        </w:rPr>
        <w:t> </w:t>
      </w:r>
      <w:r>
        <w:rPr>
          <w:lang w:val="en-US"/>
        </w:rPr>
        <w:t>41 dB(W/100 MHz)</w:t>
      </w:r>
    </w:p>
    <w:p w:rsidR="00B9359B" w:rsidRDefault="009A5268">
      <w:pPr>
        <w:rPr>
          <w:lang w:val="en-US"/>
        </w:rPr>
      </w:pPr>
      <w:r>
        <w:rPr>
          <w:lang w:val="en-US"/>
        </w:rPr>
        <w:t>The EESS protection criterion is met in all these cases.</w:t>
      </w:r>
    </w:p>
    <w:p w:rsidR="00B9359B" w:rsidRDefault="009A5268">
      <w:pPr>
        <w:pStyle w:val="Heading5"/>
        <w:rPr>
          <w:lang w:val="en-US"/>
        </w:rPr>
      </w:pPr>
      <w:bookmarkStart w:id="677" w:name="_Toc51046075"/>
      <w:r>
        <w:rPr>
          <w:lang w:val="en-US"/>
        </w:rPr>
        <w:t>4.3.2.1.2</w:t>
      </w:r>
      <w:r>
        <w:rPr>
          <w:lang w:val="en-US"/>
        </w:rPr>
        <w:tab/>
        <w:t xml:space="preserve">Case of 28 and 56 MHz, </w:t>
      </w:r>
      <w:r>
        <w:rPr>
          <w:i/>
          <w:iCs/>
          <w:lang w:val="en-US"/>
        </w:rPr>
        <w:t>C</w:t>
      </w:r>
      <w:bookmarkEnd w:id="677"/>
      <w:r>
        <w:rPr>
          <w:i/>
          <w:iCs/>
          <w:vertAlign w:val="subscript"/>
          <w:lang w:val="en-US"/>
        </w:rPr>
        <w:t>s</w:t>
      </w:r>
    </w:p>
    <w:p w:rsidR="00B9359B" w:rsidRDefault="009A5268">
      <w:pPr>
        <w:rPr>
          <w:lang w:val="en-US"/>
        </w:rPr>
      </w:pPr>
      <w:r>
        <w:rPr>
          <w:lang w:val="en-US"/>
        </w:rPr>
        <w:t>For unwanted emissions falling into the OoB domain, the OoB masks given in Recommendation ITU</w:t>
      </w:r>
      <w:r>
        <w:rPr>
          <w:lang w:val="en-US"/>
        </w:rPr>
        <w:noBreakHyphen/>
        <w:t>R SM.1541 are considered.</w:t>
      </w:r>
    </w:p>
    <w:p w:rsidR="00B9359B" w:rsidRDefault="009A5268">
      <w:pPr>
        <w:pStyle w:val="FigureNo"/>
      </w:pPr>
      <w:r>
        <w:object w:dxaOrig="6534" w:dyaOrig="8223">
          <v:shape id="_x0000_i1116" type="#_x0000_t75" style="width:327.75pt;height:411.05pt" o:ole="">
            <v:imagedata r:id="rId164" o:title=""/>
          </v:shape>
          <o:OLEObject Type="Embed" ProgID="Designer.Drawing.7" ShapeID="_x0000_i1116" DrawAspect="Content" ObjectID="_1629894619" r:id="rId165"/>
        </w:object>
      </w:r>
    </w:p>
    <w:p w:rsidR="00B9359B" w:rsidRDefault="009A5268">
      <w:pPr>
        <w:pStyle w:val="TableNo"/>
        <w:rPr>
          <w:lang w:val="en-US"/>
        </w:rPr>
      </w:pPr>
      <w:r>
        <w:rPr>
          <w:lang w:val="en-US"/>
        </w:rPr>
        <w:br w:type="page"/>
        <w:t>TABLE  129</w:t>
      </w:r>
    </w:p>
    <w:tbl>
      <w:tblPr>
        <w:tblW w:w="963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221"/>
        <w:gridCol w:w="1610"/>
        <w:gridCol w:w="3075"/>
        <w:gridCol w:w="1733"/>
      </w:tblGrid>
      <w:tr w:rsidR="00B9359B" w:rsidRPr="00D35B94">
        <w:trPr>
          <w:cantSplit/>
        </w:trPr>
        <w:tc>
          <w:tcPr>
            <w:tcW w:w="9639" w:type="dxa"/>
            <w:gridSpan w:val="4"/>
            <w:vAlign w:val="center"/>
          </w:tcPr>
          <w:p w:rsidR="00B9359B" w:rsidRDefault="009A5268">
            <w:pPr>
              <w:pStyle w:val="Tablehead"/>
              <w:framePr w:hSpace="181" w:wrap="notBeside" w:vAnchor="text" w:hAnchor="text" w:xAlign="center" w:y="1"/>
              <w:rPr>
                <w:lang w:val="en-US"/>
              </w:rPr>
            </w:pPr>
            <w:r>
              <w:rPr>
                <w:lang w:val="en-US"/>
              </w:rPr>
              <w:t>Digital FS operating above 30 MHz</w:t>
            </w:r>
            <w:r>
              <w:rPr>
                <w:lang w:val="en-US"/>
              </w:rPr>
              <w:br/>
              <w:t>(Reference to Fig. 81)</w:t>
            </w:r>
          </w:p>
        </w:tc>
      </w:tr>
      <w:tr w:rsidR="00B9359B">
        <w:trPr>
          <w:cantSplit/>
        </w:trPr>
        <w:tc>
          <w:tcPr>
            <w:tcW w:w="4831" w:type="dxa"/>
            <w:gridSpan w:val="2"/>
            <w:vAlign w:val="center"/>
          </w:tcPr>
          <w:p w:rsidR="00B9359B" w:rsidRDefault="009A5268">
            <w:pPr>
              <w:pStyle w:val="Tablehead"/>
              <w:framePr w:hSpace="181" w:wrap="notBeside" w:vAnchor="text" w:hAnchor="text" w:xAlign="center" w:y="1"/>
              <w:rPr>
                <w:lang w:val="en-US"/>
              </w:rPr>
            </w:pPr>
            <w:r>
              <w:rPr>
                <w:lang w:val="en-US"/>
              </w:rPr>
              <w:t>All systems</w:t>
            </w:r>
            <w:r>
              <w:rPr>
                <w:lang w:val="en-US"/>
              </w:rPr>
              <w:br/>
              <w:t>(FDMA excluded)</w:t>
            </w:r>
          </w:p>
        </w:tc>
        <w:tc>
          <w:tcPr>
            <w:tcW w:w="4808" w:type="dxa"/>
            <w:gridSpan w:val="2"/>
            <w:vAlign w:val="center"/>
          </w:tcPr>
          <w:p w:rsidR="00B9359B" w:rsidRDefault="009A5268">
            <w:pPr>
              <w:pStyle w:val="Tablehead"/>
              <w:framePr w:hSpace="181" w:wrap="notBeside" w:vAnchor="text" w:hAnchor="text" w:xAlign="center" w:y="1"/>
              <w:rPr>
                <w:lang w:val="en-US"/>
              </w:rPr>
            </w:pPr>
            <w:r>
              <w:rPr>
                <w:lang w:val="en-US"/>
              </w:rPr>
              <w:t>FDMA systems only</w:t>
            </w:r>
          </w:p>
        </w:tc>
      </w:tr>
      <w:tr w:rsidR="00B9359B">
        <w:trPr>
          <w:cantSplit/>
        </w:trPr>
        <w:tc>
          <w:tcPr>
            <w:tcW w:w="3221" w:type="dxa"/>
            <w:vAlign w:val="center"/>
          </w:tcPr>
          <w:p w:rsidR="00B9359B" w:rsidRDefault="009A5268">
            <w:pPr>
              <w:pStyle w:val="Tablehead"/>
              <w:framePr w:hSpace="181" w:wrap="notBeside" w:vAnchor="text" w:hAnchor="text" w:xAlign="center" w:y="1"/>
              <w:rPr>
                <w:lang w:val="en-US"/>
              </w:rPr>
            </w:pPr>
            <w:r>
              <w:rPr>
                <w:lang w:val="en-US"/>
              </w:rPr>
              <w:t>Frequency</w:t>
            </w:r>
            <w:r>
              <w:rPr>
                <w:lang w:val="en-US"/>
              </w:rPr>
              <w:br/>
              <w:t xml:space="preserve">offset </w:t>
            </w:r>
            <w:r>
              <w:rPr>
                <w:lang w:val="en-US"/>
              </w:rPr>
              <w:br/>
              <w:t>(</w:t>
            </w:r>
            <w:r>
              <w:rPr>
                <w:i/>
                <w:iCs/>
                <w:lang w:val="en-US"/>
              </w:rPr>
              <w:t>C</w:t>
            </w:r>
            <w:r>
              <w:rPr>
                <w:i/>
                <w:iCs/>
                <w:vertAlign w:val="subscript"/>
                <w:lang w:val="en-US"/>
              </w:rPr>
              <w:t>s</w:t>
            </w:r>
            <w:r>
              <w:rPr>
                <w:lang w:val="en-US"/>
              </w:rPr>
              <w:t xml:space="preserve"> %)</w:t>
            </w:r>
          </w:p>
        </w:tc>
        <w:tc>
          <w:tcPr>
            <w:tcW w:w="1610" w:type="dxa"/>
            <w:vAlign w:val="center"/>
          </w:tcPr>
          <w:p w:rsidR="00B9359B" w:rsidRDefault="009A5268">
            <w:pPr>
              <w:pStyle w:val="Tablehead"/>
              <w:framePr w:hSpace="181" w:wrap="notBeside" w:vAnchor="text" w:hAnchor="text" w:xAlign="center" w:y="1"/>
              <w:rPr>
                <w:lang w:val="en-US"/>
              </w:rPr>
            </w:pPr>
            <w:r>
              <w:rPr>
                <w:lang w:val="en-US"/>
              </w:rPr>
              <w:t>Attenuation</w:t>
            </w:r>
            <w:r>
              <w:rPr>
                <w:lang w:val="en-US"/>
              </w:rPr>
              <w:br/>
              <w:t>(dBsd)</w:t>
            </w:r>
          </w:p>
        </w:tc>
        <w:tc>
          <w:tcPr>
            <w:tcW w:w="3075" w:type="dxa"/>
            <w:vAlign w:val="center"/>
          </w:tcPr>
          <w:p w:rsidR="00B9359B" w:rsidRDefault="009A5268">
            <w:pPr>
              <w:pStyle w:val="Tablehead"/>
              <w:framePr w:hSpace="181" w:wrap="notBeside" w:vAnchor="text" w:hAnchor="text" w:xAlign="center" w:y="1"/>
              <w:rPr>
                <w:lang w:val="en-US"/>
              </w:rPr>
            </w:pPr>
            <w:r>
              <w:rPr>
                <w:lang w:val="en-US"/>
              </w:rPr>
              <w:t>Frequency</w:t>
            </w:r>
            <w:r>
              <w:rPr>
                <w:lang w:val="en-US"/>
              </w:rPr>
              <w:br/>
              <w:t xml:space="preserve">offset </w:t>
            </w:r>
            <w:r>
              <w:rPr>
                <w:lang w:val="en-US"/>
              </w:rPr>
              <w:br/>
              <w:t>(</w:t>
            </w:r>
            <w:r>
              <w:rPr>
                <w:i/>
                <w:iCs/>
                <w:lang w:val="en-US"/>
              </w:rPr>
              <w:t>C</w:t>
            </w:r>
            <w:r>
              <w:rPr>
                <w:i/>
                <w:iCs/>
                <w:vertAlign w:val="subscript"/>
                <w:lang w:val="en-US"/>
              </w:rPr>
              <w:t>s</w:t>
            </w:r>
            <w:r>
              <w:rPr>
                <w:lang w:val="en-US"/>
              </w:rPr>
              <w:t xml:space="preserve"> %)</w:t>
            </w:r>
          </w:p>
        </w:tc>
        <w:tc>
          <w:tcPr>
            <w:tcW w:w="1733" w:type="dxa"/>
            <w:vAlign w:val="center"/>
          </w:tcPr>
          <w:p w:rsidR="00B9359B" w:rsidRDefault="009A5268">
            <w:pPr>
              <w:pStyle w:val="Tablehead"/>
              <w:framePr w:hSpace="181" w:wrap="notBeside" w:vAnchor="text" w:hAnchor="text" w:xAlign="center" w:y="1"/>
              <w:rPr>
                <w:lang w:val="en-US"/>
              </w:rPr>
            </w:pPr>
            <w:r>
              <w:rPr>
                <w:lang w:val="en-US"/>
              </w:rPr>
              <w:t>Attenuation</w:t>
            </w:r>
            <w:r>
              <w:rPr>
                <w:lang w:val="en-US"/>
              </w:rPr>
              <w:br/>
              <w:t>(dBsd)</w:t>
            </w:r>
          </w:p>
        </w:tc>
      </w:tr>
      <w:tr w:rsidR="00B9359B">
        <w:trPr>
          <w:cantSplit/>
        </w:trPr>
        <w:tc>
          <w:tcPr>
            <w:tcW w:w="3221" w:type="dxa"/>
          </w:tcPr>
          <w:p w:rsidR="00B9359B" w:rsidRDefault="009A5268">
            <w:pPr>
              <w:pStyle w:val="Tabletext"/>
              <w:framePr w:hSpace="181" w:wrap="notBeside" w:vAnchor="text" w:hAnchor="text" w:xAlign="center" w:y="1"/>
              <w:spacing w:before="50" w:after="50"/>
              <w:jc w:val="center"/>
              <w:rPr>
                <w:lang w:val="en-US"/>
              </w:rPr>
            </w:pPr>
            <w:r>
              <w:rPr>
                <w:lang w:val="en-US"/>
              </w:rPr>
              <w:t>0</w:t>
            </w:r>
          </w:p>
        </w:tc>
        <w:tc>
          <w:tcPr>
            <w:tcW w:w="1610" w:type="dxa"/>
          </w:tcPr>
          <w:p w:rsidR="00B9359B" w:rsidRDefault="009A5268">
            <w:pPr>
              <w:pStyle w:val="Tabletext"/>
              <w:framePr w:hSpace="181" w:wrap="notBeside" w:vAnchor="text" w:hAnchor="text" w:xAlign="center" w:y="1"/>
              <w:spacing w:before="50" w:after="50"/>
              <w:jc w:val="center"/>
              <w:rPr>
                <w:lang w:val="en-US"/>
              </w:rPr>
            </w:pPr>
            <w:r>
              <w:rPr>
                <w:lang w:val="en-US"/>
              </w:rPr>
              <w:t>0</w:t>
            </w:r>
          </w:p>
        </w:tc>
        <w:tc>
          <w:tcPr>
            <w:tcW w:w="3075" w:type="dxa"/>
          </w:tcPr>
          <w:p w:rsidR="00B9359B" w:rsidRDefault="009A5268">
            <w:pPr>
              <w:pStyle w:val="Tabletext"/>
              <w:framePr w:hSpace="181" w:wrap="notBeside" w:vAnchor="text" w:hAnchor="text" w:xAlign="center" w:y="1"/>
              <w:spacing w:before="50" w:after="50"/>
              <w:jc w:val="center"/>
              <w:rPr>
                <w:lang w:val="en-US"/>
              </w:rPr>
            </w:pPr>
            <w:r>
              <w:rPr>
                <w:lang w:val="en-US"/>
              </w:rPr>
              <w:t>0</w:t>
            </w:r>
          </w:p>
        </w:tc>
        <w:tc>
          <w:tcPr>
            <w:tcW w:w="1733" w:type="dxa"/>
          </w:tcPr>
          <w:p w:rsidR="00B9359B" w:rsidRDefault="009A5268">
            <w:pPr>
              <w:pStyle w:val="Tabletext"/>
              <w:framePr w:hSpace="181" w:wrap="notBeside" w:vAnchor="text" w:hAnchor="text" w:xAlign="center" w:y="1"/>
              <w:spacing w:before="50" w:after="50"/>
              <w:jc w:val="center"/>
              <w:rPr>
                <w:lang w:val="en-US"/>
              </w:rPr>
            </w:pPr>
            <w:r>
              <w:rPr>
                <w:lang w:val="en-US"/>
              </w:rPr>
              <w:t>0</w:t>
            </w:r>
          </w:p>
        </w:tc>
      </w:tr>
      <w:tr w:rsidR="00B9359B">
        <w:trPr>
          <w:cantSplit/>
        </w:trPr>
        <w:tc>
          <w:tcPr>
            <w:tcW w:w="3221" w:type="dxa"/>
          </w:tcPr>
          <w:p w:rsidR="00B9359B" w:rsidRDefault="009A5268">
            <w:pPr>
              <w:pStyle w:val="Tabletext"/>
              <w:framePr w:hSpace="181" w:wrap="notBeside" w:vAnchor="text" w:hAnchor="text" w:xAlign="center" w:y="1"/>
              <w:spacing w:before="50" w:after="50"/>
              <w:jc w:val="center"/>
              <w:rPr>
                <w:lang w:val="en-US"/>
              </w:rPr>
            </w:pPr>
            <w:r>
              <w:rPr>
                <w:lang w:val="en-US"/>
              </w:rPr>
              <w:t>55</w:t>
            </w:r>
          </w:p>
        </w:tc>
        <w:tc>
          <w:tcPr>
            <w:tcW w:w="1610" w:type="dxa"/>
          </w:tcPr>
          <w:p w:rsidR="00B9359B" w:rsidRDefault="009A5268">
            <w:pPr>
              <w:pStyle w:val="Tabletext"/>
              <w:framePr w:hSpace="181" w:wrap="notBeside" w:vAnchor="text" w:hAnchor="text" w:xAlign="center" w:y="1"/>
              <w:spacing w:before="50" w:after="50"/>
              <w:jc w:val="center"/>
              <w:rPr>
                <w:lang w:val="en-US"/>
              </w:rPr>
            </w:pPr>
            <w:r>
              <w:rPr>
                <w:lang w:val="en-US"/>
              </w:rPr>
              <w:t>0</w:t>
            </w:r>
          </w:p>
        </w:tc>
        <w:tc>
          <w:tcPr>
            <w:tcW w:w="3075" w:type="dxa"/>
          </w:tcPr>
          <w:p w:rsidR="00B9359B" w:rsidRDefault="009A5268">
            <w:pPr>
              <w:pStyle w:val="Tabletext"/>
              <w:framePr w:hSpace="181" w:wrap="notBeside" w:vAnchor="text" w:hAnchor="text" w:xAlign="center" w:y="1"/>
              <w:spacing w:before="50" w:after="50"/>
              <w:jc w:val="center"/>
              <w:rPr>
                <w:lang w:val="en-US"/>
              </w:rPr>
            </w:pPr>
            <w:r>
              <w:rPr>
                <w:lang w:val="en-US"/>
              </w:rPr>
              <w:t>50</w:t>
            </w:r>
          </w:p>
        </w:tc>
        <w:tc>
          <w:tcPr>
            <w:tcW w:w="1733" w:type="dxa"/>
          </w:tcPr>
          <w:p w:rsidR="00B9359B" w:rsidRDefault="009A5268">
            <w:pPr>
              <w:pStyle w:val="Tabletext"/>
              <w:framePr w:hSpace="181" w:wrap="notBeside" w:vAnchor="text" w:hAnchor="text" w:xAlign="center" w:y="1"/>
              <w:spacing w:before="50" w:after="50"/>
              <w:jc w:val="center"/>
              <w:rPr>
                <w:lang w:val="en-US"/>
              </w:rPr>
            </w:pPr>
            <w:r>
              <w:rPr>
                <w:lang w:val="en-US"/>
              </w:rPr>
              <w:t>0</w:t>
            </w:r>
          </w:p>
        </w:tc>
      </w:tr>
      <w:tr w:rsidR="00B9359B">
        <w:trPr>
          <w:cantSplit/>
        </w:trPr>
        <w:tc>
          <w:tcPr>
            <w:tcW w:w="3221" w:type="dxa"/>
          </w:tcPr>
          <w:p w:rsidR="00B9359B" w:rsidRDefault="009A5268">
            <w:pPr>
              <w:pStyle w:val="Tabletext"/>
              <w:framePr w:hSpace="181" w:wrap="notBeside" w:vAnchor="text" w:hAnchor="text" w:xAlign="center" w:y="1"/>
              <w:spacing w:before="50" w:after="50"/>
              <w:jc w:val="center"/>
              <w:rPr>
                <w:lang w:val="en-US"/>
              </w:rPr>
            </w:pPr>
            <w:r>
              <w:rPr>
                <w:lang w:val="en-US"/>
              </w:rPr>
              <w:t>120</w:t>
            </w:r>
          </w:p>
        </w:tc>
        <w:tc>
          <w:tcPr>
            <w:tcW w:w="1610" w:type="dxa"/>
          </w:tcPr>
          <w:p w:rsidR="00B9359B" w:rsidRDefault="009A5268">
            <w:pPr>
              <w:pStyle w:val="Tabletext"/>
              <w:framePr w:hSpace="181" w:wrap="notBeside" w:vAnchor="text" w:hAnchor="text" w:xAlign="center" w:y="1"/>
              <w:spacing w:before="50" w:after="50"/>
              <w:jc w:val="center"/>
              <w:rPr>
                <w:lang w:val="en-US"/>
              </w:rPr>
            </w:pPr>
            <w:r>
              <w:rPr>
                <w:lang w:val="en-US"/>
              </w:rPr>
              <w:t>25</w:t>
            </w:r>
          </w:p>
        </w:tc>
        <w:tc>
          <w:tcPr>
            <w:tcW w:w="3075" w:type="dxa"/>
          </w:tcPr>
          <w:p w:rsidR="00B9359B" w:rsidRDefault="009A5268">
            <w:pPr>
              <w:pStyle w:val="Tabletext"/>
              <w:framePr w:hSpace="181" w:wrap="notBeside" w:vAnchor="text" w:hAnchor="text" w:xAlign="center" w:y="1"/>
              <w:spacing w:before="50" w:after="50"/>
              <w:jc w:val="center"/>
              <w:rPr>
                <w:lang w:val="en-US"/>
              </w:rPr>
            </w:pPr>
            <w:r>
              <w:rPr>
                <w:lang w:val="en-US"/>
              </w:rPr>
              <w:t>65</w:t>
            </w:r>
          </w:p>
        </w:tc>
        <w:tc>
          <w:tcPr>
            <w:tcW w:w="1733" w:type="dxa"/>
          </w:tcPr>
          <w:p w:rsidR="00B9359B" w:rsidRDefault="009A5268">
            <w:pPr>
              <w:pStyle w:val="Tabletext"/>
              <w:framePr w:hSpace="181" w:wrap="notBeside" w:vAnchor="text" w:hAnchor="text" w:xAlign="center" w:y="1"/>
              <w:spacing w:before="50" w:after="50"/>
              <w:jc w:val="center"/>
              <w:rPr>
                <w:lang w:val="en-US"/>
              </w:rPr>
            </w:pPr>
            <w:r>
              <w:rPr>
                <w:lang w:val="en-US"/>
              </w:rPr>
              <w:t>25</w:t>
            </w:r>
          </w:p>
        </w:tc>
      </w:tr>
      <w:tr w:rsidR="00B9359B">
        <w:trPr>
          <w:cantSplit/>
        </w:trPr>
        <w:tc>
          <w:tcPr>
            <w:tcW w:w="3221" w:type="dxa"/>
          </w:tcPr>
          <w:p w:rsidR="00B9359B" w:rsidRDefault="009A5268">
            <w:pPr>
              <w:pStyle w:val="Tabletext"/>
              <w:framePr w:hSpace="181" w:wrap="notBeside" w:vAnchor="text" w:hAnchor="text" w:xAlign="center" w:y="1"/>
              <w:spacing w:before="50" w:after="50"/>
              <w:jc w:val="center"/>
              <w:rPr>
                <w:lang w:val="en-US"/>
              </w:rPr>
            </w:pPr>
            <w:r>
              <w:rPr>
                <w:lang w:val="en-US"/>
              </w:rPr>
              <w:t>180</w:t>
            </w:r>
          </w:p>
        </w:tc>
        <w:tc>
          <w:tcPr>
            <w:tcW w:w="1610" w:type="dxa"/>
          </w:tcPr>
          <w:p w:rsidR="00B9359B" w:rsidRDefault="009A5268">
            <w:pPr>
              <w:pStyle w:val="Tabletext"/>
              <w:framePr w:hSpace="181" w:wrap="notBeside" w:vAnchor="text" w:hAnchor="text" w:xAlign="center" w:y="1"/>
              <w:spacing w:before="50" w:after="50"/>
              <w:jc w:val="center"/>
              <w:rPr>
                <w:lang w:val="en-US"/>
              </w:rPr>
            </w:pPr>
            <w:r>
              <w:rPr>
                <w:lang w:val="en-US"/>
              </w:rPr>
              <w:t>40</w:t>
            </w:r>
          </w:p>
        </w:tc>
        <w:tc>
          <w:tcPr>
            <w:tcW w:w="3075" w:type="dxa"/>
          </w:tcPr>
          <w:p w:rsidR="00B9359B" w:rsidRDefault="009A5268">
            <w:pPr>
              <w:pStyle w:val="Tabletext"/>
              <w:framePr w:hSpace="181" w:wrap="notBeside" w:vAnchor="text" w:hAnchor="text" w:xAlign="center" w:y="1"/>
              <w:spacing w:before="50" w:after="50"/>
              <w:jc w:val="center"/>
              <w:rPr>
                <w:lang w:val="en-US"/>
              </w:rPr>
            </w:pPr>
            <w:r>
              <w:rPr>
                <w:lang w:val="en-US"/>
              </w:rPr>
              <w:t>150</w:t>
            </w:r>
          </w:p>
        </w:tc>
        <w:tc>
          <w:tcPr>
            <w:tcW w:w="1733" w:type="dxa"/>
          </w:tcPr>
          <w:p w:rsidR="00B9359B" w:rsidRDefault="009A5268">
            <w:pPr>
              <w:pStyle w:val="Tabletext"/>
              <w:framePr w:hSpace="181" w:wrap="notBeside" w:vAnchor="text" w:hAnchor="text" w:xAlign="center" w:y="1"/>
              <w:spacing w:before="50" w:after="50"/>
              <w:jc w:val="center"/>
              <w:rPr>
                <w:lang w:val="en-US"/>
              </w:rPr>
            </w:pPr>
            <w:r>
              <w:rPr>
                <w:lang w:val="en-US"/>
              </w:rPr>
              <w:t>25</w:t>
            </w:r>
          </w:p>
        </w:tc>
      </w:tr>
      <w:tr w:rsidR="00B9359B">
        <w:trPr>
          <w:cantSplit/>
        </w:trPr>
        <w:tc>
          <w:tcPr>
            <w:tcW w:w="3221" w:type="dxa"/>
          </w:tcPr>
          <w:p w:rsidR="00B9359B" w:rsidRDefault="009A5268">
            <w:pPr>
              <w:pStyle w:val="Tabletext"/>
              <w:framePr w:hSpace="181" w:wrap="notBeside" w:vAnchor="text" w:hAnchor="text" w:xAlign="center" w:y="1"/>
              <w:spacing w:before="50" w:after="50"/>
              <w:jc w:val="center"/>
              <w:rPr>
                <w:lang w:val="en-US"/>
              </w:rPr>
            </w:pPr>
            <w:r>
              <w:rPr>
                <w:lang w:val="en-US"/>
              </w:rPr>
              <w:t>250</w:t>
            </w:r>
          </w:p>
        </w:tc>
        <w:tc>
          <w:tcPr>
            <w:tcW w:w="1610" w:type="dxa"/>
          </w:tcPr>
          <w:p w:rsidR="00B9359B" w:rsidRDefault="009A5268">
            <w:pPr>
              <w:pStyle w:val="Tabletext"/>
              <w:framePr w:hSpace="181" w:wrap="notBeside" w:vAnchor="text" w:hAnchor="text" w:xAlign="center" w:y="1"/>
              <w:spacing w:before="50" w:after="50"/>
              <w:jc w:val="center"/>
              <w:rPr>
                <w:lang w:val="en-US"/>
              </w:rPr>
            </w:pPr>
            <w:r>
              <w:rPr>
                <w:lang w:val="en-US"/>
              </w:rPr>
              <w:t>40</w:t>
            </w:r>
          </w:p>
        </w:tc>
        <w:tc>
          <w:tcPr>
            <w:tcW w:w="3075" w:type="dxa"/>
          </w:tcPr>
          <w:p w:rsidR="00B9359B" w:rsidRDefault="009A5268">
            <w:pPr>
              <w:pStyle w:val="Tabletext"/>
              <w:framePr w:hSpace="181" w:wrap="notBeside" w:vAnchor="text" w:hAnchor="text" w:xAlign="center" w:y="1"/>
              <w:spacing w:before="50" w:after="50"/>
              <w:jc w:val="center"/>
              <w:rPr>
                <w:lang w:val="en-US"/>
              </w:rPr>
            </w:pPr>
            <w:r>
              <w:rPr>
                <w:lang w:val="en-US"/>
              </w:rPr>
              <w:t>150</w:t>
            </w:r>
          </w:p>
        </w:tc>
        <w:tc>
          <w:tcPr>
            <w:tcW w:w="1733" w:type="dxa"/>
          </w:tcPr>
          <w:p w:rsidR="00B9359B" w:rsidRDefault="009A5268">
            <w:pPr>
              <w:pStyle w:val="Tabletext"/>
              <w:framePr w:hSpace="181" w:wrap="notBeside" w:vAnchor="text" w:hAnchor="text" w:xAlign="center" w:y="1"/>
              <w:spacing w:before="50" w:after="50"/>
              <w:jc w:val="center"/>
              <w:rPr>
                <w:lang w:val="en-US"/>
              </w:rPr>
            </w:pPr>
            <w:r>
              <w:rPr>
                <w:lang w:val="en-US"/>
              </w:rPr>
              <w:t>40</w:t>
            </w:r>
          </w:p>
        </w:tc>
      </w:tr>
      <w:tr w:rsidR="00B9359B">
        <w:trPr>
          <w:cantSplit/>
        </w:trPr>
        <w:tc>
          <w:tcPr>
            <w:tcW w:w="3221" w:type="dxa"/>
          </w:tcPr>
          <w:p w:rsidR="00B9359B" w:rsidRDefault="00B9359B">
            <w:pPr>
              <w:pStyle w:val="Tabletext"/>
              <w:framePr w:hSpace="181" w:wrap="notBeside" w:vAnchor="text" w:hAnchor="text" w:xAlign="center" w:y="1"/>
              <w:spacing w:before="50" w:after="50"/>
              <w:jc w:val="center"/>
              <w:rPr>
                <w:lang w:val="en-US"/>
              </w:rPr>
            </w:pPr>
          </w:p>
        </w:tc>
        <w:tc>
          <w:tcPr>
            <w:tcW w:w="1610" w:type="dxa"/>
          </w:tcPr>
          <w:p w:rsidR="00B9359B" w:rsidRDefault="00B9359B">
            <w:pPr>
              <w:pStyle w:val="Tabletext"/>
              <w:framePr w:hSpace="181" w:wrap="notBeside" w:vAnchor="text" w:hAnchor="text" w:xAlign="center" w:y="1"/>
              <w:spacing w:before="50" w:after="50"/>
              <w:jc w:val="center"/>
              <w:rPr>
                <w:lang w:val="en-US"/>
              </w:rPr>
            </w:pPr>
          </w:p>
        </w:tc>
        <w:tc>
          <w:tcPr>
            <w:tcW w:w="3075" w:type="dxa"/>
          </w:tcPr>
          <w:p w:rsidR="00B9359B" w:rsidRDefault="009A5268">
            <w:pPr>
              <w:pStyle w:val="Tabletext"/>
              <w:framePr w:hSpace="181" w:wrap="notBeside" w:vAnchor="text" w:hAnchor="text" w:xAlign="center" w:y="1"/>
              <w:spacing w:before="50" w:after="50"/>
              <w:jc w:val="center"/>
              <w:rPr>
                <w:lang w:val="en-US"/>
              </w:rPr>
            </w:pPr>
            <w:r>
              <w:rPr>
                <w:lang w:val="en-US"/>
              </w:rPr>
              <w:t>250</w:t>
            </w:r>
          </w:p>
        </w:tc>
        <w:tc>
          <w:tcPr>
            <w:tcW w:w="1733" w:type="dxa"/>
          </w:tcPr>
          <w:p w:rsidR="00B9359B" w:rsidRDefault="009A5268">
            <w:pPr>
              <w:pStyle w:val="Tabletext"/>
              <w:framePr w:hSpace="181" w:wrap="notBeside" w:vAnchor="text" w:hAnchor="text" w:xAlign="center" w:y="1"/>
              <w:spacing w:before="50" w:after="50"/>
              <w:jc w:val="center"/>
              <w:rPr>
                <w:lang w:val="en-US"/>
              </w:rPr>
            </w:pPr>
            <w:r>
              <w:rPr>
                <w:lang w:val="en-US"/>
              </w:rPr>
              <w:t>40</w:t>
            </w:r>
          </w:p>
        </w:tc>
      </w:tr>
    </w:tbl>
    <w:p w:rsidR="00B9359B" w:rsidRDefault="00B9359B">
      <w:pPr>
        <w:pStyle w:val="Tablefin"/>
        <w:spacing w:before="0"/>
      </w:pPr>
    </w:p>
    <w:p w:rsidR="00B9359B" w:rsidRDefault="009A5268">
      <w:pPr>
        <w:rPr>
          <w:lang w:val="en-US"/>
        </w:rPr>
      </w:pPr>
      <w:r>
        <w:rPr>
          <w:lang w:val="en-US"/>
        </w:rPr>
        <w:t>The corresponding OoB emissions masks are provided in Fig. 81.</w:t>
      </w:r>
    </w:p>
    <w:p w:rsidR="00B9359B" w:rsidRDefault="009A5268">
      <w:pPr>
        <w:pStyle w:val="FigureNo"/>
      </w:pPr>
      <w:r>
        <w:object w:dxaOrig="6524" w:dyaOrig="7877">
          <v:shape id="_x0000_i1117" type="#_x0000_t75" style="width:326.7pt;height:393.3pt" o:ole="">
            <v:imagedata r:id="rId166" o:title=""/>
          </v:shape>
          <o:OLEObject Type="Embed" ProgID="Designer.Drawing.7" ShapeID="_x0000_i1117" DrawAspect="Content" ObjectID="_1629894620" r:id="rId167"/>
        </w:object>
      </w:r>
    </w:p>
    <w:p w:rsidR="00B9359B" w:rsidRDefault="009A5268">
      <w:pPr>
        <w:rPr>
          <w:lang w:val="en-US"/>
        </w:rPr>
      </w:pPr>
      <w:r>
        <w:rPr>
          <w:lang w:val="en-US"/>
        </w:rPr>
        <w:br w:type="page"/>
        <w:t>In the following analysis, we consider the envelop of the two masks (very worst-case assumption).</w:t>
      </w:r>
    </w:p>
    <w:p w:rsidR="00B9359B" w:rsidRDefault="009A5268">
      <w:pPr>
        <w:rPr>
          <w:lang w:val="en-US"/>
        </w:rPr>
      </w:pPr>
      <w:r>
        <w:rPr>
          <w:lang w:val="en-US"/>
        </w:rPr>
        <w:t>Again the power falling into the EESS band may be calculated by assuming that the spurious emission level does not exceed the limit at the edge of the OoB domain. This gives:</w:t>
      </w:r>
    </w:p>
    <w:p w:rsidR="00B9359B" w:rsidRDefault="009A5268">
      <w:pPr>
        <w:pStyle w:val="enumlev1"/>
        <w:rPr>
          <w:lang w:val="en-US"/>
        </w:rPr>
      </w:pPr>
      <w:r>
        <w:rPr>
          <w:lang w:val="en-US"/>
        </w:rPr>
        <w:t xml:space="preserve">For 28 MHz </w:t>
      </w:r>
      <w:r>
        <w:rPr>
          <w:i/>
          <w:iCs/>
          <w:lang w:val="en-US"/>
        </w:rPr>
        <w:t>C</w:t>
      </w:r>
      <w:r>
        <w:rPr>
          <w:i/>
          <w:iCs/>
          <w:vertAlign w:val="subscript"/>
          <w:lang w:val="en-US"/>
        </w:rPr>
        <w:t>s</w:t>
      </w:r>
      <w:r>
        <w:rPr>
          <w:lang w:val="en-US"/>
        </w:rPr>
        <w:t>:</w:t>
      </w:r>
      <w:r>
        <w:rPr>
          <w:lang w:val="en-US"/>
        </w:rPr>
        <w:tab/>
        <w:t>–</w:t>
      </w:r>
      <w:r>
        <w:rPr>
          <w:sz w:val="4"/>
          <w:lang w:val="en-US"/>
        </w:rPr>
        <w:t xml:space="preserve"> </w:t>
      </w:r>
      <w:r>
        <w:rPr>
          <w:lang w:val="en-US"/>
        </w:rPr>
        <w:t>44.5 dB(W/100 MHz).</w:t>
      </w:r>
    </w:p>
    <w:p w:rsidR="00B9359B" w:rsidRDefault="009A5268">
      <w:pPr>
        <w:pStyle w:val="enumlev1"/>
        <w:rPr>
          <w:lang w:val="en-US"/>
        </w:rPr>
      </w:pPr>
      <w:r>
        <w:rPr>
          <w:lang w:val="en-US"/>
        </w:rPr>
        <w:t xml:space="preserve">For 56 MHz </w:t>
      </w:r>
      <w:r>
        <w:rPr>
          <w:i/>
          <w:iCs/>
          <w:lang w:val="en-US"/>
        </w:rPr>
        <w:t>C</w:t>
      </w:r>
      <w:r>
        <w:rPr>
          <w:i/>
          <w:iCs/>
          <w:vertAlign w:val="subscript"/>
          <w:lang w:val="en-US"/>
        </w:rPr>
        <w:t>s</w:t>
      </w:r>
      <w:r>
        <w:rPr>
          <w:lang w:val="en-US"/>
        </w:rPr>
        <w:t>:</w:t>
      </w:r>
      <w:r>
        <w:rPr>
          <w:lang w:val="en-US"/>
        </w:rPr>
        <w:tab/>
        <w:t>–39.5 dB(W/100 MHz).</w:t>
      </w:r>
    </w:p>
    <w:p w:rsidR="00B9359B" w:rsidRDefault="009A5268">
      <w:pPr>
        <w:rPr>
          <w:lang w:val="en-US"/>
        </w:rPr>
      </w:pPr>
      <w:r>
        <w:rPr>
          <w:lang w:val="en-US"/>
        </w:rPr>
        <w:t>The EESS protection criterion is met in all these cases.</w:t>
      </w:r>
    </w:p>
    <w:p w:rsidR="00B9359B" w:rsidRDefault="009A5268">
      <w:pPr>
        <w:pStyle w:val="Heading4"/>
        <w:rPr>
          <w:lang w:val="en-US"/>
        </w:rPr>
      </w:pPr>
      <w:bookmarkStart w:id="678" w:name="_Toc51046076"/>
      <w:r>
        <w:rPr>
          <w:lang w:val="en-US"/>
        </w:rPr>
        <w:t>4.3.2.2</w:t>
      </w:r>
      <w:r>
        <w:rPr>
          <w:lang w:val="en-US"/>
        </w:rPr>
        <w:tab/>
        <w:t>Refinement of the calculation using Recommendation ITU-R SM.1541 and Category B limits (see Recommendation ITU-R SM.329)</w:t>
      </w:r>
      <w:bookmarkEnd w:id="678"/>
    </w:p>
    <w:p w:rsidR="00B9359B" w:rsidRDefault="009A5268">
      <w:pPr>
        <w:pStyle w:val="Heading5"/>
        <w:rPr>
          <w:lang w:val="en-US"/>
        </w:rPr>
      </w:pPr>
      <w:bookmarkStart w:id="679" w:name="_Toc51046077"/>
      <w:r>
        <w:rPr>
          <w:lang w:val="en-US"/>
        </w:rPr>
        <w:t>4.3.2.2.1</w:t>
      </w:r>
      <w:r>
        <w:rPr>
          <w:lang w:val="en-US"/>
        </w:rPr>
        <w:tab/>
        <w:t xml:space="preserve">Case of 3.5 and 7 MHz </w:t>
      </w:r>
      <w:bookmarkEnd w:id="679"/>
      <w:r>
        <w:rPr>
          <w:i/>
          <w:iCs/>
          <w:lang w:val="en-US"/>
        </w:rPr>
        <w:t>C</w:t>
      </w:r>
      <w:r>
        <w:rPr>
          <w:i/>
          <w:iCs/>
          <w:vertAlign w:val="subscript"/>
          <w:lang w:val="en-US"/>
        </w:rPr>
        <w:t>s</w:t>
      </w:r>
    </w:p>
    <w:p w:rsidR="00B9359B" w:rsidRDefault="009A5268">
      <w:pPr>
        <w:rPr>
          <w:lang w:val="en-US"/>
        </w:rPr>
      </w:pPr>
      <w:r>
        <w:rPr>
          <w:lang w:val="en-US"/>
        </w:rPr>
        <w:t xml:space="preserve">It should be noted that Recommendation ITU-R F.1496 provides channel arrangements for systems using 3.5 MHz, 7 MHz, 14 MHz, 28 MHz and 56 MHz </w:t>
      </w:r>
      <w:r>
        <w:rPr>
          <w:i/>
          <w:iCs/>
          <w:lang w:val="en-US"/>
        </w:rPr>
        <w:t>C</w:t>
      </w:r>
      <w:r>
        <w:rPr>
          <w:i/>
          <w:iCs/>
          <w:vertAlign w:val="subscript"/>
          <w:lang w:val="en-US"/>
        </w:rPr>
        <w:t>s</w:t>
      </w:r>
      <w:r>
        <w:rPr>
          <w:lang w:val="en-US"/>
        </w:rPr>
        <w:t xml:space="preserve"> to be deployed in this band. These channel arrangements include a guardband of 40 MHz within the FS band.</w:t>
      </w:r>
    </w:p>
    <w:p w:rsidR="00B9359B" w:rsidRDefault="009A5268">
      <w:pPr>
        <w:rPr>
          <w:lang w:val="en-US"/>
        </w:rPr>
      </w:pPr>
      <w:r>
        <w:rPr>
          <w:lang w:val="en-US"/>
        </w:rPr>
        <w:t xml:space="preserve">This means that for </w:t>
      </w:r>
      <w:r>
        <w:rPr>
          <w:i/>
          <w:iCs/>
          <w:lang w:val="en-US"/>
        </w:rPr>
        <w:t>C</w:t>
      </w:r>
      <w:r>
        <w:rPr>
          <w:i/>
          <w:iCs/>
          <w:vertAlign w:val="subscript"/>
          <w:lang w:val="en-US"/>
        </w:rPr>
        <w:t>s</w:t>
      </w:r>
      <w:r>
        <w:rPr>
          <w:lang w:val="en-US"/>
        </w:rPr>
        <w:t xml:space="preserve"> of 3.5 and 7 MHz, the OoB domain (which extends from 50% of the </w:t>
      </w:r>
      <w:r>
        <w:rPr>
          <w:i/>
          <w:iCs/>
          <w:lang w:val="en-US"/>
        </w:rPr>
        <w:t>C</w:t>
      </w:r>
      <w:r>
        <w:rPr>
          <w:i/>
          <w:iCs/>
          <w:vertAlign w:val="subscript"/>
          <w:lang w:val="en-US"/>
        </w:rPr>
        <w:t>s</w:t>
      </w:r>
      <w:r>
        <w:rPr>
          <w:lang w:val="en-US"/>
        </w:rPr>
        <w:t xml:space="preserve"> to 250% of the </w:t>
      </w:r>
      <w:r>
        <w:rPr>
          <w:i/>
          <w:iCs/>
          <w:lang w:val="en-US"/>
        </w:rPr>
        <w:t>C</w:t>
      </w:r>
      <w:r>
        <w:rPr>
          <w:i/>
          <w:iCs/>
          <w:vertAlign w:val="subscript"/>
          <w:lang w:val="en-US"/>
        </w:rPr>
        <w:t>s</w:t>
      </w:r>
      <w:r>
        <w:rPr>
          <w:lang w:val="en-US"/>
        </w:rPr>
        <w:t xml:space="preserve"> compared to the centre frequency of the FS signal) will be included in the guardband. Then, for systems using 3.5 and 7 MHz </w:t>
      </w:r>
      <w:r>
        <w:rPr>
          <w:i/>
          <w:iCs/>
          <w:lang w:val="en-US"/>
        </w:rPr>
        <w:t>C</w:t>
      </w:r>
      <w:r>
        <w:rPr>
          <w:i/>
          <w:iCs/>
          <w:vertAlign w:val="subscript"/>
          <w:lang w:val="en-US"/>
        </w:rPr>
        <w:t>s</w:t>
      </w:r>
      <w:r>
        <w:rPr>
          <w:lang w:val="en-US"/>
        </w:rPr>
        <w:t xml:space="preserve"> only unwanted emissions falling into the spurious domain need to be considered.</w:t>
      </w:r>
    </w:p>
    <w:p w:rsidR="00B9359B" w:rsidRDefault="009A5268">
      <w:pPr>
        <w:rPr>
          <w:lang w:val="en-US"/>
        </w:rPr>
      </w:pPr>
      <w:r>
        <w:rPr>
          <w:lang w:val="en-US"/>
        </w:rPr>
        <w:t>Recommendation ITU-R SM.329 gives information on the levels of unwanted emissions falling into the spurious domain, in particular, this analysis considers levels adopted in Europe and used by some other countries (Category B levels).</w:t>
      </w:r>
    </w:p>
    <w:p w:rsidR="00B9359B" w:rsidRDefault="009A5268">
      <w:pPr>
        <w:rPr>
          <w:lang w:val="en-US"/>
        </w:rPr>
      </w:pPr>
      <w:r>
        <w:rPr>
          <w:lang w:val="en-US"/>
        </w:rPr>
        <w:t xml:space="preserve">In case of FS systems operating with a </w:t>
      </w:r>
      <w:r>
        <w:rPr>
          <w:i/>
          <w:iCs/>
          <w:lang w:val="en-US"/>
        </w:rPr>
        <w:t>C</w:t>
      </w:r>
      <w:r>
        <w:rPr>
          <w:i/>
          <w:iCs/>
          <w:vertAlign w:val="subscript"/>
          <w:lang w:val="en-US"/>
        </w:rPr>
        <w:t>s</w:t>
      </w:r>
      <w:r>
        <w:rPr>
          <w:lang w:val="en-US"/>
        </w:rPr>
        <w:t xml:space="preserve"> lower than 10 MHz, there is a step before reaching this –60 dB(W/MHz) value. From an offset of 2.5 </w:t>
      </w:r>
      <w:r>
        <w:rPr>
          <w:rFonts w:ascii="Symbol" w:hAnsi="Symbol"/>
        </w:rPr>
        <w:t></w:t>
      </w:r>
      <w:r>
        <w:rPr>
          <w:lang w:val="en-US"/>
        </w:rPr>
        <w:t> </w:t>
      </w:r>
      <w:r>
        <w:rPr>
          <w:i/>
          <w:iCs/>
          <w:lang w:val="en-US"/>
        </w:rPr>
        <w:t>C</w:t>
      </w:r>
      <w:r>
        <w:rPr>
          <w:i/>
          <w:iCs/>
          <w:vertAlign w:val="subscript"/>
          <w:lang w:val="en-US"/>
        </w:rPr>
        <w:t>s</w:t>
      </w:r>
      <w:r>
        <w:rPr>
          <w:lang w:val="en-US"/>
        </w:rPr>
        <w:t xml:space="preserve"> compared to the centre frequency to an offset of 70 MHz, the limit is equal to –50 dB(W/MHz) (or –60 dBW in a 100 kHz reference bandwidth).</w:t>
      </w:r>
    </w:p>
    <w:p w:rsidR="00B9359B" w:rsidRDefault="009A5268">
      <w:pPr>
        <w:rPr>
          <w:lang w:val="en-US"/>
        </w:rPr>
      </w:pPr>
      <w:r>
        <w:rPr>
          <w:lang w:val="en-US"/>
        </w:rPr>
        <w:t xml:space="preserve">In case of FS systems operating with a </w:t>
      </w:r>
      <w:r>
        <w:rPr>
          <w:i/>
          <w:iCs/>
          <w:lang w:val="en-US"/>
        </w:rPr>
        <w:t>C</w:t>
      </w:r>
      <w:r>
        <w:rPr>
          <w:i/>
          <w:iCs/>
          <w:vertAlign w:val="subscript"/>
          <w:lang w:val="en-US"/>
        </w:rPr>
        <w:t>s</w:t>
      </w:r>
      <w:r>
        <w:rPr>
          <w:lang w:val="en-US"/>
        </w:rPr>
        <w:t xml:space="preserve"> lower than 10 MHz, to obtain more realistic results we made the assumption that there is a linear decreasing between the –50 dB(W/MHz) point on the mask and the point corresponding to the level of </w:t>
      </w:r>
      <w:r>
        <w:rPr>
          <w:rFonts w:ascii="Symbol" w:hAnsi="Symbol"/>
          <w:lang w:val="en-US"/>
        </w:rPr>
        <w:noBreakHyphen/>
      </w:r>
      <w:r>
        <w:rPr>
          <w:lang w:val="en-US"/>
        </w:rPr>
        <w:t>60 dB(W/MHz).</w:t>
      </w:r>
    </w:p>
    <w:p w:rsidR="00B9359B" w:rsidRDefault="009A5268">
      <w:pPr>
        <w:rPr>
          <w:lang w:val="en-US"/>
        </w:rPr>
      </w:pPr>
      <w:r>
        <w:rPr>
          <w:lang w:val="en-US"/>
        </w:rPr>
        <w:t xml:space="preserve">Figure 82 provides an example of unwanted emissions mask for system using a 3.5 MHz </w:t>
      </w:r>
      <w:r>
        <w:rPr>
          <w:i/>
          <w:iCs/>
          <w:lang w:val="en-US"/>
        </w:rPr>
        <w:t>C</w:t>
      </w:r>
      <w:r>
        <w:rPr>
          <w:i/>
          <w:iCs/>
          <w:vertAlign w:val="subscript"/>
          <w:lang w:val="en-US"/>
        </w:rPr>
        <w:t>s</w:t>
      </w:r>
      <w:r>
        <w:rPr>
          <w:lang w:val="en-US"/>
        </w:rPr>
        <w:t>.</w:t>
      </w:r>
    </w:p>
    <w:p w:rsidR="00B9359B" w:rsidRDefault="009A5268">
      <w:pPr>
        <w:rPr>
          <w:lang w:val="en-US" w:eastAsia="fr-FR"/>
        </w:rPr>
      </w:pPr>
      <w:r>
        <w:rPr>
          <w:lang w:val="en-US" w:eastAsia="fr-FR"/>
        </w:rPr>
        <w:t>Then the power at the edge of the EESS band is calculated (52.6 GHz). This gives:</w:t>
      </w:r>
    </w:p>
    <w:p w:rsidR="00B9359B" w:rsidRDefault="009A5268">
      <w:pPr>
        <w:pStyle w:val="enumlev1"/>
        <w:rPr>
          <w:lang w:val="en-US" w:eastAsia="fr-FR"/>
        </w:rPr>
      </w:pPr>
      <w:r>
        <w:rPr>
          <w:lang w:val="en-US" w:eastAsia="fr-FR"/>
        </w:rPr>
        <w:t xml:space="preserve">For 3.5 MHz </w:t>
      </w:r>
      <w:r>
        <w:rPr>
          <w:i/>
          <w:iCs/>
          <w:lang w:val="en-US"/>
        </w:rPr>
        <w:t>C</w:t>
      </w:r>
      <w:r>
        <w:rPr>
          <w:i/>
          <w:iCs/>
          <w:vertAlign w:val="subscript"/>
          <w:lang w:val="en-US"/>
        </w:rPr>
        <w:t>s</w:t>
      </w:r>
      <w:r>
        <w:rPr>
          <w:lang w:val="en-US" w:eastAsia="fr-FR"/>
        </w:rPr>
        <w:t>:</w:t>
      </w:r>
      <w:r>
        <w:rPr>
          <w:lang w:val="en-US" w:eastAsia="fr-FR"/>
        </w:rPr>
        <w:tab/>
        <w:t>–55.5 dB(W/MHz).</w:t>
      </w:r>
    </w:p>
    <w:p w:rsidR="00B9359B" w:rsidRDefault="009A5268">
      <w:pPr>
        <w:pStyle w:val="enumlev1"/>
        <w:rPr>
          <w:lang w:val="en-US" w:eastAsia="fr-FR"/>
        </w:rPr>
      </w:pPr>
      <w:r>
        <w:rPr>
          <w:lang w:val="en-US" w:eastAsia="fr-FR"/>
        </w:rPr>
        <w:t xml:space="preserve">For 7 MHz </w:t>
      </w:r>
      <w:r>
        <w:rPr>
          <w:i/>
          <w:iCs/>
          <w:lang w:val="en-US"/>
        </w:rPr>
        <w:t>C</w:t>
      </w:r>
      <w:r>
        <w:rPr>
          <w:i/>
          <w:iCs/>
          <w:vertAlign w:val="subscript"/>
          <w:lang w:val="en-US"/>
        </w:rPr>
        <w:t>s</w:t>
      </w:r>
      <w:r>
        <w:rPr>
          <w:lang w:val="en-US" w:eastAsia="fr-FR"/>
        </w:rPr>
        <w:t>:</w:t>
      </w:r>
      <w:r>
        <w:rPr>
          <w:lang w:val="en-US" w:eastAsia="fr-FR"/>
        </w:rPr>
        <w:tab/>
      </w:r>
      <w:r>
        <w:rPr>
          <w:lang w:val="en-US" w:eastAsia="fr-FR"/>
        </w:rPr>
        <w:tab/>
        <w:t>–54.5 dB(W/MHz).</w:t>
      </w:r>
    </w:p>
    <w:p w:rsidR="00B9359B" w:rsidRDefault="009A5268">
      <w:pPr>
        <w:rPr>
          <w:lang w:val="en-US" w:eastAsia="fr-FR"/>
        </w:rPr>
      </w:pPr>
      <w:r>
        <w:rPr>
          <w:lang w:val="en-US" w:eastAsia="fr-FR"/>
        </w:rPr>
        <w:t>These values are below the minimum one (–53 dB(W/MHz)) given in Tables 126 and 127; this means that the EESS interference criteria will be met. Indeed, since the interfering power should be integrated over a 100 MHz reference bandwidth, the margin is much larger.</w:t>
      </w:r>
    </w:p>
    <w:p w:rsidR="00B9359B" w:rsidRDefault="009A5268">
      <w:pPr>
        <w:pStyle w:val="FigureNo"/>
        <w:rPr>
          <w:lang w:eastAsia="fr-FR"/>
        </w:rPr>
      </w:pPr>
      <w:r>
        <w:rPr>
          <w:lang w:val="en-US"/>
        </w:rPr>
        <w:br w:type="page"/>
      </w:r>
      <w:r>
        <w:rPr>
          <w:lang w:eastAsia="fr-FR"/>
        </w:rPr>
        <w:object w:dxaOrig="5914" w:dyaOrig="7618">
          <v:shape id="_x0000_i1118" type="#_x0000_t75" style="width:295.5pt;height:380.95pt" o:ole="">
            <v:imagedata r:id="rId168" o:title=""/>
          </v:shape>
          <o:OLEObject Type="Embed" ProgID="Designer.Drawing.7" ShapeID="_x0000_i1118" DrawAspect="Content" ObjectID="_1629894621" r:id="rId169"/>
        </w:object>
      </w:r>
    </w:p>
    <w:p w:rsidR="00B9359B" w:rsidRDefault="00B9359B">
      <w:pPr>
        <w:rPr>
          <w:lang w:val="en-US"/>
        </w:rPr>
      </w:pPr>
      <w:bookmarkStart w:id="680" w:name="_Toc51046078"/>
    </w:p>
    <w:p w:rsidR="00B9359B" w:rsidRDefault="00B9359B">
      <w:pPr>
        <w:rPr>
          <w:lang w:val="en-US"/>
        </w:rPr>
      </w:pPr>
    </w:p>
    <w:p w:rsidR="00B9359B" w:rsidRDefault="009A5268">
      <w:pPr>
        <w:pStyle w:val="Heading5"/>
        <w:rPr>
          <w:lang w:val="en-US"/>
        </w:rPr>
      </w:pPr>
      <w:r>
        <w:rPr>
          <w:lang w:val="en-US"/>
        </w:rPr>
        <w:t>4.3.2.2.2</w:t>
      </w:r>
      <w:r>
        <w:rPr>
          <w:lang w:val="en-US"/>
        </w:rPr>
        <w:tab/>
        <w:t xml:space="preserve">Case of 14 MHz </w:t>
      </w:r>
      <w:bookmarkEnd w:id="680"/>
      <w:r>
        <w:rPr>
          <w:i/>
          <w:iCs/>
          <w:lang w:val="en-US"/>
        </w:rPr>
        <w:t>C</w:t>
      </w:r>
      <w:r>
        <w:rPr>
          <w:i/>
          <w:iCs/>
          <w:vertAlign w:val="subscript"/>
          <w:lang w:val="en-US"/>
        </w:rPr>
        <w:t>s</w:t>
      </w:r>
    </w:p>
    <w:p w:rsidR="00B9359B" w:rsidRDefault="009A5268">
      <w:pPr>
        <w:rPr>
          <w:lang w:val="en-US"/>
        </w:rPr>
      </w:pPr>
      <w:r>
        <w:rPr>
          <w:lang w:val="en-US"/>
        </w:rPr>
        <w:t xml:space="preserve">It should be noted that Recommendation ITU-R F.1496 provides channel arrangements for systems using 3.5 MHz, 7 MHz, 14 MHz, 28 MHz and 56 MHz </w:t>
      </w:r>
      <w:r>
        <w:rPr>
          <w:i/>
          <w:iCs/>
          <w:lang w:val="en-US"/>
        </w:rPr>
        <w:t>C</w:t>
      </w:r>
      <w:r>
        <w:rPr>
          <w:i/>
          <w:iCs/>
          <w:vertAlign w:val="subscript"/>
          <w:lang w:val="en-US"/>
        </w:rPr>
        <w:t>s</w:t>
      </w:r>
      <w:r>
        <w:rPr>
          <w:lang w:val="en-US"/>
        </w:rPr>
        <w:t xml:space="preserve"> to be deployed in this band. These channel arrangements include a guardband of 40 MHz within the FS band.</w:t>
      </w:r>
    </w:p>
    <w:p w:rsidR="00B9359B" w:rsidRDefault="009A5268">
      <w:pPr>
        <w:rPr>
          <w:lang w:val="en-US"/>
        </w:rPr>
      </w:pPr>
      <w:r>
        <w:rPr>
          <w:lang w:val="en-US"/>
        </w:rPr>
        <w:t xml:space="preserve">This means that for </w:t>
      </w:r>
      <w:r>
        <w:rPr>
          <w:i/>
          <w:iCs/>
          <w:lang w:val="en-US"/>
        </w:rPr>
        <w:t>C</w:t>
      </w:r>
      <w:r>
        <w:rPr>
          <w:i/>
          <w:iCs/>
          <w:vertAlign w:val="subscript"/>
          <w:lang w:val="en-US"/>
        </w:rPr>
        <w:t>s</w:t>
      </w:r>
      <w:r>
        <w:rPr>
          <w:lang w:val="en-US"/>
        </w:rPr>
        <w:t xml:space="preserve"> of 14 MHz, the OoB domain (which extend from 50% of the </w:t>
      </w:r>
      <w:r>
        <w:rPr>
          <w:i/>
          <w:iCs/>
          <w:lang w:val="en-US"/>
        </w:rPr>
        <w:t>C</w:t>
      </w:r>
      <w:r>
        <w:rPr>
          <w:i/>
          <w:iCs/>
          <w:vertAlign w:val="subscript"/>
          <w:lang w:val="en-US"/>
        </w:rPr>
        <w:t>s</w:t>
      </w:r>
      <w:r>
        <w:rPr>
          <w:lang w:val="en-US"/>
        </w:rPr>
        <w:t xml:space="preserve"> to 250% of the </w:t>
      </w:r>
      <w:r>
        <w:rPr>
          <w:i/>
          <w:iCs/>
          <w:lang w:val="en-US"/>
        </w:rPr>
        <w:t>C</w:t>
      </w:r>
      <w:r>
        <w:rPr>
          <w:i/>
          <w:iCs/>
          <w:vertAlign w:val="subscript"/>
          <w:lang w:val="en-US"/>
        </w:rPr>
        <w:t>s</w:t>
      </w:r>
      <w:r>
        <w:rPr>
          <w:lang w:val="en-US"/>
        </w:rPr>
        <w:t xml:space="preserve"> compared to the centre frequency of the FS signal) will be included in the guardband. Then, for systems using 3.5 and 7 MHz </w:t>
      </w:r>
      <w:r>
        <w:rPr>
          <w:i/>
          <w:iCs/>
          <w:lang w:val="en-US"/>
        </w:rPr>
        <w:t>C</w:t>
      </w:r>
      <w:r>
        <w:rPr>
          <w:i/>
          <w:iCs/>
          <w:vertAlign w:val="subscript"/>
          <w:lang w:val="en-US"/>
        </w:rPr>
        <w:t>s</w:t>
      </w:r>
      <w:r>
        <w:rPr>
          <w:lang w:val="en-US"/>
        </w:rPr>
        <w:t xml:space="preserve"> only unwanted emissions falling into the spurious domain need to be considered.</w:t>
      </w:r>
    </w:p>
    <w:p w:rsidR="00B9359B" w:rsidRDefault="009A5268">
      <w:pPr>
        <w:rPr>
          <w:lang w:val="en-US"/>
        </w:rPr>
      </w:pPr>
      <w:r>
        <w:rPr>
          <w:lang w:val="en-US"/>
        </w:rPr>
        <w:t>Recommendation ITU-R SM.329 gives information on the levels of spurious emissions, in particular, this analysis considers levels adopted in Europe and used by some other countries (Category B levels).</w:t>
      </w:r>
    </w:p>
    <w:p w:rsidR="00B9359B" w:rsidRDefault="009A5268">
      <w:pPr>
        <w:rPr>
          <w:lang w:val="en-US"/>
        </w:rPr>
      </w:pPr>
      <w:r>
        <w:rPr>
          <w:lang w:val="en-US"/>
        </w:rPr>
        <w:t>For</w:t>
      </w:r>
      <w:r>
        <w:rPr>
          <w:sz w:val="21"/>
          <w:lang w:val="en-US"/>
        </w:rPr>
        <w:t xml:space="preserve"> </w:t>
      </w:r>
      <w:r>
        <w:rPr>
          <w:lang w:val="en-US"/>
        </w:rPr>
        <w:t>system</w:t>
      </w:r>
      <w:r>
        <w:rPr>
          <w:sz w:val="21"/>
          <w:lang w:val="en-US"/>
        </w:rPr>
        <w:t xml:space="preserve"> </w:t>
      </w:r>
      <w:r>
        <w:rPr>
          <w:lang w:val="en-US"/>
        </w:rPr>
        <w:t>operating</w:t>
      </w:r>
      <w:r>
        <w:rPr>
          <w:sz w:val="21"/>
          <w:lang w:val="en-US"/>
        </w:rPr>
        <w:t xml:space="preserve"> </w:t>
      </w:r>
      <w:r>
        <w:rPr>
          <w:lang w:val="en-US"/>
        </w:rPr>
        <w:t>with</w:t>
      </w:r>
      <w:r>
        <w:rPr>
          <w:sz w:val="21"/>
          <w:lang w:val="en-US"/>
        </w:rPr>
        <w:t xml:space="preserve"> </w:t>
      </w:r>
      <w:r>
        <w:rPr>
          <w:lang w:val="en-US"/>
        </w:rPr>
        <w:t>a</w:t>
      </w:r>
      <w:r>
        <w:rPr>
          <w:sz w:val="21"/>
          <w:lang w:val="en-US"/>
        </w:rPr>
        <w:t xml:space="preserve"> </w:t>
      </w:r>
      <w:r>
        <w:rPr>
          <w:i/>
          <w:iCs/>
          <w:lang w:val="en-US"/>
        </w:rPr>
        <w:t>C</w:t>
      </w:r>
      <w:r>
        <w:rPr>
          <w:i/>
          <w:iCs/>
          <w:vertAlign w:val="subscript"/>
          <w:lang w:val="en-US"/>
        </w:rPr>
        <w:t>s</w:t>
      </w:r>
      <w:r>
        <w:rPr>
          <w:sz w:val="21"/>
          <w:lang w:val="en-US"/>
        </w:rPr>
        <w:t xml:space="preserve"> </w:t>
      </w:r>
      <w:r>
        <w:rPr>
          <w:lang w:val="en-US"/>
        </w:rPr>
        <w:t>higher</w:t>
      </w:r>
      <w:r>
        <w:rPr>
          <w:sz w:val="21"/>
          <w:lang w:val="en-US"/>
        </w:rPr>
        <w:t xml:space="preserve"> </w:t>
      </w:r>
      <w:r>
        <w:rPr>
          <w:lang w:val="en-US"/>
        </w:rPr>
        <w:t>than</w:t>
      </w:r>
      <w:r>
        <w:rPr>
          <w:sz w:val="21"/>
          <w:lang w:val="en-US"/>
        </w:rPr>
        <w:t xml:space="preserve"> </w:t>
      </w:r>
      <w:r>
        <w:rPr>
          <w:lang w:val="en-US"/>
        </w:rPr>
        <w:t>10</w:t>
      </w:r>
      <w:r>
        <w:rPr>
          <w:sz w:val="21"/>
          <w:lang w:val="en-US"/>
        </w:rPr>
        <w:t xml:space="preserve"> </w:t>
      </w:r>
      <w:r>
        <w:rPr>
          <w:lang w:val="en-US"/>
        </w:rPr>
        <w:t>MHz,</w:t>
      </w:r>
      <w:r>
        <w:rPr>
          <w:sz w:val="21"/>
          <w:lang w:val="en-US"/>
        </w:rPr>
        <w:t xml:space="preserve"> </w:t>
      </w:r>
      <w:r>
        <w:rPr>
          <w:lang w:val="en-US"/>
        </w:rPr>
        <w:t>the</w:t>
      </w:r>
      <w:r>
        <w:rPr>
          <w:sz w:val="21"/>
          <w:lang w:val="en-US"/>
        </w:rPr>
        <w:t xml:space="preserve"> </w:t>
      </w:r>
      <w:r>
        <w:rPr>
          <w:lang w:val="en-US"/>
        </w:rPr>
        <w:t>spurious</w:t>
      </w:r>
      <w:r>
        <w:rPr>
          <w:sz w:val="21"/>
          <w:lang w:val="en-US"/>
        </w:rPr>
        <w:t xml:space="preserve"> </w:t>
      </w:r>
      <w:r>
        <w:rPr>
          <w:lang w:val="en-US"/>
        </w:rPr>
        <w:t>emission</w:t>
      </w:r>
      <w:r>
        <w:rPr>
          <w:sz w:val="21"/>
          <w:lang w:val="en-US"/>
        </w:rPr>
        <w:t xml:space="preserve"> </w:t>
      </w:r>
      <w:r>
        <w:rPr>
          <w:lang w:val="en-US"/>
        </w:rPr>
        <w:t>limit</w:t>
      </w:r>
      <w:r>
        <w:rPr>
          <w:sz w:val="21"/>
          <w:lang w:val="en-US"/>
        </w:rPr>
        <w:t xml:space="preserve"> </w:t>
      </w:r>
      <w:r>
        <w:rPr>
          <w:lang w:val="en-US"/>
        </w:rPr>
        <w:t>is</w:t>
      </w:r>
      <w:r>
        <w:rPr>
          <w:sz w:val="21"/>
          <w:lang w:val="en-US"/>
        </w:rPr>
        <w:t xml:space="preserve"> </w:t>
      </w:r>
      <w:r>
        <w:rPr>
          <w:rFonts w:ascii="Symbol" w:hAnsi="Symbol"/>
          <w:lang w:val="en-US"/>
        </w:rPr>
        <w:noBreakHyphen/>
      </w:r>
      <w:r>
        <w:rPr>
          <w:lang w:val="en-US"/>
        </w:rPr>
        <w:t>60</w:t>
      </w:r>
      <w:r>
        <w:rPr>
          <w:sz w:val="21"/>
          <w:lang w:val="en-US"/>
        </w:rPr>
        <w:t> </w:t>
      </w:r>
      <w:r>
        <w:rPr>
          <w:lang w:val="en-US"/>
        </w:rPr>
        <w:t>dB(W/MHz).</w:t>
      </w:r>
    </w:p>
    <w:p w:rsidR="00B9359B" w:rsidRDefault="009A5268">
      <w:pPr>
        <w:rPr>
          <w:lang w:val="en-US"/>
        </w:rPr>
      </w:pPr>
      <w:r>
        <w:rPr>
          <w:lang w:val="en-US"/>
        </w:rPr>
        <w:br w:type="page"/>
        <w:t>The level of unwanted emissions falling into a 100 MHz reference bandwidth may directly be calculated:</w:t>
      </w:r>
    </w:p>
    <w:p w:rsidR="00B9359B" w:rsidRDefault="009A5268">
      <w:pPr>
        <w:pStyle w:val="Equation"/>
        <w:jc w:val="center"/>
        <w:rPr>
          <w:lang w:val="en-US"/>
        </w:rPr>
      </w:pPr>
      <w:r>
        <w:rPr>
          <w:i/>
          <w:iCs/>
          <w:lang w:val="en-US"/>
        </w:rPr>
        <w:t>P</w:t>
      </w:r>
      <w:r>
        <w:rPr>
          <w:lang w:val="en-US"/>
        </w:rPr>
        <w:t xml:space="preserve"> </w:t>
      </w:r>
      <w:r>
        <w:rPr>
          <w:rFonts w:ascii="Symbol" w:hAnsi="Symbol"/>
          <w:lang w:val="fr-CH"/>
        </w:rPr>
        <w:t></w:t>
      </w:r>
      <w:r>
        <w:rPr>
          <w:lang w:val="en-US"/>
        </w:rPr>
        <w:t xml:space="preserve"> –60 dB(W/MHz) </w:t>
      </w:r>
      <w:r>
        <w:rPr>
          <w:rFonts w:ascii="Symbol" w:hAnsi="Symbol"/>
          <w:lang w:val="fr-CH"/>
        </w:rPr>
        <w:t></w:t>
      </w:r>
      <w:r>
        <w:rPr>
          <w:lang w:val="en-US"/>
        </w:rPr>
        <w:t xml:space="preserve"> 10 </w:t>
      </w:r>
      <w:r>
        <w:rPr>
          <w:rFonts w:ascii="Symbol" w:hAnsi="Symbol"/>
          <w:lang w:val="fr-CH"/>
        </w:rPr>
        <w:t></w:t>
      </w:r>
      <w:r>
        <w:rPr>
          <w:lang w:val="en-US"/>
        </w:rPr>
        <w:t xml:space="preserve"> log (100 MHz)</w:t>
      </w:r>
    </w:p>
    <w:p w:rsidR="00B9359B" w:rsidRDefault="009A5268">
      <w:pPr>
        <w:pStyle w:val="Equation"/>
        <w:jc w:val="center"/>
        <w:rPr>
          <w:lang w:val="en-US"/>
        </w:rPr>
      </w:pPr>
      <w:r>
        <w:rPr>
          <w:i/>
          <w:iCs/>
          <w:lang w:val="en-US"/>
        </w:rPr>
        <w:t>P</w:t>
      </w:r>
      <w:r>
        <w:rPr>
          <w:lang w:val="en-US"/>
        </w:rPr>
        <w:t xml:space="preserve"> </w:t>
      </w:r>
      <w:r>
        <w:rPr>
          <w:rFonts w:ascii="Symbol" w:hAnsi="Symbol"/>
        </w:rPr>
        <w:t></w:t>
      </w:r>
      <w:r>
        <w:rPr>
          <w:lang w:val="en-US"/>
        </w:rPr>
        <w:t xml:space="preserve"> –</w:t>
      </w:r>
      <w:r>
        <w:rPr>
          <w:sz w:val="4"/>
          <w:lang w:val="en-US"/>
        </w:rPr>
        <w:t xml:space="preserve"> </w:t>
      </w:r>
      <w:r>
        <w:rPr>
          <w:lang w:val="en-US"/>
        </w:rPr>
        <w:t>40 dB(W/100 MHz)</w:t>
      </w:r>
    </w:p>
    <w:p w:rsidR="00B9359B" w:rsidRDefault="009A5268">
      <w:pPr>
        <w:rPr>
          <w:lang w:val="en-US"/>
        </w:rPr>
      </w:pPr>
      <w:r>
        <w:rPr>
          <w:lang w:val="en-US"/>
        </w:rPr>
        <w:t>Again the EESS interference criteria are met (</w:t>
      </w:r>
      <w:r>
        <w:rPr>
          <w:rFonts w:ascii="Symbol" w:hAnsi="Symbol"/>
          <w:lang w:val="en-US"/>
        </w:rPr>
        <w:noBreakHyphen/>
      </w:r>
      <w:r>
        <w:rPr>
          <w:lang w:val="en-US"/>
        </w:rPr>
        <w:t>33 dB(W/100 MHz)).</w:t>
      </w:r>
    </w:p>
    <w:p w:rsidR="00B9359B" w:rsidRDefault="009A5268">
      <w:pPr>
        <w:pStyle w:val="Heading5"/>
        <w:rPr>
          <w:lang w:val="en-US"/>
        </w:rPr>
      </w:pPr>
      <w:bookmarkStart w:id="681" w:name="_Toc51046079"/>
      <w:r>
        <w:rPr>
          <w:lang w:val="en-US"/>
        </w:rPr>
        <w:t>4.3.2.2.3</w:t>
      </w:r>
      <w:r>
        <w:rPr>
          <w:lang w:val="en-US"/>
        </w:rPr>
        <w:tab/>
        <w:t xml:space="preserve">Case of 28 MHz </w:t>
      </w:r>
      <w:bookmarkEnd w:id="681"/>
      <w:r>
        <w:rPr>
          <w:i/>
          <w:iCs/>
          <w:lang w:val="en-US"/>
        </w:rPr>
        <w:t>C</w:t>
      </w:r>
      <w:r>
        <w:rPr>
          <w:i/>
          <w:iCs/>
          <w:vertAlign w:val="subscript"/>
          <w:lang w:val="en-US"/>
        </w:rPr>
        <w:t>s</w:t>
      </w:r>
    </w:p>
    <w:p w:rsidR="00B9359B" w:rsidRDefault="009A5268">
      <w:pPr>
        <w:rPr>
          <w:lang w:val="en-US"/>
        </w:rPr>
      </w:pPr>
      <w:r>
        <w:rPr>
          <w:lang w:val="en-US"/>
        </w:rPr>
        <w:t>For unwanted emissions falling into the OoB domain, the OoB masks given in Recommendation ITU-R SM.1541 was considered (see Fig. 80). OoB emissions masks derived from Recommendation ITU</w:t>
      </w:r>
      <w:r>
        <w:rPr>
          <w:lang w:val="en-US"/>
        </w:rPr>
        <w:noBreakHyphen/>
        <w:t>R SM.1541 are provided in Fig. 83.</w:t>
      </w:r>
    </w:p>
    <w:p w:rsidR="00B9359B" w:rsidRDefault="00B9359B">
      <w:pPr>
        <w:rPr>
          <w:lang w:val="en-US"/>
        </w:rPr>
      </w:pPr>
    </w:p>
    <w:p w:rsidR="00B9359B" w:rsidRDefault="009A5268">
      <w:pPr>
        <w:pStyle w:val="FigureNo"/>
      </w:pPr>
      <w:r>
        <w:object w:dxaOrig="6524" w:dyaOrig="7849">
          <v:shape id="_x0000_i1119" type="#_x0000_t75" style="width:326.7pt;height:391.7pt" o:ole="">
            <v:imagedata r:id="rId170" o:title=""/>
          </v:shape>
          <o:OLEObject Type="Embed" ProgID="Designer.Drawing.7" ShapeID="_x0000_i1119" DrawAspect="Content" ObjectID="_1629894622" r:id="rId171"/>
        </w:object>
      </w:r>
    </w:p>
    <w:p w:rsidR="00B9359B" w:rsidRDefault="00B9359B">
      <w:pPr>
        <w:rPr>
          <w:lang w:val="en-US"/>
        </w:rPr>
      </w:pPr>
    </w:p>
    <w:p w:rsidR="00B9359B" w:rsidRDefault="009A5268">
      <w:pPr>
        <w:rPr>
          <w:lang w:val="en-US"/>
        </w:rPr>
      </w:pPr>
      <w:r>
        <w:rPr>
          <w:lang w:val="en-US"/>
        </w:rPr>
        <w:t>In the following analysis, we consider the envelop of the two masks (very worst-case assumption).</w:t>
      </w:r>
    </w:p>
    <w:p w:rsidR="00B9359B" w:rsidRDefault="009A5268">
      <w:pPr>
        <w:rPr>
          <w:lang w:val="en-US"/>
        </w:rPr>
      </w:pPr>
      <w:r>
        <w:rPr>
          <w:lang w:val="en-US"/>
        </w:rPr>
        <w:t xml:space="preserve">Recommendation ITU-R SM.329 gives information on the levels of spurious emissions, in particular, this analysis considers Category B levels. For system operating with a </w:t>
      </w:r>
      <w:r>
        <w:rPr>
          <w:i/>
          <w:iCs/>
          <w:lang w:val="en-US"/>
        </w:rPr>
        <w:t>C</w:t>
      </w:r>
      <w:r>
        <w:rPr>
          <w:i/>
          <w:iCs/>
          <w:vertAlign w:val="subscript"/>
          <w:lang w:val="en-US"/>
        </w:rPr>
        <w:t>s</w:t>
      </w:r>
      <w:r>
        <w:rPr>
          <w:lang w:val="en-US"/>
        </w:rPr>
        <w:t xml:space="preserve"> higher than 10 MHz, the spurious emission limit is </w:t>
      </w:r>
      <w:r>
        <w:rPr>
          <w:rFonts w:ascii="Symbol" w:hAnsi="Symbol"/>
          <w:lang w:val="en-US"/>
        </w:rPr>
        <w:noBreakHyphen/>
      </w:r>
      <w:r>
        <w:rPr>
          <w:lang w:val="en-US"/>
        </w:rPr>
        <w:t>60 dB(W/MHz).</w:t>
      </w:r>
    </w:p>
    <w:p w:rsidR="00B9359B" w:rsidRDefault="009A5268">
      <w:pPr>
        <w:rPr>
          <w:lang w:val="en-US"/>
        </w:rPr>
      </w:pPr>
      <w:r>
        <w:rPr>
          <w:lang w:val="en-US"/>
        </w:rPr>
        <w:br w:type="page"/>
        <w:t>Using the OoB mask and the spurious emission level given in Recommendation ITU</w:t>
      </w:r>
      <w:r>
        <w:rPr>
          <w:lang w:val="en-US"/>
        </w:rPr>
        <w:noBreakHyphen/>
        <w:t xml:space="preserve">R SM.329 (Category B) it is possible to derive the level of unwanted emission that may fall in the band 52.6-52.7 GHz. This gives for a 28 MHz channel spacing operating at </w:t>
      </w:r>
      <w:r>
        <w:rPr>
          <w:rFonts w:ascii="Symbol" w:hAnsi="Symbol"/>
          <w:lang w:val="en-US"/>
        </w:rPr>
        <w:noBreakHyphen/>
      </w:r>
      <w:r>
        <w:rPr>
          <w:lang w:val="en-US"/>
        </w:rPr>
        <w:t xml:space="preserve">10 dBW (maximum value given in Recommendation ITU-R F.758) </w:t>
      </w:r>
      <w:r>
        <w:rPr>
          <w:rFonts w:ascii="Symbol" w:hAnsi="Symbol"/>
          <w:lang w:val="en-US"/>
        </w:rPr>
        <w:noBreakHyphen/>
      </w:r>
      <w:r>
        <w:rPr>
          <w:rFonts w:hint="eastAsia"/>
          <w:sz w:val="4"/>
          <w:lang w:val="en-US"/>
        </w:rPr>
        <w:t> </w:t>
      </w:r>
      <w:r>
        <w:rPr>
          <w:lang w:val="en-US"/>
        </w:rPr>
        <w:t>40.5 dBW in a 100 MHz reference bandwidth. The EESS protection is met.</w:t>
      </w:r>
    </w:p>
    <w:p w:rsidR="00B9359B" w:rsidRDefault="009A5268">
      <w:pPr>
        <w:pStyle w:val="Heading5"/>
        <w:rPr>
          <w:lang w:val="en-US"/>
        </w:rPr>
      </w:pPr>
      <w:bookmarkStart w:id="682" w:name="_Toc51046080"/>
      <w:r>
        <w:rPr>
          <w:lang w:val="en-US"/>
        </w:rPr>
        <w:t>4.3.2.2.4</w:t>
      </w:r>
      <w:r>
        <w:rPr>
          <w:lang w:val="en-US"/>
        </w:rPr>
        <w:tab/>
        <w:t xml:space="preserve">Case of 56 MHz </w:t>
      </w:r>
      <w:r>
        <w:rPr>
          <w:i/>
          <w:iCs/>
          <w:lang w:val="en-US"/>
        </w:rPr>
        <w:t>C</w:t>
      </w:r>
      <w:bookmarkEnd w:id="682"/>
      <w:r>
        <w:rPr>
          <w:i/>
          <w:iCs/>
          <w:vertAlign w:val="subscript"/>
          <w:lang w:val="en-US"/>
        </w:rPr>
        <w:t>s</w:t>
      </w:r>
    </w:p>
    <w:p w:rsidR="00B9359B" w:rsidRDefault="009A5268">
      <w:pPr>
        <w:rPr>
          <w:lang w:val="en-US"/>
        </w:rPr>
      </w:pPr>
      <w:r>
        <w:rPr>
          <w:lang w:val="en-US"/>
        </w:rPr>
        <w:t xml:space="preserve">The same approach as the previous one is used. This gives for a 56 MHz </w:t>
      </w:r>
      <w:r>
        <w:rPr>
          <w:i/>
          <w:iCs/>
          <w:lang w:val="en-US"/>
        </w:rPr>
        <w:t>C</w:t>
      </w:r>
      <w:r>
        <w:rPr>
          <w:i/>
          <w:iCs/>
          <w:vertAlign w:val="subscript"/>
          <w:lang w:val="en-US"/>
        </w:rPr>
        <w:t>s</w:t>
      </w:r>
      <w:r>
        <w:rPr>
          <w:lang w:val="en-US"/>
        </w:rPr>
        <w:t xml:space="preserve"> operating at </w:t>
      </w:r>
      <w:r>
        <w:rPr>
          <w:rFonts w:ascii="Symbol" w:hAnsi="Symbol"/>
          <w:lang w:val="en-US"/>
        </w:rPr>
        <w:noBreakHyphen/>
      </w:r>
      <w:r>
        <w:rPr>
          <w:lang w:val="en-US"/>
        </w:rPr>
        <w:t xml:space="preserve">10 dBW, </w:t>
      </w:r>
      <w:r>
        <w:rPr>
          <w:rFonts w:ascii="Symbol" w:hAnsi="Symbol"/>
          <w:lang w:val="en-US"/>
        </w:rPr>
        <w:noBreakHyphen/>
      </w:r>
      <w:r>
        <w:rPr>
          <w:lang w:val="en-US"/>
        </w:rPr>
        <w:t>38.7 dBW in a 100 MHz reference bandwidth. The EESS protection is met.</w:t>
      </w:r>
    </w:p>
    <w:p w:rsidR="00B9359B" w:rsidRPr="00D35B94" w:rsidRDefault="009A5268">
      <w:pPr>
        <w:pStyle w:val="Heading1"/>
        <w:rPr>
          <w:lang w:val="en-GB"/>
        </w:rPr>
      </w:pPr>
      <w:bookmarkStart w:id="683" w:name="_Toc51046081"/>
      <w:r w:rsidRPr="00D35B94">
        <w:rPr>
          <w:lang w:val="en-GB"/>
        </w:rPr>
        <w:t>5</w:t>
      </w:r>
      <w:r w:rsidRPr="00D35B94">
        <w:rPr>
          <w:lang w:val="en-GB"/>
        </w:rPr>
        <w:tab/>
        <w:t>Mitigation techniques</w:t>
      </w:r>
      <w:bookmarkEnd w:id="683"/>
    </w:p>
    <w:p w:rsidR="00B9359B" w:rsidRPr="00D35B94" w:rsidRDefault="009A5268">
      <w:pPr>
        <w:pStyle w:val="Heading2"/>
        <w:rPr>
          <w:lang w:val="en-GB"/>
        </w:rPr>
      </w:pPr>
      <w:bookmarkStart w:id="684" w:name="_Toc51046082"/>
      <w:r w:rsidRPr="00D35B94">
        <w:rPr>
          <w:lang w:val="en-GB"/>
        </w:rPr>
        <w:t>5.1</w:t>
      </w:r>
      <w:r w:rsidRPr="00D35B94">
        <w:rPr>
          <w:lang w:val="en-GB"/>
        </w:rPr>
        <w:tab/>
        <w:t>EESS (passive)</w:t>
      </w:r>
      <w:bookmarkEnd w:id="684"/>
    </w:p>
    <w:p w:rsidR="00B9359B" w:rsidRDefault="009A5268">
      <w:pPr>
        <w:rPr>
          <w:lang w:val="en-US"/>
        </w:rPr>
      </w:pPr>
      <w:r>
        <w:rPr>
          <w:lang w:val="en-US"/>
        </w:rPr>
        <w:t>No mitigation techniques are needed.</w:t>
      </w:r>
    </w:p>
    <w:p w:rsidR="00B9359B" w:rsidRDefault="009A5268">
      <w:pPr>
        <w:pStyle w:val="Heading2"/>
        <w:rPr>
          <w:lang w:val="en-US"/>
        </w:rPr>
      </w:pPr>
      <w:bookmarkStart w:id="685" w:name="_Toc51046083"/>
      <w:r>
        <w:rPr>
          <w:lang w:val="en-US"/>
        </w:rPr>
        <w:t>5.2</w:t>
      </w:r>
      <w:r>
        <w:rPr>
          <w:lang w:val="en-US"/>
        </w:rPr>
        <w:tab/>
        <w:t>FS</w:t>
      </w:r>
      <w:bookmarkEnd w:id="685"/>
    </w:p>
    <w:p w:rsidR="00B9359B" w:rsidRDefault="009A5268">
      <w:pPr>
        <w:rPr>
          <w:b/>
          <w:lang w:val="en-US"/>
        </w:rPr>
      </w:pPr>
      <w:r>
        <w:rPr>
          <w:lang w:val="en-US"/>
        </w:rPr>
        <w:t>No additional mitigation techniques need to be considered in the design of FS systems.</w:t>
      </w:r>
    </w:p>
    <w:p w:rsidR="00B9359B" w:rsidRDefault="009A5268">
      <w:pPr>
        <w:pStyle w:val="Heading2"/>
        <w:rPr>
          <w:lang w:val="en-US"/>
        </w:rPr>
      </w:pPr>
      <w:bookmarkStart w:id="686" w:name="_Toc51046084"/>
      <w:r>
        <w:rPr>
          <w:lang w:val="en-US"/>
        </w:rPr>
        <w:t>5.3</w:t>
      </w:r>
      <w:r>
        <w:rPr>
          <w:lang w:val="en-US"/>
        </w:rPr>
        <w:tab/>
        <w:t>Potential impact</w:t>
      </w:r>
      <w:bookmarkEnd w:id="686"/>
    </w:p>
    <w:p w:rsidR="00B9359B" w:rsidRDefault="009A5268">
      <w:pPr>
        <w:pStyle w:val="Heading3"/>
        <w:rPr>
          <w:lang w:val="en-US"/>
        </w:rPr>
      </w:pPr>
      <w:bookmarkStart w:id="687" w:name="_Toc51046085"/>
      <w:r>
        <w:rPr>
          <w:lang w:val="en-US"/>
        </w:rPr>
        <w:t>5.3.1</w:t>
      </w:r>
      <w:r>
        <w:rPr>
          <w:lang w:val="en-US"/>
        </w:rPr>
        <w:tab/>
        <w:t>EESS</w:t>
      </w:r>
      <w:bookmarkEnd w:id="687"/>
    </w:p>
    <w:p w:rsidR="00B9359B" w:rsidRDefault="009A5268">
      <w:pPr>
        <w:rPr>
          <w:lang w:val="en-US"/>
        </w:rPr>
      </w:pPr>
      <w:r>
        <w:rPr>
          <w:lang w:val="en-US"/>
        </w:rPr>
        <w:t>No impact.</w:t>
      </w:r>
    </w:p>
    <w:p w:rsidR="00B9359B" w:rsidRDefault="009A5268">
      <w:pPr>
        <w:pStyle w:val="Heading3"/>
        <w:rPr>
          <w:bCs/>
          <w:lang w:val="en-US"/>
        </w:rPr>
      </w:pPr>
      <w:bookmarkStart w:id="688" w:name="_Toc51046086"/>
      <w:r>
        <w:rPr>
          <w:lang w:val="en-US"/>
        </w:rPr>
        <w:t>5.3.2</w:t>
      </w:r>
      <w:r>
        <w:rPr>
          <w:lang w:val="en-US"/>
        </w:rPr>
        <w:tab/>
      </w:r>
      <w:r>
        <w:rPr>
          <w:bCs/>
          <w:lang w:val="en-US"/>
        </w:rPr>
        <w:t>FSS</w:t>
      </w:r>
      <w:bookmarkEnd w:id="688"/>
    </w:p>
    <w:p w:rsidR="00B9359B" w:rsidRDefault="009A5268">
      <w:pPr>
        <w:rPr>
          <w:lang w:val="en-US"/>
        </w:rPr>
      </w:pPr>
      <w:r>
        <w:rPr>
          <w:lang w:val="en-US"/>
        </w:rPr>
        <w:t>No impact.</w:t>
      </w:r>
    </w:p>
    <w:p w:rsidR="00B9359B" w:rsidRDefault="009A5268">
      <w:pPr>
        <w:pStyle w:val="Heading1"/>
        <w:rPr>
          <w:lang w:val="en-US"/>
        </w:rPr>
      </w:pPr>
      <w:bookmarkStart w:id="689" w:name="_Toc51046087"/>
      <w:r>
        <w:rPr>
          <w:lang w:val="en-US"/>
        </w:rPr>
        <w:t>6</w:t>
      </w:r>
      <w:r>
        <w:rPr>
          <w:lang w:val="en-US"/>
        </w:rPr>
        <w:tab/>
        <w:t>Results of the studies</w:t>
      </w:r>
      <w:bookmarkEnd w:id="689"/>
      <w:r>
        <w:rPr>
          <w:lang w:val="en-US"/>
        </w:rPr>
        <w:t xml:space="preserve"> </w:t>
      </w:r>
    </w:p>
    <w:p w:rsidR="00B9359B" w:rsidRDefault="009A5268">
      <w:pPr>
        <w:pStyle w:val="Heading2"/>
        <w:rPr>
          <w:lang w:val="en-US"/>
        </w:rPr>
      </w:pPr>
      <w:bookmarkStart w:id="690" w:name="_Toc51046088"/>
      <w:r>
        <w:rPr>
          <w:lang w:val="en-US"/>
        </w:rPr>
        <w:t>6.1</w:t>
      </w:r>
      <w:r>
        <w:rPr>
          <w:lang w:val="en-US"/>
        </w:rPr>
        <w:tab/>
        <w:t>Summary</w:t>
      </w:r>
      <w:bookmarkEnd w:id="690"/>
    </w:p>
    <w:p w:rsidR="00B9359B" w:rsidRDefault="009A5268">
      <w:pPr>
        <w:rPr>
          <w:lang w:val="en-US"/>
        </w:rPr>
      </w:pPr>
      <w:r>
        <w:rPr>
          <w:lang w:val="en-US"/>
        </w:rPr>
        <w:t>In this Annex, it was shown that the level of unwanted emissions of FS systems operating in the band 51.4-52.6 GHz would meet the protection criteria of the EESS service.</w:t>
      </w:r>
    </w:p>
    <w:p w:rsidR="00B9359B" w:rsidRDefault="009A5268">
      <w:pPr>
        <w:pStyle w:val="Heading2"/>
        <w:rPr>
          <w:lang w:val="en-US"/>
        </w:rPr>
      </w:pPr>
      <w:bookmarkStart w:id="691" w:name="_Toc51046089"/>
      <w:r>
        <w:rPr>
          <w:lang w:val="en-US"/>
        </w:rPr>
        <w:t>6.2</w:t>
      </w:r>
      <w:r>
        <w:rPr>
          <w:lang w:val="en-US"/>
        </w:rPr>
        <w:tab/>
        <w:t>Conclusion</w:t>
      </w:r>
      <w:bookmarkEnd w:id="691"/>
    </w:p>
    <w:p w:rsidR="00B9359B" w:rsidRDefault="009A5268">
      <w:pPr>
        <w:rPr>
          <w:lang w:val="en-US"/>
        </w:rPr>
      </w:pPr>
      <w:r>
        <w:rPr>
          <w:lang w:val="en-US"/>
        </w:rPr>
        <w:t xml:space="preserve">The level of unwanted emissions from FS systems in the band 51.4-52.6 GHz may meet </w:t>
      </w:r>
      <w:r>
        <w:rPr>
          <w:rFonts w:ascii="Symbol" w:hAnsi="Symbol"/>
          <w:lang w:val="en-US"/>
        </w:rPr>
        <w:noBreakHyphen/>
      </w:r>
      <w:r>
        <w:rPr>
          <w:lang w:val="en-US"/>
        </w:rPr>
        <w:t>33 dB(W/100 MHz), which would ensure compatibility between EESS and FS systems at 52.6 GHz.</w:t>
      </w:r>
    </w:p>
    <w:p w:rsidR="00B9359B" w:rsidRDefault="00B9359B">
      <w:pPr>
        <w:rPr>
          <w:lang w:val="en-US"/>
        </w:rPr>
      </w:pPr>
    </w:p>
    <w:p w:rsidR="00B9359B" w:rsidRDefault="00B9359B">
      <w:pPr>
        <w:pStyle w:val="Line"/>
      </w:pPr>
    </w:p>
    <w:p w:rsidR="00B9359B" w:rsidRDefault="00B9359B">
      <w:pPr>
        <w:rPr>
          <w:lang w:val="en-GB"/>
        </w:rPr>
      </w:pPr>
    </w:p>
    <w:p w:rsidR="00B9359B" w:rsidRDefault="00B9359B">
      <w:pPr>
        <w:rPr>
          <w:lang w:val="en-GB"/>
        </w:rPr>
      </w:pPr>
    </w:p>
    <w:p w:rsidR="00B9359B" w:rsidRDefault="00B9359B">
      <w:pPr>
        <w:rPr>
          <w:lang w:val="en-GB"/>
        </w:rPr>
      </w:pPr>
    </w:p>
    <w:p w:rsidR="00B9359B" w:rsidRDefault="00B9359B">
      <w:pPr>
        <w:rPr>
          <w:lang w:val="en-US"/>
        </w:rPr>
        <w:sectPr w:rsidR="00B9359B">
          <w:headerReference w:type="even" r:id="rId172"/>
          <w:headerReference w:type="default" r:id="rId173"/>
          <w:headerReference w:type="first" r:id="rId174"/>
          <w:footnotePr>
            <w:pos w:val="beneathText"/>
          </w:footnotePr>
          <w:pgSz w:w="11907" w:h="16840" w:code="9"/>
          <w:pgMar w:top="1418" w:right="1134" w:bottom="1134" w:left="1134" w:header="720" w:footer="482" w:gutter="0"/>
          <w:paperSrc w:first="15" w:other="15"/>
          <w:cols w:space="720"/>
          <w:vAlign w:val="both"/>
          <w:docGrid w:linePitch="326"/>
        </w:sectPr>
      </w:pPr>
    </w:p>
    <w:p w:rsidR="00B9359B" w:rsidRPr="00D35B94" w:rsidRDefault="00B9359B">
      <w:pPr>
        <w:rPr>
          <w:lang w:val="en-GB"/>
        </w:rPr>
      </w:pPr>
    </w:p>
    <w:sectPr w:rsidR="00B9359B" w:rsidRPr="00D35B94">
      <w:headerReference w:type="even" r:id="rId175"/>
      <w:headerReference w:type="default" r:id="rId176"/>
      <w:footerReference w:type="default" r:id="rId177"/>
      <w:footnotePr>
        <w:pos w:val="beneathText"/>
      </w:footnotePr>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359B" w:rsidRDefault="009A5268">
      <w:pPr>
        <w:spacing w:before="0"/>
      </w:pPr>
      <w:r>
        <w:separator/>
      </w:r>
    </w:p>
  </w:endnote>
  <w:endnote w:type="continuationSeparator" w:id="0">
    <w:p w:rsidR="00B9359B" w:rsidRDefault="009A526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auto"/>
    <w:notTrueType/>
    <w:pitch w:val="fixed"/>
    <w:sig w:usb0="00000001" w:usb1="09060000" w:usb2="00000010" w:usb3="00000000" w:csb0="0008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½Å¸íÁ¶">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359B" w:rsidRDefault="00B935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359B" w:rsidRDefault="009A5268">
      <w:pPr>
        <w:pStyle w:val="Tabletext"/>
        <w:rPr>
          <w:sz w:val="24"/>
        </w:rPr>
      </w:pPr>
      <w:r>
        <w:separator/>
      </w:r>
    </w:p>
  </w:footnote>
  <w:footnote w:type="continuationSeparator" w:id="0">
    <w:p w:rsidR="00B9359B" w:rsidRDefault="009A5268">
      <w:pPr>
        <w:spacing w:before="0"/>
      </w:pPr>
      <w:r>
        <w:continuationSeparator/>
      </w:r>
    </w:p>
  </w:footnote>
  <w:footnote w:id="1">
    <w:p w:rsidR="0027724D" w:rsidRPr="0027724D" w:rsidRDefault="0027724D" w:rsidP="0027724D">
      <w:pPr>
        <w:pStyle w:val="FootnoteText"/>
        <w:rPr>
          <w:lang w:val="en-US"/>
        </w:rPr>
      </w:pPr>
      <w:r w:rsidRPr="0027724D">
        <w:rPr>
          <w:rStyle w:val="FootnoteReference"/>
          <w:lang w:val="en-US"/>
        </w:rPr>
        <w:t>*</w:t>
      </w:r>
      <w:r w:rsidRPr="0027724D">
        <w:rPr>
          <w:lang w:val="en-US"/>
        </w:rPr>
        <w:t xml:space="preserve"> </w:t>
      </w:r>
      <w:r>
        <w:rPr>
          <w:lang w:val="en-US"/>
        </w:rPr>
        <w:tab/>
      </w:r>
      <w:r w:rsidRPr="0027724D">
        <w:rPr>
          <w:lang w:val="en-GB"/>
        </w:rPr>
        <w:t xml:space="preserve">Radiocommunication Study Group 1 made editorial amendments to this Recommendation in </w:t>
      </w:r>
      <w:r w:rsidRPr="0027724D">
        <w:rPr>
          <w:lang w:val="en-US"/>
        </w:rPr>
        <w:t>the year</w:t>
      </w:r>
      <w:r w:rsidR="00D35B94">
        <w:rPr>
          <w:lang w:val="en-US"/>
        </w:rPr>
        <w:t>s</w:t>
      </w:r>
      <w:r w:rsidRPr="0027724D">
        <w:rPr>
          <w:lang w:val="en-US"/>
        </w:rPr>
        <w:t xml:space="preserve"> </w:t>
      </w:r>
      <w:r w:rsidRPr="0027724D">
        <w:rPr>
          <w:lang w:val="en-GB"/>
        </w:rPr>
        <w:t xml:space="preserve">2018 </w:t>
      </w:r>
      <w:r w:rsidR="00D35B94">
        <w:rPr>
          <w:lang w:val="en-GB"/>
        </w:rPr>
        <w:t xml:space="preserve">and 2019 </w:t>
      </w:r>
      <w:r w:rsidRPr="0027724D">
        <w:rPr>
          <w:lang w:val="en-GB"/>
        </w:rPr>
        <w:t>in accordance with Resolution</w:t>
      </w:r>
      <w:r>
        <w:rPr>
          <w:lang w:val="en-GB"/>
        </w:rPr>
        <w:t xml:space="preserve"> </w:t>
      </w:r>
      <w:r w:rsidRPr="0027724D">
        <w:rPr>
          <w:lang w:val="en-GB"/>
        </w:rPr>
        <w:t>ITU-R 1.</w:t>
      </w:r>
    </w:p>
  </w:footnote>
  <w:footnote w:id="2">
    <w:p w:rsidR="00B9359B" w:rsidRDefault="009A5268">
      <w:pPr>
        <w:pStyle w:val="FootnoteText"/>
        <w:rPr>
          <w:lang w:val="en-US"/>
        </w:rPr>
      </w:pPr>
      <w:r>
        <w:rPr>
          <w:rStyle w:val="FootnoteReference"/>
          <w:lang w:val="en-US"/>
        </w:rPr>
        <w:t>1</w:t>
      </w:r>
      <w:r>
        <w:rPr>
          <w:lang w:val="en-US"/>
        </w:rPr>
        <w:t xml:space="preserve"> </w:t>
      </w:r>
      <w:r>
        <w:rPr>
          <w:lang w:val="en-US"/>
        </w:rPr>
        <w:tab/>
        <w:t>Recommendation ITU-R S.1328-3 consists of a database of FSS characteristics and link budget information to be used for sharing studies. This Recommendation has been replaced by Recommendation ITU</w:t>
      </w:r>
      <w:r>
        <w:rPr>
          <w:lang w:val="en-US"/>
        </w:rPr>
        <w:noBreakHyphen/>
        <w:t>R S.1328-4, which as well as an electronic database, contains a format for the electronic submission of link budgets and a validation tool to ensure links are internally consistent. At this time, only a few validated link budgets are available in the Recommendation ITU-R S.1328-4 database, none of which are applicable to the band in question. Consequently, sharing studies were done with the link information available in the previous version of this Recommendation.</w:t>
      </w:r>
    </w:p>
  </w:footnote>
  <w:footnote w:id="3">
    <w:p w:rsidR="00B9359B" w:rsidRDefault="009A5268">
      <w:pPr>
        <w:pStyle w:val="FootnoteText"/>
        <w:rPr>
          <w:lang w:val="en-US"/>
        </w:rPr>
      </w:pPr>
      <w:r>
        <w:rPr>
          <w:rStyle w:val="FootnoteReference"/>
          <w:lang w:val="en-US"/>
        </w:rPr>
        <w:t>2</w:t>
      </w:r>
      <w:r>
        <w:rPr>
          <w:lang w:val="en-US"/>
        </w:rPr>
        <w:t xml:space="preserve"> </w:t>
      </w:r>
      <w:r>
        <w:rPr>
          <w:lang w:val="en-US"/>
        </w:rPr>
        <w:tab/>
        <w:t>System GSO-VX, as described in Recommendation ITU-R S.1328-3, does not provide any information as to the service area of each space station. There are no filings on record at the BR consistent with GSO</w:t>
      </w:r>
      <w:r>
        <w:rPr>
          <w:lang w:val="en-US"/>
        </w:rPr>
        <w:noBreakHyphen/>
        <w:t>VX which would provide additional detail concerning this system.  Although the pfd produced by the satellites of this system are significantly below the levels typically produced satellites consistent with the RR Appendix 30B Plan, no finding has been made by the BR on this system and it is unclear as to whether it could be successfully notified as described.</w:t>
      </w:r>
    </w:p>
  </w:footnote>
  <w:footnote w:id="4">
    <w:p w:rsidR="00B9359B" w:rsidRDefault="009A5268">
      <w:pPr>
        <w:pStyle w:val="FootnoteText"/>
        <w:rPr>
          <w:lang w:val="en-US"/>
        </w:rPr>
      </w:pPr>
      <w:r>
        <w:rPr>
          <w:rStyle w:val="FootnoteReference"/>
          <w:lang w:val="en-US"/>
        </w:rPr>
        <w:t>3</w:t>
      </w:r>
      <w:r>
        <w:rPr>
          <w:lang w:val="en-US"/>
        </w:rPr>
        <w:t xml:space="preserve"> </w:t>
      </w:r>
      <w:r>
        <w:rPr>
          <w:lang w:val="en-US"/>
        </w:rPr>
        <w:tab/>
        <w:t xml:space="preserve">The e.i.r.p. density required to achieve the pfd limits in RR Table 21-4 is 7 to 19 dB higher than that of allotment entries in the RR Appendix 30B Plan. Any such system with a service area sufficient to provide viable commercial service is likely to exceed the </w:t>
      </w:r>
      <w:r>
        <w:rPr>
          <w:i/>
          <w:iCs/>
          <w:lang w:val="en-US"/>
        </w:rPr>
        <w:t>C</w:t>
      </w:r>
      <w:r w:rsidRPr="0027724D">
        <w:rPr>
          <w:lang w:val="en-US"/>
        </w:rPr>
        <w:t>/</w:t>
      </w:r>
      <w:r>
        <w:rPr>
          <w:i/>
          <w:iCs/>
          <w:lang w:val="en-US"/>
        </w:rPr>
        <w:t>I</w:t>
      </w:r>
      <w:r>
        <w:rPr>
          <w:lang w:val="en-US"/>
        </w:rPr>
        <w:t xml:space="preserve"> aggregate criterion of 26 dB on numerous allotments in the RR Appendix 30B Plan, and it is not certain that such a system would receive the approval of all the impacted administrations required to notify the proposed system. However, this worst-case interference case has been presented in order to be consistent with the methodology used in this Recommendation.</w:t>
      </w:r>
    </w:p>
  </w:footnote>
  <w:footnote w:id="5">
    <w:p w:rsidR="00B9359B" w:rsidRDefault="009A5268">
      <w:pPr>
        <w:pStyle w:val="FootnoteText"/>
        <w:rPr>
          <w:lang w:val="en-US"/>
        </w:rPr>
      </w:pPr>
      <w:r>
        <w:rPr>
          <w:rStyle w:val="FootnoteReference"/>
          <w:lang w:val="en-US"/>
        </w:rPr>
        <w:t>*</w:t>
      </w:r>
      <w:r>
        <w:rPr>
          <w:lang w:val="en-US"/>
        </w:rPr>
        <w:t xml:space="preserve"> </w:t>
      </w:r>
      <w:r>
        <w:rPr>
          <w:lang w:val="en-US"/>
        </w:rPr>
        <w:tab/>
        <w:t>It should be noted that these numbers represent a worst-case approach and will be refined to obtain a realistic number of FS systems in each of the considered bands.</w:t>
      </w:r>
    </w:p>
  </w:footnote>
  <w:footnote w:id="6">
    <w:p w:rsidR="00B9359B" w:rsidRDefault="009A5268">
      <w:pPr>
        <w:pStyle w:val="FootnoteText"/>
        <w:rPr>
          <w:lang w:val="en-US"/>
        </w:rPr>
      </w:pPr>
      <w:r>
        <w:rPr>
          <w:rStyle w:val="FootnoteReference"/>
          <w:lang w:val="en-US"/>
        </w:rPr>
        <w:t>*</w:t>
      </w:r>
      <w:r>
        <w:rPr>
          <w:lang w:val="en-US"/>
        </w:rPr>
        <w:t xml:space="preserve"> </w:t>
      </w:r>
      <w:r>
        <w:rPr>
          <w:lang w:val="en-US"/>
        </w:rPr>
        <w:tab/>
        <w:t>It should be noted that these numbers represent a worst-case approach and will be refined to obtain a realistic number of FS systems in each of the considered bands.</w:t>
      </w:r>
    </w:p>
  </w:footnote>
  <w:footnote w:id="7">
    <w:p w:rsidR="00B9359B" w:rsidRDefault="009A5268">
      <w:pPr>
        <w:pStyle w:val="FootnoteText"/>
        <w:rPr>
          <w:lang w:val="en-US"/>
        </w:rPr>
      </w:pPr>
      <w:r>
        <w:rPr>
          <w:rStyle w:val="FootnoteReference"/>
          <w:lang w:val="en-US"/>
        </w:rPr>
        <w:t>4</w:t>
      </w:r>
      <w:r>
        <w:rPr>
          <w:lang w:val="en-US"/>
        </w:rPr>
        <w:t xml:space="preserve"> </w:t>
      </w:r>
      <w:r>
        <w:rPr>
          <w:lang w:val="en-US"/>
        </w:rPr>
        <w:tab/>
        <w:t>See Recommendation ITU-R P.676. The value will vary from 1 to 2 dB at sea level.</w:t>
      </w:r>
    </w:p>
  </w:footnote>
  <w:footnote w:id="8">
    <w:p w:rsidR="00B9359B" w:rsidRDefault="009A5268">
      <w:pPr>
        <w:pStyle w:val="FootnoteText"/>
        <w:rPr>
          <w:lang w:val="en-US"/>
        </w:rPr>
      </w:pPr>
      <w:r>
        <w:rPr>
          <w:rStyle w:val="FootnoteReference"/>
          <w:lang w:val="en-US"/>
        </w:rPr>
        <w:t>*</w:t>
      </w:r>
      <w:r>
        <w:rPr>
          <w:lang w:val="en-US"/>
        </w:rPr>
        <w:t xml:space="preserve"> </w:t>
      </w:r>
      <w:r>
        <w:rPr>
          <w:lang w:val="en-US"/>
        </w:rPr>
        <w:tab/>
        <w:t>It should be noted that these numbers represent a worst-case approach and will be refined to obtain a realistic number of FS systems in each of the considered bands.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359B" w:rsidRDefault="009A5268">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AB52AF">
      <w:rPr>
        <w:rStyle w:val="PageNumber"/>
        <w:b/>
        <w:bCs/>
        <w:noProof/>
      </w:rPr>
      <w:t>2</w:t>
    </w:r>
    <w:r>
      <w:rPr>
        <w:rStyle w:val="PageNumber"/>
        <w:b/>
        <w:bCs/>
      </w:rPr>
      <w:fldChar w:fldCharType="end"/>
    </w:r>
    <w:r>
      <w:tab/>
    </w:r>
    <w:r>
      <w:rPr>
        <w:b/>
        <w:bCs/>
      </w:rPr>
      <w:fldChar w:fldCharType="begin"/>
    </w:r>
    <w:r>
      <w:rPr>
        <w:b/>
        <w:bCs/>
      </w:rPr>
      <w:instrText xml:space="preserve"> DOCPROPERTY "Header" \* MERGEFORMAT </w:instrText>
    </w:r>
    <w:r>
      <w:rPr>
        <w:b/>
        <w:bCs/>
      </w:rPr>
      <w:fldChar w:fldCharType="separate"/>
    </w:r>
    <w:r w:rsidR="00AB52AF">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B52AF">
      <w:rPr>
        <w:b/>
        <w:bCs/>
        <w:noProof/>
      </w:rPr>
      <w:t>ITU-R  SM.1633-0</w:t>
    </w:r>
    <w:r>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359B" w:rsidRDefault="009A5268">
    <w:pPr>
      <w:pStyle w:val="Header"/>
    </w:pPr>
    <w:r>
      <w:tab/>
    </w:r>
    <w:r>
      <w:rPr>
        <w:b/>
        <w:bCs/>
      </w:rPr>
      <w:fldChar w:fldCharType="begin"/>
    </w:r>
    <w:r>
      <w:rPr>
        <w:b/>
        <w:bCs/>
      </w:rPr>
      <w:instrText xml:space="preserve"> DOCPROPERTY "Header" \* MERGEFORMAT </w:instrText>
    </w:r>
    <w:r>
      <w:rPr>
        <w:b/>
        <w:bCs/>
      </w:rPr>
      <w:fldChar w:fldCharType="separate"/>
    </w:r>
    <w:r w:rsidR="00AB52AF">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B52AF">
      <w:rPr>
        <w:b/>
        <w:bCs/>
        <w:noProof/>
      </w:rPr>
      <w:t>ITU-R  SM.1633-0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B52AF">
      <w:rPr>
        <w:rStyle w:val="PageNumber"/>
        <w:b/>
        <w:bCs/>
        <w:noProof/>
      </w:rPr>
      <w:t>1</w:t>
    </w:r>
    <w:r>
      <w:rPr>
        <w:rStyle w:val="PageNumbe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359B" w:rsidRDefault="009A5268">
    <w:pPr>
      <w:pStyle w:val="Header"/>
    </w:pPr>
    <w:r>
      <w:tab/>
    </w:r>
    <w:r>
      <w:rPr>
        <w:b/>
        <w:bCs/>
      </w:rPr>
      <w:fldChar w:fldCharType="begin"/>
    </w:r>
    <w:r>
      <w:rPr>
        <w:b/>
        <w:bCs/>
      </w:rPr>
      <w:instrText xml:space="preserve"> DOCPROPERTY "Header" \* MERGEFORMAT </w:instrText>
    </w:r>
    <w:r>
      <w:rPr>
        <w:b/>
        <w:bCs/>
      </w:rPr>
      <w:fldChar w:fldCharType="separate"/>
    </w:r>
    <w:r w:rsidR="00AB52AF">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B52AF">
      <w:rPr>
        <w:b/>
        <w:bCs/>
        <w:noProof/>
      </w:rPr>
      <w:t>ITU-R  SM.1633-0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359B" w:rsidRDefault="009A5268">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D35B94">
      <w:rPr>
        <w:rStyle w:val="PageNumber"/>
        <w:b/>
        <w:bCs/>
        <w:noProof/>
      </w:rPr>
      <w:t>254</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359B" w:rsidRDefault="00B935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8F25C7"/>
    <w:multiLevelType w:val="multilevel"/>
    <w:tmpl w:val="137AB6A0"/>
    <w:lvl w:ilvl="0">
      <w:start w:val="5"/>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60DF1104"/>
    <w:multiLevelType w:val="multilevel"/>
    <w:tmpl w:val="EDC8C2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hideSpellingErrors/>
  <w:hideGrammaticalErrors/>
  <w:activeWritingStyle w:appName="MSWord" w:lang="en-US" w:vendorID="64" w:dllVersion="131077" w:nlCheck="1" w:checkStyle="0"/>
  <w:activeWritingStyle w:appName="MSWord" w:lang="en-GB" w:vendorID="64" w:dllVersion="131077" w:nlCheck="1" w:checkStyle="1"/>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0"/>
  <w:activeWritingStyle w:appName="MSWord" w:lang="fr-FR" w:vendorID="64" w:dllVersion="131078" w:nlCheck="1" w:checkStyle="0"/>
  <w:activeWritingStyle w:appName="MSWord" w:lang="es-ES" w:vendorID="64" w:dllVersion="131078" w:nlCheck="1" w:checkStyle="0"/>
  <w:activeWritingStyle w:appName="MSWord" w:lang="es-ES_tradnl" w:vendorID="64" w:dllVersion="131078" w:nlCheck="1" w:checkStyle="0"/>
  <w:attachedTemplate r:id="rId1"/>
  <w:doNotTrackMoves/>
  <w:defaultTabStop w:val="720"/>
  <w:consecutiveHyphenLimit w:val="3"/>
  <w:hyphenationZone w:val="357"/>
  <w:evenAndOddHeaders/>
  <w:noPunctuationKerning/>
  <w:characterSpacingControl w:val="doNotCompress"/>
  <w:footnotePr>
    <w:pos w:val="beneathText"/>
    <w:footnote w:id="-1"/>
    <w:footnote w:id="0"/>
  </w:footnotePr>
  <w:endnotePr>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A5268"/>
    <w:rsid w:val="0027724D"/>
    <w:rsid w:val="00771B05"/>
    <w:rsid w:val="009A5268"/>
    <w:rsid w:val="00AB52AF"/>
    <w:rsid w:val="00B45148"/>
    <w:rsid w:val="00B9359B"/>
    <w:rsid w:val="00C456F6"/>
    <w:rsid w:val="00D35B94"/>
    <w:rsid w:val="00D66C1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1"/>
    <o:shapelayout v:ext="edit">
      <o:idmap v:ext="edit" data="1"/>
    </o:shapelayout>
  </w:shapeDefaults>
  <w:decimalSymbol w:val="."/>
  <w:listSeparator w:val=","/>
  <w14:docId w14:val="0609239C"/>
  <w15:chartTrackingRefBased/>
  <w15:docId w15:val="{6FD0451A-4B61-4642-B253-BEEE27F76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724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semiHidden/>
    <w:pPr>
      <w:tabs>
        <w:tab w:val="clear" w:pos="794"/>
        <w:tab w:val="clear" w:pos="1191"/>
        <w:tab w:val="clear" w:pos="1588"/>
        <w:tab w:val="clear" w:pos="1985"/>
      </w:tabs>
      <w:spacing w:before="0"/>
    </w:pPr>
    <w:rPr>
      <w:noProof/>
      <w:sz w:val="18"/>
    </w:rPr>
  </w:style>
  <w:style w:type="character" w:styleId="PageNumber">
    <w:name w:val="page number"/>
    <w:basedOn w:val="DefaultParagraphFont"/>
    <w:semiHidden/>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AnnexNoTitle">
    <w:name w:val="Annex_NoTitle"/>
    <w:basedOn w:val="Normal"/>
    <w:next w:val="Normalaftertitle"/>
    <w:rsid w:val="0027724D"/>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284"/>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semiHidden/>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Normal"/>
    <w:pPr>
      <w:keepLines/>
      <w:spacing w:before="480" w:after="240"/>
      <w:jc w:val="center"/>
    </w:pPr>
    <w:rPr>
      <w:cap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Normal"/>
  </w:style>
  <w:style w:type="paragraph" w:customStyle="1" w:styleId="Repref">
    <w:name w:val="Rep_ref"/>
    <w:basedOn w:val="Recref"/>
    <w:next w:val="Repdate"/>
  </w:style>
  <w:style w:type="paragraph" w:customStyle="1" w:styleId="Reptitle">
    <w:name w:val="Rep_title"/>
    <w:basedOn w:val="Normal"/>
    <w:next w:val="Repref"/>
  </w:style>
  <w:style w:type="paragraph" w:customStyle="1" w:styleId="Resdate">
    <w:name w:val="Res_date"/>
    <w:basedOn w:val="Recdate"/>
    <w:next w:val="Normalaftertitle"/>
  </w:style>
  <w:style w:type="paragraph" w:customStyle="1" w:styleId="ResNo">
    <w:name w:val="Res_No"/>
    <w:basedOn w:val="RecNo"/>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Normal"/>
    <w:pPr>
      <w:keepNext/>
      <w:spacing w:before="0" w:after="480"/>
      <w:jc w:val="center"/>
    </w:pPr>
    <w:rPr>
      <w:b/>
    </w:rPr>
  </w:style>
  <w:style w:type="paragraph" w:customStyle="1" w:styleId="Tabletitle">
    <w:name w:val="Table_title"/>
    <w:basedOn w:val="Normal"/>
    <w:next w:val="Tablehead"/>
    <w:pPr>
      <w:keepNext/>
      <w:spacing w:before="0" w:after="120"/>
      <w:jc w:val="center"/>
    </w:pPr>
    <w:rPr>
      <w:b/>
    </w:rPr>
  </w:style>
  <w:style w:type="paragraph" w:customStyle="1" w:styleId="headingb0">
    <w:name w:val="heading_b"/>
    <w:basedOn w:val="Heading3"/>
    <w:next w:val="Normal"/>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lang w:val="en-GB" w:eastAsia="fr-FR"/>
    </w:rPr>
  </w:style>
  <w:style w:type="paragraph" w:styleId="BodyText">
    <w:name w:val="Body Text"/>
    <w:basedOn w:val="Normal"/>
    <w:semiHidden/>
    <w:pPr>
      <w:jc w:val="left"/>
    </w:pPr>
    <w:rPr>
      <w:lang w:val="fr-CH"/>
    </w:rPr>
  </w:style>
  <w:style w:type="character" w:customStyle="1" w:styleId="Artref">
    <w:name w:val="Art_ref"/>
    <w:basedOn w:val="DefaultParagraphFont"/>
  </w:style>
  <w:style w:type="character" w:customStyle="1" w:styleId="Appdef">
    <w:name w:val="App_def"/>
    <w:basedOn w:val="DefaultParagraphFont"/>
    <w:rPr>
      <w:rFonts w:ascii="Times New Roman" w:hAnsi="Times New Roman"/>
      <w:b/>
    </w:rPr>
  </w:style>
  <w:style w:type="paragraph" w:styleId="TOC9">
    <w:name w:val="toc 9"/>
    <w:basedOn w:val="Normal"/>
    <w:next w:val="Normal"/>
    <w:autoRedefine/>
    <w:semiHidden/>
    <w:pPr>
      <w:tabs>
        <w:tab w:val="clear" w:pos="794"/>
        <w:tab w:val="clear" w:pos="1191"/>
        <w:tab w:val="clear" w:pos="1588"/>
        <w:tab w:val="clear" w:pos="1985"/>
      </w:tabs>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image" Target="media/image65.wmf"/><Relationship Id="rId21" Type="http://schemas.openxmlformats.org/officeDocument/2006/relationships/oleObject" Target="embeddings/oleObject7.bin"/><Relationship Id="rId42" Type="http://schemas.openxmlformats.org/officeDocument/2006/relationships/image" Target="media/image22.wmf"/><Relationship Id="rId47" Type="http://schemas.openxmlformats.org/officeDocument/2006/relationships/image" Target="media/image26.wmf"/><Relationship Id="rId63" Type="http://schemas.openxmlformats.org/officeDocument/2006/relationships/image" Target="media/image37.wmf"/><Relationship Id="rId68" Type="http://schemas.openxmlformats.org/officeDocument/2006/relationships/image" Target="media/image40.wmf"/><Relationship Id="rId84" Type="http://schemas.openxmlformats.org/officeDocument/2006/relationships/image" Target="media/image48.wmf"/><Relationship Id="rId89" Type="http://schemas.openxmlformats.org/officeDocument/2006/relationships/oleObject" Target="embeddings/oleObject33.bin"/><Relationship Id="rId112" Type="http://schemas.openxmlformats.org/officeDocument/2006/relationships/oleObject" Target="embeddings/oleObject44.bin"/><Relationship Id="rId133" Type="http://schemas.openxmlformats.org/officeDocument/2006/relationships/image" Target="media/image74.wmf"/><Relationship Id="rId138" Type="http://schemas.openxmlformats.org/officeDocument/2006/relationships/image" Target="media/image77.wmf"/><Relationship Id="rId154" Type="http://schemas.openxmlformats.org/officeDocument/2006/relationships/image" Target="media/image85.wmf"/><Relationship Id="rId159" Type="http://schemas.openxmlformats.org/officeDocument/2006/relationships/oleObject" Target="embeddings/oleObject66.bin"/><Relationship Id="rId175" Type="http://schemas.openxmlformats.org/officeDocument/2006/relationships/header" Target="header4.xml"/><Relationship Id="rId170" Type="http://schemas.openxmlformats.org/officeDocument/2006/relationships/image" Target="media/image93.wmf"/><Relationship Id="rId16" Type="http://schemas.openxmlformats.org/officeDocument/2006/relationships/image" Target="media/image6.wmf"/><Relationship Id="rId107" Type="http://schemas.openxmlformats.org/officeDocument/2006/relationships/image" Target="media/image60.wmf"/><Relationship Id="rId11" Type="http://schemas.openxmlformats.org/officeDocument/2006/relationships/oleObject" Target="embeddings/oleObject2.bin"/><Relationship Id="rId32" Type="http://schemas.openxmlformats.org/officeDocument/2006/relationships/image" Target="media/image16.wmf"/><Relationship Id="rId37"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image" Target="media/image35.wmf"/><Relationship Id="rId74" Type="http://schemas.openxmlformats.org/officeDocument/2006/relationships/image" Target="media/image43.wmf"/><Relationship Id="rId79" Type="http://schemas.openxmlformats.org/officeDocument/2006/relationships/oleObject" Target="embeddings/oleObject28.bin"/><Relationship Id="rId102" Type="http://schemas.openxmlformats.org/officeDocument/2006/relationships/oleObject" Target="embeddings/oleObject39.bin"/><Relationship Id="rId123" Type="http://schemas.openxmlformats.org/officeDocument/2006/relationships/oleObject" Target="embeddings/oleObject49.bin"/><Relationship Id="rId128" Type="http://schemas.openxmlformats.org/officeDocument/2006/relationships/image" Target="media/image71.wmf"/><Relationship Id="rId144" Type="http://schemas.openxmlformats.org/officeDocument/2006/relationships/image" Target="media/image80.wmf"/><Relationship Id="rId149" Type="http://schemas.openxmlformats.org/officeDocument/2006/relationships/oleObject" Target="embeddings/oleObject61.bin"/><Relationship Id="rId5" Type="http://schemas.openxmlformats.org/officeDocument/2006/relationships/footnotes" Target="footnotes.xml"/><Relationship Id="rId90" Type="http://schemas.openxmlformats.org/officeDocument/2006/relationships/image" Target="media/image51.wmf"/><Relationship Id="rId95" Type="http://schemas.openxmlformats.org/officeDocument/2006/relationships/image" Target="media/image54.wmf"/><Relationship Id="rId160" Type="http://schemas.openxmlformats.org/officeDocument/2006/relationships/image" Target="media/image88.wmf"/><Relationship Id="rId165" Type="http://schemas.openxmlformats.org/officeDocument/2006/relationships/oleObject" Target="embeddings/oleObject69.bin"/><Relationship Id="rId22" Type="http://schemas.openxmlformats.org/officeDocument/2006/relationships/image" Target="media/image9.wmf"/><Relationship Id="rId27" Type="http://schemas.openxmlformats.org/officeDocument/2006/relationships/oleObject" Target="embeddings/oleObject9.bin"/><Relationship Id="rId43" Type="http://schemas.openxmlformats.org/officeDocument/2006/relationships/image" Target="media/image23.wmf"/><Relationship Id="rId48" Type="http://schemas.openxmlformats.org/officeDocument/2006/relationships/image" Target="media/image27.wmf"/><Relationship Id="rId64" Type="http://schemas.openxmlformats.org/officeDocument/2006/relationships/oleObject" Target="embeddings/oleObject21.bin"/><Relationship Id="rId69" Type="http://schemas.openxmlformats.org/officeDocument/2006/relationships/oleObject" Target="embeddings/oleObject23.bin"/><Relationship Id="rId113" Type="http://schemas.openxmlformats.org/officeDocument/2006/relationships/image" Target="media/image63.wmf"/><Relationship Id="rId118" Type="http://schemas.openxmlformats.org/officeDocument/2006/relationships/oleObject" Target="embeddings/oleObject47.bin"/><Relationship Id="rId134" Type="http://schemas.openxmlformats.org/officeDocument/2006/relationships/oleObject" Target="embeddings/oleObject54.bin"/><Relationship Id="rId139" Type="http://schemas.openxmlformats.org/officeDocument/2006/relationships/oleObject" Target="embeddings/oleObject56.bin"/><Relationship Id="rId80" Type="http://schemas.openxmlformats.org/officeDocument/2006/relationships/image" Target="media/image46.wmf"/><Relationship Id="rId85" Type="http://schemas.openxmlformats.org/officeDocument/2006/relationships/oleObject" Target="embeddings/oleObject31.bin"/><Relationship Id="rId150" Type="http://schemas.openxmlformats.org/officeDocument/2006/relationships/image" Target="media/image83.wmf"/><Relationship Id="rId155" Type="http://schemas.openxmlformats.org/officeDocument/2006/relationships/oleObject" Target="embeddings/oleObject64.bin"/><Relationship Id="rId171" Type="http://schemas.openxmlformats.org/officeDocument/2006/relationships/oleObject" Target="embeddings/oleObject72.bin"/><Relationship Id="rId176" Type="http://schemas.openxmlformats.org/officeDocument/2006/relationships/header" Target="header5.xml"/><Relationship Id="rId12" Type="http://schemas.openxmlformats.org/officeDocument/2006/relationships/image" Target="media/image4.wmf"/><Relationship Id="rId17" Type="http://schemas.openxmlformats.org/officeDocument/2006/relationships/oleObject" Target="embeddings/oleObject5.bin"/><Relationship Id="rId33" Type="http://schemas.openxmlformats.org/officeDocument/2006/relationships/oleObject" Target="embeddings/oleObject11.bin"/><Relationship Id="rId38" Type="http://schemas.openxmlformats.org/officeDocument/2006/relationships/image" Target="media/image20.wmf"/><Relationship Id="rId59" Type="http://schemas.openxmlformats.org/officeDocument/2006/relationships/oleObject" Target="embeddings/oleObject18.bin"/><Relationship Id="rId103" Type="http://schemas.openxmlformats.org/officeDocument/2006/relationships/image" Target="media/image58.wmf"/><Relationship Id="rId108" Type="http://schemas.openxmlformats.org/officeDocument/2006/relationships/oleObject" Target="embeddings/oleObject42.bin"/><Relationship Id="rId124" Type="http://schemas.openxmlformats.org/officeDocument/2006/relationships/image" Target="media/image69.wmf"/><Relationship Id="rId129" Type="http://schemas.openxmlformats.org/officeDocument/2006/relationships/image" Target="media/image72.wmf"/><Relationship Id="rId54" Type="http://schemas.openxmlformats.org/officeDocument/2006/relationships/image" Target="media/image32.wmf"/><Relationship Id="rId70" Type="http://schemas.openxmlformats.org/officeDocument/2006/relationships/image" Target="media/image41.wmf"/><Relationship Id="rId75" Type="http://schemas.openxmlformats.org/officeDocument/2006/relationships/oleObject" Target="embeddings/oleObject26.bin"/><Relationship Id="rId91" Type="http://schemas.openxmlformats.org/officeDocument/2006/relationships/image" Target="media/image52.wmf"/><Relationship Id="rId96" Type="http://schemas.openxmlformats.org/officeDocument/2006/relationships/oleObject" Target="embeddings/oleObject36.bin"/><Relationship Id="rId140" Type="http://schemas.openxmlformats.org/officeDocument/2006/relationships/image" Target="media/image78.wmf"/><Relationship Id="rId145" Type="http://schemas.openxmlformats.org/officeDocument/2006/relationships/oleObject" Target="embeddings/oleObject59.bin"/><Relationship Id="rId161" Type="http://schemas.openxmlformats.org/officeDocument/2006/relationships/oleObject" Target="embeddings/oleObject67.bin"/><Relationship Id="rId166" Type="http://schemas.openxmlformats.org/officeDocument/2006/relationships/image" Target="media/image91.w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8.bin"/><Relationship Id="rId28" Type="http://schemas.openxmlformats.org/officeDocument/2006/relationships/image" Target="media/image13.wmf"/><Relationship Id="rId49" Type="http://schemas.openxmlformats.org/officeDocument/2006/relationships/image" Target="media/image28.wmf"/><Relationship Id="rId114" Type="http://schemas.openxmlformats.org/officeDocument/2006/relationships/oleObject" Target="embeddings/oleObject45.bin"/><Relationship Id="rId119" Type="http://schemas.openxmlformats.org/officeDocument/2006/relationships/image" Target="media/image66.wmf"/><Relationship Id="rId10" Type="http://schemas.openxmlformats.org/officeDocument/2006/relationships/image" Target="media/image3.wmf"/><Relationship Id="rId31" Type="http://schemas.openxmlformats.org/officeDocument/2006/relationships/image" Target="media/image15.wmf"/><Relationship Id="rId44" Type="http://schemas.openxmlformats.org/officeDocument/2006/relationships/image" Target="media/image24.wmf"/><Relationship Id="rId52" Type="http://schemas.openxmlformats.org/officeDocument/2006/relationships/image" Target="media/image31.wmf"/><Relationship Id="rId60" Type="http://schemas.openxmlformats.org/officeDocument/2006/relationships/oleObject" Target="embeddings/oleObject19.bin"/><Relationship Id="rId65" Type="http://schemas.openxmlformats.org/officeDocument/2006/relationships/image" Target="media/image38.wmf"/><Relationship Id="rId73" Type="http://schemas.openxmlformats.org/officeDocument/2006/relationships/oleObject" Target="embeddings/oleObject25.bin"/><Relationship Id="rId78" Type="http://schemas.openxmlformats.org/officeDocument/2006/relationships/image" Target="media/image45.wmf"/><Relationship Id="rId81" Type="http://schemas.openxmlformats.org/officeDocument/2006/relationships/oleObject" Target="embeddings/oleObject29.bin"/><Relationship Id="rId86" Type="http://schemas.openxmlformats.org/officeDocument/2006/relationships/image" Target="media/image49.wmf"/><Relationship Id="rId94" Type="http://schemas.openxmlformats.org/officeDocument/2006/relationships/oleObject" Target="embeddings/oleObject35.bin"/><Relationship Id="rId99" Type="http://schemas.openxmlformats.org/officeDocument/2006/relationships/image" Target="media/image56.wmf"/><Relationship Id="rId101" Type="http://schemas.openxmlformats.org/officeDocument/2006/relationships/image" Target="media/image57.wmf"/><Relationship Id="rId122" Type="http://schemas.openxmlformats.org/officeDocument/2006/relationships/image" Target="media/image68.wmf"/><Relationship Id="rId130" Type="http://schemas.openxmlformats.org/officeDocument/2006/relationships/oleObject" Target="embeddings/oleObject52.bin"/><Relationship Id="rId135" Type="http://schemas.openxmlformats.org/officeDocument/2006/relationships/image" Target="media/image75.wmf"/><Relationship Id="rId143" Type="http://schemas.openxmlformats.org/officeDocument/2006/relationships/oleObject" Target="embeddings/oleObject58.bin"/><Relationship Id="rId148" Type="http://schemas.openxmlformats.org/officeDocument/2006/relationships/image" Target="media/image82.wmf"/><Relationship Id="rId151" Type="http://schemas.openxmlformats.org/officeDocument/2006/relationships/oleObject" Target="embeddings/oleObject62.bin"/><Relationship Id="rId156" Type="http://schemas.openxmlformats.org/officeDocument/2006/relationships/image" Target="media/image86.wmf"/><Relationship Id="rId164" Type="http://schemas.openxmlformats.org/officeDocument/2006/relationships/image" Target="media/image90.wmf"/><Relationship Id="rId169" Type="http://schemas.openxmlformats.org/officeDocument/2006/relationships/oleObject" Target="embeddings/oleObject71.bin"/><Relationship Id="rId177"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 Id="rId172" Type="http://schemas.openxmlformats.org/officeDocument/2006/relationships/header" Target="header1.xml"/><Relationship Id="rId13" Type="http://schemas.openxmlformats.org/officeDocument/2006/relationships/oleObject" Target="embeddings/oleObject3.bin"/><Relationship Id="rId18" Type="http://schemas.openxmlformats.org/officeDocument/2006/relationships/image" Target="media/image7.wmf"/><Relationship Id="rId39" Type="http://schemas.openxmlformats.org/officeDocument/2006/relationships/oleObject" Target="embeddings/oleObject13.bin"/><Relationship Id="rId109" Type="http://schemas.openxmlformats.org/officeDocument/2006/relationships/image" Target="media/image61.wmf"/><Relationship Id="rId34" Type="http://schemas.openxmlformats.org/officeDocument/2006/relationships/image" Target="media/image17.wmf"/><Relationship Id="rId50" Type="http://schemas.openxmlformats.org/officeDocument/2006/relationships/image" Target="media/image29.wmf"/><Relationship Id="rId55" Type="http://schemas.openxmlformats.org/officeDocument/2006/relationships/image" Target="media/image33.wmf"/><Relationship Id="rId76" Type="http://schemas.openxmlformats.org/officeDocument/2006/relationships/image" Target="media/image44.wmf"/><Relationship Id="rId97" Type="http://schemas.openxmlformats.org/officeDocument/2006/relationships/image" Target="media/image55.wmf"/><Relationship Id="rId104" Type="http://schemas.openxmlformats.org/officeDocument/2006/relationships/oleObject" Target="embeddings/oleObject40.bin"/><Relationship Id="rId120" Type="http://schemas.openxmlformats.org/officeDocument/2006/relationships/image" Target="media/image67.wmf"/><Relationship Id="rId125" Type="http://schemas.openxmlformats.org/officeDocument/2006/relationships/oleObject" Target="embeddings/oleObject50.bin"/><Relationship Id="rId141" Type="http://schemas.openxmlformats.org/officeDocument/2006/relationships/oleObject" Target="embeddings/oleObject57.bin"/><Relationship Id="rId146" Type="http://schemas.openxmlformats.org/officeDocument/2006/relationships/image" Target="media/image81.wmf"/><Relationship Id="rId167" Type="http://schemas.openxmlformats.org/officeDocument/2006/relationships/oleObject" Target="embeddings/oleObject70.bin"/><Relationship Id="rId7" Type="http://schemas.openxmlformats.org/officeDocument/2006/relationships/image" Target="media/image1.wmf"/><Relationship Id="rId71" Type="http://schemas.openxmlformats.org/officeDocument/2006/relationships/oleObject" Target="embeddings/oleObject24.bin"/><Relationship Id="rId92" Type="http://schemas.openxmlformats.org/officeDocument/2006/relationships/oleObject" Target="embeddings/oleObject34.bin"/><Relationship Id="rId162" Type="http://schemas.openxmlformats.org/officeDocument/2006/relationships/image" Target="media/image89.wmf"/><Relationship Id="rId2" Type="http://schemas.openxmlformats.org/officeDocument/2006/relationships/styles" Target="styles.xml"/><Relationship Id="rId29" Type="http://schemas.openxmlformats.org/officeDocument/2006/relationships/oleObject" Target="embeddings/oleObject10.bin"/><Relationship Id="rId24" Type="http://schemas.openxmlformats.org/officeDocument/2006/relationships/image" Target="media/image10.wmf"/><Relationship Id="rId40" Type="http://schemas.openxmlformats.org/officeDocument/2006/relationships/image" Target="media/image21.wmf"/><Relationship Id="rId45" Type="http://schemas.openxmlformats.org/officeDocument/2006/relationships/oleObject" Target="embeddings/oleObject15.bin"/><Relationship Id="rId66" Type="http://schemas.openxmlformats.org/officeDocument/2006/relationships/oleObject" Target="embeddings/oleObject22.bin"/><Relationship Id="rId87" Type="http://schemas.openxmlformats.org/officeDocument/2006/relationships/oleObject" Target="embeddings/oleObject32.bin"/><Relationship Id="rId110" Type="http://schemas.openxmlformats.org/officeDocument/2006/relationships/oleObject" Target="embeddings/oleObject43.bin"/><Relationship Id="rId115" Type="http://schemas.openxmlformats.org/officeDocument/2006/relationships/image" Target="media/image64.wmf"/><Relationship Id="rId131" Type="http://schemas.openxmlformats.org/officeDocument/2006/relationships/image" Target="media/image73.wmf"/><Relationship Id="rId136" Type="http://schemas.openxmlformats.org/officeDocument/2006/relationships/image" Target="media/image76.wmf"/><Relationship Id="rId157" Type="http://schemas.openxmlformats.org/officeDocument/2006/relationships/oleObject" Target="embeddings/oleObject65.bin"/><Relationship Id="rId178" Type="http://schemas.openxmlformats.org/officeDocument/2006/relationships/fontTable" Target="fontTable.xml"/><Relationship Id="rId61" Type="http://schemas.openxmlformats.org/officeDocument/2006/relationships/image" Target="media/image36.wmf"/><Relationship Id="rId82" Type="http://schemas.openxmlformats.org/officeDocument/2006/relationships/image" Target="media/image47.wmf"/><Relationship Id="rId152" Type="http://schemas.openxmlformats.org/officeDocument/2006/relationships/image" Target="media/image84.wmf"/><Relationship Id="rId173" Type="http://schemas.openxmlformats.org/officeDocument/2006/relationships/header" Target="header2.xml"/><Relationship Id="rId19" Type="http://schemas.openxmlformats.org/officeDocument/2006/relationships/oleObject" Target="embeddings/oleObject6.bin"/><Relationship Id="rId14" Type="http://schemas.openxmlformats.org/officeDocument/2006/relationships/image" Target="media/image5.wmf"/><Relationship Id="rId30" Type="http://schemas.openxmlformats.org/officeDocument/2006/relationships/image" Target="media/image14.wmf"/><Relationship Id="rId35" Type="http://schemas.openxmlformats.org/officeDocument/2006/relationships/image" Target="media/image18.wmf"/><Relationship Id="rId56" Type="http://schemas.openxmlformats.org/officeDocument/2006/relationships/image" Target="media/image34.wmf"/><Relationship Id="rId77" Type="http://schemas.openxmlformats.org/officeDocument/2006/relationships/oleObject" Target="embeddings/oleObject27.bin"/><Relationship Id="rId100" Type="http://schemas.openxmlformats.org/officeDocument/2006/relationships/oleObject" Target="embeddings/oleObject38.bin"/><Relationship Id="rId105" Type="http://schemas.openxmlformats.org/officeDocument/2006/relationships/image" Target="media/image59.wmf"/><Relationship Id="rId126" Type="http://schemas.openxmlformats.org/officeDocument/2006/relationships/image" Target="media/image70.wmf"/><Relationship Id="rId147" Type="http://schemas.openxmlformats.org/officeDocument/2006/relationships/oleObject" Target="embeddings/oleObject60.bin"/><Relationship Id="rId168" Type="http://schemas.openxmlformats.org/officeDocument/2006/relationships/image" Target="media/image92.wmf"/><Relationship Id="rId8" Type="http://schemas.openxmlformats.org/officeDocument/2006/relationships/image" Target="media/image2.wmf"/><Relationship Id="rId51" Type="http://schemas.openxmlformats.org/officeDocument/2006/relationships/image" Target="media/image30.wmf"/><Relationship Id="rId72" Type="http://schemas.openxmlformats.org/officeDocument/2006/relationships/image" Target="media/image42.wmf"/><Relationship Id="rId93" Type="http://schemas.openxmlformats.org/officeDocument/2006/relationships/image" Target="media/image53.wmf"/><Relationship Id="rId98" Type="http://schemas.openxmlformats.org/officeDocument/2006/relationships/oleObject" Target="embeddings/oleObject37.bin"/><Relationship Id="rId121" Type="http://schemas.openxmlformats.org/officeDocument/2006/relationships/oleObject" Target="embeddings/oleObject48.bin"/><Relationship Id="rId142" Type="http://schemas.openxmlformats.org/officeDocument/2006/relationships/image" Target="media/image79.wmf"/><Relationship Id="rId163" Type="http://schemas.openxmlformats.org/officeDocument/2006/relationships/oleObject" Target="embeddings/oleObject68.bin"/><Relationship Id="rId3" Type="http://schemas.openxmlformats.org/officeDocument/2006/relationships/settings" Target="settings.xml"/><Relationship Id="rId25" Type="http://schemas.openxmlformats.org/officeDocument/2006/relationships/image" Target="media/image11.wmf"/><Relationship Id="rId46" Type="http://schemas.openxmlformats.org/officeDocument/2006/relationships/image" Target="media/image25.wmf"/><Relationship Id="rId67" Type="http://schemas.openxmlformats.org/officeDocument/2006/relationships/image" Target="media/image39.wmf"/><Relationship Id="rId116" Type="http://schemas.openxmlformats.org/officeDocument/2006/relationships/oleObject" Target="embeddings/oleObject46.bin"/><Relationship Id="rId137" Type="http://schemas.openxmlformats.org/officeDocument/2006/relationships/oleObject" Target="embeddings/oleObject55.bin"/><Relationship Id="rId158" Type="http://schemas.openxmlformats.org/officeDocument/2006/relationships/image" Target="media/image87.wmf"/><Relationship Id="rId20" Type="http://schemas.openxmlformats.org/officeDocument/2006/relationships/image" Target="media/image8.wmf"/><Relationship Id="rId41" Type="http://schemas.openxmlformats.org/officeDocument/2006/relationships/oleObject" Target="embeddings/oleObject14.bin"/><Relationship Id="rId62" Type="http://schemas.openxmlformats.org/officeDocument/2006/relationships/oleObject" Target="embeddings/oleObject20.bin"/><Relationship Id="rId83" Type="http://schemas.openxmlformats.org/officeDocument/2006/relationships/oleObject" Target="embeddings/oleObject30.bin"/><Relationship Id="rId88" Type="http://schemas.openxmlformats.org/officeDocument/2006/relationships/image" Target="media/image50.wmf"/><Relationship Id="rId111" Type="http://schemas.openxmlformats.org/officeDocument/2006/relationships/image" Target="media/image62.wmf"/><Relationship Id="rId132" Type="http://schemas.openxmlformats.org/officeDocument/2006/relationships/oleObject" Target="embeddings/oleObject53.bin"/><Relationship Id="rId153" Type="http://schemas.openxmlformats.org/officeDocument/2006/relationships/oleObject" Target="embeddings/oleObject63.bin"/><Relationship Id="rId174" Type="http://schemas.openxmlformats.org/officeDocument/2006/relationships/header" Target="header3.xml"/><Relationship Id="rId179" Type="http://schemas.openxmlformats.org/officeDocument/2006/relationships/theme" Target="theme/theme1.xml"/><Relationship Id="rId15" Type="http://schemas.openxmlformats.org/officeDocument/2006/relationships/oleObject" Target="embeddings/oleObject4.bin"/><Relationship Id="rId36" Type="http://schemas.openxmlformats.org/officeDocument/2006/relationships/image" Target="media/image19.wmf"/><Relationship Id="rId57" Type="http://schemas.openxmlformats.org/officeDocument/2006/relationships/oleObject" Target="embeddings/oleObject17.bin"/><Relationship Id="rId106" Type="http://schemas.openxmlformats.org/officeDocument/2006/relationships/oleObject" Target="embeddings/oleObject41.bin"/><Relationship Id="rId127" Type="http://schemas.openxmlformats.org/officeDocument/2006/relationships/oleObject" Target="embeddings/oleObject51.bin"/></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BR_Rec_20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BR_Rec_2002.dot</Template>
  <TotalTime>9</TotalTime>
  <Pages>253</Pages>
  <Words>77170</Words>
  <Characters>401288</Characters>
  <Application>Microsoft Office Word</Application>
  <DocSecurity>0</DocSecurity>
  <Lines>12160</Lines>
  <Paragraphs>8699</Paragraphs>
  <ScaleCrop>false</ScaleCrop>
  <HeadingPairs>
    <vt:vector size="2" baseType="variant">
      <vt:variant>
        <vt:lpstr>Title</vt:lpstr>
      </vt:variant>
      <vt:variant>
        <vt:i4>1</vt:i4>
      </vt:variant>
    </vt:vector>
  </HeadingPairs>
  <TitlesOfParts>
    <vt:vector size="1" baseType="lpstr">
      <vt:lpstr>RECOMMENDATION  ITU-R  SM.1633 - Compatibility analysis between a passive service and an active service allocated in adjacent and nearby bands</vt:lpstr>
    </vt:vector>
  </TitlesOfParts>
  <Manager>CP--3344/DD</Manager>
  <Company>ITU / Folios: 1 - 252</Company>
  <LinksUpToDate>false</LinksUpToDate>
  <CharactersWithSpaces>469759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SM.1633 - Compatibility analysis between a passive service and an active service allocated in adjacent and nearby bands</dc:title>
  <dc:subject>SM Series = Spectrum management</dc:subject>
  <dc:creator>ITU Radiocommunication Bureau (BR)</dc:creator>
  <cp:keywords>SM,1633</cp:keywords>
  <dc:description>Saisie:  01.09.2003/DD (dict. ok)_x000d_
MEP:    16.09.2003/DD_x000d_
Corr. BAT: 30.10.03/FN_x000d_
Originaux: 14.11.03/fn_x000d_
Pdf: 18.11.03/fn</dc:description>
  <cp:lastModifiedBy>Gachet, Christelle</cp:lastModifiedBy>
  <cp:revision>9</cp:revision>
  <cp:lastPrinted>2019-09-13T13:10:00Z</cp:lastPrinted>
  <dcterms:created xsi:type="dcterms:W3CDTF">2018-10-14T08:01:00Z</dcterms:created>
  <dcterms:modified xsi:type="dcterms:W3CDTF">2019-09-13T13:12:00Z</dcterms:modified>
  <cp:category>Template:  BR_Rec_2002.dot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ies>
</file>