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32E57" w14:textId="77777777" w:rsidR="0059689A" w:rsidRPr="0059689A" w:rsidRDefault="0059689A" w:rsidP="0059689A">
      <w:pPr>
        <w:pStyle w:val="RecNo"/>
        <w:spacing w:before="0"/>
        <w:rPr>
          <w:lang w:val="en-US"/>
        </w:rPr>
      </w:pPr>
      <w:r w:rsidRPr="0059689A">
        <w:rPr>
          <w:lang w:val="en-US"/>
        </w:rPr>
        <w:t xml:space="preserve">RECOMMENDATION </w:t>
      </w:r>
      <w:r>
        <w:rPr>
          <w:lang w:val="en-US"/>
        </w:rPr>
        <w:t xml:space="preserve"> </w:t>
      </w:r>
      <w:r w:rsidRPr="0059689A">
        <w:rPr>
          <w:rStyle w:val="href"/>
          <w:lang w:val="en-US"/>
        </w:rPr>
        <w:t xml:space="preserve">ITU-R </w:t>
      </w:r>
      <w:r>
        <w:rPr>
          <w:rStyle w:val="href"/>
          <w:lang w:val="en-US"/>
        </w:rPr>
        <w:t xml:space="preserve"> </w:t>
      </w:r>
      <w:r w:rsidRPr="0059689A">
        <w:rPr>
          <w:rStyle w:val="href"/>
          <w:lang w:val="en-US"/>
        </w:rPr>
        <w:t>SM.1599</w:t>
      </w:r>
      <w:r>
        <w:rPr>
          <w:rStyle w:val="href"/>
          <w:lang w:val="en-US"/>
        </w:rPr>
        <w:t>-1</w:t>
      </w:r>
      <w:r w:rsidR="00694FB2">
        <w:rPr>
          <w:rStyle w:val="FootnoteReference"/>
          <w:lang w:val="en-US"/>
        </w:rPr>
        <w:footnoteReference w:customMarkFollows="1" w:id="1"/>
        <w:t>*</w:t>
      </w:r>
    </w:p>
    <w:p w14:paraId="13132E58" w14:textId="77777777" w:rsidR="0059689A" w:rsidRPr="0059689A" w:rsidRDefault="0059689A" w:rsidP="0059689A">
      <w:pPr>
        <w:pStyle w:val="Rectitle"/>
        <w:rPr>
          <w:lang w:val="en-US"/>
        </w:rPr>
      </w:pPr>
      <w:bookmarkStart w:id="0" w:name="Pre_title"/>
      <w:r w:rsidRPr="0059689A">
        <w:rPr>
          <w:lang w:val="en-US"/>
        </w:rPr>
        <w:t>Determination of the geographical and frequency distribution of the</w:t>
      </w:r>
      <w:r w:rsidR="00807E1C">
        <w:rPr>
          <w:lang w:val="en-US"/>
        </w:rPr>
        <w:br/>
      </w:r>
      <w:r w:rsidRPr="0059689A">
        <w:rPr>
          <w:lang w:val="en-US"/>
        </w:rPr>
        <w:t>spectrum utilization factor for frequency planning purposes</w:t>
      </w:r>
      <w:bookmarkEnd w:id="0"/>
    </w:p>
    <w:p w14:paraId="13132E59" w14:textId="77777777" w:rsidR="007B4BDC" w:rsidRDefault="007B4BDC" w:rsidP="0059689A">
      <w:pPr>
        <w:pStyle w:val="Recdate"/>
        <w:rPr>
          <w:lang w:val="en-US"/>
        </w:rPr>
      </w:pPr>
      <w:bookmarkStart w:id="1" w:name="Revision_history"/>
    </w:p>
    <w:p w14:paraId="13132E5A" w14:textId="77777777" w:rsidR="00F44DB5" w:rsidRDefault="00F44DB5" w:rsidP="0059689A">
      <w:pPr>
        <w:pStyle w:val="Recdate"/>
        <w:rPr>
          <w:lang w:val="en-US"/>
        </w:rPr>
      </w:pPr>
    </w:p>
    <w:p w14:paraId="13132E5B" w14:textId="77777777" w:rsidR="0059689A" w:rsidRPr="0059689A" w:rsidRDefault="0059689A" w:rsidP="0059689A">
      <w:pPr>
        <w:pStyle w:val="Recdate"/>
        <w:rPr>
          <w:lang w:val="en-US"/>
        </w:rPr>
      </w:pPr>
      <w:r w:rsidRPr="0059689A">
        <w:rPr>
          <w:lang w:val="en-US"/>
        </w:rPr>
        <w:t>(2002</w:t>
      </w:r>
      <w:r w:rsidR="00B21E53">
        <w:rPr>
          <w:lang w:val="en-US"/>
        </w:rPr>
        <w:t>-2007</w:t>
      </w:r>
      <w:r w:rsidRPr="0059689A">
        <w:rPr>
          <w:lang w:val="en-US"/>
        </w:rPr>
        <w:t>)</w:t>
      </w:r>
      <w:bookmarkEnd w:id="1"/>
    </w:p>
    <w:p w14:paraId="13132E5C" w14:textId="77777777" w:rsidR="00F44DB5" w:rsidRPr="008A729D" w:rsidRDefault="00F44DB5" w:rsidP="00F44DB5">
      <w:pPr>
        <w:rPr>
          <w:lang w:val="en-GB"/>
        </w:rPr>
      </w:pPr>
    </w:p>
    <w:p w14:paraId="13132E5D" w14:textId="77777777" w:rsidR="0059689A" w:rsidRPr="00212A87" w:rsidRDefault="0059689A" w:rsidP="007B4BDC">
      <w:pPr>
        <w:pStyle w:val="HeadingSum"/>
        <w:rPr>
          <w:lang w:val="en-GB"/>
        </w:rPr>
      </w:pPr>
      <w:r w:rsidRPr="00212A87">
        <w:rPr>
          <w:lang w:val="en-GB"/>
        </w:rPr>
        <w:t>Scope</w:t>
      </w:r>
    </w:p>
    <w:p w14:paraId="13132E5E" w14:textId="77777777" w:rsidR="0059689A" w:rsidRPr="00212A87" w:rsidRDefault="0059689A" w:rsidP="007B4BDC">
      <w:pPr>
        <w:pStyle w:val="Summary"/>
        <w:rPr>
          <w:lang w:val="en-GB"/>
        </w:rPr>
      </w:pPr>
      <w:r w:rsidRPr="00212A87">
        <w:rPr>
          <w:lang w:val="en-GB"/>
        </w:rPr>
        <w:t>This Recommendation serves as a guideline for determining the geographical and frequency distribution of the spectrum utilization factor for frequency planning purposes.</w:t>
      </w:r>
    </w:p>
    <w:p w14:paraId="13132E5F" w14:textId="77777777" w:rsidR="008A729D" w:rsidRPr="008A729D" w:rsidRDefault="008A729D" w:rsidP="008A729D">
      <w:pPr>
        <w:rPr>
          <w:b/>
          <w:lang w:val="en-GB"/>
        </w:rPr>
      </w:pPr>
      <w:r w:rsidRPr="008A729D">
        <w:rPr>
          <w:b/>
          <w:lang w:val="en-GB"/>
        </w:rPr>
        <w:t>Keywords</w:t>
      </w:r>
    </w:p>
    <w:p w14:paraId="13132E60" w14:textId="77777777" w:rsidR="008A729D" w:rsidRPr="008A729D" w:rsidRDefault="008A729D" w:rsidP="008A729D">
      <w:pPr>
        <w:rPr>
          <w:lang w:val="en-GB"/>
        </w:rPr>
      </w:pPr>
      <w:r w:rsidRPr="008A729D">
        <w:rPr>
          <w:lang w:val="en-GB"/>
        </w:rPr>
        <w:t>Frequency distribution, geographical distribution, spectrum utilization, frequency planning</w:t>
      </w:r>
    </w:p>
    <w:p w14:paraId="13132E61" w14:textId="77777777" w:rsidR="0059689A" w:rsidRPr="0059689A" w:rsidRDefault="0059689A" w:rsidP="0059689A">
      <w:pPr>
        <w:pStyle w:val="Normalaftertitle"/>
        <w:rPr>
          <w:lang w:val="en-US"/>
        </w:rPr>
      </w:pPr>
      <w:r w:rsidRPr="0059689A">
        <w:rPr>
          <w:lang w:val="en-US"/>
        </w:rPr>
        <w:t>The ITU Radiocommunication Assembly,</w:t>
      </w:r>
    </w:p>
    <w:p w14:paraId="13132E62" w14:textId="77777777" w:rsidR="0059689A" w:rsidRPr="0059689A" w:rsidRDefault="0059689A" w:rsidP="0059689A">
      <w:pPr>
        <w:pStyle w:val="Call"/>
        <w:rPr>
          <w:lang w:val="en-US"/>
        </w:rPr>
      </w:pPr>
      <w:r w:rsidRPr="0059689A">
        <w:rPr>
          <w:lang w:val="en-US"/>
        </w:rPr>
        <w:t>considering</w:t>
      </w:r>
    </w:p>
    <w:p w14:paraId="13132E63" w14:textId="77777777" w:rsidR="0059689A" w:rsidRPr="0059689A" w:rsidRDefault="0059689A" w:rsidP="0059689A">
      <w:pPr>
        <w:rPr>
          <w:lang w:val="en-US"/>
        </w:rPr>
      </w:pPr>
      <w:r w:rsidRPr="00212A87">
        <w:rPr>
          <w:i/>
          <w:iCs/>
          <w:lang w:val="en-US"/>
        </w:rPr>
        <w:t>a)</w:t>
      </w:r>
      <w:r w:rsidRPr="0059689A">
        <w:rPr>
          <w:lang w:val="en-US"/>
        </w:rPr>
        <w:tab/>
        <w:t>that the availability of unoccupied radio</w:t>
      </w:r>
      <w:r w:rsidRPr="0059689A">
        <w:rPr>
          <w:lang w:val="en-US"/>
        </w:rPr>
        <w:noBreakHyphen/>
        <w:t>frequency spectrum is a condition for meeting the demand for spectrum;</w:t>
      </w:r>
    </w:p>
    <w:p w14:paraId="13132E64" w14:textId="77777777" w:rsidR="0059689A" w:rsidRPr="0059689A" w:rsidRDefault="0059689A" w:rsidP="0059689A">
      <w:pPr>
        <w:rPr>
          <w:lang w:val="en-US"/>
        </w:rPr>
      </w:pPr>
      <w:r w:rsidRPr="00212A87">
        <w:rPr>
          <w:i/>
          <w:iCs/>
          <w:lang w:val="en-US"/>
        </w:rPr>
        <w:t>b)</w:t>
      </w:r>
      <w:r w:rsidRPr="0059689A">
        <w:rPr>
          <w:lang w:val="en-US"/>
        </w:rPr>
        <w:tab/>
        <w:t xml:space="preserve">that in frequency planning, </w:t>
      </w:r>
      <w:proofErr w:type="gramStart"/>
      <w:r w:rsidRPr="0059689A">
        <w:rPr>
          <w:lang w:val="en-US"/>
        </w:rPr>
        <w:t>i.e.</w:t>
      </w:r>
      <w:proofErr w:type="gramEnd"/>
      <w:r w:rsidRPr="0059689A">
        <w:rPr>
          <w:lang w:val="en-US"/>
        </w:rPr>
        <w:t xml:space="preserve"> the assignment of frequencies to new radio stations, limited use is in practice made of quantitative methods of finding the best assignments that will lead to the most economical use of the spectrum;</w:t>
      </w:r>
    </w:p>
    <w:p w14:paraId="13132E65" w14:textId="77777777" w:rsidR="0059689A" w:rsidRPr="0059689A" w:rsidRDefault="0059689A" w:rsidP="0059689A">
      <w:pPr>
        <w:rPr>
          <w:lang w:val="en-US"/>
        </w:rPr>
      </w:pPr>
      <w:r w:rsidRPr="00212A87">
        <w:rPr>
          <w:i/>
          <w:iCs/>
          <w:lang w:val="en-US"/>
        </w:rPr>
        <w:t>c)</w:t>
      </w:r>
      <w:r w:rsidRPr="0059689A">
        <w:rPr>
          <w:lang w:val="en-US"/>
        </w:rPr>
        <w:tab/>
        <w:t>that in the process of redistributing frequency bands in the interests of other radio services, the approach is, as a rule, to use heuristic methods, together with individual empirical data indicating the probability of harmful interference between radio stations;</w:t>
      </w:r>
    </w:p>
    <w:p w14:paraId="13132E66" w14:textId="77777777" w:rsidR="0059689A" w:rsidRPr="0059689A" w:rsidRDefault="0059689A" w:rsidP="0059689A">
      <w:pPr>
        <w:rPr>
          <w:lang w:val="en-US"/>
        </w:rPr>
      </w:pPr>
      <w:r w:rsidRPr="00212A87">
        <w:rPr>
          <w:i/>
          <w:iCs/>
          <w:lang w:val="en-US"/>
        </w:rPr>
        <w:t>d)</w:t>
      </w:r>
      <w:r w:rsidRPr="0059689A">
        <w:rPr>
          <w:lang w:val="en-US"/>
        </w:rPr>
        <w:tab/>
        <w:t xml:space="preserve">that for the purposes of frequency planning it is useful to know the potential capacity of the frequency resources available by geographical location at the notified site of the radio station and that to this end it is necessary to have sufficiently accurate methods of determining the geographical and frequency distribution of the spectrum utilization factor as defined for general purposes in Annex 1 to Recommendation ITU-R SM.1046, </w:t>
      </w:r>
    </w:p>
    <w:p w14:paraId="13132E67" w14:textId="77777777" w:rsidR="00F44DB5" w:rsidRDefault="00F44DB5" w:rsidP="00F44DB5">
      <w:pPr>
        <w:pStyle w:val="Blanc"/>
      </w:pPr>
    </w:p>
    <w:p w14:paraId="13132E68" w14:textId="77777777" w:rsidR="0059689A" w:rsidRPr="0059689A" w:rsidRDefault="0059689A" w:rsidP="0059689A">
      <w:pPr>
        <w:pStyle w:val="Call"/>
        <w:rPr>
          <w:lang w:val="en-US"/>
        </w:rPr>
      </w:pPr>
      <w:r w:rsidRPr="0059689A">
        <w:rPr>
          <w:lang w:val="en-US"/>
        </w:rPr>
        <w:t>recommends</w:t>
      </w:r>
    </w:p>
    <w:p w14:paraId="13132E69" w14:textId="77777777" w:rsidR="0059689A" w:rsidRPr="0059689A" w:rsidRDefault="0059689A" w:rsidP="0059689A">
      <w:pPr>
        <w:rPr>
          <w:lang w:val="en-US"/>
        </w:rPr>
      </w:pPr>
      <w:r w:rsidRPr="0059689A">
        <w:rPr>
          <w:b/>
          <w:lang w:val="en-US"/>
        </w:rPr>
        <w:t>1</w:t>
      </w:r>
      <w:r w:rsidRPr="0059689A">
        <w:rPr>
          <w:lang w:val="en-US"/>
        </w:rPr>
        <w:tab/>
        <w:t>that administrations should, in the planning process, use data on the geographical and frequency distribution of the spectrum utilization factor;</w:t>
      </w:r>
    </w:p>
    <w:p w14:paraId="13132E6A" w14:textId="77777777" w:rsidR="0059689A" w:rsidRPr="0059689A" w:rsidRDefault="0059689A" w:rsidP="0059689A">
      <w:pPr>
        <w:rPr>
          <w:lang w:val="en-US"/>
        </w:rPr>
      </w:pPr>
      <w:r w:rsidRPr="0059689A">
        <w:rPr>
          <w:b/>
          <w:lang w:val="en-US"/>
        </w:rPr>
        <w:t>2</w:t>
      </w:r>
      <w:r w:rsidRPr="0059689A">
        <w:rPr>
          <w:lang w:val="en-US"/>
        </w:rPr>
        <w:tab/>
        <w:t>that the methods used to determine the geographical and frequency distribution of the spectrum utilization factor should be those given in Annex 1.</w:t>
      </w:r>
    </w:p>
    <w:p w14:paraId="13132E6B" w14:textId="6C35AE5D" w:rsidR="0059689A" w:rsidRDefault="0059689A" w:rsidP="007B4BDC">
      <w:pPr>
        <w:pStyle w:val="AnnexNoTitle"/>
        <w:rPr>
          <w:lang w:val="en-US"/>
        </w:rPr>
      </w:pPr>
      <w:bookmarkStart w:id="2" w:name="_Toc138252657"/>
      <w:r w:rsidRPr="0059689A">
        <w:rPr>
          <w:lang w:val="en-US"/>
        </w:rPr>
        <w:lastRenderedPageBreak/>
        <w:t>Annex 1</w:t>
      </w:r>
      <w:r w:rsidRPr="0059689A">
        <w:rPr>
          <w:lang w:val="en-US"/>
        </w:rPr>
        <w:br/>
      </w:r>
      <w:r w:rsidRPr="0059689A">
        <w:rPr>
          <w:lang w:val="en-US"/>
        </w:rPr>
        <w:br/>
        <w:t>Methods of determining the geographical and frequency distribution</w:t>
      </w:r>
      <w:r w:rsidRPr="0059689A">
        <w:rPr>
          <w:lang w:val="en-US"/>
        </w:rPr>
        <w:br/>
        <w:t>of the spectrum utilization factor</w:t>
      </w:r>
      <w:bookmarkEnd w:id="2"/>
    </w:p>
    <w:p w14:paraId="62433AD8" w14:textId="77777777" w:rsidR="001064E7" w:rsidRPr="00993ECE" w:rsidRDefault="001064E7" w:rsidP="001064E7">
      <w:pPr>
        <w:jc w:val="center"/>
        <w:rPr>
          <w:lang w:val="en-US"/>
        </w:rPr>
      </w:pPr>
      <w:r>
        <w:rPr>
          <w:lang w:val="en-US"/>
        </w:rPr>
        <w:t>TABLE OF CONTENTS</w:t>
      </w:r>
    </w:p>
    <w:p w14:paraId="48356954" w14:textId="77777777" w:rsidR="001064E7" w:rsidRPr="00020383" w:rsidRDefault="001064E7" w:rsidP="001064E7">
      <w:pPr>
        <w:pStyle w:val="Normalaftertitle"/>
        <w:jc w:val="right"/>
        <w:rPr>
          <w:i/>
          <w:iCs/>
          <w:lang w:val="en-US"/>
        </w:rPr>
      </w:pPr>
      <w:r w:rsidRPr="00020383">
        <w:rPr>
          <w:i/>
          <w:iCs/>
          <w:lang w:val="en-US"/>
        </w:rPr>
        <w:t>Page</w:t>
      </w:r>
    </w:p>
    <w:p w14:paraId="1F080917" w14:textId="2E9F14FC" w:rsidR="001064E7" w:rsidRDefault="001064E7">
      <w:pPr>
        <w:pStyle w:val="TOC1"/>
        <w:rPr>
          <w:rFonts w:asciiTheme="minorHAnsi" w:eastAsiaTheme="minorEastAsia" w:hAnsiTheme="minorHAnsi" w:cstheme="minorBidi"/>
          <w:noProof/>
          <w:sz w:val="22"/>
          <w:szCs w:val="22"/>
          <w:lang w:val="en-GB" w:eastAsia="en-GB"/>
        </w:rPr>
      </w:pPr>
      <w:r>
        <w:fldChar w:fldCharType="begin"/>
      </w:r>
      <w:r>
        <w:instrText xml:space="preserve"> TOC \o "1-2" \h \z \u </w:instrText>
      </w:r>
      <w:r>
        <w:fldChar w:fldCharType="separate"/>
      </w:r>
      <w:hyperlink w:anchor="_Toc138252657" w:history="1">
        <w:r w:rsidRPr="006D2A8E">
          <w:rPr>
            <w:rStyle w:val="Hyperlink"/>
            <w:noProof/>
          </w:rPr>
          <w:t xml:space="preserve">Annex 1 </w:t>
        </w:r>
        <w:r>
          <w:rPr>
            <w:rStyle w:val="Hyperlink"/>
            <w:noProof/>
          </w:rPr>
          <w:t>–</w:t>
        </w:r>
        <w:r w:rsidRPr="006D2A8E">
          <w:rPr>
            <w:rStyle w:val="Hyperlink"/>
            <w:noProof/>
          </w:rPr>
          <w:t xml:space="preserve"> Methods of determining the geographical and frequency distribution of the spectrum utilization factor</w:t>
        </w:r>
        <w:r>
          <w:rPr>
            <w:noProof/>
            <w:webHidden/>
          </w:rPr>
          <w:tab/>
        </w:r>
        <w:r>
          <w:rPr>
            <w:noProof/>
            <w:webHidden/>
          </w:rPr>
          <w:tab/>
        </w:r>
        <w:r>
          <w:rPr>
            <w:noProof/>
            <w:webHidden/>
          </w:rPr>
          <w:fldChar w:fldCharType="begin"/>
        </w:r>
        <w:r>
          <w:rPr>
            <w:noProof/>
            <w:webHidden/>
          </w:rPr>
          <w:instrText xml:space="preserve"> PAGEREF _Toc138252657 \h </w:instrText>
        </w:r>
        <w:r>
          <w:rPr>
            <w:noProof/>
            <w:webHidden/>
          </w:rPr>
        </w:r>
        <w:r>
          <w:rPr>
            <w:noProof/>
            <w:webHidden/>
          </w:rPr>
          <w:fldChar w:fldCharType="separate"/>
        </w:r>
        <w:r w:rsidR="00A660A8">
          <w:rPr>
            <w:noProof/>
            <w:webHidden/>
          </w:rPr>
          <w:t>2</w:t>
        </w:r>
        <w:r>
          <w:rPr>
            <w:noProof/>
            <w:webHidden/>
          </w:rPr>
          <w:fldChar w:fldCharType="end"/>
        </w:r>
      </w:hyperlink>
    </w:p>
    <w:p w14:paraId="12517639" w14:textId="15F22AF9" w:rsidR="001064E7" w:rsidRDefault="00A660A8">
      <w:pPr>
        <w:pStyle w:val="TOC1"/>
        <w:rPr>
          <w:rFonts w:asciiTheme="minorHAnsi" w:eastAsiaTheme="minorEastAsia" w:hAnsiTheme="minorHAnsi" w:cstheme="minorBidi"/>
          <w:noProof/>
          <w:sz w:val="22"/>
          <w:szCs w:val="22"/>
          <w:lang w:val="en-GB" w:eastAsia="en-GB"/>
        </w:rPr>
      </w:pPr>
      <w:hyperlink w:anchor="_Toc138252658" w:history="1">
        <w:r w:rsidR="001064E7" w:rsidRPr="006D2A8E">
          <w:rPr>
            <w:rStyle w:val="Hyperlink"/>
            <w:noProof/>
          </w:rPr>
          <w:t>1</w:t>
        </w:r>
        <w:r w:rsidR="001064E7">
          <w:rPr>
            <w:rFonts w:asciiTheme="minorHAnsi" w:eastAsiaTheme="minorEastAsia" w:hAnsiTheme="minorHAnsi" w:cstheme="minorBidi"/>
            <w:noProof/>
            <w:sz w:val="22"/>
            <w:szCs w:val="22"/>
            <w:lang w:val="en-GB" w:eastAsia="en-GB"/>
          </w:rPr>
          <w:tab/>
        </w:r>
        <w:r w:rsidR="001064E7" w:rsidRPr="006D2A8E">
          <w:rPr>
            <w:rStyle w:val="Hyperlink"/>
            <w:noProof/>
          </w:rPr>
          <w:t>General description of methods</w:t>
        </w:r>
        <w:r w:rsidR="001064E7">
          <w:rPr>
            <w:noProof/>
            <w:webHidden/>
          </w:rPr>
          <w:tab/>
        </w:r>
        <w:r w:rsidR="001064E7">
          <w:rPr>
            <w:noProof/>
            <w:webHidden/>
          </w:rPr>
          <w:tab/>
        </w:r>
        <w:r w:rsidR="001064E7">
          <w:rPr>
            <w:noProof/>
            <w:webHidden/>
          </w:rPr>
          <w:fldChar w:fldCharType="begin"/>
        </w:r>
        <w:r w:rsidR="001064E7">
          <w:rPr>
            <w:noProof/>
            <w:webHidden/>
          </w:rPr>
          <w:instrText xml:space="preserve"> PAGEREF _Toc138252658 \h </w:instrText>
        </w:r>
        <w:r w:rsidR="001064E7">
          <w:rPr>
            <w:noProof/>
            <w:webHidden/>
          </w:rPr>
        </w:r>
        <w:r w:rsidR="001064E7">
          <w:rPr>
            <w:noProof/>
            <w:webHidden/>
          </w:rPr>
          <w:fldChar w:fldCharType="separate"/>
        </w:r>
        <w:r>
          <w:rPr>
            <w:noProof/>
            <w:webHidden/>
          </w:rPr>
          <w:t>2</w:t>
        </w:r>
        <w:r w:rsidR="001064E7">
          <w:rPr>
            <w:noProof/>
            <w:webHidden/>
          </w:rPr>
          <w:fldChar w:fldCharType="end"/>
        </w:r>
      </w:hyperlink>
    </w:p>
    <w:p w14:paraId="5A312B64" w14:textId="3CE85F3E" w:rsidR="001064E7" w:rsidRDefault="00A660A8">
      <w:pPr>
        <w:pStyle w:val="TOC1"/>
        <w:rPr>
          <w:rFonts w:asciiTheme="minorHAnsi" w:eastAsiaTheme="minorEastAsia" w:hAnsiTheme="minorHAnsi" w:cstheme="minorBidi"/>
          <w:noProof/>
          <w:sz w:val="22"/>
          <w:szCs w:val="22"/>
          <w:lang w:val="en-GB" w:eastAsia="en-GB"/>
        </w:rPr>
      </w:pPr>
      <w:hyperlink w:anchor="_Toc138252659" w:history="1">
        <w:r w:rsidR="001064E7" w:rsidRPr="006D2A8E">
          <w:rPr>
            <w:rStyle w:val="Hyperlink"/>
            <w:noProof/>
          </w:rPr>
          <w:t>2</w:t>
        </w:r>
        <w:r w:rsidR="001064E7">
          <w:rPr>
            <w:rFonts w:asciiTheme="minorHAnsi" w:eastAsiaTheme="minorEastAsia" w:hAnsiTheme="minorHAnsi" w:cstheme="minorBidi"/>
            <w:noProof/>
            <w:sz w:val="22"/>
            <w:szCs w:val="22"/>
            <w:lang w:val="en-GB" w:eastAsia="en-GB"/>
          </w:rPr>
          <w:tab/>
        </w:r>
        <w:r w:rsidR="001064E7" w:rsidRPr="006D2A8E">
          <w:rPr>
            <w:rStyle w:val="Hyperlink"/>
            <w:noProof/>
          </w:rPr>
          <w:t>A simplified method for detailed evaluation of the degree of spectrum congestion</w:t>
        </w:r>
        <w:r w:rsidR="001064E7">
          <w:rPr>
            <w:noProof/>
            <w:webHidden/>
          </w:rPr>
          <w:tab/>
        </w:r>
        <w:r w:rsidR="001064E7">
          <w:rPr>
            <w:noProof/>
            <w:webHidden/>
          </w:rPr>
          <w:tab/>
        </w:r>
        <w:r w:rsidR="001064E7">
          <w:rPr>
            <w:noProof/>
            <w:webHidden/>
          </w:rPr>
          <w:fldChar w:fldCharType="begin"/>
        </w:r>
        <w:r w:rsidR="001064E7">
          <w:rPr>
            <w:noProof/>
            <w:webHidden/>
          </w:rPr>
          <w:instrText xml:space="preserve"> PAGEREF _Toc138252659 \h </w:instrText>
        </w:r>
        <w:r w:rsidR="001064E7">
          <w:rPr>
            <w:noProof/>
            <w:webHidden/>
          </w:rPr>
        </w:r>
        <w:r w:rsidR="001064E7">
          <w:rPr>
            <w:noProof/>
            <w:webHidden/>
          </w:rPr>
          <w:fldChar w:fldCharType="separate"/>
        </w:r>
        <w:r>
          <w:rPr>
            <w:noProof/>
            <w:webHidden/>
          </w:rPr>
          <w:t>3</w:t>
        </w:r>
        <w:r w:rsidR="001064E7">
          <w:rPr>
            <w:noProof/>
            <w:webHidden/>
          </w:rPr>
          <w:fldChar w:fldCharType="end"/>
        </w:r>
      </w:hyperlink>
    </w:p>
    <w:p w14:paraId="2B5A8E7F" w14:textId="229F9A70" w:rsidR="001064E7" w:rsidRDefault="00A660A8">
      <w:pPr>
        <w:pStyle w:val="TOC2"/>
        <w:rPr>
          <w:rFonts w:asciiTheme="minorHAnsi" w:eastAsiaTheme="minorEastAsia" w:hAnsiTheme="minorHAnsi" w:cstheme="minorBidi"/>
          <w:noProof/>
          <w:sz w:val="22"/>
          <w:szCs w:val="22"/>
          <w:lang w:val="en-GB" w:eastAsia="en-GB"/>
        </w:rPr>
      </w:pPr>
      <w:hyperlink w:anchor="_Toc138252660" w:history="1">
        <w:r w:rsidR="001064E7" w:rsidRPr="006D2A8E">
          <w:rPr>
            <w:rStyle w:val="Hyperlink"/>
            <w:noProof/>
          </w:rPr>
          <w:t>2.1</w:t>
        </w:r>
        <w:r w:rsidR="001064E7">
          <w:rPr>
            <w:rFonts w:asciiTheme="minorHAnsi" w:eastAsiaTheme="minorEastAsia" w:hAnsiTheme="minorHAnsi" w:cstheme="minorBidi"/>
            <w:noProof/>
            <w:sz w:val="22"/>
            <w:szCs w:val="22"/>
            <w:lang w:val="en-GB" w:eastAsia="en-GB"/>
          </w:rPr>
          <w:tab/>
        </w:r>
        <w:r w:rsidR="001064E7" w:rsidRPr="006D2A8E">
          <w:rPr>
            <w:rStyle w:val="Hyperlink"/>
            <w:noProof/>
          </w:rPr>
          <w:t>Description of the method</w:t>
        </w:r>
        <w:r w:rsidR="001064E7">
          <w:rPr>
            <w:noProof/>
            <w:webHidden/>
          </w:rPr>
          <w:tab/>
        </w:r>
        <w:r w:rsidR="001064E7">
          <w:rPr>
            <w:noProof/>
            <w:webHidden/>
          </w:rPr>
          <w:tab/>
        </w:r>
        <w:r w:rsidR="001064E7">
          <w:rPr>
            <w:noProof/>
            <w:webHidden/>
          </w:rPr>
          <w:fldChar w:fldCharType="begin"/>
        </w:r>
        <w:r w:rsidR="001064E7">
          <w:rPr>
            <w:noProof/>
            <w:webHidden/>
          </w:rPr>
          <w:instrText xml:space="preserve"> PAGEREF _Toc138252660 \h </w:instrText>
        </w:r>
        <w:r w:rsidR="001064E7">
          <w:rPr>
            <w:noProof/>
            <w:webHidden/>
          </w:rPr>
        </w:r>
        <w:r w:rsidR="001064E7">
          <w:rPr>
            <w:noProof/>
            <w:webHidden/>
          </w:rPr>
          <w:fldChar w:fldCharType="separate"/>
        </w:r>
        <w:r>
          <w:rPr>
            <w:noProof/>
            <w:webHidden/>
          </w:rPr>
          <w:t>3</w:t>
        </w:r>
        <w:r w:rsidR="001064E7">
          <w:rPr>
            <w:noProof/>
            <w:webHidden/>
          </w:rPr>
          <w:fldChar w:fldCharType="end"/>
        </w:r>
      </w:hyperlink>
    </w:p>
    <w:p w14:paraId="4C195895" w14:textId="05866F8D" w:rsidR="001064E7" w:rsidRDefault="00A660A8">
      <w:pPr>
        <w:pStyle w:val="TOC2"/>
        <w:rPr>
          <w:rFonts w:asciiTheme="minorHAnsi" w:eastAsiaTheme="minorEastAsia" w:hAnsiTheme="minorHAnsi" w:cstheme="minorBidi"/>
          <w:noProof/>
          <w:sz w:val="22"/>
          <w:szCs w:val="22"/>
          <w:lang w:val="en-GB" w:eastAsia="en-GB"/>
        </w:rPr>
      </w:pPr>
      <w:hyperlink w:anchor="_Toc138252661" w:history="1">
        <w:r w:rsidR="001064E7" w:rsidRPr="006D2A8E">
          <w:rPr>
            <w:rStyle w:val="Hyperlink"/>
            <w:noProof/>
          </w:rPr>
          <w:t>2.2</w:t>
        </w:r>
        <w:r w:rsidR="001064E7">
          <w:rPr>
            <w:rFonts w:asciiTheme="minorHAnsi" w:eastAsiaTheme="minorEastAsia" w:hAnsiTheme="minorHAnsi" w:cstheme="minorBidi"/>
            <w:noProof/>
            <w:sz w:val="22"/>
            <w:szCs w:val="22"/>
            <w:lang w:val="en-GB" w:eastAsia="en-GB"/>
          </w:rPr>
          <w:tab/>
        </w:r>
        <w:r w:rsidR="001064E7" w:rsidRPr="006D2A8E">
          <w:rPr>
            <w:rStyle w:val="Hyperlink"/>
            <w:noProof/>
          </w:rPr>
          <w:t>Example of use of the method</w:t>
        </w:r>
        <w:r w:rsidR="001064E7">
          <w:rPr>
            <w:noProof/>
            <w:webHidden/>
          </w:rPr>
          <w:tab/>
        </w:r>
        <w:r w:rsidR="001064E7">
          <w:rPr>
            <w:noProof/>
            <w:webHidden/>
          </w:rPr>
          <w:tab/>
        </w:r>
        <w:r w:rsidR="001064E7">
          <w:rPr>
            <w:noProof/>
            <w:webHidden/>
          </w:rPr>
          <w:fldChar w:fldCharType="begin"/>
        </w:r>
        <w:r w:rsidR="001064E7">
          <w:rPr>
            <w:noProof/>
            <w:webHidden/>
          </w:rPr>
          <w:instrText xml:space="preserve"> PAGEREF _Toc138252661 \h </w:instrText>
        </w:r>
        <w:r w:rsidR="001064E7">
          <w:rPr>
            <w:noProof/>
            <w:webHidden/>
          </w:rPr>
        </w:r>
        <w:r w:rsidR="001064E7">
          <w:rPr>
            <w:noProof/>
            <w:webHidden/>
          </w:rPr>
          <w:fldChar w:fldCharType="separate"/>
        </w:r>
        <w:r>
          <w:rPr>
            <w:noProof/>
            <w:webHidden/>
          </w:rPr>
          <w:t>5</w:t>
        </w:r>
        <w:r w:rsidR="001064E7">
          <w:rPr>
            <w:noProof/>
            <w:webHidden/>
          </w:rPr>
          <w:fldChar w:fldCharType="end"/>
        </w:r>
      </w:hyperlink>
    </w:p>
    <w:p w14:paraId="036819AF" w14:textId="6F961ACC" w:rsidR="001064E7" w:rsidRDefault="00A660A8">
      <w:pPr>
        <w:pStyle w:val="TOC1"/>
        <w:rPr>
          <w:rFonts w:asciiTheme="minorHAnsi" w:eastAsiaTheme="minorEastAsia" w:hAnsiTheme="minorHAnsi" w:cstheme="minorBidi"/>
          <w:noProof/>
          <w:sz w:val="22"/>
          <w:szCs w:val="22"/>
          <w:lang w:val="en-GB" w:eastAsia="en-GB"/>
        </w:rPr>
      </w:pPr>
      <w:hyperlink w:anchor="_Toc138252662" w:history="1">
        <w:r w:rsidR="001064E7" w:rsidRPr="006D2A8E">
          <w:rPr>
            <w:rStyle w:val="Hyperlink"/>
            <w:noProof/>
          </w:rPr>
          <w:t>Attachment 1 to Annex 1</w:t>
        </w:r>
        <w:r w:rsidR="001064E7">
          <w:rPr>
            <w:noProof/>
            <w:webHidden/>
          </w:rPr>
          <w:tab/>
        </w:r>
        <w:r w:rsidR="001064E7">
          <w:rPr>
            <w:noProof/>
            <w:webHidden/>
          </w:rPr>
          <w:tab/>
        </w:r>
        <w:r w:rsidR="001064E7">
          <w:rPr>
            <w:noProof/>
            <w:webHidden/>
          </w:rPr>
          <w:fldChar w:fldCharType="begin"/>
        </w:r>
        <w:r w:rsidR="001064E7">
          <w:rPr>
            <w:noProof/>
            <w:webHidden/>
          </w:rPr>
          <w:instrText xml:space="preserve"> PAGEREF _Toc138252662 \h </w:instrText>
        </w:r>
        <w:r w:rsidR="001064E7">
          <w:rPr>
            <w:noProof/>
            <w:webHidden/>
          </w:rPr>
        </w:r>
        <w:r w:rsidR="001064E7">
          <w:rPr>
            <w:noProof/>
            <w:webHidden/>
          </w:rPr>
          <w:fldChar w:fldCharType="separate"/>
        </w:r>
        <w:r>
          <w:rPr>
            <w:noProof/>
            <w:webHidden/>
          </w:rPr>
          <w:t>5</w:t>
        </w:r>
        <w:r w:rsidR="001064E7">
          <w:rPr>
            <w:noProof/>
            <w:webHidden/>
          </w:rPr>
          <w:fldChar w:fldCharType="end"/>
        </w:r>
      </w:hyperlink>
    </w:p>
    <w:p w14:paraId="6B35B00B" w14:textId="4BAE01FA" w:rsidR="00212A87" w:rsidRPr="00212A87" w:rsidRDefault="001064E7" w:rsidP="00212A87">
      <w:pPr>
        <w:pStyle w:val="Normalaftertitle"/>
        <w:rPr>
          <w:lang w:val="en-US"/>
        </w:rPr>
      </w:pPr>
      <w:r>
        <w:rPr>
          <w:lang w:val="en-US"/>
        </w:rPr>
        <w:fldChar w:fldCharType="end"/>
      </w:r>
    </w:p>
    <w:p w14:paraId="13132E6C" w14:textId="77777777" w:rsidR="0059689A" w:rsidRPr="0059689A" w:rsidRDefault="0059689A" w:rsidP="0059689A">
      <w:pPr>
        <w:pStyle w:val="Heading1"/>
        <w:rPr>
          <w:lang w:val="en-US"/>
        </w:rPr>
      </w:pPr>
      <w:bookmarkStart w:id="3" w:name="_Toc138252658"/>
      <w:r w:rsidRPr="0059689A">
        <w:rPr>
          <w:lang w:val="en-US"/>
        </w:rPr>
        <w:t>1</w:t>
      </w:r>
      <w:r w:rsidRPr="0059689A">
        <w:rPr>
          <w:lang w:val="en-US"/>
        </w:rPr>
        <w:tab/>
        <w:t>General description of methods</w:t>
      </w:r>
      <w:bookmarkEnd w:id="3"/>
    </w:p>
    <w:p w14:paraId="13132E6D" w14:textId="77777777" w:rsidR="0059689A" w:rsidRPr="0059689A" w:rsidRDefault="0059689A" w:rsidP="0059689A">
      <w:pPr>
        <w:rPr>
          <w:lang w:val="en-US"/>
        </w:rPr>
      </w:pPr>
      <w:r w:rsidRPr="0059689A">
        <w:rPr>
          <w:lang w:val="en-US"/>
        </w:rPr>
        <w:t>There are a number of ways of obtaining detailed information on the degree of spectrum congestion which are based on calculating the power characteristics of the electromagnetic environment (EME) formed by radio station emissions.</w:t>
      </w:r>
    </w:p>
    <w:p w14:paraId="13132E6E" w14:textId="77777777" w:rsidR="0059689A" w:rsidRPr="0059689A" w:rsidRDefault="0059689A" w:rsidP="0059689A">
      <w:pPr>
        <w:rPr>
          <w:lang w:val="en-US"/>
        </w:rPr>
      </w:pPr>
      <w:r w:rsidRPr="0059689A">
        <w:rPr>
          <w:lang w:val="en-US"/>
        </w:rPr>
        <w:t>One of them calls for the construction of a so-called frequency panorama of spectrum congestion, showing the field strength or spectral power flux-density of emissions at a given geographical point as a function of frequency, and for determination of the frequency bands in which the level of the EME characteristics in question exceeds a certain threshold value. This method as a whole gives an idea of the situation with regard to spectrum utilization. However, the results obtained by this means are approximate. This is due to the following reasons. In the process of determining the EME characteristics, practically no account is taken of the time parameters of emissions. In particular, continuous signal modulation parameters and class of emission data are completely lost. Pulse signals are treated as continuous with constant mean power. The variety of signals emitted by existing radio stations makes it necessary to fix a floating value (different for different signals) for the permissible level of EME characteristics determining the boundaries between congested sectors of the spectrum, which becomes a rather laborious business when the EME is a complex one. Setting a single threshold is not really appropriate and leads to approximate results.</w:t>
      </w:r>
    </w:p>
    <w:p w14:paraId="13132E6F" w14:textId="77777777" w:rsidR="0059689A" w:rsidRPr="0059689A" w:rsidRDefault="0059689A" w:rsidP="0059689A">
      <w:pPr>
        <w:rPr>
          <w:lang w:val="en-US"/>
        </w:rPr>
      </w:pPr>
      <w:r w:rsidRPr="0059689A">
        <w:rPr>
          <w:lang w:val="en-US"/>
        </w:rPr>
        <w:t xml:space="preserve">Similar shortcomings affect another well-known method of evaluating spectrum use, which involves constructing two-dimensional representations of the isolines for equal strength of the combined electromagnetic field of sources of radio interference (EME maps). As a </w:t>
      </w:r>
      <w:proofErr w:type="gramStart"/>
      <w:r w:rsidRPr="0059689A">
        <w:rPr>
          <w:lang w:val="en-US"/>
        </w:rPr>
        <w:t>result</w:t>
      </w:r>
      <w:proofErr w:type="gramEnd"/>
      <w:r w:rsidRPr="0059689A">
        <w:rPr>
          <w:lang w:val="en-US"/>
        </w:rPr>
        <w:t xml:space="preserve"> no simple answer can be given to the question of whether the frequency under consideration is or is not congested for a particular radio station at a point with a given level of field strength. Accordingly, these methods find practical application mainly in situations where the signals emitted by different sources belong to one and the same class.</w:t>
      </w:r>
    </w:p>
    <w:p w14:paraId="13132E70" w14:textId="77777777" w:rsidR="0059689A" w:rsidRPr="0059689A" w:rsidRDefault="0059689A" w:rsidP="0059689A">
      <w:pPr>
        <w:rPr>
          <w:lang w:val="en-US"/>
        </w:rPr>
      </w:pPr>
      <w:r w:rsidRPr="0059689A">
        <w:rPr>
          <w:lang w:val="en-US"/>
        </w:rPr>
        <w:lastRenderedPageBreak/>
        <w:t>A more logical approach to the task of obtaining detailed data on the degree of spectrum utilization in different areas is based on the method of sampling the geographical and frequency resource in question with the aid of a reference radio station and checking whether conditions are met for ensuring the compatibility of this radio station with existing ones to which frequencies have been assigned previously.</w:t>
      </w:r>
    </w:p>
    <w:p w14:paraId="13132E71" w14:textId="77777777" w:rsidR="0059689A" w:rsidRPr="0059689A" w:rsidRDefault="0059689A" w:rsidP="0059689A">
      <w:pPr>
        <w:rPr>
          <w:lang w:val="en-US"/>
        </w:rPr>
      </w:pPr>
      <w:r w:rsidRPr="0059689A">
        <w:rPr>
          <w:lang w:val="en-US"/>
        </w:rPr>
        <w:t>The main disadvantages of this method, which limit its widespread use in practice, are as follows:</w:t>
      </w:r>
    </w:p>
    <w:p w14:paraId="13132E72" w14:textId="77777777" w:rsidR="0059689A" w:rsidRPr="0059689A" w:rsidRDefault="0059689A" w:rsidP="0059689A">
      <w:pPr>
        <w:pStyle w:val="enumlev1"/>
        <w:rPr>
          <w:lang w:val="en-US"/>
        </w:rPr>
      </w:pPr>
      <w:r w:rsidRPr="0059689A">
        <w:rPr>
          <w:lang w:val="en-US"/>
        </w:rPr>
        <w:t>–</w:t>
      </w:r>
      <w:r w:rsidRPr="0059689A">
        <w:rPr>
          <w:lang w:val="en-US"/>
        </w:rPr>
        <w:tab/>
        <w:t>the calculation takes a long time because of the need to directly determine the power conditions of the interaction between signals and interference in relation to all the given geographical and frequency sampling points;</w:t>
      </w:r>
    </w:p>
    <w:p w14:paraId="13132E73" w14:textId="77777777" w:rsidR="0059689A" w:rsidRPr="0059689A" w:rsidRDefault="0059689A" w:rsidP="0059689A">
      <w:pPr>
        <w:pStyle w:val="enumlev1"/>
        <w:rPr>
          <w:lang w:val="en-US"/>
        </w:rPr>
      </w:pPr>
      <w:r w:rsidRPr="0059689A">
        <w:rPr>
          <w:lang w:val="en-US"/>
        </w:rPr>
        <w:t>–</w:t>
      </w:r>
      <w:r w:rsidRPr="0059689A">
        <w:rPr>
          <w:lang w:val="en-US"/>
        </w:rPr>
        <w:tab/>
        <w:t>the radio-frequency bodies responsible for examining frequency notices need to have available a large volume of initial data, particularly on the technical characteristics of radio stations, which in many cases may be very difficult to get hold of.</w:t>
      </w:r>
    </w:p>
    <w:p w14:paraId="13132E74" w14:textId="77777777" w:rsidR="0059689A" w:rsidRPr="0059689A" w:rsidRDefault="0059689A" w:rsidP="0059689A">
      <w:pPr>
        <w:rPr>
          <w:lang w:val="en-US"/>
        </w:rPr>
      </w:pPr>
      <w:r w:rsidRPr="0059689A">
        <w:rPr>
          <w:lang w:val="en-US"/>
        </w:rPr>
        <w:t>A rather simpler and more convenient method of obtaining detailed data on the degree of spectrum utilization in different geographical areas, which is based on wide use of the frequency-distance rules set forth in general terms in Annex 2 to Recommendation ITU-R SM.337, is given below.</w:t>
      </w:r>
    </w:p>
    <w:p w14:paraId="13132E75" w14:textId="77777777" w:rsidR="0059689A" w:rsidRPr="0059689A" w:rsidRDefault="0059689A" w:rsidP="0059689A">
      <w:pPr>
        <w:rPr>
          <w:color w:val="000000"/>
          <w:lang w:val="en-US"/>
        </w:rPr>
      </w:pPr>
      <w:r w:rsidRPr="0059689A">
        <w:rPr>
          <w:color w:val="000000"/>
          <w:lang w:val="en-US"/>
        </w:rPr>
        <w:t>The main approach taken as a basis for this method is also applicable for the determination of the degree of spectrum-orbit congestion in application to satellite communication systems. In this case detailed data concerning orbital positions and technical parameters of satellites should be available.</w:t>
      </w:r>
    </w:p>
    <w:p w14:paraId="13132E76" w14:textId="77777777" w:rsidR="0059689A" w:rsidRPr="0059689A" w:rsidRDefault="0059689A" w:rsidP="0059689A">
      <w:pPr>
        <w:pStyle w:val="Heading1"/>
        <w:rPr>
          <w:lang w:val="en-US"/>
        </w:rPr>
      </w:pPr>
      <w:bookmarkStart w:id="4" w:name="_Toc138252659"/>
      <w:r w:rsidRPr="0059689A">
        <w:rPr>
          <w:lang w:val="en-US"/>
        </w:rPr>
        <w:t>2</w:t>
      </w:r>
      <w:r w:rsidRPr="0059689A">
        <w:rPr>
          <w:lang w:val="en-US"/>
        </w:rPr>
        <w:tab/>
        <w:t>A simplified method for detailed evaluation of the degree of spectrum congestion</w:t>
      </w:r>
      <w:bookmarkEnd w:id="4"/>
    </w:p>
    <w:p w14:paraId="13132E77" w14:textId="77777777" w:rsidR="0059689A" w:rsidRPr="0059689A" w:rsidRDefault="0059689A" w:rsidP="0059689A">
      <w:pPr>
        <w:pStyle w:val="Heading2"/>
        <w:rPr>
          <w:lang w:val="en-US"/>
        </w:rPr>
      </w:pPr>
      <w:bookmarkStart w:id="5" w:name="_Toc138252660"/>
      <w:r w:rsidRPr="0059689A">
        <w:rPr>
          <w:lang w:val="en-US"/>
        </w:rPr>
        <w:t>2.1</w:t>
      </w:r>
      <w:r w:rsidRPr="0059689A">
        <w:rPr>
          <w:lang w:val="en-US"/>
        </w:rPr>
        <w:tab/>
        <w:t>Description of the method</w:t>
      </w:r>
      <w:bookmarkEnd w:id="5"/>
    </w:p>
    <w:p w14:paraId="13132E78" w14:textId="77777777" w:rsidR="0059689A" w:rsidRPr="0059689A" w:rsidRDefault="0059689A" w:rsidP="0059689A">
      <w:pPr>
        <w:rPr>
          <w:lang w:val="en-US"/>
        </w:rPr>
      </w:pPr>
      <w:r w:rsidRPr="0059689A">
        <w:rPr>
          <w:lang w:val="en-US"/>
        </w:rPr>
        <w:t>The aim of this method is to obtain objective data on the degree of spectrum congestion in the form of a function reflecting the limitations on the use of the spectrum by a particular additional reference radio station depending on its operating frequency and location.</w:t>
      </w:r>
    </w:p>
    <w:p w14:paraId="13132E79" w14:textId="77777777" w:rsidR="0059689A" w:rsidRPr="0059689A" w:rsidRDefault="0059689A" w:rsidP="0059689A">
      <w:pPr>
        <w:rPr>
          <w:lang w:val="en-US"/>
        </w:rPr>
      </w:pPr>
      <w:r w:rsidRPr="0059689A">
        <w:rPr>
          <w:lang w:val="en-US"/>
        </w:rPr>
        <w:t>Calculations by this method will be more accurate the more highly developed the frequency-distance rules are, covering in aggregate form all the necessary parameters and basic conditions relating to the interaction (co-, adjacent- and side-channel) of signals and interference and making it possible to check efficiently the conditions for ensuring the compatibility of radio stations in relation to the given geographical and frequency sampling points.</w:t>
      </w:r>
    </w:p>
    <w:p w14:paraId="13132E7A" w14:textId="77777777" w:rsidR="00F44DB5" w:rsidRPr="0059689A" w:rsidRDefault="0059689A" w:rsidP="0059689A">
      <w:pPr>
        <w:rPr>
          <w:lang w:val="en-US"/>
        </w:rPr>
      </w:pPr>
      <w:r w:rsidRPr="0059689A">
        <w:rPr>
          <w:lang w:val="en-US"/>
        </w:rPr>
        <w:t>A consolidated flow chart of the algorithm method is given in Fig. 1.</w:t>
      </w:r>
    </w:p>
    <w:p w14:paraId="13132E7B" w14:textId="77777777" w:rsidR="007B4BDC" w:rsidRDefault="00807E1C" w:rsidP="007B4BDC">
      <w:pPr>
        <w:pStyle w:val="FigureNo"/>
        <w:rPr>
          <w:lang w:val="en-US"/>
        </w:rPr>
      </w:pPr>
      <w:r>
        <w:object w:dxaOrig="6863" w:dyaOrig="5246" w14:anchorId="13132F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05pt;height:262.7pt" o:ole="" o:allowoverlap="f">
            <v:imagedata r:id="rId6" o:title=""/>
          </v:shape>
          <o:OLEObject Type="Embed" ProgID="CorelDRAW.Graphic.12" ShapeID="_x0000_i1025" DrawAspect="Content" ObjectID="_1749040227" r:id="rId7"/>
        </w:object>
      </w:r>
    </w:p>
    <w:p w14:paraId="13132E7C" w14:textId="77777777" w:rsidR="0059689A" w:rsidRPr="0059689A" w:rsidRDefault="0059689A" w:rsidP="0059689A">
      <w:pPr>
        <w:rPr>
          <w:lang w:val="en-US"/>
        </w:rPr>
      </w:pPr>
      <w:r w:rsidRPr="0059689A">
        <w:rPr>
          <w:lang w:val="en-US"/>
        </w:rPr>
        <w:t>The content of the boxes is as follows:</w:t>
      </w:r>
    </w:p>
    <w:p w14:paraId="13132E7D" w14:textId="77777777" w:rsidR="0059689A" w:rsidRPr="0059689A" w:rsidRDefault="0059689A" w:rsidP="0059689A">
      <w:pPr>
        <w:rPr>
          <w:lang w:val="en-US"/>
        </w:rPr>
      </w:pPr>
      <w:r w:rsidRPr="0059689A">
        <w:rPr>
          <w:i/>
          <w:iCs/>
          <w:lang w:val="en-US"/>
        </w:rPr>
        <w:t>Box 1</w:t>
      </w:r>
      <w:r w:rsidRPr="0059689A">
        <w:rPr>
          <w:lang w:val="en-US"/>
        </w:rPr>
        <w:t> – Input of initial data, including: dimensions of geographical area under consideration; lower and upper limits of the frequency band in question; characteristics of existing radio stations (assigned nominal frequencies, geographical coordinates, orientation of antenna directivity diagrams (ADD)); frequency-distance rules for the reference and existing radio stations; basis for carrying out calculations (at individual points in the area, over the whole area, over the whole band, at individual frequencies); geographical and frequency sampling intervals.</w:t>
      </w:r>
    </w:p>
    <w:p w14:paraId="13132E7E" w14:textId="77777777" w:rsidR="0059689A" w:rsidRPr="0059689A" w:rsidRDefault="0059689A" w:rsidP="0059689A">
      <w:pPr>
        <w:rPr>
          <w:lang w:val="en-US"/>
        </w:rPr>
      </w:pPr>
      <w:r w:rsidRPr="0059689A">
        <w:rPr>
          <w:i/>
          <w:iCs/>
          <w:lang w:val="en-US"/>
        </w:rPr>
        <w:t>Box 2</w:t>
      </w:r>
      <w:r w:rsidRPr="0059689A">
        <w:rPr>
          <w:lang w:val="en-US"/>
        </w:rPr>
        <w:t> – Determination of distances between geographical sampling points and existing radio stations. The initial data are the coordinates of the sites of existing radio stations and the corresponding sampling points.</w:t>
      </w:r>
    </w:p>
    <w:p w14:paraId="13132E7F" w14:textId="77777777" w:rsidR="0059689A" w:rsidRPr="0059689A" w:rsidRDefault="0059689A" w:rsidP="0059689A">
      <w:pPr>
        <w:rPr>
          <w:lang w:val="en-US"/>
        </w:rPr>
      </w:pPr>
      <w:r w:rsidRPr="0059689A">
        <w:rPr>
          <w:i/>
          <w:iCs/>
          <w:lang w:val="en-US"/>
        </w:rPr>
        <w:t>Box 3</w:t>
      </w:r>
      <w:r w:rsidRPr="0059689A">
        <w:rPr>
          <w:lang w:val="en-US"/>
        </w:rPr>
        <w:t> – Determination of variants for the reciprocal orientation of the reference and existing station ADD for each geographical sampling point. Possible variants are: interaction through the ADD side, side and main, or main lobes. The initial data used are the site coordinates of the existing and reference radio stations, antenna directivity azimuths, and ADD main lobe widths in the horizontal plane. If accurate data on the antenna azimuths of existing radio stations are not available, they can, for the purposes of the study, either be obtained deterministically or be produced with a random figure device.</w:t>
      </w:r>
    </w:p>
    <w:p w14:paraId="13132E80" w14:textId="77777777" w:rsidR="0059689A" w:rsidRPr="0059689A" w:rsidRDefault="0059689A" w:rsidP="0059689A">
      <w:pPr>
        <w:rPr>
          <w:lang w:val="en-US"/>
        </w:rPr>
      </w:pPr>
      <w:r w:rsidRPr="0059689A">
        <w:rPr>
          <w:i/>
          <w:iCs/>
          <w:lang w:val="en-US"/>
        </w:rPr>
        <w:t>Box 4</w:t>
      </w:r>
      <w:r w:rsidRPr="0059689A">
        <w:rPr>
          <w:lang w:val="en-US"/>
        </w:rPr>
        <w:t> – Determination of minimum permissible frequency separations between existing radio stations and the reference one. For this purpose data on the frequency-distance rules and the distances between radio stations and antenna azimuths are used. The information obtained on the permissible frequency separations is submitted in the form of matrices. If data on the actual frequency assignments to existing radio stations are not available, frequencies can be assigned for the purposes of the study through the use of one or other of the recognized formal algorithms for frequency assignment.</w:t>
      </w:r>
    </w:p>
    <w:p w14:paraId="13132E81" w14:textId="77777777" w:rsidR="0059689A" w:rsidRPr="0059689A" w:rsidRDefault="0059689A" w:rsidP="0059689A">
      <w:pPr>
        <w:rPr>
          <w:lang w:val="en-US"/>
        </w:rPr>
      </w:pPr>
      <w:r w:rsidRPr="0059689A">
        <w:rPr>
          <w:i/>
          <w:iCs/>
          <w:lang w:val="en-US"/>
        </w:rPr>
        <w:t>Box 5</w:t>
      </w:r>
      <w:r w:rsidRPr="0059689A">
        <w:rPr>
          <w:lang w:val="en-US"/>
        </w:rPr>
        <w:t> – Determination of different values for the spectrum utilization factor, showing the extent to which it is occupied:</w:t>
      </w:r>
    </w:p>
    <w:p w14:paraId="13132E82" w14:textId="00A8D203" w:rsidR="0059689A" w:rsidRPr="0059689A" w:rsidRDefault="001064E7" w:rsidP="007B4BDC">
      <w:pPr>
        <w:keepNext/>
        <w:rPr>
          <w:lang w:val="en-US"/>
        </w:rPr>
      </w:pPr>
      <w:r>
        <w:rPr>
          <w:lang w:val="en-US"/>
        </w:rPr>
        <w:br w:type="page"/>
      </w:r>
      <w:r w:rsidR="0059689A" w:rsidRPr="0059689A">
        <w:rPr>
          <w:lang w:val="en-US"/>
        </w:rPr>
        <w:lastRenderedPageBreak/>
        <w:t>Individual factor values (for each point):</w:t>
      </w:r>
    </w:p>
    <w:p w14:paraId="13132E83" w14:textId="77777777" w:rsidR="0059689A" w:rsidRPr="0059689A" w:rsidRDefault="0059689A" w:rsidP="0059689A">
      <w:pPr>
        <w:pStyle w:val="enumlev1"/>
        <w:tabs>
          <w:tab w:val="clear" w:pos="1985"/>
          <w:tab w:val="left" w:pos="2366"/>
        </w:tabs>
        <w:spacing w:line="280" w:lineRule="exact"/>
        <w:ind w:left="2366" w:hanging="2366"/>
        <w:rPr>
          <w:lang w:val="en-US"/>
        </w:rPr>
      </w:pPr>
      <w:r w:rsidRPr="0059689A">
        <w:rPr>
          <w:i/>
          <w:iCs/>
          <w:lang w:val="en-US"/>
        </w:rPr>
        <w:tab/>
        <w:t xml:space="preserve">Z </w:t>
      </w:r>
      <w:r w:rsidRPr="0059689A">
        <w:rPr>
          <w:lang w:val="en-US"/>
        </w:rPr>
        <w:t>( </w:t>
      </w:r>
      <w:r w:rsidRPr="0059689A">
        <w:rPr>
          <w:i/>
          <w:iCs/>
          <w:lang w:val="en-US"/>
        </w:rPr>
        <w:t>f</w:t>
      </w:r>
      <w:proofErr w:type="spellStart"/>
      <w:r w:rsidRPr="0059689A">
        <w:rPr>
          <w:i/>
          <w:iCs/>
          <w:position w:val="-4"/>
          <w:sz w:val="20"/>
          <w:lang w:val="en-US"/>
        </w:rPr>
        <w:t>i</w:t>
      </w:r>
      <w:proofErr w:type="spellEnd"/>
      <w:r w:rsidRPr="0059689A">
        <w:rPr>
          <w:lang w:val="en-US"/>
        </w:rPr>
        <w:t xml:space="preserve">, </w:t>
      </w:r>
      <w:r w:rsidRPr="0059689A">
        <w:rPr>
          <w:i/>
          <w:iCs/>
          <w:lang w:val="en-US"/>
        </w:rPr>
        <w:t>x</w:t>
      </w:r>
      <w:r w:rsidRPr="0059689A">
        <w:rPr>
          <w:i/>
          <w:iCs/>
          <w:position w:val="-4"/>
          <w:sz w:val="20"/>
          <w:lang w:val="en-US"/>
        </w:rPr>
        <w:t>j</w:t>
      </w:r>
      <w:r w:rsidRPr="0059689A">
        <w:rPr>
          <w:lang w:val="en-US"/>
        </w:rPr>
        <w:t xml:space="preserve">, </w:t>
      </w:r>
      <w:r w:rsidRPr="0059689A">
        <w:rPr>
          <w:i/>
          <w:iCs/>
          <w:lang w:val="en-US"/>
        </w:rPr>
        <w:t>y</w:t>
      </w:r>
      <w:r w:rsidRPr="0059689A">
        <w:rPr>
          <w:i/>
          <w:iCs/>
          <w:position w:val="-4"/>
          <w:sz w:val="20"/>
          <w:lang w:val="en-US"/>
        </w:rPr>
        <w:t>j</w:t>
      </w:r>
      <w:r w:rsidRPr="0059689A">
        <w:rPr>
          <w:lang w:val="en-US"/>
        </w:rPr>
        <w:t xml:space="preserve">) </w:t>
      </w:r>
      <w:r w:rsidRPr="00EA1F46">
        <w:rPr>
          <w:rFonts w:ascii="Symbol" w:hAnsi="Symbol"/>
        </w:rPr>
        <w:t></w:t>
      </w:r>
      <w:r w:rsidRPr="0059689A">
        <w:rPr>
          <w:lang w:val="en-US"/>
        </w:rPr>
        <w:t xml:space="preserve"> 1</w:t>
      </w:r>
      <w:r w:rsidRPr="0059689A">
        <w:rPr>
          <w:lang w:val="en-US"/>
        </w:rPr>
        <w:tab/>
        <w:t xml:space="preserve">if the frequency separation between the </w:t>
      </w:r>
      <w:proofErr w:type="spellStart"/>
      <w:r w:rsidRPr="0059689A">
        <w:rPr>
          <w:i/>
          <w:iCs/>
          <w:lang w:val="en-US"/>
        </w:rPr>
        <w:t>i</w:t>
      </w:r>
      <w:r w:rsidRPr="0059689A">
        <w:rPr>
          <w:lang w:val="en-US"/>
        </w:rPr>
        <w:t>-th</w:t>
      </w:r>
      <w:proofErr w:type="spellEnd"/>
      <w:r w:rsidRPr="0059689A">
        <w:rPr>
          <w:lang w:val="en-US"/>
        </w:rPr>
        <w:t xml:space="preserve"> sampled frequency assigned to the reference radio station at the point in space </w:t>
      </w:r>
      <w:r w:rsidRPr="0059689A">
        <w:rPr>
          <w:i/>
          <w:iCs/>
          <w:lang w:val="en-US"/>
        </w:rPr>
        <w:t>j</w:t>
      </w:r>
      <w:r w:rsidRPr="0059689A">
        <w:rPr>
          <w:lang w:val="en-US"/>
        </w:rPr>
        <w:t xml:space="preserve"> with coordinates (</w:t>
      </w:r>
      <w:r w:rsidRPr="0059689A">
        <w:rPr>
          <w:i/>
          <w:iCs/>
          <w:lang w:val="en-US"/>
        </w:rPr>
        <w:t>x</w:t>
      </w:r>
      <w:r w:rsidRPr="0059689A">
        <w:rPr>
          <w:i/>
          <w:iCs/>
          <w:position w:val="-4"/>
          <w:sz w:val="20"/>
          <w:lang w:val="en-US"/>
        </w:rPr>
        <w:t>j</w:t>
      </w:r>
      <w:r w:rsidRPr="0059689A">
        <w:rPr>
          <w:lang w:val="en-US"/>
        </w:rPr>
        <w:t xml:space="preserve">, </w:t>
      </w:r>
      <w:r w:rsidRPr="0059689A">
        <w:rPr>
          <w:i/>
          <w:iCs/>
          <w:lang w:val="en-US"/>
        </w:rPr>
        <w:t>y</w:t>
      </w:r>
      <w:r w:rsidRPr="0059689A">
        <w:rPr>
          <w:i/>
          <w:iCs/>
          <w:position w:val="-4"/>
          <w:sz w:val="20"/>
          <w:lang w:val="en-US"/>
        </w:rPr>
        <w:t>j</w:t>
      </w:r>
      <w:r w:rsidRPr="0059689A">
        <w:rPr>
          <w:lang w:val="en-US"/>
        </w:rPr>
        <w:t>) and at least one frequency of any of the existing radio stations is less than the permissible limit;</w:t>
      </w:r>
    </w:p>
    <w:p w14:paraId="13132E84" w14:textId="77777777" w:rsidR="0059689A" w:rsidRPr="0059689A" w:rsidRDefault="0059689A" w:rsidP="0059689A">
      <w:pPr>
        <w:pStyle w:val="enumlev1"/>
        <w:tabs>
          <w:tab w:val="clear" w:pos="1191"/>
          <w:tab w:val="clear" w:pos="1588"/>
          <w:tab w:val="clear" w:pos="1985"/>
          <w:tab w:val="left" w:pos="2366"/>
        </w:tabs>
        <w:ind w:left="2366" w:hanging="2366"/>
        <w:rPr>
          <w:lang w:val="en-US"/>
        </w:rPr>
      </w:pPr>
      <w:r w:rsidRPr="0059689A">
        <w:rPr>
          <w:lang w:val="en-US"/>
        </w:rPr>
        <w:tab/>
      </w:r>
      <w:r w:rsidRPr="0059689A">
        <w:rPr>
          <w:i/>
          <w:iCs/>
          <w:lang w:val="en-US"/>
        </w:rPr>
        <w:t xml:space="preserve">Z </w:t>
      </w:r>
      <w:r w:rsidRPr="0059689A">
        <w:rPr>
          <w:lang w:val="en-US"/>
        </w:rPr>
        <w:t>( </w:t>
      </w:r>
      <w:r w:rsidRPr="0059689A">
        <w:rPr>
          <w:i/>
          <w:iCs/>
          <w:lang w:val="en-US"/>
        </w:rPr>
        <w:t>f</w:t>
      </w:r>
      <w:proofErr w:type="spellStart"/>
      <w:r w:rsidRPr="0059689A">
        <w:rPr>
          <w:i/>
          <w:iCs/>
          <w:position w:val="-4"/>
          <w:sz w:val="20"/>
          <w:lang w:val="en-US"/>
        </w:rPr>
        <w:t>i</w:t>
      </w:r>
      <w:proofErr w:type="spellEnd"/>
      <w:r w:rsidRPr="0059689A">
        <w:rPr>
          <w:lang w:val="en-US"/>
        </w:rPr>
        <w:t>,</w:t>
      </w:r>
      <w:r w:rsidRPr="0059689A">
        <w:rPr>
          <w:i/>
          <w:iCs/>
          <w:lang w:val="en-US"/>
        </w:rPr>
        <w:t xml:space="preserve"> x</w:t>
      </w:r>
      <w:r w:rsidRPr="0059689A">
        <w:rPr>
          <w:i/>
          <w:iCs/>
          <w:position w:val="-4"/>
          <w:sz w:val="20"/>
          <w:lang w:val="en-US"/>
        </w:rPr>
        <w:t>j</w:t>
      </w:r>
      <w:r w:rsidRPr="0059689A">
        <w:rPr>
          <w:lang w:val="en-US"/>
        </w:rPr>
        <w:t>,</w:t>
      </w:r>
      <w:r w:rsidRPr="0059689A">
        <w:rPr>
          <w:i/>
          <w:iCs/>
          <w:lang w:val="en-US"/>
        </w:rPr>
        <w:t xml:space="preserve"> y</w:t>
      </w:r>
      <w:r w:rsidRPr="0059689A">
        <w:rPr>
          <w:i/>
          <w:iCs/>
          <w:position w:val="-4"/>
          <w:sz w:val="20"/>
          <w:lang w:val="en-US"/>
        </w:rPr>
        <w:t>j</w:t>
      </w:r>
      <w:r w:rsidRPr="0059689A">
        <w:rPr>
          <w:lang w:val="en-US"/>
        </w:rPr>
        <w:t xml:space="preserve">) </w:t>
      </w:r>
      <w:r w:rsidRPr="00EA1F46">
        <w:rPr>
          <w:rFonts w:ascii="Symbol" w:hAnsi="Symbol"/>
        </w:rPr>
        <w:t></w:t>
      </w:r>
      <w:r w:rsidRPr="0059689A">
        <w:rPr>
          <w:lang w:val="en-US"/>
        </w:rPr>
        <w:t xml:space="preserve"> 0</w:t>
      </w:r>
      <w:r w:rsidRPr="0059689A">
        <w:rPr>
          <w:lang w:val="en-US"/>
        </w:rPr>
        <w:tab/>
        <w:t>in the opposite case.</w:t>
      </w:r>
    </w:p>
    <w:p w14:paraId="13132E85" w14:textId="77777777" w:rsidR="0059689A" w:rsidRPr="0059689A" w:rsidRDefault="0059689A" w:rsidP="0059689A">
      <w:pPr>
        <w:rPr>
          <w:lang w:val="en-US"/>
        </w:rPr>
      </w:pPr>
      <w:r w:rsidRPr="0059689A">
        <w:rPr>
          <w:lang w:val="en-US"/>
        </w:rPr>
        <w:t>General factor values:</w:t>
      </w:r>
    </w:p>
    <w:p w14:paraId="13132E86" w14:textId="77777777" w:rsidR="0059689A" w:rsidRPr="0059689A" w:rsidRDefault="0059689A" w:rsidP="0059689A">
      <w:pPr>
        <w:pStyle w:val="enumlev1"/>
        <w:rPr>
          <w:lang w:val="en-US"/>
        </w:rPr>
      </w:pPr>
      <w:r w:rsidRPr="0059689A">
        <w:rPr>
          <w:lang w:val="en-US"/>
        </w:rPr>
        <w:t>–</w:t>
      </w:r>
      <w:r w:rsidRPr="0059689A">
        <w:rPr>
          <w:lang w:val="en-US"/>
        </w:rPr>
        <w:tab/>
        <w:t>by averaging over all geographical points:</w:t>
      </w:r>
    </w:p>
    <w:p w14:paraId="13132E87" w14:textId="77777777" w:rsidR="004E77CD" w:rsidRDefault="004E77CD" w:rsidP="004E77CD">
      <w:pPr>
        <w:pStyle w:val="Blanc"/>
      </w:pPr>
    </w:p>
    <w:p w14:paraId="13132E88" w14:textId="77777777" w:rsidR="0059689A" w:rsidRPr="0059689A" w:rsidRDefault="0059689A" w:rsidP="0059689A">
      <w:pPr>
        <w:pStyle w:val="Equation"/>
        <w:rPr>
          <w:lang w:val="en-US"/>
        </w:rPr>
      </w:pPr>
      <w:r w:rsidRPr="0059689A">
        <w:rPr>
          <w:lang w:val="en-US"/>
        </w:rPr>
        <w:tab/>
      </w:r>
      <w:r w:rsidRPr="0059689A">
        <w:rPr>
          <w:lang w:val="en-US"/>
        </w:rPr>
        <w:tab/>
      </w:r>
      <w:r w:rsidRPr="00EA1F46">
        <w:rPr>
          <w:position w:val="-38"/>
        </w:rPr>
        <w:object w:dxaOrig="2620" w:dyaOrig="900" w14:anchorId="13132FA6">
          <v:shape id="_x0000_i1026" type="#_x0000_t75" style="width:131.9pt;height:45.05pt" o:ole="" fillcolor="window">
            <v:imagedata r:id="rId8" o:title=""/>
          </v:shape>
          <o:OLEObject Type="Embed" ProgID="Equation.3" ShapeID="_x0000_i1026" DrawAspect="Content" ObjectID="_1749040228" r:id="rId9"/>
        </w:object>
      </w:r>
      <w:r w:rsidRPr="0059689A">
        <w:rPr>
          <w:lang w:val="en-US"/>
        </w:rPr>
        <w:tab/>
        <w:t>(1)</w:t>
      </w:r>
    </w:p>
    <w:p w14:paraId="13132E89" w14:textId="77777777" w:rsidR="004E77CD" w:rsidRDefault="004E77CD" w:rsidP="004E77CD">
      <w:pPr>
        <w:pStyle w:val="Blanc"/>
      </w:pPr>
    </w:p>
    <w:p w14:paraId="13132E8A" w14:textId="77777777" w:rsidR="0059689A" w:rsidRPr="0059689A" w:rsidRDefault="0059689A" w:rsidP="0059689A">
      <w:pPr>
        <w:pStyle w:val="enumlev1"/>
        <w:rPr>
          <w:u w:val="single"/>
          <w:lang w:val="en-US"/>
        </w:rPr>
      </w:pPr>
      <w:r w:rsidRPr="0059689A">
        <w:rPr>
          <w:lang w:val="en-US"/>
        </w:rPr>
        <w:t>–</w:t>
      </w:r>
      <w:r w:rsidRPr="0059689A">
        <w:rPr>
          <w:lang w:val="en-US"/>
        </w:rPr>
        <w:tab/>
        <w:t>by averaging over all frequency points:</w:t>
      </w:r>
    </w:p>
    <w:p w14:paraId="13132E8B" w14:textId="77777777" w:rsidR="004E77CD" w:rsidRDefault="004E77CD" w:rsidP="004E77CD">
      <w:pPr>
        <w:pStyle w:val="Blanc"/>
      </w:pPr>
    </w:p>
    <w:p w14:paraId="13132E8C" w14:textId="77777777" w:rsidR="0059689A" w:rsidRPr="0059689A" w:rsidRDefault="0059689A" w:rsidP="0059689A">
      <w:pPr>
        <w:pStyle w:val="Equation"/>
        <w:rPr>
          <w:lang w:val="en-US"/>
        </w:rPr>
      </w:pPr>
      <w:r w:rsidRPr="0059689A">
        <w:rPr>
          <w:lang w:val="en-US"/>
        </w:rPr>
        <w:tab/>
      </w:r>
      <w:r w:rsidRPr="0059689A">
        <w:rPr>
          <w:lang w:val="en-US"/>
        </w:rPr>
        <w:tab/>
      </w:r>
      <w:r w:rsidRPr="00EA1F46">
        <w:rPr>
          <w:position w:val="-38"/>
        </w:rPr>
        <w:object w:dxaOrig="2659" w:dyaOrig="900" w14:anchorId="13132FA7">
          <v:shape id="_x0000_i1027" type="#_x0000_t75" style="width:132.45pt;height:45.05pt" o:ole="" fillcolor="window">
            <v:imagedata r:id="rId10" o:title=""/>
          </v:shape>
          <o:OLEObject Type="Embed" ProgID="Equation.3" ShapeID="_x0000_i1027" DrawAspect="Content" ObjectID="_1749040229" r:id="rId11"/>
        </w:object>
      </w:r>
      <w:r w:rsidRPr="0059689A">
        <w:rPr>
          <w:lang w:val="en-US"/>
        </w:rPr>
        <w:tab/>
        <w:t>(2)</w:t>
      </w:r>
    </w:p>
    <w:p w14:paraId="13132E8D" w14:textId="77777777" w:rsidR="004E77CD" w:rsidRDefault="004E77CD" w:rsidP="004E77CD">
      <w:pPr>
        <w:pStyle w:val="Blanc"/>
      </w:pPr>
    </w:p>
    <w:p w14:paraId="13132E8E" w14:textId="77777777" w:rsidR="0059689A" w:rsidRPr="0059689A" w:rsidRDefault="0059689A" w:rsidP="0059689A">
      <w:pPr>
        <w:pStyle w:val="enumlev1"/>
        <w:rPr>
          <w:lang w:val="en-US"/>
        </w:rPr>
      </w:pPr>
      <w:r w:rsidRPr="0059689A">
        <w:rPr>
          <w:lang w:val="en-US"/>
        </w:rPr>
        <w:t>–</w:t>
      </w:r>
      <w:r w:rsidRPr="0059689A">
        <w:rPr>
          <w:lang w:val="en-US"/>
        </w:rPr>
        <w:tab/>
        <w:t>by averaging over all frequency and geographical points:</w:t>
      </w:r>
    </w:p>
    <w:p w14:paraId="13132E8F" w14:textId="77777777" w:rsidR="004E77CD" w:rsidRDefault="004E77CD" w:rsidP="004E77CD">
      <w:pPr>
        <w:pStyle w:val="Blanc"/>
      </w:pPr>
    </w:p>
    <w:p w14:paraId="13132E90" w14:textId="77777777" w:rsidR="0059689A" w:rsidRPr="0059689A" w:rsidRDefault="0059689A" w:rsidP="0059689A">
      <w:pPr>
        <w:pStyle w:val="Equation"/>
        <w:rPr>
          <w:lang w:val="en-US"/>
        </w:rPr>
      </w:pPr>
      <w:r w:rsidRPr="0059689A">
        <w:rPr>
          <w:lang w:val="en-US"/>
        </w:rPr>
        <w:tab/>
      </w:r>
      <w:r w:rsidRPr="0059689A">
        <w:rPr>
          <w:lang w:val="en-US"/>
        </w:rPr>
        <w:tab/>
      </w:r>
      <w:r w:rsidRPr="00EA1F46">
        <w:rPr>
          <w:position w:val="-38"/>
        </w:rPr>
        <w:object w:dxaOrig="3560" w:dyaOrig="900" w14:anchorId="13132FA8">
          <v:shape id="_x0000_i1028" type="#_x0000_t75" style="width:178.1pt;height:45.05pt" o:ole="" fillcolor="window">
            <v:imagedata r:id="rId12" o:title=""/>
          </v:shape>
          <o:OLEObject Type="Embed" ProgID="Equation.3" ShapeID="_x0000_i1028" DrawAspect="Content" ObjectID="_1749040230" r:id="rId13"/>
        </w:object>
      </w:r>
      <w:r w:rsidRPr="0059689A">
        <w:rPr>
          <w:lang w:val="en-US"/>
        </w:rPr>
        <w:tab/>
        <w:t>(3)</w:t>
      </w:r>
    </w:p>
    <w:p w14:paraId="13132E91" w14:textId="77777777" w:rsidR="004E77CD" w:rsidRDefault="004E77CD" w:rsidP="004E77CD">
      <w:pPr>
        <w:pStyle w:val="Blanc"/>
      </w:pPr>
    </w:p>
    <w:p w14:paraId="13132E92" w14:textId="77777777" w:rsidR="0059689A" w:rsidRPr="0059689A" w:rsidRDefault="0059689A" w:rsidP="0059689A">
      <w:pPr>
        <w:rPr>
          <w:lang w:val="en-US"/>
        </w:rPr>
      </w:pPr>
      <w:r w:rsidRPr="0059689A">
        <w:rPr>
          <w:lang w:val="en-US"/>
        </w:rPr>
        <w:t xml:space="preserve">where </w:t>
      </w:r>
      <w:r w:rsidRPr="0059689A">
        <w:rPr>
          <w:i/>
          <w:iCs/>
          <w:lang w:val="en-US"/>
        </w:rPr>
        <w:t>N</w:t>
      </w:r>
      <w:r w:rsidRPr="0059689A">
        <w:rPr>
          <w:i/>
          <w:iCs/>
          <w:position w:val="-4"/>
          <w:sz w:val="20"/>
          <w:lang w:val="en-US"/>
        </w:rPr>
        <w:t>f</w:t>
      </w:r>
      <w:r w:rsidRPr="0059689A">
        <w:rPr>
          <w:lang w:val="en-US"/>
        </w:rPr>
        <w:t xml:space="preserve">  and </w:t>
      </w:r>
      <w:r w:rsidRPr="0059689A">
        <w:rPr>
          <w:i/>
          <w:iCs/>
          <w:lang w:val="en-US"/>
        </w:rPr>
        <w:t>N</w:t>
      </w:r>
      <w:r w:rsidRPr="0059689A">
        <w:rPr>
          <w:i/>
          <w:iCs/>
          <w:position w:val="-4"/>
          <w:sz w:val="20"/>
          <w:lang w:val="en-US"/>
        </w:rPr>
        <w:t>p</w:t>
      </w:r>
      <w:r w:rsidRPr="0059689A">
        <w:rPr>
          <w:lang w:val="en-US"/>
        </w:rPr>
        <w:t xml:space="preserve"> are the number of frequency and geographical sampling points respectively.</w:t>
      </w:r>
    </w:p>
    <w:p w14:paraId="13132E93" w14:textId="77777777" w:rsidR="0059689A" w:rsidRPr="0059689A" w:rsidRDefault="0059689A" w:rsidP="0059689A">
      <w:pPr>
        <w:pStyle w:val="Heading2"/>
        <w:rPr>
          <w:lang w:val="en-US"/>
        </w:rPr>
      </w:pPr>
      <w:bookmarkStart w:id="6" w:name="_Toc138252661"/>
      <w:r w:rsidRPr="0059689A">
        <w:rPr>
          <w:lang w:val="en-US"/>
        </w:rPr>
        <w:t>2.2</w:t>
      </w:r>
      <w:r w:rsidRPr="0059689A">
        <w:rPr>
          <w:lang w:val="en-US"/>
        </w:rPr>
        <w:tab/>
        <w:t>Example of use of the method</w:t>
      </w:r>
      <w:bookmarkEnd w:id="6"/>
    </w:p>
    <w:p w14:paraId="13132E94" w14:textId="65673D8D" w:rsidR="0059689A" w:rsidRPr="0059689A" w:rsidRDefault="0059689A" w:rsidP="0059689A">
      <w:pPr>
        <w:rPr>
          <w:lang w:val="en-US"/>
        </w:rPr>
      </w:pPr>
      <w:r w:rsidRPr="0059689A">
        <w:rPr>
          <w:lang w:val="en-US"/>
        </w:rPr>
        <w:t xml:space="preserve">An example for illustration purposes only is given in </w:t>
      </w:r>
      <w:r w:rsidR="00E52B01">
        <w:rPr>
          <w:lang w:val="en-US"/>
        </w:rPr>
        <w:t>Attachment</w:t>
      </w:r>
      <w:r w:rsidRPr="0059689A">
        <w:rPr>
          <w:lang w:val="en-US"/>
        </w:rPr>
        <w:t> 1 to Annex 1.</w:t>
      </w:r>
    </w:p>
    <w:p w14:paraId="13132E95" w14:textId="18AAC5A8" w:rsidR="0059689A" w:rsidRPr="0059689A" w:rsidRDefault="00017057" w:rsidP="0059689A">
      <w:pPr>
        <w:pStyle w:val="AppendixNoTitle"/>
        <w:rPr>
          <w:lang w:val="en-US"/>
        </w:rPr>
      </w:pPr>
      <w:bookmarkStart w:id="7" w:name="_Toc138252662"/>
      <w:r>
        <w:rPr>
          <w:lang w:val="en-US"/>
        </w:rPr>
        <w:t>Attachment</w:t>
      </w:r>
      <w:r w:rsidR="0059689A" w:rsidRPr="0059689A">
        <w:rPr>
          <w:lang w:val="en-US"/>
        </w:rPr>
        <w:t xml:space="preserve"> 1</w:t>
      </w:r>
      <w:r w:rsidR="0059689A" w:rsidRPr="0059689A">
        <w:rPr>
          <w:lang w:val="en-US"/>
        </w:rPr>
        <w:br/>
        <w:t>to Annex 1</w:t>
      </w:r>
      <w:bookmarkEnd w:id="7"/>
    </w:p>
    <w:p w14:paraId="13132E96" w14:textId="77777777" w:rsidR="0059689A" w:rsidRPr="0059689A" w:rsidRDefault="0059689A" w:rsidP="0059689A">
      <w:pPr>
        <w:pStyle w:val="Normalaftertitle"/>
        <w:rPr>
          <w:lang w:val="en-US"/>
        </w:rPr>
      </w:pPr>
      <w:r w:rsidRPr="0059689A">
        <w:rPr>
          <w:b/>
          <w:bCs/>
          <w:lang w:val="en-US"/>
        </w:rPr>
        <w:t>Problem</w:t>
      </w:r>
      <w:r w:rsidRPr="0059689A">
        <w:rPr>
          <w:lang w:val="en-US"/>
        </w:rPr>
        <w:t xml:space="preserve">: It is necessary to determine the geographical and frequency distribution of the spectrum utilization factor indicating the degree of congestion of a 1 MHz frequency band in the range </w:t>
      </w:r>
      <w:r w:rsidRPr="0059689A">
        <w:rPr>
          <w:lang w:val="en-US"/>
        </w:rPr>
        <w:br/>
        <w:t xml:space="preserve">169-170 MHz for a square area </w:t>
      </w:r>
      <w:r w:rsidRPr="0059689A">
        <w:rPr>
          <w:i/>
          <w:iCs/>
          <w:lang w:val="en-US"/>
        </w:rPr>
        <w:t>A</w:t>
      </w:r>
      <w:r w:rsidRPr="0059689A">
        <w:rPr>
          <w:lang w:val="en-US"/>
        </w:rPr>
        <w:t> </w:t>
      </w:r>
      <w:r w:rsidRPr="00EA1F46">
        <w:rPr>
          <w:rFonts w:ascii="Symbol" w:hAnsi="Symbol"/>
        </w:rPr>
        <w:sym w:font="Symbol" w:char="F0B4"/>
      </w:r>
      <w:r w:rsidRPr="0059689A">
        <w:rPr>
          <w:lang w:val="en-US"/>
        </w:rPr>
        <w:t> </w:t>
      </w:r>
      <w:proofErr w:type="spellStart"/>
      <w:r w:rsidRPr="0059689A">
        <w:rPr>
          <w:i/>
          <w:iCs/>
          <w:lang w:val="en-US"/>
        </w:rPr>
        <w:t>A</w:t>
      </w:r>
      <w:proofErr w:type="spellEnd"/>
      <w:r w:rsidRPr="0059689A">
        <w:rPr>
          <w:lang w:val="en-US"/>
        </w:rPr>
        <w:t> (</w:t>
      </w:r>
      <w:r w:rsidRPr="0059689A">
        <w:rPr>
          <w:i/>
          <w:iCs/>
          <w:lang w:val="en-US"/>
        </w:rPr>
        <w:t>A</w:t>
      </w:r>
      <w:r w:rsidRPr="0059689A">
        <w:rPr>
          <w:lang w:val="en-US"/>
        </w:rPr>
        <w:t> </w:t>
      </w:r>
      <w:r w:rsidRPr="00EA1F46">
        <w:rPr>
          <w:rFonts w:ascii="Symbol" w:hAnsi="Symbol"/>
        </w:rPr>
        <w:t></w:t>
      </w:r>
      <w:r w:rsidRPr="0059689A">
        <w:rPr>
          <w:lang w:val="en-US"/>
        </w:rPr>
        <w:t> 10 km) on the assumption that it contains 50 radio stations of the same type (the coordinates of the radio station sites and their frequencies are given in Table 1 and shown by points in Fig. 2) in order to determine the preferred frequencies for a new (reference) radio station of the same kind as the existing ones for three alternative cases with regard to the site:</w:t>
      </w:r>
    </w:p>
    <w:p w14:paraId="13132E97" w14:textId="77777777" w:rsidR="0059689A" w:rsidRPr="0059689A" w:rsidRDefault="0059689A" w:rsidP="0059689A">
      <w:pPr>
        <w:rPr>
          <w:lang w:val="en-US"/>
        </w:rPr>
      </w:pPr>
      <w:r w:rsidRPr="0059689A">
        <w:rPr>
          <w:i/>
          <w:iCs/>
          <w:lang w:val="en-US"/>
        </w:rPr>
        <w:t>Case 1</w:t>
      </w:r>
      <w:r w:rsidRPr="0059689A">
        <w:rPr>
          <w:lang w:val="en-US"/>
        </w:rPr>
        <w:t xml:space="preserve">:  The area for the possible site of the new radio station is bounded by the sides of the square </w:t>
      </w:r>
      <w:r w:rsidRPr="0059689A">
        <w:rPr>
          <w:i/>
          <w:iCs/>
          <w:lang w:val="en-US"/>
        </w:rPr>
        <w:t>a</w:t>
      </w:r>
      <w:r w:rsidRPr="0059689A">
        <w:rPr>
          <w:position w:val="-4"/>
          <w:sz w:val="20"/>
          <w:lang w:val="en-US"/>
        </w:rPr>
        <w:t>1</w:t>
      </w:r>
      <w:r w:rsidRPr="0059689A">
        <w:rPr>
          <w:lang w:val="en-US"/>
        </w:rPr>
        <w:t> </w:t>
      </w:r>
      <w:r w:rsidRPr="00EA1F46">
        <w:rPr>
          <w:rFonts w:ascii="Symbol" w:hAnsi="Symbol"/>
        </w:rPr>
        <w:t></w:t>
      </w:r>
      <w:r w:rsidRPr="0059689A">
        <w:rPr>
          <w:lang w:val="en-US"/>
        </w:rPr>
        <w:t> </w:t>
      </w:r>
      <w:r w:rsidRPr="0059689A">
        <w:rPr>
          <w:i/>
          <w:iCs/>
          <w:lang w:val="en-US"/>
        </w:rPr>
        <w:t>a</w:t>
      </w:r>
      <w:r w:rsidRPr="0059689A">
        <w:rPr>
          <w:position w:val="-4"/>
          <w:sz w:val="20"/>
          <w:lang w:val="en-US"/>
        </w:rPr>
        <w:t>1</w:t>
      </w:r>
      <w:r w:rsidRPr="0059689A">
        <w:rPr>
          <w:lang w:val="en-US"/>
        </w:rPr>
        <w:t xml:space="preserve"> (</w:t>
      </w:r>
      <w:r w:rsidRPr="0059689A">
        <w:rPr>
          <w:i/>
          <w:iCs/>
          <w:lang w:val="en-US"/>
        </w:rPr>
        <w:t>a</w:t>
      </w:r>
      <w:r w:rsidRPr="0059689A">
        <w:rPr>
          <w:lang w:val="en-US"/>
        </w:rPr>
        <w:t xml:space="preserve"> </w:t>
      </w:r>
      <w:r w:rsidRPr="00EA1F46">
        <w:rPr>
          <w:rFonts w:ascii="Symbol" w:hAnsi="Symbol"/>
        </w:rPr>
        <w:t></w:t>
      </w:r>
      <w:r w:rsidRPr="0059689A">
        <w:rPr>
          <w:lang w:val="en-US"/>
        </w:rPr>
        <w:t xml:space="preserve"> 3 km), with vertex coordinates (0;0), (0;3), (3;0), (3;3) km (Sector 1 in Fig. 2);</w:t>
      </w:r>
    </w:p>
    <w:p w14:paraId="13132E98" w14:textId="77777777" w:rsidR="0059689A" w:rsidRPr="0059689A" w:rsidRDefault="0059689A" w:rsidP="0059689A">
      <w:pPr>
        <w:rPr>
          <w:lang w:val="en-US"/>
        </w:rPr>
      </w:pPr>
      <w:r w:rsidRPr="0059689A">
        <w:rPr>
          <w:i/>
          <w:iCs/>
          <w:lang w:val="en-US"/>
        </w:rPr>
        <w:t>Case 2</w:t>
      </w:r>
      <w:r w:rsidRPr="0059689A">
        <w:rPr>
          <w:lang w:val="en-US"/>
        </w:rPr>
        <w:t xml:space="preserve">:  The area for a site for the new radio station is a square </w:t>
      </w:r>
      <w:r w:rsidRPr="0059689A">
        <w:rPr>
          <w:i/>
          <w:iCs/>
          <w:lang w:val="en-US"/>
        </w:rPr>
        <w:t>a</w:t>
      </w:r>
      <w:r w:rsidRPr="0059689A">
        <w:rPr>
          <w:position w:val="-4"/>
          <w:sz w:val="20"/>
          <w:lang w:val="en-US"/>
        </w:rPr>
        <w:t>1</w:t>
      </w:r>
      <w:r w:rsidRPr="0059689A">
        <w:rPr>
          <w:lang w:val="en-US"/>
        </w:rPr>
        <w:t> </w:t>
      </w:r>
      <w:r w:rsidRPr="00EA1F46">
        <w:rPr>
          <w:rFonts w:ascii="Symbol" w:hAnsi="Symbol"/>
        </w:rPr>
        <w:t></w:t>
      </w:r>
      <w:r w:rsidRPr="0059689A">
        <w:rPr>
          <w:lang w:val="en-US"/>
        </w:rPr>
        <w:t> </w:t>
      </w:r>
      <w:r w:rsidRPr="0059689A">
        <w:rPr>
          <w:i/>
          <w:iCs/>
          <w:lang w:val="en-US"/>
        </w:rPr>
        <w:t>a</w:t>
      </w:r>
      <w:r w:rsidRPr="0059689A">
        <w:rPr>
          <w:position w:val="-4"/>
          <w:sz w:val="20"/>
          <w:lang w:val="en-US"/>
        </w:rPr>
        <w:t>1</w:t>
      </w:r>
      <w:r w:rsidRPr="0059689A">
        <w:rPr>
          <w:lang w:val="en-US"/>
        </w:rPr>
        <w:t xml:space="preserve"> (</w:t>
      </w:r>
      <w:r w:rsidRPr="0059689A">
        <w:rPr>
          <w:i/>
          <w:iCs/>
          <w:lang w:val="en-US"/>
        </w:rPr>
        <w:t>a</w:t>
      </w:r>
      <w:r w:rsidRPr="0059689A">
        <w:rPr>
          <w:lang w:val="en-US"/>
        </w:rPr>
        <w:t xml:space="preserve"> </w:t>
      </w:r>
      <w:r w:rsidRPr="00EA1F46">
        <w:rPr>
          <w:rFonts w:ascii="Symbol" w:hAnsi="Symbol"/>
        </w:rPr>
        <w:t></w:t>
      </w:r>
      <w:r w:rsidRPr="0059689A">
        <w:rPr>
          <w:lang w:val="en-US"/>
        </w:rPr>
        <w:t xml:space="preserve"> 3 km), with vertex coordinates (4;4), (4;7), (7;7), (7;4) km (Sector 2 in Fig. 2);</w:t>
      </w:r>
    </w:p>
    <w:p w14:paraId="13132E99" w14:textId="77777777" w:rsidR="0059689A" w:rsidRDefault="0059689A" w:rsidP="0059689A">
      <w:pPr>
        <w:rPr>
          <w:lang w:val="en-US"/>
        </w:rPr>
      </w:pPr>
      <w:r w:rsidRPr="0059689A">
        <w:rPr>
          <w:i/>
          <w:iCs/>
          <w:lang w:val="en-US"/>
        </w:rPr>
        <w:lastRenderedPageBreak/>
        <w:t>Case 3</w:t>
      </w:r>
      <w:r w:rsidRPr="0059689A">
        <w:rPr>
          <w:lang w:val="en-US"/>
        </w:rPr>
        <w:t xml:space="preserve">:  The area for a site for the new radio station coincides with the initial area </w:t>
      </w:r>
      <w:r w:rsidRPr="0059689A">
        <w:rPr>
          <w:i/>
          <w:iCs/>
          <w:lang w:val="en-US"/>
        </w:rPr>
        <w:t>A</w:t>
      </w:r>
      <w:r w:rsidRPr="0059689A">
        <w:rPr>
          <w:lang w:val="en-US"/>
        </w:rPr>
        <w:t> </w:t>
      </w:r>
      <w:r w:rsidRPr="00EA1F46">
        <w:rPr>
          <w:rFonts w:ascii="Symbol" w:hAnsi="Symbol"/>
        </w:rPr>
        <w:t></w:t>
      </w:r>
      <w:r w:rsidRPr="0059689A">
        <w:rPr>
          <w:lang w:val="en-US"/>
        </w:rPr>
        <w:t> </w:t>
      </w:r>
      <w:proofErr w:type="spellStart"/>
      <w:r w:rsidRPr="0059689A">
        <w:rPr>
          <w:i/>
          <w:iCs/>
          <w:lang w:val="en-US"/>
        </w:rPr>
        <w:t>A</w:t>
      </w:r>
      <w:proofErr w:type="spellEnd"/>
      <w:r w:rsidRPr="0059689A">
        <w:rPr>
          <w:lang w:val="en-US"/>
        </w:rPr>
        <w:t xml:space="preserve"> </w:t>
      </w:r>
      <w:r w:rsidRPr="0059689A">
        <w:rPr>
          <w:lang w:val="en-US"/>
        </w:rPr>
        <w:br/>
        <w:t>(Sector 3 in Fig. 2).</w:t>
      </w:r>
    </w:p>
    <w:p w14:paraId="13132E9A" w14:textId="77777777" w:rsidR="00F44DB5" w:rsidRPr="0059689A" w:rsidRDefault="00F44DB5" w:rsidP="0059689A">
      <w:pPr>
        <w:rPr>
          <w:lang w:val="en-US"/>
        </w:rPr>
      </w:pPr>
    </w:p>
    <w:p w14:paraId="13132E9B" w14:textId="77777777" w:rsidR="0059689A" w:rsidRPr="00EA1F46" w:rsidRDefault="0059689A" w:rsidP="0059689A">
      <w:pPr>
        <w:pStyle w:val="TableNo"/>
      </w:pPr>
      <w:r w:rsidRPr="00EA1F46">
        <w:t>TABLE 1</w:t>
      </w:r>
    </w:p>
    <w:p w14:paraId="13132E9C" w14:textId="77777777" w:rsidR="0059689A" w:rsidRPr="00EA1F46" w:rsidRDefault="0059689A" w:rsidP="0059689A">
      <w:pPr>
        <w:pStyle w:val="Tabletitle"/>
      </w:pPr>
      <w:r w:rsidRPr="00EA1F46">
        <w:t>Calculation data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2"/>
        <w:gridCol w:w="841"/>
        <w:gridCol w:w="915"/>
        <w:gridCol w:w="871"/>
        <w:gridCol w:w="871"/>
        <w:gridCol w:w="725"/>
        <w:gridCol w:w="847"/>
        <w:gridCol w:w="847"/>
        <w:gridCol w:w="849"/>
        <w:gridCol w:w="847"/>
        <w:gridCol w:w="844"/>
      </w:tblGrid>
      <w:tr w:rsidR="0059689A" w:rsidRPr="00EA1F46" w14:paraId="13132EA8" w14:textId="77777777">
        <w:trPr>
          <w:jc w:val="center"/>
        </w:trPr>
        <w:tc>
          <w:tcPr>
            <w:tcW w:w="1191" w:type="dxa"/>
          </w:tcPr>
          <w:p w14:paraId="13132E9D" w14:textId="77777777" w:rsidR="0059689A" w:rsidRPr="00EA1F46" w:rsidRDefault="0059689A" w:rsidP="007B4BDC">
            <w:pPr>
              <w:pStyle w:val="Tablehead"/>
              <w:spacing w:before="40" w:after="40"/>
            </w:pPr>
            <w:r w:rsidRPr="00EA1F46">
              <w:t>No.</w:t>
            </w:r>
          </w:p>
        </w:tc>
        <w:tc>
          <w:tcPr>
            <w:tcW w:w="847" w:type="dxa"/>
          </w:tcPr>
          <w:p w14:paraId="13132E9E" w14:textId="77777777" w:rsidR="0059689A" w:rsidRPr="00EA1F46" w:rsidRDefault="0059689A" w:rsidP="007B4BDC">
            <w:pPr>
              <w:pStyle w:val="Tablehead"/>
              <w:spacing w:before="40" w:after="40"/>
            </w:pPr>
            <w:r w:rsidRPr="00EA1F46">
              <w:t>1</w:t>
            </w:r>
          </w:p>
        </w:tc>
        <w:tc>
          <w:tcPr>
            <w:tcW w:w="922" w:type="dxa"/>
          </w:tcPr>
          <w:p w14:paraId="13132E9F" w14:textId="77777777" w:rsidR="0059689A" w:rsidRPr="00EA1F46" w:rsidRDefault="0059689A" w:rsidP="007B4BDC">
            <w:pPr>
              <w:pStyle w:val="Tablehead"/>
              <w:spacing w:before="40" w:after="40"/>
            </w:pPr>
            <w:r w:rsidRPr="00EA1F46">
              <w:t>2</w:t>
            </w:r>
          </w:p>
        </w:tc>
        <w:tc>
          <w:tcPr>
            <w:tcW w:w="878" w:type="dxa"/>
          </w:tcPr>
          <w:p w14:paraId="13132EA0" w14:textId="77777777" w:rsidR="0059689A" w:rsidRPr="00EA1F46" w:rsidRDefault="0059689A" w:rsidP="007B4BDC">
            <w:pPr>
              <w:pStyle w:val="Tablehead"/>
              <w:spacing w:before="40" w:after="40"/>
            </w:pPr>
            <w:r w:rsidRPr="00EA1F46">
              <w:t>3</w:t>
            </w:r>
          </w:p>
        </w:tc>
        <w:tc>
          <w:tcPr>
            <w:tcW w:w="878" w:type="dxa"/>
          </w:tcPr>
          <w:p w14:paraId="13132EA1" w14:textId="77777777" w:rsidR="0059689A" w:rsidRPr="00EA1F46" w:rsidRDefault="0059689A" w:rsidP="007B4BDC">
            <w:pPr>
              <w:pStyle w:val="Tablehead"/>
              <w:spacing w:before="40" w:after="40"/>
            </w:pPr>
            <w:r w:rsidRPr="00EA1F46">
              <w:t>4</w:t>
            </w:r>
          </w:p>
        </w:tc>
        <w:tc>
          <w:tcPr>
            <w:tcW w:w="730" w:type="dxa"/>
          </w:tcPr>
          <w:p w14:paraId="13132EA2" w14:textId="77777777" w:rsidR="0059689A" w:rsidRPr="00EA1F46" w:rsidRDefault="0059689A" w:rsidP="007B4BDC">
            <w:pPr>
              <w:pStyle w:val="Tablehead"/>
              <w:spacing w:before="40" w:after="40"/>
            </w:pPr>
            <w:r w:rsidRPr="00EA1F46">
              <w:t>5</w:t>
            </w:r>
          </w:p>
        </w:tc>
        <w:tc>
          <w:tcPr>
            <w:tcW w:w="854" w:type="dxa"/>
          </w:tcPr>
          <w:p w14:paraId="13132EA3" w14:textId="77777777" w:rsidR="0059689A" w:rsidRPr="00EA1F46" w:rsidRDefault="0059689A" w:rsidP="007B4BDC">
            <w:pPr>
              <w:pStyle w:val="Tablehead"/>
              <w:spacing w:before="40" w:after="40"/>
            </w:pPr>
            <w:r w:rsidRPr="00EA1F46">
              <w:t>6</w:t>
            </w:r>
          </w:p>
        </w:tc>
        <w:tc>
          <w:tcPr>
            <w:tcW w:w="854" w:type="dxa"/>
          </w:tcPr>
          <w:p w14:paraId="13132EA4" w14:textId="77777777" w:rsidR="0059689A" w:rsidRPr="00EA1F46" w:rsidRDefault="0059689A" w:rsidP="007B4BDC">
            <w:pPr>
              <w:pStyle w:val="Tablehead"/>
              <w:spacing w:before="40" w:after="40"/>
            </w:pPr>
            <w:r w:rsidRPr="00EA1F46">
              <w:t>7</w:t>
            </w:r>
          </w:p>
        </w:tc>
        <w:tc>
          <w:tcPr>
            <w:tcW w:w="856" w:type="dxa"/>
          </w:tcPr>
          <w:p w14:paraId="13132EA5" w14:textId="77777777" w:rsidR="0059689A" w:rsidRPr="00EA1F46" w:rsidRDefault="0059689A" w:rsidP="007B4BDC">
            <w:pPr>
              <w:pStyle w:val="Tablehead"/>
              <w:spacing w:before="40" w:after="40"/>
            </w:pPr>
            <w:r w:rsidRPr="00EA1F46">
              <w:t>8</w:t>
            </w:r>
          </w:p>
        </w:tc>
        <w:tc>
          <w:tcPr>
            <w:tcW w:w="854" w:type="dxa"/>
          </w:tcPr>
          <w:p w14:paraId="13132EA6" w14:textId="77777777" w:rsidR="0059689A" w:rsidRPr="00EA1F46" w:rsidRDefault="0059689A" w:rsidP="007B4BDC">
            <w:pPr>
              <w:pStyle w:val="Tablehead"/>
              <w:spacing w:before="40" w:after="40"/>
            </w:pPr>
            <w:r w:rsidRPr="00EA1F46">
              <w:t>9</w:t>
            </w:r>
          </w:p>
        </w:tc>
        <w:tc>
          <w:tcPr>
            <w:tcW w:w="850" w:type="dxa"/>
          </w:tcPr>
          <w:p w14:paraId="13132EA7" w14:textId="77777777" w:rsidR="0059689A" w:rsidRPr="00EA1F46" w:rsidRDefault="0059689A" w:rsidP="007B4BDC">
            <w:pPr>
              <w:pStyle w:val="Tablehead"/>
              <w:spacing w:before="40" w:after="40"/>
            </w:pPr>
            <w:r w:rsidRPr="00EA1F46">
              <w:t>10</w:t>
            </w:r>
          </w:p>
        </w:tc>
      </w:tr>
      <w:tr w:rsidR="0059689A" w:rsidRPr="00EA1F46" w14:paraId="13132EB4" w14:textId="77777777">
        <w:trPr>
          <w:jc w:val="center"/>
        </w:trPr>
        <w:tc>
          <w:tcPr>
            <w:tcW w:w="1191" w:type="dxa"/>
          </w:tcPr>
          <w:p w14:paraId="13132EA9" w14:textId="77777777" w:rsidR="0059689A" w:rsidRPr="00EA1F46" w:rsidRDefault="0059689A" w:rsidP="007B4BDC">
            <w:pPr>
              <w:pStyle w:val="Tabletext"/>
            </w:pPr>
            <w:r w:rsidRPr="00EA1F46">
              <w:rPr>
                <w:i/>
                <w:iCs/>
              </w:rPr>
              <w:t>x</w:t>
            </w:r>
            <w:r w:rsidRPr="00EA1F46">
              <w:rPr>
                <w:i/>
                <w:iCs/>
                <w:position w:val="-4"/>
                <w:sz w:val="18"/>
              </w:rPr>
              <w:t>j</w:t>
            </w:r>
            <w:r w:rsidRPr="00EA1F46">
              <w:t xml:space="preserve"> (km)</w:t>
            </w:r>
          </w:p>
        </w:tc>
        <w:tc>
          <w:tcPr>
            <w:tcW w:w="847" w:type="dxa"/>
          </w:tcPr>
          <w:p w14:paraId="13132EAA" w14:textId="77777777" w:rsidR="0059689A" w:rsidRPr="00EA1F46" w:rsidRDefault="0059689A" w:rsidP="007B4BDC">
            <w:pPr>
              <w:pStyle w:val="Tabletext"/>
              <w:jc w:val="center"/>
            </w:pPr>
            <w:r w:rsidRPr="00EA1F46">
              <w:t>3.75</w:t>
            </w:r>
          </w:p>
        </w:tc>
        <w:tc>
          <w:tcPr>
            <w:tcW w:w="922" w:type="dxa"/>
          </w:tcPr>
          <w:p w14:paraId="13132EAB" w14:textId="77777777" w:rsidR="0059689A" w:rsidRPr="00EA1F46" w:rsidRDefault="0059689A" w:rsidP="007B4BDC">
            <w:pPr>
              <w:pStyle w:val="Tabletext"/>
              <w:jc w:val="center"/>
            </w:pPr>
            <w:r w:rsidRPr="00EA1F46">
              <w:t>6.44</w:t>
            </w:r>
          </w:p>
        </w:tc>
        <w:tc>
          <w:tcPr>
            <w:tcW w:w="878" w:type="dxa"/>
          </w:tcPr>
          <w:p w14:paraId="13132EAC" w14:textId="77777777" w:rsidR="0059689A" w:rsidRPr="00EA1F46" w:rsidRDefault="0059689A" w:rsidP="007B4BDC">
            <w:pPr>
              <w:pStyle w:val="Tabletext"/>
              <w:jc w:val="center"/>
            </w:pPr>
            <w:r w:rsidRPr="00EA1F46">
              <w:t>3.71</w:t>
            </w:r>
          </w:p>
        </w:tc>
        <w:tc>
          <w:tcPr>
            <w:tcW w:w="878" w:type="dxa"/>
          </w:tcPr>
          <w:p w14:paraId="13132EAD" w14:textId="77777777" w:rsidR="0059689A" w:rsidRPr="00EA1F46" w:rsidRDefault="0059689A" w:rsidP="007B4BDC">
            <w:pPr>
              <w:pStyle w:val="Tabletext"/>
              <w:jc w:val="center"/>
            </w:pPr>
            <w:r w:rsidRPr="00EA1F46">
              <w:t>4.53</w:t>
            </w:r>
          </w:p>
        </w:tc>
        <w:tc>
          <w:tcPr>
            <w:tcW w:w="730" w:type="dxa"/>
          </w:tcPr>
          <w:p w14:paraId="13132EAE" w14:textId="77777777" w:rsidR="0059689A" w:rsidRPr="00EA1F46" w:rsidRDefault="0059689A" w:rsidP="007B4BDC">
            <w:pPr>
              <w:pStyle w:val="Tabletext"/>
              <w:jc w:val="center"/>
            </w:pPr>
            <w:r w:rsidRPr="00EA1F46">
              <w:t>6.71</w:t>
            </w:r>
          </w:p>
        </w:tc>
        <w:tc>
          <w:tcPr>
            <w:tcW w:w="854" w:type="dxa"/>
          </w:tcPr>
          <w:p w14:paraId="13132EAF" w14:textId="77777777" w:rsidR="0059689A" w:rsidRPr="00EA1F46" w:rsidRDefault="0059689A" w:rsidP="007B4BDC">
            <w:pPr>
              <w:pStyle w:val="Tabletext"/>
              <w:jc w:val="center"/>
            </w:pPr>
            <w:r w:rsidRPr="00EA1F46">
              <w:t>4.79</w:t>
            </w:r>
          </w:p>
        </w:tc>
        <w:tc>
          <w:tcPr>
            <w:tcW w:w="854" w:type="dxa"/>
          </w:tcPr>
          <w:p w14:paraId="13132EB0" w14:textId="77777777" w:rsidR="0059689A" w:rsidRPr="00EA1F46" w:rsidRDefault="0059689A" w:rsidP="007B4BDC">
            <w:pPr>
              <w:pStyle w:val="Tabletext"/>
              <w:jc w:val="center"/>
            </w:pPr>
            <w:r w:rsidRPr="00EA1F46">
              <w:t>6.21</w:t>
            </w:r>
          </w:p>
        </w:tc>
        <w:tc>
          <w:tcPr>
            <w:tcW w:w="856" w:type="dxa"/>
          </w:tcPr>
          <w:p w14:paraId="13132EB1" w14:textId="77777777" w:rsidR="0059689A" w:rsidRPr="00EA1F46" w:rsidRDefault="0059689A" w:rsidP="007B4BDC">
            <w:pPr>
              <w:pStyle w:val="Tabletext"/>
              <w:jc w:val="center"/>
            </w:pPr>
            <w:r w:rsidRPr="00EA1F46">
              <w:t>4.65</w:t>
            </w:r>
          </w:p>
        </w:tc>
        <w:tc>
          <w:tcPr>
            <w:tcW w:w="854" w:type="dxa"/>
          </w:tcPr>
          <w:p w14:paraId="13132EB2" w14:textId="77777777" w:rsidR="0059689A" w:rsidRPr="00EA1F46" w:rsidRDefault="0059689A" w:rsidP="007B4BDC">
            <w:pPr>
              <w:pStyle w:val="Tabletext"/>
              <w:jc w:val="center"/>
            </w:pPr>
            <w:r w:rsidRPr="00EA1F46">
              <w:t>5.94</w:t>
            </w:r>
          </w:p>
        </w:tc>
        <w:tc>
          <w:tcPr>
            <w:tcW w:w="850" w:type="dxa"/>
          </w:tcPr>
          <w:p w14:paraId="13132EB3" w14:textId="77777777" w:rsidR="0059689A" w:rsidRPr="00EA1F46" w:rsidRDefault="0059689A" w:rsidP="007B4BDC">
            <w:pPr>
              <w:pStyle w:val="Tabletext"/>
              <w:jc w:val="center"/>
            </w:pPr>
            <w:r w:rsidRPr="00EA1F46">
              <w:t>6.45</w:t>
            </w:r>
          </w:p>
        </w:tc>
      </w:tr>
      <w:tr w:rsidR="0059689A" w:rsidRPr="00EA1F46" w14:paraId="13132EC0" w14:textId="77777777">
        <w:trPr>
          <w:jc w:val="center"/>
        </w:trPr>
        <w:tc>
          <w:tcPr>
            <w:tcW w:w="1191" w:type="dxa"/>
          </w:tcPr>
          <w:p w14:paraId="13132EB5" w14:textId="77777777" w:rsidR="0059689A" w:rsidRPr="00EA1F46" w:rsidRDefault="0059689A" w:rsidP="007B4BDC">
            <w:pPr>
              <w:pStyle w:val="Tabletext"/>
            </w:pPr>
            <w:r w:rsidRPr="00EA1F46">
              <w:rPr>
                <w:i/>
                <w:iCs/>
              </w:rPr>
              <w:t>y</w:t>
            </w:r>
            <w:r w:rsidRPr="00EA1F46">
              <w:rPr>
                <w:i/>
                <w:iCs/>
                <w:position w:val="-4"/>
                <w:sz w:val="18"/>
              </w:rPr>
              <w:t>j</w:t>
            </w:r>
            <w:r w:rsidRPr="00EA1F46">
              <w:t xml:space="preserve"> (km)</w:t>
            </w:r>
          </w:p>
        </w:tc>
        <w:tc>
          <w:tcPr>
            <w:tcW w:w="847" w:type="dxa"/>
          </w:tcPr>
          <w:p w14:paraId="13132EB6" w14:textId="77777777" w:rsidR="0059689A" w:rsidRPr="00EA1F46" w:rsidRDefault="0059689A" w:rsidP="007B4BDC">
            <w:pPr>
              <w:pStyle w:val="Tabletext"/>
              <w:jc w:val="center"/>
            </w:pPr>
            <w:r w:rsidRPr="00EA1F46">
              <w:t>6.61</w:t>
            </w:r>
          </w:p>
        </w:tc>
        <w:tc>
          <w:tcPr>
            <w:tcW w:w="922" w:type="dxa"/>
          </w:tcPr>
          <w:p w14:paraId="13132EB7" w14:textId="77777777" w:rsidR="0059689A" w:rsidRPr="00EA1F46" w:rsidRDefault="0059689A" w:rsidP="007B4BDC">
            <w:pPr>
              <w:pStyle w:val="Tabletext"/>
              <w:jc w:val="center"/>
            </w:pPr>
            <w:r w:rsidRPr="00EA1F46">
              <w:t>6.4</w:t>
            </w:r>
          </w:p>
        </w:tc>
        <w:tc>
          <w:tcPr>
            <w:tcW w:w="878" w:type="dxa"/>
          </w:tcPr>
          <w:p w14:paraId="13132EB8" w14:textId="77777777" w:rsidR="0059689A" w:rsidRPr="00EA1F46" w:rsidRDefault="0059689A" w:rsidP="007B4BDC">
            <w:pPr>
              <w:pStyle w:val="Tabletext"/>
              <w:jc w:val="center"/>
            </w:pPr>
            <w:r w:rsidRPr="00EA1F46">
              <w:t>3.57</w:t>
            </w:r>
          </w:p>
        </w:tc>
        <w:tc>
          <w:tcPr>
            <w:tcW w:w="878" w:type="dxa"/>
          </w:tcPr>
          <w:p w14:paraId="13132EB9" w14:textId="77777777" w:rsidR="0059689A" w:rsidRPr="00EA1F46" w:rsidRDefault="0059689A" w:rsidP="007B4BDC">
            <w:pPr>
              <w:pStyle w:val="Tabletext"/>
              <w:jc w:val="center"/>
            </w:pPr>
            <w:r w:rsidRPr="00EA1F46">
              <w:t>3.99</w:t>
            </w:r>
          </w:p>
        </w:tc>
        <w:tc>
          <w:tcPr>
            <w:tcW w:w="730" w:type="dxa"/>
          </w:tcPr>
          <w:p w14:paraId="13132EBA" w14:textId="77777777" w:rsidR="0059689A" w:rsidRPr="00EA1F46" w:rsidRDefault="0059689A" w:rsidP="007B4BDC">
            <w:pPr>
              <w:pStyle w:val="Tabletext"/>
              <w:jc w:val="center"/>
            </w:pPr>
            <w:r w:rsidRPr="00EA1F46">
              <w:t>4.00</w:t>
            </w:r>
          </w:p>
        </w:tc>
        <w:tc>
          <w:tcPr>
            <w:tcW w:w="854" w:type="dxa"/>
          </w:tcPr>
          <w:p w14:paraId="13132EBB" w14:textId="77777777" w:rsidR="0059689A" w:rsidRPr="00EA1F46" w:rsidRDefault="0059689A" w:rsidP="007B4BDC">
            <w:pPr>
              <w:pStyle w:val="Tabletext"/>
              <w:jc w:val="center"/>
            </w:pPr>
            <w:r w:rsidRPr="00EA1F46">
              <w:t>5.25</w:t>
            </w:r>
          </w:p>
        </w:tc>
        <w:tc>
          <w:tcPr>
            <w:tcW w:w="854" w:type="dxa"/>
          </w:tcPr>
          <w:p w14:paraId="13132EBC" w14:textId="77777777" w:rsidR="0059689A" w:rsidRPr="00EA1F46" w:rsidRDefault="0059689A" w:rsidP="007B4BDC">
            <w:pPr>
              <w:pStyle w:val="Tabletext"/>
              <w:jc w:val="center"/>
            </w:pPr>
            <w:r w:rsidRPr="00EA1F46">
              <w:t>3.58</w:t>
            </w:r>
          </w:p>
        </w:tc>
        <w:tc>
          <w:tcPr>
            <w:tcW w:w="856" w:type="dxa"/>
          </w:tcPr>
          <w:p w14:paraId="13132EBD" w14:textId="77777777" w:rsidR="0059689A" w:rsidRPr="00EA1F46" w:rsidRDefault="0059689A" w:rsidP="007B4BDC">
            <w:pPr>
              <w:pStyle w:val="Tabletext"/>
              <w:jc w:val="center"/>
            </w:pPr>
            <w:r w:rsidRPr="00EA1F46">
              <w:t>5.58</w:t>
            </w:r>
          </w:p>
        </w:tc>
        <w:tc>
          <w:tcPr>
            <w:tcW w:w="854" w:type="dxa"/>
          </w:tcPr>
          <w:p w14:paraId="13132EBE" w14:textId="77777777" w:rsidR="0059689A" w:rsidRPr="00EA1F46" w:rsidRDefault="0059689A" w:rsidP="007B4BDC">
            <w:pPr>
              <w:pStyle w:val="Tabletext"/>
              <w:jc w:val="center"/>
            </w:pPr>
            <w:r w:rsidRPr="00EA1F46">
              <w:t>3.58</w:t>
            </w:r>
          </w:p>
        </w:tc>
        <w:tc>
          <w:tcPr>
            <w:tcW w:w="850" w:type="dxa"/>
          </w:tcPr>
          <w:p w14:paraId="13132EBF" w14:textId="77777777" w:rsidR="0059689A" w:rsidRPr="00EA1F46" w:rsidRDefault="0059689A" w:rsidP="007B4BDC">
            <w:pPr>
              <w:pStyle w:val="Tabletext"/>
              <w:jc w:val="center"/>
            </w:pPr>
            <w:r w:rsidRPr="00EA1F46">
              <w:t>6.21</w:t>
            </w:r>
          </w:p>
        </w:tc>
      </w:tr>
      <w:tr w:rsidR="0059689A" w:rsidRPr="00EA1F46" w14:paraId="13132ECC" w14:textId="77777777">
        <w:trPr>
          <w:jc w:val="center"/>
        </w:trPr>
        <w:tc>
          <w:tcPr>
            <w:tcW w:w="1191" w:type="dxa"/>
            <w:tcBorders>
              <w:bottom w:val="single" w:sz="4" w:space="0" w:color="auto"/>
            </w:tcBorders>
          </w:tcPr>
          <w:p w14:paraId="13132EC1" w14:textId="77777777" w:rsidR="0059689A" w:rsidRPr="00EA1F46" w:rsidRDefault="0059689A" w:rsidP="007B4BDC">
            <w:pPr>
              <w:pStyle w:val="Tabletext"/>
            </w:pPr>
            <w:proofErr w:type="spellStart"/>
            <w:r w:rsidRPr="00EA1F46">
              <w:t>Δ</w:t>
            </w:r>
            <w:r w:rsidRPr="00EA1F46">
              <w:rPr>
                <w:i/>
                <w:iCs/>
              </w:rPr>
              <w:t>f</w:t>
            </w:r>
            <w:proofErr w:type="spellEnd"/>
            <w:r w:rsidRPr="00EA1F46">
              <w:rPr>
                <w:i/>
                <w:iCs/>
                <w:position w:val="-4"/>
                <w:sz w:val="18"/>
              </w:rPr>
              <w:t>i</w:t>
            </w:r>
            <w:r w:rsidRPr="00EA1F46">
              <w:t xml:space="preserve"> (MHz)</w:t>
            </w:r>
          </w:p>
        </w:tc>
        <w:tc>
          <w:tcPr>
            <w:tcW w:w="847" w:type="dxa"/>
            <w:tcBorders>
              <w:bottom w:val="single" w:sz="4" w:space="0" w:color="auto"/>
            </w:tcBorders>
          </w:tcPr>
          <w:p w14:paraId="13132EC2" w14:textId="77777777" w:rsidR="0059689A" w:rsidRPr="00EA1F46" w:rsidRDefault="0059689A" w:rsidP="007B4BDC">
            <w:pPr>
              <w:pStyle w:val="Tabletext"/>
              <w:jc w:val="center"/>
            </w:pPr>
            <w:r w:rsidRPr="00EA1F46">
              <w:t>0</w:t>
            </w:r>
          </w:p>
        </w:tc>
        <w:tc>
          <w:tcPr>
            <w:tcW w:w="922" w:type="dxa"/>
            <w:tcBorders>
              <w:bottom w:val="single" w:sz="4" w:space="0" w:color="auto"/>
            </w:tcBorders>
          </w:tcPr>
          <w:p w14:paraId="13132EC3" w14:textId="77777777" w:rsidR="0059689A" w:rsidRPr="00EA1F46" w:rsidRDefault="0059689A" w:rsidP="007B4BDC">
            <w:pPr>
              <w:pStyle w:val="Tabletext"/>
              <w:jc w:val="center"/>
            </w:pPr>
            <w:r w:rsidRPr="00EA1F46">
              <w:t>0.144</w:t>
            </w:r>
          </w:p>
        </w:tc>
        <w:tc>
          <w:tcPr>
            <w:tcW w:w="878" w:type="dxa"/>
            <w:tcBorders>
              <w:bottom w:val="single" w:sz="4" w:space="0" w:color="auto"/>
            </w:tcBorders>
          </w:tcPr>
          <w:p w14:paraId="13132EC4" w14:textId="77777777" w:rsidR="0059689A" w:rsidRPr="00EA1F46" w:rsidRDefault="0059689A" w:rsidP="007B4BDC">
            <w:pPr>
              <w:pStyle w:val="Tabletext"/>
              <w:jc w:val="center"/>
            </w:pPr>
            <w:r w:rsidRPr="00EA1F46">
              <w:t>0</w:t>
            </w:r>
          </w:p>
        </w:tc>
        <w:tc>
          <w:tcPr>
            <w:tcW w:w="878" w:type="dxa"/>
            <w:tcBorders>
              <w:bottom w:val="single" w:sz="4" w:space="0" w:color="auto"/>
            </w:tcBorders>
          </w:tcPr>
          <w:p w14:paraId="13132EC5" w14:textId="77777777" w:rsidR="0059689A" w:rsidRPr="00EA1F46" w:rsidRDefault="0059689A" w:rsidP="007B4BDC">
            <w:pPr>
              <w:pStyle w:val="Tabletext"/>
              <w:jc w:val="center"/>
            </w:pPr>
            <w:r w:rsidRPr="00EA1F46">
              <w:t>0.161</w:t>
            </w:r>
          </w:p>
        </w:tc>
        <w:tc>
          <w:tcPr>
            <w:tcW w:w="730" w:type="dxa"/>
            <w:tcBorders>
              <w:bottom w:val="single" w:sz="4" w:space="0" w:color="auto"/>
            </w:tcBorders>
          </w:tcPr>
          <w:p w14:paraId="13132EC6" w14:textId="77777777" w:rsidR="0059689A" w:rsidRPr="00EA1F46" w:rsidRDefault="0059689A" w:rsidP="007B4BDC">
            <w:pPr>
              <w:pStyle w:val="Tabletext"/>
              <w:jc w:val="center"/>
            </w:pPr>
            <w:r w:rsidRPr="00EA1F46">
              <w:t>0.509</w:t>
            </w:r>
          </w:p>
        </w:tc>
        <w:tc>
          <w:tcPr>
            <w:tcW w:w="854" w:type="dxa"/>
            <w:tcBorders>
              <w:bottom w:val="single" w:sz="4" w:space="0" w:color="auto"/>
            </w:tcBorders>
          </w:tcPr>
          <w:p w14:paraId="13132EC7" w14:textId="77777777" w:rsidR="0059689A" w:rsidRPr="00EA1F46" w:rsidRDefault="0059689A" w:rsidP="007B4BDC">
            <w:pPr>
              <w:pStyle w:val="Tabletext"/>
              <w:jc w:val="center"/>
            </w:pPr>
            <w:r w:rsidRPr="00EA1F46">
              <w:t>0.408</w:t>
            </w:r>
          </w:p>
        </w:tc>
        <w:tc>
          <w:tcPr>
            <w:tcW w:w="854" w:type="dxa"/>
            <w:tcBorders>
              <w:bottom w:val="single" w:sz="4" w:space="0" w:color="auto"/>
            </w:tcBorders>
          </w:tcPr>
          <w:p w14:paraId="13132EC8" w14:textId="77777777" w:rsidR="0059689A" w:rsidRPr="00EA1F46" w:rsidRDefault="0059689A" w:rsidP="007B4BDC">
            <w:pPr>
              <w:pStyle w:val="Tabletext"/>
              <w:jc w:val="center"/>
            </w:pPr>
            <w:r w:rsidRPr="00EA1F46">
              <w:t>0.607</w:t>
            </w:r>
          </w:p>
        </w:tc>
        <w:tc>
          <w:tcPr>
            <w:tcW w:w="856" w:type="dxa"/>
            <w:tcBorders>
              <w:bottom w:val="single" w:sz="4" w:space="0" w:color="auto"/>
            </w:tcBorders>
          </w:tcPr>
          <w:p w14:paraId="13132EC9" w14:textId="77777777" w:rsidR="0059689A" w:rsidRPr="00EA1F46" w:rsidRDefault="0059689A" w:rsidP="007B4BDC">
            <w:pPr>
              <w:pStyle w:val="Tabletext"/>
              <w:jc w:val="center"/>
            </w:pPr>
            <w:r w:rsidRPr="00EA1F46">
              <w:t>0.813</w:t>
            </w:r>
          </w:p>
        </w:tc>
        <w:tc>
          <w:tcPr>
            <w:tcW w:w="854" w:type="dxa"/>
            <w:tcBorders>
              <w:bottom w:val="single" w:sz="4" w:space="0" w:color="auto"/>
            </w:tcBorders>
          </w:tcPr>
          <w:p w14:paraId="13132ECA" w14:textId="77777777" w:rsidR="0059689A" w:rsidRPr="00EA1F46" w:rsidRDefault="0059689A" w:rsidP="007B4BDC">
            <w:pPr>
              <w:pStyle w:val="Tabletext"/>
              <w:jc w:val="center"/>
            </w:pPr>
            <w:r w:rsidRPr="00EA1F46">
              <w:t>0.105</w:t>
            </w:r>
          </w:p>
        </w:tc>
        <w:tc>
          <w:tcPr>
            <w:tcW w:w="850" w:type="dxa"/>
            <w:tcBorders>
              <w:bottom w:val="single" w:sz="4" w:space="0" w:color="auto"/>
            </w:tcBorders>
          </w:tcPr>
          <w:p w14:paraId="13132ECB" w14:textId="77777777" w:rsidR="0059689A" w:rsidRPr="00EA1F46" w:rsidRDefault="0059689A" w:rsidP="007B4BDC">
            <w:pPr>
              <w:pStyle w:val="Tabletext"/>
              <w:jc w:val="center"/>
            </w:pPr>
            <w:r w:rsidRPr="00EA1F46">
              <w:t>0.460</w:t>
            </w:r>
          </w:p>
        </w:tc>
      </w:tr>
      <w:tr w:rsidR="0059689A" w:rsidRPr="00EA1F46" w14:paraId="13132ED8" w14:textId="77777777">
        <w:trPr>
          <w:jc w:val="center"/>
        </w:trPr>
        <w:tc>
          <w:tcPr>
            <w:tcW w:w="1191" w:type="dxa"/>
            <w:tcBorders>
              <w:top w:val="single" w:sz="4" w:space="0" w:color="auto"/>
              <w:left w:val="single" w:sz="4" w:space="0" w:color="auto"/>
              <w:bottom w:val="single" w:sz="4" w:space="0" w:color="auto"/>
              <w:right w:val="single" w:sz="4" w:space="0" w:color="auto"/>
            </w:tcBorders>
          </w:tcPr>
          <w:p w14:paraId="13132ECD" w14:textId="77777777" w:rsidR="0059689A" w:rsidRPr="00EA1F46" w:rsidRDefault="0059689A" w:rsidP="007B4BDC">
            <w:pPr>
              <w:pStyle w:val="Tablehead"/>
              <w:spacing w:before="40" w:after="40"/>
            </w:pPr>
            <w:r w:rsidRPr="00EA1F46">
              <w:t>No.</w:t>
            </w:r>
          </w:p>
        </w:tc>
        <w:tc>
          <w:tcPr>
            <w:tcW w:w="847" w:type="dxa"/>
            <w:tcBorders>
              <w:top w:val="single" w:sz="4" w:space="0" w:color="auto"/>
              <w:left w:val="single" w:sz="4" w:space="0" w:color="auto"/>
              <w:bottom w:val="single" w:sz="4" w:space="0" w:color="auto"/>
              <w:right w:val="single" w:sz="4" w:space="0" w:color="auto"/>
            </w:tcBorders>
          </w:tcPr>
          <w:p w14:paraId="13132ECE" w14:textId="77777777" w:rsidR="0059689A" w:rsidRPr="00EA1F46" w:rsidRDefault="0059689A" w:rsidP="007B4BDC">
            <w:pPr>
              <w:pStyle w:val="Tablehead"/>
              <w:spacing w:before="40" w:after="40"/>
            </w:pPr>
            <w:r w:rsidRPr="00EA1F46">
              <w:t>11</w:t>
            </w:r>
          </w:p>
        </w:tc>
        <w:tc>
          <w:tcPr>
            <w:tcW w:w="922" w:type="dxa"/>
            <w:tcBorders>
              <w:top w:val="single" w:sz="4" w:space="0" w:color="auto"/>
              <w:left w:val="single" w:sz="4" w:space="0" w:color="auto"/>
              <w:bottom w:val="single" w:sz="4" w:space="0" w:color="auto"/>
              <w:right w:val="single" w:sz="4" w:space="0" w:color="auto"/>
            </w:tcBorders>
          </w:tcPr>
          <w:p w14:paraId="13132ECF" w14:textId="77777777" w:rsidR="0059689A" w:rsidRPr="00EA1F46" w:rsidRDefault="0059689A" w:rsidP="007B4BDC">
            <w:pPr>
              <w:pStyle w:val="Tablehead"/>
              <w:spacing w:before="40" w:after="40"/>
            </w:pPr>
            <w:r w:rsidRPr="00EA1F46">
              <w:t>12</w:t>
            </w:r>
          </w:p>
        </w:tc>
        <w:tc>
          <w:tcPr>
            <w:tcW w:w="878" w:type="dxa"/>
            <w:tcBorders>
              <w:top w:val="single" w:sz="4" w:space="0" w:color="auto"/>
              <w:left w:val="single" w:sz="4" w:space="0" w:color="auto"/>
              <w:bottom w:val="single" w:sz="4" w:space="0" w:color="auto"/>
              <w:right w:val="single" w:sz="4" w:space="0" w:color="auto"/>
            </w:tcBorders>
          </w:tcPr>
          <w:p w14:paraId="13132ED0" w14:textId="77777777" w:rsidR="0059689A" w:rsidRPr="00EA1F46" w:rsidRDefault="0059689A" w:rsidP="007B4BDC">
            <w:pPr>
              <w:pStyle w:val="Tablehead"/>
              <w:spacing w:before="40" w:after="40"/>
            </w:pPr>
            <w:r w:rsidRPr="00EA1F46">
              <w:t>13</w:t>
            </w:r>
          </w:p>
        </w:tc>
        <w:tc>
          <w:tcPr>
            <w:tcW w:w="878" w:type="dxa"/>
            <w:tcBorders>
              <w:top w:val="single" w:sz="4" w:space="0" w:color="auto"/>
              <w:left w:val="single" w:sz="4" w:space="0" w:color="auto"/>
              <w:bottom w:val="single" w:sz="4" w:space="0" w:color="auto"/>
              <w:right w:val="single" w:sz="4" w:space="0" w:color="auto"/>
            </w:tcBorders>
          </w:tcPr>
          <w:p w14:paraId="13132ED1" w14:textId="77777777" w:rsidR="0059689A" w:rsidRPr="00EA1F46" w:rsidRDefault="0059689A" w:rsidP="007B4BDC">
            <w:pPr>
              <w:pStyle w:val="Tablehead"/>
              <w:spacing w:before="40" w:after="40"/>
            </w:pPr>
            <w:r w:rsidRPr="00EA1F46">
              <w:t>14</w:t>
            </w:r>
          </w:p>
        </w:tc>
        <w:tc>
          <w:tcPr>
            <w:tcW w:w="730" w:type="dxa"/>
            <w:tcBorders>
              <w:top w:val="single" w:sz="4" w:space="0" w:color="auto"/>
              <w:left w:val="single" w:sz="4" w:space="0" w:color="auto"/>
              <w:bottom w:val="single" w:sz="4" w:space="0" w:color="auto"/>
              <w:right w:val="single" w:sz="4" w:space="0" w:color="auto"/>
            </w:tcBorders>
          </w:tcPr>
          <w:p w14:paraId="13132ED2" w14:textId="77777777" w:rsidR="0059689A" w:rsidRPr="00EA1F46" w:rsidRDefault="0059689A" w:rsidP="007B4BDC">
            <w:pPr>
              <w:pStyle w:val="Tablehead"/>
              <w:spacing w:before="40" w:after="40"/>
            </w:pPr>
            <w:r w:rsidRPr="00EA1F46">
              <w:t>15</w:t>
            </w:r>
          </w:p>
        </w:tc>
        <w:tc>
          <w:tcPr>
            <w:tcW w:w="854" w:type="dxa"/>
            <w:tcBorders>
              <w:top w:val="single" w:sz="4" w:space="0" w:color="auto"/>
              <w:left w:val="single" w:sz="4" w:space="0" w:color="auto"/>
              <w:bottom w:val="single" w:sz="4" w:space="0" w:color="auto"/>
              <w:right w:val="single" w:sz="4" w:space="0" w:color="auto"/>
            </w:tcBorders>
          </w:tcPr>
          <w:p w14:paraId="13132ED3" w14:textId="77777777" w:rsidR="0059689A" w:rsidRPr="00EA1F46" w:rsidRDefault="0059689A" w:rsidP="007B4BDC">
            <w:pPr>
              <w:pStyle w:val="Tablehead"/>
              <w:spacing w:before="40" w:after="40"/>
            </w:pPr>
            <w:r w:rsidRPr="00EA1F46">
              <w:t>16</w:t>
            </w:r>
          </w:p>
        </w:tc>
        <w:tc>
          <w:tcPr>
            <w:tcW w:w="854" w:type="dxa"/>
            <w:tcBorders>
              <w:top w:val="single" w:sz="4" w:space="0" w:color="auto"/>
              <w:left w:val="single" w:sz="4" w:space="0" w:color="auto"/>
              <w:bottom w:val="single" w:sz="4" w:space="0" w:color="auto"/>
              <w:right w:val="single" w:sz="4" w:space="0" w:color="auto"/>
            </w:tcBorders>
          </w:tcPr>
          <w:p w14:paraId="13132ED4" w14:textId="77777777" w:rsidR="0059689A" w:rsidRPr="00EA1F46" w:rsidRDefault="0059689A" w:rsidP="007B4BDC">
            <w:pPr>
              <w:pStyle w:val="Tablehead"/>
              <w:spacing w:before="40" w:after="40"/>
            </w:pPr>
            <w:r w:rsidRPr="00EA1F46">
              <w:t>17</w:t>
            </w:r>
          </w:p>
        </w:tc>
        <w:tc>
          <w:tcPr>
            <w:tcW w:w="856" w:type="dxa"/>
            <w:tcBorders>
              <w:top w:val="single" w:sz="4" w:space="0" w:color="auto"/>
              <w:left w:val="single" w:sz="4" w:space="0" w:color="auto"/>
              <w:bottom w:val="single" w:sz="4" w:space="0" w:color="auto"/>
              <w:right w:val="single" w:sz="4" w:space="0" w:color="auto"/>
            </w:tcBorders>
          </w:tcPr>
          <w:p w14:paraId="13132ED5" w14:textId="77777777" w:rsidR="0059689A" w:rsidRPr="00EA1F46" w:rsidRDefault="0059689A" w:rsidP="007B4BDC">
            <w:pPr>
              <w:pStyle w:val="Tablehead"/>
              <w:spacing w:before="40" w:after="40"/>
            </w:pPr>
            <w:r w:rsidRPr="00EA1F46">
              <w:t>18</w:t>
            </w:r>
          </w:p>
        </w:tc>
        <w:tc>
          <w:tcPr>
            <w:tcW w:w="854" w:type="dxa"/>
            <w:tcBorders>
              <w:top w:val="single" w:sz="4" w:space="0" w:color="auto"/>
              <w:left w:val="single" w:sz="4" w:space="0" w:color="auto"/>
              <w:bottom w:val="single" w:sz="4" w:space="0" w:color="auto"/>
              <w:right w:val="single" w:sz="4" w:space="0" w:color="auto"/>
            </w:tcBorders>
          </w:tcPr>
          <w:p w14:paraId="13132ED6" w14:textId="77777777" w:rsidR="0059689A" w:rsidRPr="00EA1F46" w:rsidRDefault="0059689A" w:rsidP="007B4BDC">
            <w:pPr>
              <w:pStyle w:val="Tablehead"/>
              <w:spacing w:before="40" w:after="40"/>
            </w:pPr>
            <w:r w:rsidRPr="00EA1F46">
              <w:t>19</w:t>
            </w:r>
          </w:p>
        </w:tc>
        <w:tc>
          <w:tcPr>
            <w:tcW w:w="850" w:type="dxa"/>
            <w:tcBorders>
              <w:top w:val="single" w:sz="4" w:space="0" w:color="auto"/>
              <w:left w:val="single" w:sz="4" w:space="0" w:color="auto"/>
              <w:bottom w:val="single" w:sz="4" w:space="0" w:color="auto"/>
              <w:right w:val="single" w:sz="4" w:space="0" w:color="auto"/>
            </w:tcBorders>
          </w:tcPr>
          <w:p w14:paraId="13132ED7" w14:textId="77777777" w:rsidR="0059689A" w:rsidRPr="00EA1F46" w:rsidRDefault="0059689A" w:rsidP="007B4BDC">
            <w:pPr>
              <w:pStyle w:val="Tablehead"/>
              <w:spacing w:before="40" w:after="40"/>
            </w:pPr>
            <w:r w:rsidRPr="00EA1F46">
              <w:t>20</w:t>
            </w:r>
          </w:p>
        </w:tc>
      </w:tr>
      <w:tr w:rsidR="0059689A" w:rsidRPr="00EA1F46" w14:paraId="13132EE4" w14:textId="77777777">
        <w:trPr>
          <w:jc w:val="center"/>
        </w:trPr>
        <w:tc>
          <w:tcPr>
            <w:tcW w:w="1191" w:type="dxa"/>
            <w:tcBorders>
              <w:top w:val="single" w:sz="4" w:space="0" w:color="auto"/>
            </w:tcBorders>
          </w:tcPr>
          <w:p w14:paraId="13132ED9" w14:textId="77777777" w:rsidR="0059689A" w:rsidRPr="00EA1F46" w:rsidRDefault="0059689A" w:rsidP="007B4BDC">
            <w:pPr>
              <w:pStyle w:val="Tabletext"/>
            </w:pPr>
            <w:r w:rsidRPr="00EA1F46">
              <w:rPr>
                <w:i/>
                <w:iCs/>
              </w:rPr>
              <w:t>x</w:t>
            </w:r>
            <w:r w:rsidRPr="00EA1F46">
              <w:rPr>
                <w:i/>
                <w:iCs/>
                <w:position w:val="-4"/>
                <w:sz w:val="18"/>
              </w:rPr>
              <w:t>j</w:t>
            </w:r>
            <w:r w:rsidRPr="00EA1F46">
              <w:t xml:space="preserve"> (km)</w:t>
            </w:r>
          </w:p>
        </w:tc>
        <w:tc>
          <w:tcPr>
            <w:tcW w:w="847" w:type="dxa"/>
            <w:tcBorders>
              <w:top w:val="single" w:sz="4" w:space="0" w:color="auto"/>
            </w:tcBorders>
          </w:tcPr>
          <w:p w14:paraId="13132EDA" w14:textId="77777777" w:rsidR="0059689A" w:rsidRPr="00EA1F46" w:rsidRDefault="0059689A" w:rsidP="007B4BDC">
            <w:pPr>
              <w:pStyle w:val="Tabletext"/>
              <w:jc w:val="center"/>
            </w:pPr>
            <w:r w:rsidRPr="00EA1F46">
              <w:t>6.01</w:t>
            </w:r>
          </w:p>
        </w:tc>
        <w:tc>
          <w:tcPr>
            <w:tcW w:w="922" w:type="dxa"/>
            <w:tcBorders>
              <w:top w:val="single" w:sz="4" w:space="0" w:color="auto"/>
            </w:tcBorders>
          </w:tcPr>
          <w:p w14:paraId="13132EDB" w14:textId="77777777" w:rsidR="0059689A" w:rsidRPr="00EA1F46" w:rsidRDefault="0059689A" w:rsidP="007B4BDC">
            <w:pPr>
              <w:pStyle w:val="Tabletext"/>
              <w:jc w:val="center"/>
            </w:pPr>
            <w:r w:rsidRPr="00EA1F46">
              <w:t>4.57</w:t>
            </w:r>
          </w:p>
        </w:tc>
        <w:tc>
          <w:tcPr>
            <w:tcW w:w="878" w:type="dxa"/>
            <w:tcBorders>
              <w:top w:val="single" w:sz="4" w:space="0" w:color="auto"/>
            </w:tcBorders>
          </w:tcPr>
          <w:p w14:paraId="13132EDC" w14:textId="77777777" w:rsidR="0059689A" w:rsidRPr="00EA1F46" w:rsidRDefault="0059689A" w:rsidP="007B4BDC">
            <w:pPr>
              <w:pStyle w:val="Tabletext"/>
              <w:jc w:val="center"/>
            </w:pPr>
            <w:r w:rsidRPr="00EA1F46">
              <w:t>4.07</w:t>
            </w:r>
          </w:p>
        </w:tc>
        <w:tc>
          <w:tcPr>
            <w:tcW w:w="878" w:type="dxa"/>
            <w:tcBorders>
              <w:top w:val="single" w:sz="4" w:space="0" w:color="auto"/>
            </w:tcBorders>
          </w:tcPr>
          <w:p w14:paraId="13132EDD" w14:textId="77777777" w:rsidR="0059689A" w:rsidRPr="00EA1F46" w:rsidRDefault="0059689A" w:rsidP="007B4BDC">
            <w:pPr>
              <w:pStyle w:val="Tabletext"/>
              <w:jc w:val="center"/>
            </w:pPr>
            <w:r w:rsidRPr="00EA1F46">
              <w:t>4.65</w:t>
            </w:r>
          </w:p>
        </w:tc>
        <w:tc>
          <w:tcPr>
            <w:tcW w:w="730" w:type="dxa"/>
            <w:tcBorders>
              <w:top w:val="single" w:sz="4" w:space="0" w:color="auto"/>
            </w:tcBorders>
          </w:tcPr>
          <w:p w14:paraId="13132EDE" w14:textId="77777777" w:rsidR="0059689A" w:rsidRPr="00EA1F46" w:rsidRDefault="0059689A" w:rsidP="007B4BDC">
            <w:pPr>
              <w:pStyle w:val="Tabletext"/>
              <w:jc w:val="center"/>
            </w:pPr>
            <w:r w:rsidRPr="00EA1F46">
              <w:t>5.13</w:t>
            </w:r>
          </w:p>
        </w:tc>
        <w:tc>
          <w:tcPr>
            <w:tcW w:w="854" w:type="dxa"/>
            <w:tcBorders>
              <w:top w:val="single" w:sz="4" w:space="0" w:color="auto"/>
            </w:tcBorders>
          </w:tcPr>
          <w:p w14:paraId="13132EDF" w14:textId="77777777" w:rsidR="0059689A" w:rsidRPr="00EA1F46" w:rsidRDefault="0059689A" w:rsidP="007B4BDC">
            <w:pPr>
              <w:pStyle w:val="Tabletext"/>
              <w:jc w:val="center"/>
            </w:pPr>
            <w:r w:rsidRPr="00EA1F46">
              <w:t>4.36</w:t>
            </w:r>
          </w:p>
        </w:tc>
        <w:tc>
          <w:tcPr>
            <w:tcW w:w="854" w:type="dxa"/>
            <w:tcBorders>
              <w:top w:val="single" w:sz="4" w:space="0" w:color="auto"/>
            </w:tcBorders>
          </w:tcPr>
          <w:p w14:paraId="13132EE0" w14:textId="77777777" w:rsidR="0059689A" w:rsidRPr="00EA1F46" w:rsidRDefault="0059689A" w:rsidP="007B4BDC">
            <w:pPr>
              <w:pStyle w:val="Tabletext"/>
              <w:jc w:val="center"/>
            </w:pPr>
            <w:r w:rsidRPr="00EA1F46">
              <w:t>6.39</w:t>
            </w:r>
          </w:p>
        </w:tc>
        <w:tc>
          <w:tcPr>
            <w:tcW w:w="856" w:type="dxa"/>
            <w:tcBorders>
              <w:top w:val="single" w:sz="4" w:space="0" w:color="auto"/>
            </w:tcBorders>
          </w:tcPr>
          <w:p w14:paraId="13132EE1" w14:textId="77777777" w:rsidR="0059689A" w:rsidRPr="00EA1F46" w:rsidRDefault="0059689A" w:rsidP="007B4BDC">
            <w:pPr>
              <w:pStyle w:val="Tabletext"/>
              <w:jc w:val="center"/>
            </w:pPr>
            <w:r w:rsidRPr="00EA1F46">
              <w:t>4.48</w:t>
            </w:r>
          </w:p>
        </w:tc>
        <w:tc>
          <w:tcPr>
            <w:tcW w:w="854" w:type="dxa"/>
            <w:tcBorders>
              <w:top w:val="single" w:sz="4" w:space="0" w:color="auto"/>
            </w:tcBorders>
          </w:tcPr>
          <w:p w14:paraId="13132EE2" w14:textId="77777777" w:rsidR="0059689A" w:rsidRPr="00EA1F46" w:rsidRDefault="0059689A" w:rsidP="007B4BDC">
            <w:pPr>
              <w:pStyle w:val="Tabletext"/>
              <w:jc w:val="center"/>
            </w:pPr>
            <w:r w:rsidRPr="00EA1F46">
              <w:t>5.19</w:t>
            </w:r>
          </w:p>
        </w:tc>
        <w:tc>
          <w:tcPr>
            <w:tcW w:w="850" w:type="dxa"/>
            <w:tcBorders>
              <w:top w:val="single" w:sz="4" w:space="0" w:color="auto"/>
            </w:tcBorders>
          </w:tcPr>
          <w:p w14:paraId="13132EE3" w14:textId="77777777" w:rsidR="0059689A" w:rsidRPr="00EA1F46" w:rsidRDefault="0059689A" w:rsidP="007B4BDC">
            <w:pPr>
              <w:pStyle w:val="Tabletext"/>
              <w:jc w:val="center"/>
            </w:pPr>
            <w:r w:rsidRPr="00EA1F46">
              <w:t>4.02</w:t>
            </w:r>
          </w:p>
        </w:tc>
      </w:tr>
      <w:tr w:rsidR="0059689A" w:rsidRPr="00EA1F46" w14:paraId="13132EF0" w14:textId="77777777">
        <w:trPr>
          <w:jc w:val="center"/>
        </w:trPr>
        <w:tc>
          <w:tcPr>
            <w:tcW w:w="1191" w:type="dxa"/>
          </w:tcPr>
          <w:p w14:paraId="13132EE5" w14:textId="77777777" w:rsidR="0059689A" w:rsidRPr="00EA1F46" w:rsidRDefault="0059689A" w:rsidP="007B4BDC">
            <w:pPr>
              <w:pStyle w:val="Tabletext"/>
            </w:pPr>
            <w:r w:rsidRPr="00EA1F46">
              <w:rPr>
                <w:i/>
                <w:iCs/>
              </w:rPr>
              <w:t>y</w:t>
            </w:r>
            <w:r w:rsidRPr="00EA1F46">
              <w:rPr>
                <w:i/>
                <w:iCs/>
                <w:position w:val="-4"/>
                <w:sz w:val="18"/>
              </w:rPr>
              <w:t>j</w:t>
            </w:r>
            <w:r w:rsidRPr="00EA1F46">
              <w:t xml:space="preserve"> (km)</w:t>
            </w:r>
          </w:p>
        </w:tc>
        <w:tc>
          <w:tcPr>
            <w:tcW w:w="847" w:type="dxa"/>
          </w:tcPr>
          <w:p w14:paraId="13132EE6" w14:textId="77777777" w:rsidR="0059689A" w:rsidRPr="00EA1F46" w:rsidRDefault="0059689A" w:rsidP="007B4BDC">
            <w:pPr>
              <w:pStyle w:val="Tabletext"/>
              <w:jc w:val="center"/>
            </w:pPr>
            <w:r w:rsidRPr="00EA1F46">
              <w:t>5.78</w:t>
            </w:r>
          </w:p>
        </w:tc>
        <w:tc>
          <w:tcPr>
            <w:tcW w:w="922" w:type="dxa"/>
          </w:tcPr>
          <w:p w14:paraId="13132EE7" w14:textId="77777777" w:rsidR="0059689A" w:rsidRPr="00EA1F46" w:rsidRDefault="0059689A" w:rsidP="007B4BDC">
            <w:pPr>
              <w:pStyle w:val="Tabletext"/>
              <w:jc w:val="center"/>
            </w:pPr>
            <w:r w:rsidRPr="00EA1F46">
              <w:t>6.20</w:t>
            </w:r>
          </w:p>
        </w:tc>
        <w:tc>
          <w:tcPr>
            <w:tcW w:w="878" w:type="dxa"/>
          </w:tcPr>
          <w:p w14:paraId="13132EE8" w14:textId="77777777" w:rsidR="0059689A" w:rsidRPr="00EA1F46" w:rsidRDefault="0059689A" w:rsidP="007B4BDC">
            <w:pPr>
              <w:pStyle w:val="Tabletext"/>
              <w:jc w:val="center"/>
            </w:pPr>
            <w:r w:rsidRPr="00EA1F46">
              <w:t>5.98</w:t>
            </w:r>
          </w:p>
        </w:tc>
        <w:tc>
          <w:tcPr>
            <w:tcW w:w="878" w:type="dxa"/>
          </w:tcPr>
          <w:p w14:paraId="13132EE9" w14:textId="77777777" w:rsidR="0059689A" w:rsidRPr="00EA1F46" w:rsidRDefault="0059689A" w:rsidP="007B4BDC">
            <w:pPr>
              <w:pStyle w:val="Tabletext"/>
              <w:jc w:val="center"/>
            </w:pPr>
            <w:r w:rsidRPr="00EA1F46">
              <w:t>5.45</w:t>
            </w:r>
          </w:p>
        </w:tc>
        <w:tc>
          <w:tcPr>
            <w:tcW w:w="730" w:type="dxa"/>
          </w:tcPr>
          <w:p w14:paraId="13132EEA" w14:textId="77777777" w:rsidR="0059689A" w:rsidRPr="00EA1F46" w:rsidRDefault="0059689A" w:rsidP="007B4BDC">
            <w:pPr>
              <w:pStyle w:val="Tabletext"/>
              <w:jc w:val="center"/>
            </w:pPr>
            <w:r w:rsidRPr="00EA1F46">
              <w:t>4.22</w:t>
            </w:r>
          </w:p>
        </w:tc>
        <w:tc>
          <w:tcPr>
            <w:tcW w:w="854" w:type="dxa"/>
          </w:tcPr>
          <w:p w14:paraId="13132EEB" w14:textId="77777777" w:rsidR="0059689A" w:rsidRPr="00EA1F46" w:rsidRDefault="0059689A" w:rsidP="007B4BDC">
            <w:pPr>
              <w:pStyle w:val="Tabletext"/>
              <w:jc w:val="center"/>
            </w:pPr>
            <w:r w:rsidRPr="00EA1F46">
              <w:t>5.88</w:t>
            </w:r>
          </w:p>
        </w:tc>
        <w:tc>
          <w:tcPr>
            <w:tcW w:w="854" w:type="dxa"/>
          </w:tcPr>
          <w:p w14:paraId="13132EEC" w14:textId="77777777" w:rsidR="0059689A" w:rsidRPr="00EA1F46" w:rsidRDefault="0059689A" w:rsidP="007B4BDC">
            <w:pPr>
              <w:pStyle w:val="Tabletext"/>
              <w:jc w:val="center"/>
            </w:pPr>
            <w:r w:rsidRPr="00EA1F46">
              <w:t>5.57</w:t>
            </w:r>
          </w:p>
        </w:tc>
        <w:tc>
          <w:tcPr>
            <w:tcW w:w="856" w:type="dxa"/>
          </w:tcPr>
          <w:p w14:paraId="13132EED" w14:textId="77777777" w:rsidR="0059689A" w:rsidRPr="00EA1F46" w:rsidRDefault="0059689A" w:rsidP="007B4BDC">
            <w:pPr>
              <w:pStyle w:val="Tabletext"/>
              <w:jc w:val="center"/>
            </w:pPr>
            <w:r w:rsidRPr="00EA1F46">
              <w:t>6.84</w:t>
            </w:r>
          </w:p>
        </w:tc>
        <w:tc>
          <w:tcPr>
            <w:tcW w:w="854" w:type="dxa"/>
          </w:tcPr>
          <w:p w14:paraId="13132EEE" w14:textId="77777777" w:rsidR="0059689A" w:rsidRPr="00EA1F46" w:rsidRDefault="0059689A" w:rsidP="007B4BDC">
            <w:pPr>
              <w:pStyle w:val="Tabletext"/>
              <w:jc w:val="center"/>
            </w:pPr>
            <w:r w:rsidRPr="00EA1F46">
              <w:t>5.75</w:t>
            </w:r>
          </w:p>
        </w:tc>
        <w:tc>
          <w:tcPr>
            <w:tcW w:w="850" w:type="dxa"/>
          </w:tcPr>
          <w:p w14:paraId="13132EEF" w14:textId="77777777" w:rsidR="0059689A" w:rsidRPr="00EA1F46" w:rsidRDefault="0059689A" w:rsidP="007B4BDC">
            <w:pPr>
              <w:pStyle w:val="Tabletext"/>
              <w:jc w:val="center"/>
            </w:pPr>
            <w:r w:rsidRPr="00EA1F46">
              <w:t>6.99</w:t>
            </w:r>
          </w:p>
        </w:tc>
      </w:tr>
      <w:tr w:rsidR="0059689A" w:rsidRPr="00EA1F46" w14:paraId="13132EFC" w14:textId="77777777">
        <w:trPr>
          <w:jc w:val="center"/>
        </w:trPr>
        <w:tc>
          <w:tcPr>
            <w:tcW w:w="1191" w:type="dxa"/>
            <w:tcBorders>
              <w:bottom w:val="single" w:sz="4" w:space="0" w:color="auto"/>
            </w:tcBorders>
          </w:tcPr>
          <w:p w14:paraId="13132EF1" w14:textId="77777777" w:rsidR="0059689A" w:rsidRPr="00EA1F46" w:rsidRDefault="0059689A" w:rsidP="007B4BDC">
            <w:pPr>
              <w:pStyle w:val="Tabletext"/>
            </w:pPr>
            <w:proofErr w:type="spellStart"/>
            <w:r w:rsidRPr="00EA1F46">
              <w:t>Δ</w:t>
            </w:r>
            <w:r w:rsidRPr="00EA1F46">
              <w:rPr>
                <w:i/>
                <w:iCs/>
              </w:rPr>
              <w:t>f</w:t>
            </w:r>
            <w:proofErr w:type="spellEnd"/>
            <w:r w:rsidRPr="00EA1F46">
              <w:rPr>
                <w:i/>
                <w:iCs/>
                <w:position w:val="-4"/>
                <w:sz w:val="18"/>
              </w:rPr>
              <w:t>i</w:t>
            </w:r>
            <w:r w:rsidRPr="00EA1F46">
              <w:t xml:space="preserve"> (MHz)</w:t>
            </w:r>
          </w:p>
        </w:tc>
        <w:tc>
          <w:tcPr>
            <w:tcW w:w="847" w:type="dxa"/>
            <w:tcBorders>
              <w:bottom w:val="single" w:sz="4" w:space="0" w:color="auto"/>
            </w:tcBorders>
          </w:tcPr>
          <w:p w14:paraId="13132EF2" w14:textId="77777777" w:rsidR="0059689A" w:rsidRPr="00EA1F46" w:rsidRDefault="0059689A" w:rsidP="007B4BDC">
            <w:pPr>
              <w:pStyle w:val="Tabletext"/>
              <w:jc w:val="center"/>
            </w:pPr>
            <w:r w:rsidRPr="00EA1F46">
              <w:t>0.871</w:t>
            </w:r>
          </w:p>
        </w:tc>
        <w:tc>
          <w:tcPr>
            <w:tcW w:w="922" w:type="dxa"/>
            <w:tcBorders>
              <w:bottom w:val="single" w:sz="4" w:space="0" w:color="auto"/>
            </w:tcBorders>
          </w:tcPr>
          <w:p w14:paraId="13132EF3" w14:textId="77777777" w:rsidR="0059689A" w:rsidRPr="00EA1F46" w:rsidRDefault="0059689A" w:rsidP="007B4BDC">
            <w:pPr>
              <w:pStyle w:val="Tabletext"/>
              <w:jc w:val="center"/>
            </w:pPr>
            <w:r w:rsidRPr="00EA1F46">
              <w:t>0.616</w:t>
            </w:r>
          </w:p>
        </w:tc>
        <w:tc>
          <w:tcPr>
            <w:tcW w:w="878" w:type="dxa"/>
            <w:tcBorders>
              <w:bottom w:val="single" w:sz="4" w:space="0" w:color="auto"/>
            </w:tcBorders>
          </w:tcPr>
          <w:p w14:paraId="13132EF4" w14:textId="77777777" w:rsidR="0059689A" w:rsidRPr="00EA1F46" w:rsidRDefault="0059689A" w:rsidP="007B4BDC">
            <w:pPr>
              <w:pStyle w:val="Tabletext"/>
              <w:jc w:val="center"/>
            </w:pPr>
            <w:r w:rsidRPr="00EA1F46">
              <w:t>0.089</w:t>
            </w:r>
          </w:p>
        </w:tc>
        <w:tc>
          <w:tcPr>
            <w:tcW w:w="878" w:type="dxa"/>
            <w:tcBorders>
              <w:bottom w:val="single" w:sz="4" w:space="0" w:color="auto"/>
            </w:tcBorders>
          </w:tcPr>
          <w:p w14:paraId="13132EF5" w14:textId="77777777" w:rsidR="0059689A" w:rsidRPr="00EA1F46" w:rsidRDefault="0059689A" w:rsidP="007B4BDC">
            <w:pPr>
              <w:pStyle w:val="Tabletext"/>
              <w:jc w:val="center"/>
            </w:pPr>
            <w:r w:rsidRPr="00EA1F46">
              <w:t>0.927</w:t>
            </w:r>
          </w:p>
        </w:tc>
        <w:tc>
          <w:tcPr>
            <w:tcW w:w="730" w:type="dxa"/>
            <w:tcBorders>
              <w:bottom w:val="single" w:sz="4" w:space="0" w:color="auto"/>
            </w:tcBorders>
          </w:tcPr>
          <w:p w14:paraId="13132EF6" w14:textId="77777777" w:rsidR="0059689A" w:rsidRPr="00EA1F46" w:rsidRDefault="0059689A" w:rsidP="007B4BDC">
            <w:pPr>
              <w:pStyle w:val="Tabletext"/>
              <w:jc w:val="center"/>
            </w:pPr>
            <w:r w:rsidRPr="00EA1F46">
              <w:t>0.311</w:t>
            </w:r>
          </w:p>
        </w:tc>
        <w:tc>
          <w:tcPr>
            <w:tcW w:w="854" w:type="dxa"/>
            <w:tcBorders>
              <w:bottom w:val="single" w:sz="4" w:space="0" w:color="auto"/>
            </w:tcBorders>
          </w:tcPr>
          <w:p w14:paraId="13132EF7" w14:textId="77777777" w:rsidR="0059689A" w:rsidRPr="00EA1F46" w:rsidRDefault="0059689A" w:rsidP="007B4BDC">
            <w:pPr>
              <w:pStyle w:val="Tabletext"/>
              <w:jc w:val="center"/>
            </w:pPr>
            <w:r w:rsidRPr="00EA1F46">
              <w:t>0.510</w:t>
            </w:r>
          </w:p>
        </w:tc>
        <w:tc>
          <w:tcPr>
            <w:tcW w:w="854" w:type="dxa"/>
            <w:tcBorders>
              <w:bottom w:val="single" w:sz="4" w:space="0" w:color="auto"/>
            </w:tcBorders>
          </w:tcPr>
          <w:p w14:paraId="13132EF8" w14:textId="77777777" w:rsidR="0059689A" w:rsidRPr="00EA1F46" w:rsidRDefault="0059689A" w:rsidP="007B4BDC">
            <w:pPr>
              <w:pStyle w:val="Tabletext"/>
              <w:jc w:val="center"/>
            </w:pPr>
            <w:r w:rsidRPr="00EA1F46">
              <w:t>0.668</w:t>
            </w:r>
          </w:p>
        </w:tc>
        <w:tc>
          <w:tcPr>
            <w:tcW w:w="856" w:type="dxa"/>
            <w:tcBorders>
              <w:bottom w:val="single" w:sz="4" w:space="0" w:color="auto"/>
            </w:tcBorders>
          </w:tcPr>
          <w:p w14:paraId="13132EF9" w14:textId="77777777" w:rsidR="0059689A" w:rsidRPr="00EA1F46" w:rsidRDefault="0059689A" w:rsidP="007B4BDC">
            <w:pPr>
              <w:pStyle w:val="Tabletext"/>
              <w:jc w:val="center"/>
            </w:pPr>
            <w:r w:rsidRPr="00EA1F46">
              <w:t>0.354</w:t>
            </w:r>
          </w:p>
        </w:tc>
        <w:tc>
          <w:tcPr>
            <w:tcW w:w="854" w:type="dxa"/>
            <w:tcBorders>
              <w:bottom w:val="single" w:sz="4" w:space="0" w:color="auto"/>
            </w:tcBorders>
          </w:tcPr>
          <w:p w14:paraId="13132EFA" w14:textId="77777777" w:rsidR="0059689A" w:rsidRPr="00EA1F46" w:rsidRDefault="0059689A" w:rsidP="007B4BDC">
            <w:pPr>
              <w:pStyle w:val="Tabletext"/>
              <w:jc w:val="center"/>
            </w:pPr>
            <w:r w:rsidRPr="00EA1F46">
              <w:t>0.996</w:t>
            </w:r>
          </w:p>
        </w:tc>
        <w:tc>
          <w:tcPr>
            <w:tcW w:w="850" w:type="dxa"/>
            <w:tcBorders>
              <w:bottom w:val="single" w:sz="4" w:space="0" w:color="auto"/>
            </w:tcBorders>
          </w:tcPr>
          <w:p w14:paraId="13132EFB" w14:textId="77777777" w:rsidR="0059689A" w:rsidRPr="00EA1F46" w:rsidRDefault="0059689A" w:rsidP="007B4BDC">
            <w:pPr>
              <w:pStyle w:val="Tabletext"/>
              <w:jc w:val="center"/>
            </w:pPr>
            <w:r w:rsidRPr="00EA1F46">
              <w:t>0.191</w:t>
            </w:r>
          </w:p>
        </w:tc>
      </w:tr>
      <w:tr w:rsidR="0059689A" w:rsidRPr="00EA1F46" w14:paraId="13132F08" w14:textId="77777777">
        <w:trPr>
          <w:jc w:val="center"/>
        </w:trPr>
        <w:tc>
          <w:tcPr>
            <w:tcW w:w="1191" w:type="dxa"/>
            <w:tcBorders>
              <w:top w:val="single" w:sz="4" w:space="0" w:color="auto"/>
            </w:tcBorders>
          </w:tcPr>
          <w:p w14:paraId="13132EFD" w14:textId="77777777" w:rsidR="0059689A" w:rsidRPr="00EA1F46" w:rsidRDefault="0059689A" w:rsidP="007B4BDC">
            <w:pPr>
              <w:pStyle w:val="Tablehead"/>
              <w:spacing w:before="40" w:after="40"/>
            </w:pPr>
            <w:r w:rsidRPr="00EA1F46">
              <w:t>No.</w:t>
            </w:r>
          </w:p>
        </w:tc>
        <w:tc>
          <w:tcPr>
            <w:tcW w:w="847" w:type="dxa"/>
            <w:tcBorders>
              <w:top w:val="single" w:sz="4" w:space="0" w:color="auto"/>
            </w:tcBorders>
          </w:tcPr>
          <w:p w14:paraId="13132EFE" w14:textId="77777777" w:rsidR="0059689A" w:rsidRPr="00EA1F46" w:rsidRDefault="0059689A" w:rsidP="007B4BDC">
            <w:pPr>
              <w:pStyle w:val="Tablehead"/>
              <w:spacing w:before="40" w:after="40"/>
            </w:pPr>
            <w:r w:rsidRPr="00EA1F46">
              <w:t>21</w:t>
            </w:r>
          </w:p>
        </w:tc>
        <w:tc>
          <w:tcPr>
            <w:tcW w:w="922" w:type="dxa"/>
            <w:tcBorders>
              <w:top w:val="single" w:sz="4" w:space="0" w:color="auto"/>
            </w:tcBorders>
          </w:tcPr>
          <w:p w14:paraId="13132EFF" w14:textId="77777777" w:rsidR="0059689A" w:rsidRPr="00EA1F46" w:rsidRDefault="0059689A" w:rsidP="007B4BDC">
            <w:pPr>
              <w:pStyle w:val="Tablehead"/>
              <w:spacing w:before="40" w:after="40"/>
            </w:pPr>
            <w:r w:rsidRPr="00EA1F46">
              <w:t>22</w:t>
            </w:r>
          </w:p>
        </w:tc>
        <w:tc>
          <w:tcPr>
            <w:tcW w:w="878" w:type="dxa"/>
            <w:tcBorders>
              <w:top w:val="single" w:sz="4" w:space="0" w:color="auto"/>
            </w:tcBorders>
          </w:tcPr>
          <w:p w14:paraId="13132F00" w14:textId="77777777" w:rsidR="0059689A" w:rsidRPr="00EA1F46" w:rsidRDefault="0059689A" w:rsidP="007B4BDC">
            <w:pPr>
              <w:pStyle w:val="Tablehead"/>
              <w:spacing w:before="40" w:after="40"/>
            </w:pPr>
            <w:r w:rsidRPr="00EA1F46">
              <w:t>23</w:t>
            </w:r>
          </w:p>
        </w:tc>
        <w:tc>
          <w:tcPr>
            <w:tcW w:w="878" w:type="dxa"/>
            <w:tcBorders>
              <w:top w:val="single" w:sz="4" w:space="0" w:color="auto"/>
            </w:tcBorders>
          </w:tcPr>
          <w:p w14:paraId="13132F01" w14:textId="77777777" w:rsidR="0059689A" w:rsidRPr="00EA1F46" w:rsidRDefault="0059689A" w:rsidP="007B4BDC">
            <w:pPr>
              <w:pStyle w:val="Tablehead"/>
              <w:spacing w:before="40" w:after="40"/>
            </w:pPr>
            <w:r w:rsidRPr="00EA1F46">
              <w:t>24</w:t>
            </w:r>
          </w:p>
        </w:tc>
        <w:tc>
          <w:tcPr>
            <w:tcW w:w="730" w:type="dxa"/>
            <w:tcBorders>
              <w:top w:val="single" w:sz="4" w:space="0" w:color="auto"/>
            </w:tcBorders>
          </w:tcPr>
          <w:p w14:paraId="13132F02" w14:textId="77777777" w:rsidR="0059689A" w:rsidRPr="00EA1F46" w:rsidRDefault="0059689A" w:rsidP="007B4BDC">
            <w:pPr>
              <w:pStyle w:val="Tablehead"/>
              <w:spacing w:before="40" w:after="40"/>
            </w:pPr>
            <w:r w:rsidRPr="00EA1F46">
              <w:t>25</w:t>
            </w:r>
          </w:p>
        </w:tc>
        <w:tc>
          <w:tcPr>
            <w:tcW w:w="854" w:type="dxa"/>
            <w:tcBorders>
              <w:top w:val="single" w:sz="4" w:space="0" w:color="auto"/>
            </w:tcBorders>
          </w:tcPr>
          <w:p w14:paraId="13132F03" w14:textId="77777777" w:rsidR="0059689A" w:rsidRPr="00EA1F46" w:rsidRDefault="0059689A" w:rsidP="007B4BDC">
            <w:pPr>
              <w:pStyle w:val="Tablehead"/>
              <w:spacing w:before="40" w:after="40"/>
            </w:pPr>
            <w:r w:rsidRPr="00EA1F46">
              <w:t>26</w:t>
            </w:r>
          </w:p>
        </w:tc>
        <w:tc>
          <w:tcPr>
            <w:tcW w:w="854" w:type="dxa"/>
            <w:tcBorders>
              <w:top w:val="single" w:sz="4" w:space="0" w:color="auto"/>
            </w:tcBorders>
          </w:tcPr>
          <w:p w14:paraId="13132F04" w14:textId="77777777" w:rsidR="0059689A" w:rsidRPr="00EA1F46" w:rsidRDefault="0059689A" w:rsidP="007B4BDC">
            <w:pPr>
              <w:pStyle w:val="Tablehead"/>
              <w:spacing w:before="40" w:after="40"/>
            </w:pPr>
            <w:r w:rsidRPr="00EA1F46">
              <w:t>27</w:t>
            </w:r>
          </w:p>
        </w:tc>
        <w:tc>
          <w:tcPr>
            <w:tcW w:w="856" w:type="dxa"/>
            <w:tcBorders>
              <w:top w:val="single" w:sz="4" w:space="0" w:color="auto"/>
            </w:tcBorders>
          </w:tcPr>
          <w:p w14:paraId="13132F05" w14:textId="77777777" w:rsidR="0059689A" w:rsidRPr="00EA1F46" w:rsidRDefault="0059689A" w:rsidP="007B4BDC">
            <w:pPr>
              <w:pStyle w:val="Tablehead"/>
              <w:spacing w:before="40" w:after="40"/>
            </w:pPr>
            <w:r w:rsidRPr="00EA1F46">
              <w:t>28</w:t>
            </w:r>
          </w:p>
        </w:tc>
        <w:tc>
          <w:tcPr>
            <w:tcW w:w="854" w:type="dxa"/>
            <w:tcBorders>
              <w:top w:val="single" w:sz="4" w:space="0" w:color="auto"/>
            </w:tcBorders>
          </w:tcPr>
          <w:p w14:paraId="13132F06" w14:textId="77777777" w:rsidR="0059689A" w:rsidRPr="00EA1F46" w:rsidRDefault="0059689A" w:rsidP="007B4BDC">
            <w:pPr>
              <w:pStyle w:val="Tablehead"/>
              <w:spacing w:before="40" w:after="40"/>
            </w:pPr>
            <w:r w:rsidRPr="00EA1F46">
              <w:t>29</w:t>
            </w:r>
          </w:p>
        </w:tc>
        <w:tc>
          <w:tcPr>
            <w:tcW w:w="850" w:type="dxa"/>
            <w:tcBorders>
              <w:top w:val="single" w:sz="4" w:space="0" w:color="auto"/>
            </w:tcBorders>
          </w:tcPr>
          <w:p w14:paraId="13132F07" w14:textId="77777777" w:rsidR="0059689A" w:rsidRPr="00EA1F46" w:rsidRDefault="0059689A" w:rsidP="007B4BDC">
            <w:pPr>
              <w:pStyle w:val="Tablehead"/>
              <w:spacing w:before="40" w:after="40"/>
            </w:pPr>
            <w:r w:rsidRPr="00EA1F46">
              <w:t>30</w:t>
            </w:r>
          </w:p>
        </w:tc>
      </w:tr>
      <w:tr w:rsidR="0059689A" w:rsidRPr="00EA1F46" w14:paraId="13132F14" w14:textId="77777777">
        <w:trPr>
          <w:jc w:val="center"/>
        </w:trPr>
        <w:tc>
          <w:tcPr>
            <w:tcW w:w="1191" w:type="dxa"/>
          </w:tcPr>
          <w:p w14:paraId="13132F09" w14:textId="77777777" w:rsidR="0059689A" w:rsidRPr="00EA1F46" w:rsidRDefault="0059689A" w:rsidP="007B4BDC">
            <w:pPr>
              <w:pStyle w:val="Tabletext"/>
            </w:pPr>
            <w:r w:rsidRPr="00EA1F46">
              <w:rPr>
                <w:i/>
                <w:iCs/>
              </w:rPr>
              <w:t>x</w:t>
            </w:r>
            <w:r w:rsidRPr="00EA1F46">
              <w:rPr>
                <w:i/>
                <w:iCs/>
                <w:position w:val="-4"/>
                <w:sz w:val="18"/>
              </w:rPr>
              <w:t>j</w:t>
            </w:r>
            <w:r w:rsidRPr="00EA1F46">
              <w:t xml:space="preserve"> (km)</w:t>
            </w:r>
          </w:p>
        </w:tc>
        <w:tc>
          <w:tcPr>
            <w:tcW w:w="847" w:type="dxa"/>
          </w:tcPr>
          <w:p w14:paraId="13132F0A" w14:textId="77777777" w:rsidR="0059689A" w:rsidRPr="00EA1F46" w:rsidRDefault="0059689A" w:rsidP="007B4BDC">
            <w:pPr>
              <w:pStyle w:val="Tabletext"/>
              <w:jc w:val="center"/>
            </w:pPr>
            <w:r w:rsidRPr="00EA1F46">
              <w:t>6.56</w:t>
            </w:r>
          </w:p>
        </w:tc>
        <w:tc>
          <w:tcPr>
            <w:tcW w:w="922" w:type="dxa"/>
          </w:tcPr>
          <w:p w14:paraId="13132F0B" w14:textId="77777777" w:rsidR="0059689A" w:rsidRPr="00EA1F46" w:rsidRDefault="0059689A" w:rsidP="007B4BDC">
            <w:pPr>
              <w:pStyle w:val="Tabletext"/>
              <w:jc w:val="center"/>
            </w:pPr>
            <w:r w:rsidRPr="00EA1F46">
              <w:t>4.51</w:t>
            </w:r>
          </w:p>
        </w:tc>
        <w:tc>
          <w:tcPr>
            <w:tcW w:w="878" w:type="dxa"/>
          </w:tcPr>
          <w:p w14:paraId="13132F0C" w14:textId="77777777" w:rsidR="0059689A" w:rsidRPr="00EA1F46" w:rsidRDefault="0059689A" w:rsidP="007B4BDC">
            <w:pPr>
              <w:pStyle w:val="Tabletext"/>
              <w:jc w:val="center"/>
            </w:pPr>
            <w:r w:rsidRPr="00EA1F46">
              <w:t>6.20</w:t>
            </w:r>
          </w:p>
        </w:tc>
        <w:tc>
          <w:tcPr>
            <w:tcW w:w="878" w:type="dxa"/>
          </w:tcPr>
          <w:p w14:paraId="13132F0D" w14:textId="77777777" w:rsidR="0059689A" w:rsidRPr="00EA1F46" w:rsidRDefault="0059689A" w:rsidP="007B4BDC">
            <w:pPr>
              <w:pStyle w:val="Tabletext"/>
              <w:jc w:val="center"/>
            </w:pPr>
            <w:r w:rsidRPr="00EA1F46">
              <w:t>6.29</w:t>
            </w:r>
          </w:p>
        </w:tc>
        <w:tc>
          <w:tcPr>
            <w:tcW w:w="730" w:type="dxa"/>
          </w:tcPr>
          <w:p w14:paraId="13132F0E" w14:textId="77777777" w:rsidR="0059689A" w:rsidRPr="00EA1F46" w:rsidRDefault="0059689A" w:rsidP="007B4BDC">
            <w:pPr>
              <w:pStyle w:val="Tabletext"/>
              <w:jc w:val="center"/>
            </w:pPr>
            <w:r w:rsidRPr="00EA1F46">
              <w:t>5.22</w:t>
            </w:r>
          </w:p>
        </w:tc>
        <w:tc>
          <w:tcPr>
            <w:tcW w:w="854" w:type="dxa"/>
          </w:tcPr>
          <w:p w14:paraId="13132F0F" w14:textId="77777777" w:rsidR="0059689A" w:rsidRPr="00EA1F46" w:rsidRDefault="0059689A" w:rsidP="007B4BDC">
            <w:pPr>
              <w:pStyle w:val="Tabletext"/>
              <w:jc w:val="center"/>
            </w:pPr>
            <w:r w:rsidRPr="00EA1F46">
              <w:t>4.95</w:t>
            </w:r>
          </w:p>
        </w:tc>
        <w:tc>
          <w:tcPr>
            <w:tcW w:w="854" w:type="dxa"/>
          </w:tcPr>
          <w:p w14:paraId="13132F10" w14:textId="77777777" w:rsidR="0059689A" w:rsidRPr="00EA1F46" w:rsidRDefault="0059689A" w:rsidP="007B4BDC">
            <w:pPr>
              <w:pStyle w:val="Tabletext"/>
              <w:jc w:val="center"/>
            </w:pPr>
            <w:r w:rsidRPr="00EA1F46">
              <w:t>8.82</w:t>
            </w:r>
          </w:p>
        </w:tc>
        <w:tc>
          <w:tcPr>
            <w:tcW w:w="856" w:type="dxa"/>
          </w:tcPr>
          <w:p w14:paraId="13132F11" w14:textId="77777777" w:rsidR="0059689A" w:rsidRPr="00EA1F46" w:rsidRDefault="0059689A" w:rsidP="007B4BDC">
            <w:pPr>
              <w:pStyle w:val="Tabletext"/>
              <w:jc w:val="center"/>
            </w:pPr>
            <w:r w:rsidRPr="00EA1F46">
              <w:t>5.10</w:t>
            </w:r>
          </w:p>
        </w:tc>
        <w:tc>
          <w:tcPr>
            <w:tcW w:w="854" w:type="dxa"/>
          </w:tcPr>
          <w:p w14:paraId="13132F12" w14:textId="77777777" w:rsidR="0059689A" w:rsidRPr="00EA1F46" w:rsidRDefault="0059689A" w:rsidP="007B4BDC">
            <w:pPr>
              <w:pStyle w:val="Tabletext"/>
              <w:jc w:val="center"/>
            </w:pPr>
            <w:r w:rsidRPr="00EA1F46">
              <w:t>5.73</w:t>
            </w:r>
          </w:p>
        </w:tc>
        <w:tc>
          <w:tcPr>
            <w:tcW w:w="850" w:type="dxa"/>
          </w:tcPr>
          <w:p w14:paraId="13132F13" w14:textId="77777777" w:rsidR="0059689A" w:rsidRPr="00EA1F46" w:rsidRDefault="0059689A" w:rsidP="007B4BDC">
            <w:pPr>
              <w:pStyle w:val="Tabletext"/>
              <w:jc w:val="center"/>
            </w:pPr>
            <w:r w:rsidRPr="00EA1F46">
              <w:t>9.53</w:t>
            </w:r>
          </w:p>
        </w:tc>
      </w:tr>
      <w:tr w:rsidR="0059689A" w:rsidRPr="00EA1F46" w14:paraId="13132F20" w14:textId="77777777">
        <w:trPr>
          <w:jc w:val="center"/>
        </w:trPr>
        <w:tc>
          <w:tcPr>
            <w:tcW w:w="1191" w:type="dxa"/>
          </w:tcPr>
          <w:p w14:paraId="13132F15" w14:textId="77777777" w:rsidR="0059689A" w:rsidRPr="00EA1F46" w:rsidRDefault="0059689A" w:rsidP="007B4BDC">
            <w:pPr>
              <w:pStyle w:val="Tabletext"/>
            </w:pPr>
            <w:r w:rsidRPr="00EA1F46">
              <w:rPr>
                <w:i/>
                <w:iCs/>
              </w:rPr>
              <w:t>y</w:t>
            </w:r>
            <w:r w:rsidRPr="00EA1F46">
              <w:rPr>
                <w:i/>
                <w:iCs/>
                <w:position w:val="-4"/>
                <w:sz w:val="18"/>
              </w:rPr>
              <w:t>j</w:t>
            </w:r>
            <w:r w:rsidRPr="00EA1F46">
              <w:t xml:space="preserve"> (km)</w:t>
            </w:r>
          </w:p>
        </w:tc>
        <w:tc>
          <w:tcPr>
            <w:tcW w:w="847" w:type="dxa"/>
          </w:tcPr>
          <w:p w14:paraId="13132F16" w14:textId="77777777" w:rsidR="0059689A" w:rsidRPr="00EA1F46" w:rsidRDefault="0059689A" w:rsidP="007B4BDC">
            <w:pPr>
              <w:pStyle w:val="Tabletext"/>
              <w:jc w:val="center"/>
            </w:pPr>
            <w:r w:rsidRPr="00EA1F46">
              <w:t>4.35</w:t>
            </w:r>
          </w:p>
        </w:tc>
        <w:tc>
          <w:tcPr>
            <w:tcW w:w="922" w:type="dxa"/>
          </w:tcPr>
          <w:p w14:paraId="13132F17" w14:textId="77777777" w:rsidR="0059689A" w:rsidRPr="00EA1F46" w:rsidRDefault="0059689A" w:rsidP="007B4BDC">
            <w:pPr>
              <w:pStyle w:val="Tabletext"/>
              <w:jc w:val="center"/>
            </w:pPr>
            <w:r w:rsidRPr="00EA1F46">
              <w:t>5.87</w:t>
            </w:r>
          </w:p>
        </w:tc>
        <w:tc>
          <w:tcPr>
            <w:tcW w:w="878" w:type="dxa"/>
          </w:tcPr>
          <w:p w14:paraId="13132F18" w14:textId="77777777" w:rsidR="0059689A" w:rsidRPr="00EA1F46" w:rsidRDefault="0059689A" w:rsidP="007B4BDC">
            <w:pPr>
              <w:pStyle w:val="Tabletext"/>
              <w:jc w:val="center"/>
            </w:pPr>
            <w:r w:rsidRPr="00EA1F46">
              <w:t>4.53</w:t>
            </w:r>
          </w:p>
        </w:tc>
        <w:tc>
          <w:tcPr>
            <w:tcW w:w="878" w:type="dxa"/>
          </w:tcPr>
          <w:p w14:paraId="13132F19" w14:textId="77777777" w:rsidR="0059689A" w:rsidRPr="00EA1F46" w:rsidRDefault="0059689A" w:rsidP="007B4BDC">
            <w:pPr>
              <w:pStyle w:val="Tabletext"/>
              <w:jc w:val="center"/>
            </w:pPr>
            <w:r w:rsidRPr="00EA1F46">
              <w:t>3.80</w:t>
            </w:r>
          </w:p>
        </w:tc>
        <w:tc>
          <w:tcPr>
            <w:tcW w:w="730" w:type="dxa"/>
          </w:tcPr>
          <w:p w14:paraId="13132F1A" w14:textId="77777777" w:rsidR="0059689A" w:rsidRPr="00EA1F46" w:rsidRDefault="0059689A" w:rsidP="007B4BDC">
            <w:pPr>
              <w:pStyle w:val="Tabletext"/>
              <w:jc w:val="center"/>
            </w:pPr>
            <w:r w:rsidRPr="00EA1F46">
              <w:t>6.20</w:t>
            </w:r>
          </w:p>
        </w:tc>
        <w:tc>
          <w:tcPr>
            <w:tcW w:w="854" w:type="dxa"/>
          </w:tcPr>
          <w:p w14:paraId="13132F1B" w14:textId="77777777" w:rsidR="0059689A" w:rsidRPr="00EA1F46" w:rsidRDefault="0059689A" w:rsidP="007B4BDC">
            <w:pPr>
              <w:pStyle w:val="Tabletext"/>
              <w:jc w:val="center"/>
            </w:pPr>
            <w:r w:rsidRPr="00EA1F46">
              <w:t>2.73</w:t>
            </w:r>
          </w:p>
        </w:tc>
        <w:tc>
          <w:tcPr>
            <w:tcW w:w="854" w:type="dxa"/>
          </w:tcPr>
          <w:p w14:paraId="13132F1C" w14:textId="77777777" w:rsidR="0059689A" w:rsidRPr="00EA1F46" w:rsidRDefault="0059689A" w:rsidP="007B4BDC">
            <w:pPr>
              <w:pStyle w:val="Tabletext"/>
              <w:jc w:val="center"/>
            </w:pPr>
            <w:r w:rsidRPr="00EA1F46">
              <w:t>5.44</w:t>
            </w:r>
          </w:p>
        </w:tc>
        <w:tc>
          <w:tcPr>
            <w:tcW w:w="856" w:type="dxa"/>
          </w:tcPr>
          <w:p w14:paraId="13132F1D" w14:textId="77777777" w:rsidR="0059689A" w:rsidRPr="00EA1F46" w:rsidRDefault="0059689A" w:rsidP="007B4BDC">
            <w:pPr>
              <w:pStyle w:val="Tabletext"/>
              <w:jc w:val="center"/>
            </w:pPr>
            <w:r w:rsidRPr="00EA1F46">
              <w:t>9.61</w:t>
            </w:r>
          </w:p>
        </w:tc>
        <w:tc>
          <w:tcPr>
            <w:tcW w:w="854" w:type="dxa"/>
          </w:tcPr>
          <w:p w14:paraId="13132F1E" w14:textId="77777777" w:rsidR="0059689A" w:rsidRPr="00EA1F46" w:rsidRDefault="0059689A" w:rsidP="007B4BDC">
            <w:pPr>
              <w:pStyle w:val="Tabletext"/>
              <w:jc w:val="center"/>
            </w:pPr>
            <w:r w:rsidRPr="00EA1F46">
              <w:t>1.74</w:t>
            </w:r>
          </w:p>
        </w:tc>
        <w:tc>
          <w:tcPr>
            <w:tcW w:w="850" w:type="dxa"/>
          </w:tcPr>
          <w:p w14:paraId="13132F1F" w14:textId="77777777" w:rsidR="0059689A" w:rsidRPr="00EA1F46" w:rsidRDefault="0059689A" w:rsidP="007B4BDC">
            <w:pPr>
              <w:pStyle w:val="Tabletext"/>
              <w:jc w:val="center"/>
            </w:pPr>
            <w:r w:rsidRPr="00EA1F46">
              <w:t>1.57</w:t>
            </w:r>
          </w:p>
        </w:tc>
      </w:tr>
      <w:tr w:rsidR="0059689A" w:rsidRPr="00EA1F46" w14:paraId="13132F2C" w14:textId="77777777">
        <w:trPr>
          <w:jc w:val="center"/>
        </w:trPr>
        <w:tc>
          <w:tcPr>
            <w:tcW w:w="1191" w:type="dxa"/>
            <w:tcBorders>
              <w:bottom w:val="single" w:sz="4" w:space="0" w:color="auto"/>
            </w:tcBorders>
          </w:tcPr>
          <w:p w14:paraId="13132F21" w14:textId="77777777" w:rsidR="0059689A" w:rsidRPr="00EA1F46" w:rsidRDefault="0059689A" w:rsidP="007B4BDC">
            <w:pPr>
              <w:pStyle w:val="Tabletext"/>
            </w:pPr>
            <w:proofErr w:type="spellStart"/>
            <w:r w:rsidRPr="00EA1F46">
              <w:t>Δ</w:t>
            </w:r>
            <w:r w:rsidRPr="00EA1F46">
              <w:rPr>
                <w:i/>
                <w:iCs/>
              </w:rPr>
              <w:t>f</w:t>
            </w:r>
            <w:proofErr w:type="spellEnd"/>
            <w:r w:rsidRPr="00EA1F46">
              <w:rPr>
                <w:i/>
                <w:iCs/>
                <w:position w:val="-4"/>
                <w:sz w:val="18"/>
              </w:rPr>
              <w:t>i</w:t>
            </w:r>
            <w:r w:rsidRPr="00EA1F46">
              <w:t xml:space="preserve"> (MHz)</w:t>
            </w:r>
          </w:p>
        </w:tc>
        <w:tc>
          <w:tcPr>
            <w:tcW w:w="847" w:type="dxa"/>
            <w:tcBorders>
              <w:bottom w:val="single" w:sz="4" w:space="0" w:color="auto"/>
            </w:tcBorders>
          </w:tcPr>
          <w:p w14:paraId="13132F22" w14:textId="77777777" w:rsidR="0059689A" w:rsidRPr="00EA1F46" w:rsidRDefault="0059689A" w:rsidP="007B4BDC">
            <w:pPr>
              <w:pStyle w:val="Tabletext"/>
              <w:jc w:val="center"/>
            </w:pPr>
            <w:r w:rsidRPr="00EA1F46">
              <w:t>0.765</w:t>
            </w:r>
          </w:p>
        </w:tc>
        <w:tc>
          <w:tcPr>
            <w:tcW w:w="922" w:type="dxa"/>
            <w:tcBorders>
              <w:bottom w:val="single" w:sz="4" w:space="0" w:color="auto"/>
            </w:tcBorders>
          </w:tcPr>
          <w:p w14:paraId="13132F23" w14:textId="77777777" w:rsidR="0059689A" w:rsidRPr="00EA1F46" w:rsidRDefault="0059689A" w:rsidP="007B4BDC">
            <w:pPr>
              <w:pStyle w:val="Tabletext"/>
              <w:jc w:val="center"/>
            </w:pPr>
            <w:r w:rsidRPr="00EA1F46">
              <w:t>0.720</w:t>
            </w:r>
          </w:p>
        </w:tc>
        <w:tc>
          <w:tcPr>
            <w:tcW w:w="878" w:type="dxa"/>
            <w:tcBorders>
              <w:bottom w:val="single" w:sz="4" w:space="0" w:color="auto"/>
            </w:tcBorders>
          </w:tcPr>
          <w:p w14:paraId="13132F24" w14:textId="77777777" w:rsidR="0059689A" w:rsidRPr="00EA1F46" w:rsidRDefault="0059689A" w:rsidP="007B4BDC">
            <w:pPr>
              <w:pStyle w:val="Tabletext"/>
              <w:jc w:val="center"/>
            </w:pPr>
            <w:r w:rsidRPr="00EA1F46">
              <w:t>0.044</w:t>
            </w:r>
          </w:p>
        </w:tc>
        <w:tc>
          <w:tcPr>
            <w:tcW w:w="878" w:type="dxa"/>
            <w:tcBorders>
              <w:bottom w:val="single" w:sz="4" w:space="0" w:color="auto"/>
            </w:tcBorders>
          </w:tcPr>
          <w:p w14:paraId="13132F25" w14:textId="77777777" w:rsidR="0059689A" w:rsidRPr="00EA1F46" w:rsidRDefault="0059689A" w:rsidP="007B4BDC">
            <w:pPr>
              <w:pStyle w:val="Tabletext"/>
              <w:jc w:val="center"/>
            </w:pPr>
            <w:r w:rsidRPr="00EA1F46">
              <w:t>0.363</w:t>
            </w:r>
          </w:p>
        </w:tc>
        <w:tc>
          <w:tcPr>
            <w:tcW w:w="730" w:type="dxa"/>
            <w:tcBorders>
              <w:bottom w:val="single" w:sz="4" w:space="0" w:color="auto"/>
            </w:tcBorders>
          </w:tcPr>
          <w:p w14:paraId="13132F26" w14:textId="77777777" w:rsidR="0059689A" w:rsidRPr="00EA1F46" w:rsidRDefault="0059689A" w:rsidP="007B4BDC">
            <w:pPr>
              <w:pStyle w:val="Tabletext"/>
              <w:jc w:val="center"/>
            </w:pPr>
            <w:r w:rsidRPr="00EA1F46">
              <w:t>0.253</w:t>
            </w:r>
          </w:p>
        </w:tc>
        <w:tc>
          <w:tcPr>
            <w:tcW w:w="854" w:type="dxa"/>
            <w:tcBorders>
              <w:bottom w:val="single" w:sz="4" w:space="0" w:color="auto"/>
            </w:tcBorders>
          </w:tcPr>
          <w:p w14:paraId="13132F27" w14:textId="77777777" w:rsidR="0059689A" w:rsidRPr="00EA1F46" w:rsidRDefault="0059689A" w:rsidP="007B4BDC">
            <w:pPr>
              <w:pStyle w:val="Tabletext"/>
              <w:jc w:val="center"/>
            </w:pPr>
            <w:r w:rsidRPr="00EA1F46">
              <w:t>0.454</w:t>
            </w:r>
          </w:p>
        </w:tc>
        <w:tc>
          <w:tcPr>
            <w:tcW w:w="854" w:type="dxa"/>
            <w:tcBorders>
              <w:bottom w:val="single" w:sz="4" w:space="0" w:color="auto"/>
            </w:tcBorders>
          </w:tcPr>
          <w:p w14:paraId="13132F28" w14:textId="77777777" w:rsidR="0059689A" w:rsidRPr="00EA1F46" w:rsidRDefault="0059689A" w:rsidP="007B4BDC">
            <w:pPr>
              <w:pStyle w:val="Tabletext"/>
              <w:jc w:val="center"/>
            </w:pPr>
            <w:r w:rsidRPr="00EA1F46">
              <w:t>0</w:t>
            </w:r>
          </w:p>
        </w:tc>
        <w:tc>
          <w:tcPr>
            <w:tcW w:w="856" w:type="dxa"/>
            <w:tcBorders>
              <w:bottom w:val="single" w:sz="4" w:space="0" w:color="auto"/>
            </w:tcBorders>
          </w:tcPr>
          <w:p w14:paraId="13132F29" w14:textId="77777777" w:rsidR="0059689A" w:rsidRPr="00EA1F46" w:rsidRDefault="0059689A" w:rsidP="007B4BDC">
            <w:pPr>
              <w:pStyle w:val="Tabletext"/>
              <w:jc w:val="center"/>
            </w:pPr>
            <w:r w:rsidRPr="00EA1F46">
              <w:t>0</w:t>
            </w:r>
          </w:p>
        </w:tc>
        <w:tc>
          <w:tcPr>
            <w:tcW w:w="854" w:type="dxa"/>
            <w:tcBorders>
              <w:bottom w:val="single" w:sz="4" w:space="0" w:color="auto"/>
            </w:tcBorders>
          </w:tcPr>
          <w:p w14:paraId="13132F2A" w14:textId="77777777" w:rsidR="0059689A" w:rsidRPr="00EA1F46" w:rsidRDefault="0059689A" w:rsidP="007B4BDC">
            <w:pPr>
              <w:pStyle w:val="Tabletext"/>
              <w:jc w:val="center"/>
            </w:pPr>
            <w:r w:rsidRPr="00EA1F46">
              <w:t>0.206</w:t>
            </w:r>
          </w:p>
        </w:tc>
        <w:tc>
          <w:tcPr>
            <w:tcW w:w="850" w:type="dxa"/>
            <w:tcBorders>
              <w:bottom w:val="single" w:sz="4" w:space="0" w:color="auto"/>
            </w:tcBorders>
          </w:tcPr>
          <w:p w14:paraId="13132F2B" w14:textId="77777777" w:rsidR="0059689A" w:rsidRPr="00EA1F46" w:rsidRDefault="0059689A" w:rsidP="007B4BDC">
            <w:pPr>
              <w:pStyle w:val="Tabletext"/>
              <w:jc w:val="center"/>
            </w:pPr>
            <w:r w:rsidRPr="00EA1F46">
              <w:t>0.206</w:t>
            </w:r>
          </w:p>
        </w:tc>
      </w:tr>
      <w:tr w:rsidR="0059689A" w:rsidRPr="00EA1F46" w14:paraId="13132F38" w14:textId="77777777">
        <w:trPr>
          <w:jc w:val="center"/>
        </w:trPr>
        <w:tc>
          <w:tcPr>
            <w:tcW w:w="1191" w:type="dxa"/>
            <w:tcBorders>
              <w:top w:val="single" w:sz="4" w:space="0" w:color="auto"/>
            </w:tcBorders>
          </w:tcPr>
          <w:p w14:paraId="13132F2D" w14:textId="77777777" w:rsidR="0059689A" w:rsidRPr="00EA1F46" w:rsidRDefault="0059689A" w:rsidP="007B4BDC">
            <w:pPr>
              <w:pStyle w:val="Tablehead"/>
              <w:spacing w:before="40" w:after="40"/>
            </w:pPr>
            <w:r w:rsidRPr="00EA1F46">
              <w:t>No.</w:t>
            </w:r>
          </w:p>
        </w:tc>
        <w:tc>
          <w:tcPr>
            <w:tcW w:w="847" w:type="dxa"/>
            <w:tcBorders>
              <w:top w:val="single" w:sz="4" w:space="0" w:color="auto"/>
            </w:tcBorders>
          </w:tcPr>
          <w:p w14:paraId="13132F2E" w14:textId="77777777" w:rsidR="0059689A" w:rsidRPr="00EA1F46" w:rsidRDefault="0059689A" w:rsidP="007B4BDC">
            <w:pPr>
              <w:pStyle w:val="Tablehead"/>
              <w:spacing w:before="40" w:after="40"/>
            </w:pPr>
            <w:r w:rsidRPr="00EA1F46">
              <w:t>31</w:t>
            </w:r>
          </w:p>
        </w:tc>
        <w:tc>
          <w:tcPr>
            <w:tcW w:w="922" w:type="dxa"/>
            <w:tcBorders>
              <w:top w:val="single" w:sz="4" w:space="0" w:color="auto"/>
            </w:tcBorders>
          </w:tcPr>
          <w:p w14:paraId="13132F2F" w14:textId="77777777" w:rsidR="0059689A" w:rsidRPr="00EA1F46" w:rsidRDefault="0059689A" w:rsidP="007B4BDC">
            <w:pPr>
              <w:pStyle w:val="Tablehead"/>
              <w:spacing w:before="40" w:after="40"/>
            </w:pPr>
            <w:r w:rsidRPr="00EA1F46">
              <w:t>32</w:t>
            </w:r>
          </w:p>
        </w:tc>
        <w:tc>
          <w:tcPr>
            <w:tcW w:w="878" w:type="dxa"/>
            <w:tcBorders>
              <w:top w:val="single" w:sz="4" w:space="0" w:color="auto"/>
            </w:tcBorders>
          </w:tcPr>
          <w:p w14:paraId="13132F30" w14:textId="77777777" w:rsidR="0059689A" w:rsidRPr="00EA1F46" w:rsidRDefault="0059689A" w:rsidP="007B4BDC">
            <w:pPr>
              <w:pStyle w:val="Tablehead"/>
              <w:spacing w:before="40" w:after="40"/>
            </w:pPr>
            <w:r w:rsidRPr="00EA1F46">
              <w:t>33</w:t>
            </w:r>
          </w:p>
        </w:tc>
        <w:tc>
          <w:tcPr>
            <w:tcW w:w="878" w:type="dxa"/>
            <w:tcBorders>
              <w:top w:val="single" w:sz="4" w:space="0" w:color="auto"/>
            </w:tcBorders>
          </w:tcPr>
          <w:p w14:paraId="13132F31" w14:textId="77777777" w:rsidR="0059689A" w:rsidRPr="00EA1F46" w:rsidRDefault="0059689A" w:rsidP="007B4BDC">
            <w:pPr>
              <w:pStyle w:val="Tablehead"/>
              <w:spacing w:before="40" w:after="40"/>
            </w:pPr>
            <w:r w:rsidRPr="00EA1F46">
              <w:t>34</w:t>
            </w:r>
          </w:p>
        </w:tc>
        <w:tc>
          <w:tcPr>
            <w:tcW w:w="730" w:type="dxa"/>
            <w:tcBorders>
              <w:top w:val="single" w:sz="4" w:space="0" w:color="auto"/>
            </w:tcBorders>
          </w:tcPr>
          <w:p w14:paraId="13132F32" w14:textId="77777777" w:rsidR="0059689A" w:rsidRPr="00EA1F46" w:rsidRDefault="0059689A" w:rsidP="007B4BDC">
            <w:pPr>
              <w:pStyle w:val="Tablehead"/>
              <w:spacing w:before="40" w:after="40"/>
            </w:pPr>
            <w:r w:rsidRPr="00EA1F46">
              <w:t>35</w:t>
            </w:r>
          </w:p>
        </w:tc>
        <w:tc>
          <w:tcPr>
            <w:tcW w:w="854" w:type="dxa"/>
            <w:tcBorders>
              <w:top w:val="single" w:sz="4" w:space="0" w:color="auto"/>
            </w:tcBorders>
          </w:tcPr>
          <w:p w14:paraId="13132F33" w14:textId="77777777" w:rsidR="0059689A" w:rsidRPr="00EA1F46" w:rsidRDefault="0059689A" w:rsidP="007B4BDC">
            <w:pPr>
              <w:pStyle w:val="Tablehead"/>
              <w:spacing w:before="40" w:after="40"/>
            </w:pPr>
            <w:r w:rsidRPr="00EA1F46">
              <w:t>36</w:t>
            </w:r>
          </w:p>
        </w:tc>
        <w:tc>
          <w:tcPr>
            <w:tcW w:w="854" w:type="dxa"/>
            <w:tcBorders>
              <w:top w:val="single" w:sz="4" w:space="0" w:color="auto"/>
            </w:tcBorders>
          </w:tcPr>
          <w:p w14:paraId="13132F34" w14:textId="77777777" w:rsidR="0059689A" w:rsidRPr="00EA1F46" w:rsidRDefault="0059689A" w:rsidP="007B4BDC">
            <w:pPr>
              <w:pStyle w:val="Tablehead"/>
              <w:spacing w:before="40" w:after="40"/>
            </w:pPr>
            <w:r w:rsidRPr="00EA1F46">
              <w:t>37</w:t>
            </w:r>
          </w:p>
        </w:tc>
        <w:tc>
          <w:tcPr>
            <w:tcW w:w="856" w:type="dxa"/>
            <w:tcBorders>
              <w:top w:val="single" w:sz="4" w:space="0" w:color="auto"/>
            </w:tcBorders>
          </w:tcPr>
          <w:p w14:paraId="13132F35" w14:textId="77777777" w:rsidR="0059689A" w:rsidRPr="00EA1F46" w:rsidRDefault="0059689A" w:rsidP="007B4BDC">
            <w:pPr>
              <w:pStyle w:val="Tablehead"/>
              <w:spacing w:before="40" w:after="40"/>
            </w:pPr>
            <w:r w:rsidRPr="00EA1F46">
              <w:t>38</w:t>
            </w:r>
          </w:p>
        </w:tc>
        <w:tc>
          <w:tcPr>
            <w:tcW w:w="854" w:type="dxa"/>
            <w:tcBorders>
              <w:top w:val="single" w:sz="4" w:space="0" w:color="auto"/>
            </w:tcBorders>
          </w:tcPr>
          <w:p w14:paraId="13132F36" w14:textId="77777777" w:rsidR="0059689A" w:rsidRPr="00EA1F46" w:rsidRDefault="0059689A" w:rsidP="007B4BDC">
            <w:pPr>
              <w:pStyle w:val="Tablehead"/>
              <w:spacing w:before="40" w:after="40"/>
            </w:pPr>
            <w:r w:rsidRPr="00EA1F46">
              <w:t>39</w:t>
            </w:r>
          </w:p>
        </w:tc>
        <w:tc>
          <w:tcPr>
            <w:tcW w:w="850" w:type="dxa"/>
            <w:tcBorders>
              <w:top w:val="single" w:sz="4" w:space="0" w:color="auto"/>
            </w:tcBorders>
          </w:tcPr>
          <w:p w14:paraId="13132F37" w14:textId="77777777" w:rsidR="0059689A" w:rsidRPr="00EA1F46" w:rsidRDefault="0059689A" w:rsidP="007B4BDC">
            <w:pPr>
              <w:pStyle w:val="Tablehead"/>
              <w:spacing w:before="40" w:after="40"/>
            </w:pPr>
            <w:r w:rsidRPr="00EA1F46">
              <w:t>40</w:t>
            </w:r>
          </w:p>
        </w:tc>
      </w:tr>
      <w:tr w:rsidR="0059689A" w:rsidRPr="00EA1F46" w14:paraId="13132F44" w14:textId="77777777">
        <w:trPr>
          <w:jc w:val="center"/>
        </w:trPr>
        <w:tc>
          <w:tcPr>
            <w:tcW w:w="1191" w:type="dxa"/>
          </w:tcPr>
          <w:p w14:paraId="13132F39" w14:textId="77777777" w:rsidR="0059689A" w:rsidRPr="00EA1F46" w:rsidRDefault="0059689A" w:rsidP="007B4BDC">
            <w:pPr>
              <w:pStyle w:val="Tabletext"/>
            </w:pPr>
            <w:r w:rsidRPr="00EA1F46">
              <w:rPr>
                <w:i/>
                <w:iCs/>
              </w:rPr>
              <w:t>x</w:t>
            </w:r>
            <w:r w:rsidRPr="00EA1F46">
              <w:rPr>
                <w:i/>
                <w:iCs/>
                <w:position w:val="-4"/>
                <w:sz w:val="18"/>
              </w:rPr>
              <w:t>j</w:t>
            </w:r>
            <w:r w:rsidRPr="00EA1F46">
              <w:t xml:space="preserve"> (km)</w:t>
            </w:r>
          </w:p>
        </w:tc>
        <w:tc>
          <w:tcPr>
            <w:tcW w:w="847" w:type="dxa"/>
          </w:tcPr>
          <w:p w14:paraId="13132F3A" w14:textId="77777777" w:rsidR="0059689A" w:rsidRPr="00EA1F46" w:rsidRDefault="0059689A" w:rsidP="007B4BDC">
            <w:pPr>
              <w:pStyle w:val="Tabletext"/>
              <w:jc w:val="center"/>
            </w:pPr>
            <w:r w:rsidRPr="00EA1F46">
              <w:t>6.85</w:t>
            </w:r>
          </w:p>
        </w:tc>
        <w:tc>
          <w:tcPr>
            <w:tcW w:w="922" w:type="dxa"/>
          </w:tcPr>
          <w:p w14:paraId="13132F3B" w14:textId="77777777" w:rsidR="0059689A" w:rsidRPr="00EA1F46" w:rsidRDefault="0059689A" w:rsidP="007B4BDC">
            <w:pPr>
              <w:pStyle w:val="Tabletext"/>
              <w:jc w:val="center"/>
            </w:pPr>
            <w:r w:rsidRPr="00EA1F46">
              <w:t>3.39</w:t>
            </w:r>
          </w:p>
        </w:tc>
        <w:tc>
          <w:tcPr>
            <w:tcW w:w="878" w:type="dxa"/>
          </w:tcPr>
          <w:p w14:paraId="13132F3C" w14:textId="77777777" w:rsidR="0059689A" w:rsidRPr="00EA1F46" w:rsidRDefault="0059689A" w:rsidP="007B4BDC">
            <w:pPr>
              <w:pStyle w:val="Tabletext"/>
              <w:jc w:val="center"/>
            </w:pPr>
            <w:r w:rsidRPr="00EA1F46">
              <w:t>0.08</w:t>
            </w:r>
          </w:p>
        </w:tc>
        <w:tc>
          <w:tcPr>
            <w:tcW w:w="878" w:type="dxa"/>
          </w:tcPr>
          <w:p w14:paraId="13132F3D" w14:textId="77777777" w:rsidR="0059689A" w:rsidRPr="00EA1F46" w:rsidRDefault="0059689A" w:rsidP="007B4BDC">
            <w:pPr>
              <w:pStyle w:val="Tabletext"/>
              <w:jc w:val="center"/>
            </w:pPr>
            <w:r w:rsidRPr="00EA1F46">
              <w:t>7.05</w:t>
            </w:r>
          </w:p>
        </w:tc>
        <w:tc>
          <w:tcPr>
            <w:tcW w:w="730" w:type="dxa"/>
          </w:tcPr>
          <w:p w14:paraId="13132F3E" w14:textId="77777777" w:rsidR="0059689A" w:rsidRPr="00EA1F46" w:rsidRDefault="0059689A" w:rsidP="007B4BDC">
            <w:pPr>
              <w:pStyle w:val="Tabletext"/>
              <w:jc w:val="center"/>
            </w:pPr>
            <w:r w:rsidRPr="00EA1F46">
              <w:t>9.89</w:t>
            </w:r>
          </w:p>
        </w:tc>
        <w:tc>
          <w:tcPr>
            <w:tcW w:w="854" w:type="dxa"/>
          </w:tcPr>
          <w:p w14:paraId="13132F3F" w14:textId="77777777" w:rsidR="0059689A" w:rsidRPr="00EA1F46" w:rsidRDefault="0059689A" w:rsidP="007B4BDC">
            <w:pPr>
              <w:pStyle w:val="Tabletext"/>
              <w:jc w:val="center"/>
            </w:pPr>
            <w:r w:rsidRPr="00EA1F46">
              <w:t>7.74</w:t>
            </w:r>
          </w:p>
        </w:tc>
        <w:tc>
          <w:tcPr>
            <w:tcW w:w="854" w:type="dxa"/>
          </w:tcPr>
          <w:p w14:paraId="13132F40" w14:textId="77777777" w:rsidR="0059689A" w:rsidRPr="00EA1F46" w:rsidRDefault="0059689A" w:rsidP="007B4BDC">
            <w:pPr>
              <w:pStyle w:val="Tabletext"/>
              <w:jc w:val="center"/>
            </w:pPr>
            <w:r w:rsidRPr="00EA1F46">
              <w:t>7.50</w:t>
            </w:r>
          </w:p>
        </w:tc>
        <w:tc>
          <w:tcPr>
            <w:tcW w:w="856" w:type="dxa"/>
          </w:tcPr>
          <w:p w14:paraId="13132F41" w14:textId="77777777" w:rsidR="0059689A" w:rsidRPr="00EA1F46" w:rsidRDefault="0059689A" w:rsidP="007B4BDC">
            <w:pPr>
              <w:pStyle w:val="Tabletext"/>
              <w:jc w:val="center"/>
            </w:pPr>
            <w:r w:rsidRPr="00EA1F46">
              <w:t>1.98</w:t>
            </w:r>
          </w:p>
        </w:tc>
        <w:tc>
          <w:tcPr>
            <w:tcW w:w="854" w:type="dxa"/>
          </w:tcPr>
          <w:p w14:paraId="13132F42" w14:textId="77777777" w:rsidR="0059689A" w:rsidRPr="00EA1F46" w:rsidRDefault="0059689A" w:rsidP="007B4BDC">
            <w:pPr>
              <w:pStyle w:val="Tabletext"/>
              <w:jc w:val="center"/>
            </w:pPr>
            <w:r w:rsidRPr="00EA1F46">
              <w:t>1.94</w:t>
            </w:r>
          </w:p>
        </w:tc>
        <w:tc>
          <w:tcPr>
            <w:tcW w:w="850" w:type="dxa"/>
          </w:tcPr>
          <w:p w14:paraId="13132F43" w14:textId="77777777" w:rsidR="0059689A" w:rsidRPr="00EA1F46" w:rsidRDefault="0059689A" w:rsidP="007B4BDC">
            <w:pPr>
              <w:pStyle w:val="Tabletext"/>
              <w:jc w:val="center"/>
            </w:pPr>
            <w:r w:rsidRPr="00EA1F46">
              <w:t>9.14</w:t>
            </w:r>
          </w:p>
        </w:tc>
      </w:tr>
      <w:tr w:rsidR="0059689A" w:rsidRPr="00EA1F46" w14:paraId="13132F50" w14:textId="77777777">
        <w:trPr>
          <w:jc w:val="center"/>
        </w:trPr>
        <w:tc>
          <w:tcPr>
            <w:tcW w:w="1191" w:type="dxa"/>
          </w:tcPr>
          <w:p w14:paraId="13132F45" w14:textId="77777777" w:rsidR="0059689A" w:rsidRPr="00EA1F46" w:rsidRDefault="0059689A" w:rsidP="007B4BDC">
            <w:pPr>
              <w:pStyle w:val="Tabletext"/>
            </w:pPr>
            <w:r w:rsidRPr="00EA1F46">
              <w:rPr>
                <w:i/>
                <w:iCs/>
              </w:rPr>
              <w:t>y</w:t>
            </w:r>
            <w:r w:rsidRPr="00EA1F46">
              <w:rPr>
                <w:i/>
                <w:iCs/>
                <w:position w:val="-4"/>
                <w:sz w:val="18"/>
              </w:rPr>
              <w:t>j</w:t>
            </w:r>
            <w:r w:rsidRPr="00EA1F46">
              <w:t xml:space="preserve"> (km)</w:t>
            </w:r>
          </w:p>
        </w:tc>
        <w:tc>
          <w:tcPr>
            <w:tcW w:w="847" w:type="dxa"/>
          </w:tcPr>
          <w:p w14:paraId="13132F46" w14:textId="77777777" w:rsidR="0059689A" w:rsidRPr="00EA1F46" w:rsidRDefault="0059689A" w:rsidP="007B4BDC">
            <w:pPr>
              <w:pStyle w:val="Tabletext"/>
              <w:jc w:val="center"/>
            </w:pPr>
            <w:r w:rsidRPr="00EA1F46">
              <w:t>2.68</w:t>
            </w:r>
          </w:p>
        </w:tc>
        <w:tc>
          <w:tcPr>
            <w:tcW w:w="922" w:type="dxa"/>
          </w:tcPr>
          <w:p w14:paraId="13132F47" w14:textId="77777777" w:rsidR="0059689A" w:rsidRPr="00EA1F46" w:rsidRDefault="0059689A" w:rsidP="007B4BDC">
            <w:pPr>
              <w:pStyle w:val="Tabletext"/>
              <w:jc w:val="center"/>
            </w:pPr>
            <w:r w:rsidRPr="00EA1F46">
              <w:t>1.77</w:t>
            </w:r>
          </w:p>
        </w:tc>
        <w:tc>
          <w:tcPr>
            <w:tcW w:w="878" w:type="dxa"/>
          </w:tcPr>
          <w:p w14:paraId="13132F48" w14:textId="77777777" w:rsidR="0059689A" w:rsidRPr="00EA1F46" w:rsidRDefault="0059689A" w:rsidP="007B4BDC">
            <w:pPr>
              <w:pStyle w:val="Tabletext"/>
              <w:jc w:val="center"/>
            </w:pPr>
            <w:r w:rsidRPr="00EA1F46">
              <w:t>5.77</w:t>
            </w:r>
          </w:p>
        </w:tc>
        <w:tc>
          <w:tcPr>
            <w:tcW w:w="878" w:type="dxa"/>
          </w:tcPr>
          <w:p w14:paraId="13132F49" w14:textId="77777777" w:rsidR="0059689A" w:rsidRPr="00EA1F46" w:rsidRDefault="0059689A" w:rsidP="007B4BDC">
            <w:pPr>
              <w:pStyle w:val="Tabletext"/>
              <w:jc w:val="center"/>
            </w:pPr>
            <w:r w:rsidRPr="00EA1F46">
              <w:t>4.98</w:t>
            </w:r>
          </w:p>
        </w:tc>
        <w:tc>
          <w:tcPr>
            <w:tcW w:w="730" w:type="dxa"/>
          </w:tcPr>
          <w:p w14:paraId="13132F4A" w14:textId="77777777" w:rsidR="0059689A" w:rsidRPr="00EA1F46" w:rsidRDefault="0059689A" w:rsidP="007B4BDC">
            <w:pPr>
              <w:pStyle w:val="Tabletext"/>
              <w:jc w:val="center"/>
            </w:pPr>
            <w:r w:rsidRPr="00EA1F46">
              <w:t>2.85</w:t>
            </w:r>
          </w:p>
        </w:tc>
        <w:tc>
          <w:tcPr>
            <w:tcW w:w="854" w:type="dxa"/>
          </w:tcPr>
          <w:p w14:paraId="13132F4B" w14:textId="77777777" w:rsidR="0059689A" w:rsidRPr="00EA1F46" w:rsidRDefault="0059689A" w:rsidP="007B4BDC">
            <w:pPr>
              <w:pStyle w:val="Tabletext"/>
              <w:jc w:val="center"/>
            </w:pPr>
            <w:r w:rsidRPr="00EA1F46">
              <w:t>1.56</w:t>
            </w:r>
          </w:p>
        </w:tc>
        <w:tc>
          <w:tcPr>
            <w:tcW w:w="854" w:type="dxa"/>
          </w:tcPr>
          <w:p w14:paraId="13132F4C" w14:textId="77777777" w:rsidR="0059689A" w:rsidRPr="00EA1F46" w:rsidRDefault="0059689A" w:rsidP="007B4BDC">
            <w:pPr>
              <w:pStyle w:val="Tabletext"/>
              <w:jc w:val="center"/>
            </w:pPr>
            <w:r w:rsidRPr="00EA1F46">
              <w:t>6.10</w:t>
            </w:r>
          </w:p>
        </w:tc>
        <w:tc>
          <w:tcPr>
            <w:tcW w:w="856" w:type="dxa"/>
          </w:tcPr>
          <w:p w14:paraId="13132F4D" w14:textId="77777777" w:rsidR="0059689A" w:rsidRPr="00EA1F46" w:rsidRDefault="0059689A" w:rsidP="007B4BDC">
            <w:pPr>
              <w:pStyle w:val="Tabletext"/>
              <w:jc w:val="center"/>
            </w:pPr>
            <w:r w:rsidRPr="00EA1F46">
              <w:t>7.40</w:t>
            </w:r>
          </w:p>
        </w:tc>
        <w:tc>
          <w:tcPr>
            <w:tcW w:w="854" w:type="dxa"/>
          </w:tcPr>
          <w:p w14:paraId="13132F4E" w14:textId="77777777" w:rsidR="0059689A" w:rsidRPr="00EA1F46" w:rsidRDefault="0059689A" w:rsidP="007B4BDC">
            <w:pPr>
              <w:pStyle w:val="Tabletext"/>
              <w:jc w:val="center"/>
            </w:pPr>
            <w:r w:rsidRPr="00EA1F46">
              <w:t>7.46</w:t>
            </w:r>
          </w:p>
        </w:tc>
        <w:tc>
          <w:tcPr>
            <w:tcW w:w="850" w:type="dxa"/>
          </w:tcPr>
          <w:p w14:paraId="13132F4F" w14:textId="77777777" w:rsidR="0059689A" w:rsidRPr="00EA1F46" w:rsidRDefault="0059689A" w:rsidP="007B4BDC">
            <w:pPr>
              <w:pStyle w:val="Tabletext"/>
              <w:jc w:val="center"/>
            </w:pPr>
            <w:r w:rsidRPr="00EA1F46">
              <w:t>0.80</w:t>
            </w:r>
          </w:p>
        </w:tc>
      </w:tr>
      <w:tr w:rsidR="0059689A" w:rsidRPr="00EA1F46" w14:paraId="13132F5C" w14:textId="77777777">
        <w:trPr>
          <w:jc w:val="center"/>
        </w:trPr>
        <w:tc>
          <w:tcPr>
            <w:tcW w:w="1191" w:type="dxa"/>
            <w:tcBorders>
              <w:bottom w:val="single" w:sz="4" w:space="0" w:color="auto"/>
            </w:tcBorders>
          </w:tcPr>
          <w:p w14:paraId="13132F51" w14:textId="77777777" w:rsidR="0059689A" w:rsidRPr="00EA1F46" w:rsidRDefault="0059689A" w:rsidP="007B4BDC">
            <w:pPr>
              <w:pStyle w:val="Tabletext"/>
            </w:pPr>
            <w:proofErr w:type="spellStart"/>
            <w:r w:rsidRPr="00EA1F46">
              <w:t>Δ</w:t>
            </w:r>
            <w:r w:rsidRPr="00EA1F46">
              <w:rPr>
                <w:i/>
                <w:iCs/>
              </w:rPr>
              <w:t>f</w:t>
            </w:r>
            <w:proofErr w:type="spellEnd"/>
            <w:r w:rsidRPr="00EA1F46">
              <w:rPr>
                <w:i/>
                <w:iCs/>
                <w:position w:val="-4"/>
                <w:sz w:val="18"/>
              </w:rPr>
              <w:t>i</w:t>
            </w:r>
            <w:r w:rsidRPr="00EA1F46">
              <w:t xml:space="preserve"> (MHz)</w:t>
            </w:r>
          </w:p>
        </w:tc>
        <w:tc>
          <w:tcPr>
            <w:tcW w:w="847" w:type="dxa"/>
            <w:tcBorders>
              <w:bottom w:val="single" w:sz="4" w:space="0" w:color="auto"/>
            </w:tcBorders>
          </w:tcPr>
          <w:p w14:paraId="13132F52" w14:textId="77777777" w:rsidR="0059689A" w:rsidRPr="00EA1F46" w:rsidRDefault="0059689A" w:rsidP="007B4BDC">
            <w:pPr>
              <w:pStyle w:val="Tabletext"/>
              <w:jc w:val="center"/>
            </w:pPr>
            <w:r w:rsidRPr="00EA1F46">
              <w:t>0.262</w:t>
            </w:r>
          </w:p>
        </w:tc>
        <w:tc>
          <w:tcPr>
            <w:tcW w:w="922" w:type="dxa"/>
            <w:tcBorders>
              <w:bottom w:val="single" w:sz="4" w:space="0" w:color="auto"/>
            </w:tcBorders>
          </w:tcPr>
          <w:p w14:paraId="13132F53" w14:textId="77777777" w:rsidR="0059689A" w:rsidRPr="00EA1F46" w:rsidRDefault="0059689A" w:rsidP="007B4BDC">
            <w:pPr>
              <w:pStyle w:val="Tabletext"/>
              <w:jc w:val="center"/>
            </w:pPr>
            <w:r w:rsidRPr="00EA1F46">
              <w:t>0.092</w:t>
            </w:r>
          </w:p>
        </w:tc>
        <w:tc>
          <w:tcPr>
            <w:tcW w:w="878" w:type="dxa"/>
            <w:tcBorders>
              <w:bottom w:val="single" w:sz="4" w:space="0" w:color="auto"/>
            </w:tcBorders>
          </w:tcPr>
          <w:p w14:paraId="13132F54" w14:textId="77777777" w:rsidR="0059689A" w:rsidRPr="00EA1F46" w:rsidRDefault="0059689A" w:rsidP="007B4BDC">
            <w:pPr>
              <w:pStyle w:val="Tabletext"/>
              <w:jc w:val="center"/>
            </w:pPr>
            <w:r w:rsidRPr="00EA1F46">
              <w:t>0</w:t>
            </w:r>
          </w:p>
        </w:tc>
        <w:tc>
          <w:tcPr>
            <w:tcW w:w="878" w:type="dxa"/>
            <w:tcBorders>
              <w:bottom w:val="single" w:sz="4" w:space="0" w:color="auto"/>
            </w:tcBorders>
          </w:tcPr>
          <w:p w14:paraId="13132F55" w14:textId="77777777" w:rsidR="0059689A" w:rsidRPr="00EA1F46" w:rsidRDefault="0059689A" w:rsidP="007B4BDC">
            <w:pPr>
              <w:pStyle w:val="Tabletext"/>
              <w:jc w:val="center"/>
            </w:pPr>
            <w:r w:rsidRPr="00EA1F46">
              <w:t>0.204</w:t>
            </w:r>
          </w:p>
        </w:tc>
        <w:tc>
          <w:tcPr>
            <w:tcW w:w="730" w:type="dxa"/>
            <w:tcBorders>
              <w:bottom w:val="single" w:sz="4" w:space="0" w:color="auto"/>
            </w:tcBorders>
          </w:tcPr>
          <w:p w14:paraId="13132F56" w14:textId="77777777" w:rsidR="0059689A" w:rsidRPr="00EA1F46" w:rsidRDefault="0059689A" w:rsidP="007B4BDC">
            <w:pPr>
              <w:pStyle w:val="Tabletext"/>
              <w:jc w:val="center"/>
            </w:pPr>
            <w:r w:rsidRPr="00EA1F46">
              <w:t>0.046</w:t>
            </w:r>
          </w:p>
        </w:tc>
        <w:tc>
          <w:tcPr>
            <w:tcW w:w="854" w:type="dxa"/>
            <w:tcBorders>
              <w:bottom w:val="single" w:sz="4" w:space="0" w:color="auto"/>
            </w:tcBorders>
          </w:tcPr>
          <w:p w14:paraId="13132F57" w14:textId="77777777" w:rsidR="0059689A" w:rsidRPr="00EA1F46" w:rsidRDefault="0059689A" w:rsidP="007B4BDC">
            <w:pPr>
              <w:pStyle w:val="Tabletext"/>
              <w:jc w:val="center"/>
            </w:pPr>
            <w:r w:rsidRPr="00EA1F46">
              <w:t>0</w:t>
            </w:r>
          </w:p>
        </w:tc>
        <w:tc>
          <w:tcPr>
            <w:tcW w:w="854" w:type="dxa"/>
            <w:tcBorders>
              <w:bottom w:val="single" w:sz="4" w:space="0" w:color="auto"/>
            </w:tcBorders>
          </w:tcPr>
          <w:p w14:paraId="13132F58" w14:textId="77777777" w:rsidR="0059689A" w:rsidRPr="00EA1F46" w:rsidRDefault="0059689A" w:rsidP="007B4BDC">
            <w:pPr>
              <w:pStyle w:val="Tabletext"/>
              <w:jc w:val="center"/>
            </w:pPr>
            <w:r w:rsidRPr="00EA1F46">
              <w:t>0.301</w:t>
            </w:r>
          </w:p>
        </w:tc>
        <w:tc>
          <w:tcPr>
            <w:tcW w:w="856" w:type="dxa"/>
            <w:tcBorders>
              <w:bottom w:val="single" w:sz="4" w:space="0" w:color="auto"/>
            </w:tcBorders>
          </w:tcPr>
          <w:p w14:paraId="13132F59" w14:textId="77777777" w:rsidR="0059689A" w:rsidRPr="00EA1F46" w:rsidRDefault="0059689A" w:rsidP="007B4BDC">
            <w:pPr>
              <w:pStyle w:val="Tabletext"/>
              <w:jc w:val="center"/>
            </w:pPr>
            <w:r w:rsidRPr="00EA1F46">
              <w:t>0.241</w:t>
            </w:r>
          </w:p>
        </w:tc>
        <w:tc>
          <w:tcPr>
            <w:tcW w:w="854" w:type="dxa"/>
            <w:tcBorders>
              <w:bottom w:val="single" w:sz="4" w:space="0" w:color="auto"/>
            </w:tcBorders>
          </w:tcPr>
          <w:p w14:paraId="13132F5A" w14:textId="77777777" w:rsidR="0059689A" w:rsidRPr="00EA1F46" w:rsidRDefault="0059689A" w:rsidP="007B4BDC">
            <w:pPr>
              <w:pStyle w:val="Tabletext"/>
              <w:jc w:val="center"/>
            </w:pPr>
            <w:r w:rsidRPr="00EA1F46">
              <w:t>0.049</w:t>
            </w:r>
          </w:p>
        </w:tc>
        <w:tc>
          <w:tcPr>
            <w:tcW w:w="850" w:type="dxa"/>
            <w:tcBorders>
              <w:bottom w:val="single" w:sz="4" w:space="0" w:color="auto"/>
            </w:tcBorders>
          </w:tcPr>
          <w:p w14:paraId="13132F5B" w14:textId="77777777" w:rsidR="0059689A" w:rsidRPr="00EA1F46" w:rsidRDefault="0059689A" w:rsidP="007B4BDC">
            <w:pPr>
              <w:pStyle w:val="Tabletext"/>
              <w:jc w:val="center"/>
            </w:pPr>
            <w:r w:rsidRPr="00EA1F46">
              <w:t>0.095</w:t>
            </w:r>
          </w:p>
        </w:tc>
      </w:tr>
      <w:tr w:rsidR="0059689A" w:rsidRPr="00EA1F46" w14:paraId="13132F68" w14:textId="77777777">
        <w:trPr>
          <w:jc w:val="center"/>
        </w:trPr>
        <w:tc>
          <w:tcPr>
            <w:tcW w:w="1191" w:type="dxa"/>
            <w:tcBorders>
              <w:top w:val="single" w:sz="4" w:space="0" w:color="auto"/>
            </w:tcBorders>
          </w:tcPr>
          <w:p w14:paraId="13132F5D" w14:textId="77777777" w:rsidR="0059689A" w:rsidRPr="00EA1F46" w:rsidRDefault="0059689A" w:rsidP="007B4BDC">
            <w:pPr>
              <w:pStyle w:val="Tablehead"/>
              <w:spacing w:before="40" w:after="40"/>
            </w:pPr>
            <w:r w:rsidRPr="00EA1F46">
              <w:t>No.</w:t>
            </w:r>
          </w:p>
        </w:tc>
        <w:tc>
          <w:tcPr>
            <w:tcW w:w="847" w:type="dxa"/>
            <w:tcBorders>
              <w:top w:val="single" w:sz="4" w:space="0" w:color="auto"/>
            </w:tcBorders>
          </w:tcPr>
          <w:p w14:paraId="13132F5E" w14:textId="77777777" w:rsidR="0059689A" w:rsidRPr="00EA1F46" w:rsidRDefault="0059689A" w:rsidP="007B4BDC">
            <w:pPr>
              <w:pStyle w:val="Tablehead"/>
              <w:spacing w:before="40" w:after="40"/>
            </w:pPr>
            <w:r w:rsidRPr="00EA1F46">
              <w:t>41</w:t>
            </w:r>
          </w:p>
        </w:tc>
        <w:tc>
          <w:tcPr>
            <w:tcW w:w="922" w:type="dxa"/>
            <w:tcBorders>
              <w:top w:val="single" w:sz="4" w:space="0" w:color="auto"/>
            </w:tcBorders>
          </w:tcPr>
          <w:p w14:paraId="13132F5F" w14:textId="77777777" w:rsidR="0059689A" w:rsidRPr="00EA1F46" w:rsidRDefault="0059689A" w:rsidP="007B4BDC">
            <w:pPr>
              <w:pStyle w:val="Tablehead"/>
              <w:spacing w:before="40" w:after="40"/>
            </w:pPr>
            <w:r w:rsidRPr="00EA1F46">
              <w:t>42</w:t>
            </w:r>
          </w:p>
        </w:tc>
        <w:tc>
          <w:tcPr>
            <w:tcW w:w="878" w:type="dxa"/>
            <w:tcBorders>
              <w:top w:val="single" w:sz="4" w:space="0" w:color="auto"/>
            </w:tcBorders>
          </w:tcPr>
          <w:p w14:paraId="13132F60" w14:textId="77777777" w:rsidR="0059689A" w:rsidRPr="00EA1F46" w:rsidRDefault="0059689A" w:rsidP="007B4BDC">
            <w:pPr>
              <w:pStyle w:val="Tablehead"/>
              <w:spacing w:before="40" w:after="40"/>
            </w:pPr>
            <w:r w:rsidRPr="00EA1F46">
              <w:t>43</w:t>
            </w:r>
          </w:p>
        </w:tc>
        <w:tc>
          <w:tcPr>
            <w:tcW w:w="878" w:type="dxa"/>
            <w:tcBorders>
              <w:top w:val="single" w:sz="4" w:space="0" w:color="auto"/>
            </w:tcBorders>
          </w:tcPr>
          <w:p w14:paraId="13132F61" w14:textId="77777777" w:rsidR="0059689A" w:rsidRPr="00EA1F46" w:rsidRDefault="0059689A" w:rsidP="007B4BDC">
            <w:pPr>
              <w:pStyle w:val="Tablehead"/>
              <w:spacing w:before="40" w:after="40"/>
            </w:pPr>
            <w:r w:rsidRPr="00EA1F46">
              <w:t>44</w:t>
            </w:r>
          </w:p>
        </w:tc>
        <w:tc>
          <w:tcPr>
            <w:tcW w:w="730" w:type="dxa"/>
            <w:tcBorders>
              <w:top w:val="single" w:sz="4" w:space="0" w:color="auto"/>
            </w:tcBorders>
          </w:tcPr>
          <w:p w14:paraId="13132F62" w14:textId="77777777" w:rsidR="0059689A" w:rsidRPr="00EA1F46" w:rsidRDefault="0059689A" w:rsidP="007B4BDC">
            <w:pPr>
              <w:pStyle w:val="Tablehead"/>
              <w:spacing w:before="40" w:after="40"/>
            </w:pPr>
            <w:r w:rsidRPr="00EA1F46">
              <w:t>45</w:t>
            </w:r>
          </w:p>
        </w:tc>
        <w:tc>
          <w:tcPr>
            <w:tcW w:w="854" w:type="dxa"/>
            <w:tcBorders>
              <w:top w:val="single" w:sz="4" w:space="0" w:color="auto"/>
            </w:tcBorders>
          </w:tcPr>
          <w:p w14:paraId="13132F63" w14:textId="77777777" w:rsidR="0059689A" w:rsidRPr="00EA1F46" w:rsidRDefault="0059689A" w:rsidP="007B4BDC">
            <w:pPr>
              <w:pStyle w:val="Tablehead"/>
              <w:spacing w:before="40" w:after="40"/>
            </w:pPr>
            <w:r w:rsidRPr="00EA1F46">
              <w:t>46</w:t>
            </w:r>
          </w:p>
        </w:tc>
        <w:tc>
          <w:tcPr>
            <w:tcW w:w="854" w:type="dxa"/>
            <w:tcBorders>
              <w:top w:val="single" w:sz="4" w:space="0" w:color="auto"/>
            </w:tcBorders>
          </w:tcPr>
          <w:p w14:paraId="13132F64" w14:textId="77777777" w:rsidR="0059689A" w:rsidRPr="00EA1F46" w:rsidRDefault="0059689A" w:rsidP="007B4BDC">
            <w:pPr>
              <w:pStyle w:val="Tablehead"/>
              <w:spacing w:before="40" w:after="40"/>
            </w:pPr>
            <w:r w:rsidRPr="00EA1F46">
              <w:t>47</w:t>
            </w:r>
          </w:p>
        </w:tc>
        <w:tc>
          <w:tcPr>
            <w:tcW w:w="856" w:type="dxa"/>
            <w:tcBorders>
              <w:top w:val="single" w:sz="4" w:space="0" w:color="auto"/>
            </w:tcBorders>
          </w:tcPr>
          <w:p w14:paraId="13132F65" w14:textId="77777777" w:rsidR="0059689A" w:rsidRPr="00EA1F46" w:rsidRDefault="0059689A" w:rsidP="007B4BDC">
            <w:pPr>
              <w:pStyle w:val="Tablehead"/>
              <w:spacing w:before="40" w:after="40"/>
            </w:pPr>
            <w:r w:rsidRPr="00EA1F46">
              <w:t>48</w:t>
            </w:r>
          </w:p>
        </w:tc>
        <w:tc>
          <w:tcPr>
            <w:tcW w:w="854" w:type="dxa"/>
            <w:tcBorders>
              <w:top w:val="single" w:sz="4" w:space="0" w:color="auto"/>
            </w:tcBorders>
          </w:tcPr>
          <w:p w14:paraId="13132F66" w14:textId="77777777" w:rsidR="0059689A" w:rsidRPr="00EA1F46" w:rsidRDefault="0059689A" w:rsidP="007B4BDC">
            <w:pPr>
              <w:pStyle w:val="Tablehead"/>
              <w:spacing w:before="40" w:after="40"/>
            </w:pPr>
            <w:r w:rsidRPr="00EA1F46">
              <w:t>49</w:t>
            </w:r>
          </w:p>
        </w:tc>
        <w:tc>
          <w:tcPr>
            <w:tcW w:w="850" w:type="dxa"/>
            <w:tcBorders>
              <w:top w:val="single" w:sz="4" w:space="0" w:color="auto"/>
            </w:tcBorders>
          </w:tcPr>
          <w:p w14:paraId="13132F67" w14:textId="77777777" w:rsidR="0059689A" w:rsidRPr="00EA1F46" w:rsidRDefault="0059689A" w:rsidP="007B4BDC">
            <w:pPr>
              <w:pStyle w:val="Tablehead"/>
              <w:spacing w:before="40" w:after="40"/>
            </w:pPr>
            <w:r w:rsidRPr="00EA1F46">
              <w:t>50</w:t>
            </w:r>
          </w:p>
        </w:tc>
      </w:tr>
      <w:tr w:rsidR="0059689A" w:rsidRPr="00EA1F46" w14:paraId="13132F74" w14:textId="77777777">
        <w:trPr>
          <w:jc w:val="center"/>
        </w:trPr>
        <w:tc>
          <w:tcPr>
            <w:tcW w:w="1191" w:type="dxa"/>
          </w:tcPr>
          <w:p w14:paraId="13132F69" w14:textId="77777777" w:rsidR="0059689A" w:rsidRPr="00EA1F46" w:rsidRDefault="0059689A" w:rsidP="007B4BDC">
            <w:pPr>
              <w:pStyle w:val="Tabletext"/>
            </w:pPr>
            <w:r w:rsidRPr="00EA1F46">
              <w:rPr>
                <w:i/>
                <w:iCs/>
              </w:rPr>
              <w:t>x</w:t>
            </w:r>
            <w:r w:rsidRPr="00EA1F46">
              <w:rPr>
                <w:i/>
                <w:iCs/>
                <w:position w:val="-4"/>
                <w:sz w:val="18"/>
              </w:rPr>
              <w:t>j</w:t>
            </w:r>
            <w:r w:rsidRPr="00EA1F46">
              <w:t xml:space="preserve"> (km)</w:t>
            </w:r>
          </w:p>
        </w:tc>
        <w:tc>
          <w:tcPr>
            <w:tcW w:w="847" w:type="dxa"/>
          </w:tcPr>
          <w:p w14:paraId="13132F6A" w14:textId="77777777" w:rsidR="0059689A" w:rsidRPr="00EA1F46" w:rsidRDefault="0059689A" w:rsidP="007B4BDC">
            <w:pPr>
              <w:pStyle w:val="Tabletext"/>
              <w:jc w:val="center"/>
            </w:pPr>
            <w:r w:rsidRPr="00EA1F46">
              <w:t>7.84</w:t>
            </w:r>
          </w:p>
        </w:tc>
        <w:tc>
          <w:tcPr>
            <w:tcW w:w="922" w:type="dxa"/>
          </w:tcPr>
          <w:p w14:paraId="13132F6B" w14:textId="77777777" w:rsidR="0059689A" w:rsidRPr="00EA1F46" w:rsidRDefault="0059689A" w:rsidP="007B4BDC">
            <w:pPr>
              <w:pStyle w:val="Tabletext"/>
              <w:jc w:val="center"/>
            </w:pPr>
            <w:r w:rsidRPr="00EA1F46">
              <w:t>5.89</w:t>
            </w:r>
          </w:p>
        </w:tc>
        <w:tc>
          <w:tcPr>
            <w:tcW w:w="878" w:type="dxa"/>
          </w:tcPr>
          <w:p w14:paraId="13132F6C" w14:textId="77777777" w:rsidR="0059689A" w:rsidRPr="00EA1F46" w:rsidRDefault="0059689A" w:rsidP="007B4BDC">
            <w:pPr>
              <w:pStyle w:val="Tabletext"/>
              <w:jc w:val="center"/>
            </w:pPr>
            <w:r w:rsidRPr="00EA1F46">
              <w:t>8.65</w:t>
            </w:r>
          </w:p>
        </w:tc>
        <w:tc>
          <w:tcPr>
            <w:tcW w:w="878" w:type="dxa"/>
          </w:tcPr>
          <w:p w14:paraId="13132F6D" w14:textId="77777777" w:rsidR="0059689A" w:rsidRPr="00EA1F46" w:rsidRDefault="0059689A" w:rsidP="007B4BDC">
            <w:pPr>
              <w:pStyle w:val="Tabletext"/>
              <w:jc w:val="center"/>
            </w:pPr>
            <w:r w:rsidRPr="00EA1F46">
              <w:t>6.89</w:t>
            </w:r>
          </w:p>
        </w:tc>
        <w:tc>
          <w:tcPr>
            <w:tcW w:w="730" w:type="dxa"/>
          </w:tcPr>
          <w:p w14:paraId="13132F6E" w14:textId="77777777" w:rsidR="0059689A" w:rsidRPr="00EA1F46" w:rsidRDefault="0059689A" w:rsidP="007B4BDC">
            <w:pPr>
              <w:pStyle w:val="Tabletext"/>
              <w:jc w:val="center"/>
            </w:pPr>
            <w:r w:rsidRPr="00EA1F46">
              <w:t>2.88</w:t>
            </w:r>
          </w:p>
        </w:tc>
        <w:tc>
          <w:tcPr>
            <w:tcW w:w="854" w:type="dxa"/>
          </w:tcPr>
          <w:p w14:paraId="13132F6F" w14:textId="77777777" w:rsidR="0059689A" w:rsidRPr="00EA1F46" w:rsidRDefault="0059689A" w:rsidP="007B4BDC">
            <w:pPr>
              <w:pStyle w:val="Tabletext"/>
              <w:jc w:val="center"/>
            </w:pPr>
            <w:r w:rsidRPr="00EA1F46">
              <w:t>0.94</w:t>
            </w:r>
          </w:p>
        </w:tc>
        <w:tc>
          <w:tcPr>
            <w:tcW w:w="854" w:type="dxa"/>
          </w:tcPr>
          <w:p w14:paraId="13132F70" w14:textId="77777777" w:rsidR="0059689A" w:rsidRPr="00EA1F46" w:rsidRDefault="0059689A" w:rsidP="007B4BDC">
            <w:pPr>
              <w:pStyle w:val="Tabletext"/>
              <w:jc w:val="center"/>
            </w:pPr>
            <w:r w:rsidRPr="00EA1F46">
              <w:t>6.29</w:t>
            </w:r>
          </w:p>
        </w:tc>
        <w:tc>
          <w:tcPr>
            <w:tcW w:w="856" w:type="dxa"/>
          </w:tcPr>
          <w:p w14:paraId="13132F71" w14:textId="77777777" w:rsidR="0059689A" w:rsidRPr="00EA1F46" w:rsidRDefault="0059689A" w:rsidP="007B4BDC">
            <w:pPr>
              <w:pStyle w:val="Tabletext"/>
              <w:jc w:val="center"/>
            </w:pPr>
            <w:r w:rsidRPr="00EA1F46">
              <w:t>2.80</w:t>
            </w:r>
          </w:p>
        </w:tc>
        <w:tc>
          <w:tcPr>
            <w:tcW w:w="854" w:type="dxa"/>
          </w:tcPr>
          <w:p w14:paraId="13132F72" w14:textId="77777777" w:rsidR="0059689A" w:rsidRPr="00EA1F46" w:rsidRDefault="0059689A" w:rsidP="007B4BDC">
            <w:pPr>
              <w:pStyle w:val="Tabletext"/>
              <w:jc w:val="center"/>
            </w:pPr>
            <w:r w:rsidRPr="00EA1F46">
              <w:t>8.77</w:t>
            </w:r>
          </w:p>
        </w:tc>
        <w:tc>
          <w:tcPr>
            <w:tcW w:w="850" w:type="dxa"/>
          </w:tcPr>
          <w:p w14:paraId="13132F73" w14:textId="77777777" w:rsidR="0059689A" w:rsidRPr="00EA1F46" w:rsidRDefault="0059689A" w:rsidP="007B4BDC">
            <w:pPr>
              <w:pStyle w:val="Tabletext"/>
              <w:jc w:val="center"/>
            </w:pPr>
            <w:r w:rsidRPr="00EA1F46">
              <w:t>1.61</w:t>
            </w:r>
          </w:p>
        </w:tc>
      </w:tr>
      <w:tr w:rsidR="0059689A" w:rsidRPr="00EA1F46" w14:paraId="13132F80" w14:textId="77777777">
        <w:trPr>
          <w:jc w:val="center"/>
        </w:trPr>
        <w:tc>
          <w:tcPr>
            <w:tcW w:w="1191" w:type="dxa"/>
          </w:tcPr>
          <w:p w14:paraId="13132F75" w14:textId="77777777" w:rsidR="0059689A" w:rsidRPr="00EA1F46" w:rsidRDefault="0059689A" w:rsidP="007B4BDC">
            <w:pPr>
              <w:pStyle w:val="Tabletext"/>
            </w:pPr>
            <w:r w:rsidRPr="00EA1F46">
              <w:rPr>
                <w:i/>
                <w:iCs/>
              </w:rPr>
              <w:t>y</w:t>
            </w:r>
            <w:r w:rsidRPr="00EA1F46">
              <w:rPr>
                <w:i/>
                <w:iCs/>
                <w:position w:val="-4"/>
                <w:sz w:val="18"/>
              </w:rPr>
              <w:t>j</w:t>
            </w:r>
            <w:r w:rsidRPr="00EA1F46">
              <w:t xml:space="preserve"> (km)</w:t>
            </w:r>
          </w:p>
        </w:tc>
        <w:tc>
          <w:tcPr>
            <w:tcW w:w="847" w:type="dxa"/>
          </w:tcPr>
          <w:p w14:paraId="13132F76" w14:textId="77777777" w:rsidR="0059689A" w:rsidRPr="00EA1F46" w:rsidRDefault="0059689A" w:rsidP="007B4BDC">
            <w:pPr>
              <w:pStyle w:val="Tabletext"/>
              <w:jc w:val="center"/>
            </w:pPr>
            <w:r w:rsidRPr="00EA1F46">
              <w:t>0.76</w:t>
            </w:r>
          </w:p>
        </w:tc>
        <w:tc>
          <w:tcPr>
            <w:tcW w:w="922" w:type="dxa"/>
          </w:tcPr>
          <w:p w14:paraId="13132F77" w14:textId="77777777" w:rsidR="0059689A" w:rsidRPr="00EA1F46" w:rsidRDefault="0059689A" w:rsidP="007B4BDC">
            <w:pPr>
              <w:pStyle w:val="Tabletext"/>
              <w:jc w:val="center"/>
            </w:pPr>
            <w:r w:rsidRPr="00EA1F46">
              <w:t>0.60</w:t>
            </w:r>
          </w:p>
        </w:tc>
        <w:tc>
          <w:tcPr>
            <w:tcW w:w="878" w:type="dxa"/>
          </w:tcPr>
          <w:p w14:paraId="13132F78" w14:textId="77777777" w:rsidR="0059689A" w:rsidRPr="00EA1F46" w:rsidRDefault="0059689A" w:rsidP="007B4BDC">
            <w:pPr>
              <w:pStyle w:val="Tabletext"/>
              <w:jc w:val="center"/>
            </w:pPr>
            <w:r w:rsidRPr="00EA1F46">
              <w:t>1.07</w:t>
            </w:r>
          </w:p>
        </w:tc>
        <w:tc>
          <w:tcPr>
            <w:tcW w:w="878" w:type="dxa"/>
          </w:tcPr>
          <w:p w14:paraId="13132F79" w14:textId="77777777" w:rsidR="0059689A" w:rsidRPr="00EA1F46" w:rsidRDefault="0059689A" w:rsidP="007B4BDC">
            <w:pPr>
              <w:pStyle w:val="Tabletext"/>
              <w:jc w:val="center"/>
            </w:pPr>
            <w:r w:rsidRPr="00EA1F46">
              <w:t>7.96</w:t>
            </w:r>
          </w:p>
        </w:tc>
        <w:tc>
          <w:tcPr>
            <w:tcW w:w="730" w:type="dxa"/>
          </w:tcPr>
          <w:p w14:paraId="13132F7A" w14:textId="77777777" w:rsidR="0059689A" w:rsidRPr="00EA1F46" w:rsidRDefault="0059689A" w:rsidP="007B4BDC">
            <w:pPr>
              <w:pStyle w:val="Tabletext"/>
              <w:jc w:val="center"/>
            </w:pPr>
            <w:r w:rsidRPr="00EA1F46">
              <w:t>8.06</w:t>
            </w:r>
          </w:p>
        </w:tc>
        <w:tc>
          <w:tcPr>
            <w:tcW w:w="854" w:type="dxa"/>
          </w:tcPr>
          <w:p w14:paraId="13132F7B" w14:textId="77777777" w:rsidR="0059689A" w:rsidRPr="00EA1F46" w:rsidRDefault="0059689A" w:rsidP="007B4BDC">
            <w:pPr>
              <w:pStyle w:val="Tabletext"/>
              <w:jc w:val="center"/>
            </w:pPr>
            <w:r w:rsidRPr="00EA1F46">
              <w:t>3.82</w:t>
            </w:r>
          </w:p>
        </w:tc>
        <w:tc>
          <w:tcPr>
            <w:tcW w:w="854" w:type="dxa"/>
          </w:tcPr>
          <w:p w14:paraId="13132F7C" w14:textId="77777777" w:rsidR="0059689A" w:rsidRPr="00EA1F46" w:rsidRDefault="0059689A" w:rsidP="007B4BDC">
            <w:pPr>
              <w:pStyle w:val="Tabletext"/>
              <w:jc w:val="center"/>
            </w:pPr>
            <w:r w:rsidRPr="00EA1F46">
              <w:t>6.12</w:t>
            </w:r>
          </w:p>
        </w:tc>
        <w:tc>
          <w:tcPr>
            <w:tcW w:w="856" w:type="dxa"/>
          </w:tcPr>
          <w:p w14:paraId="13132F7D" w14:textId="77777777" w:rsidR="0059689A" w:rsidRPr="00EA1F46" w:rsidRDefault="0059689A" w:rsidP="007B4BDC">
            <w:pPr>
              <w:pStyle w:val="Tabletext"/>
              <w:jc w:val="center"/>
            </w:pPr>
            <w:r w:rsidRPr="00EA1F46">
              <w:t>4.37</w:t>
            </w:r>
          </w:p>
        </w:tc>
        <w:tc>
          <w:tcPr>
            <w:tcW w:w="854" w:type="dxa"/>
          </w:tcPr>
          <w:p w14:paraId="13132F7E" w14:textId="77777777" w:rsidR="0059689A" w:rsidRPr="00EA1F46" w:rsidRDefault="0059689A" w:rsidP="007B4BDC">
            <w:pPr>
              <w:pStyle w:val="Tabletext"/>
              <w:jc w:val="center"/>
            </w:pPr>
            <w:r w:rsidRPr="00EA1F46">
              <w:t>7.41</w:t>
            </w:r>
          </w:p>
        </w:tc>
        <w:tc>
          <w:tcPr>
            <w:tcW w:w="850" w:type="dxa"/>
          </w:tcPr>
          <w:p w14:paraId="13132F7F" w14:textId="77777777" w:rsidR="0059689A" w:rsidRPr="00EA1F46" w:rsidRDefault="0059689A" w:rsidP="007B4BDC">
            <w:pPr>
              <w:pStyle w:val="Tabletext"/>
              <w:jc w:val="center"/>
            </w:pPr>
            <w:r w:rsidRPr="00EA1F46">
              <w:t>4.94</w:t>
            </w:r>
          </w:p>
        </w:tc>
      </w:tr>
      <w:tr w:rsidR="0059689A" w:rsidRPr="00EA1F46" w14:paraId="13132F8C" w14:textId="77777777">
        <w:trPr>
          <w:jc w:val="center"/>
        </w:trPr>
        <w:tc>
          <w:tcPr>
            <w:tcW w:w="1191" w:type="dxa"/>
          </w:tcPr>
          <w:p w14:paraId="13132F81" w14:textId="77777777" w:rsidR="0059689A" w:rsidRPr="00EA1F46" w:rsidRDefault="0059689A" w:rsidP="007B4BDC">
            <w:pPr>
              <w:pStyle w:val="Tabletext"/>
            </w:pPr>
            <w:proofErr w:type="spellStart"/>
            <w:r w:rsidRPr="00EA1F46">
              <w:t>Δ</w:t>
            </w:r>
            <w:r w:rsidRPr="00EA1F46">
              <w:rPr>
                <w:i/>
                <w:iCs/>
              </w:rPr>
              <w:t>f</w:t>
            </w:r>
            <w:proofErr w:type="spellEnd"/>
            <w:r w:rsidRPr="00EA1F46">
              <w:rPr>
                <w:i/>
                <w:iCs/>
                <w:position w:val="-4"/>
                <w:sz w:val="18"/>
              </w:rPr>
              <w:t>i</w:t>
            </w:r>
            <w:r w:rsidRPr="00EA1F46">
              <w:t xml:space="preserve"> (MHz)</w:t>
            </w:r>
          </w:p>
        </w:tc>
        <w:tc>
          <w:tcPr>
            <w:tcW w:w="847" w:type="dxa"/>
          </w:tcPr>
          <w:p w14:paraId="13132F82" w14:textId="77777777" w:rsidR="0059689A" w:rsidRPr="00EA1F46" w:rsidRDefault="0059689A" w:rsidP="007B4BDC">
            <w:pPr>
              <w:pStyle w:val="Tabletext"/>
              <w:jc w:val="center"/>
            </w:pPr>
            <w:r w:rsidRPr="00EA1F46">
              <w:t>0.153</w:t>
            </w:r>
          </w:p>
        </w:tc>
        <w:tc>
          <w:tcPr>
            <w:tcW w:w="922" w:type="dxa"/>
          </w:tcPr>
          <w:p w14:paraId="13132F83" w14:textId="77777777" w:rsidR="0059689A" w:rsidRPr="00EA1F46" w:rsidRDefault="0059689A" w:rsidP="007B4BDC">
            <w:pPr>
              <w:pStyle w:val="Tabletext"/>
              <w:jc w:val="center"/>
            </w:pPr>
            <w:r w:rsidRPr="00EA1F46">
              <w:t>0.050</w:t>
            </w:r>
          </w:p>
        </w:tc>
        <w:tc>
          <w:tcPr>
            <w:tcW w:w="878" w:type="dxa"/>
          </w:tcPr>
          <w:p w14:paraId="13132F84" w14:textId="77777777" w:rsidR="0059689A" w:rsidRPr="00EA1F46" w:rsidRDefault="0059689A" w:rsidP="007B4BDC">
            <w:pPr>
              <w:pStyle w:val="Tabletext"/>
              <w:jc w:val="center"/>
            </w:pPr>
            <w:r w:rsidRPr="00EA1F46">
              <w:t>0.309</w:t>
            </w:r>
          </w:p>
        </w:tc>
        <w:tc>
          <w:tcPr>
            <w:tcW w:w="878" w:type="dxa"/>
          </w:tcPr>
          <w:p w14:paraId="13132F85" w14:textId="77777777" w:rsidR="0059689A" w:rsidRPr="00EA1F46" w:rsidRDefault="0059689A" w:rsidP="007B4BDC">
            <w:pPr>
              <w:pStyle w:val="Tabletext"/>
              <w:jc w:val="center"/>
            </w:pPr>
            <w:r w:rsidRPr="00EA1F46">
              <w:t>0.047</w:t>
            </w:r>
          </w:p>
        </w:tc>
        <w:tc>
          <w:tcPr>
            <w:tcW w:w="730" w:type="dxa"/>
          </w:tcPr>
          <w:p w14:paraId="13132F86" w14:textId="77777777" w:rsidR="0059689A" w:rsidRPr="00EA1F46" w:rsidRDefault="0059689A" w:rsidP="007B4BDC">
            <w:pPr>
              <w:pStyle w:val="Tabletext"/>
              <w:jc w:val="center"/>
            </w:pPr>
            <w:r w:rsidRPr="00EA1F46">
              <w:t>0.136</w:t>
            </w:r>
          </w:p>
        </w:tc>
        <w:tc>
          <w:tcPr>
            <w:tcW w:w="854" w:type="dxa"/>
          </w:tcPr>
          <w:p w14:paraId="13132F87" w14:textId="77777777" w:rsidR="0059689A" w:rsidRPr="00EA1F46" w:rsidRDefault="0059689A" w:rsidP="007B4BDC">
            <w:pPr>
              <w:pStyle w:val="Tabletext"/>
              <w:jc w:val="center"/>
            </w:pPr>
            <w:r w:rsidRPr="00EA1F46">
              <w:t>0.050</w:t>
            </w:r>
          </w:p>
        </w:tc>
        <w:tc>
          <w:tcPr>
            <w:tcW w:w="854" w:type="dxa"/>
          </w:tcPr>
          <w:p w14:paraId="13132F88" w14:textId="77777777" w:rsidR="0059689A" w:rsidRPr="00EA1F46" w:rsidRDefault="0059689A" w:rsidP="007B4BDC">
            <w:pPr>
              <w:pStyle w:val="Tabletext"/>
              <w:jc w:val="center"/>
            </w:pPr>
            <w:r w:rsidRPr="00EA1F46">
              <w:t>0.562</w:t>
            </w:r>
          </w:p>
        </w:tc>
        <w:tc>
          <w:tcPr>
            <w:tcW w:w="856" w:type="dxa"/>
          </w:tcPr>
          <w:p w14:paraId="13132F89" w14:textId="77777777" w:rsidR="0059689A" w:rsidRPr="00EA1F46" w:rsidRDefault="0059689A" w:rsidP="007B4BDC">
            <w:pPr>
              <w:pStyle w:val="Tabletext"/>
              <w:jc w:val="center"/>
            </w:pPr>
            <w:r w:rsidRPr="00EA1F46">
              <w:t>0.23</w:t>
            </w:r>
          </w:p>
        </w:tc>
        <w:tc>
          <w:tcPr>
            <w:tcW w:w="854" w:type="dxa"/>
          </w:tcPr>
          <w:p w14:paraId="13132F8A" w14:textId="77777777" w:rsidR="0059689A" w:rsidRPr="00EA1F46" w:rsidRDefault="0059689A" w:rsidP="007B4BDC">
            <w:pPr>
              <w:pStyle w:val="Tabletext"/>
              <w:jc w:val="center"/>
            </w:pPr>
            <w:r w:rsidRPr="00EA1F46">
              <w:t>0.098</w:t>
            </w:r>
          </w:p>
        </w:tc>
        <w:tc>
          <w:tcPr>
            <w:tcW w:w="850" w:type="dxa"/>
          </w:tcPr>
          <w:p w14:paraId="13132F8B" w14:textId="77777777" w:rsidR="0059689A" w:rsidRPr="00EA1F46" w:rsidRDefault="0059689A" w:rsidP="007B4BDC">
            <w:pPr>
              <w:pStyle w:val="Tabletext"/>
              <w:jc w:val="center"/>
            </w:pPr>
            <w:r w:rsidRPr="00EA1F46">
              <w:t>0.132</w:t>
            </w:r>
          </w:p>
        </w:tc>
      </w:tr>
    </w:tbl>
    <w:p w14:paraId="13132F8D" w14:textId="77777777" w:rsidR="0059689A" w:rsidRPr="00EA1F46" w:rsidRDefault="0059689A" w:rsidP="0059689A">
      <w:pPr>
        <w:pStyle w:val="Tablefin"/>
      </w:pPr>
    </w:p>
    <w:p w14:paraId="13132F8E" w14:textId="77777777" w:rsidR="007B4BDC" w:rsidRDefault="00807E1C" w:rsidP="007B4BDC">
      <w:pPr>
        <w:pStyle w:val="FigureNo"/>
        <w:rPr>
          <w:lang w:val="en-US"/>
        </w:rPr>
      </w:pPr>
      <w:r>
        <w:object w:dxaOrig="6362" w:dyaOrig="7328" w14:anchorId="13132FA9">
          <v:shape id="_x0000_i1029" type="#_x0000_t75" style="width:318.25pt;height:367.7pt" o:ole="" o:allowoverlap="f">
            <v:imagedata r:id="rId14" o:title=""/>
          </v:shape>
          <o:OLEObject Type="Embed" ProgID="CorelDRAW.Graphic.12" ShapeID="_x0000_i1029" DrawAspect="Content" ObjectID="_1749040231" r:id="rId15"/>
        </w:object>
      </w:r>
    </w:p>
    <w:p w14:paraId="13132F8F" w14:textId="77777777" w:rsidR="00F44DB5" w:rsidRPr="0059689A" w:rsidRDefault="00F44DB5" w:rsidP="00F44DB5">
      <w:pPr>
        <w:rPr>
          <w:lang w:val="en-US"/>
        </w:rPr>
      </w:pPr>
      <w:r w:rsidRPr="0059689A">
        <w:rPr>
          <w:lang w:val="en-US"/>
        </w:rPr>
        <w:t>The main assumptions adopted for the purposes of the calculation are as follows:</w:t>
      </w:r>
    </w:p>
    <w:p w14:paraId="13132F90" w14:textId="77777777" w:rsidR="00F44DB5" w:rsidRPr="0059689A" w:rsidRDefault="00F44DB5" w:rsidP="00F44DB5">
      <w:pPr>
        <w:pStyle w:val="enumlev1"/>
        <w:rPr>
          <w:lang w:val="en-US"/>
        </w:rPr>
      </w:pPr>
      <w:r w:rsidRPr="00EA1F46">
        <w:sym w:font="Symbol" w:char="F02D"/>
      </w:r>
      <w:r w:rsidRPr="0059689A">
        <w:rPr>
          <w:lang w:val="en-US"/>
        </w:rPr>
        <w:tab/>
        <w:t xml:space="preserve">A figure zero in the </w:t>
      </w:r>
      <w:r w:rsidRPr="00EA1F46">
        <w:t>Δ</w:t>
      </w:r>
      <w:r w:rsidRPr="0059689A">
        <w:rPr>
          <w:i/>
          <w:iCs/>
          <w:lang w:val="en-US"/>
        </w:rPr>
        <w:t>f</w:t>
      </w:r>
      <w:proofErr w:type="spellStart"/>
      <w:r w:rsidRPr="0059689A">
        <w:rPr>
          <w:i/>
          <w:iCs/>
          <w:position w:val="-4"/>
          <w:sz w:val="20"/>
          <w:lang w:val="en-US"/>
        </w:rPr>
        <w:t>i</w:t>
      </w:r>
      <w:proofErr w:type="spellEnd"/>
      <w:r w:rsidRPr="0059689A">
        <w:rPr>
          <w:lang w:val="en-US"/>
        </w:rPr>
        <w:t xml:space="preserve"> (MHz) box indicates a starting point of the particular frequency band.</w:t>
      </w:r>
    </w:p>
    <w:p w14:paraId="13132F91" w14:textId="77777777" w:rsidR="00F44DB5" w:rsidRPr="0059689A" w:rsidRDefault="00F44DB5" w:rsidP="00F44DB5">
      <w:pPr>
        <w:pStyle w:val="enumlev1"/>
        <w:rPr>
          <w:lang w:val="en-US"/>
        </w:rPr>
      </w:pPr>
      <w:r w:rsidRPr="00EA1F46">
        <w:sym w:font="Symbol" w:char="F02D"/>
      </w:r>
      <w:r w:rsidRPr="0059689A">
        <w:rPr>
          <w:lang w:val="en-US"/>
        </w:rPr>
        <w:tab/>
        <w:t>ADD are circular.</w:t>
      </w:r>
    </w:p>
    <w:p w14:paraId="13132F92" w14:textId="77777777" w:rsidR="00F44DB5" w:rsidRPr="0059689A" w:rsidRDefault="00F44DB5" w:rsidP="00F44DB5">
      <w:pPr>
        <w:pStyle w:val="enumlev1"/>
        <w:rPr>
          <w:lang w:val="en-US"/>
        </w:rPr>
      </w:pPr>
      <w:r w:rsidRPr="00EA1F46">
        <w:sym w:font="Symbol" w:char="F02D"/>
      </w:r>
      <w:r w:rsidRPr="0059689A">
        <w:rPr>
          <w:lang w:val="en-US"/>
        </w:rPr>
        <w:tab/>
        <w:t>In the calculation of frequency-distance rules, the Earth’s surface is taken as being smooth and spherical.</w:t>
      </w:r>
    </w:p>
    <w:p w14:paraId="13132F93" w14:textId="77777777" w:rsidR="00F44DB5" w:rsidRPr="0059689A" w:rsidRDefault="00F44DB5" w:rsidP="00F44DB5">
      <w:pPr>
        <w:pStyle w:val="enumlev1"/>
        <w:rPr>
          <w:lang w:val="en-US"/>
        </w:rPr>
      </w:pPr>
      <w:r w:rsidRPr="0059689A">
        <w:rPr>
          <w:lang w:val="en-US"/>
        </w:rPr>
        <w:t>–</w:t>
      </w:r>
      <w:r w:rsidRPr="0059689A">
        <w:rPr>
          <w:lang w:val="en-US"/>
        </w:rPr>
        <w:tab/>
        <w:t>No allowance is made for harmful interference from blocking and intermodulation effects.</w:t>
      </w:r>
    </w:p>
    <w:p w14:paraId="13132F94" w14:textId="77777777" w:rsidR="0059689A" w:rsidRDefault="0059689A" w:rsidP="0059689A">
      <w:pPr>
        <w:rPr>
          <w:lang w:val="en-US"/>
        </w:rPr>
      </w:pPr>
      <w:r w:rsidRPr="0059689A">
        <w:rPr>
          <w:lang w:val="en-US"/>
        </w:rPr>
        <w:t xml:space="preserve">The results are shown in Fig. 3 as functions of the factor </w:t>
      </w:r>
      <w:proofErr w:type="spellStart"/>
      <w:r w:rsidRPr="0059689A">
        <w:rPr>
          <w:i/>
          <w:iCs/>
          <w:lang w:val="en-US"/>
        </w:rPr>
        <w:t>Z</w:t>
      </w:r>
      <w:r w:rsidRPr="0059689A">
        <w:rPr>
          <w:i/>
          <w:iCs/>
          <w:vertAlign w:val="subscript"/>
          <w:lang w:val="en-US"/>
        </w:rPr>
        <w:t>f</w:t>
      </w:r>
      <w:proofErr w:type="spellEnd"/>
      <w:r w:rsidRPr="0059689A">
        <w:rPr>
          <w:lang w:val="en-US"/>
        </w:rPr>
        <w:t xml:space="preserve"> in the 1 MHz band for the three cases with regard to the site for the new radio station and also as average values for the indicator </w:t>
      </w:r>
      <w:r w:rsidRPr="0059689A">
        <w:rPr>
          <w:i/>
          <w:iCs/>
          <w:lang w:val="en-US"/>
        </w:rPr>
        <w:t>Z</w:t>
      </w:r>
      <w:r w:rsidRPr="002F0EE8">
        <w:rPr>
          <w:vertAlign w:val="subscript"/>
        </w:rPr>
        <w:t>Σ</w:t>
      </w:r>
      <w:r w:rsidRPr="0059689A">
        <w:rPr>
          <w:lang w:val="en-US"/>
        </w:rPr>
        <w:t xml:space="preserve"> in accordance with equation (3).</w:t>
      </w:r>
    </w:p>
    <w:p w14:paraId="13132F95" w14:textId="77777777" w:rsidR="00F44DB5" w:rsidRPr="0059689A" w:rsidRDefault="00F44DB5" w:rsidP="00F44DB5">
      <w:pPr>
        <w:rPr>
          <w:lang w:val="en-US"/>
        </w:rPr>
      </w:pPr>
      <w:r w:rsidRPr="0059689A">
        <w:rPr>
          <w:lang w:val="en-US"/>
        </w:rPr>
        <w:t>From the results shown in Fig. 3, it can be seen that in the area with a high density of existing radio stations (Sector 2 in Fig. 2), the band in question is more or less fully occupied, so that it does not seem feasible in practice to assign frequencies in this band for a new radio station in that sector. On the other hand, there is quite a good chance of assigning frequencies in the same band when the location for the new radio station is Sector 1 or the area as a whole. Thus, as far as Sector 1 is concerned, the preferred frequencies for assignment to the new radio station from the standpoint of compatibility will be in the region of 0.4-0.6 MHz and 0.85-1 MHz of the band in question.</w:t>
      </w:r>
    </w:p>
    <w:p w14:paraId="13132F96" w14:textId="77777777" w:rsidR="00F44DB5" w:rsidRPr="0059689A" w:rsidRDefault="00F44DB5" w:rsidP="00F44DB5">
      <w:pPr>
        <w:rPr>
          <w:lang w:val="en-US"/>
        </w:rPr>
      </w:pPr>
      <w:r w:rsidRPr="0059689A">
        <w:rPr>
          <w:lang w:val="en-US"/>
        </w:rPr>
        <w:t>Further, assuming the highest possible geographical density of radio stations (highest duplication of frequency assignments) in order to meet their demand for the frequency resource as fully as possible, it would be more appropriate to choose frequencies for assignment to the new radio station in the range 0.8-1 MHz of the frequency band in question.</w:t>
      </w:r>
    </w:p>
    <w:p w14:paraId="13132F97" w14:textId="77777777" w:rsidR="007B4BDC" w:rsidRDefault="00B21E53" w:rsidP="00807E1C">
      <w:pPr>
        <w:pStyle w:val="FigureNo"/>
        <w:keepNext w:val="0"/>
        <w:rPr>
          <w:lang w:val="en-US"/>
        </w:rPr>
      </w:pPr>
      <w:r>
        <w:object w:dxaOrig="6364" w:dyaOrig="7150" w14:anchorId="13132FAA">
          <v:shape id="_x0000_i1030" type="#_x0000_t75" style="width:317.7pt;height:357.8pt" o:ole="" o:allowoverlap="f">
            <v:imagedata r:id="rId16" o:title=""/>
          </v:shape>
          <o:OLEObject Type="Embed" ProgID="CorelDRAW.Graphic.12" ShapeID="_x0000_i1030" DrawAspect="Content" ObjectID="_1749040232" r:id="rId17"/>
        </w:object>
      </w:r>
    </w:p>
    <w:p w14:paraId="13132F98" w14:textId="77777777" w:rsidR="00F44DB5" w:rsidRDefault="00F44DB5" w:rsidP="0059689A">
      <w:pPr>
        <w:rPr>
          <w:lang w:val="en-US"/>
        </w:rPr>
      </w:pPr>
    </w:p>
    <w:p w14:paraId="13132F99" w14:textId="77777777" w:rsidR="0059689A" w:rsidRPr="0059689A" w:rsidRDefault="0059689A" w:rsidP="0059689A">
      <w:pPr>
        <w:rPr>
          <w:lang w:val="en-US"/>
        </w:rPr>
      </w:pPr>
      <w:r w:rsidRPr="0059689A">
        <w:rPr>
          <w:lang w:val="en-US"/>
        </w:rPr>
        <w:t>Similarly, for the case of new stations located anywhere in the area (Sector 3), in order to equalize the load over the whole 1 MHz frequency band, it will be desirable to use frequencies in the range 0.4-1 MHz, and the more so the higher the frequency.</w:t>
      </w:r>
    </w:p>
    <w:p w14:paraId="13132F9A" w14:textId="77777777" w:rsidR="0059689A" w:rsidRPr="0059689A" w:rsidRDefault="0059689A" w:rsidP="0059689A">
      <w:pPr>
        <w:rPr>
          <w:lang w:val="en-US"/>
        </w:rPr>
      </w:pPr>
      <w:r w:rsidRPr="0059689A">
        <w:rPr>
          <w:lang w:val="en-US"/>
        </w:rPr>
        <w:t>It is very striking that Sector 1 as a whole shows more than 25% occupancy despite the fact that it does not contain a single radio station and that there is only one directly adjacent to its boundaries.</w:t>
      </w:r>
    </w:p>
    <w:p w14:paraId="13132F9B" w14:textId="77777777" w:rsidR="0059689A" w:rsidRPr="0059689A" w:rsidRDefault="0059689A" w:rsidP="0059689A">
      <w:pPr>
        <w:rPr>
          <w:lang w:val="en-US"/>
        </w:rPr>
      </w:pPr>
      <w:r w:rsidRPr="0059689A">
        <w:rPr>
          <w:lang w:val="en-US"/>
        </w:rPr>
        <w:t>The geographical distribution of the spectrum utilization factor</w:t>
      </w:r>
      <w:r w:rsidRPr="0059689A">
        <w:rPr>
          <w:i/>
          <w:sz w:val="28"/>
          <w:lang w:val="en-US"/>
        </w:rPr>
        <w:t xml:space="preserve"> </w:t>
      </w:r>
      <w:r w:rsidRPr="0059689A">
        <w:rPr>
          <w:szCs w:val="24"/>
          <w:lang w:val="en-US"/>
        </w:rPr>
        <w:t>is</w:t>
      </w:r>
      <w:r w:rsidRPr="0059689A">
        <w:rPr>
          <w:lang w:val="en-US"/>
        </w:rPr>
        <w:t xml:space="preserve"> shown in Fig. 4 as dependence of the factor </w:t>
      </w:r>
      <w:proofErr w:type="spellStart"/>
      <w:r w:rsidRPr="0059689A">
        <w:rPr>
          <w:i/>
          <w:lang w:val="en-US"/>
        </w:rPr>
        <w:t>Z</w:t>
      </w:r>
      <w:r w:rsidRPr="0059689A">
        <w:rPr>
          <w:i/>
          <w:vertAlign w:val="subscript"/>
          <w:lang w:val="en-US"/>
        </w:rPr>
        <w:t>k</w:t>
      </w:r>
      <w:proofErr w:type="spellEnd"/>
      <w:r w:rsidRPr="0059689A">
        <w:rPr>
          <w:vertAlign w:val="subscript"/>
          <w:lang w:val="en-US"/>
        </w:rPr>
        <w:t xml:space="preserve"> </w:t>
      </w:r>
      <w:r w:rsidRPr="0059689A">
        <w:rPr>
          <w:lang w:val="en-US"/>
        </w:rPr>
        <w:t>from the possible setting of a new radio station coordinates (equation (2)). Sectors 1 and 2 are shaded differently than the rest of Sector 3.</w:t>
      </w:r>
    </w:p>
    <w:p w14:paraId="13132F9C" w14:textId="77777777" w:rsidR="0059689A" w:rsidRPr="0059689A" w:rsidRDefault="0059689A" w:rsidP="0059689A">
      <w:pPr>
        <w:rPr>
          <w:szCs w:val="24"/>
          <w:lang w:val="en-US"/>
        </w:rPr>
      </w:pPr>
      <w:r w:rsidRPr="0059689A">
        <w:rPr>
          <w:szCs w:val="24"/>
          <w:lang w:val="en-US"/>
        </w:rPr>
        <w:t>From the results shown in Fig.</w:t>
      </w:r>
      <w:r w:rsidRPr="0059689A">
        <w:rPr>
          <w:lang w:val="en-US"/>
        </w:rPr>
        <w:t> </w:t>
      </w:r>
      <w:r w:rsidRPr="0059689A">
        <w:rPr>
          <w:szCs w:val="24"/>
          <w:lang w:val="en-US"/>
        </w:rPr>
        <w:t xml:space="preserve">4, it can be seen, that there are some territorial places where 5-10% of the band in question is free even for Sector 2. At the same time the common spectrum utilization factor </w:t>
      </w:r>
      <w:r w:rsidRPr="0059689A">
        <w:rPr>
          <w:i/>
          <w:szCs w:val="24"/>
          <w:lang w:val="en-US"/>
        </w:rPr>
        <w:t>Z</w:t>
      </w:r>
      <w:r w:rsidRPr="002F0EE8">
        <w:rPr>
          <w:iCs/>
          <w:szCs w:val="24"/>
          <w:vertAlign w:val="subscript"/>
        </w:rPr>
        <w:t>Σ</w:t>
      </w:r>
      <w:r w:rsidRPr="0059689A">
        <w:rPr>
          <w:i/>
          <w:szCs w:val="24"/>
          <w:lang w:val="en-US"/>
        </w:rPr>
        <w:t xml:space="preserve"> </w:t>
      </w:r>
      <w:r w:rsidRPr="0059689A">
        <w:rPr>
          <w:szCs w:val="24"/>
          <w:lang w:val="en-US"/>
        </w:rPr>
        <w:t>for Sector 2 equals to 0.992. There are no territorial limitations to set a new radio station in Sector 1. At any point of this sector about 50% of the frequency band in the question is free to accommodate a new radio station.</w:t>
      </w:r>
    </w:p>
    <w:p w14:paraId="13132F9D" w14:textId="60622DBC" w:rsidR="0059689A" w:rsidRPr="0059689A" w:rsidRDefault="0059689A" w:rsidP="0059689A">
      <w:pPr>
        <w:rPr>
          <w:lang w:val="en-US"/>
        </w:rPr>
      </w:pPr>
      <w:r w:rsidRPr="0059689A">
        <w:rPr>
          <w:lang w:val="en-US"/>
        </w:rPr>
        <w:t xml:space="preserve">Thus, Figs 3 and 4 </w:t>
      </w:r>
      <w:proofErr w:type="gramStart"/>
      <w:r w:rsidRPr="0059689A">
        <w:rPr>
          <w:lang w:val="en-US"/>
        </w:rPr>
        <w:t>show clearly</w:t>
      </w:r>
      <w:proofErr w:type="gramEnd"/>
      <w:r w:rsidRPr="0059689A">
        <w:rPr>
          <w:lang w:val="en-US"/>
        </w:rPr>
        <w:t xml:space="preserve"> that by this method it is possible to identify the congested and available ranges of the spectrum and a territory in the given frequency band and geographical area. This makes it possible to facilitate the selection of frequencies for new radio stations being brought into operation and helps to increase the efficiency of the frequency planning process as a whole. </w:t>
      </w:r>
    </w:p>
    <w:p w14:paraId="13132F9E" w14:textId="77777777" w:rsidR="0059689A" w:rsidRDefault="0059689A" w:rsidP="0059689A">
      <w:pPr>
        <w:rPr>
          <w:rFonts w:ascii="Times" w:hAnsi="Times"/>
          <w:lang w:val="en-US"/>
        </w:rPr>
      </w:pPr>
      <w:r w:rsidRPr="0059689A">
        <w:rPr>
          <w:rFonts w:ascii="Times" w:hAnsi="Times"/>
          <w:lang w:val="en-US"/>
        </w:rPr>
        <w:t>This method could be adapted or extended so that it may be applied to environments having more complex interference and propagation factors.</w:t>
      </w:r>
    </w:p>
    <w:p w14:paraId="13132F9F" w14:textId="77777777" w:rsidR="007B4BDC" w:rsidRDefault="00807E1C" w:rsidP="007B4BDC">
      <w:pPr>
        <w:pStyle w:val="FigureNo"/>
        <w:rPr>
          <w:lang w:val="en-US"/>
        </w:rPr>
      </w:pPr>
      <w:r>
        <w:rPr>
          <w:lang w:val="en-US"/>
        </w:rPr>
        <w:lastRenderedPageBreak/>
        <w:t>FIGURE 4</w:t>
      </w:r>
    </w:p>
    <w:p w14:paraId="13132FA0" w14:textId="77777777" w:rsidR="00807E1C" w:rsidRDefault="00807E1C" w:rsidP="00807E1C">
      <w:pPr>
        <w:pStyle w:val="Figuretitle"/>
        <w:rPr>
          <w:lang w:val="en-US"/>
        </w:rPr>
      </w:pPr>
      <w:r>
        <w:rPr>
          <w:lang w:val="en-US"/>
        </w:rPr>
        <w:t xml:space="preserve">Variation of spectrum utilization factor in area 10 </w:t>
      </w:r>
      <w:r>
        <w:rPr>
          <w:lang w:val="en-US"/>
        </w:rPr>
        <w:sym w:font="Symbol" w:char="F0B4"/>
      </w:r>
      <w:r>
        <w:rPr>
          <w:lang w:val="en-US"/>
        </w:rPr>
        <w:t xml:space="preserve"> 10 km</w:t>
      </w:r>
      <w:r w:rsidRPr="00807E1C">
        <w:rPr>
          <w:szCs w:val="18"/>
          <w:vertAlign w:val="superscript"/>
          <w:lang w:val="en-US"/>
        </w:rPr>
        <w:t>2</w:t>
      </w:r>
      <w:r>
        <w:rPr>
          <w:lang w:val="en-US"/>
        </w:rPr>
        <w:br/>
        <w:t>and in the frequency band 169-170 MHz</w:t>
      </w:r>
    </w:p>
    <w:p w14:paraId="13132FA1" w14:textId="77777777" w:rsidR="00807E1C" w:rsidRPr="00807E1C" w:rsidRDefault="00807E1C" w:rsidP="00807E1C">
      <w:pPr>
        <w:pStyle w:val="Figure"/>
        <w:rPr>
          <w:lang w:val="en-US"/>
        </w:rPr>
      </w:pPr>
      <w:r>
        <w:object w:dxaOrig="9332" w:dyaOrig="8840" w14:anchorId="13132FAB">
          <v:shape id="_x0000_i1031" type="#_x0000_t75" style="width:466.65pt;height:441.35pt" o:ole="" o:allowoverlap="f">
            <v:imagedata r:id="rId18" o:title=""/>
          </v:shape>
          <o:OLEObject Type="Embed" ProgID="CorelDRAW.Graphic.12" ShapeID="_x0000_i1031" DrawAspect="Content" ObjectID="_1749040233" r:id="rId19"/>
        </w:object>
      </w:r>
    </w:p>
    <w:p w14:paraId="13132FA2" w14:textId="77777777" w:rsidR="007B4BDC" w:rsidRDefault="007B4BDC" w:rsidP="007B4BDC">
      <w:pPr>
        <w:rPr>
          <w:lang w:val="en-US"/>
        </w:rPr>
      </w:pPr>
    </w:p>
    <w:p w14:paraId="13132FA3" w14:textId="77777777" w:rsidR="007B4BDC" w:rsidRDefault="007B4BDC" w:rsidP="0059689A">
      <w:pPr>
        <w:rPr>
          <w:rFonts w:ascii="Times" w:hAnsi="Times"/>
          <w:lang w:val="en-US"/>
        </w:rPr>
      </w:pPr>
    </w:p>
    <w:p w14:paraId="13132FA4" w14:textId="77777777" w:rsidR="007B4BDC" w:rsidRPr="0059689A" w:rsidRDefault="007B4BDC" w:rsidP="007B4BDC">
      <w:pPr>
        <w:pStyle w:val="Line"/>
      </w:pPr>
    </w:p>
    <w:sectPr w:rsidR="007B4BDC" w:rsidRPr="0059689A">
      <w:headerReference w:type="even" r:id="rId20"/>
      <w:headerReference w:type="default" r:id="rId21"/>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32FAE" w14:textId="77777777" w:rsidR="008A0652" w:rsidRDefault="008A0652">
      <w:r>
        <w:separator/>
      </w:r>
    </w:p>
  </w:endnote>
  <w:endnote w:type="continuationSeparator" w:id="0">
    <w:p w14:paraId="13132FAF" w14:textId="77777777" w:rsidR="008A0652" w:rsidRDefault="008A0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32FAC" w14:textId="77777777" w:rsidR="008A0652" w:rsidRDefault="008A0652">
      <w:r>
        <w:separator/>
      </w:r>
    </w:p>
  </w:footnote>
  <w:footnote w:type="continuationSeparator" w:id="0">
    <w:p w14:paraId="13132FAD" w14:textId="77777777" w:rsidR="008A0652" w:rsidRDefault="008A0652">
      <w:r>
        <w:continuationSeparator/>
      </w:r>
    </w:p>
  </w:footnote>
  <w:footnote w:id="1">
    <w:p w14:paraId="13132FB2" w14:textId="791F4E3E" w:rsidR="00694FB2" w:rsidRPr="004B5040" w:rsidRDefault="00694FB2">
      <w:pPr>
        <w:pStyle w:val="FootnoteText"/>
        <w:rPr>
          <w:lang w:val="en-GB"/>
        </w:rPr>
      </w:pPr>
      <w:r w:rsidRPr="004B5040">
        <w:rPr>
          <w:rStyle w:val="FootnoteReference"/>
          <w:lang w:val="en-GB"/>
        </w:rPr>
        <w:t>*</w:t>
      </w:r>
      <w:r w:rsidRPr="004B5040">
        <w:rPr>
          <w:lang w:val="en-GB"/>
        </w:rPr>
        <w:t xml:space="preserve"> </w:t>
      </w:r>
      <w:r w:rsidRPr="004B5040">
        <w:rPr>
          <w:lang w:val="en-GB"/>
        </w:rPr>
        <w:tab/>
        <w:t>Radiocommunication Study Group 1 made editorial amendments to this Recommendation in the year</w:t>
      </w:r>
      <w:r w:rsidR="008A729D">
        <w:rPr>
          <w:lang w:val="en-GB"/>
        </w:rPr>
        <w:t>s</w:t>
      </w:r>
      <w:r w:rsidRPr="004B5040">
        <w:rPr>
          <w:lang w:val="en-GB"/>
        </w:rPr>
        <w:t xml:space="preserve"> 2018</w:t>
      </w:r>
      <w:r w:rsidR="00212A87">
        <w:rPr>
          <w:lang w:val="en-GB"/>
        </w:rPr>
        <w:t>, 2019</w:t>
      </w:r>
      <w:r w:rsidRPr="004B5040">
        <w:rPr>
          <w:lang w:val="en-GB"/>
        </w:rPr>
        <w:t xml:space="preserve"> </w:t>
      </w:r>
      <w:r w:rsidR="008A729D">
        <w:rPr>
          <w:lang w:val="en-GB"/>
        </w:rPr>
        <w:t>and 20</w:t>
      </w:r>
      <w:r w:rsidR="00212A87">
        <w:rPr>
          <w:lang w:val="en-GB"/>
        </w:rPr>
        <w:t>23</w:t>
      </w:r>
      <w:r w:rsidR="008A729D">
        <w:rPr>
          <w:lang w:val="en-GB"/>
        </w:rPr>
        <w:t xml:space="preserve"> </w:t>
      </w:r>
      <w:r w:rsidRPr="004B5040">
        <w:rPr>
          <w:lang w:val="en-GB"/>
        </w:rPr>
        <w:t>in accordance with Resolution ITU-R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2FB0" w14:textId="3BDA8C9A" w:rsidR="00B21E53" w:rsidRDefault="00B21E5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C654F8">
      <w:rPr>
        <w:rStyle w:val="PageNumber"/>
        <w:b/>
        <w:bCs/>
        <w:noProof/>
        <w:lang w:val="en-US"/>
      </w:rPr>
      <w:t>2</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sidR="000B3020">
      <w:rPr>
        <w:b/>
        <w:bCs/>
        <w:lang w:val="en-US"/>
      </w:rPr>
      <w:t xml:space="preserve">Rec. </w:t>
    </w:r>
    <w:r>
      <w:rPr>
        <w:b/>
        <w:bCs/>
      </w:rPr>
      <w:fldChar w:fldCharType="end"/>
    </w:r>
    <w:r>
      <w:rPr>
        <w:b/>
        <w:bCs/>
      </w:rPr>
      <w:t xml:space="preserve"> </w:t>
    </w:r>
    <w:r>
      <w:rPr>
        <w:b/>
        <w:bCs/>
      </w:rPr>
      <w:fldChar w:fldCharType="begin"/>
    </w:r>
    <w:r>
      <w:rPr>
        <w:b/>
        <w:bCs/>
        <w:lang w:val="en-US"/>
      </w:rPr>
      <w:instrText>styleref href</w:instrText>
    </w:r>
    <w:r>
      <w:rPr>
        <w:b/>
        <w:bCs/>
      </w:rPr>
      <w:fldChar w:fldCharType="separate"/>
    </w:r>
    <w:r w:rsidR="00A660A8">
      <w:rPr>
        <w:b/>
        <w:bCs/>
        <w:noProof/>
        <w:lang w:val="en-US"/>
      </w:rPr>
      <w:t>ITU-R  SM.1599-1</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2FB1" w14:textId="73245842" w:rsidR="00B21E53" w:rsidRDefault="00B21E53">
    <w:pPr>
      <w:pStyle w:val="Header"/>
    </w:pPr>
    <w:r>
      <w:tab/>
    </w:r>
    <w:r>
      <w:rPr>
        <w:b/>
        <w:bCs/>
      </w:rPr>
      <w:fldChar w:fldCharType="begin"/>
    </w:r>
    <w:r>
      <w:rPr>
        <w:b/>
        <w:bCs/>
      </w:rPr>
      <w:instrText xml:space="preserve"> DOCPROPERTY "Header" \* MERGEFORMAT </w:instrText>
    </w:r>
    <w:r>
      <w:rPr>
        <w:b/>
        <w:bCs/>
      </w:rPr>
      <w:fldChar w:fldCharType="separate"/>
    </w:r>
    <w:r w:rsidR="000B3020">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A660A8">
      <w:rPr>
        <w:b/>
        <w:bCs/>
        <w:noProof/>
      </w:rPr>
      <w:t>ITU-R  SM.1599-1</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C654F8">
      <w:rPr>
        <w:rStyle w:val="PageNumber"/>
        <w:b/>
        <w:bCs/>
        <w:noProof/>
      </w:rPr>
      <w:t>1</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es-ES_tradnl" w:vendorID="64" w:dllVersion="6" w:nlCheck="1" w:checkStyle="0"/>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B4BDC"/>
    <w:rsid w:val="00017057"/>
    <w:rsid w:val="000B3020"/>
    <w:rsid w:val="001064E7"/>
    <w:rsid w:val="00120467"/>
    <w:rsid w:val="00212A87"/>
    <w:rsid w:val="004B5040"/>
    <w:rsid w:val="004E77CD"/>
    <w:rsid w:val="0059689A"/>
    <w:rsid w:val="00694FB2"/>
    <w:rsid w:val="006A10E0"/>
    <w:rsid w:val="00771974"/>
    <w:rsid w:val="007B4BDC"/>
    <w:rsid w:val="00807E1C"/>
    <w:rsid w:val="008A0652"/>
    <w:rsid w:val="008A729D"/>
    <w:rsid w:val="009E428F"/>
    <w:rsid w:val="00A0236A"/>
    <w:rsid w:val="00A17267"/>
    <w:rsid w:val="00A660A8"/>
    <w:rsid w:val="00AC1A6E"/>
    <w:rsid w:val="00AF476E"/>
    <w:rsid w:val="00B21E53"/>
    <w:rsid w:val="00C654F8"/>
    <w:rsid w:val="00DF4176"/>
    <w:rsid w:val="00E52B01"/>
    <w:rsid w:val="00F44D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13132E57"/>
  <w15:chartTrackingRefBased/>
  <w15:docId w15:val="{C32EE252-2682-4E7E-8D91-169FABE90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4FB2"/>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7B4BDC"/>
    <w:pPr>
      <w:keepNext/>
      <w:keepLines/>
      <w:spacing w:before="480"/>
      <w:ind w:left="794" w:hanging="794"/>
      <w:outlineLvl w:val="0"/>
    </w:pPr>
    <w:rPr>
      <w:b/>
    </w:rPr>
  </w:style>
  <w:style w:type="paragraph" w:styleId="Heading2">
    <w:name w:val="heading 2"/>
    <w:basedOn w:val="Heading1"/>
    <w:next w:val="Normal"/>
    <w:qFormat/>
    <w:rsid w:val="007B4BDC"/>
    <w:pPr>
      <w:spacing w:before="320"/>
      <w:outlineLvl w:val="1"/>
    </w:pPr>
  </w:style>
  <w:style w:type="paragraph" w:styleId="Heading3">
    <w:name w:val="heading 3"/>
    <w:basedOn w:val="Heading1"/>
    <w:next w:val="Normal"/>
    <w:qFormat/>
    <w:rsid w:val="007B4BDC"/>
    <w:pPr>
      <w:spacing w:before="200"/>
      <w:outlineLvl w:val="2"/>
    </w:pPr>
  </w:style>
  <w:style w:type="paragraph" w:styleId="Heading4">
    <w:name w:val="heading 4"/>
    <w:basedOn w:val="Heading3"/>
    <w:next w:val="Normal"/>
    <w:qFormat/>
    <w:rsid w:val="007B4BDC"/>
    <w:pPr>
      <w:tabs>
        <w:tab w:val="clear" w:pos="794"/>
        <w:tab w:val="left" w:pos="992"/>
      </w:tabs>
      <w:ind w:left="992" w:hanging="992"/>
      <w:outlineLvl w:val="3"/>
    </w:pPr>
  </w:style>
  <w:style w:type="paragraph" w:styleId="Heading5">
    <w:name w:val="heading 5"/>
    <w:basedOn w:val="Heading4"/>
    <w:next w:val="Normal"/>
    <w:qFormat/>
    <w:rsid w:val="007B4BDC"/>
    <w:pPr>
      <w:outlineLvl w:val="4"/>
    </w:pPr>
  </w:style>
  <w:style w:type="paragraph" w:styleId="Heading6">
    <w:name w:val="heading 6"/>
    <w:basedOn w:val="Heading4"/>
    <w:next w:val="Normal"/>
    <w:qFormat/>
    <w:rsid w:val="007B4BDC"/>
    <w:pPr>
      <w:tabs>
        <w:tab w:val="clear" w:pos="992"/>
        <w:tab w:val="clear" w:pos="1191"/>
      </w:tabs>
      <w:ind w:left="1588" w:hanging="1588"/>
      <w:outlineLvl w:val="5"/>
    </w:pPr>
  </w:style>
  <w:style w:type="paragraph" w:styleId="Heading7">
    <w:name w:val="heading 7"/>
    <w:basedOn w:val="Heading6"/>
    <w:next w:val="Normal"/>
    <w:qFormat/>
    <w:rsid w:val="007B4BDC"/>
    <w:pPr>
      <w:outlineLvl w:val="6"/>
    </w:pPr>
  </w:style>
  <w:style w:type="paragraph" w:styleId="Heading8">
    <w:name w:val="heading 8"/>
    <w:basedOn w:val="Heading6"/>
    <w:next w:val="Normal"/>
    <w:qFormat/>
    <w:rsid w:val="007B4BDC"/>
    <w:pPr>
      <w:outlineLvl w:val="7"/>
    </w:pPr>
  </w:style>
  <w:style w:type="paragraph" w:styleId="Heading9">
    <w:name w:val="heading 9"/>
    <w:basedOn w:val="Heading6"/>
    <w:next w:val="Normal"/>
    <w:qFormat/>
    <w:rsid w:val="007B4BDC"/>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4BDC"/>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7B4BDC"/>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7B4BDC"/>
  </w:style>
  <w:style w:type="paragraph" w:customStyle="1" w:styleId="Headingb">
    <w:name w:val="Heading_b"/>
    <w:basedOn w:val="Heading3"/>
    <w:next w:val="Normal"/>
    <w:rsid w:val="007B4BDC"/>
    <w:pPr>
      <w:spacing w:before="160"/>
      <w:ind w:left="0" w:firstLine="0"/>
      <w:outlineLvl w:val="9"/>
    </w:pPr>
  </w:style>
  <w:style w:type="paragraph" w:customStyle="1" w:styleId="Headingi">
    <w:name w:val="Heading_i"/>
    <w:basedOn w:val="Heading3"/>
    <w:next w:val="Normal"/>
    <w:rsid w:val="007B4BDC"/>
    <w:pPr>
      <w:spacing w:before="160"/>
      <w:ind w:left="0" w:firstLine="0"/>
    </w:pPr>
    <w:rPr>
      <w:b w:val="0"/>
      <w:i/>
    </w:rPr>
  </w:style>
  <w:style w:type="character" w:customStyle="1" w:styleId="href">
    <w:name w:val="href"/>
    <w:basedOn w:val="DefaultParagraphFont"/>
    <w:rsid w:val="007B4BDC"/>
  </w:style>
  <w:style w:type="paragraph" w:customStyle="1" w:styleId="enumlev1">
    <w:name w:val="enumlev1"/>
    <w:basedOn w:val="Normal"/>
    <w:rsid w:val="007B4BDC"/>
    <w:pPr>
      <w:spacing w:before="80"/>
      <w:ind w:left="794" w:hanging="794"/>
    </w:pPr>
  </w:style>
  <w:style w:type="paragraph" w:customStyle="1" w:styleId="enumlev2">
    <w:name w:val="enumlev2"/>
    <w:basedOn w:val="enumlev1"/>
    <w:rsid w:val="007B4BDC"/>
    <w:pPr>
      <w:ind w:left="1191" w:hanging="397"/>
    </w:pPr>
  </w:style>
  <w:style w:type="paragraph" w:customStyle="1" w:styleId="enumlev3">
    <w:name w:val="enumlev3"/>
    <w:basedOn w:val="enumlev2"/>
    <w:rsid w:val="007B4BDC"/>
    <w:pPr>
      <w:ind w:left="1588"/>
    </w:pPr>
  </w:style>
  <w:style w:type="paragraph" w:customStyle="1" w:styleId="Normalaftertitle">
    <w:name w:val="Normal_after_title"/>
    <w:basedOn w:val="Normal"/>
    <w:next w:val="Normal"/>
    <w:rsid w:val="007B4BDC"/>
    <w:pPr>
      <w:spacing w:before="320"/>
    </w:pPr>
  </w:style>
  <w:style w:type="paragraph" w:customStyle="1" w:styleId="Note">
    <w:name w:val="Note"/>
    <w:basedOn w:val="Normal"/>
    <w:rsid w:val="007B4BDC"/>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7B4BDC"/>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rsid w:val="007B4BDC"/>
    <w:pPr>
      <w:spacing w:before="240"/>
    </w:pPr>
    <w:rPr>
      <w:sz w:val="22"/>
      <w:lang w:val="es-ES_tradnl"/>
    </w:rPr>
  </w:style>
  <w:style w:type="paragraph" w:customStyle="1" w:styleId="Recref">
    <w:name w:val="Rec_ref"/>
    <w:basedOn w:val="Normal"/>
    <w:next w:val="Recdate"/>
    <w:rsid w:val="007B4BDC"/>
    <w:pPr>
      <w:jc w:val="center"/>
    </w:pPr>
  </w:style>
  <w:style w:type="paragraph" w:customStyle="1" w:styleId="Recdate">
    <w:name w:val="Rec_date"/>
    <w:basedOn w:val="Recref"/>
    <w:next w:val="Normal"/>
    <w:rsid w:val="007B4BDC"/>
    <w:pPr>
      <w:jc w:val="right"/>
    </w:pPr>
  </w:style>
  <w:style w:type="paragraph" w:customStyle="1" w:styleId="AnnexNoTitle">
    <w:name w:val="Annex_NoTitle"/>
    <w:basedOn w:val="Normal"/>
    <w:next w:val="Normalaftertitle"/>
    <w:rsid w:val="00694FB2"/>
    <w:pPr>
      <w:keepNext/>
      <w:keepLines/>
      <w:spacing w:before="480" w:after="80"/>
      <w:jc w:val="center"/>
      <w:outlineLvl w:val="0"/>
    </w:pPr>
    <w:rPr>
      <w:b/>
      <w:sz w:val="28"/>
    </w:rPr>
  </w:style>
  <w:style w:type="paragraph" w:customStyle="1" w:styleId="AppendixNoTitle">
    <w:name w:val="Appendix_NoTitle"/>
    <w:basedOn w:val="AnnexNoTitle"/>
    <w:next w:val="Normal"/>
    <w:rsid w:val="007B4BDC"/>
  </w:style>
  <w:style w:type="paragraph" w:customStyle="1" w:styleId="Tablefin">
    <w:name w:val="Table_fin"/>
    <w:basedOn w:val="Normal"/>
    <w:next w:val="Normal"/>
    <w:rsid w:val="007B4BDC"/>
    <w:pPr>
      <w:spacing w:before="0"/>
    </w:pPr>
    <w:rPr>
      <w:sz w:val="20"/>
      <w:lang w:val="en-GB"/>
    </w:rPr>
  </w:style>
  <w:style w:type="paragraph" w:customStyle="1" w:styleId="Tablehead">
    <w:name w:val="Table_head"/>
    <w:basedOn w:val="Normal"/>
    <w:next w:val="Normal"/>
    <w:rsid w:val="007B4BD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B4BD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7B4BDC"/>
    <w:pPr>
      <w:keepNext/>
      <w:spacing w:before="360" w:after="120"/>
      <w:jc w:val="center"/>
    </w:pPr>
  </w:style>
  <w:style w:type="paragraph" w:customStyle="1" w:styleId="Tabletext">
    <w:name w:val="Table_text"/>
    <w:basedOn w:val="Normal"/>
    <w:rsid w:val="007B4BD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7B4BDC"/>
    <w:pPr>
      <w:tabs>
        <w:tab w:val="clear" w:pos="1191"/>
        <w:tab w:val="clear" w:pos="1588"/>
        <w:tab w:val="clear" w:pos="1985"/>
        <w:tab w:val="center" w:pos="4820"/>
        <w:tab w:val="right" w:pos="9639"/>
      </w:tabs>
    </w:pPr>
  </w:style>
  <w:style w:type="paragraph" w:customStyle="1" w:styleId="Equationlegend">
    <w:name w:val="Equation_legend"/>
    <w:basedOn w:val="NormalIndent"/>
    <w:rsid w:val="007B4BDC"/>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7B4BDC"/>
    <w:pPr>
      <w:ind w:left="794"/>
    </w:pPr>
  </w:style>
  <w:style w:type="paragraph" w:customStyle="1" w:styleId="Figurelegend">
    <w:name w:val="Figure_legend"/>
    <w:basedOn w:val="Normal"/>
    <w:rsid w:val="007B4BDC"/>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7B4BDC"/>
    <w:pPr>
      <w:keepNext/>
      <w:keepLines/>
      <w:spacing w:before="480" w:after="80"/>
      <w:jc w:val="center"/>
    </w:pPr>
    <w:rPr>
      <w:caps/>
      <w:sz w:val="18"/>
    </w:rPr>
  </w:style>
  <w:style w:type="paragraph" w:customStyle="1" w:styleId="tocpart">
    <w:name w:val="tocpart"/>
    <w:basedOn w:val="Normal"/>
    <w:rsid w:val="007B4BDC"/>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7B4BDC"/>
    <w:pPr>
      <w:keepNext/>
      <w:keepLines/>
      <w:spacing w:before="480"/>
      <w:jc w:val="center"/>
    </w:pPr>
    <w:rPr>
      <w:sz w:val="28"/>
    </w:rPr>
  </w:style>
  <w:style w:type="paragraph" w:customStyle="1" w:styleId="Arttitle">
    <w:name w:val="Art_title"/>
    <w:basedOn w:val="Normal"/>
    <w:next w:val="Normalaftertitle"/>
    <w:rsid w:val="007B4BDC"/>
    <w:pPr>
      <w:keepNext/>
      <w:keepLines/>
      <w:spacing w:before="240"/>
      <w:jc w:val="center"/>
    </w:pPr>
    <w:rPr>
      <w:b/>
      <w:sz w:val="28"/>
    </w:rPr>
  </w:style>
  <w:style w:type="paragraph" w:customStyle="1" w:styleId="Blanc">
    <w:name w:val="Blanc"/>
    <w:basedOn w:val="Normal"/>
    <w:next w:val="Tabletext"/>
    <w:rsid w:val="007B4BDC"/>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7B4BD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7B4BDC"/>
    <w:pPr>
      <w:keepNext/>
      <w:keepLines/>
      <w:spacing w:before="160"/>
      <w:ind w:left="794"/>
    </w:pPr>
    <w:rPr>
      <w:i/>
    </w:rPr>
  </w:style>
  <w:style w:type="paragraph" w:customStyle="1" w:styleId="ChapNo">
    <w:name w:val="Chap_No"/>
    <w:basedOn w:val="ArtNo"/>
    <w:next w:val="Chaptitle"/>
    <w:rsid w:val="007B4BDC"/>
    <w:rPr>
      <w:b/>
    </w:rPr>
  </w:style>
  <w:style w:type="paragraph" w:customStyle="1" w:styleId="Chaptitle">
    <w:name w:val="Chap_title"/>
    <w:basedOn w:val="Arttitle"/>
    <w:next w:val="Normalaftertitle"/>
    <w:rsid w:val="007B4BDC"/>
  </w:style>
  <w:style w:type="character" w:styleId="FootnoteReference">
    <w:name w:val="footnote reference"/>
    <w:semiHidden/>
    <w:rsid w:val="007B4BDC"/>
    <w:rPr>
      <w:position w:val="6"/>
      <w:sz w:val="18"/>
    </w:rPr>
  </w:style>
  <w:style w:type="paragraph" w:styleId="FootnoteText">
    <w:name w:val="footnote text"/>
    <w:basedOn w:val="Normal"/>
    <w:semiHidden/>
    <w:rsid w:val="007B4BDC"/>
    <w:pPr>
      <w:keepLines/>
      <w:tabs>
        <w:tab w:val="left" w:pos="255"/>
      </w:tabs>
      <w:ind w:left="255" w:hanging="255"/>
    </w:pPr>
    <w:rPr>
      <w:sz w:val="22"/>
    </w:rPr>
  </w:style>
  <w:style w:type="paragraph" w:styleId="Index1">
    <w:name w:val="index 1"/>
    <w:basedOn w:val="Normal"/>
    <w:next w:val="Normal"/>
    <w:semiHidden/>
    <w:rsid w:val="007B4BDC"/>
  </w:style>
  <w:style w:type="paragraph" w:styleId="Index2">
    <w:name w:val="index 2"/>
    <w:basedOn w:val="Normal"/>
    <w:next w:val="Normal"/>
    <w:semiHidden/>
    <w:rsid w:val="007B4BDC"/>
    <w:pPr>
      <w:ind w:left="283"/>
    </w:pPr>
  </w:style>
  <w:style w:type="paragraph" w:styleId="Index3">
    <w:name w:val="index 3"/>
    <w:basedOn w:val="Normal"/>
    <w:next w:val="Normal"/>
    <w:semiHidden/>
    <w:rsid w:val="007B4BDC"/>
    <w:pPr>
      <w:ind w:left="566"/>
    </w:pPr>
  </w:style>
  <w:style w:type="paragraph" w:styleId="IndexHeading">
    <w:name w:val="index heading"/>
    <w:basedOn w:val="Normal"/>
    <w:next w:val="Index1"/>
    <w:semiHidden/>
    <w:rsid w:val="007B4BDC"/>
  </w:style>
  <w:style w:type="paragraph" w:customStyle="1" w:styleId="Line">
    <w:name w:val="Line"/>
    <w:basedOn w:val="Normal"/>
    <w:next w:val="Normal"/>
    <w:rsid w:val="007B4BDC"/>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7B4BDC"/>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7B4BDC"/>
  </w:style>
  <w:style w:type="paragraph" w:customStyle="1" w:styleId="Partref">
    <w:name w:val="Part_ref"/>
    <w:basedOn w:val="Normal"/>
    <w:next w:val="Normal"/>
    <w:rsid w:val="007B4BDC"/>
    <w:pPr>
      <w:keepNext/>
      <w:keepLines/>
      <w:spacing w:after="280"/>
      <w:jc w:val="center"/>
    </w:pPr>
  </w:style>
  <w:style w:type="paragraph" w:customStyle="1" w:styleId="Parttitle">
    <w:name w:val="Part_title"/>
    <w:basedOn w:val="Normal"/>
    <w:next w:val="Normalaftertitle"/>
    <w:rsid w:val="007B4BDC"/>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7B4BDC"/>
  </w:style>
  <w:style w:type="paragraph" w:customStyle="1" w:styleId="QuestionNo">
    <w:name w:val="Question_No"/>
    <w:basedOn w:val="RecNo"/>
    <w:next w:val="Normal"/>
    <w:rsid w:val="007B4BDC"/>
  </w:style>
  <w:style w:type="paragraph" w:customStyle="1" w:styleId="Questionref">
    <w:name w:val="Question_ref"/>
    <w:basedOn w:val="Recref"/>
    <w:next w:val="Questiondate"/>
    <w:rsid w:val="007B4BDC"/>
  </w:style>
  <w:style w:type="paragraph" w:customStyle="1" w:styleId="Questiontitle">
    <w:name w:val="Question_title"/>
    <w:basedOn w:val="Normal"/>
    <w:next w:val="Questionref"/>
    <w:rsid w:val="007B4BDC"/>
  </w:style>
  <w:style w:type="paragraph" w:customStyle="1" w:styleId="Reftext">
    <w:name w:val="Ref_text"/>
    <w:basedOn w:val="Normal"/>
    <w:rsid w:val="007B4BDC"/>
    <w:pPr>
      <w:ind w:left="794" w:hanging="794"/>
    </w:pPr>
    <w:rPr>
      <w:sz w:val="22"/>
    </w:rPr>
  </w:style>
  <w:style w:type="paragraph" w:customStyle="1" w:styleId="Reftitle">
    <w:name w:val="Ref_title"/>
    <w:basedOn w:val="Normal"/>
    <w:next w:val="Reftext"/>
    <w:rsid w:val="007B4BDC"/>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7B4BDC"/>
  </w:style>
  <w:style w:type="paragraph" w:customStyle="1" w:styleId="RepNo">
    <w:name w:val="Rep_No"/>
    <w:basedOn w:val="RecNo"/>
    <w:next w:val="Reptitle"/>
    <w:rsid w:val="007B4BDC"/>
  </w:style>
  <w:style w:type="paragraph" w:customStyle="1" w:styleId="Repref">
    <w:name w:val="Rep_ref"/>
    <w:basedOn w:val="Recref"/>
    <w:next w:val="Repdate"/>
    <w:rsid w:val="007B4BDC"/>
  </w:style>
  <w:style w:type="paragraph" w:customStyle="1" w:styleId="Reptitle">
    <w:name w:val="Rep_title"/>
    <w:basedOn w:val="Rectitle"/>
    <w:next w:val="Repref"/>
    <w:rsid w:val="007B4BDC"/>
  </w:style>
  <w:style w:type="paragraph" w:customStyle="1" w:styleId="Resdate">
    <w:name w:val="Res_date"/>
    <w:basedOn w:val="Recdate"/>
    <w:next w:val="Normalaftertitle"/>
    <w:rsid w:val="007B4BDC"/>
  </w:style>
  <w:style w:type="paragraph" w:customStyle="1" w:styleId="ResNo">
    <w:name w:val="Res_No"/>
    <w:basedOn w:val="RecNo"/>
    <w:next w:val="Normal"/>
    <w:rsid w:val="007B4BDC"/>
  </w:style>
  <w:style w:type="paragraph" w:customStyle="1" w:styleId="Resref">
    <w:name w:val="Res_ref"/>
    <w:basedOn w:val="Recref"/>
    <w:next w:val="Resdate"/>
    <w:rsid w:val="007B4BDC"/>
  </w:style>
  <w:style w:type="paragraph" w:customStyle="1" w:styleId="Restitle">
    <w:name w:val="Res_title"/>
    <w:basedOn w:val="Normal"/>
    <w:next w:val="Resref"/>
    <w:rsid w:val="007B4BDC"/>
  </w:style>
  <w:style w:type="paragraph" w:customStyle="1" w:styleId="SectionNo">
    <w:name w:val="Section_No"/>
    <w:basedOn w:val="Normal"/>
    <w:next w:val="Normal"/>
    <w:rsid w:val="007B4BDC"/>
  </w:style>
  <w:style w:type="paragraph" w:customStyle="1" w:styleId="Sectiontitle">
    <w:name w:val="Section_title"/>
    <w:basedOn w:val="Normal"/>
    <w:next w:val="Normalaftertitle"/>
    <w:rsid w:val="007B4BDC"/>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7B4BDC"/>
    <w:pPr>
      <w:tabs>
        <w:tab w:val="clear" w:pos="794"/>
        <w:tab w:val="clear" w:pos="1191"/>
        <w:tab w:val="clear" w:pos="1588"/>
        <w:tab w:val="clear" w:pos="1985"/>
        <w:tab w:val="right" w:pos="9611"/>
      </w:tabs>
    </w:pPr>
    <w:rPr>
      <w:i/>
    </w:rPr>
  </w:style>
  <w:style w:type="paragraph" w:styleId="TOC1">
    <w:name w:val="toc 1"/>
    <w:basedOn w:val="Normal"/>
    <w:uiPriority w:val="39"/>
    <w:rsid w:val="007B4BDC"/>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7B4BDC"/>
    <w:pPr>
      <w:tabs>
        <w:tab w:val="clear" w:pos="567"/>
        <w:tab w:val="left" w:pos="1276"/>
      </w:tabs>
      <w:spacing w:before="160"/>
      <w:ind w:left="1276" w:hanging="709"/>
    </w:pPr>
  </w:style>
  <w:style w:type="paragraph" w:styleId="TOC3">
    <w:name w:val="toc 3"/>
    <w:basedOn w:val="TOC2"/>
    <w:semiHidden/>
    <w:rsid w:val="007B4BDC"/>
    <w:pPr>
      <w:tabs>
        <w:tab w:val="clear" w:pos="1276"/>
        <w:tab w:val="left" w:pos="2155"/>
      </w:tabs>
      <w:ind w:left="2155" w:hanging="879"/>
    </w:pPr>
  </w:style>
  <w:style w:type="paragraph" w:styleId="TOC4">
    <w:name w:val="toc 4"/>
    <w:basedOn w:val="TOC3"/>
    <w:semiHidden/>
    <w:rsid w:val="007B4BDC"/>
    <w:pPr>
      <w:tabs>
        <w:tab w:val="left" w:pos="3261"/>
      </w:tabs>
      <w:spacing w:before="80"/>
      <w:ind w:left="3261" w:hanging="993"/>
    </w:pPr>
  </w:style>
  <w:style w:type="paragraph" w:styleId="TOC5">
    <w:name w:val="toc 5"/>
    <w:basedOn w:val="TOC4"/>
    <w:semiHidden/>
    <w:rsid w:val="007B4BDC"/>
  </w:style>
  <w:style w:type="paragraph" w:styleId="TOC6">
    <w:name w:val="toc 6"/>
    <w:basedOn w:val="TOC4"/>
    <w:semiHidden/>
    <w:rsid w:val="007B4BDC"/>
  </w:style>
  <w:style w:type="paragraph" w:styleId="TOC7">
    <w:name w:val="toc 7"/>
    <w:basedOn w:val="TOC4"/>
    <w:semiHidden/>
    <w:rsid w:val="007B4BDC"/>
  </w:style>
  <w:style w:type="paragraph" w:styleId="TOC8">
    <w:name w:val="toc 8"/>
    <w:basedOn w:val="TOC4"/>
    <w:semiHidden/>
    <w:rsid w:val="007B4BDC"/>
  </w:style>
  <w:style w:type="paragraph" w:customStyle="1" w:styleId="Rectitle">
    <w:name w:val="Rec_title"/>
    <w:basedOn w:val="Normal"/>
    <w:next w:val="Recref"/>
    <w:rsid w:val="007B4BDC"/>
    <w:pPr>
      <w:keepNext/>
      <w:keepLines/>
      <w:spacing w:before="240"/>
      <w:jc w:val="center"/>
    </w:pPr>
    <w:rPr>
      <w:b/>
      <w:sz w:val="28"/>
    </w:rPr>
  </w:style>
  <w:style w:type="paragraph" w:customStyle="1" w:styleId="Annexref">
    <w:name w:val="Annex_ref"/>
    <w:basedOn w:val="Normal"/>
    <w:next w:val="Normalaftertitle"/>
    <w:rsid w:val="007B4BDC"/>
    <w:pPr>
      <w:keepNext/>
      <w:keepLines/>
      <w:spacing w:after="280"/>
      <w:jc w:val="center"/>
    </w:pPr>
  </w:style>
  <w:style w:type="paragraph" w:customStyle="1" w:styleId="Appendixref">
    <w:name w:val="Appendix_ref"/>
    <w:basedOn w:val="Annexref"/>
    <w:next w:val="Normalaftertitle"/>
    <w:rsid w:val="007B4BDC"/>
  </w:style>
  <w:style w:type="paragraph" w:customStyle="1" w:styleId="Figuretitle">
    <w:name w:val="Figure_title"/>
    <w:basedOn w:val="Normal"/>
    <w:next w:val="Figure"/>
    <w:rsid w:val="007B4BDC"/>
    <w:pPr>
      <w:keepNext/>
      <w:spacing w:before="0" w:after="120"/>
      <w:jc w:val="center"/>
    </w:pPr>
    <w:rPr>
      <w:rFonts w:ascii="Times New Roman Bold" w:hAnsi="Times New Roman Bold"/>
      <w:b/>
      <w:sz w:val="18"/>
    </w:rPr>
  </w:style>
  <w:style w:type="paragraph" w:customStyle="1" w:styleId="Tabletitle">
    <w:name w:val="Table_title"/>
    <w:basedOn w:val="Normal"/>
    <w:next w:val="Tablehead"/>
    <w:rsid w:val="007B4BDC"/>
    <w:pPr>
      <w:keepNext/>
      <w:spacing w:before="0" w:after="120"/>
      <w:jc w:val="center"/>
    </w:pPr>
    <w:rPr>
      <w:b/>
    </w:rPr>
  </w:style>
  <w:style w:type="paragraph" w:customStyle="1" w:styleId="Summary">
    <w:name w:val="Summary"/>
    <w:basedOn w:val="Normal"/>
    <w:next w:val="Normalaftertitle"/>
    <w:rsid w:val="007B4BDC"/>
    <w:pPr>
      <w:spacing w:after="480"/>
    </w:pPr>
    <w:rPr>
      <w:sz w:val="22"/>
      <w:lang w:val="es-ES_tradnl"/>
    </w:rPr>
  </w:style>
  <w:style w:type="paragraph" w:customStyle="1" w:styleId="Figure">
    <w:name w:val="Figure"/>
    <w:basedOn w:val="FigureNo"/>
    <w:next w:val="Figuretitle"/>
    <w:rsid w:val="007B4BDC"/>
    <w:pPr>
      <w:spacing w:before="0" w:after="240"/>
    </w:pPr>
  </w:style>
  <w:style w:type="table" w:styleId="TableGrid">
    <w:name w:val="Table Grid"/>
    <w:basedOn w:val="TableNormal"/>
    <w:rsid w:val="00596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064E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ckpub\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BR_Rec_2005.dot</Template>
  <TotalTime>21</TotalTime>
  <Pages>9</Pages>
  <Words>2025</Words>
  <Characters>14176</Characters>
  <Application>Microsoft Office Word</Application>
  <DocSecurity>0</DocSecurity>
  <Lines>525</Lines>
  <Paragraphs>58</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SM.1599-1* - Determination of the geographical and frequency distribution of the spectrum utilization factor for frequency planning purposes</dc:title>
  <dc:subject>SM Series = Spectrum management</dc:subject>
  <dc:creator>ITU Radiocommunication Bureau (BR)</dc:creator>
  <cp:keywords>SM,1599-1*</cp:keywords>
  <dc:description>Gachetc, 21/06/2023, ITU51013811</dc:description>
  <cp:lastModifiedBy>Yonga Omondi, Rose</cp:lastModifiedBy>
  <cp:revision>18</cp:revision>
  <cp:lastPrinted>2019-09-12T13:27:00Z</cp:lastPrinted>
  <dcterms:created xsi:type="dcterms:W3CDTF">2018-10-12T14:07:00Z</dcterms:created>
  <dcterms:modified xsi:type="dcterms:W3CDTF">2023-06-23T13:42:00Z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Language">
    <vt:lpwstr>English</vt:lpwstr>
  </property>
  <property fmtid="{D5CDD505-2E9C-101B-9397-08002B2CF9AE}" pid="7" name="Typist">
    <vt:lpwstr>Gachetc</vt:lpwstr>
  </property>
  <property fmtid="{D5CDD505-2E9C-101B-9397-08002B2CF9AE}" pid="8" name="Date completed">
    <vt:lpwstr>21 June 2023</vt:lpwstr>
  </property>
</Properties>
</file>