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8BB1D" w14:textId="77777777" w:rsidR="00EB30DF" w:rsidRPr="00F110C2" w:rsidRDefault="00EB30DF" w:rsidP="00254EC9"/>
    <w:p w14:paraId="611F0D5E" w14:textId="77777777" w:rsidR="00EB30DF" w:rsidRPr="00F110C2" w:rsidRDefault="00EB30DF" w:rsidP="00254EC9">
      <w:pPr>
        <w:tabs>
          <w:tab w:val="clear" w:pos="794"/>
          <w:tab w:val="clear" w:pos="1191"/>
          <w:tab w:val="clear" w:pos="1588"/>
          <w:tab w:val="clear" w:pos="1985"/>
        </w:tabs>
      </w:pPr>
    </w:p>
    <w:p w14:paraId="7F50B413" w14:textId="426B6A00" w:rsidR="00EB30DF" w:rsidRPr="00F110C2" w:rsidRDefault="00EB30DF" w:rsidP="00254EC9">
      <w:pPr>
        <w:pStyle w:val="CoverNumber"/>
        <w:rPr>
          <w:lang w:val="fr-FR"/>
        </w:rPr>
      </w:pPr>
      <w:r w:rsidRPr="00F110C2">
        <w:rPr>
          <w:lang w:val="fr-FR"/>
        </w:rPr>
        <w:t>Recommandation UIT-R SM.</w:t>
      </w:r>
      <w:r w:rsidR="00A17180" w:rsidRPr="00F110C2">
        <w:rPr>
          <w:lang w:val="fr-FR"/>
        </w:rPr>
        <w:t>1541-7</w:t>
      </w:r>
    </w:p>
    <w:p w14:paraId="56193071" w14:textId="73745FE1" w:rsidR="00EB30DF" w:rsidRPr="00F110C2" w:rsidRDefault="00EB30DF" w:rsidP="00254EC9">
      <w:pPr>
        <w:pStyle w:val="CoverDate"/>
        <w:rPr>
          <w:lang w:val="fr-FR"/>
        </w:rPr>
      </w:pPr>
      <w:r w:rsidRPr="00F110C2">
        <w:rPr>
          <w:lang w:val="fr-FR"/>
        </w:rPr>
        <w:t>(</w:t>
      </w:r>
      <w:r w:rsidR="00A17180" w:rsidRPr="00F110C2">
        <w:rPr>
          <w:lang w:val="fr-FR"/>
        </w:rPr>
        <w:t>09</w:t>
      </w:r>
      <w:r w:rsidRPr="00F110C2">
        <w:rPr>
          <w:lang w:val="fr-FR"/>
        </w:rPr>
        <w:t>/</w:t>
      </w:r>
      <w:r w:rsidR="00A17180" w:rsidRPr="00F110C2">
        <w:rPr>
          <w:lang w:val="fr-FR"/>
        </w:rPr>
        <w:t>2024</w:t>
      </w:r>
      <w:r w:rsidRPr="00F110C2">
        <w:rPr>
          <w:lang w:val="fr-FR"/>
        </w:rPr>
        <w:t>)</w:t>
      </w:r>
    </w:p>
    <w:p w14:paraId="1F643C7D" w14:textId="77777777" w:rsidR="00EB30DF" w:rsidRPr="00F110C2" w:rsidRDefault="00EB30DF" w:rsidP="00254EC9">
      <w:pPr>
        <w:pStyle w:val="CoverSeries"/>
        <w:spacing w:line="240" w:lineRule="auto"/>
        <w:rPr>
          <w:lang w:val="fr-FR"/>
        </w:rPr>
      </w:pPr>
      <w:r w:rsidRPr="00F110C2">
        <w:rPr>
          <w:lang w:val="fr-FR"/>
        </w:rPr>
        <w:t>Série SM: Gestion du spectre</w:t>
      </w:r>
    </w:p>
    <w:p w14:paraId="63714E4A" w14:textId="6C6A5FE7" w:rsidR="00EB30DF" w:rsidRPr="00F110C2" w:rsidRDefault="00A17180" w:rsidP="00254EC9">
      <w:pPr>
        <w:pStyle w:val="CoverTitle"/>
        <w:spacing w:line="240" w:lineRule="auto"/>
        <w:rPr>
          <w:lang w:val="fr-FR"/>
        </w:rPr>
      </w:pPr>
      <w:r w:rsidRPr="00F110C2">
        <w:rPr>
          <w:lang w:val="fr-FR"/>
        </w:rPr>
        <w:t>Rayonnements non désirés dans le domaine des émissions hors bande</w:t>
      </w:r>
    </w:p>
    <w:p w14:paraId="0CD566A5" w14:textId="77777777" w:rsidR="00EB30DF" w:rsidRPr="00F110C2" w:rsidRDefault="00EB30DF" w:rsidP="00254EC9"/>
    <w:p w14:paraId="71CF81C9" w14:textId="77777777" w:rsidR="00EB30DF" w:rsidRPr="00F110C2" w:rsidRDefault="00EB30DF" w:rsidP="00254EC9"/>
    <w:p w14:paraId="40B2DE8D" w14:textId="77777777" w:rsidR="00EB30DF" w:rsidRPr="00F110C2" w:rsidRDefault="00EB30DF" w:rsidP="00254EC9">
      <w:pPr>
        <w:sectPr w:rsidR="00EB30DF" w:rsidRPr="00F110C2" w:rsidSect="00EB30DF">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29109BAB" w14:textId="77777777"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110C2">
        <w:rPr>
          <w:bCs/>
          <w:sz w:val="24"/>
          <w:szCs w:val="24"/>
        </w:rPr>
        <w:lastRenderedPageBreak/>
        <w:t>Avant-propos</w:t>
      </w:r>
    </w:p>
    <w:p w14:paraId="7D30BDCB" w14:textId="1B1AAC27" w:rsidR="00EB30DF" w:rsidRPr="00F110C2" w:rsidRDefault="00EB30DF" w:rsidP="00254EC9">
      <w:pPr>
        <w:spacing w:before="240"/>
        <w:rPr>
          <w:sz w:val="20"/>
        </w:rPr>
      </w:pPr>
      <w:r w:rsidRPr="00F110C2">
        <w:rPr>
          <w:sz w:val="20"/>
        </w:rPr>
        <w:t>Le rôle du Secteur des radiocommunications est d</w:t>
      </w:r>
      <w:r w:rsidR="00A17180" w:rsidRPr="00F110C2">
        <w:rPr>
          <w:sz w:val="20"/>
        </w:rPr>
        <w:t>'</w:t>
      </w:r>
      <w:r w:rsidRPr="00F110C2">
        <w:rPr>
          <w:sz w:val="20"/>
        </w:rPr>
        <w:t>assurer l</w:t>
      </w:r>
      <w:r w:rsidR="00A17180" w:rsidRPr="00F110C2">
        <w:rPr>
          <w:sz w:val="20"/>
        </w:rPr>
        <w:t>'</w:t>
      </w:r>
      <w:r w:rsidRPr="00F110C2">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51EE0A4F" w14:textId="0D779FA1" w:rsidR="00EB30DF" w:rsidRPr="00F110C2" w:rsidRDefault="00EB30DF" w:rsidP="00254EC9">
      <w:pPr>
        <w:rPr>
          <w:sz w:val="20"/>
        </w:rPr>
      </w:pPr>
      <w:r w:rsidRPr="00F110C2">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A17180" w:rsidRPr="00F110C2">
        <w:rPr>
          <w:sz w:val="20"/>
        </w:rPr>
        <w:t>'</w:t>
      </w:r>
      <w:r w:rsidRPr="00F110C2">
        <w:rPr>
          <w:sz w:val="20"/>
        </w:rPr>
        <w:t>études.</w:t>
      </w:r>
    </w:p>
    <w:p w14:paraId="340E5264" w14:textId="77777777" w:rsidR="00EB30DF" w:rsidRPr="00F110C2" w:rsidRDefault="00EB30DF" w:rsidP="00254EC9">
      <w:pPr>
        <w:pStyle w:val="Heading1"/>
        <w:spacing w:before="360"/>
        <w:jc w:val="center"/>
        <w:rPr>
          <w:szCs w:val="24"/>
        </w:rPr>
      </w:pPr>
      <w:r w:rsidRPr="00F110C2">
        <w:rPr>
          <w:szCs w:val="24"/>
        </w:rPr>
        <w:t>Politique en matière de droits de propriété intellectuelle (IPR)</w:t>
      </w:r>
    </w:p>
    <w:p w14:paraId="247B8A11" w14:textId="7860B0E9" w:rsidR="00EB30DF" w:rsidRPr="00F110C2" w:rsidRDefault="00EB30DF" w:rsidP="00254EC9">
      <w:pPr>
        <w:spacing w:before="240"/>
        <w:rPr>
          <w:sz w:val="20"/>
        </w:rPr>
      </w:pPr>
      <w:r w:rsidRPr="00F110C2">
        <w:rPr>
          <w:sz w:val="20"/>
        </w:rPr>
        <w:t>La politique de l</w:t>
      </w:r>
      <w:r w:rsidR="00A17180" w:rsidRPr="00F110C2">
        <w:rPr>
          <w:sz w:val="20"/>
        </w:rPr>
        <w:t>'</w:t>
      </w:r>
      <w:r w:rsidRPr="00F110C2">
        <w:rPr>
          <w:sz w:val="20"/>
        </w:rPr>
        <w:t>UIT</w:t>
      </w:r>
      <w:r w:rsidRPr="00F110C2">
        <w:rPr>
          <w:sz w:val="20"/>
        </w:rPr>
        <w:noBreakHyphen/>
        <w:t>R en matière de droits de propriété intellectuelle est décrite dans la «Politique commune de l</w:t>
      </w:r>
      <w:r w:rsidR="00A17180" w:rsidRPr="00F110C2">
        <w:rPr>
          <w:sz w:val="20"/>
        </w:rPr>
        <w:t>'</w:t>
      </w:r>
      <w:r w:rsidRPr="00F110C2">
        <w:rPr>
          <w:sz w:val="20"/>
        </w:rPr>
        <w:t>UIT</w:t>
      </w:r>
      <w:r w:rsidRPr="00F110C2">
        <w:rPr>
          <w:sz w:val="20"/>
        </w:rPr>
        <w:noBreakHyphen/>
        <w:t>T, l</w:t>
      </w:r>
      <w:r w:rsidR="00A17180" w:rsidRPr="00F110C2">
        <w:rPr>
          <w:sz w:val="20"/>
        </w:rPr>
        <w:t>'</w:t>
      </w:r>
      <w:r w:rsidRPr="00F110C2">
        <w:rPr>
          <w:sz w:val="20"/>
        </w:rPr>
        <w:t>UIT</w:t>
      </w:r>
      <w:r w:rsidRPr="00F110C2">
        <w:rPr>
          <w:sz w:val="20"/>
        </w:rPr>
        <w:noBreakHyphen/>
        <w:t>R, l</w:t>
      </w:r>
      <w:r w:rsidR="00A17180" w:rsidRPr="00F110C2">
        <w:rPr>
          <w:sz w:val="20"/>
        </w:rPr>
        <w:t>'</w:t>
      </w:r>
      <w:r w:rsidRPr="00F110C2">
        <w:rPr>
          <w:sz w:val="20"/>
        </w:rPr>
        <w:t>ISO et la CEI en matière de brevets», dont il est question dans la Résolution UIT-R 1. Les formulaires que les titulaires de brevets doivent utiliser pour soumettre les déclarations de brevet et d</w:t>
      </w:r>
      <w:r w:rsidR="00A17180" w:rsidRPr="00F110C2">
        <w:rPr>
          <w:sz w:val="20"/>
        </w:rPr>
        <w:t>'</w:t>
      </w:r>
      <w:r w:rsidRPr="00F110C2">
        <w:rPr>
          <w:sz w:val="20"/>
        </w:rPr>
        <w:t>octroi de licence sont accessibles à l</w:t>
      </w:r>
      <w:r w:rsidR="00A17180" w:rsidRPr="00F110C2">
        <w:rPr>
          <w:sz w:val="20"/>
        </w:rPr>
        <w:t>'</w:t>
      </w:r>
      <w:r w:rsidRPr="00F110C2">
        <w:rPr>
          <w:sz w:val="20"/>
        </w:rPr>
        <w:t xml:space="preserve">adresse </w:t>
      </w:r>
      <w:bookmarkStart w:id="1" w:name="_Hlk190759783"/>
      <w:r w:rsidR="00A17180" w:rsidRPr="00F110C2">
        <w:rPr>
          <w:sz w:val="20"/>
        </w:rPr>
        <w:fldChar w:fldCharType="begin"/>
      </w:r>
      <w:r w:rsidR="00A17180" w:rsidRPr="00F110C2">
        <w:rPr>
          <w:sz w:val="20"/>
        </w:rPr>
        <w:instrText>HYPERLINK "https://www.itu.int/ITU-R/go/patents/en"</w:instrText>
      </w:r>
      <w:r w:rsidR="00A17180" w:rsidRPr="00F110C2">
        <w:rPr>
          <w:sz w:val="20"/>
        </w:rPr>
      </w:r>
      <w:r w:rsidR="00A17180" w:rsidRPr="00F110C2">
        <w:rPr>
          <w:sz w:val="20"/>
        </w:rPr>
        <w:fldChar w:fldCharType="separate"/>
      </w:r>
      <w:r w:rsidR="00A17180" w:rsidRPr="00F110C2">
        <w:rPr>
          <w:rStyle w:val="Hyperlink"/>
          <w:sz w:val="20"/>
        </w:rPr>
        <w:t>https://www.itu.int/ITU-R/go/patents/en</w:t>
      </w:r>
      <w:bookmarkEnd w:id="1"/>
      <w:r w:rsidR="00A17180" w:rsidRPr="00F110C2">
        <w:rPr>
          <w:sz w:val="20"/>
        </w:rPr>
        <w:fldChar w:fldCharType="end"/>
      </w:r>
      <w:hyperlink r:id="rId10" w:history="1"/>
      <w:r w:rsidRPr="00F110C2">
        <w:rPr>
          <w:sz w:val="20"/>
        </w:rPr>
        <w:t>, où l</w:t>
      </w:r>
      <w:r w:rsidR="00A17180" w:rsidRPr="00F110C2">
        <w:rPr>
          <w:sz w:val="20"/>
        </w:rPr>
        <w:t>'</w:t>
      </w:r>
      <w:r w:rsidRPr="00F110C2">
        <w:rPr>
          <w:sz w:val="20"/>
        </w:rPr>
        <w:t xml:space="preserve">on trouvera également les Lignes directrices pour la mise en </w:t>
      </w:r>
      <w:r w:rsidR="004252C6" w:rsidRPr="00F110C2">
        <w:rPr>
          <w:sz w:val="20"/>
        </w:rPr>
        <w:t>œuvre</w:t>
      </w:r>
      <w:r w:rsidRPr="00F110C2">
        <w:rPr>
          <w:sz w:val="20"/>
        </w:rPr>
        <w:t xml:space="preserve"> de la politique commune en matière de brevets de l</w:t>
      </w:r>
      <w:r w:rsidR="00A17180" w:rsidRPr="00F110C2">
        <w:rPr>
          <w:sz w:val="20"/>
        </w:rPr>
        <w:t>'</w:t>
      </w:r>
      <w:r w:rsidRPr="00F110C2">
        <w:rPr>
          <w:sz w:val="20"/>
        </w:rPr>
        <w:t>UIT</w:t>
      </w:r>
      <w:r w:rsidRPr="00F110C2">
        <w:rPr>
          <w:sz w:val="20"/>
        </w:rPr>
        <w:noBreakHyphen/>
        <w:t>T, l</w:t>
      </w:r>
      <w:r w:rsidR="00A17180" w:rsidRPr="00F110C2">
        <w:rPr>
          <w:sz w:val="20"/>
        </w:rPr>
        <w:t>'</w:t>
      </w:r>
      <w:r w:rsidRPr="00F110C2">
        <w:rPr>
          <w:sz w:val="20"/>
        </w:rPr>
        <w:t>UIT</w:t>
      </w:r>
      <w:r w:rsidRPr="00F110C2">
        <w:rPr>
          <w:sz w:val="20"/>
        </w:rPr>
        <w:noBreakHyphen/>
        <w:t>R, l</w:t>
      </w:r>
      <w:r w:rsidR="00A17180" w:rsidRPr="00F110C2">
        <w:rPr>
          <w:sz w:val="20"/>
        </w:rPr>
        <w:t>'</w:t>
      </w:r>
      <w:r w:rsidRPr="00F110C2">
        <w:rPr>
          <w:sz w:val="20"/>
        </w:rPr>
        <w:t>ISO et la CEI</w:t>
      </w:r>
      <w:r w:rsidRPr="00F110C2" w:rsidDel="0061025C">
        <w:rPr>
          <w:sz w:val="20"/>
        </w:rPr>
        <w:t xml:space="preserve"> </w:t>
      </w:r>
      <w:r w:rsidRPr="00F110C2">
        <w:rPr>
          <w:sz w:val="20"/>
        </w:rPr>
        <w:t>et la base de données en matière de brevets de l</w:t>
      </w:r>
      <w:r w:rsidR="00A17180" w:rsidRPr="00F110C2">
        <w:rPr>
          <w:sz w:val="20"/>
        </w:rPr>
        <w:t>'</w:t>
      </w:r>
      <w:r w:rsidRPr="00F110C2">
        <w:rPr>
          <w:sz w:val="20"/>
        </w:rPr>
        <w:t>UIT-R.</w:t>
      </w:r>
    </w:p>
    <w:p w14:paraId="326C6972" w14:textId="77777777" w:rsidR="00EB30DF" w:rsidRPr="00F110C2" w:rsidRDefault="00EB30DF" w:rsidP="00254EC9">
      <w:pPr>
        <w:spacing w:before="24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EB30DF" w:rsidRPr="00F110C2" w14:paraId="263B30F4" w14:textId="77777777" w:rsidTr="00311649">
        <w:tc>
          <w:tcPr>
            <w:tcW w:w="9360" w:type="dxa"/>
            <w:gridSpan w:val="2"/>
          </w:tcPr>
          <w:p w14:paraId="041607E5" w14:textId="77777777" w:rsidR="00EB30DF" w:rsidRPr="00F110C2" w:rsidRDefault="00EB30DF" w:rsidP="00254EC9">
            <w:pPr>
              <w:pStyle w:val="Chaptitle"/>
              <w:keepLines w:val="0"/>
              <w:tabs>
                <w:tab w:val="clear" w:pos="794"/>
                <w:tab w:val="clear" w:pos="1191"/>
                <w:tab w:val="clear" w:pos="1588"/>
                <w:tab w:val="clear" w:pos="1985"/>
              </w:tabs>
              <w:overflowPunct/>
              <w:spacing w:before="140"/>
              <w:textAlignment w:val="auto"/>
              <w:rPr>
                <w:sz w:val="22"/>
                <w:szCs w:val="22"/>
              </w:rPr>
            </w:pPr>
            <w:r w:rsidRPr="00F110C2">
              <w:rPr>
                <w:sz w:val="22"/>
                <w:szCs w:val="22"/>
              </w:rPr>
              <w:t xml:space="preserve">Séries des Recommandations UIT-R </w:t>
            </w:r>
          </w:p>
          <w:p w14:paraId="5C39889F" w14:textId="65F142DF"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F110C2">
              <w:rPr>
                <w:b w:val="0"/>
                <w:sz w:val="18"/>
                <w:szCs w:val="18"/>
              </w:rPr>
              <w:t>(</w:t>
            </w:r>
            <w:r w:rsidR="004252C6" w:rsidRPr="00F110C2">
              <w:rPr>
                <w:b w:val="0"/>
                <w:sz w:val="18"/>
                <w:szCs w:val="18"/>
              </w:rPr>
              <w:t>Également</w:t>
            </w:r>
            <w:r w:rsidRPr="00F110C2">
              <w:rPr>
                <w:b w:val="0"/>
                <w:sz w:val="18"/>
                <w:szCs w:val="18"/>
              </w:rPr>
              <w:t xml:space="preserve"> disponible en ligne: </w:t>
            </w:r>
            <w:hyperlink r:id="rId11" w:history="1">
              <w:r w:rsidR="00A17180" w:rsidRPr="00F110C2">
                <w:rPr>
                  <w:rStyle w:val="Hyperlink"/>
                  <w:b w:val="0"/>
                  <w:sz w:val="18"/>
                  <w:szCs w:val="18"/>
                </w:rPr>
                <w:t>https://www.itu.int/publ/R-REC/en</w:t>
              </w:r>
            </w:hyperlink>
            <w:hyperlink r:id="rId12" w:history="1"/>
            <w:r w:rsidRPr="00F110C2">
              <w:rPr>
                <w:b w:val="0"/>
                <w:bCs/>
                <w:sz w:val="18"/>
                <w:szCs w:val="18"/>
              </w:rPr>
              <w:t>)</w:t>
            </w:r>
          </w:p>
        </w:tc>
      </w:tr>
      <w:tr w:rsidR="00EB30DF" w:rsidRPr="00F110C2" w14:paraId="77F1519D" w14:textId="77777777" w:rsidTr="00311649">
        <w:tc>
          <w:tcPr>
            <w:tcW w:w="1140" w:type="dxa"/>
            <w:tcBorders>
              <w:bottom w:val="nil"/>
            </w:tcBorders>
          </w:tcPr>
          <w:p w14:paraId="47D1B76A" w14:textId="77777777" w:rsidR="00EB30DF" w:rsidRPr="00F110C2" w:rsidRDefault="00EB30DF" w:rsidP="00254EC9">
            <w:pPr>
              <w:spacing w:before="90" w:after="100"/>
              <w:ind w:left="57"/>
              <w:rPr>
                <w:b/>
                <w:bCs/>
                <w:sz w:val="20"/>
              </w:rPr>
            </w:pPr>
            <w:r w:rsidRPr="00F110C2">
              <w:rPr>
                <w:b/>
                <w:bCs/>
                <w:sz w:val="20"/>
              </w:rPr>
              <w:t>Séries</w:t>
            </w:r>
          </w:p>
        </w:tc>
        <w:tc>
          <w:tcPr>
            <w:tcW w:w="8220" w:type="dxa"/>
            <w:tcBorders>
              <w:bottom w:val="nil"/>
            </w:tcBorders>
          </w:tcPr>
          <w:p w14:paraId="53762EE1" w14:textId="77777777"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F110C2">
              <w:rPr>
                <w:bCs/>
                <w:sz w:val="20"/>
              </w:rPr>
              <w:t>Titre</w:t>
            </w:r>
          </w:p>
        </w:tc>
      </w:tr>
      <w:tr w:rsidR="00EB30DF" w:rsidRPr="00F110C2" w14:paraId="56BD3CBC" w14:textId="77777777" w:rsidTr="00311649">
        <w:tc>
          <w:tcPr>
            <w:tcW w:w="1140" w:type="dxa"/>
            <w:tcBorders>
              <w:top w:val="nil"/>
              <w:bottom w:val="nil"/>
            </w:tcBorders>
            <w:shd w:val="clear" w:color="auto" w:fill="auto"/>
          </w:tcPr>
          <w:p w14:paraId="7FD4F91B" w14:textId="77777777" w:rsidR="00EB30DF" w:rsidRPr="00F110C2" w:rsidRDefault="00EB30DF" w:rsidP="00254EC9">
            <w:pPr>
              <w:spacing w:before="30" w:after="30"/>
              <w:ind w:left="57"/>
              <w:jc w:val="left"/>
              <w:rPr>
                <w:rFonts w:ascii="Times New Roman Bold" w:hAnsi="Times New Roman Bold"/>
                <w:b/>
                <w:bCs/>
                <w:sz w:val="20"/>
              </w:rPr>
            </w:pPr>
            <w:r w:rsidRPr="00F110C2">
              <w:rPr>
                <w:rFonts w:ascii="Times New Roman Bold" w:hAnsi="Times New Roman Bold"/>
                <w:b/>
                <w:bCs/>
                <w:sz w:val="20"/>
              </w:rPr>
              <w:t>BO</w:t>
            </w:r>
          </w:p>
        </w:tc>
        <w:tc>
          <w:tcPr>
            <w:tcW w:w="8220" w:type="dxa"/>
            <w:tcBorders>
              <w:top w:val="nil"/>
              <w:bottom w:val="nil"/>
            </w:tcBorders>
            <w:shd w:val="clear" w:color="auto" w:fill="auto"/>
          </w:tcPr>
          <w:p w14:paraId="2865716D" w14:textId="77777777"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110C2">
              <w:rPr>
                <w:b w:val="0"/>
                <w:sz w:val="20"/>
              </w:rPr>
              <w:t>Diffusion par satellite</w:t>
            </w:r>
          </w:p>
        </w:tc>
      </w:tr>
      <w:tr w:rsidR="00EB30DF" w:rsidRPr="00F110C2" w14:paraId="7C982A98" w14:textId="77777777" w:rsidTr="00311649">
        <w:tc>
          <w:tcPr>
            <w:tcW w:w="1140" w:type="dxa"/>
            <w:tcBorders>
              <w:top w:val="nil"/>
              <w:bottom w:val="nil"/>
            </w:tcBorders>
          </w:tcPr>
          <w:p w14:paraId="34CFE5D8" w14:textId="77777777" w:rsidR="00EB30DF" w:rsidRPr="00F110C2" w:rsidRDefault="00EB30DF" w:rsidP="00254EC9">
            <w:pPr>
              <w:spacing w:before="30" w:after="30"/>
              <w:ind w:left="57"/>
              <w:jc w:val="left"/>
              <w:rPr>
                <w:rFonts w:ascii="Times New Roman Bold" w:hAnsi="Times New Roman Bold"/>
                <w:b/>
                <w:bCs/>
                <w:sz w:val="20"/>
              </w:rPr>
            </w:pPr>
            <w:r w:rsidRPr="00F110C2">
              <w:rPr>
                <w:rFonts w:ascii="Times New Roman Bold" w:hAnsi="Times New Roman Bold"/>
                <w:b/>
                <w:bCs/>
                <w:sz w:val="20"/>
              </w:rPr>
              <w:t>BR</w:t>
            </w:r>
          </w:p>
        </w:tc>
        <w:tc>
          <w:tcPr>
            <w:tcW w:w="8220" w:type="dxa"/>
            <w:tcBorders>
              <w:top w:val="nil"/>
              <w:bottom w:val="nil"/>
            </w:tcBorders>
          </w:tcPr>
          <w:p w14:paraId="26B15860" w14:textId="1F662C96"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110C2">
              <w:rPr>
                <w:b w:val="0"/>
                <w:sz w:val="20"/>
              </w:rPr>
              <w:t>Enregistrement pour la production, l</w:t>
            </w:r>
            <w:r w:rsidR="00A17180" w:rsidRPr="00F110C2">
              <w:rPr>
                <w:b w:val="0"/>
                <w:sz w:val="20"/>
              </w:rPr>
              <w:t>'</w:t>
            </w:r>
            <w:r w:rsidRPr="00F110C2">
              <w:rPr>
                <w:b w:val="0"/>
                <w:sz w:val="20"/>
              </w:rPr>
              <w:t>archivage et la diffusion; films pour la télévision</w:t>
            </w:r>
          </w:p>
        </w:tc>
      </w:tr>
      <w:tr w:rsidR="00EB30DF" w:rsidRPr="00F110C2" w14:paraId="77EECFBE" w14:textId="77777777" w:rsidTr="00311649">
        <w:tc>
          <w:tcPr>
            <w:tcW w:w="1140" w:type="dxa"/>
            <w:tcBorders>
              <w:top w:val="nil"/>
              <w:bottom w:val="nil"/>
            </w:tcBorders>
            <w:shd w:val="clear" w:color="auto" w:fill="auto"/>
          </w:tcPr>
          <w:p w14:paraId="74A7139C" w14:textId="77777777" w:rsidR="00EB30DF" w:rsidRPr="00F110C2" w:rsidRDefault="00EB30DF" w:rsidP="00254EC9">
            <w:pPr>
              <w:spacing w:before="30" w:after="30"/>
              <w:ind w:left="57"/>
              <w:jc w:val="left"/>
              <w:rPr>
                <w:b/>
                <w:bCs/>
                <w:sz w:val="20"/>
              </w:rPr>
            </w:pPr>
            <w:r w:rsidRPr="00F110C2">
              <w:rPr>
                <w:b/>
                <w:bCs/>
                <w:sz w:val="20"/>
              </w:rPr>
              <w:t>BS</w:t>
            </w:r>
          </w:p>
        </w:tc>
        <w:tc>
          <w:tcPr>
            <w:tcW w:w="8220" w:type="dxa"/>
            <w:tcBorders>
              <w:top w:val="nil"/>
              <w:bottom w:val="nil"/>
            </w:tcBorders>
            <w:shd w:val="clear" w:color="auto" w:fill="auto"/>
          </w:tcPr>
          <w:p w14:paraId="48A83465" w14:textId="77777777"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110C2">
              <w:rPr>
                <w:b w:val="0"/>
                <w:sz w:val="20"/>
              </w:rPr>
              <w:t>Service de radiodiffusion sonore</w:t>
            </w:r>
          </w:p>
        </w:tc>
      </w:tr>
      <w:tr w:rsidR="00EB30DF" w:rsidRPr="00F110C2" w14:paraId="5A997094" w14:textId="77777777" w:rsidTr="00311649">
        <w:tc>
          <w:tcPr>
            <w:tcW w:w="1140" w:type="dxa"/>
            <w:tcBorders>
              <w:top w:val="nil"/>
              <w:bottom w:val="nil"/>
            </w:tcBorders>
            <w:shd w:val="clear" w:color="auto" w:fill="auto"/>
          </w:tcPr>
          <w:p w14:paraId="1FA4B00D" w14:textId="77777777" w:rsidR="00EB30DF" w:rsidRPr="00F110C2" w:rsidRDefault="00EB30DF" w:rsidP="00254EC9">
            <w:pPr>
              <w:spacing w:before="30" w:after="30"/>
              <w:ind w:left="57"/>
              <w:jc w:val="left"/>
              <w:rPr>
                <w:b/>
                <w:bCs/>
                <w:sz w:val="20"/>
              </w:rPr>
            </w:pPr>
            <w:r w:rsidRPr="00F110C2">
              <w:rPr>
                <w:b/>
                <w:bCs/>
                <w:sz w:val="20"/>
              </w:rPr>
              <w:t>BT</w:t>
            </w:r>
          </w:p>
        </w:tc>
        <w:tc>
          <w:tcPr>
            <w:tcW w:w="8220" w:type="dxa"/>
            <w:tcBorders>
              <w:top w:val="nil"/>
              <w:bottom w:val="nil"/>
            </w:tcBorders>
            <w:shd w:val="clear" w:color="auto" w:fill="auto"/>
          </w:tcPr>
          <w:p w14:paraId="0C02984D" w14:textId="77777777"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110C2">
              <w:rPr>
                <w:b w:val="0"/>
                <w:sz w:val="20"/>
              </w:rPr>
              <w:t>Service de radiodiffusion télévisuelle</w:t>
            </w:r>
          </w:p>
        </w:tc>
      </w:tr>
      <w:tr w:rsidR="00EB30DF" w:rsidRPr="00F110C2" w14:paraId="5A5701AA" w14:textId="77777777" w:rsidTr="00311649">
        <w:tc>
          <w:tcPr>
            <w:tcW w:w="1140" w:type="dxa"/>
            <w:tcBorders>
              <w:top w:val="nil"/>
              <w:bottom w:val="nil"/>
            </w:tcBorders>
            <w:shd w:val="clear" w:color="auto" w:fill="FFFFFF" w:themeFill="background1"/>
          </w:tcPr>
          <w:p w14:paraId="4B80B6DB" w14:textId="77777777" w:rsidR="00EB30DF" w:rsidRPr="00F110C2" w:rsidRDefault="00EB30DF" w:rsidP="00254EC9">
            <w:pPr>
              <w:spacing w:before="30" w:after="30"/>
              <w:ind w:left="57"/>
              <w:jc w:val="left"/>
              <w:rPr>
                <w:rFonts w:ascii="Times New Roman Bold" w:hAnsi="Times New Roman Bold"/>
                <w:b/>
                <w:bCs/>
                <w:sz w:val="20"/>
              </w:rPr>
            </w:pPr>
            <w:r w:rsidRPr="00F110C2">
              <w:rPr>
                <w:rFonts w:ascii="Times New Roman Bold" w:hAnsi="Times New Roman Bold"/>
                <w:b/>
                <w:bCs/>
                <w:sz w:val="20"/>
              </w:rPr>
              <w:t>F</w:t>
            </w:r>
          </w:p>
        </w:tc>
        <w:tc>
          <w:tcPr>
            <w:tcW w:w="8220" w:type="dxa"/>
            <w:tcBorders>
              <w:top w:val="nil"/>
              <w:bottom w:val="nil"/>
            </w:tcBorders>
            <w:shd w:val="clear" w:color="auto" w:fill="FFFFFF" w:themeFill="background1"/>
          </w:tcPr>
          <w:p w14:paraId="23F3C847" w14:textId="77777777"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110C2">
              <w:rPr>
                <w:b w:val="0"/>
                <w:sz w:val="20"/>
              </w:rPr>
              <w:t>Service fixe</w:t>
            </w:r>
          </w:p>
        </w:tc>
      </w:tr>
      <w:tr w:rsidR="00EB30DF" w:rsidRPr="00F110C2" w14:paraId="1CB72670" w14:textId="77777777" w:rsidTr="00311649">
        <w:tc>
          <w:tcPr>
            <w:tcW w:w="1140" w:type="dxa"/>
            <w:tcBorders>
              <w:top w:val="nil"/>
              <w:bottom w:val="nil"/>
            </w:tcBorders>
            <w:shd w:val="clear" w:color="auto" w:fill="FFFFFF" w:themeFill="background1"/>
          </w:tcPr>
          <w:p w14:paraId="56E7C799" w14:textId="77777777" w:rsidR="00EB30DF" w:rsidRPr="00F110C2" w:rsidRDefault="00EB30DF" w:rsidP="00254EC9">
            <w:pPr>
              <w:spacing w:before="30" w:after="30"/>
              <w:ind w:left="57"/>
              <w:jc w:val="left"/>
              <w:rPr>
                <w:b/>
                <w:bCs/>
                <w:sz w:val="20"/>
              </w:rPr>
            </w:pPr>
            <w:r w:rsidRPr="00F110C2">
              <w:rPr>
                <w:b/>
                <w:bCs/>
                <w:sz w:val="20"/>
              </w:rPr>
              <w:t>M</w:t>
            </w:r>
          </w:p>
        </w:tc>
        <w:tc>
          <w:tcPr>
            <w:tcW w:w="8220" w:type="dxa"/>
            <w:tcBorders>
              <w:top w:val="nil"/>
              <w:bottom w:val="nil"/>
            </w:tcBorders>
            <w:shd w:val="clear" w:color="auto" w:fill="FFFFFF" w:themeFill="background1"/>
          </w:tcPr>
          <w:p w14:paraId="14E1278E" w14:textId="1B5E699E"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110C2">
              <w:rPr>
                <w:b w:val="0"/>
                <w:sz w:val="20"/>
              </w:rPr>
              <w:t>Services mobile, de radiorepérage et d</w:t>
            </w:r>
            <w:r w:rsidR="00A17180" w:rsidRPr="00F110C2">
              <w:rPr>
                <w:b w:val="0"/>
                <w:sz w:val="20"/>
              </w:rPr>
              <w:t>'</w:t>
            </w:r>
            <w:r w:rsidRPr="00F110C2">
              <w:rPr>
                <w:b w:val="0"/>
                <w:sz w:val="20"/>
              </w:rPr>
              <w:t>amateur y compris les services par satellite associés</w:t>
            </w:r>
          </w:p>
        </w:tc>
      </w:tr>
      <w:tr w:rsidR="00EB30DF" w:rsidRPr="00F110C2" w14:paraId="2B2B0AEE" w14:textId="77777777" w:rsidTr="00311649">
        <w:tc>
          <w:tcPr>
            <w:tcW w:w="1140" w:type="dxa"/>
            <w:tcBorders>
              <w:top w:val="nil"/>
              <w:bottom w:val="nil"/>
            </w:tcBorders>
            <w:shd w:val="clear" w:color="auto" w:fill="FFFFFF" w:themeFill="background1"/>
          </w:tcPr>
          <w:p w14:paraId="394A64D7" w14:textId="77777777" w:rsidR="00EB30DF" w:rsidRPr="00F110C2" w:rsidRDefault="00EB30DF" w:rsidP="00254EC9">
            <w:pPr>
              <w:spacing w:before="30" w:after="30"/>
              <w:ind w:left="57"/>
              <w:jc w:val="left"/>
              <w:rPr>
                <w:rFonts w:ascii="Times New Roman Bold" w:hAnsi="Times New Roman Bold"/>
                <w:b/>
                <w:bCs/>
                <w:sz w:val="20"/>
              </w:rPr>
            </w:pPr>
            <w:r w:rsidRPr="00F110C2">
              <w:rPr>
                <w:rFonts w:ascii="Times New Roman Bold" w:hAnsi="Times New Roman Bold"/>
                <w:b/>
                <w:bCs/>
                <w:sz w:val="20"/>
              </w:rPr>
              <w:t>P</w:t>
            </w:r>
          </w:p>
        </w:tc>
        <w:tc>
          <w:tcPr>
            <w:tcW w:w="8220" w:type="dxa"/>
            <w:tcBorders>
              <w:top w:val="nil"/>
              <w:bottom w:val="nil"/>
            </w:tcBorders>
            <w:shd w:val="clear" w:color="auto" w:fill="FFFFFF" w:themeFill="background1"/>
          </w:tcPr>
          <w:p w14:paraId="760B50E3" w14:textId="77777777"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110C2">
              <w:rPr>
                <w:b w:val="0"/>
                <w:sz w:val="20"/>
              </w:rPr>
              <w:t>Propagation des ondes radioélectriques</w:t>
            </w:r>
          </w:p>
        </w:tc>
      </w:tr>
      <w:tr w:rsidR="00EB30DF" w:rsidRPr="00F110C2" w14:paraId="24A0EA79" w14:textId="77777777" w:rsidTr="00311649">
        <w:tc>
          <w:tcPr>
            <w:tcW w:w="1140" w:type="dxa"/>
            <w:tcBorders>
              <w:top w:val="nil"/>
              <w:bottom w:val="nil"/>
            </w:tcBorders>
            <w:shd w:val="clear" w:color="auto" w:fill="FFFFFF" w:themeFill="background1"/>
          </w:tcPr>
          <w:p w14:paraId="2D4F06AF" w14:textId="77777777" w:rsidR="00EB30DF" w:rsidRPr="00F110C2" w:rsidRDefault="00EB30DF" w:rsidP="00254EC9">
            <w:pPr>
              <w:spacing w:before="30" w:after="30"/>
              <w:ind w:left="57"/>
              <w:jc w:val="left"/>
              <w:rPr>
                <w:rFonts w:ascii="Times New Roman Bold" w:hAnsi="Times New Roman Bold"/>
                <w:b/>
                <w:bCs/>
                <w:sz w:val="20"/>
              </w:rPr>
            </w:pPr>
            <w:r w:rsidRPr="00F110C2">
              <w:rPr>
                <w:rFonts w:ascii="Times New Roman Bold" w:hAnsi="Times New Roman Bold"/>
                <w:b/>
                <w:bCs/>
                <w:sz w:val="20"/>
              </w:rPr>
              <w:t>RA</w:t>
            </w:r>
          </w:p>
        </w:tc>
        <w:tc>
          <w:tcPr>
            <w:tcW w:w="8220" w:type="dxa"/>
            <w:tcBorders>
              <w:top w:val="nil"/>
              <w:bottom w:val="nil"/>
            </w:tcBorders>
            <w:shd w:val="clear" w:color="auto" w:fill="FFFFFF" w:themeFill="background1"/>
          </w:tcPr>
          <w:p w14:paraId="4BC02038" w14:textId="77777777"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110C2">
              <w:rPr>
                <w:b w:val="0"/>
                <w:sz w:val="20"/>
              </w:rPr>
              <w:t>Radio astronomie</w:t>
            </w:r>
          </w:p>
        </w:tc>
      </w:tr>
      <w:tr w:rsidR="00EB30DF" w:rsidRPr="00F110C2" w14:paraId="2C86ABC6" w14:textId="77777777" w:rsidTr="00311649">
        <w:tc>
          <w:tcPr>
            <w:tcW w:w="1140" w:type="dxa"/>
            <w:tcBorders>
              <w:top w:val="nil"/>
              <w:bottom w:val="nil"/>
            </w:tcBorders>
            <w:shd w:val="clear" w:color="auto" w:fill="FFFFFF" w:themeFill="background1"/>
          </w:tcPr>
          <w:p w14:paraId="4C4FED89" w14:textId="77777777" w:rsidR="00EB30DF" w:rsidRPr="00F110C2" w:rsidRDefault="00EB30DF" w:rsidP="00254EC9">
            <w:pPr>
              <w:spacing w:before="30" w:after="30"/>
              <w:ind w:left="57"/>
              <w:jc w:val="left"/>
              <w:rPr>
                <w:rFonts w:ascii="Times New Roman Bold" w:hAnsi="Times New Roman Bold"/>
                <w:b/>
                <w:bCs/>
                <w:sz w:val="20"/>
              </w:rPr>
            </w:pPr>
            <w:r w:rsidRPr="00F110C2">
              <w:rPr>
                <w:rFonts w:ascii="Times New Roman Bold" w:hAnsi="Times New Roman Bold"/>
                <w:b/>
                <w:bCs/>
                <w:sz w:val="20"/>
              </w:rPr>
              <w:t>RS</w:t>
            </w:r>
          </w:p>
        </w:tc>
        <w:tc>
          <w:tcPr>
            <w:tcW w:w="8220" w:type="dxa"/>
            <w:tcBorders>
              <w:top w:val="nil"/>
              <w:bottom w:val="nil"/>
            </w:tcBorders>
            <w:shd w:val="clear" w:color="auto" w:fill="FFFFFF" w:themeFill="background1"/>
          </w:tcPr>
          <w:p w14:paraId="315888D9" w14:textId="77777777"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110C2">
              <w:rPr>
                <w:b w:val="0"/>
                <w:sz w:val="20"/>
              </w:rPr>
              <w:t>Systèmes de télédétection</w:t>
            </w:r>
          </w:p>
        </w:tc>
      </w:tr>
      <w:tr w:rsidR="00EB30DF" w:rsidRPr="00F110C2" w14:paraId="2FC5042B" w14:textId="77777777" w:rsidTr="00311649">
        <w:tc>
          <w:tcPr>
            <w:tcW w:w="1140" w:type="dxa"/>
            <w:tcBorders>
              <w:top w:val="nil"/>
              <w:bottom w:val="nil"/>
            </w:tcBorders>
            <w:shd w:val="clear" w:color="auto" w:fill="FFFFFF" w:themeFill="background1"/>
          </w:tcPr>
          <w:p w14:paraId="45789496" w14:textId="77777777" w:rsidR="00EB30DF" w:rsidRPr="00F110C2" w:rsidRDefault="00EB30DF" w:rsidP="00254EC9">
            <w:pPr>
              <w:spacing w:before="30" w:after="30"/>
              <w:ind w:left="57"/>
              <w:jc w:val="left"/>
              <w:rPr>
                <w:rFonts w:ascii="Times New Roman Bold" w:hAnsi="Times New Roman Bold"/>
                <w:b/>
                <w:bCs/>
                <w:sz w:val="20"/>
              </w:rPr>
            </w:pPr>
            <w:r w:rsidRPr="00F110C2">
              <w:rPr>
                <w:rFonts w:ascii="Times New Roman Bold" w:hAnsi="Times New Roman Bold"/>
                <w:b/>
                <w:bCs/>
                <w:sz w:val="20"/>
              </w:rPr>
              <w:t>S</w:t>
            </w:r>
          </w:p>
        </w:tc>
        <w:tc>
          <w:tcPr>
            <w:tcW w:w="8220" w:type="dxa"/>
            <w:tcBorders>
              <w:top w:val="nil"/>
              <w:bottom w:val="nil"/>
            </w:tcBorders>
            <w:shd w:val="clear" w:color="auto" w:fill="FFFFFF" w:themeFill="background1"/>
          </w:tcPr>
          <w:p w14:paraId="3DE9072C" w14:textId="77777777"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110C2">
              <w:rPr>
                <w:b w:val="0"/>
                <w:sz w:val="20"/>
              </w:rPr>
              <w:t>Service fixe par satellite</w:t>
            </w:r>
          </w:p>
        </w:tc>
      </w:tr>
      <w:tr w:rsidR="00EB30DF" w:rsidRPr="00F110C2" w14:paraId="33AAB798" w14:textId="77777777" w:rsidTr="00311649">
        <w:tc>
          <w:tcPr>
            <w:tcW w:w="1140" w:type="dxa"/>
            <w:tcBorders>
              <w:top w:val="nil"/>
              <w:bottom w:val="nil"/>
            </w:tcBorders>
            <w:shd w:val="clear" w:color="auto" w:fill="FFFFFF" w:themeFill="background1"/>
          </w:tcPr>
          <w:p w14:paraId="343DAFA7" w14:textId="77777777" w:rsidR="00EB30DF" w:rsidRPr="00F110C2" w:rsidRDefault="00EB30DF" w:rsidP="00254EC9">
            <w:pPr>
              <w:spacing w:before="30" w:after="30"/>
              <w:ind w:left="57"/>
              <w:jc w:val="left"/>
              <w:rPr>
                <w:rFonts w:ascii="Times New Roman Bold" w:hAnsi="Times New Roman Bold"/>
                <w:sz w:val="20"/>
              </w:rPr>
            </w:pPr>
            <w:r w:rsidRPr="00F110C2">
              <w:rPr>
                <w:rFonts w:ascii="Times New Roman Bold" w:hAnsi="Times New Roman Bold"/>
                <w:sz w:val="20"/>
              </w:rPr>
              <w:t>SA</w:t>
            </w:r>
          </w:p>
        </w:tc>
        <w:tc>
          <w:tcPr>
            <w:tcW w:w="8220" w:type="dxa"/>
            <w:tcBorders>
              <w:top w:val="nil"/>
              <w:bottom w:val="nil"/>
            </w:tcBorders>
            <w:shd w:val="clear" w:color="auto" w:fill="FFFFFF" w:themeFill="background1"/>
          </w:tcPr>
          <w:p w14:paraId="3D885ED4" w14:textId="77777777"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110C2">
              <w:rPr>
                <w:b w:val="0"/>
                <w:sz w:val="20"/>
              </w:rPr>
              <w:t>Applications spatiales et météorologie</w:t>
            </w:r>
          </w:p>
        </w:tc>
      </w:tr>
      <w:tr w:rsidR="00EB30DF" w:rsidRPr="00F110C2" w14:paraId="7F0BB7FC" w14:textId="77777777" w:rsidTr="00311649">
        <w:tc>
          <w:tcPr>
            <w:tcW w:w="1140" w:type="dxa"/>
            <w:tcBorders>
              <w:top w:val="nil"/>
            </w:tcBorders>
            <w:shd w:val="clear" w:color="auto" w:fill="FFFFFF" w:themeFill="background1"/>
          </w:tcPr>
          <w:p w14:paraId="37520E1F" w14:textId="77777777" w:rsidR="00EB30DF" w:rsidRPr="00F110C2" w:rsidRDefault="00EB30DF" w:rsidP="00254EC9">
            <w:pPr>
              <w:spacing w:before="30" w:after="30"/>
              <w:ind w:left="57"/>
              <w:jc w:val="left"/>
              <w:rPr>
                <w:rFonts w:ascii="Times New Roman Bold" w:hAnsi="Times New Roman Bold"/>
                <w:b/>
                <w:bCs/>
                <w:sz w:val="20"/>
              </w:rPr>
            </w:pPr>
            <w:r w:rsidRPr="00F110C2">
              <w:rPr>
                <w:rFonts w:ascii="Times New Roman Bold" w:hAnsi="Times New Roman Bold"/>
                <w:b/>
                <w:bCs/>
                <w:sz w:val="20"/>
              </w:rPr>
              <w:t>SF</w:t>
            </w:r>
          </w:p>
        </w:tc>
        <w:tc>
          <w:tcPr>
            <w:tcW w:w="8220" w:type="dxa"/>
            <w:tcBorders>
              <w:top w:val="nil"/>
            </w:tcBorders>
            <w:shd w:val="clear" w:color="auto" w:fill="FFFFFF" w:themeFill="background1"/>
          </w:tcPr>
          <w:p w14:paraId="61F4952D" w14:textId="77777777"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110C2">
              <w:rPr>
                <w:b w:val="0"/>
                <w:bCs/>
                <w:sz w:val="20"/>
              </w:rPr>
              <w:t>Partage des fréquences et coordination entre les systèmes du service fixe par satellite et du service fixe</w:t>
            </w:r>
          </w:p>
        </w:tc>
      </w:tr>
      <w:tr w:rsidR="00EB30DF" w:rsidRPr="00F110C2" w14:paraId="27E6161D" w14:textId="77777777" w:rsidTr="00311649">
        <w:tc>
          <w:tcPr>
            <w:tcW w:w="1140" w:type="dxa"/>
            <w:shd w:val="clear" w:color="auto" w:fill="F3F3F3"/>
          </w:tcPr>
          <w:p w14:paraId="7F9E3A2D" w14:textId="77777777" w:rsidR="00EB30DF" w:rsidRPr="00F110C2" w:rsidRDefault="00EB30DF" w:rsidP="00254EC9">
            <w:pPr>
              <w:spacing w:before="30" w:after="30"/>
              <w:ind w:left="57"/>
              <w:jc w:val="left"/>
              <w:rPr>
                <w:b/>
                <w:bCs/>
                <w:color w:val="000080"/>
                <w:sz w:val="20"/>
              </w:rPr>
            </w:pPr>
            <w:r w:rsidRPr="00F110C2">
              <w:rPr>
                <w:b/>
                <w:bCs/>
                <w:color w:val="000080"/>
                <w:sz w:val="20"/>
              </w:rPr>
              <w:t>SM</w:t>
            </w:r>
          </w:p>
        </w:tc>
        <w:tc>
          <w:tcPr>
            <w:tcW w:w="8220" w:type="dxa"/>
            <w:shd w:val="clear" w:color="auto" w:fill="F3F3F3"/>
          </w:tcPr>
          <w:p w14:paraId="742AC575" w14:textId="77777777"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F110C2">
              <w:rPr>
                <w:bCs/>
                <w:color w:val="000080"/>
                <w:sz w:val="20"/>
              </w:rPr>
              <w:t>Gestion du spectre</w:t>
            </w:r>
          </w:p>
        </w:tc>
      </w:tr>
      <w:tr w:rsidR="00EB30DF" w:rsidRPr="00F110C2" w14:paraId="5DE7844B" w14:textId="77777777" w:rsidTr="00311649">
        <w:tc>
          <w:tcPr>
            <w:tcW w:w="1140" w:type="dxa"/>
          </w:tcPr>
          <w:p w14:paraId="40EB0CB5" w14:textId="77777777" w:rsidR="00EB30DF" w:rsidRPr="00F110C2" w:rsidRDefault="00EB30DF" w:rsidP="00254EC9">
            <w:pPr>
              <w:spacing w:before="30" w:after="30"/>
              <w:ind w:left="57"/>
              <w:jc w:val="left"/>
              <w:rPr>
                <w:b/>
                <w:bCs/>
                <w:sz w:val="20"/>
              </w:rPr>
            </w:pPr>
            <w:r w:rsidRPr="00F110C2">
              <w:rPr>
                <w:b/>
                <w:bCs/>
                <w:sz w:val="20"/>
              </w:rPr>
              <w:t>SNG</w:t>
            </w:r>
          </w:p>
        </w:tc>
        <w:tc>
          <w:tcPr>
            <w:tcW w:w="8220" w:type="dxa"/>
          </w:tcPr>
          <w:p w14:paraId="1453621C" w14:textId="69A8E1BD"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110C2">
              <w:rPr>
                <w:b w:val="0"/>
                <w:sz w:val="20"/>
              </w:rPr>
              <w:t>Reportage d</w:t>
            </w:r>
            <w:r w:rsidR="00A17180" w:rsidRPr="00F110C2">
              <w:rPr>
                <w:b w:val="0"/>
                <w:sz w:val="20"/>
              </w:rPr>
              <w:t>'</w:t>
            </w:r>
            <w:r w:rsidRPr="00F110C2">
              <w:rPr>
                <w:b w:val="0"/>
                <w:sz w:val="20"/>
              </w:rPr>
              <w:t>actualités par satellite</w:t>
            </w:r>
          </w:p>
        </w:tc>
      </w:tr>
      <w:tr w:rsidR="00EB30DF" w:rsidRPr="00F110C2" w14:paraId="51B9D66A" w14:textId="77777777" w:rsidTr="00311649">
        <w:tc>
          <w:tcPr>
            <w:tcW w:w="1140" w:type="dxa"/>
          </w:tcPr>
          <w:p w14:paraId="15CB0CF6" w14:textId="77777777" w:rsidR="00EB30DF" w:rsidRPr="00F110C2" w:rsidRDefault="00EB30DF" w:rsidP="00254EC9">
            <w:pPr>
              <w:spacing w:before="30" w:after="30"/>
              <w:ind w:left="57"/>
              <w:jc w:val="left"/>
              <w:rPr>
                <w:rFonts w:ascii="Times New Roman Bold" w:hAnsi="Times New Roman Bold"/>
                <w:b/>
                <w:bCs/>
                <w:sz w:val="20"/>
              </w:rPr>
            </w:pPr>
            <w:r w:rsidRPr="00F110C2">
              <w:rPr>
                <w:rFonts w:ascii="Times New Roman Bold" w:hAnsi="Times New Roman Bold"/>
                <w:b/>
                <w:bCs/>
                <w:sz w:val="20"/>
              </w:rPr>
              <w:t>TF</w:t>
            </w:r>
          </w:p>
        </w:tc>
        <w:tc>
          <w:tcPr>
            <w:tcW w:w="8220" w:type="dxa"/>
          </w:tcPr>
          <w:p w14:paraId="29BCF96F" w14:textId="12132937" w:rsidR="00EB30DF" w:rsidRPr="00F110C2" w:rsidRDefault="004252C6"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110C2">
              <w:rPr>
                <w:b w:val="0"/>
                <w:sz w:val="20"/>
              </w:rPr>
              <w:t>Émissions</w:t>
            </w:r>
            <w:r w:rsidR="00EB30DF" w:rsidRPr="00F110C2">
              <w:rPr>
                <w:b w:val="0"/>
                <w:sz w:val="20"/>
              </w:rPr>
              <w:t xml:space="preserve"> de fréquences étalon et de signaux horaires</w:t>
            </w:r>
          </w:p>
        </w:tc>
      </w:tr>
      <w:tr w:rsidR="00EB30DF" w:rsidRPr="00F110C2" w14:paraId="5769E908" w14:textId="77777777" w:rsidTr="00311649">
        <w:tc>
          <w:tcPr>
            <w:tcW w:w="1140" w:type="dxa"/>
          </w:tcPr>
          <w:p w14:paraId="61637819" w14:textId="77777777" w:rsidR="00EB30DF" w:rsidRPr="00F110C2" w:rsidRDefault="00EB30DF" w:rsidP="00254EC9">
            <w:pPr>
              <w:spacing w:before="30" w:after="30"/>
              <w:ind w:left="57"/>
              <w:jc w:val="left"/>
              <w:rPr>
                <w:b/>
                <w:bCs/>
                <w:sz w:val="20"/>
              </w:rPr>
            </w:pPr>
            <w:r w:rsidRPr="00F110C2">
              <w:rPr>
                <w:b/>
                <w:bCs/>
                <w:sz w:val="20"/>
              </w:rPr>
              <w:t>V</w:t>
            </w:r>
          </w:p>
        </w:tc>
        <w:tc>
          <w:tcPr>
            <w:tcW w:w="8220" w:type="dxa"/>
          </w:tcPr>
          <w:p w14:paraId="40033DE2" w14:textId="77777777" w:rsidR="00EB30DF" w:rsidRPr="00F110C2" w:rsidRDefault="00EB30DF" w:rsidP="00254E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r w:rsidRPr="00F110C2">
              <w:rPr>
                <w:b w:val="0"/>
                <w:sz w:val="20"/>
              </w:rPr>
              <w:t>Vocabulaire et sujets associés</w:t>
            </w:r>
          </w:p>
        </w:tc>
      </w:tr>
    </w:tbl>
    <w:p w14:paraId="151DC142" w14:textId="77777777" w:rsidR="00EB30DF" w:rsidRPr="00F110C2" w:rsidRDefault="00EB30DF" w:rsidP="00254EC9">
      <w:pPr>
        <w:spacing w:before="0"/>
        <w:jc w:val="center"/>
        <w:rPr>
          <w:sz w:val="20"/>
        </w:rPr>
      </w:pPr>
    </w:p>
    <w:p w14:paraId="318BC34A" w14:textId="77777777" w:rsidR="00EB30DF" w:rsidRPr="00F110C2" w:rsidRDefault="00EB30DF" w:rsidP="00254EC9">
      <w:pPr>
        <w:spacing w:before="0"/>
        <w:ind w:left="18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EB30DF" w:rsidRPr="00F110C2" w14:paraId="11C0C64E" w14:textId="77777777" w:rsidTr="00311649">
        <w:tc>
          <w:tcPr>
            <w:tcW w:w="9360" w:type="dxa"/>
          </w:tcPr>
          <w:p w14:paraId="59CFBE34" w14:textId="77777777" w:rsidR="00EB30DF" w:rsidRPr="00F110C2" w:rsidRDefault="00EB30DF" w:rsidP="00254EC9">
            <w:pPr>
              <w:spacing w:before="80" w:after="80"/>
              <w:rPr>
                <w:i/>
                <w:iCs/>
                <w:sz w:val="20"/>
              </w:rPr>
            </w:pPr>
            <w:r w:rsidRPr="00F110C2">
              <w:rPr>
                <w:b/>
                <w:bCs/>
                <w:i/>
                <w:iCs/>
                <w:sz w:val="20"/>
              </w:rPr>
              <w:t>Note</w:t>
            </w:r>
            <w:r w:rsidRPr="00F110C2">
              <w:rPr>
                <w:i/>
                <w:iCs/>
                <w:sz w:val="20"/>
              </w:rPr>
              <w:t xml:space="preserve">: Cette Recommandation UIT-R a été approuvée en anglais aux termes de la procédure détaillée dans la Résolution UIT-R 1. </w:t>
            </w:r>
          </w:p>
        </w:tc>
      </w:tr>
    </w:tbl>
    <w:p w14:paraId="2B846A04" w14:textId="77777777" w:rsidR="00EB30DF" w:rsidRPr="00F110C2" w:rsidRDefault="00EB30DF" w:rsidP="00254EC9">
      <w:pPr>
        <w:spacing w:before="0"/>
        <w:jc w:val="center"/>
        <w:rPr>
          <w:sz w:val="22"/>
        </w:rPr>
      </w:pPr>
    </w:p>
    <w:p w14:paraId="11E3E077" w14:textId="77777777" w:rsidR="00EB30DF" w:rsidRPr="00F110C2" w:rsidRDefault="00EB30DF" w:rsidP="00254EC9">
      <w:pPr>
        <w:spacing w:before="100"/>
        <w:jc w:val="right"/>
        <w:rPr>
          <w:i/>
          <w:iCs/>
          <w:sz w:val="20"/>
        </w:rPr>
      </w:pPr>
      <w:r w:rsidRPr="00F110C2">
        <w:rPr>
          <w:i/>
          <w:iCs/>
          <w:sz w:val="20"/>
        </w:rPr>
        <w:t>Publication électronique</w:t>
      </w:r>
    </w:p>
    <w:p w14:paraId="6E26F3DE" w14:textId="575170BF" w:rsidR="00EB30DF" w:rsidRPr="00F110C2" w:rsidRDefault="00EB30DF" w:rsidP="00254EC9">
      <w:pPr>
        <w:spacing w:before="0"/>
        <w:jc w:val="right"/>
        <w:rPr>
          <w:sz w:val="20"/>
        </w:rPr>
      </w:pPr>
      <w:r w:rsidRPr="00F110C2">
        <w:rPr>
          <w:sz w:val="20"/>
        </w:rPr>
        <w:t>Genève, 202</w:t>
      </w:r>
      <w:r w:rsidR="00A17180" w:rsidRPr="00F110C2">
        <w:rPr>
          <w:sz w:val="20"/>
        </w:rPr>
        <w:t>5</w:t>
      </w:r>
    </w:p>
    <w:p w14:paraId="67668627" w14:textId="40A5BA15" w:rsidR="00EB30DF" w:rsidRPr="00F110C2" w:rsidRDefault="00EB30DF" w:rsidP="00254EC9">
      <w:pPr>
        <w:spacing w:before="200"/>
        <w:jc w:val="center"/>
        <w:rPr>
          <w:sz w:val="20"/>
        </w:rPr>
      </w:pPr>
      <w:r w:rsidRPr="00F110C2">
        <w:rPr>
          <w:sz w:val="20"/>
        </w:rPr>
        <w:sym w:font="Symbol" w:char="F0E3"/>
      </w:r>
      <w:r w:rsidRPr="00F110C2">
        <w:rPr>
          <w:sz w:val="20"/>
        </w:rPr>
        <w:t xml:space="preserve"> UIT </w:t>
      </w:r>
      <w:bookmarkStart w:id="2" w:name="iiannee"/>
      <w:bookmarkEnd w:id="2"/>
      <w:r w:rsidRPr="00F110C2">
        <w:rPr>
          <w:sz w:val="20"/>
        </w:rPr>
        <w:t>202</w:t>
      </w:r>
      <w:r w:rsidR="00A17180" w:rsidRPr="00F110C2">
        <w:rPr>
          <w:sz w:val="20"/>
        </w:rPr>
        <w:t>5</w:t>
      </w:r>
    </w:p>
    <w:p w14:paraId="633585C5" w14:textId="5F5A0FFC" w:rsidR="00EB30DF" w:rsidRPr="00F110C2" w:rsidRDefault="00EB30DF" w:rsidP="00254EC9">
      <w:pPr>
        <w:rPr>
          <w:sz w:val="18"/>
          <w:szCs w:val="18"/>
        </w:rPr>
      </w:pPr>
      <w:r w:rsidRPr="00F110C2">
        <w:rPr>
          <w:sz w:val="18"/>
          <w:szCs w:val="18"/>
        </w:rPr>
        <w:t>Tous droits réservés. Aucune partie de cette publication ne peut être reproduite, par quelque procédé que ce soit, sans l</w:t>
      </w:r>
      <w:r w:rsidR="00A17180" w:rsidRPr="00F110C2">
        <w:rPr>
          <w:sz w:val="18"/>
          <w:szCs w:val="18"/>
        </w:rPr>
        <w:t>'</w:t>
      </w:r>
      <w:r w:rsidRPr="00F110C2">
        <w:rPr>
          <w:sz w:val="18"/>
          <w:szCs w:val="18"/>
        </w:rPr>
        <w:t>accord écrit préalable de l</w:t>
      </w:r>
      <w:r w:rsidR="00A17180" w:rsidRPr="00F110C2">
        <w:rPr>
          <w:sz w:val="18"/>
          <w:szCs w:val="18"/>
        </w:rPr>
        <w:t>'</w:t>
      </w:r>
      <w:r w:rsidRPr="00F110C2">
        <w:rPr>
          <w:sz w:val="18"/>
          <w:szCs w:val="18"/>
        </w:rPr>
        <w:t>UIT.</w:t>
      </w:r>
    </w:p>
    <w:p w14:paraId="1759BD39" w14:textId="77777777" w:rsidR="00EB30DF" w:rsidRPr="00F110C2" w:rsidRDefault="00EB30DF" w:rsidP="00254EC9">
      <w:pPr>
        <w:spacing w:before="160"/>
        <w:rPr>
          <w:i/>
          <w:sz w:val="20"/>
        </w:rPr>
        <w:sectPr w:rsidR="00EB30DF" w:rsidRPr="00F110C2" w:rsidSect="00EB30DF">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68BCE156" w14:textId="27FBBC1A" w:rsidR="00EB30DF" w:rsidRPr="00F110C2" w:rsidRDefault="00EB30DF" w:rsidP="00254EC9">
      <w:pPr>
        <w:pStyle w:val="RecNo"/>
        <w:spacing w:before="0"/>
      </w:pPr>
      <w:bookmarkStart w:id="3" w:name="irecnoe"/>
      <w:bookmarkEnd w:id="3"/>
      <w:r w:rsidRPr="00F110C2">
        <w:lastRenderedPageBreak/>
        <w:t xml:space="preserve">RECOMMANDATION  </w:t>
      </w:r>
      <w:r w:rsidRPr="00F110C2">
        <w:rPr>
          <w:rStyle w:val="href"/>
        </w:rPr>
        <w:t>UIT-R  SM.</w:t>
      </w:r>
      <w:r w:rsidR="00A17180" w:rsidRPr="00F110C2">
        <w:rPr>
          <w:rStyle w:val="href"/>
        </w:rPr>
        <w:t>1541-7</w:t>
      </w:r>
      <w:bookmarkStart w:id="4" w:name="_Hlk190759881"/>
      <w:r w:rsidR="00CD45DB" w:rsidRPr="00F110C2">
        <w:rPr>
          <w:rStyle w:val="FootnoteReference"/>
        </w:rPr>
        <w:footnoteReference w:customMarkFollows="1" w:id="1"/>
        <w:t>*</w:t>
      </w:r>
      <w:bookmarkEnd w:id="4"/>
    </w:p>
    <w:p w14:paraId="5D7DAF72" w14:textId="77777777" w:rsidR="00CD45DB" w:rsidRPr="00F110C2" w:rsidRDefault="00CD45DB" w:rsidP="00254EC9">
      <w:pPr>
        <w:pStyle w:val="Rectitle"/>
      </w:pPr>
      <w:bookmarkStart w:id="5" w:name="_Hlk190759983"/>
      <w:r w:rsidRPr="00F110C2">
        <w:rPr>
          <w:iCs/>
        </w:rPr>
        <w:t>Rayonnements non désirés dans le domaine</w:t>
      </w:r>
      <w:r w:rsidRPr="00F110C2">
        <w:rPr>
          <w:iCs/>
        </w:rPr>
        <w:br/>
        <w:t>des émissions hors bande</w:t>
      </w:r>
      <w:r w:rsidRPr="00F110C2">
        <w:rPr>
          <w:rStyle w:val="FootnoteReference"/>
          <w:iCs/>
        </w:rPr>
        <w:footnoteReference w:customMarkFollows="1" w:id="2"/>
        <w:t>**</w:t>
      </w:r>
    </w:p>
    <w:p w14:paraId="39C09BCE" w14:textId="77777777" w:rsidR="00CD45DB" w:rsidRPr="00F110C2" w:rsidRDefault="00CD45DB" w:rsidP="00254EC9">
      <w:pPr>
        <w:pStyle w:val="Recdate"/>
        <w:rPr>
          <w:i/>
          <w:iCs/>
        </w:rPr>
      </w:pPr>
      <w:r w:rsidRPr="00F110C2">
        <w:rPr>
          <w:iCs/>
        </w:rPr>
        <w:t>(</w:t>
      </w:r>
      <w:r w:rsidRPr="00F110C2">
        <w:t>2001-2002-2006-01/2011-09/2011-2013-2015-2024</w:t>
      </w:r>
      <w:r w:rsidRPr="00F110C2">
        <w:rPr>
          <w:iCs/>
        </w:rPr>
        <w:t>)</w:t>
      </w:r>
    </w:p>
    <w:p w14:paraId="2D25FD30" w14:textId="77777777" w:rsidR="00CD45DB" w:rsidRPr="00F110C2" w:rsidRDefault="00CD45DB" w:rsidP="00254EC9">
      <w:pPr>
        <w:pStyle w:val="HeadingSum"/>
        <w:rPr>
          <w:lang w:val="fr-FR"/>
        </w:rPr>
      </w:pPr>
      <w:r w:rsidRPr="00F110C2">
        <w:rPr>
          <w:lang w:val="fr-FR"/>
        </w:rPr>
        <w:t>Domaine d'application</w:t>
      </w:r>
    </w:p>
    <w:p w14:paraId="256EDBA1" w14:textId="77777777" w:rsidR="00CD45DB" w:rsidRPr="00F110C2" w:rsidRDefault="00CD45DB" w:rsidP="00254EC9">
      <w:pPr>
        <w:pStyle w:val="Summary"/>
        <w:rPr>
          <w:lang w:val="fr-FR" w:eastAsia="ko-KR"/>
        </w:rPr>
      </w:pPr>
      <w:r w:rsidRPr="00F110C2">
        <w:rPr>
          <w:lang w:val="fr-FR" w:eastAsia="ko-KR"/>
        </w:rPr>
        <w:t>La présente Recommandation indique les limites des émissions dans le domaine des émissions hors bande pour les émetteurs fonctionnant entre 9 kHz et 300 GHz.</w:t>
      </w:r>
    </w:p>
    <w:p w14:paraId="28EC6404" w14:textId="77777777" w:rsidR="00CD45DB" w:rsidRPr="00F110C2" w:rsidRDefault="00CD45DB" w:rsidP="00254EC9">
      <w:pPr>
        <w:pStyle w:val="Headingb"/>
        <w:rPr>
          <w:lang w:eastAsia="ko-KR"/>
        </w:rPr>
      </w:pPr>
      <w:r w:rsidRPr="00F110C2">
        <w:rPr>
          <w:lang w:eastAsia="ko-KR"/>
        </w:rPr>
        <w:t>Mots clés</w:t>
      </w:r>
    </w:p>
    <w:p w14:paraId="0FC5AD98" w14:textId="77777777" w:rsidR="00CD45DB" w:rsidRPr="00F110C2" w:rsidRDefault="00CD45DB" w:rsidP="00254EC9">
      <w:r w:rsidRPr="00F110C2">
        <w:rPr>
          <w:lang w:eastAsia="ko-KR"/>
        </w:rPr>
        <w:t>Rayonnements non désirés, domaine des émissions hors bande, limites des émissions</w:t>
      </w:r>
    </w:p>
    <w:p w14:paraId="2DA16647" w14:textId="77777777" w:rsidR="00CD45DB" w:rsidRPr="00F110C2" w:rsidRDefault="00CD45DB" w:rsidP="00254EC9">
      <w:pPr>
        <w:pStyle w:val="Headingb"/>
      </w:pPr>
      <w:bookmarkStart w:id="6" w:name="lt_pId063"/>
      <w:r w:rsidRPr="00F110C2">
        <w:t>Abréviations</w:t>
      </w:r>
      <w:r w:rsidRPr="00F110C2">
        <w:rPr>
          <w:rFonts w:asciiTheme="majorBidi" w:hAnsiTheme="majorBidi" w:cstheme="majorBidi"/>
          <w:szCs w:val="24"/>
        </w:rPr>
        <w:t>/</w:t>
      </w:r>
      <w:r w:rsidRPr="00F110C2">
        <w:t>Glossa</w:t>
      </w:r>
      <w:bookmarkEnd w:id="6"/>
      <w:r w:rsidRPr="00F110C2">
        <w:t>ire</w:t>
      </w:r>
    </w:p>
    <w:p w14:paraId="23DD8544" w14:textId="77777777" w:rsidR="00CD45DB" w:rsidRPr="00F110C2" w:rsidRDefault="00CD45DB" w:rsidP="00254EC9">
      <w:pPr>
        <w:tabs>
          <w:tab w:val="clear" w:pos="794"/>
          <w:tab w:val="clear" w:pos="1191"/>
          <w:tab w:val="left" w:pos="1134"/>
        </w:tabs>
      </w:pPr>
      <w:r w:rsidRPr="00F110C2">
        <w:t>ABP</w:t>
      </w:r>
      <w:r w:rsidRPr="00F110C2">
        <w:tab/>
        <w:t>puissance dans la bande adjacente (</w:t>
      </w:r>
      <w:r w:rsidRPr="00F110C2">
        <w:rPr>
          <w:i/>
          <w:iCs/>
        </w:rPr>
        <w:t>adjacent band power</w:t>
      </w:r>
      <w:r w:rsidRPr="00F110C2">
        <w:t>)</w:t>
      </w:r>
    </w:p>
    <w:p w14:paraId="044E4285" w14:textId="77777777" w:rsidR="00CD45DB" w:rsidRPr="00F110C2" w:rsidRDefault="00CD45DB" w:rsidP="00254EC9">
      <w:pPr>
        <w:tabs>
          <w:tab w:val="clear" w:pos="794"/>
          <w:tab w:val="clear" w:pos="1191"/>
          <w:tab w:val="left" w:pos="1134"/>
        </w:tabs>
        <w:rPr>
          <w:szCs w:val="24"/>
        </w:rPr>
      </w:pPr>
      <w:r w:rsidRPr="00F110C2">
        <w:rPr>
          <w:szCs w:val="24"/>
        </w:rPr>
        <w:t>ABPR</w:t>
      </w:r>
      <w:r w:rsidRPr="00F110C2">
        <w:rPr>
          <w:szCs w:val="24"/>
        </w:rPr>
        <w:tab/>
        <w:t>rapport de puissance dans la bande adjacente (</w:t>
      </w:r>
      <w:r w:rsidRPr="00F110C2">
        <w:rPr>
          <w:i/>
          <w:iCs/>
          <w:szCs w:val="24"/>
        </w:rPr>
        <w:t>adjacent band power ratio</w:t>
      </w:r>
      <w:r w:rsidRPr="00F110C2">
        <w:rPr>
          <w:szCs w:val="24"/>
        </w:rPr>
        <w:t>)</w:t>
      </w:r>
    </w:p>
    <w:p w14:paraId="495AA05D" w14:textId="77777777" w:rsidR="00CD45DB" w:rsidRPr="00F110C2" w:rsidRDefault="00CD45DB" w:rsidP="00254EC9">
      <w:pPr>
        <w:tabs>
          <w:tab w:val="clear" w:pos="794"/>
          <w:tab w:val="clear" w:pos="1191"/>
          <w:tab w:val="left" w:pos="1134"/>
        </w:tabs>
        <w:rPr>
          <w:szCs w:val="24"/>
        </w:rPr>
      </w:pPr>
      <w:r w:rsidRPr="00F110C2">
        <w:rPr>
          <w:szCs w:val="24"/>
        </w:rPr>
        <w:t>ABW</w:t>
      </w:r>
      <w:r w:rsidRPr="00F110C2">
        <w:rPr>
          <w:szCs w:val="24"/>
        </w:rPr>
        <w:tab/>
        <w:t>largeur de bande autorisée (</w:t>
      </w:r>
      <w:r w:rsidRPr="00F110C2">
        <w:rPr>
          <w:i/>
          <w:iCs/>
          <w:szCs w:val="24"/>
        </w:rPr>
        <w:t>authorized bandwidth</w:t>
      </w:r>
      <w:r w:rsidRPr="00F110C2">
        <w:rPr>
          <w:szCs w:val="24"/>
        </w:rPr>
        <w:t>)</w:t>
      </w:r>
    </w:p>
    <w:p w14:paraId="34C6E488" w14:textId="77777777" w:rsidR="00CD45DB" w:rsidRPr="00F110C2" w:rsidRDefault="00CD45DB" w:rsidP="00254EC9">
      <w:pPr>
        <w:tabs>
          <w:tab w:val="clear" w:pos="794"/>
          <w:tab w:val="clear" w:pos="1191"/>
          <w:tab w:val="left" w:pos="1134"/>
        </w:tabs>
      </w:pPr>
      <w:r w:rsidRPr="00F110C2">
        <w:t>BR</w:t>
      </w:r>
      <w:r w:rsidRPr="00F110C2">
        <w:tab/>
        <w:t>Bureau des radiocommunications</w:t>
      </w:r>
    </w:p>
    <w:p w14:paraId="4D39F997" w14:textId="77777777" w:rsidR="00CD45DB" w:rsidRPr="00F110C2" w:rsidRDefault="00CD45DB" w:rsidP="00254EC9">
      <w:pPr>
        <w:tabs>
          <w:tab w:val="clear" w:pos="794"/>
          <w:tab w:val="clear" w:pos="1191"/>
          <w:tab w:val="left" w:pos="1134"/>
        </w:tabs>
      </w:pPr>
      <w:r w:rsidRPr="00F110C2">
        <w:t>CDR</w:t>
      </w:r>
      <w:r w:rsidRPr="00F110C2">
        <w:tab/>
        <w:t>radio numérique convergente (</w:t>
      </w:r>
      <w:r w:rsidRPr="00F110C2">
        <w:rPr>
          <w:i/>
          <w:iCs/>
        </w:rPr>
        <w:t>convergent digital radio</w:t>
      </w:r>
      <w:r w:rsidRPr="00F110C2">
        <w:t>)</w:t>
      </w:r>
    </w:p>
    <w:p w14:paraId="4428FAEF" w14:textId="77777777" w:rsidR="00CD45DB" w:rsidRPr="00F110C2" w:rsidRDefault="00CD45DB" w:rsidP="00254EC9">
      <w:pPr>
        <w:tabs>
          <w:tab w:val="clear" w:pos="794"/>
          <w:tab w:val="clear" w:pos="1191"/>
          <w:tab w:val="left" w:pos="1134"/>
        </w:tabs>
      </w:pPr>
      <w:r w:rsidRPr="00F110C2">
        <w:t>DRM</w:t>
      </w:r>
      <w:r w:rsidRPr="00F110C2">
        <w:tab/>
        <w:t>système de radiodiffusion numérique (</w:t>
      </w:r>
      <w:r w:rsidRPr="00F110C2">
        <w:rPr>
          <w:i/>
          <w:iCs/>
        </w:rPr>
        <w:t>Digital Radio Mondiale</w:t>
      </w:r>
      <w:r w:rsidRPr="00F110C2">
        <w:t>)</w:t>
      </w:r>
    </w:p>
    <w:p w14:paraId="732F7DEF" w14:textId="77777777" w:rsidR="00CD45DB" w:rsidRPr="00F110C2" w:rsidRDefault="00CD45DB" w:rsidP="00254EC9">
      <w:pPr>
        <w:tabs>
          <w:tab w:val="clear" w:pos="794"/>
          <w:tab w:val="clear" w:pos="1191"/>
          <w:tab w:val="left" w:pos="1134"/>
        </w:tabs>
        <w:rPr>
          <w:lang w:eastAsia="zh-CN"/>
        </w:rPr>
      </w:pPr>
      <w:r w:rsidRPr="00F110C2">
        <w:rPr>
          <w:lang w:eastAsia="zh-CN"/>
        </w:rPr>
        <w:t>OoB</w:t>
      </w:r>
      <w:r w:rsidRPr="00F110C2">
        <w:rPr>
          <w:lang w:eastAsia="zh-CN"/>
        </w:rPr>
        <w:tab/>
        <w:t>hors bande (</w:t>
      </w:r>
      <w:r w:rsidRPr="00F110C2">
        <w:rPr>
          <w:i/>
          <w:iCs/>
          <w:lang w:eastAsia="zh-CN"/>
        </w:rPr>
        <w:t>out-of-band</w:t>
      </w:r>
      <w:r w:rsidRPr="00F110C2">
        <w:rPr>
          <w:lang w:eastAsia="zh-CN"/>
        </w:rPr>
        <w:t>)</w:t>
      </w:r>
    </w:p>
    <w:p w14:paraId="7FFF353A" w14:textId="77777777" w:rsidR="00CD45DB" w:rsidRPr="00F110C2" w:rsidRDefault="00CD45DB" w:rsidP="00254EC9">
      <w:pPr>
        <w:tabs>
          <w:tab w:val="clear" w:pos="794"/>
          <w:tab w:val="clear" w:pos="1191"/>
          <w:tab w:val="left" w:pos="1134"/>
        </w:tabs>
        <w:rPr>
          <w:lang w:eastAsia="zh-CN"/>
        </w:rPr>
      </w:pPr>
      <w:r w:rsidRPr="00F110C2">
        <w:rPr>
          <w:lang w:eastAsia="zh-CN"/>
        </w:rPr>
        <w:t>RBW</w:t>
      </w:r>
      <w:r w:rsidRPr="00F110C2">
        <w:rPr>
          <w:lang w:eastAsia="zh-CN"/>
        </w:rPr>
        <w:tab/>
        <w:t>largeur de bande de référence (</w:t>
      </w:r>
      <w:r w:rsidRPr="00F110C2">
        <w:rPr>
          <w:i/>
          <w:iCs/>
          <w:lang w:eastAsia="zh-CN"/>
        </w:rPr>
        <w:t>reference bandwidth</w:t>
      </w:r>
      <w:r w:rsidRPr="00F110C2">
        <w:rPr>
          <w:lang w:eastAsia="zh-CN"/>
        </w:rPr>
        <w:t>)</w:t>
      </w:r>
    </w:p>
    <w:p w14:paraId="7CA9F890" w14:textId="77777777" w:rsidR="00CD45DB" w:rsidRPr="00F110C2" w:rsidRDefault="00CD45DB" w:rsidP="00254EC9">
      <w:pPr>
        <w:tabs>
          <w:tab w:val="clear" w:pos="794"/>
          <w:tab w:val="clear" w:pos="1191"/>
          <w:tab w:val="left" w:pos="1134"/>
        </w:tabs>
        <w:rPr>
          <w:lang w:eastAsia="zh-CN"/>
        </w:rPr>
      </w:pPr>
      <w:r w:rsidRPr="00F110C2">
        <w:rPr>
          <w:lang w:eastAsia="zh-CN"/>
        </w:rPr>
        <w:t>RR</w:t>
      </w:r>
      <w:r w:rsidRPr="00F110C2">
        <w:rPr>
          <w:lang w:eastAsia="zh-CN"/>
        </w:rPr>
        <w:tab/>
        <w:t>Règlement des radiocommunications (</w:t>
      </w:r>
      <w:r w:rsidRPr="00F110C2">
        <w:rPr>
          <w:i/>
          <w:iCs/>
          <w:lang w:eastAsia="zh-CN"/>
        </w:rPr>
        <w:t>Radio Regulations</w:t>
      </w:r>
      <w:r w:rsidRPr="00F110C2">
        <w:rPr>
          <w:lang w:eastAsia="zh-CN"/>
        </w:rPr>
        <w:t>)</w:t>
      </w:r>
    </w:p>
    <w:p w14:paraId="1FB1AE51" w14:textId="77777777" w:rsidR="00CD45DB" w:rsidRPr="00F110C2" w:rsidRDefault="00CD45DB" w:rsidP="00254EC9">
      <w:pPr>
        <w:tabs>
          <w:tab w:val="clear" w:pos="794"/>
          <w:tab w:val="clear" w:pos="1191"/>
          <w:tab w:val="left" w:pos="1134"/>
        </w:tabs>
        <w:rPr>
          <w:i/>
          <w:iCs/>
          <w:szCs w:val="24"/>
        </w:rPr>
      </w:pPr>
      <w:r w:rsidRPr="00F110C2">
        <w:rPr>
          <w:szCs w:val="24"/>
        </w:rPr>
        <w:t>SFS</w:t>
      </w:r>
      <w:r w:rsidRPr="00F110C2">
        <w:rPr>
          <w:szCs w:val="24"/>
        </w:rPr>
        <w:tab/>
        <w:t>service fixe par satellite (</w:t>
      </w:r>
      <w:r w:rsidRPr="00F110C2">
        <w:rPr>
          <w:i/>
          <w:iCs/>
          <w:szCs w:val="24"/>
        </w:rPr>
        <w:t>fixed-satellite service</w:t>
      </w:r>
      <w:r w:rsidRPr="00F110C2">
        <w:rPr>
          <w:szCs w:val="24"/>
        </w:rPr>
        <w:t>)</w:t>
      </w:r>
    </w:p>
    <w:p w14:paraId="7E791298" w14:textId="77777777" w:rsidR="00CD45DB" w:rsidRPr="00F110C2" w:rsidRDefault="00CD45DB" w:rsidP="00254EC9">
      <w:pPr>
        <w:tabs>
          <w:tab w:val="clear" w:pos="794"/>
          <w:tab w:val="clear" w:pos="1191"/>
          <w:tab w:val="left" w:pos="1134"/>
        </w:tabs>
        <w:rPr>
          <w:szCs w:val="24"/>
        </w:rPr>
      </w:pPr>
      <w:r w:rsidRPr="00F110C2">
        <w:rPr>
          <w:szCs w:val="24"/>
        </w:rPr>
        <w:t>SMS</w:t>
      </w:r>
      <w:r w:rsidRPr="00F110C2">
        <w:rPr>
          <w:szCs w:val="24"/>
        </w:rPr>
        <w:tab/>
        <w:t>service mobile par satellite (</w:t>
      </w:r>
      <w:r w:rsidRPr="00F110C2">
        <w:rPr>
          <w:i/>
          <w:iCs/>
          <w:szCs w:val="24"/>
        </w:rPr>
        <w:t>mobile-satellite service</w:t>
      </w:r>
      <w:r w:rsidRPr="00F110C2">
        <w:rPr>
          <w:szCs w:val="24"/>
        </w:rPr>
        <w:t>)</w:t>
      </w:r>
    </w:p>
    <w:p w14:paraId="05CB41C4" w14:textId="02734401" w:rsidR="00CD45DB" w:rsidRPr="00F110C2" w:rsidRDefault="00CD45DB" w:rsidP="00254EC9">
      <w:pPr>
        <w:pStyle w:val="Headingb"/>
        <w:rPr>
          <w:rFonts w:eastAsia="SimSun"/>
        </w:rPr>
      </w:pPr>
      <w:bookmarkStart w:id="7" w:name="lt_pId087"/>
      <w:bookmarkStart w:id="8" w:name="_Hlk190862978"/>
      <w:r w:rsidRPr="00F110C2">
        <w:rPr>
          <w:rFonts w:eastAsia="SimSun"/>
        </w:rPr>
        <w:t>Recommandations et Rapports</w:t>
      </w:r>
      <w:bookmarkEnd w:id="7"/>
      <w:r w:rsidRPr="00F110C2">
        <w:rPr>
          <w:rFonts w:eastAsia="SimSun"/>
        </w:rPr>
        <w:t xml:space="preserve"> UIT connexes</w:t>
      </w:r>
    </w:p>
    <w:bookmarkEnd w:id="8"/>
    <w:p w14:paraId="4196F669" w14:textId="745D3F3E" w:rsidR="00181532" w:rsidRPr="00F110C2" w:rsidRDefault="00181532" w:rsidP="00181532">
      <w:pPr>
        <w:pStyle w:val="Reftext"/>
        <w:rPr>
          <w:szCs w:val="22"/>
        </w:rPr>
      </w:pPr>
      <w:r w:rsidRPr="00F110C2">
        <w:rPr>
          <w:szCs w:val="22"/>
        </w:rPr>
        <w:t xml:space="preserve">Recommandation </w:t>
      </w:r>
      <w:hyperlink r:id="rId15" w:history="1">
        <w:r w:rsidRPr="00F110C2">
          <w:rPr>
            <w:rStyle w:val="Hyperlink"/>
            <w:color w:val="auto"/>
            <w:szCs w:val="22"/>
            <w:u w:val="none"/>
          </w:rPr>
          <w:t>UIT-R SM.328</w:t>
        </w:r>
      </w:hyperlink>
      <w:r w:rsidR="00B41FF1" w:rsidRPr="00F110C2">
        <w:t xml:space="preserve"> </w:t>
      </w:r>
      <w:r w:rsidR="00B41FF1" w:rsidRPr="00F110C2">
        <w:t>–</w:t>
      </w:r>
      <w:r w:rsidRPr="00F110C2">
        <w:rPr>
          <w:szCs w:val="22"/>
        </w:rPr>
        <w:t xml:space="preserve"> Spectres et largeurs de bande des émissions</w:t>
      </w:r>
    </w:p>
    <w:p w14:paraId="3B67E46C" w14:textId="2659A610" w:rsidR="004401E0" w:rsidRPr="00F110C2" w:rsidRDefault="004401E0" w:rsidP="004401E0">
      <w:pPr>
        <w:pStyle w:val="Reftext"/>
        <w:rPr>
          <w:szCs w:val="22"/>
        </w:rPr>
      </w:pPr>
      <w:r w:rsidRPr="00F110C2">
        <w:rPr>
          <w:szCs w:val="22"/>
        </w:rPr>
        <w:t xml:space="preserve">Recommandation </w:t>
      </w:r>
      <w:hyperlink r:id="rId16" w:history="1">
        <w:r w:rsidRPr="00F110C2">
          <w:rPr>
            <w:rStyle w:val="Hyperlink"/>
            <w:color w:val="auto"/>
            <w:szCs w:val="22"/>
            <w:u w:val="none"/>
          </w:rPr>
          <w:t>UIT-R SM.329</w:t>
        </w:r>
      </w:hyperlink>
      <w:r w:rsidRPr="00F110C2">
        <w:rPr>
          <w:szCs w:val="22"/>
        </w:rPr>
        <w:t xml:space="preserve"> </w:t>
      </w:r>
      <w:r w:rsidR="00B41FF1" w:rsidRPr="00F110C2">
        <w:rPr>
          <w:szCs w:val="22"/>
        </w:rPr>
        <w:t>–</w:t>
      </w:r>
      <w:r w:rsidRPr="00F110C2">
        <w:rPr>
          <w:szCs w:val="22"/>
        </w:rPr>
        <w:t xml:space="preserve"> Rayonnements non désirés dans le domaine des rayonnements non essentiels</w:t>
      </w:r>
    </w:p>
    <w:p w14:paraId="4B4E6265" w14:textId="53F06B68" w:rsidR="004401E0" w:rsidRPr="00F110C2" w:rsidRDefault="004401E0" w:rsidP="004401E0">
      <w:pPr>
        <w:pStyle w:val="Reftext"/>
        <w:rPr>
          <w:szCs w:val="22"/>
        </w:rPr>
      </w:pPr>
      <w:r w:rsidRPr="00F110C2">
        <w:rPr>
          <w:szCs w:val="22"/>
        </w:rPr>
        <w:t xml:space="preserve">Recommandation </w:t>
      </w:r>
      <w:hyperlink r:id="rId17" w:history="1">
        <w:r w:rsidRPr="00F110C2">
          <w:rPr>
            <w:rStyle w:val="Hyperlink"/>
            <w:color w:val="auto"/>
            <w:szCs w:val="22"/>
            <w:u w:val="none"/>
          </w:rPr>
          <w:t>UIT-R P.530</w:t>
        </w:r>
      </w:hyperlink>
      <w:r w:rsidRPr="00F110C2">
        <w:rPr>
          <w:szCs w:val="22"/>
        </w:rPr>
        <w:t xml:space="preserve"> </w:t>
      </w:r>
      <w:r w:rsidR="00B41FF1" w:rsidRPr="00F110C2">
        <w:rPr>
          <w:szCs w:val="22"/>
        </w:rPr>
        <w:t>–</w:t>
      </w:r>
      <w:r w:rsidRPr="00F110C2">
        <w:rPr>
          <w:szCs w:val="22"/>
        </w:rPr>
        <w:t xml:space="preserve"> Données de propagation et méthodes de prévision nécessaires pour la conception de faisceaux hertziens à visibilité directe de Terre</w:t>
      </w:r>
    </w:p>
    <w:p w14:paraId="09910CCA" w14:textId="69FACCD1" w:rsidR="004401E0" w:rsidRPr="00F110C2" w:rsidRDefault="004401E0" w:rsidP="004401E0">
      <w:pPr>
        <w:pStyle w:val="Reftext"/>
        <w:rPr>
          <w:szCs w:val="22"/>
        </w:rPr>
      </w:pPr>
      <w:r w:rsidRPr="00F110C2">
        <w:rPr>
          <w:szCs w:val="22"/>
        </w:rPr>
        <w:t xml:space="preserve">Recommandation </w:t>
      </w:r>
      <w:hyperlink r:id="rId18" w:history="1">
        <w:r w:rsidRPr="00F110C2">
          <w:rPr>
            <w:rStyle w:val="Hyperlink"/>
            <w:color w:val="auto"/>
            <w:szCs w:val="22"/>
            <w:u w:val="none"/>
          </w:rPr>
          <w:t>UIT-R F.746</w:t>
        </w:r>
      </w:hyperlink>
      <w:r w:rsidRPr="00F110C2">
        <w:rPr>
          <w:szCs w:val="22"/>
        </w:rPr>
        <w:t xml:space="preserve"> </w:t>
      </w:r>
      <w:r w:rsidR="00B41FF1" w:rsidRPr="00F110C2">
        <w:rPr>
          <w:szCs w:val="22"/>
        </w:rPr>
        <w:t>–</w:t>
      </w:r>
      <w:r w:rsidRPr="00F110C2">
        <w:rPr>
          <w:szCs w:val="22"/>
        </w:rPr>
        <w:t xml:space="preserve"> Disposition des fréquences radioélectriques pour les systèmes du service fixe</w:t>
      </w:r>
    </w:p>
    <w:p w14:paraId="1CA45816" w14:textId="2000639F" w:rsidR="004401E0" w:rsidRPr="00F110C2" w:rsidRDefault="004401E0" w:rsidP="004401E0">
      <w:pPr>
        <w:pStyle w:val="Reftext"/>
        <w:rPr>
          <w:szCs w:val="22"/>
        </w:rPr>
      </w:pPr>
      <w:r w:rsidRPr="00F110C2">
        <w:rPr>
          <w:szCs w:val="22"/>
        </w:rPr>
        <w:t xml:space="preserve">Recommandation </w:t>
      </w:r>
      <w:hyperlink r:id="rId19" w:history="1">
        <w:r w:rsidRPr="00F110C2">
          <w:rPr>
            <w:rStyle w:val="Hyperlink"/>
            <w:color w:val="auto"/>
            <w:szCs w:val="22"/>
            <w:u w:val="none"/>
          </w:rPr>
          <w:t>UIT-R F.748</w:t>
        </w:r>
      </w:hyperlink>
      <w:r w:rsidRPr="00F110C2">
        <w:rPr>
          <w:szCs w:val="22"/>
        </w:rPr>
        <w:t xml:space="preserve"> </w:t>
      </w:r>
      <w:r w:rsidR="00B41FF1" w:rsidRPr="00F110C2">
        <w:rPr>
          <w:szCs w:val="22"/>
        </w:rPr>
        <w:t>–</w:t>
      </w:r>
      <w:r w:rsidRPr="00F110C2">
        <w:rPr>
          <w:szCs w:val="22"/>
        </w:rPr>
        <w:t xml:space="preserve"> Disposition des canaux radioélectriques pour les systèmes du service fixe fonctionnant dans les bandes de fréquences des 25, 26 et 28 GHz</w:t>
      </w:r>
    </w:p>
    <w:p w14:paraId="67D3FF06" w14:textId="2B480AA2" w:rsidR="004401E0" w:rsidRPr="00F110C2" w:rsidRDefault="004401E0" w:rsidP="004401E0">
      <w:pPr>
        <w:pStyle w:val="Reftext"/>
        <w:rPr>
          <w:szCs w:val="22"/>
        </w:rPr>
      </w:pPr>
      <w:r w:rsidRPr="00F110C2">
        <w:rPr>
          <w:szCs w:val="22"/>
        </w:rPr>
        <w:lastRenderedPageBreak/>
        <w:t xml:space="preserve">Recommandation </w:t>
      </w:r>
      <w:hyperlink r:id="rId20" w:history="1">
        <w:r w:rsidRPr="00F110C2">
          <w:rPr>
            <w:rStyle w:val="Hyperlink"/>
            <w:color w:val="auto"/>
            <w:szCs w:val="22"/>
            <w:u w:val="none"/>
          </w:rPr>
          <w:t>UIT-R F.749</w:t>
        </w:r>
      </w:hyperlink>
      <w:r w:rsidRPr="00F110C2">
        <w:rPr>
          <w:szCs w:val="22"/>
        </w:rPr>
        <w:t xml:space="preserve"> </w:t>
      </w:r>
      <w:r w:rsidR="00B41FF1" w:rsidRPr="00F110C2">
        <w:rPr>
          <w:szCs w:val="22"/>
        </w:rPr>
        <w:t>–</w:t>
      </w:r>
      <w:r w:rsidRPr="00F110C2">
        <w:rPr>
          <w:szCs w:val="22"/>
        </w:rPr>
        <w:t xml:space="preserve"> Disposition des fréquences radioélectriques pour les systèmes du service fixe fonctionnant dans les sous bandes de la bande 36-40,5 GHz</w:t>
      </w:r>
    </w:p>
    <w:p w14:paraId="5FE8ED20" w14:textId="199E05C3" w:rsidR="008845EB" w:rsidRPr="00F110C2" w:rsidRDefault="008845EB" w:rsidP="008845EB">
      <w:pPr>
        <w:pStyle w:val="Reftext"/>
        <w:rPr>
          <w:szCs w:val="22"/>
        </w:rPr>
      </w:pPr>
      <w:r w:rsidRPr="00F110C2">
        <w:rPr>
          <w:szCs w:val="22"/>
        </w:rPr>
        <w:t xml:space="preserve">Recommandation </w:t>
      </w:r>
      <w:hyperlink r:id="rId21" w:history="1">
        <w:r w:rsidRPr="00F110C2">
          <w:rPr>
            <w:rStyle w:val="Hyperlink"/>
            <w:color w:val="auto"/>
            <w:szCs w:val="22"/>
            <w:u w:val="none"/>
          </w:rPr>
          <w:t>UIT-R SM.853</w:t>
        </w:r>
      </w:hyperlink>
      <w:r w:rsidRPr="00F110C2">
        <w:rPr>
          <w:szCs w:val="22"/>
        </w:rPr>
        <w:t xml:space="preserve"> </w:t>
      </w:r>
      <w:r w:rsidR="00B41FF1" w:rsidRPr="00F110C2">
        <w:rPr>
          <w:szCs w:val="22"/>
        </w:rPr>
        <w:t>–</w:t>
      </w:r>
      <w:r w:rsidRPr="00F110C2">
        <w:rPr>
          <w:szCs w:val="22"/>
        </w:rPr>
        <w:t xml:space="preserve"> Largeur de bande nécessaire</w:t>
      </w:r>
    </w:p>
    <w:p w14:paraId="78CD5151" w14:textId="368E6209" w:rsidR="00096852" w:rsidRPr="00F110C2" w:rsidRDefault="00096852" w:rsidP="00254EC9">
      <w:pPr>
        <w:pStyle w:val="Reftext"/>
        <w:rPr>
          <w:szCs w:val="22"/>
        </w:rPr>
      </w:pPr>
      <w:r w:rsidRPr="00F110C2">
        <w:rPr>
          <w:szCs w:val="22"/>
        </w:rPr>
        <w:t xml:space="preserve">Recommandation </w:t>
      </w:r>
      <w:hyperlink r:id="rId22" w:history="1">
        <w:r w:rsidRPr="00F110C2">
          <w:rPr>
            <w:rStyle w:val="Hyperlink"/>
            <w:color w:val="auto"/>
            <w:szCs w:val="22"/>
            <w:u w:val="none"/>
          </w:rPr>
          <w:t>UIT-R BS.1114</w:t>
        </w:r>
      </w:hyperlink>
      <w:r w:rsidRPr="00F110C2">
        <w:rPr>
          <w:szCs w:val="22"/>
        </w:rPr>
        <w:t xml:space="preserve"> </w:t>
      </w:r>
      <w:r w:rsidR="00B41FF1" w:rsidRPr="00F110C2">
        <w:rPr>
          <w:szCs w:val="22"/>
        </w:rPr>
        <w:t>–</w:t>
      </w:r>
      <w:r w:rsidRPr="00F110C2">
        <w:rPr>
          <w:szCs w:val="22"/>
        </w:rPr>
        <w:t xml:space="preserve"> Systèmes de radiodiffusion sonore numérique de Terre à destination de récepteurs fixes, portatifs ou placés à bord de véhicules fonctionnant dans la gamme de fréquences 30</w:t>
      </w:r>
      <w:r w:rsidRPr="00F110C2">
        <w:rPr>
          <w:szCs w:val="22"/>
        </w:rPr>
        <w:noBreakHyphen/>
        <w:t>3 000 MHz</w:t>
      </w:r>
    </w:p>
    <w:p w14:paraId="16E5E69D" w14:textId="1B16322F" w:rsidR="008845EB" w:rsidRPr="00F110C2" w:rsidRDefault="008845EB" w:rsidP="008845EB">
      <w:pPr>
        <w:pStyle w:val="Reftext"/>
        <w:rPr>
          <w:szCs w:val="22"/>
        </w:rPr>
      </w:pPr>
      <w:r w:rsidRPr="00F110C2">
        <w:rPr>
          <w:szCs w:val="22"/>
        </w:rPr>
        <w:t xml:space="preserve">Recommandation </w:t>
      </w:r>
      <w:hyperlink r:id="rId23" w:history="1">
        <w:r w:rsidRPr="00F110C2">
          <w:rPr>
            <w:rStyle w:val="Hyperlink"/>
            <w:color w:val="auto"/>
            <w:szCs w:val="22"/>
            <w:u w:val="none"/>
          </w:rPr>
          <w:t>UIT-R SM.1138</w:t>
        </w:r>
      </w:hyperlink>
      <w:r w:rsidRPr="00F110C2">
        <w:rPr>
          <w:szCs w:val="22"/>
        </w:rPr>
        <w:t xml:space="preserve"> </w:t>
      </w:r>
      <w:r w:rsidR="00B41FF1" w:rsidRPr="00F110C2">
        <w:rPr>
          <w:szCs w:val="22"/>
        </w:rPr>
        <w:t>–</w:t>
      </w:r>
      <w:r w:rsidRPr="00F110C2">
        <w:rPr>
          <w:szCs w:val="22"/>
        </w:rPr>
        <w:t xml:space="preserve"> Détermination des largeurs de bande nécessaires, exemples de calcul de la largeur de bande nécessaire et exemples connexes de désignation des émissions</w:t>
      </w:r>
    </w:p>
    <w:p w14:paraId="13B5AE7A" w14:textId="58F26BB0" w:rsidR="008845EB" w:rsidRPr="00F110C2" w:rsidRDefault="008845EB" w:rsidP="008845EB">
      <w:pPr>
        <w:pStyle w:val="Reftext"/>
        <w:rPr>
          <w:szCs w:val="22"/>
        </w:rPr>
      </w:pPr>
      <w:r w:rsidRPr="00F110C2">
        <w:rPr>
          <w:szCs w:val="22"/>
        </w:rPr>
        <w:t xml:space="preserve">Recommandation </w:t>
      </w:r>
      <w:hyperlink r:id="rId24" w:history="1">
        <w:r w:rsidRPr="00F110C2">
          <w:rPr>
            <w:rStyle w:val="Hyperlink"/>
            <w:color w:val="auto"/>
            <w:szCs w:val="22"/>
            <w:u w:val="none"/>
          </w:rPr>
          <w:t>UIT-R M.1177</w:t>
        </w:r>
      </w:hyperlink>
      <w:r w:rsidRPr="00F110C2">
        <w:rPr>
          <w:szCs w:val="22"/>
        </w:rPr>
        <w:t xml:space="preserve"> </w:t>
      </w:r>
      <w:r w:rsidR="00B41FF1" w:rsidRPr="00F110C2">
        <w:rPr>
          <w:szCs w:val="22"/>
        </w:rPr>
        <w:t>–</w:t>
      </w:r>
      <w:r w:rsidRPr="00F110C2">
        <w:rPr>
          <w:szCs w:val="22"/>
        </w:rPr>
        <w:t xml:space="preserve"> Techniques à utiliser pour la mesure des rayonnements non désirés des systèmes radar</w:t>
      </w:r>
    </w:p>
    <w:p w14:paraId="11398D17" w14:textId="73B0485C" w:rsidR="008845EB" w:rsidRPr="00F110C2" w:rsidRDefault="008845EB" w:rsidP="008845EB">
      <w:pPr>
        <w:pStyle w:val="Reftext"/>
        <w:rPr>
          <w:szCs w:val="22"/>
        </w:rPr>
      </w:pPr>
      <w:r w:rsidRPr="00F110C2">
        <w:rPr>
          <w:szCs w:val="22"/>
        </w:rPr>
        <w:t xml:space="preserve">Recommandation </w:t>
      </w:r>
      <w:hyperlink r:id="rId25" w:history="1">
        <w:r w:rsidRPr="00F110C2">
          <w:rPr>
            <w:rStyle w:val="Hyperlink"/>
            <w:color w:val="auto"/>
            <w:szCs w:val="22"/>
            <w:u w:val="none"/>
          </w:rPr>
          <w:t>UIT-R BT.1306</w:t>
        </w:r>
      </w:hyperlink>
      <w:r w:rsidRPr="00F110C2">
        <w:rPr>
          <w:szCs w:val="22"/>
        </w:rPr>
        <w:t xml:space="preserve"> </w:t>
      </w:r>
      <w:r w:rsidR="00B41FF1" w:rsidRPr="00F110C2">
        <w:rPr>
          <w:szCs w:val="22"/>
        </w:rPr>
        <w:t>–</w:t>
      </w:r>
      <w:r w:rsidRPr="00F110C2">
        <w:rPr>
          <w:szCs w:val="22"/>
        </w:rPr>
        <w:t xml:space="preserve"> Méthodes de correction d'erreur, de mise en trame des données, de modulation et d'émission pour la radiodiffusion télévisuelle numérique de Terre</w:t>
      </w:r>
    </w:p>
    <w:p w14:paraId="33831E9C" w14:textId="21013065" w:rsidR="008845EB" w:rsidRPr="00F110C2" w:rsidRDefault="008845EB" w:rsidP="008845EB">
      <w:pPr>
        <w:pStyle w:val="Reftext"/>
        <w:rPr>
          <w:szCs w:val="22"/>
        </w:rPr>
      </w:pPr>
      <w:r w:rsidRPr="00F110C2">
        <w:rPr>
          <w:szCs w:val="22"/>
        </w:rPr>
        <w:t xml:space="preserve">Recommandation </w:t>
      </w:r>
      <w:hyperlink r:id="rId26" w:history="1">
        <w:r w:rsidRPr="00F110C2">
          <w:rPr>
            <w:rStyle w:val="Hyperlink"/>
            <w:color w:val="auto"/>
            <w:szCs w:val="22"/>
            <w:u w:val="none"/>
          </w:rPr>
          <w:t>UIT-R M.1399</w:t>
        </w:r>
      </w:hyperlink>
      <w:r w:rsidRPr="00F110C2">
        <w:rPr>
          <w:szCs w:val="22"/>
        </w:rPr>
        <w:t xml:space="preserve"> </w:t>
      </w:r>
      <w:r w:rsidR="00B41FF1" w:rsidRPr="00F110C2">
        <w:rPr>
          <w:szCs w:val="22"/>
        </w:rPr>
        <w:t>–</w:t>
      </w:r>
      <w:r w:rsidRPr="00F110C2">
        <w:rPr>
          <w:szCs w:val="22"/>
        </w:rPr>
        <w:t xml:space="preserve"> Terminologie relative aux accès hertziens</w:t>
      </w:r>
    </w:p>
    <w:p w14:paraId="6461C091" w14:textId="305B50E8" w:rsidR="008845EB" w:rsidRPr="00F110C2" w:rsidRDefault="008845EB" w:rsidP="008845EB">
      <w:pPr>
        <w:pStyle w:val="Reftext"/>
        <w:rPr>
          <w:szCs w:val="22"/>
        </w:rPr>
      </w:pPr>
      <w:r w:rsidRPr="00F110C2">
        <w:rPr>
          <w:szCs w:val="22"/>
        </w:rPr>
        <w:t xml:space="preserve">Recommandation </w:t>
      </w:r>
      <w:hyperlink r:id="rId27" w:history="1">
        <w:r w:rsidRPr="00F110C2">
          <w:rPr>
            <w:rStyle w:val="Hyperlink"/>
            <w:color w:val="auto"/>
            <w:szCs w:val="22"/>
            <w:u w:val="none"/>
          </w:rPr>
          <w:t>UIT-R F.1488</w:t>
        </w:r>
      </w:hyperlink>
      <w:r w:rsidRPr="00F110C2">
        <w:rPr>
          <w:szCs w:val="22"/>
        </w:rPr>
        <w:t xml:space="preserve"> </w:t>
      </w:r>
      <w:r w:rsidR="00B41FF1" w:rsidRPr="00F110C2">
        <w:rPr>
          <w:szCs w:val="22"/>
        </w:rPr>
        <w:t>–</w:t>
      </w:r>
      <w:r w:rsidRPr="00F110C2">
        <w:rPr>
          <w:szCs w:val="22"/>
        </w:rPr>
        <w:t xml:space="preserve"> Dispositions de blocs de fréquences pour les systèmes d'accès hertzien fixe dans la gamme 3 400-3 800 MHz</w:t>
      </w:r>
    </w:p>
    <w:p w14:paraId="16D15AEF" w14:textId="1CA8230D" w:rsidR="008845EB" w:rsidRPr="00F110C2" w:rsidRDefault="008845EB" w:rsidP="008845EB">
      <w:pPr>
        <w:pStyle w:val="Reftext"/>
        <w:rPr>
          <w:szCs w:val="22"/>
        </w:rPr>
      </w:pPr>
      <w:r w:rsidRPr="00F110C2">
        <w:rPr>
          <w:szCs w:val="22"/>
        </w:rPr>
        <w:t xml:space="preserve">Recommandation </w:t>
      </w:r>
      <w:hyperlink r:id="rId28" w:history="1">
        <w:r w:rsidRPr="00F110C2">
          <w:rPr>
            <w:rStyle w:val="Hyperlink"/>
            <w:color w:val="auto"/>
            <w:szCs w:val="22"/>
            <w:u w:val="none"/>
          </w:rPr>
          <w:t>UIT-R SM.1539</w:t>
        </w:r>
      </w:hyperlink>
      <w:r w:rsidRPr="00F110C2">
        <w:rPr>
          <w:szCs w:val="22"/>
        </w:rPr>
        <w:t xml:space="preserve"> </w:t>
      </w:r>
      <w:r w:rsidR="00B41FF1" w:rsidRPr="00F110C2">
        <w:rPr>
          <w:szCs w:val="22"/>
        </w:rPr>
        <w:t>–</w:t>
      </w:r>
      <w:r w:rsidRPr="00F110C2">
        <w:rPr>
          <w:szCs w:val="22"/>
        </w:rPr>
        <w:t xml:space="preserve"> Variation de la frontière entre le domaine des émissions hors bande et le domaine des rayonnements non essentiels dont il faut tenir compte dans l'application des Recommandations UIT-R SM.1541 et UIT</w:t>
      </w:r>
      <w:r w:rsidRPr="00F110C2">
        <w:rPr>
          <w:szCs w:val="22"/>
        </w:rPr>
        <w:noBreakHyphen/>
        <w:t>R SM.329</w:t>
      </w:r>
    </w:p>
    <w:p w14:paraId="7CBEECA9" w14:textId="5CF34788" w:rsidR="008845EB" w:rsidRPr="00F110C2" w:rsidRDefault="008845EB" w:rsidP="008845EB">
      <w:pPr>
        <w:pStyle w:val="Reftext"/>
        <w:rPr>
          <w:szCs w:val="22"/>
        </w:rPr>
      </w:pPr>
      <w:r w:rsidRPr="00F110C2">
        <w:rPr>
          <w:szCs w:val="22"/>
        </w:rPr>
        <w:t xml:space="preserve">Recommandation </w:t>
      </w:r>
      <w:hyperlink r:id="rId29" w:history="1">
        <w:r w:rsidRPr="00F110C2">
          <w:rPr>
            <w:rStyle w:val="Hyperlink"/>
            <w:color w:val="auto"/>
            <w:szCs w:val="22"/>
            <w:u w:val="none"/>
          </w:rPr>
          <w:t>UIT-R SM.1540</w:t>
        </w:r>
      </w:hyperlink>
      <w:r w:rsidRPr="00F110C2">
        <w:rPr>
          <w:szCs w:val="22"/>
        </w:rPr>
        <w:t xml:space="preserve"> </w:t>
      </w:r>
      <w:r w:rsidR="00B41FF1" w:rsidRPr="00F110C2">
        <w:rPr>
          <w:szCs w:val="22"/>
        </w:rPr>
        <w:t>–</w:t>
      </w:r>
      <w:r w:rsidRPr="00F110C2">
        <w:rPr>
          <w:szCs w:val="22"/>
        </w:rPr>
        <w:t xml:space="preserve"> Rayonnements non désirés du domaine des émissions hors bande tombant dans les bandes adjacentes attribuées</w:t>
      </w:r>
    </w:p>
    <w:p w14:paraId="2E42F4E5" w14:textId="76411A92" w:rsidR="00096852" w:rsidRPr="00F110C2" w:rsidRDefault="00096852" w:rsidP="00254EC9">
      <w:pPr>
        <w:pStyle w:val="Reftext"/>
        <w:rPr>
          <w:szCs w:val="22"/>
        </w:rPr>
      </w:pPr>
      <w:r w:rsidRPr="00F110C2">
        <w:rPr>
          <w:szCs w:val="22"/>
        </w:rPr>
        <w:t xml:space="preserve">Recommandation </w:t>
      </w:r>
      <w:hyperlink r:id="rId30" w:history="1">
        <w:r w:rsidRPr="00F110C2">
          <w:rPr>
            <w:rStyle w:val="Hyperlink"/>
            <w:color w:val="auto"/>
            <w:szCs w:val="22"/>
            <w:u w:val="none"/>
          </w:rPr>
          <w:t>UIT-R BS.1615</w:t>
        </w:r>
      </w:hyperlink>
      <w:r w:rsidRPr="00F110C2">
        <w:rPr>
          <w:szCs w:val="22"/>
        </w:rPr>
        <w:t xml:space="preserve"> </w:t>
      </w:r>
      <w:r w:rsidR="00B41FF1" w:rsidRPr="00F110C2">
        <w:rPr>
          <w:szCs w:val="22"/>
        </w:rPr>
        <w:t>–</w:t>
      </w:r>
      <w:r w:rsidRPr="00F110C2">
        <w:rPr>
          <w:szCs w:val="22"/>
        </w:rPr>
        <w:t xml:space="preserve"> «Paramètres de planification» pour la radiodiffusion sonore numérique aux fréquences inférieures à 30 MHz</w:t>
      </w:r>
    </w:p>
    <w:p w14:paraId="4548F5B6" w14:textId="71E4D560" w:rsidR="00C4009E" w:rsidRPr="00F110C2" w:rsidRDefault="00C4009E" w:rsidP="00C4009E">
      <w:pPr>
        <w:pStyle w:val="Reftext"/>
      </w:pPr>
      <w:r w:rsidRPr="00F110C2">
        <w:rPr>
          <w:szCs w:val="22"/>
        </w:rPr>
        <w:t xml:space="preserve">Rapport </w:t>
      </w:r>
      <w:hyperlink r:id="rId31" w:history="1">
        <w:r w:rsidRPr="00F110C2">
          <w:rPr>
            <w:rStyle w:val="Hyperlink"/>
            <w:color w:val="auto"/>
            <w:szCs w:val="22"/>
            <w:u w:val="none"/>
          </w:rPr>
          <w:t>UIT-R SM.2048</w:t>
        </w:r>
      </w:hyperlink>
      <w:r w:rsidRPr="00F110C2">
        <w:rPr>
          <w:szCs w:val="22"/>
        </w:rPr>
        <w:t xml:space="preserve"> </w:t>
      </w:r>
      <w:r w:rsidR="00B41FF1" w:rsidRPr="00F110C2">
        <w:rPr>
          <w:szCs w:val="22"/>
        </w:rPr>
        <w:t>–</w:t>
      </w:r>
      <w:r w:rsidRPr="00F110C2">
        <w:rPr>
          <w:szCs w:val="22"/>
        </w:rPr>
        <w:t xml:space="preserve"> Utilisation du critère de la largeur de bande à x dB pour la détermination des propriétés spectrales d'un émetteur dans le domaine des émissions hors bande</w:t>
      </w:r>
    </w:p>
    <w:p w14:paraId="0BA32151" w14:textId="4914D977" w:rsidR="003431EE" w:rsidRPr="00F110C2" w:rsidRDefault="003431EE" w:rsidP="00254EC9">
      <w:pPr>
        <w:pStyle w:val="Reftext"/>
        <w:rPr>
          <w:szCs w:val="22"/>
        </w:rPr>
      </w:pPr>
      <w:r w:rsidRPr="00F110C2">
        <w:rPr>
          <w:szCs w:val="22"/>
        </w:rPr>
        <w:t xml:space="preserve">Recommandation </w:t>
      </w:r>
      <w:hyperlink r:id="rId32" w:history="1">
        <w:r w:rsidRPr="00F110C2">
          <w:rPr>
            <w:rStyle w:val="Hyperlink"/>
            <w:color w:val="auto"/>
            <w:szCs w:val="22"/>
            <w:u w:val="none"/>
          </w:rPr>
          <w:t>UIT-T O.153</w:t>
        </w:r>
      </w:hyperlink>
      <w:r w:rsidRPr="00F110C2">
        <w:rPr>
          <w:szCs w:val="22"/>
        </w:rPr>
        <w:t xml:space="preserve"> </w:t>
      </w:r>
      <w:r w:rsidR="00B41FF1" w:rsidRPr="00F110C2">
        <w:rPr>
          <w:szCs w:val="22"/>
        </w:rPr>
        <w:t>–</w:t>
      </w:r>
      <w:r w:rsidRPr="00F110C2">
        <w:rPr>
          <w:szCs w:val="22"/>
        </w:rPr>
        <w:t xml:space="preserve"> Paramètres fondamentaux pour la mesure de la qualité de fonctionnement en termes d'erreur aux débits inférieurs au débit primaire</w:t>
      </w:r>
    </w:p>
    <w:p w14:paraId="770F7376" w14:textId="77777777" w:rsidR="00CD45DB" w:rsidRPr="00F110C2" w:rsidRDefault="00CD45DB" w:rsidP="00254EC9">
      <w:r w:rsidRPr="00F110C2">
        <w:t>Voir également l'Annexe 4.</w:t>
      </w:r>
    </w:p>
    <w:p w14:paraId="26CD5C85" w14:textId="77777777" w:rsidR="00CD45DB" w:rsidRPr="00F110C2" w:rsidRDefault="00CD45DB" w:rsidP="00254EC9">
      <w:pPr>
        <w:pStyle w:val="Normalaftertitle"/>
      </w:pPr>
      <w:r w:rsidRPr="00F110C2">
        <w:t>L'Assemblée des radiocommunications de l'UIT,</w:t>
      </w:r>
    </w:p>
    <w:p w14:paraId="2F632E76" w14:textId="77777777" w:rsidR="00CD45DB" w:rsidRPr="00F110C2" w:rsidRDefault="00CD45DB" w:rsidP="00254EC9">
      <w:pPr>
        <w:pStyle w:val="Call"/>
      </w:pPr>
      <w:r w:rsidRPr="00F110C2">
        <w:t>considérant</w:t>
      </w:r>
    </w:p>
    <w:p w14:paraId="0AFA3E09" w14:textId="77777777" w:rsidR="00CD45DB" w:rsidRPr="00F110C2" w:rsidRDefault="00CD45DB" w:rsidP="00254EC9">
      <w:r w:rsidRPr="00F110C2">
        <w:rPr>
          <w:i/>
          <w:iCs/>
        </w:rPr>
        <w:t>a)</w:t>
      </w:r>
      <w:r w:rsidRPr="00F110C2">
        <w:tab/>
        <w:t>que des rayonnements non désirés se produisent après la mise en service d'un émetteur et qu'ils peuvent être réduits lors de la conception du système;</w:t>
      </w:r>
    </w:p>
    <w:p w14:paraId="3D2A9897" w14:textId="77777777" w:rsidR="00CD45DB" w:rsidRPr="00F110C2" w:rsidRDefault="00CD45DB" w:rsidP="00254EC9">
      <w:r w:rsidRPr="00F110C2">
        <w:rPr>
          <w:i/>
          <w:iCs/>
        </w:rPr>
        <w:t>b)</w:t>
      </w:r>
      <w:r w:rsidRPr="00F110C2">
        <w:tab/>
        <w:t>que des limites des émissions dans le domaine hors bande fixées dans des réglementations nationales ou régionales ont été utilisées avec succès dans des zones à forte densité de stations de radiocommunication; ces limites sont généralement conçues en fonction de besoins locaux spécifiques et détaillés en vue de la coexistence avec d'autres systèmes;</w:t>
      </w:r>
    </w:p>
    <w:p w14:paraId="262CB0F9" w14:textId="2240AB60" w:rsidR="00CD45DB" w:rsidRPr="00F110C2" w:rsidRDefault="00CD45DB" w:rsidP="00254EC9">
      <w:pPr>
        <w:rPr>
          <w:i/>
          <w:iCs/>
        </w:rPr>
      </w:pPr>
      <w:r w:rsidRPr="00F110C2">
        <w:rPr>
          <w:i/>
          <w:iCs/>
        </w:rPr>
        <w:t>c)</w:t>
      </w:r>
      <w:r w:rsidRPr="00F110C2">
        <w:rPr>
          <w:i/>
          <w:iCs/>
        </w:rPr>
        <w:tab/>
      </w:r>
      <w:r w:rsidRPr="00F110C2">
        <w:t>que les données d'émission hors bande sous la forme de points de rupture aux niveau</w:t>
      </w:r>
      <w:r w:rsidR="00106EAD" w:rsidRPr="00F110C2">
        <w:t>x</w:t>
      </w:r>
      <w:r w:rsidRPr="00F110C2">
        <w:t> −30,</w:t>
      </w:r>
      <w:r w:rsidR="00106EAD" w:rsidRPr="00F110C2">
        <w:t> </w:t>
      </w:r>
      <w:r w:rsidRPr="00F110C2">
        <w:t xml:space="preserve">−40, −50 et −60 dB pour les classes d'émission autres que celles énumérées dans les Annexes de la présente Recommandation sont disponibles dans le Rapport </w:t>
      </w:r>
      <w:hyperlink r:id="rId33" w:history="1">
        <w:r w:rsidRPr="00F110C2">
          <w:rPr>
            <w:rStyle w:val="Hyperlink"/>
            <w:color w:val="auto"/>
            <w:u w:val="none"/>
          </w:rPr>
          <w:t>UIT-R SM.2048</w:t>
        </w:r>
      </w:hyperlink>
      <w:r w:rsidRPr="00F110C2">
        <w:t xml:space="preserve"> et peuvent être utilisées à toutes fins utiles;</w:t>
      </w:r>
    </w:p>
    <w:p w14:paraId="1B8E0B50" w14:textId="77777777" w:rsidR="00CD45DB" w:rsidRPr="00F110C2" w:rsidRDefault="00CD45DB" w:rsidP="00254EC9">
      <w:r w:rsidRPr="00F110C2">
        <w:rPr>
          <w:i/>
          <w:iCs/>
        </w:rPr>
        <w:t>d)</w:t>
      </w:r>
      <w:r w:rsidRPr="00F110C2">
        <w:tab/>
        <w:t xml:space="preserve">qu'il faut néanmoins pour chaque service, un nombre restreint de limites des émissions dans le domaine hors bande de l'UIT-R plus génériques, fondées généralement sur une enveloppe des limites des émissions dans le domaine hors bande les moins restrictives décrites au point </w:t>
      </w:r>
      <w:r w:rsidRPr="00F110C2">
        <w:rPr>
          <w:i/>
          <w:iCs/>
        </w:rPr>
        <w:t>b)</w:t>
      </w:r>
      <w:r w:rsidRPr="00F110C2">
        <w:t xml:space="preserve"> du </w:t>
      </w:r>
      <w:r w:rsidRPr="00F110C2">
        <w:rPr>
          <w:i/>
          <w:iCs/>
        </w:rPr>
        <w:t>considérant</w:t>
      </w:r>
      <w:r w:rsidRPr="00F110C2">
        <w:t>;</w:t>
      </w:r>
    </w:p>
    <w:p w14:paraId="3354C126" w14:textId="77777777" w:rsidR="00CD45DB" w:rsidRPr="00F110C2" w:rsidRDefault="00CD45DB" w:rsidP="00254EC9">
      <w:r w:rsidRPr="00F110C2">
        <w:rPr>
          <w:i/>
          <w:iCs/>
        </w:rPr>
        <w:lastRenderedPageBreak/>
        <w:t>e)</w:t>
      </w:r>
      <w:r w:rsidRPr="00F110C2">
        <w:tab/>
        <w:t>que, lorsque des assignations de fréquences sont communiquées au Bureau des radiocommunications (BR) conformément à l'Appendice </w:t>
      </w:r>
      <w:r w:rsidRPr="00F110C2">
        <w:rPr>
          <w:b/>
          <w:bCs/>
        </w:rPr>
        <w:t>4</w:t>
      </w:r>
      <w:r w:rsidRPr="00F110C2">
        <w:t xml:space="preserve"> du Règlement des radiocommunications (RR), la largeur de bande nécessaire d'une émission monoporteuse est donnée par la partie de largeur de bande du désignateur de l'émission;</w:t>
      </w:r>
    </w:p>
    <w:p w14:paraId="55829469" w14:textId="77777777" w:rsidR="00CD45DB" w:rsidRPr="00F110C2" w:rsidRDefault="00CD45DB" w:rsidP="00254EC9">
      <w:r w:rsidRPr="00F110C2">
        <w:rPr>
          <w:i/>
          <w:iCs/>
        </w:rPr>
        <w:t>f)</w:t>
      </w:r>
      <w:r w:rsidRPr="00F110C2">
        <w:tab/>
        <w:t>que la largeur de bande nécessaire, visée à l'Appendice </w:t>
      </w:r>
      <w:r w:rsidRPr="00F110C2">
        <w:rPr>
          <w:b/>
          <w:bCs/>
        </w:rPr>
        <w:t>4</w:t>
      </w:r>
      <w:r w:rsidRPr="00F110C2">
        <w:t xml:space="preserve"> du RR, correspond à une transmission monoporteuse et ne couvre pas nécessairement de façon appropriée le cas de systèmes multiporteuse,</w:t>
      </w:r>
    </w:p>
    <w:p w14:paraId="0D847689" w14:textId="77777777" w:rsidR="00CD45DB" w:rsidRPr="00F110C2" w:rsidRDefault="00CD45DB" w:rsidP="00254EC9">
      <w:pPr>
        <w:pStyle w:val="Call"/>
        <w:rPr>
          <w:lang w:eastAsia="ja-JP"/>
        </w:rPr>
      </w:pPr>
      <w:r w:rsidRPr="00F110C2">
        <w:rPr>
          <w:lang w:eastAsia="ja-JP"/>
        </w:rPr>
        <w:t>reconnaissant</w:t>
      </w:r>
    </w:p>
    <w:p w14:paraId="2DC418F2" w14:textId="77777777" w:rsidR="00CD45DB" w:rsidRPr="00F110C2" w:rsidRDefault="00CD45DB" w:rsidP="00254EC9">
      <w:pPr>
        <w:rPr>
          <w:lang w:eastAsia="ja-JP"/>
        </w:rPr>
      </w:pPr>
      <w:r w:rsidRPr="00F110C2">
        <w:rPr>
          <w:i/>
          <w:iCs/>
          <w:lang w:eastAsia="ja-JP"/>
        </w:rPr>
        <w:t>a)</w:t>
      </w:r>
      <w:r w:rsidRPr="00F110C2">
        <w:rPr>
          <w:i/>
          <w:iCs/>
          <w:lang w:eastAsia="ja-JP"/>
        </w:rPr>
        <w:tab/>
      </w:r>
      <w:r w:rsidRPr="00F110C2">
        <w:rPr>
          <w:lang w:eastAsia="ja-JP"/>
        </w:rPr>
        <w:t xml:space="preserve">que la Recommandation </w:t>
      </w:r>
      <w:hyperlink r:id="rId34" w:history="1">
        <w:r w:rsidRPr="00F110C2">
          <w:rPr>
            <w:rStyle w:val="Hyperlink"/>
            <w:color w:val="auto"/>
            <w:u w:val="none"/>
            <w:lang w:eastAsia="ja-JP"/>
          </w:rPr>
          <w:t>UIT-R SM.329</w:t>
        </w:r>
      </w:hyperlink>
      <w:r w:rsidRPr="00F110C2">
        <w:rPr>
          <w:lang w:eastAsia="ja-JP"/>
        </w:rPr>
        <w:t xml:space="preserve"> traite des effets, des mesures et des limites applicables aux rayonnements non désirés dans le domaine des rayonnements non essentiels;</w:t>
      </w:r>
    </w:p>
    <w:p w14:paraId="56FDD813" w14:textId="58D3073D" w:rsidR="00CD45DB" w:rsidRPr="00F110C2" w:rsidRDefault="00CD45DB" w:rsidP="00254EC9">
      <w:pPr>
        <w:rPr>
          <w:lang w:eastAsia="ja-JP"/>
        </w:rPr>
      </w:pPr>
      <w:r w:rsidRPr="00F110C2">
        <w:rPr>
          <w:i/>
          <w:iCs/>
          <w:lang w:eastAsia="ja-JP"/>
        </w:rPr>
        <w:t>b)</w:t>
      </w:r>
      <w:r w:rsidRPr="00F110C2">
        <w:rPr>
          <w:i/>
          <w:iCs/>
          <w:lang w:eastAsia="ja-JP"/>
        </w:rPr>
        <w:tab/>
      </w:r>
      <w:r w:rsidRPr="00F110C2">
        <w:rPr>
          <w:lang w:eastAsia="ja-JP"/>
        </w:rPr>
        <w:t xml:space="preserve">que les Recommandations </w:t>
      </w:r>
      <w:hyperlink r:id="rId35" w:history="1">
        <w:r w:rsidRPr="00F110C2">
          <w:rPr>
            <w:rStyle w:val="Hyperlink"/>
            <w:color w:val="auto"/>
            <w:u w:val="none"/>
            <w:lang w:eastAsia="ja-JP"/>
          </w:rPr>
          <w:t>UIT-R SM.329</w:t>
        </w:r>
      </w:hyperlink>
      <w:r w:rsidRPr="00F110C2">
        <w:rPr>
          <w:lang w:eastAsia="ja-JP"/>
        </w:rPr>
        <w:t xml:space="preserve"> et </w:t>
      </w:r>
      <w:hyperlink r:id="rId36" w:history="1">
        <w:r w:rsidRPr="00F110C2">
          <w:rPr>
            <w:rStyle w:val="Hyperlink"/>
            <w:color w:val="auto"/>
            <w:u w:val="none"/>
            <w:lang w:eastAsia="ja-JP"/>
          </w:rPr>
          <w:t>UIT-R SM.1539</w:t>
        </w:r>
      </w:hyperlink>
      <w:r w:rsidRPr="00F110C2">
        <w:rPr>
          <w:lang w:eastAsia="ja-JP"/>
        </w:rPr>
        <w:t xml:space="preserve"> donnent des indications permettant de déterminer la frontière entre le domaine des émissions hors bande et celui des rayonnements non essentiels dans le spectre d'une émission radiofréquence;</w:t>
      </w:r>
    </w:p>
    <w:p w14:paraId="63573AC6" w14:textId="4B66660A" w:rsidR="00CD45DB" w:rsidRPr="00F110C2" w:rsidRDefault="00CD45DB" w:rsidP="00254EC9">
      <w:pPr>
        <w:rPr>
          <w:lang w:eastAsia="ja-JP"/>
        </w:rPr>
      </w:pPr>
      <w:r w:rsidRPr="00F110C2">
        <w:rPr>
          <w:i/>
          <w:iCs/>
          <w:lang w:eastAsia="ja-JP"/>
        </w:rPr>
        <w:t>c)</w:t>
      </w:r>
      <w:r w:rsidRPr="00F110C2">
        <w:rPr>
          <w:i/>
          <w:iCs/>
          <w:lang w:eastAsia="ja-JP"/>
        </w:rPr>
        <w:tab/>
      </w:r>
      <w:r w:rsidRPr="00F110C2">
        <w:rPr>
          <w:lang w:eastAsia="ja-JP"/>
        </w:rPr>
        <w:t xml:space="preserve">que des considérations relatives au domaine des émissions hors bande et à la largeur de bande nécessaire figurent, par nécessité, dans la Recommandation </w:t>
      </w:r>
      <w:hyperlink r:id="rId37" w:history="1">
        <w:r w:rsidRPr="00F110C2">
          <w:rPr>
            <w:rStyle w:val="Hyperlink"/>
            <w:color w:val="auto"/>
            <w:u w:val="none"/>
            <w:lang w:eastAsia="ja-JP"/>
          </w:rPr>
          <w:t>UIT-R SM.328</w:t>
        </w:r>
      </w:hyperlink>
      <w:r w:rsidRPr="00F110C2">
        <w:rPr>
          <w:lang w:eastAsia="ja-JP"/>
        </w:rPr>
        <w:t>;</w:t>
      </w:r>
    </w:p>
    <w:p w14:paraId="2476B106" w14:textId="2E63A957" w:rsidR="00CD45DB" w:rsidRPr="00F110C2" w:rsidRDefault="00CD45DB" w:rsidP="00254EC9">
      <w:pPr>
        <w:rPr>
          <w:lang w:eastAsia="ja-JP"/>
        </w:rPr>
      </w:pPr>
      <w:r w:rsidRPr="00F110C2">
        <w:rPr>
          <w:i/>
          <w:iCs/>
          <w:lang w:eastAsia="ja-JP"/>
        </w:rPr>
        <w:t>d)</w:t>
      </w:r>
      <w:r w:rsidRPr="00F110C2">
        <w:rPr>
          <w:i/>
          <w:iCs/>
          <w:lang w:eastAsia="ja-JP"/>
        </w:rPr>
        <w:tab/>
      </w:r>
      <w:r w:rsidRPr="00F110C2">
        <w:rPr>
          <w:lang w:eastAsia="ja-JP"/>
        </w:rPr>
        <w:t xml:space="preserve">que la Recommandation </w:t>
      </w:r>
      <w:hyperlink r:id="rId38" w:history="1">
        <w:r w:rsidRPr="00F110C2">
          <w:rPr>
            <w:rStyle w:val="Hyperlink"/>
            <w:color w:val="auto"/>
            <w:u w:val="none"/>
            <w:lang w:eastAsia="ja-JP"/>
          </w:rPr>
          <w:t>UIT-R SM.1540</w:t>
        </w:r>
      </w:hyperlink>
      <w:r w:rsidRPr="00F110C2">
        <w:rPr>
          <w:lang w:eastAsia="ja-JP"/>
        </w:rPr>
        <w:t xml:space="preserve"> donne des précisions sur les cas de rayonnements non désirés dans le domaine des émissions hors bande situés dans des bandes attribuées adjacentes;</w:t>
      </w:r>
    </w:p>
    <w:p w14:paraId="7871E6A7" w14:textId="77777777" w:rsidR="00CD45DB" w:rsidRPr="00F110C2" w:rsidRDefault="00CD45DB" w:rsidP="00254EC9">
      <w:pPr>
        <w:rPr>
          <w:lang w:eastAsia="ja-JP"/>
        </w:rPr>
      </w:pPr>
      <w:r w:rsidRPr="00F110C2">
        <w:rPr>
          <w:i/>
          <w:iCs/>
          <w:lang w:eastAsia="ja-JP"/>
        </w:rPr>
        <w:t>e)</w:t>
      </w:r>
      <w:r w:rsidRPr="00F110C2">
        <w:rPr>
          <w:i/>
          <w:iCs/>
          <w:lang w:eastAsia="ja-JP"/>
        </w:rPr>
        <w:tab/>
      </w:r>
      <w:r w:rsidRPr="00F110C2">
        <w:rPr>
          <w:lang w:eastAsia="ja-JP"/>
        </w:rPr>
        <w:t>que les termes suivants sont définis dans le RR,</w:t>
      </w:r>
    </w:p>
    <w:p w14:paraId="44AA8CB4" w14:textId="77777777" w:rsidR="00CD45DB" w:rsidRPr="00F110C2" w:rsidRDefault="00CD45DB" w:rsidP="00254EC9">
      <w:pPr>
        <w:pStyle w:val="Headingb"/>
      </w:pPr>
      <w:r w:rsidRPr="00F110C2">
        <w:t>Rayonnements non désirés</w:t>
      </w:r>
    </w:p>
    <w:p w14:paraId="5DE4AEEE" w14:textId="77777777" w:rsidR="00CD45DB" w:rsidRPr="00F110C2" w:rsidRDefault="00CD45DB" w:rsidP="00254EC9">
      <w:r w:rsidRPr="00F110C2">
        <w:rPr>
          <w:b/>
          <w:bCs/>
          <w:lang w:eastAsia="zh-CN"/>
        </w:rPr>
        <w:t>1.146</w:t>
      </w:r>
      <w:r w:rsidRPr="00F110C2">
        <w:rPr>
          <w:b/>
          <w:bCs/>
          <w:lang w:eastAsia="zh-CN"/>
        </w:rPr>
        <w:tab/>
      </w:r>
      <w:r w:rsidRPr="00F110C2">
        <w:rPr>
          <w:b/>
          <w:bCs/>
          <w:lang w:eastAsia="zh-CN"/>
        </w:rPr>
        <w:tab/>
      </w:r>
      <w:r w:rsidRPr="00F110C2">
        <w:rPr>
          <w:i/>
          <w:iCs/>
        </w:rPr>
        <w:t>rayonnements non désirés</w:t>
      </w:r>
      <w:r w:rsidRPr="00F110C2">
        <w:rPr>
          <w:lang w:eastAsia="zh-CN"/>
        </w:rPr>
        <w:t xml:space="preserve">*: </w:t>
      </w:r>
      <w:r w:rsidRPr="00F110C2">
        <w:t>ensemble des</w:t>
      </w:r>
      <w:r w:rsidRPr="00F110C2">
        <w:rPr>
          <w:i/>
          <w:iCs/>
        </w:rPr>
        <w:t xml:space="preserve"> </w:t>
      </w:r>
      <w:r w:rsidRPr="00F110C2">
        <w:t>rayonnements non essentiels et des</w:t>
      </w:r>
      <w:r w:rsidRPr="00F110C2">
        <w:rPr>
          <w:i/>
          <w:iCs/>
        </w:rPr>
        <w:t xml:space="preserve"> </w:t>
      </w:r>
      <w:r w:rsidRPr="00F110C2">
        <w:t>rayonnements provenant des</w:t>
      </w:r>
      <w:r w:rsidRPr="00F110C2">
        <w:rPr>
          <w:i/>
          <w:iCs/>
        </w:rPr>
        <w:t xml:space="preserve"> </w:t>
      </w:r>
      <w:r w:rsidRPr="00F110C2">
        <w:t>émissions hors bande.</w:t>
      </w:r>
    </w:p>
    <w:p w14:paraId="2917BCA0" w14:textId="77777777" w:rsidR="00CD45DB" w:rsidRPr="00F110C2" w:rsidRDefault="00CD45DB" w:rsidP="00254EC9">
      <w:pPr>
        <w:pStyle w:val="Headingb"/>
      </w:pPr>
      <w:r w:rsidRPr="00F110C2">
        <w:t>Rayonnement non essentiel</w:t>
      </w:r>
    </w:p>
    <w:p w14:paraId="0EAC09A4" w14:textId="77777777" w:rsidR="00CD45DB" w:rsidRPr="00F110C2" w:rsidRDefault="00CD45DB" w:rsidP="00254EC9">
      <w:r w:rsidRPr="00F110C2">
        <w:rPr>
          <w:b/>
          <w:bCs/>
          <w:lang w:eastAsia="zh-CN"/>
        </w:rPr>
        <w:t>1.145</w:t>
      </w:r>
      <w:r w:rsidRPr="00F110C2">
        <w:rPr>
          <w:b/>
          <w:bCs/>
          <w:lang w:eastAsia="zh-CN"/>
        </w:rPr>
        <w:tab/>
      </w:r>
      <w:r w:rsidRPr="00F110C2">
        <w:rPr>
          <w:b/>
          <w:bCs/>
          <w:lang w:eastAsia="zh-CN"/>
        </w:rPr>
        <w:tab/>
      </w:r>
      <w:r w:rsidRPr="00F110C2">
        <w:rPr>
          <w:i/>
          <w:iCs/>
        </w:rPr>
        <w:t>rayonnement non essentiel</w:t>
      </w:r>
      <w:r w:rsidRPr="00F110C2">
        <w:rPr>
          <w:lang w:eastAsia="zh-CN"/>
        </w:rPr>
        <w:t>*:</w:t>
      </w:r>
      <w:r w:rsidRPr="00F110C2">
        <w:rPr>
          <w:i/>
          <w:iCs/>
          <w:lang w:eastAsia="zh-CN"/>
        </w:rPr>
        <w:t xml:space="preserve"> </w:t>
      </w:r>
      <w:r w:rsidRPr="00F110C2">
        <w:t>rayonnement sur une ou des fréquences situées en dehors de la</w:t>
      </w:r>
      <w:r w:rsidRPr="00F110C2">
        <w:rPr>
          <w:i/>
          <w:iCs/>
        </w:rPr>
        <w:t xml:space="preserve"> </w:t>
      </w:r>
      <w:r w:rsidRPr="00F110C2">
        <w:t>largeur de bande nécessaire et dont le niveau peut être réduit sans affecter la transmission de l'information correspondante. Ces rayonnements comprennent les rayonnements harmoniques, les rayonnements parasites, les produits d'intermodulation et de conversion de fréquence, à l'exclusion des</w:t>
      </w:r>
      <w:r w:rsidRPr="00F110C2">
        <w:rPr>
          <w:i/>
          <w:iCs/>
        </w:rPr>
        <w:t xml:space="preserve"> </w:t>
      </w:r>
      <w:r w:rsidRPr="00F110C2">
        <w:t>émissions hors bande.</w:t>
      </w:r>
    </w:p>
    <w:p w14:paraId="78FA7EF0" w14:textId="77777777" w:rsidR="00CD45DB" w:rsidRPr="00F110C2" w:rsidRDefault="00CD45DB" w:rsidP="00254EC9">
      <w:pPr>
        <w:pStyle w:val="Headingb"/>
      </w:pPr>
      <w:r w:rsidRPr="00F110C2">
        <w:t>Domaine des rayonnements non essentiels (d'une émission)</w:t>
      </w:r>
    </w:p>
    <w:p w14:paraId="3CE4BD64" w14:textId="77777777" w:rsidR="00CD45DB" w:rsidRPr="00F110C2" w:rsidRDefault="00CD45DB" w:rsidP="00254EC9">
      <w:pPr>
        <w:tabs>
          <w:tab w:val="clear" w:pos="1588"/>
          <w:tab w:val="clear" w:pos="1985"/>
        </w:tabs>
      </w:pPr>
      <w:r w:rsidRPr="00F110C2">
        <w:rPr>
          <w:b/>
          <w:bCs/>
        </w:rPr>
        <w:t>1.146B</w:t>
      </w:r>
      <w:r w:rsidRPr="00F110C2">
        <w:rPr>
          <w:b/>
          <w:bCs/>
        </w:rPr>
        <w:tab/>
      </w:r>
      <w:r w:rsidRPr="00F110C2">
        <w:rPr>
          <w:b/>
          <w:bCs/>
        </w:rPr>
        <w:tab/>
      </w:r>
      <w:r w:rsidRPr="00F110C2">
        <w:rPr>
          <w:i/>
          <w:iCs/>
        </w:rPr>
        <w:t>domaine des rayonnements non essentiels (d'une émission)</w:t>
      </w:r>
      <w:r w:rsidRPr="00F110C2">
        <w:t>: gamme de fréquences au</w:t>
      </w:r>
      <w:r w:rsidRPr="00F110C2">
        <w:noBreakHyphen/>
        <w:t>delà du domaine des émissions hors bande dans laquelle les rayonnements non essentiels en général prédominent.</w:t>
      </w:r>
    </w:p>
    <w:p w14:paraId="2E427714" w14:textId="77777777" w:rsidR="00CD45DB" w:rsidRPr="00F110C2" w:rsidRDefault="00CD45DB" w:rsidP="00254EC9">
      <w:pPr>
        <w:pStyle w:val="Headingb"/>
      </w:pPr>
      <w:r w:rsidRPr="00F110C2">
        <w:t>Émission hors bande</w:t>
      </w:r>
    </w:p>
    <w:p w14:paraId="46DEF443" w14:textId="77777777" w:rsidR="00CD45DB" w:rsidRPr="00F110C2" w:rsidRDefault="00CD45DB" w:rsidP="00254EC9">
      <w:r w:rsidRPr="00F110C2">
        <w:rPr>
          <w:b/>
          <w:bCs/>
          <w:lang w:eastAsia="zh-CN"/>
        </w:rPr>
        <w:t>1.144</w:t>
      </w:r>
      <w:r w:rsidRPr="00F110C2">
        <w:rPr>
          <w:b/>
          <w:bCs/>
          <w:lang w:eastAsia="zh-CN"/>
        </w:rPr>
        <w:tab/>
      </w:r>
      <w:r w:rsidRPr="00F110C2">
        <w:rPr>
          <w:b/>
          <w:bCs/>
          <w:lang w:eastAsia="zh-CN"/>
        </w:rPr>
        <w:tab/>
      </w:r>
      <w:r w:rsidRPr="00F110C2">
        <w:rPr>
          <w:i/>
          <w:iCs/>
        </w:rPr>
        <w:t>émission hors bande</w:t>
      </w:r>
      <w:r w:rsidRPr="00F110C2">
        <w:rPr>
          <w:lang w:eastAsia="zh-CN"/>
        </w:rPr>
        <w:t xml:space="preserve">*: </w:t>
      </w:r>
      <w:r w:rsidRPr="00F110C2">
        <w:t>émission sur une ou des fréquences situées en dehors de la</w:t>
      </w:r>
      <w:r w:rsidRPr="00F110C2">
        <w:rPr>
          <w:i/>
          <w:iCs/>
        </w:rPr>
        <w:t xml:space="preserve"> </w:t>
      </w:r>
      <w:r w:rsidRPr="00F110C2">
        <w:t>largeur de bande nécessaire mais en son voisinage immédiat, due au processus de la modulation, à l'exclusion des</w:t>
      </w:r>
      <w:r w:rsidRPr="00F110C2">
        <w:rPr>
          <w:i/>
          <w:iCs/>
        </w:rPr>
        <w:t xml:space="preserve"> </w:t>
      </w:r>
      <w:r w:rsidRPr="00F110C2">
        <w:t>rayonnements non essentiels.</w:t>
      </w:r>
    </w:p>
    <w:p w14:paraId="724D7871" w14:textId="77777777" w:rsidR="00CD45DB" w:rsidRPr="00F110C2" w:rsidRDefault="00CD45DB" w:rsidP="00254EC9">
      <w:pPr>
        <w:pStyle w:val="Headingb"/>
      </w:pPr>
      <w:r w:rsidRPr="00F110C2">
        <w:t>Domaine des émissions hors bande (d'une émission)</w:t>
      </w:r>
    </w:p>
    <w:p w14:paraId="2112798B" w14:textId="77777777" w:rsidR="00CD45DB" w:rsidRPr="00F110C2" w:rsidRDefault="00CD45DB" w:rsidP="00254EC9">
      <w:pPr>
        <w:keepLines/>
      </w:pPr>
      <w:r w:rsidRPr="00F110C2">
        <w:rPr>
          <w:b/>
          <w:bCs/>
        </w:rPr>
        <w:t>1.146A</w:t>
      </w:r>
      <w:r w:rsidRPr="00F110C2">
        <w:rPr>
          <w:b/>
          <w:bCs/>
        </w:rPr>
        <w:tab/>
      </w:r>
      <w:r w:rsidRPr="00F110C2">
        <w:rPr>
          <w:b/>
          <w:bCs/>
        </w:rPr>
        <w:tab/>
      </w:r>
      <w:r w:rsidRPr="00F110C2">
        <w:rPr>
          <w:i/>
          <w:iCs/>
        </w:rPr>
        <w:t>domaine des émissions hors bande (d'une émission)</w:t>
      </w:r>
      <w:r w:rsidRPr="00F110C2">
        <w:t xml:space="preserve">: gamme de fréquences, immédiatement en dehors de la </w:t>
      </w:r>
      <w:r w:rsidRPr="00F110C2">
        <w:rPr>
          <w:i/>
          <w:iCs/>
        </w:rPr>
        <w:t>largeur de bande nécessaire</w:t>
      </w:r>
      <w:r w:rsidRPr="00F110C2">
        <w:t xml:space="preserve"> mais excluant le </w:t>
      </w:r>
      <w:r w:rsidRPr="00F110C2">
        <w:rPr>
          <w:i/>
          <w:iCs/>
        </w:rPr>
        <w:t>domaine des rayonnements non essentiels</w:t>
      </w:r>
      <w:r w:rsidRPr="00F110C2">
        <w:t xml:space="preserve">, dans laquelle les </w:t>
      </w:r>
      <w:r w:rsidRPr="00F110C2">
        <w:rPr>
          <w:i/>
          <w:iCs/>
        </w:rPr>
        <w:t>émissions hors bande</w:t>
      </w:r>
      <w:r w:rsidRPr="00F110C2">
        <w:t xml:space="preserve"> en général prédominent.</w:t>
      </w:r>
      <w:r w:rsidRPr="00F110C2">
        <w:rPr>
          <w:color w:val="000000"/>
        </w:rPr>
        <w:t xml:space="preserve"> </w:t>
      </w:r>
      <w:r w:rsidRPr="00F110C2">
        <w:t xml:space="preserve">Les </w:t>
      </w:r>
      <w:r w:rsidRPr="00F110C2">
        <w:rPr>
          <w:i/>
          <w:iCs/>
        </w:rPr>
        <w:t>émissions hors bande</w:t>
      </w:r>
      <w:r w:rsidRPr="00F110C2">
        <w:t xml:space="preserve">, définies à partir de leur origine, se produisent dans le domaine des émissions hors bande et, dans une moindre mesure, dans le </w:t>
      </w:r>
      <w:r w:rsidRPr="00F110C2">
        <w:rPr>
          <w:i/>
          <w:iCs/>
        </w:rPr>
        <w:t>domaine des rayonnements non essentiels</w:t>
      </w:r>
      <w:r w:rsidRPr="00F110C2">
        <w:t>.</w:t>
      </w:r>
      <w:r w:rsidRPr="00F110C2">
        <w:rPr>
          <w:color w:val="000000"/>
        </w:rPr>
        <w:t xml:space="preserve"> </w:t>
      </w:r>
      <w:r w:rsidRPr="00F110C2">
        <w:t xml:space="preserve">Les </w:t>
      </w:r>
      <w:r w:rsidRPr="00F110C2">
        <w:rPr>
          <w:i/>
          <w:iCs/>
        </w:rPr>
        <w:t>rayonnements non essentiels</w:t>
      </w:r>
      <w:r w:rsidRPr="00F110C2">
        <w:t xml:space="preserve"> peuvent eux aussi, se produire dans le domaine des émissions hors bande ainsi que dans le </w:t>
      </w:r>
      <w:r w:rsidRPr="00F110C2">
        <w:rPr>
          <w:i/>
          <w:iCs/>
        </w:rPr>
        <w:t>domaine des rayonnements essentiels</w:t>
      </w:r>
      <w:r w:rsidRPr="00F110C2">
        <w:t>.</w:t>
      </w:r>
    </w:p>
    <w:p w14:paraId="5CCD91F3" w14:textId="77777777" w:rsidR="00CD45DB" w:rsidRPr="00F110C2" w:rsidRDefault="00CD45DB" w:rsidP="00254EC9">
      <w:pPr>
        <w:pStyle w:val="Headingb"/>
      </w:pPr>
      <w:r w:rsidRPr="00F110C2">
        <w:lastRenderedPageBreak/>
        <w:t>Largeur de bande occupée</w:t>
      </w:r>
    </w:p>
    <w:p w14:paraId="556509EB" w14:textId="77777777" w:rsidR="00CD45DB" w:rsidRPr="00F110C2" w:rsidRDefault="00CD45DB" w:rsidP="00254EC9">
      <w:r w:rsidRPr="00F110C2">
        <w:rPr>
          <w:b/>
          <w:bCs/>
          <w:lang w:eastAsia="zh-CN"/>
        </w:rPr>
        <w:t>1.153</w:t>
      </w:r>
      <w:r w:rsidRPr="00F110C2">
        <w:rPr>
          <w:b/>
          <w:bCs/>
          <w:lang w:eastAsia="zh-CN"/>
        </w:rPr>
        <w:tab/>
      </w:r>
      <w:r w:rsidRPr="00F110C2">
        <w:rPr>
          <w:b/>
          <w:bCs/>
          <w:lang w:eastAsia="zh-CN"/>
        </w:rPr>
        <w:tab/>
      </w:r>
      <w:r w:rsidRPr="00F110C2">
        <w:rPr>
          <w:i/>
          <w:iCs/>
        </w:rPr>
        <w:t>largeur de bande occupée</w:t>
      </w:r>
      <w:r w:rsidRPr="00F110C2">
        <w:rPr>
          <w:lang w:eastAsia="zh-CN"/>
        </w:rPr>
        <w:t xml:space="preserve">: </w:t>
      </w:r>
      <w:r w:rsidRPr="00F110C2">
        <w:t>largeur de la bande de fréquences telle que, au-dessous de sa fréquence limite inférieure et au</w:t>
      </w:r>
      <w:r w:rsidRPr="00F110C2">
        <w:noBreakHyphen/>
        <w:t>dessus de sa fréquence limite supérieure, soient émises des puissances moyennes égales chacune à un pourcentage donné β/2 de la puissance moyenne totale d'une émission donnée.</w:t>
      </w:r>
    </w:p>
    <w:p w14:paraId="203A52C4" w14:textId="77777777" w:rsidR="00CD45DB" w:rsidRPr="00F110C2" w:rsidRDefault="00CD45DB" w:rsidP="00254EC9">
      <w:r w:rsidRPr="00F110C2">
        <w:t>En l'absence de spécifications dans une Recommandation de l'UIT-R pour la classe d'émission considérée, la valeur β/2 doit être prise égale à 0,5%.</w:t>
      </w:r>
    </w:p>
    <w:p w14:paraId="7885ED3C" w14:textId="77777777" w:rsidR="00CD45DB" w:rsidRPr="00F110C2" w:rsidRDefault="00CD45DB" w:rsidP="00254EC9">
      <w:pPr>
        <w:pStyle w:val="Headingb"/>
      </w:pPr>
      <w:r w:rsidRPr="00F110C2">
        <w:t>Largeur de bande nécessaire</w:t>
      </w:r>
    </w:p>
    <w:p w14:paraId="44EB144D" w14:textId="77777777" w:rsidR="00CD45DB" w:rsidRPr="00F110C2" w:rsidRDefault="00CD45DB" w:rsidP="00254EC9">
      <w:r w:rsidRPr="00F110C2">
        <w:rPr>
          <w:b/>
          <w:bCs/>
          <w:lang w:eastAsia="zh-CN"/>
        </w:rPr>
        <w:t>1.152</w:t>
      </w:r>
      <w:r w:rsidRPr="00F110C2">
        <w:rPr>
          <w:b/>
          <w:bCs/>
          <w:lang w:eastAsia="zh-CN"/>
        </w:rPr>
        <w:tab/>
      </w:r>
      <w:r w:rsidRPr="00F110C2">
        <w:rPr>
          <w:b/>
          <w:bCs/>
          <w:lang w:eastAsia="zh-CN"/>
        </w:rPr>
        <w:tab/>
      </w:r>
      <w:r w:rsidRPr="00F110C2">
        <w:rPr>
          <w:i/>
          <w:iCs/>
        </w:rPr>
        <w:t>largeur de bande nécessaire</w:t>
      </w:r>
      <w:r w:rsidRPr="00F110C2">
        <w:rPr>
          <w:lang w:eastAsia="zh-CN"/>
        </w:rPr>
        <w:t xml:space="preserve">: </w:t>
      </w:r>
      <w:r w:rsidRPr="00F110C2">
        <w:t>pour une</w:t>
      </w:r>
      <w:r w:rsidRPr="00F110C2">
        <w:rPr>
          <w:i/>
          <w:iCs/>
        </w:rPr>
        <w:t xml:space="preserve"> </w:t>
      </w:r>
      <w:r w:rsidRPr="00F110C2">
        <w:t>classe d'émission donnée, largeur de la bande de fréquences juste suffisante pour assurer la transmission de l'information à la vitesse et avec la qualité requises dans des conditions données.</w:t>
      </w:r>
    </w:p>
    <w:p w14:paraId="0976B168" w14:textId="77777777" w:rsidR="00CD45DB" w:rsidRPr="00F110C2" w:rsidRDefault="00CD45DB" w:rsidP="00254EC9">
      <w:pPr>
        <w:pStyle w:val="Headingb"/>
      </w:pPr>
      <w:r w:rsidRPr="00F110C2">
        <w:t>Bande de fréquences assignée</w:t>
      </w:r>
    </w:p>
    <w:p w14:paraId="298097AF" w14:textId="77777777" w:rsidR="00CD45DB" w:rsidRPr="00F110C2" w:rsidRDefault="00CD45DB" w:rsidP="00254EC9">
      <w:r w:rsidRPr="00F110C2">
        <w:rPr>
          <w:b/>
          <w:bCs/>
          <w:lang w:eastAsia="zh-CN"/>
        </w:rPr>
        <w:t>1.147</w:t>
      </w:r>
      <w:r w:rsidRPr="00F110C2">
        <w:rPr>
          <w:b/>
          <w:bCs/>
          <w:lang w:eastAsia="zh-CN"/>
        </w:rPr>
        <w:tab/>
      </w:r>
      <w:r w:rsidRPr="00F110C2">
        <w:rPr>
          <w:b/>
          <w:bCs/>
          <w:lang w:eastAsia="zh-CN"/>
        </w:rPr>
        <w:tab/>
      </w:r>
      <w:r w:rsidRPr="00F110C2">
        <w:rPr>
          <w:i/>
          <w:iCs/>
        </w:rPr>
        <w:t>bande de fréquences assignée</w:t>
      </w:r>
      <w:r w:rsidRPr="00F110C2">
        <w:rPr>
          <w:lang w:eastAsia="zh-CN"/>
        </w:rPr>
        <w:t xml:space="preserve">: </w:t>
      </w:r>
      <w:r w:rsidRPr="00F110C2">
        <w:t>bande de fréquences à l'intérieur de laquelle l'émission d'une station donnée est autorisée; la largeur de cette bande est égale à la</w:t>
      </w:r>
      <w:r w:rsidRPr="00F110C2">
        <w:rPr>
          <w:i/>
          <w:iCs/>
        </w:rPr>
        <w:t xml:space="preserve"> </w:t>
      </w:r>
      <w:r w:rsidRPr="00F110C2">
        <w:t>largeur de bande nécessaire, augmentée du double de la valeur absolue de la</w:t>
      </w:r>
      <w:r w:rsidRPr="00F110C2">
        <w:rPr>
          <w:i/>
          <w:iCs/>
        </w:rPr>
        <w:t xml:space="preserve"> </w:t>
      </w:r>
      <w:r w:rsidRPr="00F110C2">
        <w:t>tolérance de fréquence. Dans le cas des</w:t>
      </w:r>
      <w:r w:rsidRPr="00F110C2">
        <w:rPr>
          <w:i/>
          <w:iCs/>
        </w:rPr>
        <w:t xml:space="preserve"> </w:t>
      </w:r>
      <w:r w:rsidRPr="00F110C2">
        <w:t>stations spatiales, la bande de fréquences assignée inclut le double du décalage maximum dû à l'effet Doppler pouvant se produire par rapport à un point quelconque à la surface de la Terre.</w:t>
      </w:r>
    </w:p>
    <w:p w14:paraId="4547D131" w14:textId="77777777" w:rsidR="00CD45DB" w:rsidRPr="00F110C2" w:rsidRDefault="00CD45DB" w:rsidP="00254EC9">
      <w:pPr>
        <w:pStyle w:val="Headingb"/>
      </w:pPr>
      <w:r w:rsidRPr="00F110C2">
        <w:t>Fréquence assignée</w:t>
      </w:r>
    </w:p>
    <w:p w14:paraId="6F311C9D" w14:textId="77777777" w:rsidR="00CD45DB" w:rsidRPr="00F110C2" w:rsidRDefault="00CD45DB" w:rsidP="00254EC9">
      <w:r w:rsidRPr="00F110C2">
        <w:rPr>
          <w:b/>
          <w:bCs/>
          <w:lang w:eastAsia="zh-CN"/>
        </w:rPr>
        <w:t>1.148</w:t>
      </w:r>
      <w:r w:rsidRPr="00F110C2">
        <w:rPr>
          <w:b/>
          <w:bCs/>
          <w:lang w:eastAsia="zh-CN"/>
        </w:rPr>
        <w:tab/>
      </w:r>
      <w:r w:rsidRPr="00F110C2">
        <w:rPr>
          <w:b/>
          <w:bCs/>
          <w:lang w:eastAsia="zh-CN"/>
        </w:rPr>
        <w:tab/>
      </w:r>
      <w:r w:rsidRPr="00F110C2">
        <w:rPr>
          <w:i/>
          <w:iCs/>
        </w:rPr>
        <w:t>fréquence assignée</w:t>
      </w:r>
      <w:r w:rsidRPr="00F110C2">
        <w:rPr>
          <w:lang w:eastAsia="zh-CN"/>
        </w:rPr>
        <w:t xml:space="preserve">: </w:t>
      </w:r>
      <w:r w:rsidRPr="00F110C2">
        <w:t>centre de la</w:t>
      </w:r>
      <w:r w:rsidRPr="00F110C2">
        <w:rPr>
          <w:i/>
          <w:iCs/>
        </w:rPr>
        <w:t xml:space="preserve"> </w:t>
      </w:r>
      <w:r w:rsidRPr="00F110C2">
        <w:t>bande de fréquences assignée à une</w:t>
      </w:r>
      <w:r w:rsidRPr="00F110C2">
        <w:rPr>
          <w:i/>
          <w:iCs/>
        </w:rPr>
        <w:t xml:space="preserve"> </w:t>
      </w:r>
      <w:r w:rsidRPr="00F110C2">
        <w:t>station,</w:t>
      </w:r>
    </w:p>
    <w:p w14:paraId="4A23AEBE" w14:textId="77777777" w:rsidR="00CD45DB" w:rsidRPr="00F110C2" w:rsidRDefault="00CD45DB" w:rsidP="00254EC9">
      <w:pPr>
        <w:pStyle w:val="Call"/>
      </w:pPr>
      <w:r w:rsidRPr="00F110C2">
        <w:t>notant</w:t>
      </w:r>
    </w:p>
    <w:p w14:paraId="55F384AA" w14:textId="77777777" w:rsidR="00CD45DB" w:rsidRPr="00F110C2" w:rsidRDefault="00CD45DB" w:rsidP="00254EC9">
      <w:pPr>
        <w:rPr>
          <w:lang w:eastAsia="zh-CN"/>
        </w:rPr>
      </w:pPr>
      <w:r w:rsidRPr="00F110C2">
        <w:rPr>
          <w:lang w:eastAsia="zh-CN"/>
        </w:rPr>
        <w:t>que les études demandées au titre de la Question UIT-R 222/1, approuvée par l'Assemblée des radiocommunications de 2000, pourraient avoir une incidence aussi bien sur la forme que sur le fond des définitions de base utilisées dans la présente Recommandation. Il sera peut-être nécessaire de réviser la présente Recommandation dans l'avenir afin de tenir compte des résultats de ces études,</w:t>
      </w:r>
    </w:p>
    <w:p w14:paraId="7A355F32" w14:textId="77777777" w:rsidR="00CD45DB" w:rsidRPr="00F110C2" w:rsidRDefault="00CD45DB" w:rsidP="00254EC9">
      <w:pPr>
        <w:pStyle w:val="Call"/>
        <w:rPr>
          <w:szCs w:val="24"/>
        </w:rPr>
      </w:pPr>
      <w:r w:rsidRPr="00F110C2">
        <w:t>recommande</w:t>
      </w:r>
    </w:p>
    <w:p w14:paraId="6C920184" w14:textId="77777777" w:rsidR="00CD45DB" w:rsidRPr="00F110C2" w:rsidRDefault="00CD45DB" w:rsidP="00254EC9">
      <w:pPr>
        <w:pStyle w:val="Heading1"/>
      </w:pPr>
      <w:r w:rsidRPr="00F110C2">
        <w:t>1</w:t>
      </w:r>
      <w:r w:rsidRPr="00F110C2">
        <w:tab/>
        <w:t>Terminologie et définitions</w:t>
      </w:r>
    </w:p>
    <w:p w14:paraId="385104A3" w14:textId="77777777" w:rsidR="00CD45DB" w:rsidRPr="00F110C2" w:rsidRDefault="00CD45DB" w:rsidP="00254EC9">
      <w:r w:rsidRPr="00F110C2">
        <w:t>d'utiliser les autres termes et définitions qui suivent:</w:t>
      </w:r>
    </w:p>
    <w:p w14:paraId="172BB969" w14:textId="77777777" w:rsidR="00CD45DB" w:rsidRPr="00F110C2" w:rsidRDefault="00CD45DB" w:rsidP="00254EC9">
      <w:pPr>
        <w:pStyle w:val="Heading2"/>
      </w:pPr>
      <w:r w:rsidRPr="00F110C2">
        <w:t>1.1</w:t>
      </w:r>
      <w:r w:rsidRPr="00F110C2">
        <w:tab/>
        <w:t>dBsd et dBasd</w:t>
      </w:r>
    </w:p>
    <w:p w14:paraId="03749C9B" w14:textId="77777777" w:rsidR="00CD45DB" w:rsidRPr="00F110C2" w:rsidRDefault="00CD45DB" w:rsidP="00254EC9">
      <w:pPr>
        <w:keepLines/>
      </w:pPr>
      <w:r w:rsidRPr="00F110C2">
        <w:t>dBsd: décibels par rapport à la valeur maximale de la densité spectrale de puissance dans la largeur de bande nécessaire. Pour obtenir la valeur maximale de la densité spectrale de puissance d'un signal aléatoire, on détermine la puissance moyenne dans la largeur de bande de référence, celle</w:t>
      </w:r>
      <w:r w:rsidRPr="00F110C2">
        <w:noBreakHyphen/>
        <w:t>ci étant prise de manière à ce que le résultat soit maximisé. La largeur de bande de référence doit être la même quelle que soit la fréquence sur laquelle elle est centrée, et telle que spécifiée au § 1.4.</w:t>
      </w:r>
    </w:p>
    <w:p w14:paraId="2BA8A746" w14:textId="77777777" w:rsidR="00CD45DB" w:rsidRPr="00F110C2" w:rsidRDefault="00CD45DB" w:rsidP="00254EC9">
      <w:r w:rsidRPr="00F110C2">
        <w:t>dBasd: décibels par rapport à la valeur moyenne de la densité spectrale de puissance dans la largeur de bande nécessaire. Pour obtenir la valeur moyenne de la densité spectrale de puissance d'un signal aléatoire, on calcule la puissance moyenne dans la largeur de bande de référence et on prend la moyenne de ce résultat sur la largeur de bande nécessaire. La largeur de bande de référence est telle que spécifiée au § 1.4.</w:t>
      </w:r>
    </w:p>
    <w:p w14:paraId="0025EE6B" w14:textId="77777777" w:rsidR="00CD45DB" w:rsidRPr="00F110C2" w:rsidRDefault="00CD45DB" w:rsidP="00254EC9">
      <w:pPr>
        <w:pStyle w:val="Heading2"/>
      </w:pPr>
      <w:r w:rsidRPr="00F110C2">
        <w:lastRenderedPageBreak/>
        <w:t>1.2</w:t>
      </w:r>
      <w:r w:rsidRPr="00F110C2">
        <w:tab/>
        <w:t>dBc</w:t>
      </w:r>
    </w:p>
    <w:p w14:paraId="4A382502" w14:textId="77777777" w:rsidR="00CD45DB" w:rsidRPr="00F110C2" w:rsidRDefault="00CD45DB" w:rsidP="00254EC9">
      <w:r w:rsidRPr="00F110C2">
        <w:t>Décibels par rapport à la puissance de la porteuse non modulée de l'émission. En l'absence de porteuse, par exemple pour certains schémas de modulation numérique dans lesquels la porteuse est inaccessible aux mesures, le niveau de référence équivalent au dBc s'exprime en décibels par rapport à la puissance moyenne </w:t>
      </w:r>
      <w:r w:rsidRPr="00F110C2">
        <w:rPr>
          <w:i/>
          <w:iCs/>
        </w:rPr>
        <w:t>P</w:t>
      </w:r>
      <w:r w:rsidRPr="00F110C2">
        <w:t>.</w:t>
      </w:r>
    </w:p>
    <w:p w14:paraId="66F0A906" w14:textId="77777777" w:rsidR="00CD45DB" w:rsidRPr="00F110C2" w:rsidRDefault="00CD45DB" w:rsidP="00254EC9">
      <w:pPr>
        <w:pStyle w:val="Heading2"/>
      </w:pPr>
      <w:r w:rsidRPr="00F110C2">
        <w:t>1.3</w:t>
      </w:r>
      <w:r w:rsidRPr="00F110C2">
        <w:tab/>
        <w:t>dBpp</w:t>
      </w:r>
    </w:p>
    <w:p w14:paraId="3991379A" w14:textId="77777777" w:rsidR="00CD45DB" w:rsidRPr="00F110C2" w:rsidRDefault="00CD45DB" w:rsidP="00254EC9">
      <w:r w:rsidRPr="00F110C2">
        <w:t>Décibels par rapport à la valeur maximale de la puissance de crête, mesurée dans la largeur de bande de référence à l'intérieur de la largeur de bande occupée. La puissance de crête dans la bande est exprimée dans la même largeur de bande de référence que la puissance de crête hors bande. Les émissions dans la bande et les rayonnements non désirés doivent être évalués en termes de valeurs de crête. En ce qui concerne les systèmes radars, la largeur de bande de référence doit être choisie conformément à la Recommandation UIT-R M.1177.</w:t>
      </w:r>
    </w:p>
    <w:p w14:paraId="130EE26B" w14:textId="77777777" w:rsidR="00CD45DB" w:rsidRPr="00F110C2" w:rsidRDefault="00CD45DB" w:rsidP="00254EC9">
      <w:pPr>
        <w:pStyle w:val="FigureNo"/>
      </w:pPr>
      <w:r w:rsidRPr="00F110C2">
        <w:t>FIGURE 1</w:t>
      </w:r>
    </w:p>
    <w:p w14:paraId="3D10E3AF" w14:textId="764BC995" w:rsidR="00CD45DB" w:rsidRPr="00F110C2" w:rsidRDefault="00CD45DB" w:rsidP="00254EC9">
      <w:pPr>
        <w:pStyle w:val="Figuretitle"/>
      </w:pPr>
      <w:r w:rsidRPr="00F110C2">
        <w:t>Référence de 0 dBsd</w:t>
      </w:r>
      <w:r w:rsidR="0072259C" w:rsidRPr="00F110C2">
        <w:t>-(</w:t>
      </w:r>
      <w:r w:rsidRPr="00F110C2">
        <w:t>a) valeur maximale de la densité spectrale de puissance</w:t>
      </w:r>
      <w:r w:rsidRPr="00F110C2">
        <w:br/>
        <w:t>Référence de 0 dBasd</w:t>
      </w:r>
      <w:r w:rsidR="0072259C" w:rsidRPr="00F110C2">
        <w:t>-(</w:t>
      </w:r>
      <w:r w:rsidRPr="00F110C2">
        <w:t>b) valeur moyenne de la densité spectrale de puissance</w:t>
      </w:r>
    </w:p>
    <w:p w14:paraId="4BFB8EFC" w14:textId="77777777" w:rsidR="00CD45DB" w:rsidRPr="00F110C2" w:rsidRDefault="00CD45DB" w:rsidP="00254EC9">
      <w:pPr>
        <w:pStyle w:val="Figure"/>
      </w:pPr>
      <w:r w:rsidRPr="00F110C2">
        <w:drawing>
          <wp:inline distT="0" distB="0" distL="0" distR="0" wp14:anchorId="2CC402CB" wp14:editId="49EF612E">
            <wp:extent cx="5143434" cy="2690723"/>
            <wp:effectExtent l="0" t="0" r="635" b="0"/>
            <wp:docPr id="1086744320"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44320" name="Picture 1" descr="A diagram of a graph&#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48035" cy="2693130"/>
                    </a:xfrm>
                    <a:prstGeom prst="rect">
                      <a:avLst/>
                    </a:prstGeom>
                  </pic:spPr>
                </pic:pic>
              </a:graphicData>
            </a:graphic>
          </wp:inline>
        </w:drawing>
      </w:r>
    </w:p>
    <w:p w14:paraId="0CA92E4B" w14:textId="77777777" w:rsidR="00CD45DB" w:rsidRPr="00F110C2" w:rsidRDefault="00CD45DB" w:rsidP="00254EC9">
      <w:pPr>
        <w:pStyle w:val="FigureNo"/>
      </w:pPr>
      <w:r w:rsidRPr="00F110C2">
        <w:t>FIGURE 2</w:t>
      </w:r>
    </w:p>
    <w:p w14:paraId="5161B76E" w14:textId="77777777" w:rsidR="00CD45DB" w:rsidRPr="00F110C2" w:rsidRDefault="00CD45DB" w:rsidP="00254EC9">
      <w:pPr>
        <w:pStyle w:val="Figuretitle"/>
      </w:pPr>
      <w:r w:rsidRPr="00F110C2">
        <w:t>Référence de 0 dBpp, valeur maximale de la puissance de crête</w:t>
      </w:r>
    </w:p>
    <w:p w14:paraId="2CC6DC0A" w14:textId="77777777" w:rsidR="00CD45DB" w:rsidRPr="00F110C2" w:rsidRDefault="00CD45DB" w:rsidP="00254EC9">
      <w:pPr>
        <w:pStyle w:val="Figure"/>
      </w:pPr>
      <w:r w:rsidRPr="00F110C2">
        <w:drawing>
          <wp:inline distT="0" distB="0" distL="0" distR="0" wp14:anchorId="3F1173D2" wp14:editId="1B9513BC">
            <wp:extent cx="2891768" cy="2074521"/>
            <wp:effectExtent l="0" t="0" r="4445" b="2540"/>
            <wp:docPr id="1340045168" name="Picture 2" descr="Diagram of a diagram of a mountain ra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45168" name="Picture 2" descr="Diagram of a diagram of a mountain range&#10;&#10;Description automatically generated with medium confidence"/>
                    <pic:cNvPicPr/>
                  </pic:nvPicPr>
                  <pic:blipFill rotWithShape="1">
                    <a:blip r:embed="rId40" cstate="print">
                      <a:extLst>
                        <a:ext uri="{28A0092B-C50C-407E-A947-70E740481C1C}">
                          <a14:useLocalDpi xmlns:a14="http://schemas.microsoft.com/office/drawing/2010/main" val="0"/>
                        </a:ext>
                      </a:extLst>
                    </a:blip>
                    <a:srcRect t="4867" b="3139"/>
                    <a:stretch/>
                  </pic:blipFill>
                  <pic:spPr bwMode="auto">
                    <a:xfrm>
                      <a:off x="0" y="0"/>
                      <a:ext cx="2912119" cy="2089120"/>
                    </a:xfrm>
                    <a:prstGeom prst="rect">
                      <a:avLst/>
                    </a:prstGeom>
                    <a:ln>
                      <a:noFill/>
                    </a:ln>
                    <a:extLst>
                      <a:ext uri="{53640926-AAD7-44D8-BBD7-CCE9431645EC}">
                        <a14:shadowObscured xmlns:a14="http://schemas.microsoft.com/office/drawing/2010/main"/>
                      </a:ext>
                    </a:extLst>
                  </pic:spPr>
                </pic:pic>
              </a:graphicData>
            </a:graphic>
          </wp:inline>
        </w:drawing>
      </w:r>
    </w:p>
    <w:p w14:paraId="63F446BE" w14:textId="77777777" w:rsidR="00CD45DB" w:rsidRPr="00F110C2" w:rsidRDefault="00CD45DB" w:rsidP="00254EC9">
      <w:pPr>
        <w:pStyle w:val="Heading2"/>
      </w:pPr>
      <w:r w:rsidRPr="00F110C2">
        <w:lastRenderedPageBreak/>
        <w:t>1.4</w:t>
      </w:r>
      <w:r w:rsidRPr="00F110C2">
        <w:tab/>
        <w:t>Largeur de bande de référence</w:t>
      </w:r>
    </w:p>
    <w:p w14:paraId="2D4AE26F" w14:textId="77777777" w:rsidR="00CD45DB" w:rsidRPr="00F110C2" w:rsidRDefault="00CD45DB" w:rsidP="00254EC9">
      <w:r w:rsidRPr="00F110C2">
        <w:t>Il s'agit de la largeur de bande requise pour pouvoir définir de manière univoque les limites des émissions dans le domaine hors bande. Si elle n'est pas donnée explicitement avec la limite des émissions dans le domaine hors bande, la largeur de bande de référence doit être de 1% de la largeur de bande nécessaire. En ce qui concerne les systèmes radars, la largeur de bande de référence doit être choisie conformément à la Recommandation UIT-R M.1177.</w:t>
      </w:r>
    </w:p>
    <w:p w14:paraId="2CDD7605" w14:textId="77777777" w:rsidR="00CD45DB" w:rsidRPr="00F110C2" w:rsidRDefault="00CD45DB" w:rsidP="00254EC9">
      <w:pPr>
        <w:pStyle w:val="Heading2"/>
      </w:pPr>
      <w:r w:rsidRPr="00F110C2">
        <w:t>1.5</w:t>
      </w:r>
      <w:r w:rsidRPr="00F110C2">
        <w:tab/>
        <w:t>Largeur de bande de mesure</w:t>
      </w:r>
    </w:p>
    <w:p w14:paraId="47057269" w14:textId="77777777" w:rsidR="00CD45DB" w:rsidRPr="00F110C2" w:rsidRDefault="00CD45DB" w:rsidP="00254EC9">
      <w:r w:rsidRPr="00F110C2">
        <w:t>Il s'agit de la largeur de bande convenant techniquement pour les mesures relatives à un système donné. Dans les analyseurs de spectre courants, on l'appelle généralement la largeur de bande de résolution.</w:t>
      </w:r>
    </w:p>
    <w:p w14:paraId="370302C2" w14:textId="4633E44E" w:rsidR="00CD45DB" w:rsidRPr="00F110C2" w:rsidRDefault="00CD45DB" w:rsidP="00254EC9">
      <w:pPr>
        <w:pStyle w:val="Note"/>
      </w:pPr>
      <w:r w:rsidRPr="00F110C2">
        <w:t>NOTE 1 </w:t>
      </w:r>
      <w:r w:rsidR="0023743D" w:rsidRPr="00F110C2">
        <w:t>–</w:t>
      </w:r>
      <w:r w:rsidRPr="00F110C2">
        <w:t> La largeur de bande de mesure peut être différente de la largeur de bande de référence, sous réserve que les résultats puissent être convertis dans la largeur de bande de référence requise.</w:t>
      </w:r>
    </w:p>
    <w:p w14:paraId="098D9370" w14:textId="77777777" w:rsidR="00CD45DB" w:rsidRPr="00F110C2" w:rsidRDefault="00CD45DB" w:rsidP="00254EC9">
      <w:pPr>
        <w:pStyle w:val="Heading2"/>
      </w:pPr>
      <w:r w:rsidRPr="00F110C2">
        <w:t>1.6</w:t>
      </w:r>
      <w:r w:rsidRPr="00F110C2">
        <w:tab/>
        <w:t>Densité spectrale de puissance</w:t>
      </w:r>
    </w:p>
    <w:p w14:paraId="175DE3B1" w14:textId="77777777" w:rsidR="00CD45DB" w:rsidRPr="00F110C2" w:rsidRDefault="00CD45DB" w:rsidP="00254EC9">
      <w:r w:rsidRPr="00F110C2">
        <w:t>Dans le cadre de la présente Recommandation, la densité spectrale de puissance est la puissance moyenne par largeur de bande de référence.</w:t>
      </w:r>
    </w:p>
    <w:p w14:paraId="07F4B307" w14:textId="77777777" w:rsidR="00CD45DB" w:rsidRPr="00F110C2" w:rsidRDefault="00CD45DB" w:rsidP="00254EC9">
      <w:pPr>
        <w:pStyle w:val="Heading2"/>
      </w:pPr>
      <w:r w:rsidRPr="00F110C2">
        <w:t>1.7</w:t>
      </w:r>
      <w:r w:rsidRPr="00F110C2">
        <w:tab/>
        <w:t>Puissance moyenne</w:t>
      </w:r>
    </w:p>
    <w:p w14:paraId="5184D016" w14:textId="77777777" w:rsidR="00CD45DB" w:rsidRPr="00F110C2" w:rsidRDefault="00CD45DB" w:rsidP="00254EC9">
      <w:r w:rsidRPr="00F110C2">
        <w:t>Il s'agit de la puissance intégrée sur une certaine bande de fréquences, sur la base de mesures de la densité spectrale de puissance ou d'une méthode équivalente.</w:t>
      </w:r>
    </w:p>
    <w:p w14:paraId="6F2FACD6" w14:textId="77777777" w:rsidR="00CD45DB" w:rsidRPr="00F110C2" w:rsidRDefault="00CD45DB" w:rsidP="00254EC9">
      <w:pPr>
        <w:pStyle w:val="Heading2"/>
      </w:pPr>
      <w:r w:rsidRPr="00F110C2">
        <w:t>1.8</w:t>
      </w:r>
      <w:r w:rsidRPr="00F110C2">
        <w:tab/>
        <w:t>Puissance moyenne dans un canal adjacent</w:t>
      </w:r>
    </w:p>
    <w:p w14:paraId="13068D93" w14:textId="77777777" w:rsidR="00CD45DB" w:rsidRPr="00F110C2" w:rsidRDefault="00CD45DB" w:rsidP="00254EC9">
      <w:r w:rsidRPr="00F110C2">
        <w:t>Il s'agit de la puissance intégrée sur la largeur de bande d'un canal adjacent à un canal occupé, sur la base de mesures de la densité spectrale de puissance ou d'une méthode équivalente.</w:t>
      </w:r>
    </w:p>
    <w:p w14:paraId="7D71EF61" w14:textId="77777777" w:rsidR="00CD45DB" w:rsidRPr="00F110C2" w:rsidRDefault="00CD45DB" w:rsidP="00254EC9">
      <w:pPr>
        <w:pStyle w:val="Heading2"/>
      </w:pPr>
      <w:r w:rsidRPr="00F110C2">
        <w:t>1.9</w:t>
      </w:r>
      <w:r w:rsidRPr="00F110C2">
        <w:tab/>
        <w:t>Puissance de crête</w:t>
      </w:r>
    </w:p>
    <w:p w14:paraId="16F9582C" w14:textId="77777777" w:rsidR="00CD45DB" w:rsidRPr="00F110C2" w:rsidRDefault="00CD45DB" w:rsidP="00254EC9">
      <w:r w:rsidRPr="00F110C2">
        <w:t>Il s'agit de la puissance mesurée par le détecteur de crête au moyen d'un filtre dont la largeur et la forme sont suffisantes pour accepter la largeur de bande du signal.</w:t>
      </w:r>
    </w:p>
    <w:p w14:paraId="76B8543E" w14:textId="77777777" w:rsidR="00CD45DB" w:rsidRPr="00F110C2" w:rsidRDefault="00CD45DB" w:rsidP="00254EC9">
      <w:pPr>
        <w:pStyle w:val="Heading2"/>
        <w:keepNext w:val="0"/>
        <w:keepLines w:val="0"/>
        <w:widowControl w:val="0"/>
      </w:pPr>
      <w:r w:rsidRPr="00F110C2">
        <w:t>1.10</w:t>
      </w:r>
      <w:r w:rsidRPr="00F110C2">
        <w:tab/>
        <w:t>Puissance de crête dans un canal adjacent</w:t>
      </w:r>
    </w:p>
    <w:p w14:paraId="1884BA93" w14:textId="77777777" w:rsidR="00CD45DB" w:rsidRPr="00F110C2" w:rsidRDefault="00CD45DB" w:rsidP="00254EC9">
      <w:pPr>
        <w:widowControl w:val="0"/>
      </w:pPr>
      <w:r w:rsidRPr="00F110C2">
        <w:t>Il s'agit de la puissance de crête mesurée dans la largeur de bande d'un canal adjacent à un canal occupé au moyen d'un filtre de canal spécifié.</w:t>
      </w:r>
    </w:p>
    <w:p w14:paraId="36F64A2E" w14:textId="77777777" w:rsidR="00CD45DB" w:rsidRPr="00F110C2" w:rsidRDefault="00CD45DB" w:rsidP="00254EC9">
      <w:pPr>
        <w:pStyle w:val="Heading2"/>
      </w:pPr>
      <w:r w:rsidRPr="00F110C2">
        <w:t>1.11</w:t>
      </w:r>
      <w:r w:rsidRPr="00F110C2">
        <w:tab/>
        <w:t>Bande assignée totale</w:t>
      </w:r>
    </w:p>
    <w:p w14:paraId="2188AA11" w14:textId="77777777" w:rsidR="00CD45DB" w:rsidRPr="00F110C2" w:rsidRDefault="00CD45DB" w:rsidP="00254EC9">
      <w:pPr>
        <w:rPr>
          <w:color w:val="000000"/>
        </w:rPr>
      </w:pPr>
      <w:r w:rsidRPr="00F110C2">
        <w:t xml:space="preserve">Il s'agit de la somme des bandes contiguës assignées à un système qui est conforme aux données fournies </w:t>
      </w:r>
      <w:r w:rsidRPr="00F110C2">
        <w:rPr>
          <w:color w:val="000000"/>
        </w:rPr>
        <w:t xml:space="preserve">au BR </w:t>
      </w:r>
      <w:r w:rsidRPr="00F110C2">
        <w:t>au titre de l'</w:t>
      </w:r>
      <w:r w:rsidRPr="00F110C2">
        <w:rPr>
          <w:color w:val="000000"/>
        </w:rPr>
        <w:t>Appendice </w:t>
      </w:r>
      <w:r w:rsidRPr="00F110C2">
        <w:rPr>
          <w:b/>
          <w:color w:val="000000"/>
        </w:rPr>
        <w:t>4</w:t>
      </w:r>
      <w:r w:rsidRPr="00F110C2">
        <w:rPr>
          <w:color w:val="000000"/>
        </w:rPr>
        <w:t xml:space="preserve"> du RR et qui est autorisé par une administration.</w:t>
      </w:r>
    </w:p>
    <w:p w14:paraId="12F12279" w14:textId="386E1AA2" w:rsidR="00CD45DB" w:rsidRPr="00F110C2" w:rsidRDefault="00CD45DB" w:rsidP="00254EC9">
      <w:pPr>
        <w:pStyle w:val="Note"/>
      </w:pPr>
      <w:r w:rsidRPr="00F110C2">
        <w:t>NOTE 1 </w:t>
      </w:r>
      <w:r w:rsidR="0023743D" w:rsidRPr="00F110C2">
        <w:t>–</w:t>
      </w:r>
      <w:r w:rsidRPr="00F110C2">
        <w:t> En ce qui concerne les services spatiaux, lorsqu'un système possède plusieurs répéteurs/émetteurs qui fonctionnent dans des bandes adjacentes séparées par une bande de garde, la bande assignée totale doit inclure les bandes de garde, celles-ci devant représenter un faible pourcentage de la largeur de bande des répéteurs/émetteurs.</w:t>
      </w:r>
    </w:p>
    <w:p w14:paraId="47C43CB2" w14:textId="77777777" w:rsidR="00CD45DB" w:rsidRPr="00F110C2" w:rsidRDefault="00CD45DB" w:rsidP="00254EC9">
      <w:pPr>
        <w:pStyle w:val="Heading2"/>
      </w:pPr>
      <w:r w:rsidRPr="00F110C2">
        <w:t>1.12</w:t>
      </w:r>
      <w:r w:rsidRPr="00F110C2">
        <w:tab/>
        <w:t>Largeur de bande assignée totale</w:t>
      </w:r>
    </w:p>
    <w:p w14:paraId="4E59501B" w14:textId="67BBA191" w:rsidR="00CD45DB" w:rsidRPr="00F110C2" w:rsidRDefault="00CD45DB" w:rsidP="00254EC9">
      <w:r w:rsidRPr="00F110C2">
        <w:t>Il s'agit de la largeur de la bande assignée totale</w:t>
      </w:r>
      <w:r w:rsidR="00D71AC2" w:rsidRPr="00F110C2">
        <w:t>.</w:t>
      </w:r>
    </w:p>
    <w:p w14:paraId="5362F4AC" w14:textId="77777777" w:rsidR="00CD45DB" w:rsidRPr="00F110C2" w:rsidRDefault="00CD45DB" w:rsidP="00254EC9">
      <w:pPr>
        <w:pStyle w:val="Heading1"/>
      </w:pPr>
      <w:r w:rsidRPr="00F110C2">
        <w:lastRenderedPageBreak/>
        <w:t>2</w:t>
      </w:r>
      <w:r w:rsidRPr="00F110C2">
        <w:tab/>
        <w:t>Application des définitions</w:t>
      </w:r>
    </w:p>
    <w:p w14:paraId="165154A9" w14:textId="77777777" w:rsidR="00CD45DB" w:rsidRPr="00F110C2" w:rsidRDefault="00CD45DB" w:rsidP="00254EC9">
      <w:r w:rsidRPr="00F110C2">
        <w:t>de suivre les indications données ci-après lors de l'application de la présente Recommandation:</w:t>
      </w:r>
    </w:p>
    <w:p w14:paraId="492999A2" w14:textId="77777777" w:rsidR="00CD45DB" w:rsidRPr="00F110C2" w:rsidRDefault="00CD45DB" w:rsidP="00254EC9">
      <w:pPr>
        <w:pStyle w:val="Heading2"/>
      </w:pPr>
      <w:r w:rsidRPr="00F110C2">
        <w:t>2.1</w:t>
      </w:r>
      <w:r w:rsidRPr="00F110C2">
        <w:tab/>
        <w:t>Émissions dans le domaine des émissions hors bande</w:t>
      </w:r>
    </w:p>
    <w:p w14:paraId="5BF7A534" w14:textId="77777777" w:rsidR="00CD45DB" w:rsidRPr="00F110C2" w:rsidRDefault="00CD45DB" w:rsidP="00254EC9">
      <w:r w:rsidRPr="00F110C2">
        <w:t>Toute émission située en dehors de la largeur de bande nécessaire mais à l'intérieur de la plage des fréquences espacées par rapport à la fréquence assignée de l'émission de moins de 250% de la largeur de bande nécessaire de l'émission sera généralement considérée comme une émission dans le domaine des émissions hors bande. Toutefois, cet espacement peut dépendre du type de modulation, de la rapidité de modulation maximale dans le cas de la modulation numérique, du type d'émetteur et de facteurs liés à la coordination des fréquences. Par exemple, pour certains systèmes numériques, à large bande ou à modulation par impulsions, il sera peut-être nécessaire d'utiliser une valeur différente de 250%.</w:t>
      </w:r>
    </w:p>
    <w:p w14:paraId="4689B56D" w14:textId="048CE96D" w:rsidR="00CD45DB" w:rsidRPr="00F110C2" w:rsidRDefault="00CD45DB" w:rsidP="00254EC9">
      <w:r w:rsidRPr="00F110C2">
        <w:t>Par ailleurs, du fait des non-linéarités de l'émetteur, les composantes de signal dans la bande peuvent s'étaler dans les bandes voisines décrites au §</w:t>
      </w:r>
      <w:r w:rsidR="00D71AC2" w:rsidRPr="00F110C2">
        <w:t> </w:t>
      </w:r>
      <w:r w:rsidRPr="00F110C2">
        <w:t>1.3 de l'Annexe 1. En outre, le bruit dans les bandes latérales de l'oscillateur de l'émetteur peut aussi s'étendre dans ces bandes voisines décrites au § 1.3 de l'Annexe 1. Comme il risque de ne pas être pratique d'isoler ces émissions, leur niveau aura tendance à être inclus dans les mesures de la puissance des émissions hors bande.</w:t>
      </w:r>
    </w:p>
    <w:p w14:paraId="2C01E1E7" w14:textId="77777777" w:rsidR="00CD45DB" w:rsidRPr="00F110C2" w:rsidRDefault="00CD45DB" w:rsidP="00254EC9">
      <w:pPr>
        <w:pStyle w:val="Heading2"/>
        <w:rPr>
          <w:bCs/>
        </w:rPr>
      </w:pPr>
      <w:r w:rsidRPr="00F110C2">
        <w:rPr>
          <w:bCs/>
        </w:rPr>
        <w:t>2.2</w:t>
      </w:r>
      <w:r w:rsidRPr="00F110C2">
        <w:rPr>
          <w:bCs/>
        </w:rPr>
        <w:tab/>
        <w:t>Émissions dans le domaine des rayonnements non essentiels</w:t>
      </w:r>
    </w:p>
    <w:p w14:paraId="5F442372" w14:textId="1EF04F61" w:rsidR="00CD45DB" w:rsidRPr="00F110C2" w:rsidRDefault="00CD45DB" w:rsidP="00254EC9">
      <w:r w:rsidRPr="00F110C2">
        <w:t>Dans le cadre de la présente Recommandation, toutes les émissions </w:t>
      </w:r>
      <w:r w:rsidR="00932E82">
        <w:rPr>
          <w:lang w:val="en-GB"/>
        </w:rPr>
        <w:t>–</w:t>
      </w:r>
      <w:r w:rsidRPr="00F110C2">
        <w:t> y compris les produits d'intermodulation, les produits de conversion et les rayonnements parasites </w:t>
      </w:r>
      <w:r w:rsidR="00932E82">
        <w:rPr>
          <w:lang w:val="en-GB"/>
        </w:rPr>
        <w:t>–</w:t>
      </w:r>
      <w:r w:rsidRPr="00F110C2">
        <w:t> situées à des fréquences espacées par rapport à la fréquence centrale de l'émission d'au moins 250% de la largeur de bande nécessaire de l'émission seront généralement considérées comme des émissions dans le domaine des rayonnements non essentiels. Toutefois, cet espacement peut dépendre du type de modulation, de la rapidité de modulation maximale dans le cas de la modulation numérique, du type d'émetteur et de facteurs liés à la coordination des fréquences. Par exemple, pour certains systèmes numériques, à large bande ou à modulation par impulsions, il sera peut-être nécessaire d'utiliser une valeur différente de 250%.</w:t>
      </w:r>
    </w:p>
    <w:p w14:paraId="5410C606" w14:textId="4477AB84" w:rsidR="00CD45DB" w:rsidRPr="00F110C2" w:rsidRDefault="00CD45DB" w:rsidP="00254EC9">
      <w:r w:rsidRPr="00F110C2">
        <w:t xml:space="preserve">En ce qui concerne les émetteurs/répéteurs multicanal ou multiporteuse, pour lesquels plusieurs porteuses peuvent être transmises simultanément à partir d'un amplificateur de sortie final ou d'une antenne active, on considère que la fréquence centrale de l'émission correspond au centre de la largeur de bande assignée à la station considérée ou de la largeur de bande à </w:t>
      </w:r>
      <w:r w:rsidR="009615D1" w:rsidRPr="00F110C2">
        <w:t>−</w:t>
      </w:r>
      <w:r w:rsidRPr="00F110C2">
        <w:t>3 dB de l'émetteur/récepteur, si celle-ci est plus petite.</w:t>
      </w:r>
    </w:p>
    <w:p w14:paraId="2289A674" w14:textId="77777777" w:rsidR="00CD45DB" w:rsidRPr="00F110C2" w:rsidRDefault="00CD45DB" w:rsidP="00254EC9">
      <w:pPr>
        <w:pStyle w:val="Heading2"/>
        <w:rPr>
          <w:bCs/>
        </w:rPr>
      </w:pPr>
      <w:r w:rsidRPr="00F110C2">
        <w:rPr>
          <w:bCs/>
        </w:rPr>
        <w:t>2.3</w:t>
      </w:r>
      <w:r w:rsidRPr="00F110C2">
        <w:rPr>
          <w:bCs/>
        </w:rPr>
        <w:tab/>
        <w:t>Largeur de bande nécessaire et domaine des émissions hors bande</w:t>
      </w:r>
    </w:p>
    <w:p w14:paraId="15C3748E" w14:textId="2B70F69D" w:rsidR="00CD45DB" w:rsidRPr="00F110C2" w:rsidRDefault="00CD45DB" w:rsidP="00254EC9">
      <w:pPr>
        <w:rPr>
          <w:snapToGrid w:val="0"/>
        </w:rPr>
      </w:pPr>
      <w:r w:rsidRPr="00F110C2">
        <w:rPr>
          <w:snapToGrid w:val="0"/>
        </w:rPr>
        <w:t>Dans le cas d'émissions à bande étroite ou à large bande (comme défini dans la Recommandation</w:t>
      </w:r>
      <w:r w:rsidR="00D71AC2" w:rsidRPr="00F110C2">
        <w:rPr>
          <w:snapToGrid w:val="0"/>
        </w:rPr>
        <w:t> </w:t>
      </w:r>
      <w:r w:rsidRPr="00F110C2">
        <w:rPr>
          <w:snapToGrid w:val="0"/>
        </w:rPr>
        <w:t>UIT</w:t>
      </w:r>
      <w:r w:rsidRPr="00F110C2">
        <w:rPr>
          <w:snapToGrid w:val="0"/>
        </w:rPr>
        <w:noBreakHyphen/>
        <w:t>R SM.1539), il convient de déterminer l'étendue du domaine des émissions hors bande en utilisant le Tableau 1.</w:t>
      </w:r>
    </w:p>
    <w:p w14:paraId="065B18D9" w14:textId="77777777" w:rsidR="00CD45DB" w:rsidRPr="00F110C2" w:rsidRDefault="00CD45DB" w:rsidP="00254EC9">
      <w:pPr>
        <w:pStyle w:val="TableNo"/>
      </w:pPr>
      <w:r w:rsidRPr="00F110C2">
        <w:lastRenderedPageBreak/>
        <w:t>TABLEAU 1</w:t>
      </w:r>
    </w:p>
    <w:p w14:paraId="6FD4E537" w14:textId="77777777" w:rsidR="00CD45DB" w:rsidRPr="00F110C2" w:rsidRDefault="00CD45DB" w:rsidP="00254EC9">
      <w:pPr>
        <w:pStyle w:val="Tabletitle"/>
      </w:pPr>
      <w:r w:rsidRPr="00F110C2">
        <w:t>Début et fin du domaine des émissions hors bande</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60"/>
        <w:gridCol w:w="2071"/>
        <w:gridCol w:w="2740"/>
        <w:gridCol w:w="3268"/>
      </w:tblGrid>
      <w:tr w:rsidR="00CD45DB" w:rsidRPr="00F110C2" w14:paraId="562A2422" w14:textId="77777777" w:rsidTr="00311649">
        <w:trPr>
          <w:jc w:val="center"/>
        </w:trPr>
        <w:tc>
          <w:tcPr>
            <w:tcW w:w="1489" w:type="dxa"/>
            <w:tcBorders>
              <w:top w:val="single" w:sz="4" w:space="0" w:color="auto"/>
              <w:left w:val="single" w:sz="4" w:space="0" w:color="auto"/>
              <w:bottom w:val="single" w:sz="6" w:space="0" w:color="auto"/>
              <w:right w:val="single" w:sz="6" w:space="0" w:color="auto"/>
            </w:tcBorders>
            <w:vAlign w:val="center"/>
          </w:tcPr>
          <w:p w14:paraId="556A6B83" w14:textId="77777777" w:rsidR="00CD45DB" w:rsidRPr="00F110C2" w:rsidRDefault="00CD45DB" w:rsidP="00254EC9">
            <w:pPr>
              <w:pStyle w:val="Tablehead"/>
              <w:rPr>
                <w:szCs w:val="22"/>
              </w:rPr>
            </w:pPr>
            <w:r w:rsidRPr="00F110C2">
              <w:rPr>
                <w:szCs w:val="22"/>
              </w:rPr>
              <w:t>Type d'émission</w:t>
            </w:r>
          </w:p>
        </w:tc>
        <w:tc>
          <w:tcPr>
            <w:tcW w:w="1976" w:type="dxa"/>
            <w:tcBorders>
              <w:top w:val="single" w:sz="4" w:space="0" w:color="auto"/>
              <w:left w:val="single" w:sz="6" w:space="0" w:color="auto"/>
              <w:bottom w:val="single" w:sz="6" w:space="0" w:color="auto"/>
              <w:right w:val="single" w:sz="6" w:space="0" w:color="auto"/>
            </w:tcBorders>
            <w:vAlign w:val="center"/>
          </w:tcPr>
          <w:p w14:paraId="6EAB563B" w14:textId="77777777" w:rsidR="00CD45DB" w:rsidRPr="00F110C2" w:rsidRDefault="00CD45DB" w:rsidP="00254EC9">
            <w:pPr>
              <w:pStyle w:val="Tablehead"/>
              <w:rPr>
                <w:szCs w:val="22"/>
              </w:rPr>
            </w:pPr>
            <w:r w:rsidRPr="00F110C2">
              <w:rPr>
                <w:szCs w:val="22"/>
              </w:rPr>
              <w:t xml:space="preserve">Si la largeur de bande nécessaire </w:t>
            </w:r>
            <w:r w:rsidRPr="00F110C2">
              <w:rPr>
                <w:i/>
                <w:iCs/>
                <w:szCs w:val="22"/>
              </w:rPr>
              <w:t>B</w:t>
            </w:r>
            <w:r w:rsidRPr="00F110C2">
              <w:rPr>
                <w:i/>
                <w:iCs/>
                <w:szCs w:val="22"/>
                <w:vertAlign w:val="subscript"/>
              </w:rPr>
              <w:t>N</w:t>
            </w:r>
            <w:r w:rsidRPr="00F110C2">
              <w:rPr>
                <w:szCs w:val="22"/>
              </w:rPr>
              <w:t xml:space="preserve"> est:</w:t>
            </w:r>
          </w:p>
        </w:tc>
        <w:tc>
          <w:tcPr>
            <w:tcW w:w="2614" w:type="dxa"/>
            <w:tcBorders>
              <w:top w:val="single" w:sz="4" w:space="0" w:color="auto"/>
              <w:left w:val="single" w:sz="6" w:space="0" w:color="auto"/>
              <w:bottom w:val="single" w:sz="6" w:space="0" w:color="auto"/>
              <w:right w:val="single" w:sz="6" w:space="0" w:color="auto"/>
            </w:tcBorders>
            <w:vAlign w:val="center"/>
          </w:tcPr>
          <w:p w14:paraId="3E1806E0" w14:textId="77777777" w:rsidR="00CD45DB" w:rsidRPr="00F110C2" w:rsidRDefault="00CD45DB" w:rsidP="00254EC9">
            <w:pPr>
              <w:pStyle w:val="Tablehead"/>
              <w:rPr>
                <w:szCs w:val="22"/>
              </w:rPr>
            </w:pPr>
            <w:r w:rsidRPr="00F110C2">
              <w:rPr>
                <w:szCs w:val="22"/>
              </w:rPr>
              <w:t>Décalage (</w:t>
            </w:r>
            <w:r w:rsidRPr="00F110C2">
              <w:rPr>
                <w:szCs w:val="22"/>
              </w:rPr>
              <w:sym w:font="Symbol" w:char="F0B1"/>
            </w:r>
            <w:r w:rsidRPr="00F110C2">
              <w:rPr>
                <w:szCs w:val="22"/>
              </w:rPr>
              <w:t>) par rapport au centre de la largeur de bande nécessaire pour le début du domaine des émissions hors bande</w:t>
            </w:r>
          </w:p>
        </w:tc>
        <w:tc>
          <w:tcPr>
            <w:tcW w:w="3118" w:type="dxa"/>
            <w:tcBorders>
              <w:top w:val="single" w:sz="4" w:space="0" w:color="auto"/>
              <w:left w:val="single" w:sz="6" w:space="0" w:color="auto"/>
              <w:bottom w:val="single" w:sz="6" w:space="0" w:color="auto"/>
              <w:right w:val="single" w:sz="4" w:space="0" w:color="auto"/>
            </w:tcBorders>
            <w:vAlign w:val="center"/>
          </w:tcPr>
          <w:p w14:paraId="3ACC9984" w14:textId="77777777" w:rsidR="00CD45DB" w:rsidRPr="00F110C2" w:rsidRDefault="00CD45DB" w:rsidP="00254EC9">
            <w:pPr>
              <w:pStyle w:val="Tablehead"/>
              <w:rPr>
                <w:szCs w:val="22"/>
              </w:rPr>
            </w:pPr>
            <w:r w:rsidRPr="00F110C2">
              <w:rPr>
                <w:szCs w:val="22"/>
              </w:rPr>
              <w:t>Espacement entre la fréquence centrale et la frontière des rayonnements non essentiels</w:t>
            </w:r>
          </w:p>
        </w:tc>
      </w:tr>
      <w:tr w:rsidR="00CD45DB" w:rsidRPr="00F110C2" w14:paraId="0030AF63" w14:textId="77777777" w:rsidTr="00311649">
        <w:trPr>
          <w:jc w:val="center"/>
        </w:trPr>
        <w:tc>
          <w:tcPr>
            <w:tcW w:w="1489" w:type="dxa"/>
            <w:tcBorders>
              <w:top w:val="single" w:sz="6" w:space="0" w:color="auto"/>
              <w:left w:val="single" w:sz="4" w:space="0" w:color="auto"/>
              <w:bottom w:val="single" w:sz="6" w:space="0" w:color="auto"/>
              <w:right w:val="single" w:sz="6" w:space="0" w:color="auto"/>
            </w:tcBorders>
          </w:tcPr>
          <w:p w14:paraId="29B91B9F" w14:textId="77777777" w:rsidR="00CD45DB" w:rsidRPr="00F110C2" w:rsidRDefault="00CD45DB" w:rsidP="00254EC9">
            <w:pPr>
              <w:pStyle w:val="Tabletext"/>
              <w:jc w:val="left"/>
              <w:rPr>
                <w:szCs w:val="22"/>
              </w:rPr>
            </w:pPr>
            <w:r w:rsidRPr="00F110C2">
              <w:rPr>
                <w:szCs w:val="22"/>
              </w:rPr>
              <w:t>Bande étroite</w:t>
            </w:r>
          </w:p>
        </w:tc>
        <w:tc>
          <w:tcPr>
            <w:tcW w:w="1976" w:type="dxa"/>
            <w:tcBorders>
              <w:top w:val="single" w:sz="6" w:space="0" w:color="auto"/>
              <w:left w:val="single" w:sz="6" w:space="0" w:color="auto"/>
              <w:bottom w:val="single" w:sz="6" w:space="0" w:color="auto"/>
              <w:right w:val="single" w:sz="6" w:space="0" w:color="auto"/>
            </w:tcBorders>
          </w:tcPr>
          <w:p w14:paraId="3D65727C" w14:textId="77777777" w:rsidR="00CD45DB" w:rsidRPr="00F110C2" w:rsidRDefault="00CD45DB" w:rsidP="00254EC9">
            <w:pPr>
              <w:pStyle w:val="Tabletext"/>
              <w:jc w:val="center"/>
              <w:rPr>
                <w:szCs w:val="22"/>
              </w:rPr>
            </w:pPr>
            <w:r w:rsidRPr="00F110C2">
              <w:rPr>
                <w:szCs w:val="22"/>
              </w:rPr>
              <w:t>&lt; </w:t>
            </w:r>
            <w:r w:rsidRPr="00F110C2">
              <w:rPr>
                <w:i/>
                <w:iCs/>
                <w:szCs w:val="22"/>
              </w:rPr>
              <w:t>B</w:t>
            </w:r>
            <w:r w:rsidRPr="00F110C2">
              <w:rPr>
                <w:i/>
                <w:iCs/>
                <w:position w:val="-4"/>
                <w:szCs w:val="22"/>
                <w:vertAlign w:val="subscript"/>
              </w:rPr>
              <w:t>L</w:t>
            </w:r>
            <w:r w:rsidRPr="00F110C2">
              <w:rPr>
                <w:szCs w:val="22"/>
              </w:rPr>
              <w:t xml:space="preserve"> (voir la Note 1)</w:t>
            </w:r>
          </w:p>
        </w:tc>
        <w:tc>
          <w:tcPr>
            <w:tcW w:w="2614" w:type="dxa"/>
            <w:tcBorders>
              <w:top w:val="single" w:sz="6" w:space="0" w:color="auto"/>
              <w:left w:val="single" w:sz="6" w:space="0" w:color="auto"/>
              <w:bottom w:val="single" w:sz="6" w:space="0" w:color="auto"/>
              <w:right w:val="single" w:sz="6" w:space="0" w:color="auto"/>
            </w:tcBorders>
          </w:tcPr>
          <w:p w14:paraId="77E5E313" w14:textId="77777777" w:rsidR="00CD45DB" w:rsidRPr="00F110C2" w:rsidRDefault="00CD45DB" w:rsidP="00254EC9">
            <w:pPr>
              <w:pStyle w:val="Tabletext"/>
              <w:jc w:val="center"/>
              <w:rPr>
                <w:szCs w:val="22"/>
              </w:rPr>
            </w:pPr>
            <w:r w:rsidRPr="00F110C2">
              <w:rPr>
                <w:szCs w:val="22"/>
              </w:rPr>
              <w:t xml:space="preserve">0,5 </w:t>
            </w:r>
            <w:r w:rsidRPr="00F110C2">
              <w:rPr>
                <w:i/>
                <w:szCs w:val="22"/>
              </w:rPr>
              <w:t>B</w:t>
            </w:r>
            <w:r w:rsidRPr="00F110C2">
              <w:rPr>
                <w:i/>
                <w:position w:val="-4"/>
                <w:szCs w:val="22"/>
                <w:vertAlign w:val="subscript"/>
              </w:rPr>
              <w:t>N</w:t>
            </w:r>
          </w:p>
        </w:tc>
        <w:tc>
          <w:tcPr>
            <w:tcW w:w="3118" w:type="dxa"/>
            <w:tcBorders>
              <w:top w:val="single" w:sz="6" w:space="0" w:color="auto"/>
              <w:left w:val="single" w:sz="6" w:space="0" w:color="auto"/>
              <w:bottom w:val="single" w:sz="6" w:space="0" w:color="auto"/>
              <w:right w:val="single" w:sz="4" w:space="0" w:color="auto"/>
            </w:tcBorders>
          </w:tcPr>
          <w:p w14:paraId="49453C8C" w14:textId="77777777" w:rsidR="00CD45DB" w:rsidRPr="00F110C2" w:rsidRDefault="00CD45DB" w:rsidP="00254EC9">
            <w:pPr>
              <w:pStyle w:val="Tabletext"/>
              <w:jc w:val="center"/>
              <w:rPr>
                <w:szCs w:val="22"/>
              </w:rPr>
            </w:pPr>
            <w:r w:rsidRPr="00F110C2">
              <w:rPr>
                <w:szCs w:val="22"/>
              </w:rPr>
              <w:t>2,5 </w:t>
            </w:r>
            <w:r w:rsidRPr="00F110C2">
              <w:rPr>
                <w:i/>
                <w:szCs w:val="22"/>
              </w:rPr>
              <w:t>B</w:t>
            </w:r>
            <w:r w:rsidRPr="00F110C2">
              <w:rPr>
                <w:i/>
                <w:position w:val="-4"/>
                <w:szCs w:val="22"/>
                <w:vertAlign w:val="subscript"/>
              </w:rPr>
              <w:t>L</w:t>
            </w:r>
          </w:p>
        </w:tc>
      </w:tr>
      <w:tr w:rsidR="00CD45DB" w:rsidRPr="00F110C2" w14:paraId="1028D364" w14:textId="77777777" w:rsidTr="00311649">
        <w:trPr>
          <w:jc w:val="center"/>
        </w:trPr>
        <w:tc>
          <w:tcPr>
            <w:tcW w:w="1489" w:type="dxa"/>
            <w:tcBorders>
              <w:top w:val="single" w:sz="6" w:space="0" w:color="auto"/>
              <w:left w:val="single" w:sz="4" w:space="0" w:color="auto"/>
              <w:bottom w:val="single" w:sz="6" w:space="0" w:color="auto"/>
              <w:right w:val="single" w:sz="6" w:space="0" w:color="auto"/>
            </w:tcBorders>
          </w:tcPr>
          <w:p w14:paraId="66C52B59" w14:textId="77777777" w:rsidR="00CD45DB" w:rsidRPr="00F110C2" w:rsidRDefault="00CD45DB" w:rsidP="00254EC9">
            <w:pPr>
              <w:pStyle w:val="Tabletext"/>
              <w:jc w:val="left"/>
              <w:rPr>
                <w:szCs w:val="22"/>
              </w:rPr>
            </w:pPr>
            <w:r w:rsidRPr="00F110C2">
              <w:rPr>
                <w:szCs w:val="22"/>
              </w:rPr>
              <w:t>Normale</w:t>
            </w:r>
          </w:p>
        </w:tc>
        <w:tc>
          <w:tcPr>
            <w:tcW w:w="1976" w:type="dxa"/>
            <w:tcBorders>
              <w:top w:val="single" w:sz="6" w:space="0" w:color="auto"/>
              <w:left w:val="single" w:sz="6" w:space="0" w:color="auto"/>
              <w:bottom w:val="single" w:sz="6" w:space="0" w:color="auto"/>
              <w:right w:val="single" w:sz="6" w:space="0" w:color="auto"/>
            </w:tcBorders>
          </w:tcPr>
          <w:p w14:paraId="351CF2FD" w14:textId="77777777" w:rsidR="00CD45DB" w:rsidRPr="00F110C2" w:rsidRDefault="00CD45DB" w:rsidP="00254EC9">
            <w:pPr>
              <w:pStyle w:val="Tabletext"/>
              <w:jc w:val="center"/>
              <w:rPr>
                <w:szCs w:val="22"/>
              </w:rPr>
            </w:pPr>
            <w:r w:rsidRPr="00F110C2">
              <w:rPr>
                <w:szCs w:val="22"/>
              </w:rPr>
              <w:t xml:space="preserve">Comprise entre </w:t>
            </w:r>
            <w:r w:rsidRPr="00F110C2">
              <w:rPr>
                <w:i/>
                <w:iCs/>
                <w:szCs w:val="22"/>
              </w:rPr>
              <w:t>B</w:t>
            </w:r>
            <w:r w:rsidRPr="00F110C2">
              <w:rPr>
                <w:i/>
                <w:iCs/>
                <w:position w:val="-4"/>
                <w:szCs w:val="22"/>
                <w:vertAlign w:val="subscript"/>
              </w:rPr>
              <w:t>L</w:t>
            </w:r>
            <w:r w:rsidRPr="00F110C2">
              <w:rPr>
                <w:szCs w:val="22"/>
              </w:rPr>
              <w:t> et </w:t>
            </w:r>
            <w:r w:rsidRPr="00F110C2">
              <w:rPr>
                <w:i/>
                <w:iCs/>
                <w:szCs w:val="22"/>
              </w:rPr>
              <w:t>B</w:t>
            </w:r>
            <w:r w:rsidRPr="00F110C2">
              <w:rPr>
                <w:i/>
                <w:iCs/>
                <w:position w:val="-4"/>
                <w:szCs w:val="22"/>
                <w:vertAlign w:val="subscript"/>
              </w:rPr>
              <w:t>U</w:t>
            </w:r>
          </w:p>
        </w:tc>
        <w:tc>
          <w:tcPr>
            <w:tcW w:w="2614" w:type="dxa"/>
            <w:tcBorders>
              <w:top w:val="single" w:sz="6" w:space="0" w:color="auto"/>
              <w:left w:val="single" w:sz="6" w:space="0" w:color="auto"/>
              <w:bottom w:val="single" w:sz="6" w:space="0" w:color="auto"/>
              <w:right w:val="single" w:sz="6" w:space="0" w:color="auto"/>
            </w:tcBorders>
          </w:tcPr>
          <w:p w14:paraId="32A2AD3A" w14:textId="77777777" w:rsidR="00CD45DB" w:rsidRPr="00F110C2" w:rsidRDefault="00CD45DB" w:rsidP="00254EC9">
            <w:pPr>
              <w:pStyle w:val="Tabletext"/>
              <w:jc w:val="center"/>
              <w:rPr>
                <w:szCs w:val="22"/>
              </w:rPr>
            </w:pPr>
            <w:r w:rsidRPr="00F110C2">
              <w:rPr>
                <w:szCs w:val="22"/>
              </w:rPr>
              <w:t xml:space="preserve">0,5 </w:t>
            </w:r>
            <w:r w:rsidRPr="00F110C2">
              <w:rPr>
                <w:i/>
                <w:szCs w:val="22"/>
              </w:rPr>
              <w:t>B</w:t>
            </w:r>
            <w:r w:rsidRPr="00F110C2">
              <w:rPr>
                <w:i/>
                <w:position w:val="-4"/>
                <w:szCs w:val="22"/>
                <w:vertAlign w:val="subscript"/>
              </w:rPr>
              <w:t>N</w:t>
            </w:r>
          </w:p>
        </w:tc>
        <w:tc>
          <w:tcPr>
            <w:tcW w:w="3118" w:type="dxa"/>
            <w:tcBorders>
              <w:top w:val="single" w:sz="6" w:space="0" w:color="auto"/>
              <w:left w:val="single" w:sz="6" w:space="0" w:color="auto"/>
              <w:bottom w:val="single" w:sz="6" w:space="0" w:color="auto"/>
              <w:right w:val="single" w:sz="4" w:space="0" w:color="auto"/>
            </w:tcBorders>
          </w:tcPr>
          <w:p w14:paraId="25DC5154" w14:textId="77777777" w:rsidR="00CD45DB" w:rsidRPr="00F110C2" w:rsidRDefault="00CD45DB" w:rsidP="00254EC9">
            <w:pPr>
              <w:pStyle w:val="Tabletext"/>
              <w:jc w:val="center"/>
              <w:rPr>
                <w:szCs w:val="22"/>
              </w:rPr>
            </w:pPr>
            <w:r w:rsidRPr="00F110C2">
              <w:rPr>
                <w:szCs w:val="22"/>
              </w:rPr>
              <w:t>2,5 </w:t>
            </w:r>
            <w:r w:rsidRPr="00F110C2">
              <w:rPr>
                <w:i/>
                <w:szCs w:val="22"/>
              </w:rPr>
              <w:t>B</w:t>
            </w:r>
            <w:r w:rsidRPr="00F110C2">
              <w:rPr>
                <w:i/>
                <w:position w:val="-4"/>
                <w:szCs w:val="22"/>
                <w:vertAlign w:val="subscript"/>
              </w:rPr>
              <w:t>N</w:t>
            </w:r>
          </w:p>
        </w:tc>
      </w:tr>
      <w:tr w:rsidR="00CD45DB" w:rsidRPr="00F110C2" w14:paraId="4778F3B2" w14:textId="77777777" w:rsidTr="00311649">
        <w:trPr>
          <w:jc w:val="center"/>
        </w:trPr>
        <w:tc>
          <w:tcPr>
            <w:tcW w:w="1489" w:type="dxa"/>
            <w:tcBorders>
              <w:top w:val="single" w:sz="6" w:space="0" w:color="auto"/>
              <w:left w:val="single" w:sz="4" w:space="0" w:color="auto"/>
              <w:bottom w:val="single" w:sz="6" w:space="0" w:color="auto"/>
              <w:right w:val="single" w:sz="6" w:space="0" w:color="auto"/>
            </w:tcBorders>
          </w:tcPr>
          <w:p w14:paraId="09426EEF" w14:textId="77777777" w:rsidR="00CD45DB" w:rsidRPr="00F110C2" w:rsidRDefault="00CD45DB" w:rsidP="00254EC9">
            <w:pPr>
              <w:pStyle w:val="Tabletext"/>
              <w:jc w:val="left"/>
              <w:rPr>
                <w:szCs w:val="22"/>
              </w:rPr>
            </w:pPr>
            <w:r w:rsidRPr="00F110C2">
              <w:rPr>
                <w:szCs w:val="22"/>
              </w:rPr>
              <w:t>Large bande</w:t>
            </w:r>
          </w:p>
        </w:tc>
        <w:tc>
          <w:tcPr>
            <w:tcW w:w="1976" w:type="dxa"/>
            <w:tcBorders>
              <w:top w:val="single" w:sz="6" w:space="0" w:color="auto"/>
              <w:left w:val="single" w:sz="6" w:space="0" w:color="auto"/>
              <w:bottom w:val="single" w:sz="6" w:space="0" w:color="auto"/>
              <w:right w:val="single" w:sz="6" w:space="0" w:color="auto"/>
            </w:tcBorders>
          </w:tcPr>
          <w:p w14:paraId="54A684DD" w14:textId="77777777" w:rsidR="00CD45DB" w:rsidRPr="00F110C2" w:rsidRDefault="00CD45DB" w:rsidP="00254EC9">
            <w:pPr>
              <w:pStyle w:val="Tabletext"/>
              <w:jc w:val="center"/>
              <w:rPr>
                <w:szCs w:val="22"/>
              </w:rPr>
            </w:pPr>
            <w:r w:rsidRPr="00F110C2">
              <w:rPr>
                <w:szCs w:val="22"/>
              </w:rPr>
              <w:t>&gt; </w:t>
            </w:r>
            <w:r w:rsidRPr="00F110C2">
              <w:rPr>
                <w:i/>
                <w:iCs/>
                <w:szCs w:val="22"/>
              </w:rPr>
              <w:t>B</w:t>
            </w:r>
            <w:r w:rsidRPr="00F110C2">
              <w:rPr>
                <w:i/>
                <w:iCs/>
                <w:position w:val="-4"/>
                <w:szCs w:val="22"/>
                <w:vertAlign w:val="subscript"/>
              </w:rPr>
              <w:t>U</w:t>
            </w:r>
          </w:p>
        </w:tc>
        <w:tc>
          <w:tcPr>
            <w:tcW w:w="2614" w:type="dxa"/>
            <w:tcBorders>
              <w:top w:val="single" w:sz="6" w:space="0" w:color="auto"/>
              <w:left w:val="single" w:sz="6" w:space="0" w:color="auto"/>
              <w:bottom w:val="single" w:sz="6" w:space="0" w:color="auto"/>
              <w:right w:val="single" w:sz="6" w:space="0" w:color="auto"/>
            </w:tcBorders>
            <w:vAlign w:val="center"/>
          </w:tcPr>
          <w:p w14:paraId="1343FB6A" w14:textId="77777777" w:rsidR="00CD45DB" w:rsidRPr="00F110C2" w:rsidRDefault="00CD45DB" w:rsidP="00254EC9">
            <w:pPr>
              <w:pStyle w:val="Tabletext"/>
              <w:jc w:val="center"/>
              <w:rPr>
                <w:szCs w:val="22"/>
              </w:rPr>
            </w:pPr>
            <w:r w:rsidRPr="00F110C2">
              <w:rPr>
                <w:szCs w:val="22"/>
              </w:rPr>
              <w:t xml:space="preserve">0,5 </w:t>
            </w:r>
            <w:r w:rsidRPr="00F110C2">
              <w:rPr>
                <w:i/>
                <w:szCs w:val="22"/>
              </w:rPr>
              <w:t>B</w:t>
            </w:r>
            <w:r w:rsidRPr="00F110C2">
              <w:rPr>
                <w:i/>
                <w:position w:val="-4"/>
                <w:szCs w:val="22"/>
                <w:vertAlign w:val="subscript"/>
              </w:rPr>
              <w:t>N</w:t>
            </w:r>
          </w:p>
        </w:tc>
        <w:tc>
          <w:tcPr>
            <w:tcW w:w="3118" w:type="dxa"/>
            <w:tcBorders>
              <w:top w:val="single" w:sz="6" w:space="0" w:color="auto"/>
              <w:left w:val="single" w:sz="6" w:space="0" w:color="auto"/>
              <w:bottom w:val="single" w:sz="6" w:space="0" w:color="auto"/>
              <w:right w:val="single" w:sz="4" w:space="0" w:color="auto"/>
            </w:tcBorders>
            <w:vAlign w:val="center"/>
          </w:tcPr>
          <w:p w14:paraId="3210BEEA" w14:textId="7B457377" w:rsidR="00CD45DB" w:rsidRPr="00F110C2" w:rsidRDefault="00CD45DB" w:rsidP="00254EC9">
            <w:pPr>
              <w:pStyle w:val="Tabletext"/>
              <w:jc w:val="center"/>
              <w:rPr>
                <w:szCs w:val="22"/>
              </w:rPr>
            </w:pPr>
            <w:r w:rsidRPr="00F110C2">
              <w:rPr>
                <w:i/>
                <w:iCs/>
                <w:szCs w:val="22"/>
              </w:rPr>
              <w:t>B</w:t>
            </w:r>
            <w:r w:rsidRPr="00F110C2">
              <w:rPr>
                <w:i/>
                <w:iCs/>
                <w:position w:val="-4"/>
                <w:szCs w:val="22"/>
                <w:vertAlign w:val="subscript"/>
              </w:rPr>
              <w:t>U</w:t>
            </w:r>
            <w:r w:rsidRPr="00F110C2">
              <w:rPr>
                <w:szCs w:val="22"/>
              </w:rPr>
              <w:t> + (1,5 </w:t>
            </w:r>
            <w:r w:rsidRPr="00F110C2">
              <w:rPr>
                <w:i/>
                <w:szCs w:val="22"/>
              </w:rPr>
              <w:t>B</w:t>
            </w:r>
            <w:r w:rsidRPr="00F110C2">
              <w:rPr>
                <w:i/>
                <w:position w:val="-4"/>
                <w:szCs w:val="22"/>
                <w:vertAlign w:val="subscript"/>
              </w:rPr>
              <w:t>N</w:t>
            </w:r>
            <w:r w:rsidR="00C05C97" w:rsidRPr="00F110C2">
              <w:rPr>
                <w:szCs w:val="22"/>
              </w:rPr>
              <w:t>)</w:t>
            </w:r>
          </w:p>
        </w:tc>
      </w:tr>
      <w:tr w:rsidR="00CD45DB" w:rsidRPr="00F110C2" w14:paraId="63E25F8B" w14:textId="77777777" w:rsidTr="00C05C97">
        <w:trPr>
          <w:trHeight w:val="739"/>
          <w:jc w:val="center"/>
        </w:trPr>
        <w:tc>
          <w:tcPr>
            <w:tcW w:w="9197" w:type="dxa"/>
            <w:gridSpan w:val="4"/>
            <w:tcBorders>
              <w:top w:val="single" w:sz="6" w:space="0" w:color="auto"/>
              <w:left w:val="nil"/>
              <w:bottom w:val="nil"/>
              <w:right w:val="nil"/>
            </w:tcBorders>
          </w:tcPr>
          <w:p w14:paraId="0629C198" w14:textId="5A9B4E39" w:rsidR="00CD45DB" w:rsidRPr="00F110C2" w:rsidRDefault="00CD45DB" w:rsidP="00254EC9">
            <w:pPr>
              <w:pStyle w:val="Tabletext"/>
              <w:rPr>
                <w:szCs w:val="22"/>
              </w:rPr>
            </w:pPr>
            <w:r w:rsidRPr="00F110C2">
              <w:rPr>
                <w:szCs w:val="22"/>
              </w:rPr>
              <w:t>NOTE 1 </w:t>
            </w:r>
            <w:r w:rsidR="0023743D" w:rsidRPr="00F110C2">
              <w:t>–</w:t>
            </w:r>
            <w:r w:rsidRPr="00F110C2">
              <w:rPr>
                <w:szCs w:val="22"/>
              </w:rPr>
              <w:t xml:space="preserve"> Lorsque </w:t>
            </w:r>
            <w:r w:rsidRPr="00F110C2">
              <w:rPr>
                <w:i/>
                <w:iCs/>
                <w:szCs w:val="22"/>
              </w:rPr>
              <w:t>B</w:t>
            </w:r>
            <w:r w:rsidRPr="00F110C2">
              <w:rPr>
                <w:i/>
                <w:iCs/>
                <w:szCs w:val="22"/>
                <w:vertAlign w:val="subscript"/>
              </w:rPr>
              <w:t>N</w:t>
            </w:r>
            <w:r w:rsidRPr="00F110C2">
              <w:rPr>
                <w:szCs w:val="22"/>
              </w:rPr>
              <w:t xml:space="preserve"> &lt; </w:t>
            </w:r>
            <w:r w:rsidRPr="00F110C2">
              <w:rPr>
                <w:i/>
                <w:iCs/>
                <w:szCs w:val="22"/>
              </w:rPr>
              <w:t>B</w:t>
            </w:r>
            <w:r w:rsidRPr="00F110C2">
              <w:rPr>
                <w:i/>
                <w:iCs/>
                <w:szCs w:val="22"/>
                <w:vertAlign w:val="subscript"/>
              </w:rPr>
              <w:t>L</w:t>
            </w:r>
            <w:r w:rsidRPr="00F110C2">
              <w:rPr>
                <w:szCs w:val="22"/>
              </w:rPr>
              <w:t xml:space="preserve">, aucun affaiblissement des rayonnements non désirés n'est recommandé pour des fréquences espacées de plus de 0,5 </w:t>
            </w:r>
            <w:r w:rsidRPr="00F110C2">
              <w:rPr>
                <w:i/>
                <w:iCs/>
                <w:szCs w:val="22"/>
              </w:rPr>
              <w:t>B</w:t>
            </w:r>
            <w:r w:rsidRPr="00F110C2">
              <w:rPr>
                <w:i/>
                <w:iCs/>
                <w:szCs w:val="22"/>
                <w:vertAlign w:val="subscript"/>
              </w:rPr>
              <w:t>N</w:t>
            </w:r>
            <w:r w:rsidRPr="00F110C2">
              <w:rPr>
                <w:szCs w:val="22"/>
              </w:rPr>
              <w:t xml:space="preserve"> et de moins de 0,5 </w:t>
            </w:r>
            <w:r w:rsidRPr="00F110C2">
              <w:rPr>
                <w:i/>
                <w:iCs/>
                <w:szCs w:val="22"/>
              </w:rPr>
              <w:t>B</w:t>
            </w:r>
            <w:r w:rsidRPr="00F110C2">
              <w:rPr>
                <w:i/>
                <w:iCs/>
                <w:szCs w:val="22"/>
                <w:vertAlign w:val="subscript"/>
              </w:rPr>
              <w:t>L</w:t>
            </w:r>
            <w:r w:rsidRPr="00F110C2">
              <w:rPr>
                <w:szCs w:val="22"/>
              </w:rPr>
              <w:t xml:space="preserve"> par rapport à la fréquence centrale.</w:t>
            </w:r>
          </w:p>
          <w:p w14:paraId="0AF4941A" w14:textId="2EA075DE" w:rsidR="00CD45DB" w:rsidRPr="00F110C2" w:rsidRDefault="00CD45DB" w:rsidP="00254EC9">
            <w:pPr>
              <w:pStyle w:val="Tabletext"/>
              <w:rPr>
                <w:szCs w:val="22"/>
              </w:rPr>
            </w:pPr>
            <w:r w:rsidRPr="00F110C2">
              <w:rPr>
                <w:szCs w:val="22"/>
              </w:rPr>
              <w:t>NOTE 2 </w:t>
            </w:r>
            <w:r w:rsidR="0023743D" w:rsidRPr="00F110C2">
              <w:t>–</w:t>
            </w:r>
            <w:r w:rsidRPr="00F110C2">
              <w:rPr>
                <w:szCs w:val="22"/>
              </w:rPr>
              <w:t> </w:t>
            </w:r>
            <w:r w:rsidRPr="00F110C2">
              <w:rPr>
                <w:i/>
                <w:iCs/>
                <w:szCs w:val="22"/>
              </w:rPr>
              <w:t>B</w:t>
            </w:r>
            <w:r w:rsidRPr="00F110C2">
              <w:rPr>
                <w:i/>
                <w:iCs/>
                <w:szCs w:val="22"/>
                <w:vertAlign w:val="subscript"/>
              </w:rPr>
              <w:t>L</w:t>
            </w:r>
            <w:r w:rsidRPr="00F110C2">
              <w:rPr>
                <w:szCs w:val="22"/>
              </w:rPr>
              <w:t xml:space="preserve"> et </w:t>
            </w:r>
            <w:r w:rsidRPr="00F110C2">
              <w:rPr>
                <w:i/>
                <w:iCs/>
                <w:szCs w:val="22"/>
              </w:rPr>
              <w:t>B</w:t>
            </w:r>
            <w:r w:rsidRPr="00F110C2">
              <w:rPr>
                <w:i/>
                <w:iCs/>
                <w:szCs w:val="22"/>
                <w:vertAlign w:val="subscript"/>
              </w:rPr>
              <w:t>U</w:t>
            </w:r>
            <w:r w:rsidRPr="00F110C2">
              <w:rPr>
                <w:szCs w:val="22"/>
              </w:rPr>
              <w:t xml:space="preserve"> sont données dans la Recommandation UIT-R SM.1539.</w:t>
            </w:r>
          </w:p>
        </w:tc>
      </w:tr>
    </w:tbl>
    <w:p w14:paraId="7E7836E0" w14:textId="77777777" w:rsidR="00CD45DB" w:rsidRPr="00F110C2" w:rsidRDefault="00CD45DB" w:rsidP="00254EC9">
      <w:pPr>
        <w:pStyle w:val="Tablefin"/>
      </w:pPr>
    </w:p>
    <w:p w14:paraId="64DE3858" w14:textId="77777777" w:rsidR="00CD45DB" w:rsidRPr="00F110C2" w:rsidRDefault="00CD45DB" w:rsidP="00254EC9">
      <w:pPr>
        <w:pStyle w:val="Heading3"/>
        <w:rPr>
          <w:bCs/>
          <w:snapToGrid w:val="0"/>
        </w:rPr>
      </w:pPr>
      <w:r w:rsidRPr="00F110C2">
        <w:rPr>
          <w:bCs/>
        </w:rPr>
        <w:t>2.3.1</w:t>
      </w:r>
      <w:r w:rsidRPr="00F110C2">
        <w:rPr>
          <w:bCs/>
        </w:rPr>
        <w:tab/>
        <w:t>Émissions monoporteuse</w:t>
      </w:r>
    </w:p>
    <w:p w14:paraId="3C24634F" w14:textId="77777777" w:rsidR="00CD45DB" w:rsidRPr="00F110C2" w:rsidRDefault="00CD45DB" w:rsidP="00254EC9">
      <w:pPr>
        <w:rPr>
          <w:snapToGrid w:val="0"/>
        </w:rPr>
      </w:pPr>
      <w:r w:rsidRPr="00F110C2">
        <w:rPr>
          <w:snapToGrid w:val="0"/>
        </w:rPr>
        <w:t>La valeur de la largeur de bande nécessaire à utiliser pour vérifier si une émission monoporteuse respecte les limites dans le domaine des émissions hors bande doit coïncider avec la valeur comprise dans le désignateur d'émission fourni au BR conformément à l'Appendice </w:t>
      </w:r>
      <w:r w:rsidRPr="00F110C2">
        <w:rPr>
          <w:b/>
          <w:snapToGrid w:val="0"/>
        </w:rPr>
        <w:t>4</w:t>
      </w:r>
      <w:r w:rsidRPr="00F110C2">
        <w:rPr>
          <w:snapToGrid w:val="0"/>
        </w:rPr>
        <w:t xml:space="preserve"> du RR.</w:t>
      </w:r>
    </w:p>
    <w:p w14:paraId="5B029149" w14:textId="77777777" w:rsidR="00CD45DB" w:rsidRPr="00F110C2" w:rsidRDefault="00CD45DB" w:rsidP="00254EC9">
      <w:pPr>
        <w:rPr>
          <w:snapToGrid w:val="0"/>
        </w:rPr>
      </w:pPr>
      <w:r w:rsidRPr="00F110C2">
        <w:rPr>
          <w:snapToGrid w:val="0"/>
        </w:rPr>
        <w:t>Pour certains systèmes, le gabarit des émissions hors bande est spécifié en termes de largeur de bande de canal ou d'espacement des canaux. On peut utiliser ces paramètres à la place de la largeur de bande nécessaire sous réserve de les trouver dans des Recommandations de l'UIT-R ou dans des réglementations régionales ou nationales applicables.</w:t>
      </w:r>
    </w:p>
    <w:p w14:paraId="0C8C7138" w14:textId="77777777" w:rsidR="00CD45DB" w:rsidRPr="00F110C2" w:rsidRDefault="00CD45DB" w:rsidP="00254EC9">
      <w:pPr>
        <w:pStyle w:val="Heading3"/>
        <w:rPr>
          <w:bCs/>
          <w:snapToGrid w:val="0"/>
        </w:rPr>
      </w:pPr>
      <w:r w:rsidRPr="00F110C2">
        <w:rPr>
          <w:bCs/>
          <w:snapToGrid w:val="0"/>
        </w:rPr>
        <w:t>2.3.2</w:t>
      </w:r>
      <w:r w:rsidRPr="00F110C2">
        <w:rPr>
          <w:bCs/>
          <w:snapToGrid w:val="0"/>
        </w:rPr>
        <w:tab/>
        <w:t>Émissions multiporteuse</w:t>
      </w:r>
    </w:p>
    <w:p w14:paraId="02E020B4" w14:textId="77777777" w:rsidR="00CD45DB" w:rsidRPr="00F110C2" w:rsidRDefault="00CD45DB" w:rsidP="00254EC9">
      <w:pPr>
        <w:rPr>
          <w:snapToGrid w:val="0"/>
        </w:rPr>
      </w:pPr>
      <w:r w:rsidRPr="00F110C2">
        <w:rPr>
          <w:snapToGrid w:val="0"/>
        </w:rPr>
        <w:t>Les émetteurs ou répéteurs multiporteuse sont caractérisés par la possibilité de transmettre plusieurs porteuses simultanément à partir d'un amplificateur final ou d'une antenne active.</w:t>
      </w:r>
    </w:p>
    <w:p w14:paraId="6B534512" w14:textId="77777777" w:rsidR="00CD45DB" w:rsidRPr="00F110C2" w:rsidRDefault="00CD45DB" w:rsidP="00254EC9">
      <w:r w:rsidRPr="00F110C2">
        <w:rPr>
          <w:snapToGrid w:val="0"/>
        </w:rPr>
        <w:t xml:space="preserve">Pour les systèmes multiporteuse, le domaine des émissions hors bande doit commencer à chaque bord de la largeur de bande assignée totale. Pour les systèmes à </w:t>
      </w:r>
      <w:r w:rsidRPr="00F110C2">
        <w:t>satellites, il convient de considérer que la largeur de bande nécessaire utilisée dans les gabarits des émissions hors bande fournis à l'Annexe 5 de la présente Recommandation et servant à déterminer la largeur du domaine des émissions hors bande correspond à la plus petite des deux valeurs suivantes: la valeur de la largeur de bande à 3 dB du répéteur et la valeur de la largeur de bande assignée totale (l'Annexe 2 contient deux exemples montrant comment calculer le début et la fin du domaine des émissions hors bande pour les systèmes multiporteuse possédant un seul ou plusieurs répéteurs par satellite).</w:t>
      </w:r>
    </w:p>
    <w:p w14:paraId="748DBFC5" w14:textId="77777777" w:rsidR="00CD45DB" w:rsidRPr="00F110C2" w:rsidRDefault="00CD45DB" w:rsidP="00254EC9">
      <w:r w:rsidRPr="00F110C2">
        <w:t>En ce qui concerne les services spatiaux, la définition ci-dessus de la largeur de bande nécessaire s'applique lorsque toutes les porteuses ou certaines porteuses sont transmises simultanément.</w:t>
      </w:r>
    </w:p>
    <w:p w14:paraId="7D02DFA0" w14:textId="77777777" w:rsidR="00CD45DB" w:rsidRPr="00F110C2" w:rsidRDefault="00CD45DB" w:rsidP="00254EC9">
      <w:pPr>
        <w:pStyle w:val="Heading2"/>
      </w:pPr>
      <w:r w:rsidRPr="00F110C2">
        <w:lastRenderedPageBreak/>
        <w:t>2.4</w:t>
      </w:r>
      <w:r w:rsidRPr="00F110C2">
        <w:tab/>
        <w:t>Considérations relatives aux dBsd, dBc et dBpp</w:t>
      </w:r>
    </w:p>
    <w:p w14:paraId="7249EF17" w14:textId="77777777" w:rsidR="00CD45DB" w:rsidRPr="00F110C2" w:rsidRDefault="00CD45DB" w:rsidP="00254EC9">
      <w:pPr>
        <w:pStyle w:val="Heading3"/>
        <w:rPr>
          <w:bCs/>
        </w:rPr>
      </w:pPr>
      <w:r w:rsidRPr="00F110C2">
        <w:rPr>
          <w:bCs/>
        </w:rPr>
        <w:t>2.4.1</w:t>
      </w:r>
      <w:r w:rsidRPr="00F110C2">
        <w:rPr>
          <w:bCs/>
        </w:rPr>
        <w:tab/>
        <w:t>Signes positif et négatif des dBsd, dBc et dBpp</w:t>
      </w:r>
    </w:p>
    <w:p w14:paraId="196629D6" w14:textId="77777777" w:rsidR="00CD45DB" w:rsidRPr="00F110C2" w:rsidRDefault="00CD45DB" w:rsidP="00254EC9">
      <w:pPr>
        <w:keepNext/>
        <w:keepLines/>
      </w:pPr>
      <w:r w:rsidRPr="00F110C2">
        <w:t>Comme le dBsd est défini par rapport à une certaine densité spectrale de puissance de référence, la valeur en dBsd relative aux émissions hors bande est exprimée au moyen d'un nombre négatif (pour le cas usuel où la densité spectrale de puissance des émissions hors bande est inférieure à la densité spectrale de puissance de référence). Toutefois, si un terme tel que «dBsd au-dessous de zéro» ou «affaiblissement (dBsd)» est employé, la valeur relative aux émissions dans le domaine des émissions hors bande est exprimée au moyen d'un nombre positif.</w:t>
      </w:r>
    </w:p>
    <w:p w14:paraId="7F5FC08B" w14:textId="77777777" w:rsidR="00CD45DB" w:rsidRPr="00F110C2" w:rsidRDefault="00CD45DB" w:rsidP="00254EC9">
      <w:r w:rsidRPr="00F110C2">
        <w:t>Comme le dBc est défini par rapport à une certaine puissance de référence, la valeur en dBc relative aux émissions hors bande est exprimée au moyen d'un nombre négatif. Toutefois, si un terme tel que «dBc au-dessous de zéro» ou «affaiblissement (dBc)» est employé, la valeur relative aux émissions dans le domaine des émissions hors bande est exprimée au moyen d'un nombre positif.</w:t>
      </w:r>
    </w:p>
    <w:p w14:paraId="176A917B" w14:textId="77777777" w:rsidR="00CD45DB" w:rsidRPr="00F110C2" w:rsidRDefault="00CD45DB" w:rsidP="00254EC9">
      <w:r w:rsidRPr="00F110C2">
        <w:t>Comme le dBpp est défini par rapport à une certaine puissance de crête de référence, la valeur en dBpp relative aux émissions hors bande est exprimée au moyen d'un nombre négatif. Toutefois, si un terme tel que «dBpp au-dessous de zéro» ou «affaiblissement (dBpp)» est employé, la valeur relative aux émissions dans le domaine des émissions hors bande est exprimée au moyen d'un nombre positif.</w:t>
      </w:r>
    </w:p>
    <w:p w14:paraId="6E5BCE42" w14:textId="77777777" w:rsidR="00CD45DB" w:rsidRPr="00F110C2" w:rsidRDefault="00CD45DB" w:rsidP="00254EC9">
      <w:r w:rsidRPr="00F110C2">
        <w:t>L'Annexe 3 indique comment étiqueter les axes X et Y sur les gabarits en dBc et dBsd.</w:t>
      </w:r>
    </w:p>
    <w:p w14:paraId="5304AB1E" w14:textId="77777777" w:rsidR="00CD45DB" w:rsidRPr="00F110C2" w:rsidRDefault="00CD45DB" w:rsidP="00254EC9">
      <w:pPr>
        <w:pStyle w:val="Heading3"/>
        <w:rPr>
          <w:bCs/>
        </w:rPr>
      </w:pPr>
      <w:r w:rsidRPr="00F110C2">
        <w:rPr>
          <w:bCs/>
        </w:rPr>
        <w:t>2.4.2</w:t>
      </w:r>
      <w:r w:rsidRPr="00F110C2">
        <w:rPr>
          <w:bCs/>
        </w:rPr>
        <w:tab/>
        <w:t>Comparaisons entre le dBsd et le dBc</w:t>
      </w:r>
    </w:p>
    <w:p w14:paraId="75258286" w14:textId="77777777" w:rsidR="00CD45DB" w:rsidRPr="00F110C2" w:rsidRDefault="00CD45DB" w:rsidP="00254EC9">
      <w:pPr>
        <w:keepNext/>
        <w:keepLines/>
      </w:pPr>
      <w:r w:rsidRPr="00F110C2">
        <w:t>Comme le dBsd et le dBc n'ont pas la même référence de 0 dB, la même valeur numérique en dB risque de se traduire par des limites d'émission en dBsd qui sont plus strictes que les limites d'émission en dBc. La largeur de bande de référence choisie aura une incidence sur la valeur de cette différence. Il faut donc déterminer ensemble le type de gabarit, la largeur de bande de référence et les valeurs du gabarit.</w:t>
      </w:r>
    </w:p>
    <w:p w14:paraId="3B0D4CB6" w14:textId="77777777" w:rsidR="00CD45DB" w:rsidRPr="00F110C2" w:rsidRDefault="00CD45DB" w:rsidP="00254EC9">
      <w:pPr>
        <w:pStyle w:val="Heading3"/>
        <w:rPr>
          <w:bCs/>
        </w:rPr>
      </w:pPr>
      <w:r w:rsidRPr="00F110C2">
        <w:rPr>
          <w:bCs/>
        </w:rPr>
        <w:t>2.4.3</w:t>
      </w:r>
      <w:r w:rsidRPr="00F110C2">
        <w:rPr>
          <w:bCs/>
        </w:rPr>
        <w:tab/>
        <w:t>Application pratique des limites en dBsd, dBc et dBpp</w:t>
      </w:r>
    </w:p>
    <w:p w14:paraId="0844A9AD" w14:textId="77777777" w:rsidR="00CD45DB" w:rsidRPr="00F110C2" w:rsidRDefault="00CD45DB" w:rsidP="00254EC9">
      <w:r w:rsidRPr="00F110C2">
        <w:t>Le dBsd peut être plus pratique pour les applications suivantes:</w:t>
      </w:r>
    </w:p>
    <w:p w14:paraId="4D2E173B" w14:textId="0C6608A0" w:rsidR="00CD45DB" w:rsidRPr="00F110C2" w:rsidRDefault="0023743D" w:rsidP="00254EC9">
      <w:pPr>
        <w:pStyle w:val="enumlev1"/>
      </w:pPr>
      <w:r w:rsidRPr="00F110C2">
        <w:t>–</w:t>
      </w:r>
      <w:r w:rsidR="00CD45DB" w:rsidRPr="00F110C2">
        <w:tab/>
        <w:t>modulation numérique;</w:t>
      </w:r>
    </w:p>
    <w:p w14:paraId="7C3E13E9" w14:textId="154D7D79" w:rsidR="00CD45DB" w:rsidRPr="00F110C2" w:rsidRDefault="0023743D" w:rsidP="00254EC9">
      <w:pPr>
        <w:pStyle w:val="enumlev1"/>
      </w:pPr>
      <w:r w:rsidRPr="00F110C2">
        <w:t>–</w:t>
      </w:r>
      <w:r w:rsidR="00CD45DB" w:rsidRPr="00F110C2">
        <w:tab/>
        <w:t>formats de modulation dans lesquels la mesure de la porteuse est impossible.</w:t>
      </w:r>
    </w:p>
    <w:p w14:paraId="748EDDE8" w14:textId="77777777" w:rsidR="00CD45DB" w:rsidRPr="00F110C2" w:rsidRDefault="00CD45DB" w:rsidP="00254EC9">
      <w:r w:rsidRPr="00F110C2">
        <w:t>Le dBc peut être plus pratique pour les applications suivantes:</w:t>
      </w:r>
    </w:p>
    <w:p w14:paraId="27E40EAF" w14:textId="2B8BC33E" w:rsidR="00CD45DB" w:rsidRPr="00F110C2" w:rsidRDefault="0023743D" w:rsidP="00254EC9">
      <w:pPr>
        <w:pStyle w:val="enumlev1"/>
      </w:pPr>
      <w:r w:rsidRPr="00F110C2">
        <w:t>–</w:t>
      </w:r>
      <w:r w:rsidR="00CD45DB" w:rsidRPr="00F110C2">
        <w:tab/>
        <w:t>modulation analogique;</w:t>
      </w:r>
    </w:p>
    <w:p w14:paraId="73141DB9" w14:textId="2D0C1A2E" w:rsidR="00CD45DB" w:rsidRPr="00F110C2" w:rsidRDefault="0023743D" w:rsidP="00254EC9">
      <w:pPr>
        <w:pStyle w:val="enumlev1"/>
      </w:pPr>
      <w:r w:rsidRPr="00F110C2">
        <w:t>–</w:t>
      </w:r>
      <w:r w:rsidR="00CD45DB" w:rsidRPr="00F110C2">
        <w:tab/>
        <w:t>méthodes particulières de modulation numérique;</w:t>
      </w:r>
    </w:p>
    <w:p w14:paraId="65C52D5A" w14:textId="566B8C6F" w:rsidR="00CD45DB" w:rsidRPr="00F110C2" w:rsidRDefault="0023743D" w:rsidP="00254EC9">
      <w:pPr>
        <w:pStyle w:val="enumlev1"/>
      </w:pPr>
      <w:r w:rsidRPr="00F110C2">
        <w:t>–</w:t>
      </w:r>
      <w:r w:rsidR="00CD45DB" w:rsidRPr="00F110C2">
        <w:tab/>
        <w:t>limites subsidiaires pour les émissions discrètes contenues dans le domaine des émissions hors bande lorsque la densité spectrale est spécifiée par des valeurs en dBsd.</w:t>
      </w:r>
    </w:p>
    <w:p w14:paraId="5869CC4E" w14:textId="77777777" w:rsidR="00CD45DB" w:rsidRPr="00F110C2" w:rsidRDefault="00CD45DB" w:rsidP="00254EC9">
      <w:r w:rsidRPr="00F110C2">
        <w:t>Le dBpp peut être plus pratique pour les applications suivantes:</w:t>
      </w:r>
    </w:p>
    <w:p w14:paraId="6DCFBAC7" w14:textId="5D4DD1BD" w:rsidR="00CD45DB" w:rsidRPr="00F110C2" w:rsidRDefault="0023743D" w:rsidP="00254EC9">
      <w:pPr>
        <w:pStyle w:val="enumlev1"/>
      </w:pPr>
      <w:r w:rsidRPr="00F110C2">
        <w:t>–</w:t>
      </w:r>
      <w:r w:rsidR="00CD45DB" w:rsidRPr="00F110C2">
        <w:tab/>
        <w:t>méthodes particulières de modulation par impulsions (radar par exemple) et certaines méthodes particulières de transmission analogique;</w:t>
      </w:r>
    </w:p>
    <w:p w14:paraId="553D5A74" w14:textId="77777777" w:rsidR="00CD45DB" w:rsidRPr="00F110C2" w:rsidRDefault="00CD45DB" w:rsidP="00254EC9">
      <w:pPr>
        <w:pStyle w:val="Heading1"/>
        <w:rPr>
          <w:bCs/>
        </w:rPr>
      </w:pPr>
      <w:r w:rsidRPr="00F110C2">
        <w:rPr>
          <w:bCs/>
        </w:rPr>
        <w:t>3</w:t>
      </w:r>
      <w:r w:rsidRPr="00F110C2">
        <w:rPr>
          <w:bCs/>
        </w:rPr>
        <w:tab/>
        <w:t>Méthodes permettant de déterminer la conformité aux limites des émissions dans le domaine hors bande</w:t>
      </w:r>
    </w:p>
    <w:p w14:paraId="2DC3FF37" w14:textId="77777777" w:rsidR="00CD45DB" w:rsidRPr="00F110C2" w:rsidRDefault="00CD45DB" w:rsidP="00254EC9">
      <w:r w:rsidRPr="00F110C2">
        <w:t>d'utiliser la méthode fondée sur la puissance dans le canal adjacent et dans le canal deuxième adjacent ou la méthode fondée sur le gabarit des émissions hors bande, méthodes décrites dans l'Annexe 1, pour déterminer la conformité aux limites des émissions dans le domaine des émissions hors bande;</w:t>
      </w:r>
    </w:p>
    <w:p w14:paraId="5322AA1C" w14:textId="77777777" w:rsidR="00CD45DB" w:rsidRPr="00F110C2" w:rsidRDefault="00CD45DB" w:rsidP="00254EC9">
      <w:pPr>
        <w:pStyle w:val="Heading1"/>
        <w:rPr>
          <w:bCs/>
        </w:rPr>
      </w:pPr>
      <w:r w:rsidRPr="00F110C2">
        <w:rPr>
          <w:bCs/>
        </w:rPr>
        <w:lastRenderedPageBreak/>
        <w:t>4</w:t>
      </w:r>
      <w:r w:rsidRPr="00F110C2">
        <w:rPr>
          <w:bCs/>
        </w:rPr>
        <w:tab/>
        <w:t>Limites des émissions dans le domaine hors bande pour les émetteurs fonctionnant entre 9 kHz et 300 GHz</w:t>
      </w:r>
      <w:r w:rsidRPr="00F110C2">
        <w:rPr>
          <w:rStyle w:val="FootnoteReference"/>
          <w:bCs/>
        </w:rPr>
        <w:footnoteReference w:id="3"/>
      </w:r>
    </w:p>
    <w:p w14:paraId="73E4D8CC" w14:textId="77777777" w:rsidR="00CD45DB" w:rsidRPr="00F110C2" w:rsidRDefault="00CD45DB" w:rsidP="00254EC9">
      <w:r w:rsidRPr="00F110C2">
        <w:t>de considérer les limites spectrales spécifiées dans la présente Recommandation comme des limites génériques. Celles-ci correspondent généralement aux limites des émissions dans le domaine hors bande les moins restrictives fixées dans des réglementations nationales ou régionales et utilisées avec succès. On les appelle parfois limites de type filet de sécurité. Elles sont destinées à être utilisées dans des bandes où il n'est pas nécessaire d'imposer des limites plus strictes pour assurer la protection d'applications particulières (par exemple dans les zones à forte densité de stations de radiocommunication).</w:t>
      </w:r>
    </w:p>
    <w:p w14:paraId="2D5E0824" w14:textId="77777777" w:rsidR="00CD45DB" w:rsidRPr="00F110C2" w:rsidRDefault="00CD45DB" w:rsidP="00254EC9">
      <w:r w:rsidRPr="00F110C2">
        <w:t>Cela étant, les limites des émissions dans le domaine des émissions hors bande à appliquer aux émetteurs fonctionnant entre 9 kHz et 300 GHz doivent être telles qu'indiquées au Tableau 2.</w:t>
      </w:r>
    </w:p>
    <w:p w14:paraId="0B6B14A3" w14:textId="77777777" w:rsidR="00CD45DB" w:rsidRPr="00F110C2" w:rsidRDefault="00CD45DB" w:rsidP="00254EC9">
      <w:r w:rsidRPr="00F110C2">
        <w:t>L'applicabilité des Recommandations UIT-R SM.1541 et UIT-R SM.1540 est décrite dans l'Annexe 14.</w:t>
      </w:r>
    </w:p>
    <w:p w14:paraId="2603769A" w14:textId="77777777" w:rsidR="00CD45DB" w:rsidRPr="00F110C2" w:rsidRDefault="00CD45DB" w:rsidP="00254EC9">
      <w:r w:rsidRPr="00F110C2">
        <w:t>Les administrations devraient encourager l'établissement de limites des émissions dans le domaine hors bande plus spécifiques pour chaque système et dans chaque bande de fréquences. Ces limites tiendraient compte de l'application concrète, de la modulation et des capacités de filtrage du système ainsi que des systèmes fonctionnant à la même fréquence ou dans des bandes adjacentes, afin d'améliorer la compatibilité avec les autres services de radiocommunication.</w:t>
      </w:r>
    </w:p>
    <w:p w14:paraId="6DE9AD10" w14:textId="77777777" w:rsidR="00CD45DB" w:rsidRPr="00F110C2" w:rsidRDefault="00CD45DB" w:rsidP="00254EC9">
      <w:r w:rsidRPr="00F110C2">
        <w:t>L'Annexe 4 donne des exemples de Recommandations de l'UIT-R contenant de telles limites des émissions dans le domaine hors bande plus spécifiques pour certains systèmes dans certaines bandes de fréquences.</w:t>
      </w:r>
    </w:p>
    <w:p w14:paraId="38A124B7" w14:textId="77777777" w:rsidR="00CD45DB" w:rsidRPr="00F110C2" w:rsidRDefault="00CD45DB" w:rsidP="00254EC9">
      <w:pPr>
        <w:pStyle w:val="TableNo"/>
      </w:pPr>
      <w:r w:rsidRPr="00F110C2">
        <w:t>TABLEAU 2</w:t>
      </w:r>
    </w:p>
    <w:p w14:paraId="190A5B85" w14:textId="77777777" w:rsidR="00CD45DB" w:rsidRPr="00F110C2" w:rsidRDefault="00CD45DB" w:rsidP="00254EC9">
      <w:pPr>
        <w:pStyle w:val="Tabletitle"/>
      </w:pPr>
      <w:r w:rsidRPr="00F110C2">
        <w:t xml:space="preserve">Courbes limites du spectre des émissions dans le </w:t>
      </w:r>
      <w:r w:rsidRPr="00F110C2">
        <w:br/>
        <w:t>domaine des émissions hors bande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513"/>
        <w:gridCol w:w="3126"/>
      </w:tblGrid>
      <w:tr w:rsidR="00CD45DB" w:rsidRPr="00F110C2" w14:paraId="684C1272" w14:textId="77777777" w:rsidTr="00684270">
        <w:trPr>
          <w:jc w:val="center"/>
        </w:trPr>
        <w:tc>
          <w:tcPr>
            <w:tcW w:w="5670" w:type="dxa"/>
            <w:vAlign w:val="center"/>
          </w:tcPr>
          <w:p w14:paraId="3D65CB64" w14:textId="77777777" w:rsidR="00CD45DB" w:rsidRPr="00F110C2" w:rsidRDefault="00CD45DB" w:rsidP="00254EC9">
            <w:pPr>
              <w:pStyle w:val="Tablehead"/>
            </w:pPr>
            <w:r w:rsidRPr="00F110C2">
              <w:t>Catégorie de service conformément à l'Article 1</w:t>
            </w:r>
            <w:r w:rsidRPr="00F110C2">
              <w:br/>
              <w:t>du RR ou type d'équipement</w:t>
            </w:r>
          </w:p>
        </w:tc>
        <w:tc>
          <w:tcPr>
            <w:tcW w:w="2722" w:type="dxa"/>
            <w:vAlign w:val="center"/>
          </w:tcPr>
          <w:p w14:paraId="05389F83" w14:textId="77777777" w:rsidR="00CD45DB" w:rsidRPr="00F110C2" w:rsidRDefault="00CD45DB" w:rsidP="00254EC9">
            <w:pPr>
              <w:pStyle w:val="Tablehead"/>
            </w:pPr>
            <w:r w:rsidRPr="00F110C2">
              <w:t>Gabarit d'émission</w:t>
            </w:r>
          </w:p>
        </w:tc>
      </w:tr>
      <w:tr w:rsidR="00CD45DB" w:rsidRPr="00F110C2" w14:paraId="7D1E7CB9" w14:textId="77777777" w:rsidTr="00684270">
        <w:trPr>
          <w:jc w:val="center"/>
        </w:trPr>
        <w:tc>
          <w:tcPr>
            <w:tcW w:w="5670" w:type="dxa"/>
          </w:tcPr>
          <w:p w14:paraId="496C7F8C" w14:textId="77777777" w:rsidR="00CD45DB" w:rsidRPr="00F110C2" w:rsidRDefault="00CD45DB" w:rsidP="00254EC9">
            <w:pPr>
              <w:pStyle w:val="Tabletext"/>
              <w:jc w:val="left"/>
            </w:pPr>
            <w:r w:rsidRPr="00F110C2">
              <w:t>Services spatiaux (stations terriennes et stations spatiales)</w:t>
            </w:r>
          </w:p>
        </w:tc>
        <w:tc>
          <w:tcPr>
            <w:tcW w:w="2722" w:type="dxa"/>
          </w:tcPr>
          <w:p w14:paraId="6265F96C" w14:textId="77777777" w:rsidR="00CD45DB" w:rsidRPr="00F110C2" w:rsidRDefault="00CD45DB" w:rsidP="00254EC9">
            <w:pPr>
              <w:pStyle w:val="Tabletext"/>
              <w:jc w:val="center"/>
            </w:pPr>
            <w:r w:rsidRPr="00F110C2">
              <w:t>Voir l'Annexe 5</w:t>
            </w:r>
          </w:p>
        </w:tc>
      </w:tr>
      <w:tr w:rsidR="00CD45DB" w:rsidRPr="00F110C2" w14:paraId="2C8FE653" w14:textId="77777777" w:rsidTr="00684270">
        <w:trPr>
          <w:jc w:val="center"/>
        </w:trPr>
        <w:tc>
          <w:tcPr>
            <w:tcW w:w="5670" w:type="dxa"/>
          </w:tcPr>
          <w:p w14:paraId="15A3B2E8" w14:textId="77777777" w:rsidR="00CD45DB" w:rsidRPr="00F110C2" w:rsidRDefault="00CD45DB" w:rsidP="00254EC9">
            <w:pPr>
              <w:pStyle w:val="Tabletext"/>
              <w:jc w:val="left"/>
            </w:pPr>
            <w:r w:rsidRPr="00F110C2">
              <w:t>Radiodiffusion télévisuelle</w:t>
            </w:r>
          </w:p>
        </w:tc>
        <w:tc>
          <w:tcPr>
            <w:tcW w:w="2722" w:type="dxa"/>
          </w:tcPr>
          <w:p w14:paraId="44131EC3" w14:textId="77777777" w:rsidR="00CD45DB" w:rsidRPr="00F110C2" w:rsidRDefault="00CD45DB" w:rsidP="00254EC9">
            <w:pPr>
              <w:pStyle w:val="Tabletext"/>
              <w:jc w:val="center"/>
            </w:pPr>
            <w:r w:rsidRPr="00F110C2">
              <w:t>Voir l'Annexe 6</w:t>
            </w:r>
          </w:p>
        </w:tc>
      </w:tr>
      <w:tr w:rsidR="00CD45DB" w:rsidRPr="00F110C2" w14:paraId="26A64553" w14:textId="77777777" w:rsidTr="00684270">
        <w:trPr>
          <w:jc w:val="center"/>
        </w:trPr>
        <w:tc>
          <w:tcPr>
            <w:tcW w:w="5670" w:type="dxa"/>
          </w:tcPr>
          <w:p w14:paraId="2783BC92" w14:textId="77777777" w:rsidR="00CD45DB" w:rsidRPr="00F110C2" w:rsidRDefault="00CD45DB" w:rsidP="00254EC9">
            <w:pPr>
              <w:pStyle w:val="Tabletext"/>
              <w:jc w:val="left"/>
            </w:pPr>
            <w:r w:rsidRPr="00F110C2">
              <w:t>Radiodiffusion sonore</w:t>
            </w:r>
          </w:p>
        </w:tc>
        <w:tc>
          <w:tcPr>
            <w:tcW w:w="2722" w:type="dxa"/>
          </w:tcPr>
          <w:p w14:paraId="03E5EC48" w14:textId="77777777" w:rsidR="00CD45DB" w:rsidRPr="00F110C2" w:rsidRDefault="00CD45DB" w:rsidP="00254EC9">
            <w:pPr>
              <w:pStyle w:val="Tabletext"/>
              <w:jc w:val="center"/>
            </w:pPr>
            <w:r w:rsidRPr="00F110C2">
              <w:t>Voir l'Annexe 7</w:t>
            </w:r>
          </w:p>
        </w:tc>
      </w:tr>
      <w:tr w:rsidR="00CD45DB" w:rsidRPr="00F110C2" w14:paraId="0F79CB66" w14:textId="77777777" w:rsidTr="00684270">
        <w:trPr>
          <w:jc w:val="center"/>
        </w:trPr>
        <w:tc>
          <w:tcPr>
            <w:tcW w:w="5670" w:type="dxa"/>
          </w:tcPr>
          <w:p w14:paraId="53BE3959" w14:textId="77777777" w:rsidR="00CD45DB" w:rsidRPr="00F110C2" w:rsidRDefault="00CD45DB" w:rsidP="00254EC9">
            <w:pPr>
              <w:pStyle w:val="Tabletext"/>
              <w:jc w:val="left"/>
            </w:pPr>
            <w:r w:rsidRPr="00F110C2">
              <w:t>Radar</w:t>
            </w:r>
          </w:p>
        </w:tc>
        <w:tc>
          <w:tcPr>
            <w:tcW w:w="2722" w:type="dxa"/>
          </w:tcPr>
          <w:p w14:paraId="43AAEE03" w14:textId="77777777" w:rsidR="00CD45DB" w:rsidRPr="00F110C2" w:rsidRDefault="00CD45DB" w:rsidP="00254EC9">
            <w:pPr>
              <w:pStyle w:val="Tabletext"/>
              <w:jc w:val="center"/>
            </w:pPr>
            <w:r w:rsidRPr="00F110C2">
              <w:t>Voir l'Annexe 8</w:t>
            </w:r>
          </w:p>
        </w:tc>
      </w:tr>
      <w:tr w:rsidR="00CD45DB" w:rsidRPr="00F110C2" w14:paraId="0AB1612A" w14:textId="77777777" w:rsidTr="00684270">
        <w:trPr>
          <w:jc w:val="center"/>
        </w:trPr>
        <w:tc>
          <w:tcPr>
            <w:tcW w:w="5670" w:type="dxa"/>
          </w:tcPr>
          <w:p w14:paraId="4E7CC785" w14:textId="77777777" w:rsidR="00CD45DB" w:rsidRPr="00F110C2" w:rsidRDefault="00CD45DB" w:rsidP="00254EC9">
            <w:pPr>
              <w:pStyle w:val="Tabletext"/>
              <w:jc w:val="left"/>
            </w:pPr>
            <w:r w:rsidRPr="00F110C2">
              <w:t>Services d'amateur</w:t>
            </w:r>
          </w:p>
        </w:tc>
        <w:tc>
          <w:tcPr>
            <w:tcW w:w="2722" w:type="dxa"/>
          </w:tcPr>
          <w:p w14:paraId="23FF0D63" w14:textId="77777777" w:rsidR="00CD45DB" w:rsidRPr="00F110C2" w:rsidRDefault="00CD45DB" w:rsidP="00254EC9">
            <w:pPr>
              <w:pStyle w:val="Tabletext"/>
              <w:jc w:val="center"/>
            </w:pPr>
            <w:r w:rsidRPr="00F110C2">
              <w:t>Voir l'Annexe 9</w:t>
            </w:r>
          </w:p>
        </w:tc>
      </w:tr>
      <w:tr w:rsidR="00CD45DB" w:rsidRPr="00F110C2" w14:paraId="5EE742F1" w14:textId="77777777" w:rsidTr="00684270">
        <w:trPr>
          <w:jc w:val="center"/>
        </w:trPr>
        <w:tc>
          <w:tcPr>
            <w:tcW w:w="5670" w:type="dxa"/>
          </w:tcPr>
          <w:p w14:paraId="51E945B3" w14:textId="77777777" w:rsidR="00CD45DB" w:rsidRPr="00F110C2" w:rsidRDefault="00CD45DB" w:rsidP="00254EC9">
            <w:pPr>
              <w:pStyle w:val="Tabletext"/>
              <w:jc w:val="left"/>
            </w:pPr>
            <w:r w:rsidRPr="00F110C2">
              <w:t>Service mobile terrestre</w:t>
            </w:r>
          </w:p>
        </w:tc>
        <w:tc>
          <w:tcPr>
            <w:tcW w:w="2722" w:type="dxa"/>
          </w:tcPr>
          <w:p w14:paraId="7D23BBC4" w14:textId="77777777" w:rsidR="00CD45DB" w:rsidRPr="00F110C2" w:rsidRDefault="00CD45DB" w:rsidP="00254EC9">
            <w:pPr>
              <w:pStyle w:val="Tabletext"/>
              <w:jc w:val="center"/>
            </w:pPr>
            <w:r w:rsidRPr="00F110C2">
              <w:t>Voir l'Annexe 10</w:t>
            </w:r>
          </w:p>
        </w:tc>
      </w:tr>
      <w:tr w:rsidR="00CD45DB" w:rsidRPr="00F110C2" w14:paraId="499BE864" w14:textId="77777777" w:rsidTr="00684270">
        <w:trPr>
          <w:jc w:val="center"/>
        </w:trPr>
        <w:tc>
          <w:tcPr>
            <w:tcW w:w="5670" w:type="dxa"/>
          </w:tcPr>
          <w:p w14:paraId="68FFF163" w14:textId="77777777" w:rsidR="00CD45DB" w:rsidRPr="00F110C2" w:rsidRDefault="00CD45DB" w:rsidP="00254EC9">
            <w:pPr>
              <w:pStyle w:val="Tabletext"/>
              <w:jc w:val="left"/>
            </w:pPr>
            <w:r w:rsidRPr="00F110C2">
              <w:t>Services mobile maritime et mobile aéronautique</w:t>
            </w:r>
          </w:p>
        </w:tc>
        <w:tc>
          <w:tcPr>
            <w:tcW w:w="2722" w:type="dxa"/>
          </w:tcPr>
          <w:p w14:paraId="3DDC5B00" w14:textId="77777777" w:rsidR="00CD45DB" w:rsidRPr="00F110C2" w:rsidRDefault="00CD45DB" w:rsidP="00254EC9">
            <w:pPr>
              <w:pStyle w:val="Tabletext"/>
              <w:jc w:val="center"/>
            </w:pPr>
            <w:r w:rsidRPr="00F110C2">
              <w:t>Voir l'Annexe 11</w:t>
            </w:r>
          </w:p>
        </w:tc>
      </w:tr>
      <w:tr w:rsidR="00CD45DB" w:rsidRPr="00F110C2" w14:paraId="7D8BDEA7" w14:textId="77777777" w:rsidTr="00684270">
        <w:trPr>
          <w:jc w:val="center"/>
        </w:trPr>
        <w:tc>
          <w:tcPr>
            <w:tcW w:w="5670" w:type="dxa"/>
          </w:tcPr>
          <w:p w14:paraId="7D2F128D" w14:textId="77777777" w:rsidR="00CD45DB" w:rsidRPr="00F110C2" w:rsidRDefault="00CD45DB" w:rsidP="00254EC9">
            <w:pPr>
              <w:pStyle w:val="Tabletext"/>
              <w:jc w:val="left"/>
            </w:pPr>
            <w:r w:rsidRPr="00F110C2">
              <w:t>Service fixe</w:t>
            </w:r>
          </w:p>
        </w:tc>
        <w:tc>
          <w:tcPr>
            <w:tcW w:w="2722" w:type="dxa"/>
          </w:tcPr>
          <w:p w14:paraId="11E79D57" w14:textId="77777777" w:rsidR="00CD45DB" w:rsidRPr="00F110C2" w:rsidRDefault="00CD45DB" w:rsidP="00254EC9">
            <w:pPr>
              <w:pStyle w:val="Tabletext"/>
              <w:jc w:val="center"/>
            </w:pPr>
            <w:r w:rsidRPr="00F110C2">
              <w:t>Voir l'Annexe 12</w:t>
            </w:r>
          </w:p>
        </w:tc>
      </w:tr>
    </w:tbl>
    <w:p w14:paraId="4FB7DB07" w14:textId="77777777" w:rsidR="00684270" w:rsidRPr="00F110C2" w:rsidRDefault="00684270" w:rsidP="00254EC9">
      <w:pPr>
        <w:pStyle w:val="Tablefin"/>
      </w:pPr>
    </w:p>
    <w:p w14:paraId="79E9BAE1" w14:textId="633A5410" w:rsidR="00CD45DB" w:rsidRPr="00F110C2" w:rsidRDefault="00CD45DB" w:rsidP="00254EC9">
      <w:r w:rsidRPr="00F110C2">
        <w:t>Même si les limites d'émission contenues dans la présente Recommandation sont respectées, il est possible que des brouillages se produisent. Par conséquent, la conformité à la norme ne supprime pas la nécessité de coopérer pour résoudre les problèmes de brouillages préjudiciables en mettant en œuvre des solutions techniques;</w:t>
      </w:r>
    </w:p>
    <w:p w14:paraId="16B340A7" w14:textId="77777777" w:rsidR="00CD45DB" w:rsidRPr="00F110C2" w:rsidRDefault="00CD45DB" w:rsidP="00254EC9">
      <w:pPr>
        <w:pStyle w:val="Heading1"/>
      </w:pPr>
      <w:r w:rsidRPr="00F110C2">
        <w:lastRenderedPageBreak/>
        <w:t>5</w:t>
      </w:r>
      <w:r w:rsidRPr="00F110C2">
        <w:tab/>
        <w:t>Adaptation des gabarits des émissions hors bande fournis dans les Annexes 5 à 12 aux cas des systèmes à bande étroite et des systèmes à large bande</w:t>
      </w:r>
    </w:p>
    <w:p w14:paraId="75C40455" w14:textId="7275B24D" w:rsidR="00CD45DB" w:rsidRPr="00F110C2" w:rsidRDefault="00CD45DB" w:rsidP="00254EC9">
      <w:pPr>
        <w:pStyle w:val="enumlev1"/>
        <w:rPr>
          <w:szCs w:val="24"/>
        </w:rPr>
      </w:pPr>
      <w:r w:rsidRPr="00F110C2">
        <w:rPr>
          <w:szCs w:val="24"/>
        </w:rPr>
        <w:t>a)</w:t>
      </w:r>
      <w:r w:rsidRPr="00F110C2">
        <w:rPr>
          <w:szCs w:val="24"/>
        </w:rPr>
        <w:tab/>
        <w:t xml:space="preserve">de changer l'échelle du gabarit des émissions hors bande dans les cas où la largeur de bande nécessaire </w:t>
      </w:r>
      <w:r w:rsidRPr="00F110C2">
        <w:rPr>
          <w:bCs/>
          <w:i/>
          <w:iCs/>
          <w:szCs w:val="24"/>
        </w:rPr>
        <w:t>B</w:t>
      </w:r>
      <w:r w:rsidRPr="00F110C2">
        <w:rPr>
          <w:bCs/>
          <w:i/>
          <w:iCs/>
          <w:position w:val="-4"/>
          <w:szCs w:val="24"/>
          <w:vertAlign w:val="subscript"/>
        </w:rPr>
        <w:t>N</w:t>
      </w:r>
      <w:r w:rsidRPr="00F110C2">
        <w:rPr>
          <w:szCs w:val="24"/>
        </w:rPr>
        <w:t xml:space="preserve"> est inférieure à </w:t>
      </w:r>
      <w:r w:rsidRPr="00F110C2">
        <w:rPr>
          <w:bCs/>
          <w:i/>
          <w:iCs/>
          <w:szCs w:val="24"/>
        </w:rPr>
        <w:t>B</w:t>
      </w:r>
      <w:r w:rsidRPr="00F110C2">
        <w:rPr>
          <w:bCs/>
          <w:i/>
          <w:iCs/>
          <w:position w:val="-4"/>
          <w:szCs w:val="24"/>
          <w:vertAlign w:val="subscript"/>
        </w:rPr>
        <w:t>L</w:t>
      </w:r>
      <w:r w:rsidRPr="00F110C2">
        <w:rPr>
          <w:szCs w:val="24"/>
        </w:rPr>
        <w:t xml:space="preserve"> (voir la définition donnée dans la Recommandation</w:t>
      </w:r>
      <w:r w:rsidR="00594DE4" w:rsidRPr="00F110C2">
        <w:rPr>
          <w:szCs w:val="24"/>
        </w:rPr>
        <w:t> </w:t>
      </w:r>
      <w:r w:rsidRPr="00F110C2">
        <w:rPr>
          <w:szCs w:val="24"/>
        </w:rPr>
        <w:t>UIT</w:t>
      </w:r>
      <w:r w:rsidRPr="00F110C2">
        <w:rPr>
          <w:szCs w:val="24"/>
        </w:rPr>
        <w:noBreakHyphen/>
        <w:t xml:space="preserve">R SM.1539). Pour cela, on peut remplacer </w:t>
      </w:r>
      <w:r w:rsidRPr="00F110C2">
        <w:rPr>
          <w:bCs/>
          <w:i/>
          <w:iCs/>
          <w:szCs w:val="24"/>
        </w:rPr>
        <w:t>B</w:t>
      </w:r>
      <w:r w:rsidRPr="00F110C2">
        <w:rPr>
          <w:bCs/>
          <w:i/>
          <w:iCs/>
          <w:position w:val="-4"/>
          <w:szCs w:val="24"/>
          <w:vertAlign w:val="subscript"/>
        </w:rPr>
        <w:t>N</w:t>
      </w:r>
      <w:r w:rsidRPr="00F110C2">
        <w:rPr>
          <w:szCs w:val="24"/>
        </w:rPr>
        <w:t xml:space="preserve"> par </w:t>
      </w:r>
      <w:r w:rsidRPr="00F110C2">
        <w:rPr>
          <w:bCs/>
          <w:i/>
          <w:iCs/>
          <w:szCs w:val="24"/>
        </w:rPr>
        <w:t>B</w:t>
      </w:r>
      <w:r w:rsidRPr="00F110C2">
        <w:rPr>
          <w:bCs/>
          <w:i/>
          <w:iCs/>
          <w:position w:val="-4"/>
          <w:szCs w:val="24"/>
          <w:vertAlign w:val="subscript"/>
        </w:rPr>
        <w:t>L</w:t>
      </w:r>
      <w:r w:rsidRPr="00F110C2">
        <w:rPr>
          <w:szCs w:val="24"/>
        </w:rPr>
        <w:t>;</w:t>
      </w:r>
    </w:p>
    <w:p w14:paraId="7BE71D86" w14:textId="77777777" w:rsidR="00CD45DB" w:rsidRPr="00F110C2" w:rsidRDefault="00CD45DB" w:rsidP="00254EC9">
      <w:pPr>
        <w:pStyle w:val="enumlev1"/>
        <w:rPr>
          <w:szCs w:val="24"/>
        </w:rPr>
      </w:pPr>
      <w:r w:rsidRPr="00F110C2">
        <w:rPr>
          <w:szCs w:val="24"/>
        </w:rPr>
        <w:t>b)</w:t>
      </w:r>
      <w:r w:rsidRPr="00F110C2">
        <w:rPr>
          <w:szCs w:val="24"/>
        </w:rPr>
        <w:tab/>
        <w:t xml:space="preserve">dans les cas où la largeur de bande nécessaire </w:t>
      </w:r>
      <w:r w:rsidRPr="00F110C2">
        <w:rPr>
          <w:bCs/>
          <w:i/>
          <w:iCs/>
          <w:szCs w:val="24"/>
        </w:rPr>
        <w:t>B</w:t>
      </w:r>
      <w:r w:rsidRPr="00F110C2">
        <w:rPr>
          <w:bCs/>
          <w:i/>
          <w:iCs/>
          <w:position w:val="-4"/>
          <w:szCs w:val="24"/>
          <w:vertAlign w:val="subscript"/>
        </w:rPr>
        <w:t>N</w:t>
      </w:r>
      <w:r w:rsidRPr="00F110C2">
        <w:rPr>
          <w:szCs w:val="24"/>
        </w:rPr>
        <w:t xml:space="preserve"> est supérieure à </w:t>
      </w:r>
      <w:r w:rsidRPr="00F110C2">
        <w:rPr>
          <w:bCs/>
          <w:i/>
          <w:iCs/>
          <w:szCs w:val="24"/>
        </w:rPr>
        <w:t>B</w:t>
      </w:r>
      <w:r w:rsidRPr="00F110C2">
        <w:rPr>
          <w:bCs/>
          <w:i/>
          <w:iCs/>
          <w:position w:val="-4"/>
          <w:szCs w:val="24"/>
          <w:vertAlign w:val="subscript"/>
        </w:rPr>
        <w:t>U</w:t>
      </w:r>
      <w:r w:rsidRPr="00F110C2">
        <w:rPr>
          <w:szCs w:val="24"/>
        </w:rPr>
        <w:t xml:space="preserve"> (voir la définition donnée dans la Recommandation UIT-R SM.1539), la valeur de </w:t>
      </w:r>
      <w:r w:rsidRPr="00F110C2">
        <w:rPr>
          <w:bCs/>
          <w:i/>
          <w:iCs/>
          <w:szCs w:val="24"/>
        </w:rPr>
        <w:t>B</w:t>
      </w:r>
      <w:r w:rsidRPr="00F110C2">
        <w:rPr>
          <w:bCs/>
          <w:i/>
          <w:iCs/>
          <w:position w:val="-4"/>
          <w:szCs w:val="24"/>
          <w:vertAlign w:val="subscript"/>
        </w:rPr>
        <w:t>N</w:t>
      </w:r>
      <w:r w:rsidRPr="00F110C2">
        <w:rPr>
          <w:szCs w:val="24"/>
        </w:rPr>
        <w:t xml:space="preserve"> restera inchangée dans l'application du gabarit des émissions hors bande mais le gabarit doit être tronqué. En conséquence, le gabarit des émissions hors bande ne s'appliquera qu'entre 50% de </w:t>
      </w:r>
      <w:r w:rsidRPr="00F110C2">
        <w:rPr>
          <w:bCs/>
          <w:i/>
          <w:iCs/>
          <w:szCs w:val="24"/>
        </w:rPr>
        <w:t>B</w:t>
      </w:r>
      <w:r w:rsidRPr="00F110C2">
        <w:rPr>
          <w:bCs/>
          <w:i/>
          <w:iCs/>
          <w:position w:val="-4"/>
          <w:szCs w:val="24"/>
          <w:vertAlign w:val="subscript"/>
        </w:rPr>
        <w:t>N</w:t>
      </w:r>
      <w:r w:rsidRPr="00F110C2">
        <w:rPr>
          <w:szCs w:val="24"/>
        </w:rPr>
        <w:t xml:space="preserve"> et (150 + 100 </w:t>
      </w:r>
      <w:r w:rsidRPr="00F110C2">
        <w:rPr>
          <w:bCs/>
          <w:i/>
          <w:iCs/>
          <w:szCs w:val="24"/>
        </w:rPr>
        <w:t>B</w:t>
      </w:r>
      <w:r w:rsidRPr="00F110C2">
        <w:rPr>
          <w:bCs/>
          <w:i/>
          <w:iCs/>
          <w:position w:val="-4"/>
          <w:szCs w:val="24"/>
          <w:vertAlign w:val="subscript"/>
        </w:rPr>
        <w:t>U</w:t>
      </w:r>
      <w:r w:rsidRPr="00F110C2">
        <w:rPr>
          <w:szCs w:val="24"/>
        </w:rPr>
        <w:t>/</w:t>
      </w:r>
      <w:r w:rsidRPr="00F110C2">
        <w:rPr>
          <w:bCs/>
          <w:i/>
          <w:iCs/>
          <w:szCs w:val="24"/>
        </w:rPr>
        <w:t>B</w:t>
      </w:r>
      <w:r w:rsidRPr="00F110C2">
        <w:rPr>
          <w:bCs/>
          <w:i/>
          <w:iCs/>
          <w:position w:val="-4"/>
          <w:szCs w:val="24"/>
          <w:vertAlign w:val="subscript"/>
        </w:rPr>
        <w:t>N</w:t>
      </w:r>
      <w:r w:rsidRPr="00F110C2">
        <w:rPr>
          <w:szCs w:val="24"/>
        </w:rPr>
        <w:t xml:space="preserve">)% de </w:t>
      </w:r>
      <w:r w:rsidRPr="00F110C2">
        <w:rPr>
          <w:bCs/>
          <w:i/>
          <w:iCs/>
          <w:szCs w:val="24"/>
        </w:rPr>
        <w:t>B</w:t>
      </w:r>
      <w:r w:rsidRPr="00F110C2">
        <w:rPr>
          <w:bCs/>
          <w:i/>
          <w:iCs/>
          <w:position w:val="-4"/>
          <w:szCs w:val="24"/>
          <w:vertAlign w:val="subscript"/>
        </w:rPr>
        <w:t>N</w:t>
      </w:r>
      <w:r w:rsidRPr="00F110C2">
        <w:rPr>
          <w:szCs w:val="24"/>
        </w:rPr>
        <w:t>.</w:t>
      </w:r>
    </w:p>
    <w:p w14:paraId="6C648634" w14:textId="76BCFF13" w:rsidR="00CD45DB" w:rsidRPr="00F110C2" w:rsidRDefault="00CD45DB" w:rsidP="00254EC9">
      <w:pPr>
        <w:pStyle w:val="Heading1"/>
        <w:rPr>
          <w:bCs/>
        </w:rPr>
      </w:pPr>
      <w:r w:rsidRPr="00F110C2">
        <w:rPr>
          <w:bCs/>
        </w:rPr>
        <w:t>6</w:t>
      </w:r>
      <w:r w:rsidRPr="00F110C2">
        <w:rPr>
          <w:bCs/>
        </w:rPr>
        <w:tab/>
        <w:t>Méthodes de mesure</w:t>
      </w:r>
    </w:p>
    <w:p w14:paraId="677D61B7" w14:textId="56C32F30" w:rsidR="00CD45DB" w:rsidRPr="00F110C2" w:rsidRDefault="00CD45DB" w:rsidP="00254EC9">
      <w:r w:rsidRPr="00F110C2">
        <w:t>d'utiliser les méthodes de mesure des émissions hors bande décrites en détail dans l'Annexe 13</w:t>
      </w:r>
      <w:r w:rsidR="00594DE4" w:rsidRPr="00F110C2">
        <w:t>.</w:t>
      </w:r>
      <w:r w:rsidRPr="00F110C2">
        <w:t xml:space="preserve"> </w:t>
      </w:r>
      <w:r w:rsidR="00594DE4" w:rsidRPr="00F110C2">
        <w:t>O</w:t>
      </w:r>
      <w:r w:rsidRPr="00F110C2">
        <w:t xml:space="preserve">n trouvera des renseignements supplémentaires dans le Rapport </w:t>
      </w:r>
      <w:hyperlink r:id="rId41" w:history="1">
        <w:r w:rsidRPr="00F110C2">
          <w:rPr>
            <w:rStyle w:val="Hyperlink"/>
            <w:color w:val="auto"/>
            <w:u w:val="none"/>
          </w:rPr>
          <w:t xml:space="preserve">UIT-R </w:t>
        </w:r>
        <w:r w:rsidRPr="00F110C2">
          <w:rPr>
            <w:rStyle w:val="Hyperlink"/>
            <w:color w:val="auto"/>
            <w:u w:val="none"/>
          </w:rPr>
          <w:t>S</w:t>
        </w:r>
        <w:r w:rsidRPr="00F110C2">
          <w:rPr>
            <w:rStyle w:val="Hyperlink"/>
            <w:color w:val="auto"/>
            <w:u w:val="none"/>
          </w:rPr>
          <w:t>M</w:t>
        </w:r>
        <w:r w:rsidRPr="00F110C2">
          <w:rPr>
            <w:rStyle w:val="Hyperlink"/>
            <w:color w:val="auto"/>
            <w:u w:val="none"/>
          </w:rPr>
          <w:t>.2048</w:t>
        </w:r>
      </w:hyperlink>
      <w:r w:rsidRPr="00F110C2">
        <w:t xml:space="preserve"> concernant les mesures des émissions hors bande indiquant des signaux d'essai et des niveaux de référence 0 dB.</w:t>
      </w:r>
    </w:p>
    <w:p w14:paraId="501A87D1" w14:textId="77777777" w:rsidR="00CD45DB" w:rsidRPr="00F110C2" w:rsidRDefault="00CD45DB" w:rsidP="00254EC9"/>
    <w:p w14:paraId="24D92AB4" w14:textId="77777777" w:rsidR="00CD45DB" w:rsidRPr="00F110C2" w:rsidRDefault="00CD45DB" w:rsidP="00254EC9"/>
    <w:p w14:paraId="3A4803B2" w14:textId="77777777" w:rsidR="00CD45DB" w:rsidRPr="00F110C2" w:rsidRDefault="00CD45DB" w:rsidP="00254EC9">
      <w:pPr>
        <w:pStyle w:val="AnnexNoTitle"/>
        <w:outlineLvl w:val="0"/>
      </w:pPr>
      <w:r w:rsidRPr="00F110C2">
        <w:t>Annexe 1</w:t>
      </w:r>
      <w:r w:rsidRPr="00F110C2">
        <w:br/>
      </w:r>
      <w:r w:rsidRPr="00F110C2">
        <w:br/>
        <w:t>Méthodes permettant de déterminer la conformité aux limites</w:t>
      </w:r>
      <w:r w:rsidRPr="00F110C2">
        <w:br/>
        <w:t>des émissions dans le domaine hors bande</w:t>
      </w:r>
    </w:p>
    <w:p w14:paraId="77C2A85D" w14:textId="77777777" w:rsidR="00CD45DB" w:rsidRPr="00F110C2" w:rsidRDefault="00CD45DB" w:rsidP="00254EC9">
      <w:pPr>
        <w:pStyle w:val="Normalaftertitle"/>
      </w:pPr>
      <w:r w:rsidRPr="00F110C2">
        <w:t>Il est possible d'appliquer deux méthodes différentes pour quantifier l'énergie des émissions hors bande. Le § 1 contient une méthode selon laquelle la puissance est mesurée dans un canal adjacent. Le § 2 porte sur une méthode d'évaluation fondée sur la détermination de la densité spectrale de puissance dans le domaine des émissions hors bande.</w:t>
      </w:r>
    </w:p>
    <w:p w14:paraId="01C1FCC9" w14:textId="77777777" w:rsidR="00CD45DB" w:rsidRPr="00F110C2" w:rsidRDefault="00CD45DB" w:rsidP="00254EC9">
      <w:pPr>
        <w:pStyle w:val="Heading1"/>
        <w:rPr>
          <w:bCs/>
        </w:rPr>
      </w:pPr>
      <w:r w:rsidRPr="00F110C2">
        <w:rPr>
          <w:bCs/>
        </w:rPr>
        <w:t>1</w:t>
      </w:r>
      <w:r w:rsidRPr="00F110C2">
        <w:rPr>
          <w:bCs/>
        </w:rPr>
        <w:tab/>
        <w:t>Méthode fondée sur la puissance dans le canal adjacent et dans le canal deuxième adjacent</w:t>
      </w:r>
    </w:p>
    <w:p w14:paraId="0A0B6E62" w14:textId="431D2AF3" w:rsidR="00CD45DB" w:rsidRPr="00F110C2" w:rsidRDefault="00CD45DB" w:rsidP="00254EC9">
      <w:r w:rsidRPr="00F110C2">
        <w:t>Cette méthode, fondée sur le concept défini au § 1.12 de la Recommandation</w:t>
      </w:r>
      <w:r w:rsidR="008B4DEB" w:rsidRPr="00F110C2">
        <w:t> </w:t>
      </w:r>
      <w:hyperlink r:id="rId42" w:history="1">
        <w:r w:rsidRPr="00F110C2">
          <w:rPr>
            <w:rStyle w:val="Hyperlink"/>
            <w:color w:val="auto"/>
            <w:u w:val="none"/>
          </w:rPr>
          <w:t>UIT</w:t>
        </w:r>
        <w:r w:rsidR="008B4DEB" w:rsidRPr="00F110C2">
          <w:rPr>
            <w:rStyle w:val="Hyperlink"/>
            <w:color w:val="auto"/>
            <w:u w:val="none"/>
          </w:rPr>
          <w:noBreakHyphen/>
        </w:r>
        <w:r w:rsidRPr="00F110C2">
          <w:rPr>
            <w:rStyle w:val="Hyperlink"/>
            <w:color w:val="auto"/>
            <w:u w:val="none"/>
          </w:rPr>
          <w:t>R</w:t>
        </w:r>
        <w:r w:rsidR="008B4DEB" w:rsidRPr="00F110C2">
          <w:rPr>
            <w:rStyle w:val="Hyperlink"/>
            <w:color w:val="auto"/>
            <w:u w:val="none"/>
          </w:rPr>
          <w:t> </w:t>
        </w:r>
        <w:r w:rsidRPr="00F110C2">
          <w:rPr>
            <w:rStyle w:val="Hyperlink"/>
            <w:color w:val="auto"/>
            <w:u w:val="none"/>
          </w:rPr>
          <w:t>SM.328</w:t>
        </w:r>
      </w:hyperlink>
      <w:r w:rsidRPr="00F110C2">
        <w:t> </w:t>
      </w:r>
      <w:r w:rsidR="00932E82">
        <w:rPr>
          <w:lang w:val="en-GB"/>
        </w:rPr>
        <w:t>–</w:t>
      </w:r>
      <w:r w:rsidR="008B4DEB" w:rsidRPr="00F110C2">
        <w:t> </w:t>
      </w:r>
      <w:r w:rsidRPr="00F110C2">
        <w:t>Spectres et largeurs de bande des émissions, est devenue intéressante depuis la commercialisation d'analyseurs de spectre dotés d'une capacité de traitement des signaux numériques qui peuvent effectuer une intégration numérique dans une largeur de bande spécifiée.</w:t>
      </w:r>
    </w:p>
    <w:p w14:paraId="73966464" w14:textId="77777777" w:rsidR="00CD45DB" w:rsidRPr="00F110C2" w:rsidRDefault="00CD45DB" w:rsidP="00254EC9">
      <w:r w:rsidRPr="00F110C2">
        <w:t>On peut obtenir une limite de puissance admissible dans le domaine des émissions hors bande à partir des limites imposées par un gabarit des émissions hors bande admissible en intégrant l'expression mathématique de la courbe sur une bande de fréquences spécifiée. Un exemple est donné dans la Pièce jointe 1 pour un gabarit d'émission particulier utilisé dans le service mobile terrestre, principal utilisateur de cette méthode. Lorsqu'on compare les limites ainsi obtenues avec les limites effectives adoptées dans les normes sur le service mobile, on constate que l'industrie des radiocommunications mobiles a l'habitude d'établir des limites beaucoup plus strictes que celles obtenues à partir d'un gabarit des émissions hors bande, le but étant d'utiliser efficacement le spectre.</w:t>
      </w:r>
    </w:p>
    <w:p w14:paraId="6B964967" w14:textId="306AA514" w:rsidR="00CD45DB" w:rsidRPr="00F110C2" w:rsidRDefault="00CD45DB" w:rsidP="00254EC9">
      <w:r w:rsidRPr="00F110C2">
        <w:lastRenderedPageBreak/>
        <w:t xml:space="preserve">L'un des principaux avantages de cette méthode dans une approche avec largeur de bande définie tient à ce que la même approche est définie dans la Recommandation </w:t>
      </w:r>
      <w:hyperlink r:id="rId43" w:history="1">
        <w:r w:rsidRPr="00F110C2">
          <w:rPr>
            <w:rStyle w:val="Hyperlink"/>
            <w:color w:val="auto"/>
            <w:u w:val="none"/>
          </w:rPr>
          <w:t>UIT-R SM.329</w:t>
        </w:r>
      </w:hyperlink>
      <w:r w:rsidRPr="00F110C2">
        <w:t xml:space="preserve"> en ce qui concerne les limites de la puissance des émissions dans le domaine des rayonnements non essentiels, émissions relativement éloignées dans le spectre des fréquences par rapport à la bande de fréquences assignée à l'émetteur considéré (c'est-à-dire le canal de l'émetteur).</w:t>
      </w:r>
    </w:p>
    <w:p w14:paraId="7F8AD380" w14:textId="77777777" w:rsidR="00CD45DB" w:rsidRPr="00F110C2" w:rsidRDefault="00CD45DB" w:rsidP="00254EC9">
      <w:r w:rsidRPr="00F110C2">
        <w:t>Autre avantage: cette méthode a tendance à faciliter la gestion des fréquences si on choisit une largeur de bande de référence comparable à celle des récepteurs utilisés dans les bandes de fréquences assignées qui sont adjacentes à celle de l'émetteur car cela conduit à une utilisation plus efficace du spectre des fréquences électromagnétiques. Cet avantage est particulièrement important dans les nouveaux environnements de redéfinition de la subdivision des canaux dans lesquels la succession serrée des canaux dans une bande attribuée s'est traduite par une coordination des assignations de fréquence fondée sur des considérations relatives au canal adjacent en plus des considérations relatives au canal considéré. En outre, cette méthode est pratique pour évaluer les brouillages potentiels entre deux méthodes de modulation différentes utilisées dans des canaux adjacents ou dans des bandes adjacentes. Cette évaluation s'est avérée utile pour la planification des attributions de fréquences dans divers pays pour la détermination de techniques et de directions de liaison compatibles dans des bandes voisines.</w:t>
      </w:r>
    </w:p>
    <w:p w14:paraId="0BE0C2AD" w14:textId="77777777" w:rsidR="00CD45DB" w:rsidRPr="00F110C2" w:rsidRDefault="00CD45DB" w:rsidP="00254EC9">
      <w:pPr>
        <w:pStyle w:val="Heading2"/>
        <w:rPr>
          <w:bCs/>
        </w:rPr>
      </w:pPr>
      <w:r w:rsidRPr="00F110C2">
        <w:rPr>
          <w:bCs/>
        </w:rPr>
        <w:t>1.1</w:t>
      </w:r>
      <w:r w:rsidRPr="00F110C2">
        <w:rPr>
          <w:bCs/>
        </w:rPr>
        <w:tab/>
        <w:t>Paramètres à mesurer</w:t>
      </w:r>
    </w:p>
    <w:p w14:paraId="48990CFC" w14:textId="77777777" w:rsidR="00CD45DB" w:rsidRPr="00F110C2" w:rsidRDefault="00CD45DB" w:rsidP="00254EC9">
      <w:r w:rsidRPr="00F110C2">
        <w:t>Les paramètres à mesurer sont les suivants: largeur de bande occupée d'une émission et puissance moyenne dans plusieurs bandes définies. On emploie la même condition de modulation pour toutes les bandes de mesure.</w:t>
      </w:r>
    </w:p>
    <w:p w14:paraId="32940AD8" w14:textId="77777777" w:rsidR="00CD45DB" w:rsidRPr="00F110C2" w:rsidRDefault="00CD45DB" w:rsidP="00254EC9">
      <w:r w:rsidRPr="00F110C2">
        <w:t>On peut déterminer la valeur maximale de 99% de la puissance dans la largeur de bande occupée permise par un gabarit d'émission particulier en calculant la différence de fréquences entre les niveaux d'affaiblissement de 23 dB pour tout gabarit d'émission.</w:t>
      </w:r>
    </w:p>
    <w:p w14:paraId="7470DE80" w14:textId="77777777" w:rsidR="00CD45DB" w:rsidRPr="00F110C2" w:rsidRDefault="00CD45DB" w:rsidP="00254EC9">
      <w:pPr>
        <w:pStyle w:val="Heading2"/>
        <w:rPr>
          <w:bCs/>
        </w:rPr>
      </w:pPr>
      <w:r w:rsidRPr="00F110C2">
        <w:rPr>
          <w:bCs/>
        </w:rPr>
        <w:t>1.2</w:t>
      </w:r>
      <w:r w:rsidRPr="00F110C2">
        <w:rPr>
          <w:bCs/>
        </w:rPr>
        <w:tab/>
        <w:t>Unités de mesure</w:t>
      </w:r>
    </w:p>
    <w:p w14:paraId="2914D321" w14:textId="7E966EAB" w:rsidR="00CD45DB" w:rsidRPr="00F110C2" w:rsidRDefault="00CD45DB" w:rsidP="00254EC9">
      <w:r w:rsidRPr="00F110C2">
        <w:t xml:space="preserve">Les unités de mesure de la puissance sont les mêmes que celles utilisées pour la mesure des émissions dans le domaine des rayonnements non essentiels, comme indiqué à l'Annexe 1 de la Recommandation </w:t>
      </w:r>
      <w:hyperlink r:id="rId44" w:history="1">
        <w:r w:rsidRPr="00F110C2">
          <w:rPr>
            <w:rStyle w:val="Hyperlink"/>
            <w:color w:val="auto"/>
            <w:u w:val="none"/>
          </w:rPr>
          <w:t>UI</w:t>
        </w:r>
        <w:r w:rsidRPr="00F110C2">
          <w:rPr>
            <w:rStyle w:val="Hyperlink"/>
            <w:color w:val="auto"/>
            <w:u w:val="none"/>
          </w:rPr>
          <w:t>T</w:t>
        </w:r>
        <w:r w:rsidRPr="00F110C2">
          <w:rPr>
            <w:rStyle w:val="Hyperlink"/>
            <w:color w:val="auto"/>
            <w:u w:val="none"/>
          </w:rPr>
          <w:t>-R SM.329</w:t>
        </w:r>
      </w:hyperlink>
      <w:r w:rsidRPr="00F110C2">
        <w:t xml:space="preserve"> (la puissance moyenne est spécifiée pour la plupart des mesures). Il faut utiliser des facteurs de conversion appropriés (examinés plus en détail au § 1.1.1 et au § 1.1.2 de l'Annexe 13) pour corriger les différences entre:</w:t>
      </w:r>
    </w:p>
    <w:p w14:paraId="1EF471EE" w14:textId="7EE9DD31" w:rsidR="00CD45DB" w:rsidRPr="00F110C2" w:rsidRDefault="00932E82" w:rsidP="00254EC9">
      <w:pPr>
        <w:pStyle w:val="enumlev1"/>
      </w:pPr>
      <w:r>
        <w:rPr>
          <w:lang w:val="en-GB"/>
        </w:rPr>
        <w:t>–</w:t>
      </w:r>
      <w:r w:rsidR="00CD45DB" w:rsidRPr="00F110C2">
        <w:tab/>
        <w:t>la méthode de détection employée dans l'analyseur de signaux utilisé pour effectuer une mesure et la méthode de détection spécifiée pour les limites; ainsi qu'entre</w:t>
      </w:r>
    </w:p>
    <w:p w14:paraId="22C3823E" w14:textId="05A70932" w:rsidR="00CD45DB" w:rsidRPr="00F110C2" w:rsidRDefault="00932E82" w:rsidP="00254EC9">
      <w:pPr>
        <w:pStyle w:val="enumlev1"/>
      </w:pPr>
      <w:r>
        <w:rPr>
          <w:lang w:val="en-GB"/>
        </w:rPr>
        <w:t>–</w:t>
      </w:r>
      <w:r w:rsidR="00CD45DB" w:rsidRPr="00F110C2">
        <w:tab/>
        <w:t>la largeur de bande de résolution du filtre contenu dans l'analyseur de signaux utilisé pour effectuer une mesure et celle associée à la méthode de détection spécifiée pour les limites.</w:t>
      </w:r>
    </w:p>
    <w:p w14:paraId="57D1574E" w14:textId="77777777" w:rsidR="00CD45DB" w:rsidRPr="00F110C2" w:rsidRDefault="00CD45DB" w:rsidP="00254EC9">
      <w:pPr>
        <w:pStyle w:val="Heading2"/>
        <w:rPr>
          <w:bCs/>
        </w:rPr>
      </w:pPr>
      <w:r w:rsidRPr="00F110C2">
        <w:rPr>
          <w:bCs/>
        </w:rPr>
        <w:t>1.3</w:t>
      </w:r>
      <w:r w:rsidRPr="00F110C2">
        <w:rPr>
          <w:bCs/>
        </w:rPr>
        <w:tab/>
        <w:t>Bandes de mesure</w:t>
      </w:r>
    </w:p>
    <w:p w14:paraId="150F415A" w14:textId="5CD0F65B" w:rsidR="00CD45DB" w:rsidRPr="00F110C2" w:rsidRDefault="00CD45DB" w:rsidP="00254EC9">
      <w:r w:rsidRPr="00F110C2">
        <w:t>La Fig</w:t>
      </w:r>
      <w:r w:rsidR="00594DE4" w:rsidRPr="00F110C2">
        <w:t>ure</w:t>
      </w:r>
      <w:r w:rsidRPr="00F110C2">
        <w:t> 3 décrit les bandes successives.</w:t>
      </w:r>
    </w:p>
    <w:p w14:paraId="054AD066" w14:textId="77777777" w:rsidR="00CD45DB" w:rsidRPr="00F110C2" w:rsidRDefault="00CD45DB" w:rsidP="00254EC9">
      <w:pPr>
        <w:pStyle w:val="FigureNo"/>
      </w:pPr>
      <w:r w:rsidRPr="00F110C2">
        <w:lastRenderedPageBreak/>
        <w:t>FIGURE 3</w:t>
      </w:r>
    </w:p>
    <w:p w14:paraId="22297D19" w14:textId="77777777" w:rsidR="00CD45DB" w:rsidRPr="00F110C2" w:rsidRDefault="00CD45DB" w:rsidP="00254EC9">
      <w:pPr>
        <w:pStyle w:val="Figuretitle"/>
      </w:pPr>
      <w:r w:rsidRPr="00F110C2">
        <w:t>Bandes de mesure de la puissance</w:t>
      </w:r>
    </w:p>
    <w:p w14:paraId="2CB0E9B9" w14:textId="77777777" w:rsidR="00CD45DB" w:rsidRPr="00F110C2" w:rsidRDefault="00CD45DB" w:rsidP="00254EC9">
      <w:pPr>
        <w:pStyle w:val="Figure"/>
      </w:pPr>
      <w:r w:rsidRPr="00F110C2">
        <w:drawing>
          <wp:inline distT="0" distB="0" distL="0" distR="0" wp14:anchorId="4122E1F9" wp14:editId="3CCF28E7">
            <wp:extent cx="5145405" cy="1316990"/>
            <wp:effectExtent l="0" t="0" r="0" b="8255"/>
            <wp:docPr id="1577587182" name="Picture 3" descr="A diagram of bands and band adj&#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87182" name="Picture 3" descr="A diagram of bands and band adj&#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45405" cy="1316990"/>
                    </a:xfrm>
                    <a:prstGeom prst="rect">
                      <a:avLst/>
                    </a:prstGeom>
                    <a:noFill/>
                    <a:ln>
                      <a:noFill/>
                    </a:ln>
                  </pic:spPr>
                </pic:pic>
              </a:graphicData>
            </a:graphic>
          </wp:inline>
        </w:drawing>
      </w:r>
    </w:p>
    <w:p w14:paraId="1A03162E" w14:textId="77777777" w:rsidR="00CD45DB" w:rsidRPr="00F110C2" w:rsidRDefault="00CD45DB" w:rsidP="00254EC9">
      <w:pPr>
        <w:pStyle w:val="Heading3"/>
      </w:pPr>
      <w:r w:rsidRPr="00F110C2">
        <w:t>1.3.1</w:t>
      </w:r>
      <w:r w:rsidRPr="00F110C2">
        <w:tab/>
        <w:t>Bande adjacente</w:t>
      </w:r>
    </w:p>
    <w:p w14:paraId="0376B07E" w14:textId="77777777" w:rsidR="00CD45DB" w:rsidRPr="00F110C2" w:rsidRDefault="00CD45DB" w:rsidP="00254EC9">
      <w:r w:rsidRPr="00F110C2">
        <w:t xml:space="preserve">On donne ci-après les propriétés de la bande, desquelles il découle plusieurs moyens d'évaluer le niveau de puissance de brouillage susceptible d'être intercepté par un récepteur dans le canal adjacent. La puissance dans cette bande est appelée puissance dans la bande adjacente (ABP, </w:t>
      </w:r>
      <w:r w:rsidRPr="00F110C2">
        <w:rPr>
          <w:i/>
          <w:iCs/>
        </w:rPr>
        <w:t>adjacent band power</w:t>
      </w:r>
      <w:r w:rsidRPr="00F110C2">
        <w:t>).</w:t>
      </w:r>
    </w:p>
    <w:p w14:paraId="7B5D73B6" w14:textId="77777777" w:rsidR="00CD45DB" w:rsidRPr="00F110C2" w:rsidRDefault="00CD45DB" w:rsidP="00254EC9">
      <w:pPr>
        <w:pStyle w:val="Heading4"/>
        <w:rPr>
          <w:bCs/>
        </w:rPr>
      </w:pPr>
      <w:r w:rsidRPr="00F110C2">
        <w:rPr>
          <w:bCs/>
        </w:rPr>
        <w:t>1.3.1.1</w:t>
      </w:r>
      <w:r w:rsidRPr="00F110C2">
        <w:rPr>
          <w:bCs/>
        </w:rPr>
        <w:tab/>
        <w:t>Emplacement de la bande adjacente</w:t>
      </w:r>
    </w:p>
    <w:p w14:paraId="4B2D182F" w14:textId="77777777" w:rsidR="00CD45DB" w:rsidRPr="00F110C2" w:rsidRDefault="00CD45DB" w:rsidP="00254EC9">
      <w:r w:rsidRPr="00F110C2">
        <w:t>Cette bande est centrée sur la bande de fréquences assignée adjacente dans la bande attribuée dans laquelle l'émetteur fonctionne.</w:t>
      </w:r>
    </w:p>
    <w:p w14:paraId="1C05A1B6" w14:textId="77777777" w:rsidR="00CD45DB" w:rsidRPr="00F110C2" w:rsidRDefault="00CD45DB" w:rsidP="00254EC9">
      <w:r w:rsidRPr="00F110C2">
        <w:t>Dans le cas le plus défavorable, cette bande est située à une distance de la fréquence de l'émetteur égale à la dérive de fréquence admissible de l'émetteur plus une éventuelle différence de fréquence Doppler.</w:t>
      </w:r>
    </w:p>
    <w:p w14:paraId="1F198668" w14:textId="77777777" w:rsidR="00CD45DB" w:rsidRPr="00F110C2" w:rsidRDefault="00CD45DB" w:rsidP="00254EC9">
      <w:pPr>
        <w:pStyle w:val="Heading4"/>
        <w:rPr>
          <w:bCs/>
        </w:rPr>
      </w:pPr>
      <w:r w:rsidRPr="00F110C2">
        <w:rPr>
          <w:bCs/>
        </w:rPr>
        <w:t>1.3.1.2</w:t>
      </w:r>
      <w:r w:rsidRPr="00F110C2">
        <w:rPr>
          <w:bCs/>
        </w:rPr>
        <w:tab/>
        <w:t>Largeur de la bande adjacente</w:t>
      </w:r>
    </w:p>
    <w:p w14:paraId="3145FB9B" w14:textId="77777777" w:rsidR="00CD45DB" w:rsidRPr="00F110C2" w:rsidRDefault="00CD45DB" w:rsidP="00254EC9">
      <w:r w:rsidRPr="00F110C2">
        <w:t>Cette largeur est égale à la largeur de bande de bruit équivalente du récepteur dans le canal adjacent. Si celle-ci n'est pas connue, la valeur par défaut doit être égale à la largeur de bande occupée de l'émetteur.</w:t>
      </w:r>
    </w:p>
    <w:p w14:paraId="64D22925" w14:textId="77777777" w:rsidR="00CD45DB" w:rsidRPr="00F110C2" w:rsidRDefault="00CD45DB" w:rsidP="00254EC9">
      <w:pPr>
        <w:pStyle w:val="Heading3"/>
        <w:rPr>
          <w:bCs/>
        </w:rPr>
      </w:pPr>
      <w:r w:rsidRPr="00F110C2">
        <w:rPr>
          <w:bCs/>
        </w:rPr>
        <w:t>1.3.2</w:t>
      </w:r>
      <w:r w:rsidRPr="00F110C2">
        <w:rPr>
          <w:bCs/>
        </w:rPr>
        <w:tab/>
        <w:t>Bande deuxième adjacente</w:t>
      </w:r>
    </w:p>
    <w:p w14:paraId="6D81675A" w14:textId="77777777" w:rsidR="00CD45DB" w:rsidRPr="00F110C2" w:rsidRDefault="00CD45DB" w:rsidP="00254EC9">
      <w:r w:rsidRPr="00F110C2">
        <w:t>Le centrage de cette bande par rapport à la bande adjacente est analogue au centrage de la bande adjacente par rapport à la bande de fréquences assignée. Sa largeur est la même que celle de la bande adjacente.</w:t>
      </w:r>
    </w:p>
    <w:p w14:paraId="1866CBA7" w14:textId="77777777" w:rsidR="00CD45DB" w:rsidRPr="00F110C2" w:rsidRDefault="00CD45DB" w:rsidP="00254EC9">
      <w:r w:rsidRPr="00F110C2">
        <w:t>Dans certains services (radiodiffusion à modulation de fréquence par exemple), on assigne les canaux en alternant deux ensembles entrelacés de plans de bandes de fréquences assignées, ce qui permet d'évaluer le niveau de puissance de brouillage susceptible d'être intercepté par un récepteur dans le canal autorisé adjacent. La puissance dans cette bande est appelée puissance dans la bande deuxième adjacente.</w:t>
      </w:r>
    </w:p>
    <w:p w14:paraId="3A9F8522" w14:textId="77777777" w:rsidR="00CD45DB" w:rsidRPr="00F110C2" w:rsidRDefault="00CD45DB" w:rsidP="00254EC9">
      <w:r w:rsidRPr="00F110C2">
        <w:t>Dans le cas le plus défavorable, le centre de cette bande est situé à une distance de la fréquence de l'émetteur égale à la dérive de fréquence admissible de l'émetteur plus celle d'un récepteur type utilisé dans le canal adjacent, plus une éventuelle différence de fréquence Doppler.</w:t>
      </w:r>
    </w:p>
    <w:p w14:paraId="14C33D6D" w14:textId="77777777" w:rsidR="00CD45DB" w:rsidRPr="00F110C2" w:rsidRDefault="00CD45DB" w:rsidP="00254EC9">
      <w:pPr>
        <w:pStyle w:val="Heading2"/>
      </w:pPr>
      <w:r w:rsidRPr="00F110C2">
        <w:t>1.4</w:t>
      </w:r>
      <w:r w:rsidRPr="00F110C2">
        <w:tab/>
        <w:t xml:space="preserve">Rapport de puissance dans la bande adjacente (ABPR, </w:t>
      </w:r>
      <w:r w:rsidRPr="00F110C2">
        <w:rPr>
          <w:i/>
          <w:iCs/>
        </w:rPr>
        <w:t>adjacent band power ratio</w:t>
      </w:r>
      <w:r w:rsidRPr="00F110C2">
        <w:t>)</w:t>
      </w:r>
    </w:p>
    <w:p w14:paraId="21182A6F" w14:textId="77777777" w:rsidR="00CD45DB" w:rsidRPr="00F110C2" w:rsidRDefault="00CD45DB" w:rsidP="00254EC9">
      <w:pPr>
        <w:keepNext/>
        <w:keepLines/>
      </w:pPr>
      <w:r w:rsidRPr="00F110C2">
        <w:t>L'ABPR est calculé comme suit:</w:t>
      </w:r>
    </w:p>
    <w:p w14:paraId="3720A1C4" w14:textId="4ABE9D1B" w:rsidR="00CD45DB" w:rsidRPr="00F110C2" w:rsidRDefault="0023743D" w:rsidP="00254EC9">
      <w:pPr>
        <w:pStyle w:val="enumlev1"/>
      </w:pPr>
      <w:r w:rsidRPr="00F110C2">
        <w:t>–</w:t>
      </w:r>
      <w:r w:rsidR="00CD45DB" w:rsidRPr="00F110C2">
        <w:tab/>
        <w:t xml:space="preserve">en puissance: </w:t>
      </w:r>
      <w:r w:rsidR="00CD45DB" w:rsidRPr="00F110C2">
        <w:rPr>
          <w:i/>
          <w:iCs/>
        </w:rPr>
        <w:t>ABPR</w:t>
      </w:r>
      <w:r w:rsidR="00CD45DB" w:rsidRPr="00F110C2">
        <w:t> = </w:t>
      </w:r>
      <w:r w:rsidR="00CD45DB" w:rsidRPr="00F110C2">
        <w:rPr>
          <w:i/>
          <w:iCs/>
        </w:rPr>
        <w:t>P</w:t>
      </w:r>
      <w:r w:rsidR="00CD45DB" w:rsidRPr="00F110C2">
        <w:t>/</w:t>
      </w:r>
      <w:r w:rsidR="00CD45DB" w:rsidRPr="00F110C2">
        <w:rPr>
          <w:i/>
          <w:iCs/>
        </w:rPr>
        <w:t>P</w:t>
      </w:r>
      <w:r w:rsidR="00CD45DB" w:rsidRPr="00F110C2">
        <w:rPr>
          <w:i/>
          <w:iCs/>
          <w:position w:val="-4"/>
          <w:szCs w:val="24"/>
          <w:vertAlign w:val="subscript"/>
        </w:rPr>
        <w:t>ad</w:t>
      </w:r>
    </w:p>
    <w:p w14:paraId="79EAB3F1" w14:textId="078FEB28" w:rsidR="00CD45DB" w:rsidRPr="00F110C2" w:rsidRDefault="0023743D" w:rsidP="00254EC9">
      <w:pPr>
        <w:pStyle w:val="enumlev1"/>
      </w:pPr>
      <w:r w:rsidRPr="00F110C2">
        <w:t>–</w:t>
      </w:r>
      <w:r w:rsidR="00CD45DB" w:rsidRPr="00F110C2">
        <w:tab/>
        <w:t xml:space="preserve">en décibels: </w:t>
      </w:r>
      <w:r w:rsidR="00CD45DB" w:rsidRPr="00F110C2">
        <w:rPr>
          <w:i/>
          <w:iCs/>
        </w:rPr>
        <w:t>ABPR</w:t>
      </w:r>
      <w:r w:rsidR="00CD45DB" w:rsidRPr="00F110C2">
        <w:t> = </w:t>
      </w:r>
      <w:r w:rsidR="00CD45DB" w:rsidRPr="00F110C2">
        <w:rPr>
          <w:i/>
          <w:iCs/>
        </w:rPr>
        <w:t>P</w:t>
      </w:r>
      <w:r w:rsidR="00CD45DB" w:rsidRPr="00F110C2">
        <w:t> </w:t>
      </w:r>
      <w:r w:rsidR="009615D1" w:rsidRPr="00F110C2">
        <w:t>−</w:t>
      </w:r>
      <w:r w:rsidR="00CD45DB" w:rsidRPr="00F110C2">
        <w:t> </w:t>
      </w:r>
      <w:r w:rsidR="00CD45DB" w:rsidRPr="00F110C2">
        <w:rPr>
          <w:i/>
          <w:iCs/>
        </w:rPr>
        <w:t>P</w:t>
      </w:r>
      <w:r w:rsidR="00CD45DB" w:rsidRPr="00F110C2">
        <w:rPr>
          <w:i/>
          <w:iCs/>
          <w:position w:val="-4"/>
          <w:szCs w:val="24"/>
          <w:vertAlign w:val="subscript"/>
        </w:rPr>
        <w:t>ad</w:t>
      </w:r>
      <w:r w:rsidR="00CD45DB" w:rsidRPr="00F110C2">
        <w:rPr>
          <w:vertAlign w:val="subscript"/>
        </w:rPr>
        <w:t xml:space="preserve"> </w:t>
      </w:r>
      <w:r w:rsidR="00CD45DB" w:rsidRPr="00F110C2">
        <w:t>(dB)</w:t>
      </w:r>
    </w:p>
    <w:p w14:paraId="3C06194A" w14:textId="77777777" w:rsidR="00CD45DB" w:rsidRPr="00F110C2" w:rsidRDefault="00CD45DB" w:rsidP="00254EC9">
      <w:pPr>
        <w:keepNext/>
        <w:keepLines/>
      </w:pPr>
      <w:r w:rsidRPr="00F110C2">
        <w:lastRenderedPageBreak/>
        <w:t>où:</w:t>
      </w:r>
    </w:p>
    <w:p w14:paraId="510505B9" w14:textId="5A0F1E22" w:rsidR="00CD45DB" w:rsidRPr="00F110C2" w:rsidRDefault="00CD45DB" w:rsidP="00254EC9">
      <w:pPr>
        <w:pStyle w:val="Equationlegend"/>
        <w:keepNext/>
        <w:keepLines/>
        <w:rPr>
          <w:szCs w:val="24"/>
          <w:lang w:val="fr-FR"/>
        </w:rPr>
      </w:pPr>
      <w:r w:rsidRPr="00F110C2">
        <w:rPr>
          <w:lang w:val="fr-FR"/>
        </w:rPr>
        <w:tab/>
      </w:r>
      <w:r w:rsidRPr="00F110C2">
        <w:rPr>
          <w:i/>
          <w:iCs/>
          <w:szCs w:val="24"/>
          <w:lang w:val="fr-FR"/>
        </w:rPr>
        <w:t>P</w:t>
      </w:r>
      <w:r w:rsidR="00C43494" w:rsidRPr="00F110C2">
        <w:rPr>
          <w:szCs w:val="24"/>
          <w:lang w:val="fr-FR"/>
        </w:rPr>
        <w:t xml:space="preserve"> </w:t>
      </w:r>
      <w:r w:rsidRPr="00F110C2">
        <w:rPr>
          <w:szCs w:val="24"/>
          <w:lang w:val="fr-FR"/>
        </w:rPr>
        <w:t>:</w:t>
      </w:r>
      <w:r w:rsidRPr="00F110C2">
        <w:rPr>
          <w:szCs w:val="24"/>
          <w:lang w:val="fr-FR"/>
        </w:rPr>
        <w:tab/>
        <w:t>puissance moyenne de l'émetteur</w:t>
      </w:r>
    </w:p>
    <w:p w14:paraId="48B95BE1" w14:textId="1E7E5CB7" w:rsidR="00CD45DB" w:rsidRPr="00F110C2" w:rsidRDefault="00CD45DB" w:rsidP="00254EC9">
      <w:pPr>
        <w:pStyle w:val="Equationlegend"/>
        <w:rPr>
          <w:szCs w:val="24"/>
          <w:lang w:val="fr-FR"/>
        </w:rPr>
      </w:pPr>
      <w:r w:rsidRPr="00F110C2">
        <w:rPr>
          <w:szCs w:val="24"/>
          <w:lang w:val="fr-FR"/>
        </w:rPr>
        <w:tab/>
      </w:r>
      <w:r w:rsidRPr="00F110C2">
        <w:rPr>
          <w:i/>
          <w:iCs/>
          <w:szCs w:val="24"/>
          <w:lang w:val="fr-FR"/>
        </w:rPr>
        <w:t>P</w:t>
      </w:r>
      <w:r w:rsidRPr="00F110C2">
        <w:rPr>
          <w:i/>
          <w:iCs/>
          <w:position w:val="-4"/>
          <w:szCs w:val="24"/>
          <w:vertAlign w:val="subscript"/>
          <w:lang w:val="fr-FR"/>
        </w:rPr>
        <w:t>ad</w:t>
      </w:r>
      <w:r w:rsidR="00C43494" w:rsidRPr="00F110C2">
        <w:rPr>
          <w:szCs w:val="24"/>
          <w:lang w:val="fr-FR"/>
        </w:rPr>
        <w:t xml:space="preserve"> </w:t>
      </w:r>
      <w:r w:rsidRPr="00F110C2">
        <w:rPr>
          <w:szCs w:val="24"/>
          <w:lang w:val="fr-FR"/>
        </w:rPr>
        <w:t>:</w:t>
      </w:r>
      <w:r w:rsidRPr="00F110C2">
        <w:rPr>
          <w:szCs w:val="24"/>
          <w:lang w:val="fr-FR"/>
        </w:rPr>
        <w:tab/>
        <w:t>puissance moyenne dans la bande de fréquences adjacente.</w:t>
      </w:r>
    </w:p>
    <w:p w14:paraId="0A06A022" w14:textId="77777777" w:rsidR="00CD45DB" w:rsidRPr="00F110C2" w:rsidRDefault="00CD45DB" w:rsidP="00254EC9">
      <w:r w:rsidRPr="00F110C2">
        <w:t>Ce calcul constitue une opération de routine automatique sur de nombreux analyseurs de spectre modernes dotés de capacités de traitement des signaux numériques.</w:t>
      </w:r>
    </w:p>
    <w:p w14:paraId="3B39E037" w14:textId="77777777" w:rsidR="00CD45DB" w:rsidRPr="00F110C2" w:rsidRDefault="00CD45DB" w:rsidP="00254EC9">
      <w:r w:rsidRPr="00F110C2">
        <w:t xml:space="preserve">Le concept de mesure de la puissance dans la largeur de bande d'un canal adjacent peut être étendu aux bandes voisines dans une bande attribuée situées </w:t>
      </w:r>
      <w:r w:rsidRPr="00F110C2">
        <w:rPr>
          <w:i/>
          <w:iCs/>
        </w:rPr>
        <w:t>N</w:t>
      </w:r>
      <w:r w:rsidRPr="00F110C2">
        <w:t xml:space="preserve"> fois plus loin que la bande adjacente par rapport à la bande de fréquences assignée, </w:t>
      </w:r>
      <w:r w:rsidRPr="00F110C2">
        <w:rPr>
          <w:i/>
          <w:iCs/>
        </w:rPr>
        <w:t>N</w:t>
      </w:r>
      <w:r w:rsidRPr="00F110C2">
        <w:t xml:space="preserve"> étant un entier multiple de la bande de fréquence assignée. Il convient d'utiliser </w:t>
      </w:r>
      <w:r w:rsidRPr="00F110C2">
        <w:rPr>
          <w:i/>
          <w:iCs/>
        </w:rPr>
        <w:t>ABPR</w:t>
      </w:r>
      <w:r w:rsidRPr="00F110C2">
        <w:rPr>
          <w:i/>
          <w:iCs/>
          <w:position w:val="-4"/>
          <w:szCs w:val="24"/>
          <w:vertAlign w:val="subscript"/>
        </w:rPr>
        <w:t>N</w:t>
      </w:r>
      <w:r w:rsidRPr="00F110C2">
        <w:t xml:space="preserve"> pour désigner la puissance des émissions hors bande dans le canal </w:t>
      </w:r>
      <w:r w:rsidRPr="00F110C2">
        <w:rPr>
          <w:i/>
          <w:iCs/>
        </w:rPr>
        <w:t>N</w:t>
      </w:r>
      <w:r w:rsidRPr="00F110C2">
        <w:t>ème adjacent.</w:t>
      </w:r>
    </w:p>
    <w:p w14:paraId="365B69BC" w14:textId="77777777" w:rsidR="00CD45DB" w:rsidRPr="00F110C2" w:rsidRDefault="00CD45DB" w:rsidP="00254EC9">
      <w:pPr>
        <w:pStyle w:val="Heading1"/>
      </w:pPr>
      <w:r w:rsidRPr="00F110C2">
        <w:t>2</w:t>
      </w:r>
      <w:r w:rsidRPr="00F110C2">
        <w:tab/>
        <w:t>Méthode fondée sur le gabarit des émissions hors bande</w:t>
      </w:r>
    </w:p>
    <w:p w14:paraId="6BF41D46" w14:textId="77777777" w:rsidR="00CD45DB" w:rsidRPr="00F110C2" w:rsidRDefault="00CD45DB" w:rsidP="00254EC9">
      <w:r w:rsidRPr="00F110C2">
        <w:t>Cette méthode est fondée sur le concept défini au § 1.10 de la Recommandation UIT-R SM.328.</w:t>
      </w:r>
    </w:p>
    <w:p w14:paraId="0F13E751" w14:textId="77777777" w:rsidR="00CD45DB" w:rsidRPr="00F110C2" w:rsidRDefault="00CD45DB" w:rsidP="00254EC9">
      <w:pPr>
        <w:pStyle w:val="Heading2"/>
      </w:pPr>
      <w:r w:rsidRPr="00F110C2">
        <w:t>2.1</w:t>
      </w:r>
      <w:r w:rsidRPr="00F110C2">
        <w:tab/>
        <w:t>Paramètres à mesurer</w:t>
      </w:r>
    </w:p>
    <w:p w14:paraId="099DBCA9" w14:textId="77777777" w:rsidR="00CD45DB" w:rsidRPr="00F110C2" w:rsidRDefault="00CD45DB" w:rsidP="00254EC9">
      <w:r w:rsidRPr="00F110C2">
        <w:t xml:space="preserve">Pour mesurer le spectre de l'émetteur, qui doit être caractérisé en termes de dBsd, dBc ou dBpp, il faut utiliser une largeur de bande de mesure conforme au point </w:t>
      </w:r>
      <w:r w:rsidRPr="00F110C2">
        <w:rPr>
          <w:bCs/>
        </w:rPr>
        <w:t>1.5</w:t>
      </w:r>
      <w:r w:rsidRPr="00F110C2">
        <w:t xml:space="preserve"> du </w:t>
      </w:r>
      <w:r w:rsidRPr="00F110C2">
        <w:rPr>
          <w:i/>
        </w:rPr>
        <w:t>recommande</w:t>
      </w:r>
      <w:r w:rsidRPr="00F110C2">
        <w:t>.</w:t>
      </w:r>
    </w:p>
    <w:p w14:paraId="035B55A6" w14:textId="77777777" w:rsidR="00CD45DB" w:rsidRPr="00F110C2" w:rsidRDefault="00CD45DB" w:rsidP="00254EC9">
      <w:pPr>
        <w:pStyle w:val="Heading2"/>
      </w:pPr>
      <w:r w:rsidRPr="00F110C2">
        <w:t>2.2</w:t>
      </w:r>
      <w:r w:rsidRPr="00F110C2">
        <w:tab/>
        <w:t>Plage de mesure</w:t>
      </w:r>
    </w:p>
    <w:p w14:paraId="61F161E6" w14:textId="77777777" w:rsidR="00CD45DB" w:rsidRPr="00F110C2" w:rsidRDefault="00CD45DB" w:rsidP="00254EC9">
      <w:r w:rsidRPr="00F110C2">
        <w:t>Les mesures doivent être effectuées dans le domaine des émissions hors bande, qui est compris entre la frontière de la bande de fréquences assignée et la frontière entre le domaine des émissions hors bande et celui des rayonnements non essentiels.</w:t>
      </w:r>
    </w:p>
    <w:p w14:paraId="04458EEC" w14:textId="77777777" w:rsidR="00CD45DB" w:rsidRPr="00F110C2" w:rsidRDefault="00CD45DB" w:rsidP="00254EC9">
      <w:pPr>
        <w:pStyle w:val="Heading2"/>
        <w:rPr>
          <w:bCs/>
        </w:rPr>
      </w:pPr>
      <w:r w:rsidRPr="00F110C2">
        <w:rPr>
          <w:bCs/>
        </w:rPr>
        <w:t>2.3</w:t>
      </w:r>
      <w:r w:rsidRPr="00F110C2">
        <w:rPr>
          <w:bCs/>
        </w:rPr>
        <w:tab/>
        <w:t>Gabarit des émissions hors bande</w:t>
      </w:r>
    </w:p>
    <w:p w14:paraId="7B88A974" w14:textId="77777777" w:rsidR="00CD45DB" w:rsidRPr="00F110C2" w:rsidRDefault="00CD45DB" w:rsidP="00254EC9">
      <w:r w:rsidRPr="00F110C2">
        <w:t>Conformément à la Note 1 du § 1.10 de la Recommandation UIT-R SM.328, le gabarit ne limite pas les émissions dans la largeur de bande nécessaire étant donné qu'il s'applique uniquement dans le domaine des émissions hors bande du spectre.</w:t>
      </w:r>
    </w:p>
    <w:p w14:paraId="44D9D069" w14:textId="5A2C9560" w:rsidR="00CD45DB" w:rsidRPr="00F110C2" w:rsidRDefault="00CD45DB" w:rsidP="00254EC9">
      <w:pPr>
        <w:pStyle w:val="Note"/>
      </w:pPr>
      <w:r w:rsidRPr="00F110C2">
        <w:t>NOTE 1 </w:t>
      </w:r>
      <w:r w:rsidR="0023743D" w:rsidRPr="00F110C2">
        <w:t>–</w:t>
      </w:r>
      <w:r w:rsidRPr="00F110C2">
        <w:t> Dans le domaine des émissions hors bande, il est possible que des raies spectrales soient présentes à des niveaux supérieurs au gabarit des émissions hors bande. Un gabarit autorisant de telles raies pourrait ne pas être assez strict. Par conséquent, il faut peut-être envisager, pour certaines émissions, une approche qui autorise un nombre restreint de raies spectrales de ce type à certains niveaux au-dessus du gabarit; lorsque c'est nécessaire, ces limites particulières sont spécifiées dans les annexes applicables portant sur des services de radiocommunication particuliers.</w:t>
      </w:r>
    </w:p>
    <w:p w14:paraId="77960135" w14:textId="77777777" w:rsidR="00C43494" w:rsidRPr="00F110C2" w:rsidRDefault="00C43494" w:rsidP="00254EC9"/>
    <w:p w14:paraId="3A6CC0CD" w14:textId="77777777" w:rsidR="00C43494" w:rsidRPr="00F110C2" w:rsidRDefault="00C43494" w:rsidP="00254EC9"/>
    <w:p w14:paraId="731D1CFD" w14:textId="77777777" w:rsidR="00CD45DB" w:rsidRPr="00F110C2" w:rsidRDefault="00CD45DB" w:rsidP="00254EC9">
      <w:pPr>
        <w:pStyle w:val="AppendixNoTitle"/>
        <w:outlineLvl w:val="0"/>
      </w:pPr>
      <w:r w:rsidRPr="00F110C2">
        <w:lastRenderedPageBreak/>
        <w:t>Pièce jointe 1</w:t>
      </w:r>
      <w:r w:rsidRPr="00F110C2">
        <w:br/>
        <w:t>à l'Annexe 1</w:t>
      </w:r>
      <w:r w:rsidRPr="00F110C2">
        <w:br/>
      </w:r>
      <w:r w:rsidRPr="00F110C2">
        <w:br/>
        <w:t>Exemple de calcul d'un rapport de puissance admissible pour</w:t>
      </w:r>
      <w:r w:rsidRPr="00F110C2">
        <w:br/>
        <w:t>les émissions hors bande et de limites de puissance à partir</w:t>
      </w:r>
      <w:r w:rsidRPr="00F110C2">
        <w:br/>
        <w:t>d'un gabarit admissible des émissions hors bande</w:t>
      </w:r>
    </w:p>
    <w:p w14:paraId="3EEE15BD" w14:textId="77777777" w:rsidR="00CD45DB" w:rsidRPr="00F110C2" w:rsidRDefault="00CD45DB" w:rsidP="00254EC9">
      <w:pPr>
        <w:pStyle w:val="Heading1"/>
      </w:pPr>
      <w:r w:rsidRPr="00F110C2">
        <w:rPr>
          <w:bCs/>
        </w:rPr>
        <w:t>1</w:t>
      </w:r>
      <w:r w:rsidRPr="00F110C2">
        <w:rPr>
          <w:bCs/>
        </w:rPr>
        <w:tab/>
        <w:t>Introduction</w:t>
      </w:r>
    </w:p>
    <w:p w14:paraId="4EC4C901" w14:textId="77777777" w:rsidR="00CD45DB" w:rsidRPr="00F110C2" w:rsidRDefault="00CD45DB" w:rsidP="00254EC9">
      <w:r w:rsidRPr="00F110C2">
        <w:t>L'intégration d'un gabarit des émissions hors bande sur une plage de fréquences donnée permet de calculer la puissance maximale que ce gabarit admet dans cette plage en ce qui concerne les émissions dans le domaine des émissions hors bande et sert à mettre en relation les deux méthodes utilisées pour limiter les émissions dans le domaine des émissions hors bande. Cette relation peut être calculée au moyen d'une méthode discrète ou d'une méthode continue. La méthode discrète émule la manière dont un analyseur de spectre ou un analyseur de signal vectoriel doté d'une capacité de mesure de puissance numérique fonctionne tandis que la méthode continue s'appuie sur une approche purement mathématique. Grâce aux progrès réalisés en matière de techniques numériques, cette capacité est maintenant disponible dans de nombreuses familles d'analyseurs de spectre présentes sur le marché. Les deux méthodes sont valables et conduisent quasiment au même résultat comme le montreront les exemples qui suivent.</w:t>
      </w:r>
    </w:p>
    <w:p w14:paraId="6E6000EE" w14:textId="77777777" w:rsidR="00CD45DB" w:rsidRPr="00F110C2" w:rsidRDefault="00CD45DB" w:rsidP="00254EC9">
      <w:r w:rsidRPr="00F110C2">
        <w:t>Dans les exemples, on utilisera la formule du gabarit d'émission numérique indiquée au Tableau 3 et utilisée dans plusieurs pays, qu'on désigne parfois par gabarit d'émission G. On calcule ici la puissance totale dans une bande adjacente de 25 kHz de largeur. Un simple ajustement des limites de la plage d'intégration permet d'effectuer le calcul pour d'autres largeurs de bande.</w:t>
      </w:r>
    </w:p>
    <w:p w14:paraId="741094EE" w14:textId="77777777" w:rsidR="00CD45DB" w:rsidRPr="00F110C2" w:rsidRDefault="00CD45DB" w:rsidP="00254EC9">
      <w:pPr>
        <w:pStyle w:val="TableNo"/>
      </w:pPr>
      <w:r w:rsidRPr="00F110C2">
        <w:t>TABLEAU 3</w:t>
      </w:r>
    </w:p>
    <w:p w14:paraId="3B2E7302" w14:textId="77777777" w:rsidR="00CD45DB" w:rsidRPr="00F110C2" w:rsidRDefault="00CD45DB" w:rsidP="00254EC9">
      <w:pPr>
        <w:pStyle w:val="Tabletitle"/>
        <w:rPr>
          <w:b w:val="0"/>
          <w:bCs/>
        </w:rPr>
      </w:pPr>
      <w:r w:rsidRPr="00F110C2">
        <w:rPr>
          <w:bCs/>
        </w:rPr>
        <w:t>Formule de l'affaiblissement pour le gabarit d'émission G</w:t>
      </w:r>
      <w:r w:rsidRPr="00F110C2">
        <w:rPr>
          <w:bCs/>
        </w:rPr>
        <w:br/>
      </w:r>
      <w:r w:rsidRPr="00F110C2">
        <w:rPr>
          <w:b w:val="0"/>
          <w:bCs/>
        </w:rPr>
        <w:t>(employée dans certains pays pour les émetteurs non vocaux utilisés avec</w:t>
      </w:r>
      <w:r w:rsidRPr="00F110C2">
        <w:rPr>
          <w:b w:val="0"/>
          <w:bCs/>
        </w:rPr>
        <w:br/>
        <w:t>un espacement des canaux de 25 kHz (sur la base d'une RBW de 300 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19"/>
        <w:gridCol w:w="4820"/>
      </w:tblGrid>
      <w:tr w:rsidR="00CD45DB" w:rsidRPr="00F110C2" w14:paraId="2038CA93" w14:textId="77777777" w:rsidTr="00C43494">
        <w:trPr>
          <w:jc w:val="center"/>
        </w:trPr>
        <w:tc>
          <w:tcPr>
            <w:tcW w:w="4351" w:type="dxa"/>
            <w:tcBorders>
              <w:top w:val="single" w:sz="4" w:space="0" w:color="auto"/>
              <w:left w:val="single" w:sz="4" w:space="0" w:color="auto"/>
              <w:bottom w:val="single" w:sz="4" w:space="0" w:color="auto"/>
              <w:right w:val="single" w:sz="4" w:space="0" w:color="auto"/>
            </w:tcBorders>
            <w:vAlign w:val="center"/>
          </w:tcPr>
          <w:p w14:paraId="7FFEFA00" w14:textId="77777777" w:rsidR="00CD45DB" w:rsidRPr="00F110C2" w:rsidRDefault="00CD45DB" w:rsidP="00254EC9">
            <w:pPr>
              <w:pStyle w:val="Tablehead"/>
            </w:pPr>
            <w:r w:rsidRPr="00F110C2">
              <w:t>Plage de fréquences</w:t>
            </w:r>
          </w:p>
        </w:tc>
        <w:tc>
          <w:tcPr>
            <w:tcW w:w="4351" w:type="dxa"/>
            <w:tcBorders>
              <w:top w:val="single" w:sz="4" w:space="0" w:color="auto"/>
              <w:left w:val="single" w:sz="4" w:space="0" w:color="auto"/>
              <w:bottom w:val="single" w:sz="4" w:space="0" w:color="auto"/>
              <w:right w:val="single" w:sz="4" w:space="0" w:color="auto"/>
            </w:tcBorders>
            <w:vAlign w:val="center"/>
          </w:tcPr>
          <w:p w14:paraId="73C9CFE0" w14:textId="77777777" w:rsidR="00CD45DB" w:rsidRPr="00F110C2" w:rsidRDefault="00CD45DB" w:rsidP="00254EC9">
            <w:pPr>
              <w:pStyle w:val="Tablehead"/>
            </w:pPr>
            <w:r w:rsidRPr="00F110C2">
              <w:t>Limites d'affaiblissement</w:t>
            </w:r>
            <w:r w:rsidRPr="00F110C2">
              <w:br/>
              <w:t>(dB)</w:t>
            </w:r>
          </w:p>
        </w:tc>
      </w:tr>
      <w:tr w:rsidR="00CD45DB" w:rsidRPr="00F110C2" w14:paraId="3CF82C9A" w14:textId="77777777" w:rsidTr="00C43494">
        <w:trPr>
          <w:jc w:val="center"/>
        </w:trPr>
        <w:tc>
          <w:tcPr>
            <w:tcW w:w="4351" w:type="dxa"/>
            <w:tcBorders>
              <w:top w:val="single" w:sz="4" w:space="0" w:color="auto"/>
              <w:left w:val="single" w:sz="4" w:space="0" w:color="auto"/>
              <w:bottom w:val="single" w:sz="4" w:space="0" w:color="auto"/>
              <w:right w:val="single" w:sz="4" w:space="0" w:color="auto"/>
            </w:tcBorders>
          </w:tcPr>
          <w:p w14:paraId="3DC0292B" w14:textId="77777777" w:rsidR="00CD45DB" w:rsidRPr="00F110C2" w:rsidRDefault="00CD45DB" w:rsidP="00254EC9">
            <w:pPr>
              <w:pStyle w:val="Tabletext"/>
              <w:jc w:val="left"/>
            </w:pPr>
            <w:r w:rsidRPr="00F110C2">
              <w:t>5 kHz &lt; | </w:t>
            </w:r>
            <w:r w:rsidRPr="00F110C2">
              <w:rPr>
                <w:i/>
                <w:iCs/>
              </w:rPr>
              <w:t>fd</w:t>
            </w:r>
            <w:r w:rsidRPr="00F110C2">
              <w:t> | &lt; 10 kHz</w:t>
            </w:r>
          </w:p>
        </w:tc>
        <w:tc>
          <w:tcPr>
            <w:tcW w:w="4351" w:type="dxa"/>
            <w:tcBorders>
              <w:top w:val="single" w:sz="4" w:space="0" w:color="auto"/>
              <w:left w:val="single" w:sz="4" w:space="0" w:color="auto"/>
              <w:bottom w:val="single" w:sz="4" w:space="0" w:color="auto"/>
              <w:right w:val="single" w:sz="4" w:space="0" w:color="auto"/>
            </w:tcBorders>
          </w:tcPr>
          <w:p w14:paraId="0FF82034" w14:textId="77777777" w:rsidR="00CD45DB" w:rsidRPr="00F110C2" w:rsidRDefault="00CD45DB" w:rsidP="00254EC9">
            <w:pPr>
              <w:pStyle w:val="Tabletext"/>
              <w:jc w:val="left"/>
            </w:pPr>
            <w:r w:rsidRPr="00F110C2">
              <w:t>83 log (</w:t>
            </w:r>
            <w:r w:rsidRPr="00F110C2">
              <w:rPr>
                <w:i/>
                <w:iCs/>
              </w:rPr>
              <w:t>fd</w:t>
            </w:r>
            <w:r w:rsidRPr="00F110C2">
              <w:t>/5)</w:t>
            </w:r>
          </w:p>
        </w:tc>
      </w:tr>
      <w:tr w:rsidR="00CD45DB" w:rsidRPr="00F110C2" w14:paraId="40DCC9F6" w14:textId="77777777" w:rsidTr="00C43494">
        <w:trPr>
          <w:jc w:val="center"/>
        </w:trPr>
        <w:tc>
          <w:tcPr>
            <w:tcW w:w="4351" w:type="dxa"/>
            <w:tcBorders>
              <w:top w:val="single" w:sz="4" w:space="0" w:color="auto"/>
              <w:left w:val="single" w:sz="4" w:space="0" w:color="auto"/>
              <w:bottom w:val="single" w:sz="4" w:space="0" w:color="auto"/>
              <w:right w:val="single" w:sz="4" w:space="0" w:color="auto"/>
            </w:tcBorders>
          </w:tcPr>
          <w:p w14:paraId="17D3F540" w14:textId="77777777" w:rsidR="00CD45DB" w:rsidRPr="00F110C2" w:rsidRDefault="00CD45DB" w:rsidP="00254EC9">
            <w:pPr>
              <w:pStyle w:val="Tabletext"/>
              <w:jc w:val="left"/>
            </w:pPr>
            <w:r w:rsidRPr="00F110C2">
              <w:t>10 kHz &lt; | </w:t>
            </w:r>
            <w:r w:rsidRPr="00F110C2">
              <w:rPr>
                <w:i/>
                <w:iCs/>
              </w:rPr>
              <w:t>fd</w:t>
            </w:r>
            <w:r w:rsidRPr="00F110C2">
              <w:t> | &lt; 2,5 </w:t>
            </w:r>
            <w:r w:rsidRPr="00F110C2">
              <w:sym w:font="Symbol" w:char="F0B4"/>
            </w:r>
            <w:r w:rsidRPr="00F110C2">
              <w:t> ABW</w:t>
            </w:r>
          </w:p>
        </w:tc>
        <w:tc>
          <w:tcPr>
            <w:tcW w:w="4351" w:type="dxa"/>
            <w:tcBorders>
              <w:top w:val="single" w:sz="4" w:space="0" w:color="auto"/>
              <w:left w:val="single" w:sz="4" w:space="0" w:color="auto"/>
              <w:bottom w:val="single" w:sz="4" w:space="0" w:color="auto"/>
              <w:right w:val="single" w:sz="4" w:space="0" w:color="auto"/>
            </w:tcBorders>
          </w:tcPr>
          <w:p w14:paraId="397461E8" w14:textId="77777777" w:rsidR="00CD45DB" w:rsidRPr="00F110C2" w:rsidRDefault="00CD45DB" w:rsidP="00254EC9">
            <w:pPr>
              <w:pStyle w:val="Tabletext"/>
              <w:jc w:val="left"/>
            </w:pPr>
            <w:r w:rsidRPr="00F110C2">
              <w:t>116 log (</w:t>
            </w:r>
            <w:r w:rsidRPr="00F110C2">
              <w:rPr>
                <w:i/>
                <w:iCs/>
              </w:rPr>
              <w:t>fd</w:t>
            </w:r>
            <w:r w:rsidRPr="00F110C2">
              <w:t>/6,1) dB ou 50 + 10 log (</w:t>
            </w:r>
            <w:r w:rsidRPr="00F110C2">
              <w:rPr>
                <w:i/>
                <w:iCs/>
              </w:rPr>
              <w:t>P</w:t>
            </w:r>
            <w:r w:rsidRPr="00F110C2">
              <w:t>) dB ou 70 dB, la valeur retenue étant la plus petite de ces trois valeurs</w:t>
            </w:r>
          </w:p>
        </w:tc>
      </w:tr>
      <w:tr w:rsidR="00CD45DB" w:rsidRPr="00F110C2" w14:paraId="5E4C0481" w14:textId="77777777" w:rsidTr="00C43494">
        <w:trPr>
          <w:jc w:val="center"/>
        </w:trPr>
        <w:tc>
          <w:tcPr>
            <w:tcW w:w="8702" w:type="dxa"/>
            <w:gridSpan w:val="2"/>
            <w:tcBorders>
              <w:top w:val="single" w:sz="4" w:space="0" w:color="auto"/>
              <w:left w:val="nil"/>
              <w:bottom w:val="nil"/>
              <w:right w:val="nil"/>
            </w:tcBorders>
          </w:tcPr>
          <w:p w14:paraId="713CC38C" w14:textId="77777777" w:rsidR="00CD45DB" w:rsidRPr="00F110C2" w:rsidRDefault="00CD45DB" w:rsidP="00254EC9">
            <w:pPr>
              <w:pStyle w:val="Tabletext"/>
              <w:tabs>
                <w:tab w:val="clear" w:pos="567"/>
                <w:tab w:val="left" w:pos="745"/>
              </w:tabs>
              <w:ind w:left="745" w:hanging="745"/>
            </w:pPr>
            <w:r w:rsidRPr="00F110C2">
              <w:t>ABW:</w:t>
            </w:r>
            <w:r w:rsidRPr="00F110C2">
              <w:tab/>
              <w:t>largeur de bande autorisée (largeur de bande occupée ou largeur de bande nécessaire, si cette dernière est plus grande).</w:t>
            </w:r>
          </w:p>
          <w:p w14:paraId="4326C240" w14:textId="402ECF84" w:rsidR="00CD45DB" w:rsidRPr="00F110C2" w:rsidRDefault="00CD45DB" w:rsidP="00254EC9">
            <w:pPr>
              <w:pStyle w:val="Tabletext"/>
              <w:tabs>
                <w:tab w:val="clear" w:pos="284"/>
                <w:tab w:val="clear" w:pos="567"/>
                <w:tab w:val="left" w:pos="745"/>
              </w:tabs>
            </w:pPr>
            <w:r w:rsidRPr="00F110C2">
              <w:rPr>
                <w:i/>
                <w:iCs/>
              </w:rPr>
              <w:t>fd</w:t>
            </w:r>
            <w:r w:rsidRPr="00F110C2">
              <w:t>:</w:t>
            </w:r>
            <w:r w:rsidRPr="00F110C2">
              <w:tab/>
              <w:t>décalage de fréquence par rapport à la fréquence porteuse (kHz).</w:t>
            </w:r>
          </w:p>
          <w:p w14:paraId="40F6FCC6" w14:textId="2F1C1081" w:rsidR="00CD45DB" w:rsidRPr="00F110C2" w:rsidRDefault="00CD45DB" w:rsidP="00254EC9">
            <w:pPr>
              <w:pStyle w:val="Tabletext"/>
              <w:tabs>
                <w:tab w:val="clear" w:pos="567"/>
                <w:tab w:val="left" w:pos="745"/>
              </w:tabs>
              <w:ind w:left="745" w:hanging="745"/>
            </w:pPr>
            <w:r w:rsidRPr="00F110C2">
              <w:t>RBW:</w:t>
            </w:r>
            <w:r w:rsidRPr="00F110C2">
              <w:tab/>
              <w:t>largeur de bande de référence dans laquelle la puissance des émissions dans le domaine des émissions hors bande est spécifiée.</w:t>
            </w:r>
          </w:p>
        </w:tc>
      </w:tr>
    </w:tbl>
    <w:p w14:paraId="2555BB22" w14:textId="77777777" w:rsidR="00CD45DB" w:rsidRPr="00F110C2" w:rsidRDefault="00CD45DB" w:rsidP="00254EC9">
      <w:pPr>
        <w:pStyle w:val="Tablefin"/>
      </w:pPr>
    </w:p>
    <w:p w14:paraId="64F8BAE6" w14:textId="77777777" w:rsidR="00CD45DB" w:rsidRPr="00F110C2" w:rsidRDefault="00CD45DB" w:rsidP="00254EC9">
      <w:r w:rsidRPr="00F110C2">
        <w:t xml:space="preserve">La formule du gabarit de l'émetteur de </w:t>
      </w:r>
      <w:r w:rsidRPr="00F110C2">
        <w:rPr>
          <w:i/>
          <w:iCs/>
        </w:rPr>
        <w:t>P</w:t>
      </w:r>
      <w:r w:rsidRPr="00F110C2">
        <w:t> = 1 W fait apparaître des discontinuités (c'est-à-dire des points de rupture), comme en témoignent le Tableau 4 et la Fig. 4, nécessitant une intégration sur plusieurs plages.</w:t>
      </w:r>
    </w:p>
    <w:p w14:paraId="3527088F" w14:textId="77777777" w:rsidR="00CD45DB" w:rsidRPr="00F110C2" w:rsidRDefault="00CD45DB" w:rsidP="00254EC9">
      <w:pPr>
        <w:pStyle w:val="TableNo"/>
      </w:pPr>
      <w:r w:rsidRPr="00F110C2">
        <w:lastRenderedPageBreak/>
        <w:t>TABLEAU 4</w:t>
      </w:r>
    </w:p>
    <w:p w14:paraId="35802B38" w14:textId="77777777" w:rsidR="00CD45DB" w:rsidRPr="00F110C2" w:rsidRDefault="00CD45DB" w:rsidP="00254EC9">
      <w:pPr>
        <w:pStyle w:val="Tabletitle"/>
      </w:pPr>
      <w:r w:rsidRPr="00F110C2">
        <w:t>Points de rupture dans le gabarit des émissions hors bande G</w:t>
      </w:r>
      <w:r w:rsidRPr="00F110C2">
        <w:br/>
        <w:t>(sur la base d'une RBW de 300 Hz)</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6"/>
        <w:gridCol w:w="3581"/>
      </w:tblGrid>
      <w:tr w:rsidR="00CD45DB" w:rsidRPr="00F110C2" w14:paraId="1952DE2E" w14:textId="77777777" w:rsidTr="00C43494">
        <w:trPr>
          <w:jc w:val="center"/>
        </w:trPr>
        <w:tc>
          <w:tcPr>
            <w:tcW w:w="3866" w:type="dxa"/>
            <w:vAlign w:val="center"/>
          </w:tcPr>
          <w:p w14:paraId="1106D1F2" w14:textId="77777777" w:rsidR="00CD45DB" w:rsidRPr="00F110C2" w:rsidRDefault="00CD45DB" w:rsidP="00254EC9">
            <w:pPr>
              <w:pStyle w:val="Tablehead"/>
            </w:pPr>
            <w:r w:rsidRPr="00F110C2">
              <w:t>Décalage de fréquence par rapport</w:t>
            </w:r>
            <w:r w:rsidRPr="00F110C2">
              <w:br/>
              <w:t>à la porteuse (kHz)</w:t>
            </w:r>
          </w:p>
        </w:tc>
        <w:tc>
          <w:tcPr>
            <w:tcW w:w="3581" w:type="dxa"/>
            <w:vAlign w:val="center"/>
          </w:tcPr>
          <w:p w14:paraId="4DB0F925" w14:textId="77777777" w:rsidR="00CD45DB" w:rsidRPr="00F110C2" w:rsidRDefault="00CD45DB" w:rsidP="00254EC9">
            <w:pPr>
              <w:pStyle w:val="Tablehead"/>
            </w:pPr>
            <w:r w:rsidRPr="00F110C2">
              <w:t>Affaiblissement</w:t>
            </w:r>
            <w:r w:rsidRPr="00F110C2">
              <w:br/>
              <w:t>(dB)</w:t>
            </w:r>
          </w:p>
        </w:tc>
      </w:tr>
      <w:tr w:rsidR="00CD45DB" w:rsidRPr="00F110C2" w14:paraId="011280CD" w14:textId="77777777" w:rsidTr="00C43494">
        <w:trPr>
          <w:jc w:val="center"/>
        </w:trPr>
        <w:tc>
          <w:tcPr>
            <w:tcW w:w="3866" w:type="dxa"/>
          </w:tcPr>
          <w:p w14:paraId="0D0E99B9" w14:textId="2B180010" w:rsidR="00CD45DB" w:rsidRPr="00F110C2" w:rsidRDefault="00CD45DB" w:rsidP="00254EC9">
            <w:pPr>
              <w:pStyle w:val="Tabletext"/>
              <w:jc w:val="center"/>
            </w:pPr>
            <w:r w:rsidRPr="00F110C2">
              <w:t>12,5</w:t>
            </w:r>
            <w:r w:rsidR="00E34F6E" w:rsidRPr="00F110C2">
              <w:br/>
            </w:r>
            <w:r w:rsidRPr="00F110C2">
              <w:t>16,46</w:t>
            </w:r>
          </w:p>
        </w:tc>
        <w:tc>
          <w:tcPr>
            <w:tcW w:w="3581" w:type="dxa"/>
          </w:tcPr>
          <w:p w14:paraId="28773AAB" w14:textId="3ACF5E09" w:rsidR="00CD45DB" w:rsidRPr="00F110C2" w:rsidRDefault="00CD45DB" w:rsidP="00254EC9">
            <w:pPr>
              <w:pStyle w:val="Tabletext"/>
              <w:jc w:val="center"/>
            </w:pPr>
            <w:r w:rsidRPr="00F110C2">
              <w:t>36,14</w:t>
            </w:r>
            <w:r w:rsidR="00E34F6E" w:rsidRPr="00F110C2">
              <w:br/>
            </w:r>
            <w:r w:rsidRPr="00F110C2">
              <w:t>50</w:t>
            </w:r>
          </w:p>
        </w:tc>
      </w:tr>
    </w:tbl>
    <w:p w14:paraId="3DE3E14F" w14:textId="77777777" w:rsidR="00CD45DB" w:rsidRPr="00F110C2" w:rsidRDefault="00CD45DB" w:rsidP="00254EC9">
      <w:pPr>
        <w:pStyle w:val="Tablefin"/>
      </w:pPr>
    </w:p>
    <w:p w14:paraId="6A476D50" w14:textId="77777777" w:rsidR="00CD45DB" w:rsidRPr="00F110C2" w:rsidRDefault="00CD45DB" w:rsidP="00254EC9">
      <w:r w:rsidRPr="00F110C2">
        <w:t>Le gabarit G est représenté graphiquement sur la Fig. 4.</w:t>
      </w:r>
    </w:p>
    <w:p w14:paraId="513984A8" w14:textId="77777777" w:rsidR="00CD45DB" w:rsidRPr="00F110C2" w:rsidRDefault="00CD45DB" w:rsidP="00254EC9">
      <w:pPr>
        <w:pStyle w:val="FigureNo"/>
      </w:pPr>
      <w:r w:rsidRPr="00F110C2">
        <w:t>FIGURE 4</w:t>
      </w:r>
    </w:p>
    <w:p w14:paraId="26A2FEC5" w14:textId="77777777" w:rsidR="00CD45DB" w:rsidRPr="00F110C2" w:rsidRDefault="00CD45DB" w:rsidP="00254EC9">
      <w:pPr>
        <w:pStyle w:val="Figuretitle"/>
      </w:pPr>
      <w:r w:rsidRPr="00F110C2">
        <w:t>Gabarit d'émission G (sur la base d'une RBW de 300 Hz)</w:t>
      </w:r>
    </w:p>
    <w:p w14:paraId="561487F5" w14:textId="77777777" w:rsidR="00CD45DB" w:rsidRPr="00F110C2" w:rsidRDefault="00CD45DB" w:rsidP="00254EC9">
      <w:pPr>
        <w:pStyle w:val="Figure"/>
      </w:pPr>
      <w:r w:rsidRPr="00F110C2">
        <w:drawing>
          <wp:inline distT="0" distB="0" distL="0" distR="0" wp14:anchorId="3074F2A6" wp14:editId="118D8713">
            <wp:extent cx="4618355" cy="3071123"/>
            <wp:effectExtent l="0" t="0" r="0" b="0"/>
            <wp:docPr id="1691535851" name="Picture 4" descr="A graph of a freque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35851" name="Picture 4" descr="A graph of a frequency&#10;&#10;Description automatically generated with medium confidenc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211" b="2572"/>
                    <a:stretch/>
                  </pic:blipFill>
                  <pic:spPr bwMode="auto">
                    <a:xfrm>
                      <a:off x="0" y="0"/>
                      <a:ext cx="4624884" cy="3075465"/>
                    </a:xfrm>
                    <a:prstGeom prst="rect">
                      <a:avLst/>
                    </a:prstGeom>
                    <a:noFill/>
                    <a:ln>
                      <a:noFill/>
                    </a:ln>
                    <a:extLst>
                      <a:ext uri="{53640926-AAD7-44D8-BBD7-CCE9431645EC}">
                        <a14:shadowObscured xmlns:a14="http://schemas.microsoft.com/office/drawing/2010/main"/>
                      </a:ext>
                    </a:extLst>
                  </pic:spPr>
                </pic:pic>
              </a:graphicData>
            </a:graphic>
          </wp:inline>
        </w:drawing>
      </w:r>
    </w:p>
    <w:p w14:paraId="6CB0AB47" w14:textId="77777777" w:rsidR="00CD45DB" w:rsidRPr="00F110C2" w:rsidRDefault="00CD45DB" w:rsidP="00254EC9">
      <w:pPr>
        <w:pStyle w:val="Heading1"/>
      </w:pPr>
      <w:r w:rsidRPr="00F110C2">
        <w:t>2</w:t>
      </w:r>
      <w:r w:rsidRPr="00F110C2">
        <w:tab/>
        <w:t>Méthode discrète</w:t>
      </w:r>
    </w:p>
    <w:p w14:paraId="50A7A480" w14:textId="77777777" w:rsidR="00CD45DB" w:rsidRPr="00F110C2" w:rsidRDefault="00CD45DB" w:rsidP="00254EC9">
      <w:r w:rsidRPr="00F110C2">
        <w:t>L'exemple donné concerne un émetteur de 1 W. La notation utilisée dans un logiciel permettant de calculer les résultats est donnée plus loin. Le gabarit considéré présente une transition au milieu de la bande de fréquences adjacente et il faut déterminer 2 décalages de fréquence de rupture par rapport au centre de l'émission. Le premier point de rupture dépend du niveau de puissance de l'émetteur et correspond à un affaiblissement de 50 + 10 log (</w:t>
      </w:r>
      <w:r w:rsidRPr="00F110C2">
        <w:rPr>
          <w:i/>
          <w:iCs/>
        </w:rPr>
        <w:t>P</w:t>
      </w:r>
      <w:r w:rsidRPr="00F110C2">
        <w:t xml:space="preserve">) dB, où </w:t>
      </w:r>
      <w:r w:rsidRPr="00F110C2">
        <w:rPr>
          <w:i/>
          <w:iCs/>
        </w:rPr>
        <w:t>P</w:t>
      </w:r>
      <w:r w:rsidRPr="00F110C2">
        <w:t xml:space="preserve"> est la puissance de l'émetteur en watts. Le second correspond à un affaiblissement de 70 dB. En ce qui concerne la région de la bande adjacente qui est la plus proche de l'émission, l'équation (1) est la formule d'affaiblissement indépendante du niveau de puissance associée au gabarit d'affaiblissement de la densité spectrale donné en exemple, tandis que l'équation (11) est la formule dépendante du niveau de puissance pour la plage de fréquences de la région du bord éloigné de la fréquence de rupture correspondante. Il faut additionner la puissance dans les deux régions pour déterminer la puissance totale dans la bande adjacente.</w:t>
      </w:r>
    </w:p>
    <w:p w14:paraId="4A5E96F2" w14:textId="77777777" w:rsidR="00CD45DB" w:rsidRPr="00F110C2" w:rsidRDefault="00CD45DB" w:rsidP="00254EC9">
      <w:r w:rsidRPr="00F110C2">
        <w:t>Dans les équations qui suivent, la notation « := » signifie «est défini par» et les expressions entre crochets «[ ]» qui figurent dans des équations mathématiques ne constituent pas un texte provisoire mais un texte adopté.</w:t>
      </w:r>
    </w:p>
    <w:p w14:paraId="29D19097" w14:textId="77777777" w:rsidR="00CD45DB" w:rsidRPr="00F110C2" w:rsidRDefault="00CD45DB" w:rsidP="00254EC9">
      <w:r w:rsidRPr="00F110C2">
        <w:lastRenderedPageBreak/>
        <w:t>La formule de l'affaiblissement dans la région du bord proche est donnée dans la présente Pièce jointe par:</w:t>
      </w:r>
    </w:p>
    <w:p w14:paraId="7CB83CE4" w14:textId="41DA1026" w:rsidR="00093488" w:rsidRPr="00F110C2" w:rsidRDefault="00E34F6E" w:rsidP="00254EC9">
      <w:pPr>
        <w:pStyle w:val="Equation"/>
      </w:pPr>
      <w:r w:rsidRPr="00F110C2">
        <w:tab/>
      </w:r>
      <w:r w:rsidRPr="00F110C2">
        <w:tab/>
      </w:r>
      <w:r w:rsidRPr="00F110C2">
        <w:rPr>
          <w:position w:val="-10"/>
          <w:sz w:val="20"/>
        </w:rPr>
        <w:object w:dxaOrig="4140" w:dyaOrig="320" w14:anchorId="43728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206.9pt;height:15.9pt" o:ole="" fillcolor="window">
            <v:imagedata r:id="rId47" o:title=""/>
          </v:shape>
          <o:OLEObject Type="Embed" ProgID="Equation.DSMT4" ShapeID="_x0000_i1103" DrawAspect="Content" ObjectID="_1801482008" r:id="rId48"/>
        </w:object>
      </w:r>
      <w:r w:rsidRPr="00F110C2">
        <w:tab/>
        <w:t>(1)</w:t>
      </w:r>
    </w:p>
    <w:p w14:paraId="3668B2B3" w14:textId="3ADE6943" w:rsidR="00CD45DB" w:rsidRPr="00F110C2" w:rsidRDefault="00CD45DB" w:rsidP="00254EC9">
      <w:r w:rsidRPr="00F110C2">
        <w:t xml:space="preserve">où </w:t>
      </w:r>
      <w:r w:rsidRPr="00F110C2">
        <w:rPr>
          <w:i/>
        </w:rPr>
        <w:t>fd</w:t>
      </w:r>
      <w:r w:rsidRPr="00F110C2">
        <w:t xml:space="preserve"> est le décalage de fréquence (kHz) par rapport au centre de l'émission.</w:t>
      </w:r>
    </w:p>
    <w:p w14:paraId="699C6028" w14:textId="77777777" w:rsidR="00CD45DB" w:rsidRPr="00F110C2" w:rsidRDefault="00CD45DB" w:rsidP="00254EC9">
      <w:r w:rsidRPr="00F110C2">
        <w:t>Pour déterminer la puissance dans la bande adjacente, il faut convertir cette représentation logarithmique de la limite admissible de la densité spectrale de puissance de l'émission en représentation linéaire, ainsi l'affaiblissement peut être intégré ou sommé sur la plage de fréquences de la bande adjacente, sur la base de:</w:t>
      </w:r>
    </w:p>
    <w:p w14:paraId="2F21C449" w14:textId="77777777" w:rsidR="00CD45DB" w:rsidRPr="00F110C2" w:rsidRDefault="00CD45DB" w:rsidP="00254EC9">
      <w:pPr>
        <w:pStyle w:val="Equation"/>
      </w:pPr>
      <w:r w:rsidRPr="00F110C2">
        <w:tab/>
      </w:r>
      <w:r w:rsidRPr="00F110C2">
        <w:tab/>
      </w:r>
      <w:r w:rsidRPr="00F110C2">
        <w:rPr>
          <w:position w:val="-10"/>
          <w:sz w:val="20"/>
        </w:rPr>
        <w:object w:dxaOrig="2240" w:dyaOrig="400" w14:anchorId="4542DEF0">
          <v:shape id="_x0000_i1026" type="#_x0000_t75" style="width:111.4pt;height:18.2pt" o:ole="" fillcolor="window">
            <v:imagedata r:id="rId49" o:title=""/>
          </v:shape>
          <o:OLEObject Type="Embed" ProgID="Equation.3" ShapeID="_x0000_i1026" DrawAspect="Content" ObjectID="_1801482009" r:id="rId50"/>
        </w:object>
      </w:r>
      <w:r w:rsidRPr="00F110C2">
        <w:tab/>
        <w:t>(2)</w:t>
      </w:r>
    </w:p>
    <w:p w14:paraId="3D73F19F" w14:textId="77777777" w:rsidR="00CD45DB" w:rsidRPr="00F110C2" w:rsidRDefault="00CD45DB" w:rsidP="00254EC9">
      <w:r w:rsidRPr="00F110C2">
        <w:t>Pour déterminer la puissance limite associée au gabarit, il faut sommer l'affaiblissement à intervalles réguliers égaux à la largeur de bande de résolution spécifiée pour les mesures du gabarit d'émission (intégration numérique) sur la bande de fréquences considérée. Pour ce gabarit, la RBW est de:</w:t>
      </w:r>
    </w:p>
    <w:p w14:paraId="36B96B10" w14:textId="73A38E36" w:rsidR="00E34F6E" w:rsidRPr="00F110C2" w:rsidRDefault="00E34F6E" w:rsidP="00254EC9">
      <w:pPr>
        <w:pStyle w:val="Equation"/>
      </w:pPr>
      <w:r w:rsidRPr="00F110C2">
        <w:tab/>
      </w:r>
      <w:r w:rsidRPr="00F110C2">
        <w:tab/>
      </w:r>
      <w:r w:rsidRPr="00F110C2">
        <w:rPr>
          <w:position w:val="-10"/>
          <w:sz w:val="20"/>
        </w:rPr>
        <w:object w:dxaOrig="2740" w:dyaOrig="320" w14:anchorId="24B45F51">
          <v:shape id="_x0000_i1108" type="#_x0000_t75" style="width:137.2pt;height:15.9pt" o:ole="" fillcolor="window">
            <v:imagedata r:id="rId51" o:title=""/>
          </v:shape>
          <o:OLEObject Type="Embed" ProgID="Equation.DSMT4" ShapeID="_x0000_i1108" DrawAspect="Content" ObjectID="_1801482010" r:id="rId52"/>
        </w:object>
      </w:r>
      <w:r w:rsidRPr="00F110C2">
        <w:tab/>
        <w:t>(3)</w:t>
      </w:r>
    </w:p>
    <w:p w14:paraId="1092DDB3" w14:textId="07A85078" w:rsidR="00CD45DB" w:rsidRPr="00F110C2" w:rsidRDefault="00CD45DB" w:rsidP="00254EC9">
      <w:r w:rsidRPr="00F110C2">
        <w:t>et une largeur de 25 kHz est assignée à la bande adjacente. La bande adjacente est centrée sur une fréquence décalée de 25 kHz, de sorte que la bande assignée adjacente commence à une fréquence décalée de 25 </w:t>
      </w:r>
      <w:r w:rsidR="009615D1" w:rsidRPr="00F110C2">
        <w:t>−</w:t>
      </w:r>
      <w:r w:rsidRPr="00F110C2">
        <w:t xml:space="preserve"> 25/2 = 12,5 kHz et se termine à 37,5 kHz. Toutefois, un ajustement égal à la moitié de la largeur de bande de résolution du filtre est nécessaire afin d'empêcher l'inclusion d'énergie en dehors de la bande adjacente, il faut donc commencer la sommation de puissance à 12,5 + 0,3/2 = 12,65 kHz. La fréquence de rupture dépendante du niveau de puissance, </w:t>
      </w:r>
      <w:r w:rsidRPr="00F110C2">
        <w:rPr>
          <w:i/>
        </w:rPr>
        <w:t>fb</w:t>
      </w:r>
      <w:r w:rsidRPr="00F110C2">
        <w:t>, découle d'un réarrangement de l'équation (1) et elle est donnée par:</w:t>
      </w:r>
    </w:p>
    <w:p w14:paraId="6D4FD0ED" w14:textId="77777777" w:rsidR="00CD45DB" w:rsidRPr="00F110C2" w:rsidRDefault="00CD45DB" w:rsidP="00254EC9">
      <w:pPr>
        <w:pStyle w:val="Equation"/>
      </w:pPr>
      <w:r w:rsidRPr="00F110C2">
        <w:tab/>
      </w:r>
      <w:r w:rsidRPr="00F110C2">
        <w:tab/>
      </w:r>
      <w:r w:rsidRPr="00F110C2">
        <w:rPr>
          <w:position w:val="-10"/>
          <w:sz w:val="20"/>
        </w:rPr>
        <w:object w:dxaOrig="3019" w:dyaOrig="400" w14:anchorId="1EAB9CE5">
          <v:shape id="_x0000_i1028" type="#_x0000_t75" style="width:150.05pt;height:18.2pt" o:ole="" fillcolor="window">
            <v:imagedata r:id="rId53" o:title=""/>
          </v:shape>
          <o:OLEObject Type="Embed" ProgID="Equation.3" ShapeID="_x0000_i1028" DrawAspect="Content" ObjectID="_1801482011" r:id="rId54"/>
        </w:object>
      </w:r>
      <w:r w:rsidRPr="00F110C2">
        <w:tab/>
        <w:t>(4)</w:t>
      </w:r>
    </w:p>
    <w:p w14:paraId="2A0EF714" w14:textId="77777777" w:rsidR="00CD45DB" w:rsidRPr="00F110C2" w:rsidRDefault="00CD45DB" w:rsidP="00254EC9">
      <w:r w:rsidRPr="00F110C2">
        <w:t xml:space="preserve">Pour un émetteur de </w:t>
      </w:r>
      <w:r w:rsidRPr="00F110C2">
        <w:rPr>
          <w:i/>
          <w:iCs/>
        </w:rPr>
        <w:t>P</w:t>
      </w:r>
      <w:r w:rsidRPr="00F110C2">
        <w:t> = 1 W, le point de rupture à 50 dB se situe à 16,46 kHz. Le point de rupture à 70 dB, qui s'applique aussi à tous les émetteurs de 100 W ou plus, se situe à 24,48 kHz.</w:t>
      </w:r>
    </w:p>
    <w:p w14:paraId="1B299229" w14:textId="77777777" w:rsidR="00CD45DB" w:rsidRPr="00F110C2" w:rsidRDefault="00CD45DB" w:rsidP="00254EC9">
      <w:r w:rsidRPr="00F110C2">
        <w:t>On peut alors déterminer l'affaiblissement de puissance dans la région du bord proche de la bande adjacente en procédant à une sommation sur la plage de décalages de fréquence 12,65 kHz</w:t>
      </w:r>
      <w:r w:rsidRPr="00F110C2">
        <w:noBreakHyphen/>
        <w:t>16,46 kHz qui, après ajustement, est représentée par:</w:t>
      </w:r>
    </w:p>
    <w:p w14:paraId="217E8206" w14:textId="1BB89410" w:rsidR="00E34F6E" w:rsidRPr="00F110C2" w:rsidRDefault="00E34F6E" w:rsidP="00254EC9">
      <w:pPr>
        <w:pStyle w:val="Equation"/>
      </w:pPr>
      <w:r w:rsidRPr="00F110C2">
        <w:tab/>
      </w:r>
      <w:r w:rsidRPr="00F110C2">
        <w:tab/>
      </w:r>
      <w:r w:rsidRPr="00F110C2">
        <w:rPr>
          <w:position w:val="-10"/>
          <w:sz w:val="20"/>
        </w:rPr>
        <w:object w:dxaOrig="4220" w:dyaOrig="320" w14:anchorId="2EC6F3AA">
          <v:shape id="_x0000_i1113" type="#_x0000_t75" style="width:210.7pt;height:15.9pt" o:ole="" fillcolor="window">
            <v:imagedata r:id="rId55" o:title=""/>
          </v:shape>
          <o:OLEObject Type="Embed" ProgID="Equation.DSMT4" ShapeID="_x0000_i1113" DrawAspect="Content" ObjectID="_1801482012" r:id="rId56"/>
        </w:object>
      </w:r>
      <w:r w:rsidRPr="00F110C2">
        <w:tab/>
        <w:t>(5)</w:t>
      </w:r>
    </w:p>
    <w:p w14:paraId="2FD003EB" w14:textId="77777777" w:rsidR="00CD45DB" w:rsidRPr="00F110C2" w:rsidRDefault="00CD45DB" w:rsidP="00254EC9">
      <w:r w:rsidRPr="00F110C2">
        <w:t>Dans la région du bord proche de la bande adjacente, le gabarit d'émission est représenté logarithmiquement dans la Fig. 5:</w:t>
      </w:r>
    </w:p>
    <w:p w14:paraId="5A3312DB" w14:textId="77777777" w:rsidR="00CD45DB" w:rsidRPr="00F110C2" w:rsidRDefault="00CD45DB" w:rsidP="00254EC9">
      <w:pPr>
        <w:pStyle w:val="FigureNo"/>
      </w:pPr>
      <w:r w:rsidRPr="00F110C2">
        <w:t>FIGURE 5</w:t>
      </w:r>
    </w:p>
    <w:p w14:paraId="74673625" w14:textId="77777777" w:rsidR="00CD45DB" w:rsidRPr="00F110C2" w:rsidRDefault="00CD45DB" w:rsidP="00254EC9">
      <w:pPr>
        <w:pStyle w:val="Figuretitle"/>
      </w:pPr>
      <w:r w:rsidRPr="00F110C2">
        <w:t>Affaiblissement dans la région du bord proche de la bande adjacente (dBc)</w:t>
      </w:r>
    </w:p>
    <w:p w14:paraId="36951A6F" w14:textId="77777777" w:rsidR="00CD45DB" w:rsidRPr="00F110C2" w:rsidRDefault="00CD45DB" w:rsidP="00254EC9">
      <w:pPr>
        <w:pStyle w:val="Figure"/>
      </w:pPr>
      <w:r w:rsidRPr="00F110C2">
        <w:drawing>
          <wp:inline distT="0" distB="0" distL="0" distR="0" wp14:anchorId="7D83A34A" wp14:editId="3E1C4159">
            <wp:extent cx="4106697" cy="1885556"/>
            <wp:effectExtent l="0" t="0" r="8255" b="635"/>
            <wp:docPr id="809432015" name="Picture 6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32015" name="Picture 63" descr="A graph of a function&#10;&#10;Description automatically generated"/>
                    <pic:cNvPicPr/>
                  </pic:nvPicPr>
                  <pic:blipFill rotWithShape="1">
                    <a:blip r:embed="rId57" cstate="print">
                      <a:extLst>
                        <a:ext uri="{28A0092B-C50C-407E-A947-70E740481C1C}">
                          <a14:useLocalDpi xmlns:a14="http://schemas.microsoft.com/office/drawing/2010/main" val="0"/>
                        </a:ext>
                      </a:extLst>
                    </a:blip>
                    <a:srcRect t="5437" b="1528"/>
                    <a:stretch/>
                  </pic:blipFill>
                  <pic:spPr bwMode="auto">
                    <a:xfrm>
                      <a:off x="0" y="0"/>
                      <a:ext cx="4131701" cy="1897036"/>
                    </a:xfrm>
                    <a:prstGeom prst="rect">
                      <a:avLst/>
                    </a:prstGeom>
                    <a:ln>
                      <a:noFill/>
                    </a:ln>
                    <a:extLst>
                      <a:ext uri="{53640926-AAD7-44D8-BBD7-CCE9431645EC}">
                        <a14:shadowObscured xmlns:a14="http://schemas.microsoft.com/office/drawing/2010/main"/>
                      </a:ext>
                    </a:extLst>
                  </pic:spPr>
                </pic:pic>
              </a:graphicData>
            </a:graphic>
          </wp:inline>
        </w:drawing>
      </w:r>
    </w:p>
    <w:p w14:paraId="1123EADF" w14:textId="77777777" w:rsidR="00CD45DB" w:rsidRPr="00F110C2" w:rsidRDefault="00CD45DB" w:rsidP="00254EC9">
      <w:pPr>
        <w:pStyle w:val="Normalaftertitle"/>
        <w:widowControl w:val="0"/>
      </w:pPr>
      <w:r w:rsidRPr="00F110C2">
        <w:lastRenderedPageBreak/>
        <w:t>et la représentation linéaire de ce gabarit est donnée ci-après sur la Fig. 6.</w:t>
      </w:r>
    </w:p>
    <w:p w14:paraId="29F6189F" w14:textId="77777777" w:rsidR="00CD45DB" w:rsidRPr="00F110C2" w:rsidRDefault="00CD45DB" w:rsidP="00254EC9">
      <w:pPr>
        <w:pStyle w:val="FigureNo"/>
      </w:pPr>
      <w:r w:rsidRPr="00F110C2">
        <w:t>FIGURE 6</w:t>
      </w:r>
    </w:p>
    <w:p w14:paraId="611B5AA9" w14:textId="77777777" w:rsidR="00CD45DB" w:rsidRPr="00F110C2" w:rsidRDefault="00CD45DB" w:rsidP="00254EC9">
      <w:pPr>
        <w:pStyle w:val="Figuretitle"/>
      </w:pPr>
      <w:r w:rsidRPr="00F110C2">
        <w:t>Distribution de la puissance de l'émission dans la région</w:t>
      </w:r>
      <w:r w:rsidRPr="00F110C2">
        <w:br/>
        <w:t>du bord proche de la bande adjacente</w:t>
      </w:r>
    </w:p>
    <w:p w14:paraId="7171E97F" w14:textId="77777777" w:rsidR="00CD45DB" w:rsidRPr="00F110C2" w:rsidRDefault="00CD45DB" w:rsidP="00254EC9">
      <w:pPr>
        <w:pStyle w:val="Figure"/>
      </w:pPr>
      <w:r w:rsidRPr="00F110C2">
        <w:drawing>
          <wp:inline distT="0" distB="0" distL="0" distR="0" wp14:anchorId="5D03C9B9" wp14:editId="755EA89A">
            <wp:extent cx="4321015" cy="1989521"/>
            <wp:effectExtent l="0" t="0" r="3810" b="0"/>
            <wp:docPr id="419486966" name="Picture 62"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86966" name="Picture 62" descr="A graph of a line graph&#10;&#10;Description automatically generated with medium confidence"/>
                    <pic:cNvPicPr/>
                  </pic:nvPicPr>
                  <pic:blipFill rotWithShape="1">
                    <a:blip r:embed="rId58" cstate="print">
                      <a:extLst>
                        <a:ext uri="{28A0092B-C50C-407E-A947-70E740481C1C}">
                          <a14:useLocalDpi xmlns:a14="http://schemas.microsoft.com/office/drawing/2010/main" val="0"/>
                        </a:ext>
                      </a:extLst>
                    </a:blip>
                    <a:srcRect t="4827"/>
                    <a:stretch/>
                  </pic:blipFill>
                  <pic:spPr bwMode="auto">
                    <a:xfrm>
                      <a:off x="0" y="0"/>
                      <a:ext cx="4322073" cy="1990008"/>
                    </a:xfrm>
                    <a:prstGeom prst="rect">
                      <a:avLst/>
                    </a:prstGeom>
                    <a:ln>
                      <a:noFill/>
                    </a:ln>
                    <a:extLst>
                      <a:ext uri="{53640926-AAD7-44D8-BBD7-CCE9431645EC}">
                        <a14:shadowObscured xmlns:a14="http://schemas.microsoft.com/office/drawing/2010/main"/>
                      </a:ext>
                    </a:extLst>
                  </pic:spPr>
                </pic:pic>
              </a:graphicData>
            </a:graphic>
          </wp:inline>
        </w:drawing>
      </w:r>
    </w:p>
    <w:p w14:paraId="3A17A0C0" w14:textId="77777777" w:rsidR="00CD45DB" w:rsidRPr="00F110C2" w:rsidRDefault="00CD45DB" w:rsidP="00254EC9">
      <w:pPr>
        <w:pStyle w:val="Normalaftertitle"/>
      </w:pPr>
      <w:r w:rsidRPr="00F110C2">
        <w:t>La puissance totale dans la bande adjacente rapportée à la puissance totale de l'émission est un rapport que l'on détermine en sommant la puissance dans la largeur de la bande adjacente montrée à la Fig. 6 au moyen de l'équation suivante:</w:t>
      </w:r>
    </w:p>
    <w:p w14:paraId="377ECA14" w14:textId="77777777" w:rsidR="00CD45DB" w:rsidRPr="00F110C2" w:rsidRDefault="00CD45DB" w:rsidP="00254EC9">
      <w:pPr>
        <w:pStyle w:val="Equation"/>
      </w:pPr>
      <w:r w:rsidRPr="00F110C2">
        <w:tab/>
      </w:r>
      <w:r w:rsidRPr="00F110C2">
        <w:tab/>
      </w:r>
      <w:r w:rsidRPr="00F110C2">
        <w:rPr>
          <w:position w:val="-44"/>
          <w:sz w:val="20"/>
        </w:rPr>
        <w:object w:dxaOrig="1960" w:dyaOrig="740" w14:anchorId="2365A325">
          <v:shape id="_x0000_i1030" type="#_x0000_t75" style="width:97pt;height:38.65pt" o:ole="" fillcolor="window">
            <v:imagedata r:id="rId59" o:title=""/>
          </v:shape>
          <o:OLEObject Type="Embed" ProgID="Equation.3" ShapeID="_x0000_i1030" DrawAspect="Content" ObjectID="_1801482013" r:id="rId60"/>
        </w:object>
      </w:r>
      <w:r w:rsidRPr="00F110C2">
        <w:tab/>
        <w:t>(6)</w:t>
      </w:r>
    </w:p>
    <w:p w14:paraId="161B436D" w14:textId="77777777" w:rsidR="00CD45DB" w:rsidRPr="00F110C2" w:rsidRDefault="00CD45DB" w:rsidP="00254EC9">
      <w:r w:rsidRPr="00F110C2">
        <w:t>ce qui équivaut à:</w:t>
      </w:r>
    </w:p>
    <w:p w14:paraId="2EF65E20" w14:textId="77777777" w:rsidR="00CD45DB" w:rsidRPr="00F110C2" w:rsidRDefault="00CD45DB" w:rsidP="00254EC9">
      <w:pPr>
        <w:pStyle w:val="Equation"/>
      </w:pPr>
      <w:r w:rsidRPr="00F110C2">
        <w:tab/>
      </w:r>
      <w:r w:rsidRPr="00F110C2">
        <w:tab/>
      </w:r>
      <w:r w:rsidRPr="00F110C2">
        <w:rPr>
          <w:position w:val="-10"/>
          <w:sz w:val="20"/>
        </w:rPr>
        <w:object w:dxaOrig="2120" w:dyaOrig="420" w14:anchorId="0D308A3A">
          <v:shape id="_x0000_i1031" type="#_x0000_t75" style="width:105.35pt;height:21.2pt" o:ole="" fillcolor="window">
            <v:imagedata r:id="rId61" o:title=""/>
          </v:shape>
          <o:OLEObject Type="Embed" ProgID="Equation.3" ShapeID="_x0000_i1031" DrawAspect="Content" ObjectID="_1801482014" r:id="rId62"/>
        </w:object>
      </w:r>
      <w:r w:rsidRPr="00F110C2">
        <w:tab/>
        <w:t>(7)</w:t>
      </w:r>
    </w:p>
    <w:p w14:paraId="3C85CDF0" w14:textId="77777777" w:rsidR="00CD45DB" w:rsidRPr="00F110C2" w:rsidRDefault="00CD45DB" w:rsidP="00254EC9">
      <w:r w:rsidRPr="00F110C2">
        <w:t>que l'on peut reconvertir en affaiblissement associé à la limite de puissance dans la bande adjacente (dB) au moyen de:</w:t>
      </w:r>
    </w:p>
    <w:p w14:paraId="53FAD8D4" w14:textId="77777777" w:rsidR="00E34F6E" w:rsidRPr="00F110C2" w:rsidRDefault="00E34F6E" w:rsidP="00254EC9">
      <w:pPr>
        <w:pStyle w:val="Equation"/>
      </w:pPr>
      <w:r w:rsidRPr="00F110C2">
        <w:tab/>
      </w:r>
      <w:r w:rsidRPr="00F110C2">
        <w:tab/>
      </w:r>
      <w:r w:rsidRPr="00F110C2">
        <w:rPr>
          <w:position w:val="-10"/>
          <w:sz w:val="20"/>
        </w:rPr>
        <w:object w:dxaOrig="2730" w:dyaOrig="285" w14:anchorId="07549C3F">
          <v:shape id="_x0000_i1116" type="#_x0000_t75" style="width:136.4pt;height:14.4pt" o:ole="" fillcolor="window">
            <v:imagedata r:id="rId63" o:title=""/>
          </v:shape>
          <o:OLEObject Type="Embed" ProgID="Equation.3" ShapeID="_x0000_i1116" DrawAspect="Content" ObjectID="_1801482015" r:id="rId64"/>
        </w:object>
      </w:r>
      <w:r w:rsidRPr="00F110C2">
        <w:tab/>
        <w:t>(8)</w:t>
      </w:r>
    </w:p>
    <w:p w14:paraId="79F4CEB2" w14:textId="77777777" w:rsidR="00CD45DB" w:rsidRPr="00F110C2" w:rsidRDefault="00CD45DB" w:rsidP="00254EC9">
      <w:r w:rsidRPr="00F110C2">
        <w:t>ce qui donne:</w:t>
      </w:r>
    </w:p>
    <w:p w14:paraId="1B5C9050" w14:textId="7544E5C2" w:rsidR="00E34F6E" w:rsidRPr="00F110C2" w:rsidRDefault="00E34F6E" w:rsidP="00254EC9">
      <w:pPr>
        <w:pStyle w:val="Equation"/>
        <w:keepNext/>
        <w:keepLines/>
      </w:pPr>
      <w:r w:rsidRPr="00F110C2">
        <w:tab/>
      </w:r>
      <w:r w:rsidRPr="00F110C2">
        <w:tab/>
      </w:r>
      <w:r w:rsidRPr="00F110C2">
        <w:rPr>
          <w:position w:val="-10"/>
          <w:sz w:val="20"/>
        </w:rPr>
        <w:object w:dxaOrig="3340" w:dyaOrig="320" w14:anchorId="02D408A7">
          <v:shape id="_x0000_i1122" type="#_x0000_t75" style="width:166.75pt;height:15.9pt" o:ole="" fillcolor="window">
            <v:imagedata r:id="rId65" o:title=""/>
          </v:shape>
          <o:OLEObject Type="Embed" ProgID="Equation.DSMT4" ShapeID="_x0000_i1122" DrawAspect="Content" ObjectID="_1801482016" r:id="rId66"/>
        </w:object>
      </w:r>
      <w:r w:rsidRPr="00F110C2">
        <w:tab/>
        <w:t>(9)</w:t>
      </w:r>
    </w:p>
    <w:p w14:paraId="0B8DCED9" w14:textId="77777777" w:rsidR="00CD45DB" w:rsidRPr="00F110C2" w:rsidRDefault="00CD45DB" w:rsidP="00254EC9">
      <w:r w:rsidRPr="00F110C2">
        <w:t>Dans la région du bord éloigné de la bande de fréquences adjacente, le gabarit d'affaiblissement de la densité spectrale de puissance donné en exemple pour un émetteur de 1 W est donné par l'équation suivante:</w:t>
      </w:r>
    </w:p>
    <w:p w14:paraId="4D7CCAC6" w14:textId="77777777" w:rsidR="00CE1966" w:rsidRPr="00F110C2" w:rsidRDefault="00CE1966" w:rsidP="00254EC9">
      <w:pPr>
        <w:pStyle w:val="Equation"/>
      </w:pPr>
      <w:r w:rsidRPr="00F110C2">
        <w:tab/>
      </w:r>
      <w:r w:rsidRPr="00F110C2">
        <w:tab/>
      </w:r>
      <w:r w:rsidRPr="00F110C2">
        <w:rPr>
          <w:position w:val="-10"/>
          <w:sz w:val="20"/>
        </w:rPr>
        <w:object w:dxaOrig="3885" w:dyaOrig="285" w14:anchorId="7CF7E799">
          <v:shape id="_x0000_i1124" type="#_x0000_t75" style="width:194pt;height:14.4pt" o:ole="" fillcolor="window">
            <v:imagedata r:id="rId67" o:title=""/>
          </v:shape>
          <o:OLEObject Type="Embed" ProgID="Equation.3" ShapeID="_x0000_i1124" DrawAspect="Content" ObjectID="_1801482017" r:id="rId68"/>
        </w:object>
      </w:r>
      <w:r w:rsidRPr="00F110C2">
        <w:tab/>
        <w:t>(10)</w:t>
      </w:r>
    </w:p>
    <w:p w14:paraId="25936643" w14:textId="77777777" w:rsidR="00CD45DB" w:rsidRPr="00F110C2" w:rsidRDefault="00CD45DB" w:rsidP="00254EC9">
      <w:r w:rsidRPr="00F110C2">
        <w:t xml:space="preserve">où </w:t>
      </w:r>
      <w:r w:rsidRPr="00F110C2">
        <w:rPr>
          <w:i/>
          <w:iCs/>
        </w:rPr>
        <w:t>fd</w:t>
      </w:r>
      <w:r w:rsidRPr="00F110C2">
        <w:t xml:space="preserve"> est le décalage de fréquence en kHz par rapport au centre de l'émission.</w:t>
      </w:r>
    </w:p>
    <w:p w14:paraId="22C6E093" w14:textId="77777777" w:rsidR="00CD45DB" w:rsidRPr="00F110C2" w:rsidRDefault="00CD45DB" w:rsidP="00254EC9">
      <w:r w:rsidRPr="00F110C2">
        <w:t>Pour déterminer la puissance dans la bande adjacente, il faut convertir cette représentation logarithmique de la densité spectrale de puissance de l'émission en représentation linéaire, ainsi on peut intégrer ou sommer la puissance sur la plage de fréquences de la bande adjacente, sur la base de:</w:t>
      </w:r>
    </w:p>
    <w:p w14:paraId="42A21EC6" w14:textId="77777777" w:rsidR="00CD45DB" w:rsidRPr="00F110C2" w:rsidRDefault="00CD45DB" w:rsidP="00254EC9">
      <w:pPr>
        <w:pStyle w:val="Equation"/>
      </w:pPr>
      <w:r w:rsidRPr="00F110C2">
        <w:tab/>
      </w:r>
      <w:r w:rsidRPr="00F110C2">
        <w:tab/>
      </w:r>
      <w:r w:rsidRPr="00F110C2">
        <w:rPr>
          <w:position w:val="-10"/>
          <w:sz w:val="20"/>
        </w:rPr>
        <w:object w:dxaOrig="2060" w:dyaOrig="560" w14:anchorId="237A1D8E">
          <v:shape id="_x0000_i1035" type="#_x0000_t75" style="width:103.85pt;height:27.3pt" o:ole="" fillcolor="window">
            <v:imagedata r:id="rId69" o:title=""/>
          </v:shape>
          <o:OLEObject Type="Embed" ProgID="Equation.3" ShapeID="_x0000_i1035" DrawAspect="Content" ObjectID="_1801482018" r:id="rId70"/>
        </w:object>
      </w:r>
      <w:r w:rsidRPr="00F110C2">
        <w:tab/>
        <w:t>(11)</w:t>
      </w:r>
    </w:p>
    <w:p w14:paraId="608374AF" w14:textId="77777777" w:rsidR="00CD45DB" w:rsidRPr="00F110C2" w:rsidRDefault="00CD45DB" w:rsidP="00254EC9">
      <w:r w:rsidRPr="00F110C2">
        <w:t>Pour déterminer la puissance limite associée au gabarit, il faut sommer la puissance à intervalles réguliers égaux à la largeur de bande de résolution spécifiée pour les mesures du gabarit d'émission (intégration numérique) sur la bande de fréquences considérée. Pour ce gabarit:</w:t>
      </w:r>
    </w:p>
    <w:p w14:paraId="4ABFED69" w14:textId="2DE59499" w:rsidR="00CE1966" w:rsidRPr="00F110C2" w:rsidRDefault="00CE1966" w:rsidP="00254EC9">
      <w:pPr>
        <w:pStyle w:val="Equation"/>
      </w:pPr>
      <w:r w:rsidRPr="00F110C2">
        <w:lastRenderedPageBreak/>
        <w:tab/>
      </w:r>
      <w:r w:rsidRPr="00F110C2">
        <w:tab/>
      </w:r>
      <w:r w:rsidRPr="00F110C2">
        <w:rPr>
          <w:position w:val="-10"/>
          <w:sz w:val="20"/>
        </w:rPr>
        <w:object w:dxaOrig="2740" w:dyaOrig="320" w14:anchorId="0288876C">
          <v:shape id="_x0000_i1493" type="#_x0000_t75" style="width:137.2pt;height:15.9pt" o:ole="" fillcolor="window">
            <v:imagedata r:id="rId51" o:title=""/>
          </v:shape>
          <o:OLEObject Type="Embed" ProgID="Equation.DSMT4" ShapeID="_x0000_i1493" DrawAspect="Content" ObjectID="_1801482019" r:id="rId71"/>
        </w:object>
      </w:r>
      <w:r w:rsidRPr="00F110C2">
        <w:tab/>
        <w:t>(12)</w:t>
      </w:r>
    </w:p>
    <w:p w14:paraId="274AD48A" w14:textId="77777777" w:rsidR="00CD45DB" w:rsidRPr="00F110C2" w:rsidRDefault="00CD45DB" w:rsidP="00254EC9">
      <w:r w:rsidRPr="00F110C2">
        <w:t>On peut alors calculer la limite de puissance dans la bande adjacente rapportée à la puissance totale de l'émission en sommant l'affaiblissement sur la plage 16,46 kHz</w:t>
      </w:r>
      <w:r w:rsidRPr="00F110C2">
        <w:noBreakHyphen/>
        <w:t>37,5 kHz, qui, après ajustement, est représentée dans la présente Pièce jointe par:</w:t>
      </w:r>
    </w:p>
    <w:p w14:paraId="4183D59E" w14:textId="18478659" w:rsidR="00A21F86" w:rsidRPr="00F110C2" w:rsidRDefault="00A21F86" w:rsidP="00254EC9">
      <w:pPr>
        <w:pStyle w:val="Equation"/>
      </w:pPr>
      <w:r w:rsidRPr="00F110C2">
        <w:tab/>
      </w:r>
      <w:r w:rsidRPr="00F110C2">
        <w:tab/>
      </w:r>
      <w:r w:rsidRPr="00F110C2">
        <w:rPr>
          <w:position w:val="-10"/>
          <w:sz w:val="20"/>
        </w:rPr>
        <w:object w:dxaOrig="4220" w:dyaOrig="320" w14:anchorId="66C227F5">
          <v:shape id="_x0000_i1135" type="#_x0000_t75" style="width:210.7pt;height:15.9pt" o:ole="" fillcolor="window">
            <v:imagedata r:id="rId72" o:title=""/>
          </v:shape>
          <o:OLEObject Type="Embed" ProgID="Equation.DSMT4" ShapeID="_x0000_i1135" DrawAspect="Content" ObjectID="_1801482020" r:id="rId73"/>
        </w:object>
      </w:r>
      <w:r w:rsidRPr="00F110C2">
        <w:tab/>
        <w:t>(13)</w:t>
      </w:r>
    </w:p>
    <w:p w14:paraId="33DFAA71" w14:textId="77777777" w:rsidR="00CD45DB" w:rsidRPr="00F110C2" w:rsidRDefault="00CD45DB" w:rsidP="00254EC9">
      <w:r w:rsidRPr="00F110C2">
        <w:t>Dans la région du bord éloigné de la bande adjacente, le gabarit d'émission est représenté logarithmiquement dans la Fig. 7.</w:t>
      </w:r>
    </w:p>
    <w:p w14:paraId="269A8067" w14:textId="77777777" w:rsidR="00CD45DB" w:rsidRPr="00F110C2" w:rsidRDefault="00CD45DB" w:rsidP="00254EC9">
      <w:pPr>
        <w:pStyle w:val="FigureNo"/>
      </w:pPr>
      <w:r w:rsidRPr="00F110C2">
        <w:t>FIGURE 7</w:t>
      </w:r>
    </w:p>
    <w:p w14:paraId="103CB09C" w14:textId="77777777" w:rsidR="00CD45DB" w:rsidRPr="00F110C2" w:rsidRDefault="00CD45DB" w:rsidP="00254EC9">
      <w:pPr>
        <w:pStyle w:val="Figuretitle"/>
      </w:pPr>
      <w:r w:rsidRPr="00F110C2">
        <w:t>Affaiblissement dans la région du bord éloigné de la bande adjacente (dBc)</w:t>
      </w:r>
    </w:p>
    <w:p w14:paraId="03500533" w14:textId="77777777" w:rsidR="00CD45DB" w:rsidRPr="00F110C2" w:rsidRDefault="00CD45DB" w:rsidP="00254EC9">
      <w:pPr>
        <w:pStyle w:val="Figure"/>
      </w:pPr>
      <w:r w:rsidRPr="00F110C2">
        <w:drawing>
          <wp:inline distT="0" distB="0" distL="0" distR="0" wp14:anchorId="4B771973" wp14:editId="33183435">
            <wp:extent cx="4353560" cy="2003753"/>
            <wp:effectExtent l="0" t="0" r="0" b="0"/>
            <wp:docPr id="1593026182" name="Picture 5" descr="A graph of a number of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26182" name="Picture 5" descr="A graph of a number of squares&#10;&#10;Description automatically generated with medium confidence"/>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6476"/>
                    <a:stretch/>
                  </pic:blipFill>
                  <pic:spPr bwMode="auto">
                    <a:xfrm>
                      <a:off x="0" y="0"/>
                      <a:ext cx="4353560" cy="2003753"/>
                    </a:xfrm>
                    <a:prstGeom prst="rect">
                      <a:avLst/>
                    </a:prstGeom>
                    <a:noFill/>
                    <a:ln>
                      <a:noFill/>
                    </a:ln>
                    <a:extLst>
                      <a:ext uri="{53640926-AAD7-44D8-BBD7-CCE9431645EC}">
                        <a14:shadowObscured xmlns:a14="http://schemas.microsoft.com/office/drawing/2010/main"/>
                      </a:ext>
                    </a:extLst>
                  </pic:spPr>
                </pic:pic>
              </a:graphicData>
            </a:graphic>
          </wp:inline>
        </w:drawing>
      </w:r>
    </w:p>
    <w:p w14:paraId="2FE435AB" w14:textId="77777777" w:rsidR="00CD45DB" w:rsidRPr="00F110C2" w:rsidRDefault="00CD45DB" w:rsidP="00254EC9">
      <w:pPr>
        <w:pStyle w:val="Normalaftertitle"/>
      </w:pPr>
      <w:r w:rsidRPr="00F110C2">
        <w:t>La puissance totale dans la bande adjacente rapportée à la puissance totale de l'émission est un rapport que l'on détermine en sommant la puissance dans la largeur de la bande adjacente au moyen de l'équation suivante:</w:t>
      </w:r>
    </w:p>
    <w:p w14:paraId="60EBA72E" w14:textId="77777777" w:rsidR="00CD45DB" w:rsidRPr="00F110C2" w:rsidRDefault="00CD45DB" w:rsidP="00254EC9">
      <w:pPr>
        <w:pStyle w:val="Equation"/>
      </w:pPr>
      <w:r w:rsidRPr="00F110C2">
        <w:tab/>
      </w:r>
      <w:r w:rsidRPr="00F110C2">
        <w:tab/>
      </w:r>
      <w:r w:rsidRPr="00F110C2">
        <w:rPr>
          <w:position w:val="-36"/>
          <w:sz w:val="20"/>
        </w:rPr>
        <w:object w:dxaOrig="1880" w:dyaOrig="620" w14:anchorId="71656CD7">
          <v:shape id="_x0000_i1038" type="#_x0000_t75" style="width:93.2pt;height:31.85pt" o:ole="" fillcolor="window">
            <v:imagedata r:id="rId75" o:title=""/>
          </v:shape>
          <o:OLEObject Type="Embed" ProgID="Equation.3" ShapeID="_x0000_i1038" DrawAspect="Content" ObjectID="_1801482021" r:id="rId76"/>
        </w:object>
      </w:r>
      <w:r w:rsidRPr="00F110C2">
        <w:tab/>
        <w:t>(14)</w:t>
      </w:r>
    </w:p>
    <w:p w14:paraId="4B797A2F" w14:textId="77777777" w:rsidR="00CD45DB" w:rsidRPr="00F110C2" w:rsidRDefault="00CD45DB" w:rsidP="00254EC9">
      <w:r w:rsidRPr="00F110C2">
        <w:t>ce qui équivaut à:</w:t>
      </w:r>
    </w:p>
    <w:p w14:paraId="0E513B30" w14:textId="77777777" w:rsidR="00CD45DB" w:rsidRPr="00F110C2" w:rsidRDefault="00CD45DB" w:rsidP="00254EC9">
      <w:pPr>
        <w:pStyle w:val="Equation"/>
      </w:pPr>
      <w:r w:rsidRPr="00F110C2">
        <w:tab/>
      </w:r>
      <w:r w:rsidRPr="00F110C2">
        <w:tab/>
      </w:r>
      <w:r w:rsidRPr="00F110C2">
        <w:rPr>
          <w:position w:val="-10"/>
          <w:sz w:val="20"/>
        </w:rPr>
        <w:object w:dxaOrig="1719" w:dyaOrig="400" w14:anchorId="5B0D786D">
          <v:shape id="_x0000_i1039" type="#_x0000_t75" style="width:85.65pt;height:18.2pt" o:ole="" fillcolor="window">
            <v:imagedata r:id="rId77" o:title=""/>
          </v:shape>
          <o:OLEObject Type="Embed" ProgID="Equation.3" ShapeID="_x0000_i1039" DrawAspect="Content" ObjectID="_1801482022" r:id="rId78"/>
        </w:object>
      </w:r>
      <w:r w:rsidRPr="00F110C2">
        <w:tab/>
        <w:t>(15)</w:t>
      </w:r>
    </w:p>
    <w:p w14:paraId="5D58594E" w14:textId="77777777" w:rsidR="00CD45DB" w:rsidRPr="00F110C2" w:rsidRDefault="00CD45DB" w:rsidP="00254EC9">
      <w:r w:rsidRPr="00F110C2">
        <w:t>et ce qui donne:</w:t>
      </w:r>
    </w:p>
    <w:p w14:paraId="2F46667F" w14:textId="405F183C" w:rsidR="00A21F86" w:rsidRPr="00F110C2" w:rsidRDefault="00A21F86" w:rsidP="00254EC9">
      <w:pPr>
        <w:pStyle w:val="Equation"/>
      </w:pPr>
      <w:r w:rsidRPr="00F110C2">
        <w:tab/>
      </w:r>
      <w:r w:rsidRPr="00F110C2">
        <w:tab/>
      </w:r>
      <w:r w:rsidRPr="00F110C2">
        <w:rPr>
          <w:position w:val="-10"/>
        </w:rPr>
        <w:object w:dxaOrig="3300" w:dyaOrig="320" w14:anchorId="48924AA5">
          <v:shape id="_x0000_i1141" type="#_x0000_t75" style="width:165.2pt;height:15.9pt" o:ole="">
            <v:imagedata r:id="rId79" o:title=""/>
          </v:shape>
          <o:OLEObject Type="Embed" ProgID="Equation.DSMT4" ShapeID="_x0000_i1141" DrawAspect="Content" ObjectID="_1801482023" r:id="rId80"/>
        </w:object>
      </w:r>
      <w:r w:rsidRPr="00F110C2">
        <w:tab/>
        <w:t>(16)</w:t>
      </w:r>
    </w:p>
    <w:p w14:paraId="0785F9BB" w14:textId="77777777" w:rsidR="00CD45DB" w:rsidRPr="00F110C2" w:rsidRDefault="00CD45DB" w:rsidP="00254EC9">
      <w:r w:rsidRPr="00F110C2">
        <w:t>La puissance totale est la somme des puissances données par les équations (6) et (14):</w:t>
      </w:r>
    </w:p>
    <w:p w14:paraId="119038C0" w14:textId="77777777" w:rsidR="00A21F86" w:rsidRPr="00F110C2" w:rsidRDefault="00A21F86" w:rsidP="00254EC9">
      <w:pPr>
        <w:pStyle w:val="Equation"/>
      </w:pPr>
      <w:r w:rsidRPr="00F110C2">
        <w:tab/>
      </w:r>
      <w:r w:rsidRPr="00F110C2">
        <w:tab/>
      </w:r>
      <w:r w:rsidRPr="00F110C2">
        <w:rPr>
          <w:position w:val="-10"/>
          <w:sz w:val="20"/>
        </w:rPr>
        <w:object w:dxaOrig="2310" w:dyaOrig="285" w14:anchorId="5CE3285C">
          <v:shape id="_x0000_i1142" type="#_x0000_t75" style="width:115.2pt;height:14.4pt" o:ole="" fillcolor="window">
            <v:imagedata r:id="rId81" o:title=""/>
          </v:shape>
          <o:OLEObject Type="Embed" ProgID="Equation.3" ShapeID="_x0000_i1142" DrawAspect="Content" ObjectID="_1801482024" r:id="rId82"/>
        </w:object>
      </w:r>
      <w:r w:rsidRPr="00F110C2">
        <w:tab/>
        <w:t>(17)</w:t>
      </w:r>
    </w:p>
    <w:p w14:paraId="1EB0894F" w14:textId="77777777" w:rsidR="00CD45DB" w:rsidRPr="00F110C2" w:rsidRDefault="00CD45DB" w:rsidP="00254EC9">
      <w:r w:rsidRPr="00F110C2">
        <w:t>ce qui donne:</w:t>
      </w:r>
    </w:p>
    <w:p w14:paraId="75904DE6" w14:textId="77777777" w:rsidR="00CD45DB" w:rsidRPr="00F110C2" w:rsidRDefault="00CD45DB" w:rsidP="00254EC9">
      <w:pPr>
        <w:pStyle w:val="Equation"/>
      </w:pPr>
      <w:r w:rsidRPr="00F110C2">
        <w:tab/>
      </w:r>
      <w:r w:rsidRPr="00F110C2">
        <w:tab/>
      </w:r>
      <w:r w:rsidRPr="00F110C2">
        <w:rPr>
          <w:position w:val="-10"/>
          <w:sz w:val="20"/>
        </w:rPr>
        <w:object w:dxaOrig="2000" w:dyaOrig="400" w14:anchorId="435D4814">
          <v:shape id="_x0000_i1042" type="#_x0000_t75" style="width:100.05pt;height:18.2pt" o:ole="" fillcolor="window">
            <v:imagedata r:id="rId83" o:title=""/>
          </v:shape>
          <o:OLEObject Type="Embed" ProgID="Equation.3" ShapeID="_x0000_i1042" DrawAspect="Content" ObjectID="_1801482025" r:id="rId84"/>
        </w:object>
      </w:r>
      <w:r w:rsidRPr="00F110C2">
        <w:tab/>
        <w:t>(18)</w:t>
      </w:r>
    </w:p>
    <w:p w14:paraId="3C096538" w14:textId="77777777" w:rsidR="00CD45DB" w:rsidRPr="00F110C2" w:rsidRDefault="00CD45DB" w:rsidP="00254EC9">
      <w:r w:rsidRPr="00F110C2">
        <w:t>On a alors:</w:t>
      </w:r>
    </w:p>
    <w:p w14:paraId="63F233EE" w14:textId="77777777" w:rsidR="00A21F86" w:rsidRPr="00F110C2" w:rsidRDefault="00A21F86" w:rsidP="00254EC9">
      <w:pPr>
        <w:pStyle w:val="Equation"/>
      </w:pPr>
      <w:r w:rsidRPr="00F110C2">
        <w:tab/>
      </w:r>
      <w:r w:rsidRPr="00F110C2">
        <w:tab/>
      </w:r>
      <w:r w:rsidRPr="00F110C2">
        <w:rPr>
          <w:position w:val="-10"/>
          <w:sz w:val="20"/>
        </w:rPr>
        <w:object w:dxaOrig="3735" w:dyaOrig="285" w14:anchorId="2A463F2C">
          <v:shape id="_x0000_i1145" type="#_x0000_t75" style="width:186.45pt;height:14.4pt" o:ole="" fillcolor="window">
            <v:imagedata r:id="rId85" o:title=""/>
          </v:shape>
          <o:OLEObject Type="Embed" ProgID="Equation.3" ShapeID="_x0000_i1145" DrawAspect="Content" ObjectID="_1801482026" r:id="rId86"/>
        </w:object>
      </w:r>
      <w:r w:rsidRPr="00F110C2">
        <w:tab/>
        <w:t>(19)</w:t>
      </w:r>
    </w:p>
    <w:p w14:paraId="05E27BE8" w14:textId="77777777" w:rsidR="00CD45DB" w:rsidRPr="00F110C2" w:rsidRDefault="00CD45DB" w:rsidP="00254EC9">
      <w:r w:rsidRPr="00F110C2">
        <w:t>ce qui donne:</w:t>
      </w:r>
    </w:p>
    <w:p w14:paraId="20DADF33" w14:textId="2528F0C2" w:rsidR="00A21F86" w:rsidRPr="00F110C2" w:rsidRDefault="00A21F86" w:rsidP="00254EC9">
      <w:pPr>
        <w:pStyle w:val="Equation"/>
      </w:pPr>
      <w:r w:rsidRPr="00F110C2">
        <w:tab/>
      </w:r>
      <w:r w:rsidRPr="00F110C2">
        <w:tab/>
      </w:r>
      <w:r w:rsidRPr="00F110C2">
        <w:rPr>
          <w:position w:val="-10"/>
          <w:sz w:val="20"/>
        </w:rPr>
        <w:object w:dxaOrig="2900" w:dyaOrig="320" w14:anchorId="2DAEAACA">
          <v:shape id="_x0000_i1490" type="#_x0000_t75" style="width:144.75pt;height:15.9pt" o:ole="" fillcolor="window">
            <v:imagedata r:id="rId87" o:title=""/>
          </v:shape>
          <o:OLEObject Type="Embed" ProgID="Equation.DSMT4" ShapeID="_x0000_i1490" DrawAspect="Content" ObjectID="_1801482027" r:id="rId88"/>
        </w:object>
      </w:r>
      <w:r w:rsidRPr="00F110C2">
        <w:tab/>
        <w:t>(20)</w:t>
      </w:r>
    </w:p>
    <w:p w14:paraId="20322C76" w14:textId="7899DBE4" w:rsidR="00CD45DB" w:rsidRPr="00F110C2" w:rsidRDefault="00CD45DB" w:rsidP="00254EC9">
      <w:r w:rsidRPr="00F110C2">
        <w:t xml:space="preserve">Finalement, on a </w:t>
      </w:r>
      <w:r w:rsidRPr="00F110C2">
        <w:rPr>
          <w:i/>
          <w:iCs/>
        </w:rPr>
        <w:t>ABPR</w:t>
      </w:r>
      <w:r w:rsidRPr="00F110C2">
        <w:rPr>
          <w:position w:val="-4"/>
          <w:sz w:val="20"/>
        </w:rPr>
        <w:t>1</w:t>
      </w:r>
      <w:r w:rsidRPr="00F110C2">
        <w:t> = +30 dBm </w:t>
      </w:r>
      <w:r w:rsidR="009615D1" w:rsidRPr="00F110C2">
        <w:t>−</w:t>
      </w:r>
      <w:r w:rsidRPr="00F110C2">
        <w:t> 27,96 dB, c'est-à-dire 2,04 dBm.</w:t>
      </w:r>
    </w:p>
    <w:p w14:paraId="3FE06862" w14:textId="77777777" w:rsidR="00CD45DB" w:rsidRPr="00F110C2" w:rsidRDefault="00CD45DB" w:rsidP="00254EC9">
      <w:pPr>
        <w:pStyle w:val="Heading1"/>
        <w:rPr>
          <w:bCs/>
        </w:rPr>
      </w:pPr>
      <w:r w:rsidRPr="00F110C2">
        <w:rPr>
          <w:bCs/>
        </w:rPr>
        <w:lastRenderedPageBreak/>
        <w:t>3</w:t>
      </w:r>
      <w:r w:rsidRPr="00F110C2">
        <w:rPr>
          <w:bCs/>
        </w:rPr>
        <w:tab/>
        <w:t>Méthode continue</w:t>
      </w:r>
    </w:p>
    <w:p w14:paraId="1F115650" w14:textId="77777777" w:rsidR="00CD45DB" w:rsidRPr="00F110C2" w:rsidRDefault="00CD45DB" w:rsidP="00254EC9">
      <w:r w:rsidRPr="00F110C2">
        <w:t>En général, les courbes de gabarit d'émission présentent plusieurs segments de droite et la densité spectrale de puissance peut être représentée par une équation linéaire sur chaque segment.</w:t>
      </w:r>
    </w:p>
    <w:p w14:paraId="77290550" w14:textId="77777777" w:rsidR="00CD45DB" w:rsidRPr="00F110C2" w:rsidRDefault="00CD45DB" w:rsidP="00254EC9">
      <w:pPr>
        <w:pStyle w:val="Equation"/>
      </w:pPr>
      <w:r w:rsidRPr="00F110C2">
        <w:tab/>
      </w:r>
      <w:r w:rsidRPr="00F110C2">
        <w:tab/>
      </w:r>
      <w:r w:rsidRPr="00F110C2">
        <w:rPr>
          <w:position w:val="-12"/>
          <w:sz w:val="20"/>
        </w:rPr>
        <w:object w:dxaOrig="1700" w:dyaOrig="360" w14:anchorId="61F06257">
          <v:shape id="_x0000_i1045" type="#_x0000_t75" style="width:85.65pt;height:18.2pt" o:ole="" fillcolor="window">
            <v:imagedata r:id="rId89" o:title=""/>
          </v:shape>
          <o:OLEObject Type="Embed" ProgID="Equation.3" ShapeID="_x0000_i1045" DrawAspect="Content" ObjectID="_1801482028" r:id="rId90"/>
        </w:object>
      </w:r>
      <w:r w:rsidRPr="00F110C2">
        <w:tab/>
        <w:t>(21)</w:t>
      </w:r>
    </w:p>
    <w:p w14:paraId="7BBDCE7C" w14:textId="2F5FDD0D" w:rsidR="00CD45DB" w:rsidRPr="00F110C2" w:rsidRDefault="00CD45DB" w:rsidP="00254EC9">
      <w:r w:rsidRPr="00F110C2">
        <w:t>Pour calculer les niveaux de puissance des rayonnements non désirés injectés dans la bande adjacente, il faut mettre en relation le spectre mesuré avec une largeur de bande de 300 Hz, désigné par </w:t>
      </w:r>
      <w:r w:rsidRPr="00F110C2">
        <w:rPr>
          <w:i/>
          <w:iCs/>
        </w:rPr>
        <w:t>G</w:t>
      </w:r>
      <w:r w:rsidRPr="00F110C2">
        <w:t>, avec la vraie densité spectrale de puissance, désignée par </w:t>
      </w:r>
      <w:r w:rsidRPr="00F110C2">
        <w:rPr>
          <w:i/>
          <w:iCs/>
        </w:rPr>
        <w:t>S</w:t>
      </w:r>
      <w:r w:rsidRPr="00F110C2">
        <w:t xml:space="preserve">. Dans l'hypothèse où les niveaux de puissance de </w:t>
      </w:r>
      <w:r w:rsidRPr="00F110C2">
        <w:rPr>
          <w:i/>
          <w:iCs/>
        </w:rPr>
        <w:t>G</w:t>
      </w:r>
      <w:r w:rsidRPr="00F110C2">
        <w:t xml:space="preserve"> sont aussi représentés par une équation linéaire </w:t>
      </w:r>
      <w:r w:rsidR="00A21F86" w:rsidRPr="00F110C2">
        <w:rPr>
          <w:position w:val="-10"/>
        </w:rPr>
        <w:object w:dxaOrig="1290" w:dyaOrig="285" w14:anchorId="557973E4">
          <v:shape id="_x0000_i1154" type="#_x0000_t75" style="width:64.4pt;height:14.4pt" o:ole="">
            <v:imagedata r:id="rId91" o:title=""/>
          </v:shape>
          <o:OLEObject Type="Embed" ProgID="Equation.DSMT4" ShapeID="_x0000_i1154" DrawAspect="Content" ObjectID="_1801482029" r:id="rId92"/>
        </w:object>
      </w:r>
      <w:r w:rsidRPr="00F110C2">
        <w:t> le problème consiste à mettre en relation les coefficients </w:t>
      </w:r>
      <w:r w:rsidRPr="00F110C2">
        <w:rPr>
          <w:i/>
          <w:iCs/>
          <w:position w:val="-6"/>
        </w:rPr>
        <w:object w:dxaOrig="260" w:dyaOrig="279" w14:anchorId="4C75B4BA">
          <v:shape id="_x0000_i1047" type="#_x0000_t75" style="width:13.65pt;height:15.9pt" o:ole="">
            <v:imagedata r:id="rId93" o:title=""/>
          </v:shape>
          <o:OLEObject Type="Embed" ProgID="Equation.3" ShapeID="_x0000_i1047" DrawAspect="Content" ObjectID="_1801482030" r:id="rId94"/>
        </w:object>
      </w:r>
      <w:r w:rsidRPr="00F110C2">
        <w:rPr>
          <w:i/>
          <w:iCs/>
        </w:rPr>
        <w:t> </w:t>
      </w:r>
      <w:r w:rsidRPr="00F110C2">
        <w:t>et </w:t>
      </w:r>
      <w:r w:rsidRPr="00F110C2">
        <w:rPr>
          <w:position w:val="-6"/>
        </w:rPr>
        <w:object w:dxaOrig="240" w:dyaOrig="279" w14:anchorId="5AA31132">
          <v:shape id="_x0000_i1048" type="#_x0000_t75" style="width:10.6pt;height:15.9pt" o:ole="">
            <v:imagedata r:id="rId95" o:title=""/>
          </v:shape>
          <o:OLEObject Type="Embed" ProgID="Equation.3" ShapeID="_x0000_i1048" DrawAspect="Content" ObjectID="_1801482031" r:id="rId96"/>
        </w:object>
      </w:r>
      <w:r w:rsidRPr="00F110C2">
        <w:t> du comportement de la fonction </w:t>
      </w:r>
      <w:r w:rsidRPr="00F110C2">
        <w:rPr>
          <w:i/>
          <w:iCs/>
        </w:rPr>
        <w:t>G</w:t>
      </w:r>
      <w:r w:rsidRPr="00F110C2">
        <w:t xml:space="preserve"> avec les coefficients </w:t>
      </w:r>
      <w:r w:rsidRPr="00F110C2">
        <w:rPr>
          <w:i/>
          <w:iCs/>
        </w:rPr>
        <w:t>a</w:t>
      </w:r>
      <w:r w:rsidRPr="00F110C2">
        <w:t xml:space="preserve"> et </w:t>
      </w:r>
      <w:r w:rsidRPr="00F110C2">
        <w:rPr>
          <w:i/>
          <w:iCs/>
        </w:rPr>
        <w:t>b</w:t>
      </w:r>
      <w:r w:rsidRPr="00F110C2">
        <w:t xml:space="preserve"> de la fonction </w:t>
      </w:r>
      <w:r w:rsidRPr="00F110C2">
        <w:rPr>
          <w:i/>
          <w:iCs/>
        </w:rPr>
        <w:t>S</w:t>
      </w:r>
      <w:r w:rsidRPr="00F110C2">
        <w:t xml:space="preserve">. La relation entre </w:t>
      </w:r>
      <w:r w:rsidRPr="00F110C2">
        <w:rPr>
          <w:i/>
          <w:iCs/>
        </w:rPr>
        <w:t>G</w:t>
      </w:r>
      <w:r w:rsidRPr="00F110C2">
        <w:t>(</w:t>
      </w:r>
      <w:r w:rsidRPr="00F110C2">
        <w:rPr>
          <w:i/>
        </w:rPr>
        <w:t>f</w:t>
      </w:r>
      <w:r w:rsidRPr="00F110C2">
        <w:rPr>
          <w:i/>
          <w:position w:val="-4"/>
          <w:sz w:val="20"/>
        </w:rPr>
        <w:t>c</w:t>
      </w:r>
      <w:r w:rsidRPr="00F110C2">
        <w:t xml:space="preserve">) et </w:t>
      </w:r>
      <w:r w:rsidRPr="00F110C2">
        <w:rPr>
          <w:i/>
          <w:iCs/>
        </w:rPr>
        <w:t>S</w:t>
      </w:r>
      <w:r w:rsidRPr="00F110C2">
        <w:t>(</w:t>
      </w:r>
      <w:r w:rsidRPr="00F110C2">
        <w:rPr>
          <w:i/>
        </w:rPr>
        <w:t>f</w:t>
      </w:r>
      <w:r w:rsidRPr="00F110C2">
        <w:rPr>
          <w:i/>
          <w:position w:val="-4"/>
          <w:sz w:val="20"/>
        </w:rPr>
        <w:t>c</w:t>
      </w:r>
      <w:r w:rsidRPr="00F110C2">
        <w:t>) peut être représentée comme suit:</w:t>
      </w:r>
    </w:p>
    <w:p w14:paraId="5D81BD3A" w14:textId="1A7CE6F1" w:rsidR="00A21F86" w:rsidRPr="00F110C2" w:rsidRDefault="00CD45DB" w:rsidP="00254EC9">
      <w:pPr>
        <w:pStyle w:val="Equation"/>
      </w:pPr>
      <w:r w:rsidRPr="00F110C2">
        <w:tab/>
      </w:r>
      <w:r w:rsidRPr="00F110C2">
        <w:tab/>
      </w:r>
      <w:r w:rsidR="00A21F86" w:rsidRPr="00F110C2">
        <w:rPr>
          <w:position w:val="-48"/>
          <w:sz w:val="20"/>
        </w:rPr>
        <w:object w:dxaOrig="2310" w:dyaOrig="1005" w14:anchorId="0221F6DC">
          <v:shape id="_x0000_i1161" type="#_x0000_t75" style="width:115.2pt;height:50pt" o:ole="" fillcolor="window">
            <v:imagedata r:id="rId97" o:title=""/>
          </v:shape>
          <o:OLEObject Type="Embed" ProgID="Equation.3" ShapeID="_x0000_i1161" DrawAspect="Content" ObjectID="_1801482032" r:id="rId98"/>
        </w:object>
      </w:r>
    </w:p>
    <w:p w14:paraId="554551E1" w14:textId="77777777" w:rsidR="00A21F86" w:rsidRPr="00F110C2" w:rsidRDefault="00A21F86" w:rsidP="00254EC9">
      <w:pPr>
        <w:pStyle w:val="Equation"/>
      </w:pPr>
      <w:r w:rsidRPr="00F110C2">
        <w:tab/>
      </w:r>
      <w:r w:rsidRPr="00F110C2">
        <w:tab/>
      </w:r>
      <w:r w:rsidRPr="00F110C2">
        <w:rPr>
          <w:position w:val="-30"/>
          <w:sz w:val="20"/>
        </w:rPr>
        <w:object w:dxaOrig="8205" w:dyaOrig="720" w14:anchorId="6C07F59D">
          <v:shape id="_x0000_i1162" type="#_x0000_t75" style="width:410pt;height:36.4pt" o:ole="" fillcolor="window">
            <v:imagedata r:id="rId99" o:title=""/>
          </v:shape>
          <o:OLEObject Type="Embed" ProgID="Equation.3" ShapeID="_x0000_i1162" DrawAspect="Content" ObjectID="_1801482033" r:id="rId100"/>
        </w:object>
      </w:r>
    </w:p>
    <w:p w14:paraId="5F630F96" w14:textId="77777777" w:rsidR="00A21F86" w:rsidRPr="00F110C2" w:rsidRDefault="00A21F86" w:rsidP="00254EC9">
      <w:pPr>
        <w:pStyle w:val="Equation"/>
      </w:pPr>
      <w:r w:rsidRPr="00F110C2">
        <w:tab/>
      </w:r>
      <w:r w:rsidRPr="00F110C2">
        <w:tab/>
      </w:r>
      <w:r w:rsidRPr="00F110C2">
        <w:rPr>
          <w:position w:val="-30"/>
          <w:sz w:val="20"/>
        </w:rPr>
        <w:object w:dxaOrig="5475" w:dyaOrig="720" w14:anchorId="086681E0">
          <v:shape id="_x0000_i1163" type="#_x0000_t75" style="width:273.6pt;height:36.4pt" o:ole="" fillcolor="window">
            <v:imagedata r:id="rId101" o:title=""/>
          </v:shape>
          <o:OLEObject Type="Embed" ProgID="Equation.3" ShapeID="_x0000_i1163" DrawAspect="Content" ObjectID="_1801482034" r:id="rId102"/>
        </w:object>
      </w:r>
    </w:p>
    <w:p w14:paraId="7659C814" w14:textId="77777777" w:rsidR="00A21F86" w:rsidRPr="00F110C2" w:rsidRDefault="00A21F86" w:rsidP="00254EC9">
      <w:pPr>
        <w:pStyle w:val="Equation"/>
      </w:pPr>
      <w:r w:rsidRPr="00F110C2">
        <w:tab/>
      </w:r>
      <w:r w:rsidRPr="00F110C2">
        <w:tab/>
      </w:r>
      <w:r w:rsidRPr="00F110C2">
        <w:rPr>
          <w:position w:val="-24"/>
          <w:sz w:val="20"/>
        </w:rPr>
        <w:object w:dxaOrig="2730" w:dyaOrig="570" w14:anchorId="5F911FE7">
          <v:shape id="_x0000_i1164" type="#_x0000_t75" style="width:136.4pt;height:28.8pt" o:ole="" fillcolor="window">
            <v:imagedata r:id="rId103" o:title=""/>
          </v:shape>
          <o:OLEObject Type="Embed" ProgID="Equation.3" ShapeID="_x0000_i1164" DrawAspect="Content" ObjectID="_1801482035" r:id="rId104"/>
        </w:object>
      </w:r>
      <w:r w:rsidRPr="00F110C2">
        <w:tab/>
        <w:t>(22)</w:t>
      </w:r>
    </w:p>
    <w:p w14:paraId="2F86A19F" w14:textId="250BCC4A" w:rsidR="00CD45DB" w:rsidRPr="00F110C2" w:rsidRDefault="00CD45DB" w:rsidP="00254EC9">
      <w:pPr>
        <w:pStyle w:val="Equation"/>
      </w:pPr>
      <w:r w:rsidRPr="00F110C2">
        <w:t xml:space="preserve">où </w:t>
      </w:r>
      <w:r w:rsidR="00A21F86" w:rsidRPr="00F110C2">
        <w:rPr>
          <w:position w:val="-10"/>
          <w:sz w:val="20"/>
        </w:rPr>
        <w:object w:dxaOrig="1440" w:dyaOrig="285" w14:anchorId="695CB800">
          <v:shape id="_x0000_i1171" type="#_x0000_t75" style="width:1in;height:14.4pt" o:ole="" fillcolor="window">
            <v:imagedata r:id="rId105" o:title=""/>
          </v:shape>
          <o:OLEObject Type="Embed" ProgID="Equation.3" ShapeID="_x0000_i1171" DrawAspect="Content" ObjectID="_1801482036" r:id="rId106"/>
        </w:object>
      </w:r>
      <w:r w:rsidR="00A21F86" w:rsidRPr="00F110C2">
        <w:t xml:space="preserve">, </w:t>
      </w:r>
      <w:r w:rsidR="00A21F86" w:rsidRPr="00F110C2">
        <w:sym w:font="Symbol" w:char="F061"/>
      </w:r>
      <w:r w:rsidR="00A21F86" w:rsidRPr="00F110C2">
        <w:t xml:space="preserve"> = </w:t>
      </w:r>
      <w:r w:rsidR="00A21F86" w:rsidRPr="00F110C2">
        <w:rPr>
          <w:i/>
          <w:iCs/>
        </w:rPr>
        <w:t>ka</w:t>
      </w:r>
      <w:r w:rsidR="00A21F86" w:rsidRPr="00F110C2">
        <w:t>/2</w:t>
      </w:r>
      <w:r w:rsidRPr="00F110C2">
        <w:t xml:space="preserve"> et </w:t>
      </w:r>
      <w:r w:rsidRPr="00F110C2">
        <w:rPr>
          <w:i/>
          <w:iCs/>
        </w:rPr>
        <w:t>f</w:t>
      </w:r>
      <w:proofErr w:type="spellStart"/>
      <w:r w:rsidRPr="00F110C2">
        <w:rPr>
          <w:i/>
          <w:iCs/>
          <w:position w:val="-4"/>
          <w:sz w:val="20"/>
        </w:rPr>
        <w:t>c</w:t>
      </w:r>
      <w:r w:rsidRPr="00F110C2">
        <w:t xml:space="preserve"> est</w:t>
      </w:r>
      <w:proofErr w:type="spellEnd"/>
      <w:r w:rsidRPr="00F110C2">
        <w:t xml:space="preserve"> la fréquence centrale de la largeur de bande de résolution </w:t>
      </w:r>
      <w:r w:rsidRPr="00F110C2">
        <w:rPr>
          <w:i/>
          <w:iCs/>
        </w:rPr>
        <w:t>B</w:t>
      </w:r>
      <w:r w:rsidRPr="00F110C2">
        <w:t>. Par ailleurs, la densité spectrale de puissance mesurée sur la largeur de bande de résolution est convertie en décibels au moyen de l'équation (23) et la mise en relation des coefficients donne les relations (24) et (25).</w:t>
      </w:r>
    </w:p>
    <w:p w14:paraId="2F0AB127" w14:textId="77777777" w:rsidR="00A21F86" w:rsidRPr="00F110C2" w:rsidRDefault="00A21F86" w:rsidP="00254EC9">
      <w:pPr>
        <w:pStyle w:val="Equation"/>
      </w:pPr>
      <w:r w:rsidRPr="00F110C2">
        <w:tab/>
      </w:r>
      <w:r w:rsidRPr="00F110C2">
        <w:tab/>
      </w:r>
      <w:r w:rsidRPr="00F110C2">
        <w:rPr>
          <w:position w:val="-24"/>
          <w:sz w:val="20"/>
        </w:rPr>
        <w:object w:dxaOrig="5190" w:dyaOrig="570" w14:anchorId="3E13ACBD">
          <v:shape id="_x0000_i1174" type="#_x0000_t75" style="width:259.2pt;height:28.8pt" o:ole="" fillcolor="window">
            <v:imagedata r:id="rId107" o:title=""/>
          </v:shape>
          <o:OLEObject Type="Embed" ProgID="Equation.3" ShapeID="_x0000_i1174" DrawAspect="Content" ObjectID="_1801482037" r:id="rId108"/>
        </w:object>
      </w:r>
      <w:r w:rsidRPr="00F110C2">
        <w:tab/>
        <w:t>(23)</w:t>
      </w:r>
    </w:p>
    <w:p w14:paraId="483AF9E9" w14:textId="77777777" w:rsidR="00A21F86" w:rsidRPr="00F110C2" w:rsidRDefault="00A21F86" w:rsidP="00254EC9">
      <w:pPr>
        <w:pStyle w:val="Equation"/>
      </w:pPr>
      <w:r w:rsidRPr="00F110C2">
        <w:tab/>
      </w:r>
      <w:r w:rsidRPr="00F110C2">
        <w:tab/>
      </w:r>
      <w:r w:rsidRPr="00F110C2">
        <w:rPr>
          <w:position w:val="-10"/>
          <w:sz w:val="20"/>
        </w:rPr>
        <w:object w:dxaOrig="720" w:dyaOrig="285" w14:anchorId="13D6B5D7">
          <v:shape id="_x0000_i1175" type="#_x0000_t75" style="width:36.4pt;height:14.4pt" o:ole="" fillcolor="window">
            <v:imagedata r:id="rId109" o:title=""/>
          </v:shape>
          <o:OLEObject Type="Embed" ProgID="Equation.3" ShapeID="_x0000_i1175" DrawAspect="Content" ObjectID="_1801482038" r:id="rId110"/>
        </w:object>
      </w:r>
      <w:r w:rsidRPr="00F110C2">
        <w:tab/>
        <w:t>(24)</w:t>
      </w:r>
    </w:p>
    <w:p w14:paraId="3261A896" w14:textId="77777777" w:rsidR="00CD45DB" w:rsidRPr="00F110C2" w:rsidRDefault="00CD45DB" w:rsidP="00254EC9">
      <w:pPr>
        <w:pStyle w:val="Equation"/>
      </w:pPr>
      <w:r w:rsidRPr="00F110C2">
        <w:tab/>
      </w:r>
      <w:r w:rsidRPr="00F110C2">
        <w:tab/>
      </w:r>
      <w:r w:rsidRPr="00F110C2">
        <w:rPr>
          <w:position w:val="-28"/>
          <w:sz w:val="20"/>
        </w:rPr>
        <w:object w:dxaOrig="2600" w:dyaOrig="680" w14:anchorId="2789D775">
          <v:shape id="_x0000_i1057" type="#_x0000_t75" style="width:128.85pt;height:33.35pt" o:ole="" fillcolor="window">
            <v:imagedata r:id="rId111" o:title=""/>
          </v:shape>
          <o:OLEObject Type="Embed" ProgID="Equation.3" ShapeID="_x0000_i1057" DrawAspect="Content" ObjectID="_1801482039" r:id="rId112"/>
        </w:object>
      </w:r>
      <w:r w:rsidRPr="00F110C2">
        <w:tab/>
        <w:t>(25)</w:t>
      </w:r>
    </w:p>
    <w:p w14:paraId="678D49D2" w14:textId="77777777" w:rsidR="00CD45DB" w:rsidRPr="00F110C2" w:rsidRDefault="00CD45DB" w:rsidP="00254EC9">
      <w:r w:rsidRPr="00F110C2">
        <w:t xml:space="preserve">Si </w:t>
      </w:r>
      <w:r w:rsidRPr="00F110C2">
        <w:rPr>
          <w:i/>
          <w:iCs/>
          <w:position w:val="-6"/>
        </w:rPr>
        <w:object w:dxaOrig="260" w:dyaOrig="279" w14:anchorId="6E1B59F9">
          <v:shape id="_x0000_i1058" type="#_x0000_t75" style="width:13.65pt;height:15.9pt" o:ole="">
            <v:imagedata r:id="rId113" o:title=""/>
          </v:shape>
          <o:OLEObject Type="Embed" ProgID="Equation.3" ShapeID="_x0000_i1058" DrawAspect="Content" ObjectID="_1801482040" r:id="rId114"/>
        </w:object>
      </w:r>
      <w:r w:rsidRPr="00F110C2">
        <w:t xml:space="preserve"> tend vers zéro, l'équation donnant </w:t>
      </w:r>
      <w:r w:rsidRPr="00F110C2">
        <w:rPr>
          <w:i/>
          <w:iCs/>
        </w:rPr>
        <w:t>b</w:t>
      </w:r>
      <w:r w:rsidRPr="00F110C2">
        <w:t xml:space="preserve"> devient</w:t>
      </w:r>
    </w:p>
    <w:p w14:paraId="27DD8F16" w14:textId="77777777" w:rsidR="00A21F86" w:rsidRPr="00F110C2" w:rsidRDefault="00A21F86" w:rsidP="00254EC9">
      <w:pPr>
        <w:pStyle w:val="Equation"/>
      </w:pPr>
      <w:r w:rsidRPr="00F110C2">
        <w:tab/>
      </w:r>
      <w:r w:rsidRPr="00F110C2">
        <w:tab/>
      </w:r>
      <w:r w:rsidRPr="00F110C2">
        <w:rPr>
          <w:position w:val="-24"/>
          <w:sz w:val="20"/>
        </w:rPr>
        <w:object w:dxaOrig="1875" w:dyaOrig="570" w14:anchorId="705C8169">
          <v:shape id="_x0000_i1179" type="#_x0000_t75" style="width:94pt;height:28.8pt" o:ole="" fillcolor="window">
            <v:imagedata r:id="rId115" o:title=""/>
          </v:shape>
          <o:OLEObject Type="Embed" ProgID="Equation.3" ShapeID="_x0000_i1179" DrawAspect="Content" ObjectID="_1801482041" r:id="rId116"/>
        </w:object>
      </w:r>
      <w:r w:rsidRPr="00F110C2">
        <w:tab/>
        <w:t>(26)</w:t>
      </w:r>
    </w:p>
    <w:p w14:paraId="2777A19F" w14:textId="77777777" w:rsidR="00CD45DB" w:rsidRPr="00F110C2" w:rsidRDefault="00CD45DB" w:rsidP="00254EC9">
      <w:r w:rsidRPr="00F110C2">
        <w:t xml:space="preserve">Pour calculer la puissance admissible dans le domaine des émissions hors bande selon la procédure ci-dessus, on doit d'abord déterminer </w:t>
      </w:r>
      <w:r w:rsidRPr="00F110C2">
        <w:rPr>
          <w:i/>
          <w:iCs/>
        </w:rPr>
        <w:t>S</w:t>
      </w:r>
      <w:r w:rsidRPr="00F110C2">
        <w:rPr>
          <w:sz w:val="28"/>
          <w:vertAlign w:val="subscript"/>
        </w:rPr>
        <w:t>dB</w:t>
      </w:r>
      <w:r w:rsidRPr="00F110C2">
        <w:t> (</w:t>
      </w:r>
      <w:r w:rsidRPr="00F110C2">
        <w:rPr>
          <w:i/>
          <w:iCs/>
        </w:rPr>
        <w:t>f</w:t>
      </w:r>
      <w:r w:rsidRPr="00F110C2">
        <w:t>) = </w:t>
      </w:r>
      <w:r w:rsidRPr="00F110C2">
        <w:rPr>
          <w:i/>
          <w:iCs/>
        </w:rPr>
        <w:t>af</w:t>
      </w:r>
      <w:r w:rsidRPr="00F110C2">
        <w:t> + </w:t>
      </w:r>
      <w:r w:rsidRPr="00F110C2">
        <w:rPr>
          <w:i/>
          <w:iCs/>
        </w:rPr>
        <w:t>b</w:t>
      </w:r>
      <w:r w:rsidRPr="00F110C2">
        <w:t xml:space="preserve"> puis l'intégrer sur la largeur de bande du canal adjacent.</w:t>
      </w:r>
    </w:p>
    <w:p w14:paraId="33800F2E" w14:textId="77777777" w:rsidR="00CD45DB" w:rsidRPr="00F110C2" w:rsidRDefault="00CD45DB" w:rsidP="00254EC9">
      <w:pPr>
        <w:pStyle w:val="Equation"/>
      </w:pPr>
      <w:r w:rsidRPr="00F110C2">
        <w:tab/>
      </w:r>
      <w:r w:rsidRPr="00F110C2">
        <w:tab/>
        <w:t xml:space="preserve">Puissance admissible dans le domaine des émissions hors bande </w:t>
      </w:r>
      <w:r w:rsidRPr="00F110C2">
        <w:rPr>
          <w:position w:val="-36"/>
          <w:sz w:val="20"/>
        </w:rPr>
        <w:object w:dxaOrig="1920" w:dyaOrig="660" w14:anchorId="7FC8B2B9">
          <v:shape id="_x0000_i1060" type="#_x0000_t75" style="width:96.25pt;height:31.85pt" o:ole="" fillcolor="window">
            <v:imagedata r:id="rId117" o:title=""/>
          </v:shape>
          <o:OLEObject Type="Embed" ProgID="Equation.3" ShapeID="_x0000_i1060" DrawAspect="Content" ObjectID="_1801482042" r:id="rId118"/>
        </w:object>
      </w:r>
    </w:p>
    <w:p w14:paraId="52D316F3" w14:textId="77777777" w:rsidR="00CD45DB" w:rsidRPr="00F110C2" w:rsidRDefault="00CD45DB" w:rsidP="00254EC9">
      <w:r w:rsidRPr="00F110C2">
        <w:t xml:space="preserve">où </w:t>
      </w:r>
      <w:r w:rsidRPr="00F110C2">
        <w:rPr>
          <w:i/>
          <w:iCs/>
        </w:rPr>
        <w:t>W</w:t>
      </w:r>
      <w:r w:rsidRPr="00F110C2">
        <w:t xml:space="preserve"> est la largeur de bande du canal adjacent.</w:t>
      </w:r>
    </w:p>
    <w:p w14:paraId="07244DCF" w14:textId="72CC4D09" w:rsidR="00CD45DB" w:rsidRPr="00F110C2" w:rsidRDefault="00CD45DB" w:rsidP="00254EC9">
      <w:r w:rsidRPr="00F110C2">
        <w:t>Le gabarit d'émission dans le cas d'une puissance d'émetteur </w:t>
      </w:r>
      <w:r w:rsidRPr="00F110C2">
        <w:rPr>
          <w:i/>
          <w:iCs/>
        </w:rPr>
        <w:t>P</w:t>
      </w:r>
      <w:r w:rsidRPr="00F110C2">
        <w:t xml:space="preserve"> égale à 1 W dans une bande de 25 kHz, sur la base d'une largeur de bande de résolution de 300 Hz, correspond au gabarit représenté sur la Fig. 5. Par ailleurs, les niveaux de référence associés aux points de rupture du gabarit d'émission sont </w:t>
      </w:r>
      <w:r w:rsidRPr="00F110C2">
        <w:lastRenderedPageBreak/>
        <w:t xml:space="preserve">donnés dans le Tableau 4; l'intervalle de calcul peut alors être subdivisé en deux sous-intervalles dans la largeur de bande du canal adjacent conformément à la forme de la courbe d'émission, à savoir (12,5 kHz-16,46 kHz) et (16,46 kHz-37,5 kHz). À partir du Tableau 3, on peut obtenir une équation linéaire (27) fondée sur les points de rupture du Tableau 4 (12,5 kHz, </w:t>
      </w:r>
      <w:r w:rsidR="00F91EA9" w:rsidRPr="00F110C2">
        <w:t>−</w:t>
      </w:r>
      <w:r w:rsidRPr="00F110C2">
        <w:t>36,14 dB) et (16,46 kHz, −50 dB). Dans la plage de fréquences supérieures à 16,46 kHz, le niveau est constant (−50 dB), comme donné par l'équation (28).</w:t>
      </w:r>
    </w:p>
    <w:p w14:paraId="16C9B666" w14:textId="77777777" w:rsidR="00CD45DB" w:rsidRPr="00F110C2" w:rsidRDefault="00CD45DB" w:rsidP="00254EC9">
      <w:pPr>
        <w:pStyle w:val="Equation"/>
      </w:pPr>
      <w:r w:rsidRPr="00F110C2">
        <w:tab/>
      </w:r>
      <w:r w:rsidRPr="00F110C2">
        <w:rPr>
          <w:position w:val="-12"/>
        </w:rPr>
        <w:object w:dxaOrig="6080" w:dyaOrig="360" w14:anchorId="517D4E5B">
          <v:shape id="_x0000_i1061" type="#_x0000_t75" style="width:303.9pt;height:18.2pt" o:ole="">
            <v:imagedata r:id="rId119" o:title=""/>
          </v:shape>
          <o:OLEObject Type="Embed" ProgID="Equation.3" ShapeID="_x0000_i1061" DrawAspect="Content" ObjectID="_1801482043" r:id="rId120"/>
        </w:object>
      </w:r>
      <w:r w:rsidRPr="00F110C2">
        <w:tab/>
        <w:t>(27)</w:t>
      </w:r>
    </w:p>
    <w:p w14:paraId="5367235F" w14:textId="77777777" w:rsidR="00CD45DB" w:rsidRPr="00F110C2" w:rsidRDefault="00CD45DB" w:rsidP="00254EC9">
      <w:pPr>
        <w:pStyle w:val="Equation"/>
      </w:pPr>
      <w:r w:rsidRPr="00F110C2">
        <w:tab/>
      </w:r>
      <w:r w:rsidRPr="00F110C2">
        <w:rPr>
          <w:position w:val="-12"/>
        </w:rPr>
        <w:object w:dxaOrig="5360" w:dyaOrig="360" w14:anchorId="4F33C94E">
          <v:shape id="_x0000_i1062" type="#_x0000_t75" style="width:266pt;height:18.2pt" o:ole="">
            <v:imagedata r:id="rId121" o:title=""/>
          </v:shape>
          <o:OLEObject Type="Embed" ProgID="Equation.3" ShapeID="_x0000_i1062" DrawAspect="Content" ObjectID="_1801482044" r:id="rId122"/>
        </w:object>
      </w:r>
      <w:r w:rsidRPr="00F110C2">
        <w:tab/>
        <w:t>(28)</w:t>
      </w:r>
    </w:p>
    <w:p w14:paraId="36C4D5D2" w14:textId="77777777" w:rsidR="00CD45DB" w:rsidRPr="00F110C2" w:rsidRDefault="00CD45DB" w:rsidP="00254EC9">
      <w:r w:rsidRPr="00F110C2">
        <w:t>On peut convertir les équations (27) et (28) comme suit en utilisant les équations (24), (25) et (26).</w:t>
      </w:r>
    </w:p>
    <w:p w14:paraId="384B98C1" w14:textId="77777777" w:rsidR="00CD45DB" w:rsidRPr="00F110C2" w:rsidRDefault="00CD45DB" w:rsidP="00254EC9">
      <w:pPr>
        <w:pStyle w:val="Equation"/>
      </w:pPr>
      <w:r w:rsidRPr="00F110C2">
        <w:tab/>
      </w:r>
      <w:r w:rsidRPr="00F110C2">
        <w:rPr>
          <w:position w:val="-12"/>
        </w:rPr>
        <w:object w:dxaOrig="6140" w:dyaOrig="360" w14:anchorId="10BEA3C9">
          <v:shape id="_x0000_i1063" type="#_x0000_t75" style="width:306.2pt;height:18.2pt" o:ole="">
            <v:imagedata r:id="rId123" o:title=""/>
          </v:shape>
          <o:OLEObject Type="Embed" ProgID="Equation.3" ShapeID="_x0000_i1063" DrawAspect="Content" ObjectID="_1801482045" r:id="rId124"/>
        </w:object>
      </w:r>
      <w:r w:rsidRPr="00F110C2">
        <w:tab/>
        <w:t>(29)</w:t>
      </w:r>
    </w:p>
    <w:p w14:paraId="472FF82F" w14:textId="77777777" w:rsidR="00CD45DB" w:rsidRPr="00F110C2" w:rsidRDefault="00CD45DB" w:rsidP="00254EC9">
      <w:pPr>
        <w:pStyle w:val="Equation"/>
      </w:pPr>
      <w:r w:rsidRPr="00F110C2">
        <w:tab/>
      </w:r>
      <w:r w:rsidRPr="00F110C2">
        <w:rPr>
          <w:position w:val="-12"/>
        </w:rPr>
        <w:object w:dxaOrig="5640" w:dyaOrig="360" w14:anchorId="7C9DFF74">
          <v:shape id="_x0000_i1064" type="#_x0000_t75" style="width:284.95pt;height:18.2pt" o:ole="">
            <v:imagedata r:id="rId125" o:title=""/>
          </v:shape>
          <o:OLEObject Type="Embed" ProgID="Equation.3" ShapeID="_x0000_i1064" DrawAspect="Content" ObjectID="_1801482046" r:id="rId126"/>
        </w:object>
      </w:r>
      <w:r w:rsidRPr="00F110C2">
        <w:tab/>
        <w:t>(30)</w:t>
      </w:r>
    </w:p>
    <w:p w14:paraId="1650F546" w14:textId="77777777" w:rsidR="00CD45DB" w:rsidRPr="00F110C2" w:rsidRDefault="00CD45DB" w:rsidP="00254EC9">
      <w:r w:rsidRPr="00F110C2">
        <w:t>La puissance totale dans la largeur de bande du canal adjacent est la somme des deux résultats d'intégration sur les sous-intervalles respectifs.</w:t>
      </w:r>
    </w:p>
    <w:p w14:paraId="3ADE3BDF" w14:textId="77777777" w:rsidR="00CD45DB" w:rsidRPr="00F110C2" w:rsidRDefault="00CD45DB" w:rsidP="00254EC9">
      <w:r w:rsidRPr="00F110C2">
        <w:t>Affaiblissement admissible des émissions hors bande:</w:t>
      </w:r>
    </w:p>
    <w:p w14:paraId="7AABB1C0" w14:textId="77777777" w:rsidR="00CD45DB" w:rsidRPr="00F110C2" w:rsidRDefault="00CD45DB" w:rsidP="00254EC9">
      <w:pPr>
        <w:pStyle w:val="Equation"/>
      </w:pPr>
      <w:r w:rsidRPr="00F110C2">
        <w:tab/>
      </w:r>
      <w:r w:rsidRPr="00F110C2">
        <w:tab/>
      </w:r>
      <w:r w:rsidRPr="00F110C2">
        <w:rPr>
          <w:position w:val="-40"/>
          <w:sz w:val="20"/>
        </w:rPr>
        <w:object w:dxaOrig="4660" w:dyaOrig="900" w14:anchorId="545DF023">
          <v:shape id="_x0000_i1065" type="#_x0000_t75" style="width:233.45pt;height:44.7pt" o:ole="" fillcolor="window">
            <v:imagedata r:id="rId127" o:title=""/>
          </v:shape>
          <o:OLEObject Type="Embed" ProgID="Equation.3" ShapeID="_x0000_i1065" DrawAspect="Content" ObjectID="_1801482047" r:id="rId128"/>
        </w:object>
      </w:r>
    </w:p>
    <w:p w14:paraId="27CF077D" w14:textId="77777777" w:rsidR="00CD45DB" w:rsidRPr="00F110C2" w:rsidRDefault="00CD45DB" w:rsidP="00254EC9">
      <w:pPr>
        <w:pStyle w:val="Equation"/>
      </w:pPr>
      <w:r w:rsidRPr="00F110C2">
        <w:tab/>
      </w:r>
      <w:r w:rsidRPr="00F110C2">
        <w:tab/>
        <w:t>= 0,00095  +  0,0007 = 0,00165</w:t>
      </w:r>
      <w:r w:rsidRPr="00F110C2">
        <w:tab/>
        <w:t>(31)</w:t>
      </w:r>
    </w:p>
    <w:p w14:paraId="4C5F2040" w14:textId="77777777" w:rsidR="00CD45DB" w:rsidRPr="00F110C2" w:rsidRDefault="00CD45DB" w:rsidP="00254EC9">
      <w:r w:rsidRPr="00F110C2">
        <w:t>ce qui correspond, en décibels, à une valeur de:</w:t>
      </w:r>
    </w:p>
    <w:p w14:paraId="786508EB" w14:textId="77777777" w:rsidR="00CD45DB" w:rsidRPr="00F110C2" w:rsidRDefault="00CD45DB" w:rsidP="00254EC9">
      <w:pPr>
        <w:pStyle w:val="Equation"/>
      </w:pPr>
      <w:r w:rsidRPr="00F110C2">
        <w:tab/>
      </w:r>
      <w:r w:rsidRPr="00F110C2">
        <w:tab/>
      </w:r>
      <w:r w:rsidRPr="00F110C2">
        <w:rPr>
          <w:position w:val="-10"/>
        </w:rPr>
        <w:object w:dxaOrig="3920" w:dyaOrig="320" w14:anchorId="32D2573E">
          <v:shape id="_x0000_i1066" type="#_x0000_t75" style="width:195.55pt;height:17.45pt" o:ole="">
            <v:imagedata r:id="rId129" o:title=""/>
          </v:shape>
          <o:OLEObject Type="Embed" ProgID="Equation.3" ShapeID="_x0000_i1066" DrawAspect="Content" ObjectID="_1801482048" r:id="rId130"/>
        </w:object>
      </w:r>
      <w:r w:rsidRPr="00F110C2">
        <w:tab/>
        <w:t>(32)</w:t>
      </w:r>
    </w:p>
    <w:p w14:paraId="57141F1F" w14:textId="280BB6DC" w:rsidR="00CD45DB" w:rsidRPr="00F110C2" w:rsidRDefault="00CD45DB" w:rsidP="00254EC9">
      <w:r w:rsidRPr="00F110C2">
        <w:t xml:space="preserve">Finalement, on a </w:t>
      </w:r>
      <w:r w:rsidRPr="00F110C2">
        <w:rPr>
          <w:i/>
          <w:iCs/>
        </w:rPr>
        <w:t>ABP</w:t>
      </w:r>
      <w:r w:rsidRPr="00F110C2">
        <w:rPr>
          <w:position w:val="-4"/>
          <w:sz w:val="20"/>
        </w:rPr>
        <w:t>1</w:t>
      </w:r>
      <w:r w:rsidRPr="00F110C2">
        <w:t> = +30 dBm </w:t>
      </w:r>
      <w:r w:rsidR="009615D1" w:rsidRPr="00F110C2">
        <w:t>−</w:t>
      </w:r>
      <w:r w:rsidRPr="00F110C2">
        <w:t> 27,8 dB, c'est-à-dire 2,2 dBm, résultat qui est très proche de celui obtenu par la méthode discrète.</w:t>
      </w:r>
    </w:p>
    <w:p w14:paraId="39FADCED" w14:textId="77777777" w:rsidR="00CD45DB" w:rsidRPr="00F110C2" w:rsidRDefault="00CD45DB" w:rsidP="00254EC9"/>
    <w:p w14:paraId="67FA42D1" w14:textId="77777777" w:rsidR="00CD45DB" w:rsidRPr="00F110C2" w:rsidRDefault="00CD45DB" w:rsidP="00254EC9"/>
    <w:p w14:paraId="06E23A26" w14:textId="77777777" w:rsidR="00CD45DB" w:rsidRPr="00F110C2" w:rsidRDefault="00CD45DB" w:rsidP="00254EC9">
      <w:pPr>
        <w:pStyle w:val="AnnexNoTitle"/>
        <w:outlineLvl w:val="0"/>
      </w:pPr>
      <w:r w:rsidRPr="00F110C2">
        <w:t>Annexe 2</w:t>
      </w:r>
      <w:r w:rsidRPr="00F110C2">
        <w:br/>
      </w:r>
      <w:r w:rsidRPr="00F110C2">
        <w:br/>
        <w:t>Calcul du début et de la fin du domaine des émissions hors bande dans le cas de systèmes multiporteuse comportant un ou plusieurs répéteurs par satellite</w:t>
      </w:r>
    </w:p>
    <w:p w14:paraId="2FDD7EB3" w14:textId="77777777" w:rsidR="00CD45DB" w:rsidRPr="00F110C2" w:rsidRDefault="00CD45DB" w:rsidP="00254EC9">
      <w:pPr>
        <w:pStyle w:val="Normalaftertitle"/>
      </w:pPr>
      <w:r w:rsidRPr="00F110C2">
        <w:t>La présente Annexe contient deux exemples montrant comment calculer le début et la fin du domaine des émissions hors bande dans le cas de systèmes multiporteuse comportant un ou plusieurs répéteurs par satellite.</w:t>
      </w:r>
    </w:p>
    <w:p w14:paraId="5F526A06" w14:textId="77777777" w:rsidR="00CD45DB" w:rsidRPr="00F110C2" w:rsidRDefault="00CD45DB" w:rsidP="00254EC9">
      <w:pPr>
        <w:pStyle w:val="Heading1"/>
        <w:rPr>
          <w:bCs/>
        </w:rPr>
      </w:pPr>
      <w:r w:rsidRPr="00F110C2">
        <w:rPr>
          <w:bCs/>
        </w:rPr>
        <w:t>1</w:t>
      </w:r>
      <w:r w:rsidRPr="00F110C2">
        <w:rPr>
          <w:bCs/>
        </w:rPr>
        <w:tab/>
        <w:t>Exemple 1: Plusieurs répéteurs par satellite desservant la même zone de service</w:t>
      </w:r>
    </w:p>
    <w:p w14:paraId="77BA4F94" w14:textId="77777777" w:rsidR="00CD45DB" w:rsidRPr="00F110C2" w:rsidRDefault="00CD45DB" w:rsidP="00254EC9">
      <w:r w:rsidRPr="00F110C2">
        <w:t>L'exemple de la Fig. 8 correspond à un satellite comportant plusieurs répéteurs. Dans cet exemple, la largeur de la bande dans laquelle le satellite possède une licence ou est autorisé à émettre est de 20 MHz, la largeur de bande à 3 dB d'un répéteur est de 5 MHz et la largeur de bande nécessaire d'une émission monoporteuse est de 1 MHz.</w:t>
      </w:r>
    </w:p>
    <w:p w14:paraId="418BD415" w14:textId="77777777" w:rsidR="00CD45DB" w:rsidRPr="00F110C2" w:rsidRDefault="00CD45DB" w:rsidP="00254EC9">
      <w:pPr>
        <w:pStyle w:val="FigureNo"/>
      </w:pPr>
      <w:r w:rsidRPr="00F110C2">
        <w:lastRenderedPageBreak/>
        <w:t>FIGURE 8</w:t>
      </w:r>
    </w:p>
    <w:p w14:paraId="2C53F216" w14:textId="77777777" w:rsidR="00CD45DB" w:rsidRPr="00F110C2" w:rsidRDefault="00CD45DB" w:rsidP="00254EC9">
      <w:pPr>
        <w:pStyle w:val="Figuretitle"/>
      </w:pPr>
      <w:r w:rsidRPr="00F110C2">
        <w:t>Émission multiporteuse avec une largeur de bande à 3 dB de répéteur</w:t>
      </w:r>
      <w:r w:rsidRPr="00F110C2">
        <w:br/>
        <w:t>inférieure à la largeur de bande assignée totale</w:t>
      </w:r>
    </w:p>
    <w:p w14:paraId="2B7B0245" w14:textId="77777777" w:rsidR="00CD45DB" w:rsidRPr="00F110C2" w:rsidRDefault="00CD45DB" w:rsidP="00254EC9">
      <w:pPr>
        <w:pStyle w:val="Figure"/>
      </w:pPr>
      <w:r w:rsidRPr="00F110C2">
        <w:drawing>
          <wp:inline distT="0" distB="0" distL="0" distR="0" wp14:anchorId="4297B084" wp14:editId="505B9AEF">
            <wp:extent cx="4891273" cy="2043211"/>
            <wp:effectExtent l="0" t="0" r="5080" b="0"/>
            <wp:docPr id="1900138684" name="Picture 6" descr="A diagram of a band-band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38684" name="Picture 6" descr="A diagram of a band-band diagram&#10;&#10;Description automatically generated with medium confidence"/>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t="3957" b="4450"/>
                    <a:stretch/>
                  </pic:blipFill>
                  <pic:spPr bwMode="auto">
                    <a:xfrm>
                      <a:off x="0" y="0"/>
                      <a:ext cx="4892675" cy="2043797"/>
                    </a:xfrm>
                    <a:prstGeom prst="rect">
                      <a:avLst/>
                    </a:prstGeom>
                    <a:noFill/>
                    <a:ln>
                      <a:noFill/>
                    </a:ln>
                    <a:extLst>
                      <a:ext uri="{53640926-AAD7-44D8-BBD7-CCE9431645EC}">
                        <a14:shadowObscured xmlns:a14="http://schemas.microsoft.com/office/drawing/2010/main"/>
                      </a:ext>
                    </a:extLst>
                  </pic:spPr>
                </pic:pic>
              </a:graphicData>
            </a:graphic>
          </wp:inline>
        </w:drawing>
      </w:r>
    </w:p>
    <w:p w14:paraId="2912E776" w14:textId="6DDA0DD8" w:rsidR="00CD45DB" w:rsidRPr="00F110C2" w:rsidRDefault="00CD45DB" w:rsidP="00254EC9">
      <w:pPr>
        <w:pStyle w:val="Normalaftertitle"/>
        <w:rPr>
          <w:szCs w:val="24"/>
        </w:rPr>
      </w:pPr>
      <w:r w:rsidRPr="00F110C2">
        <w:rPr>
          <w:szCs w:val="24"/>
        </w:rPr>
        <w:t>Dans la présente Recommandation, la largeur de bande nécessaire, </w:t>
      </w:r>
      <w:r w:rsidRPr="00F110C2">
        <w:rPr>
          <w:i/>
          <w:iCs/>
          <w:szCs w:val="24"/>
        </w:rPr>
        <w:t>B</w:t>
      </w:r>
      <w:r w:rsidR="00ED0221" w:rsidRPr="00F110C2">
        <w:rPr>
          <w:i/>
          <w:iCs/>
          <w:szCs w:val="24"/>
          <w:vertAlign w:val="subscript"/>
        </w:rPr>
        <w:t>N</w:t>
      </w:r>
      <w:r w:rsidRPr="00F110C2">
        <w:rPr>
          <w:szCs w:val="24"/>
        </w:rPr>
        <w:t xml:space="preserve">, d'une émission multiporteuse est égale à la largeur de bande à </w:t>
      </w:r>
      <w:r w:rsidR="00ED0221" w:rsidRPr="00F110C2">
        <w:rPr>
          <w:szCs w:val="24"/>
        </w:rPr>
        <w:t>−</w:t>
      </w:r>
      <w:r w:rsidRPr="00F110C2">
        <w:rPr>
          <w:szCs w:val="24"/>
        </w:rPr>
        <w:t>3 dB d'un répéteur ou à la largeur de bande assignée totale, si celle</w:t>
      </w:r>
      <w:r w:rsidRPr="00F110C2">
        <w:rPr>
          <w:szCs w:val="24"/>
        </w:rPr>
        <w:noBreakHyphen/>
        <w:t>ci est plus petite. Par conséquent, dans l'exemple ci-dessus, la largeur de bande nécessaire est de 5 MHz. Le domaine des émissions hors bande commence à chaque bord de la largeur de bande assignée totale, qui fait partie de la bande dans laquelle le système est autorisé.</w:t>
      </w:r>
    </w:p>
    <w:p w14:paraId="55465DE7" w14:textId="77777777" w:rsidR="00CD45DB" w:rsidRPr="00F110C2" w:rsidRDefault="00CD45DB" w:rsidP="00254EC9">
      <w:pPr>
        <w:rPr>
          <w:szCs w:val="24"/>
        </w:rPr>
      </w:pPr>
      <w:r w:rsidRPr="00F110C2">
        <w:rPr>
          <w:szCs w:val="24"/>
        </w:rPr>
        <w:t xml:space="preserve">On considère que le domaine des émissions hors bande correspond aux fréquences qui sont espacées par rapport à la fréquence centrale de plus de 50% et de moins de 250% de la largeur de bande nécessaire (la largeur de bande des répéteurs A et D). En conséquence, la largeur du domaine des émissions hors bande correspond à 200% de la largeur de bande nécessaire. Ainsi, pour l'exemple montré sur la Fig. 9, la largeur du domaine des émissions hors bande au-dessus de </w:t>
      </w:r>
      <w:r w:rsidRPr="00F110C2">
        <w:rPr>
          <w:i/>
          <w:iCs/>
          <w:szCs w:val="24"/>
        </w:rPr>
        <w:t>f</w:t>
      </w:r>
      <w:r w:rsidRPr="00F110C2">
        <w:rPr>
          <w:i/>
          <w:iCs/>
          <w:position w:val="-4"/>
          <w:szCs w:val="24"/>
          <w:vertAlign w:val="subscript"/>
        </w:rPr>
        <w:t>AU</w:t>
      </w:r>
      <w:r w:rsidRPr="00F110C2">
        <w:rPr>
          <w:szCs w:val="24"/>
        </w:rPr>
        <w:t xml:space="preserve"> et au</w:t>
      </w:r>
      <w:r w:rsidRPr="00F110C2">
        <w:rPr>
          <w:szCs w:val="24"/>
        </w:rPr>
        <w:noBreakHyphen/>
        <w:t xml:space="preserve">dessous de </w:t>
      </w:r>
      <w:r w:rsidRPr="00F110C2">
        <w:rPr>
          <w:i/>
          <w:iCs/>
          <w:szCs w:val="24"/>
        </w:rPr>
        <w:t>f</w:t>
      </w:r>
      <w:r w:rsidRPr="00F110C2">
        <w:rPr>
          <w:i/>
          <w:iCs/>
          <w:position w:val="-4"/>
          <w:szCs w:val="24"/>
          <w:vertAlign w:val="subscript"/>
        </w:rPr>
        <w:t>AL</w:t>
      </w:r>
      <w:r w:rsidRPr="00F110C2">
        <w:rPr>
          <w:szCs w:val="24"/>
        </w:rPr>
        <w:t xml:space="preserve"> est de 10 MHz. Le domaine des émissions hors bande et le domaine des rayonnements non essentiels sont représentés sur la Fig. 9.</w:t>
      </w:r>
    </w:p>
    <w:p w14:paraId="078D3E10" w14:textId="77777777" w:rsidR="00CD45DB" w:rsidRPr="00F110C2" w:rsidRDefault="00CD45DB" w:rsidP="00254EC9">
      <w:pPr>
        <w:pStyle w:val="FigureNo"/>
      </w:pPr>
      <w:r w:rsidRPr="00F110C2">
        <w:t>FIGURE 9</w:t>
      </w:r>
    </w:p>
    <w:p w14:paraId="5092A8CE" w14:textId="77777777" w:rsidR="00CD45DB" w:rsidRPr="00F110C2" w:rsidRDefault="00CD45DB" w:rsidP="00254EC9">
      <w:pPr>
        <w:pStyle w:val="Figuretitle"/>
      </w:pPr>
      <w:r w:rsidRPr="00F110C2">
        <w:t>Domaine des émissions hors bande et domaine des rayonnements non essentiels</w:t>
      </w:r>
      <w:r w:rsidRPr="00F110C2">
        <w:br/>
        <w:t>dans le cas du système multiporteuse considéré à la Fig. 8</w:t>
      </w:r>
    </w:p>
    <w:p w14:paraId="2562BB22" w14:textId="77777777" w:rsidR="00CD45DB" w:rsidRPr="00F110C2" w:rsidRDefault="00CD45DB" w:rsidP="00254EC9">
      <w:pPr>
        <w:pStyle w:val="Figure"/>
      </w:pPr>
      <w:r w:rsidRPr="00F110C2">
        <w:drawing>
          <wp:inline distT="0" distB="0" distL="0" distR="0" wp14:anchorId="65539AA3" wp14:editId="53605AEC">
            <wp:extent cx="5056505" cy="1788160"/>
            <wp:effectExtent l="0" t="0" r="0" b="2540"/>
            <wp:docPr id="197351862" name="Picture 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1862" name="Picture 7" descr="A diagram of a graph&#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056505" cy="1788160"/>
                    </a:xfrm>
                    <a:prstGeom prst="rect">
                      <a:avLst/>
                    </a:prstGeom>
                    <a:noFill/>
                    <a:ln>
                      <a:noFill/>
                    </a:ln>
                  </pic:spPr>
                </pic:pic>
              </a:graphicData>
            </a:graphic>
          </wp:inline>
        </w:drawing>
      </w:r>
    </w:p>
    <w:p w14:paraId="57B1C817" w14:textId="77777777" w:rsidR="00CD45DB" w:rsidRPr="00F110C2" w:rsidRDefault="00CD45DB" w:rsidP="00254EC9">
      <w:pPr>
        <w:pStyle w:val="Heading1"/>
        <w:rPr>
          <w:bCs/>
        </w:rPr>
      </w:pPr>
      <w:r w:rsidRPr="00F110C2">
        <w:rPr>
          <w:bCs/>
        </w:rPr>
        <w:t>2</w:t>
      </w:r>
      <w:r w:rsidRPr="00F110C2">
        <w:rPr>
          <w:bCs/>
        </w:rPr>
        <w:tab/>
        <w:t>Exemple 2: Un seul répéteur par satellite</w:t>
      </w:r>
    </w:p>
    <w:p w14:paraId="5A55F1CC" w14:textId="5A1E12E4" w:rsidR="00CD45DB" w:rsidRPr="00F110C2" w:rsidRDefault="00CD45DB" w:rsidP="00254EC9">
      <w:r w:rsidRPr="00F110C2">
        <w:t>Lorsque toutes les porteuses de la Fig. 8, A1 à D4, passent par un seul répéteur, le domaine des émissions hors bande doit commencer à chaque bord de la largeur de bande assignée totale et la largeur de ce domaine doit correspondre à 200% de la largeur de bande nécessaire, celle-ci étant égale à la largeur de bande assignée totale ou à la largeur de bande à 3 dB du répéteur, si celle-ci est plus petite.</w:t>
      </w:r>
    </w:p>
    <w:p w14:paraId="2E29F7FA" w14:textId="77777777" w:rsidR="00CD45DB" w:rsidRPr="00F110C2" w:rsidRDefault="00CD45DB" w:rsidP="00254EC9">
      <w:pPr>
        <w:pStyle w:val="AnnexNoTitle"/>
        <w:outlineLvl w:val="0"/>
      </w:pPr>
      <w:r w:rsidRPr="00F110C2">
        <w:lastRenderedPageBreak/>
        <w:t>Annexe 3</w:t>
      </w:r>
      <w:r w:rsidRPr="00F110C2">
        <w:br/>
      </w:r>
      <w:r w:rsidRPr="00F110C2">
        <w:br/>
        <w:t>Étiquetage des axes des gabarits en dBc et dBsd</w:t>
      </w:r>
    </w:p>
    <w:p w14:paraId="1B1AF5A2" w14:textId="77777777" w:rsidR="00CD45DB" w:rsidRPr="00F110C2" w:rsidRDefault="00CD45DB" w:rsidP="00254EC9">
      <w:pPr>
        <w:pStyle w:val="Normalaftertitle"/>
      </w:pPr>
      <w:r w:rsidRPr="00F110C2">
        <w:t>La présente Annexe indique comment étiqueter les axes des gabarits spectraux en dBc et dBsd.</w:t>
      </w:r>
    </w:p>
    <w:p w14:paraId="744E0A16" w14:textId="77777777" w:rsidR="00CD45DB" w:rsidRPr="00F110C2" w:rsidRDefault="00CD45DB" w:rsidP="00254EC9">
      <w:pPr>
        <w:pStyle w:val="Heading1"/>
        <w:rPr>
          <w:bCs/>
        </w:rPr>
      </w:pPr>
      <w:r w:rsidRPr="00F110C2">
        <w:rPr>
          <w:bCs/>
        </w:rPr>
        <w:t>1</w:t>
      </w:r>
      <w:r w:rsidRPr="00F110C2">
        <w:rPr>
          <w:bCs/>
        </w:rPr>
        <w:tab/>
        <w:t>Étiquetage de l'axe des Y des gabarits des émissions hors bande</w:t>
      </w:r>
    </w:p>
    <w:p w14:paraId="70E5DDB5" w14:textId="788E0EDB" w:rsidR="00CD45DB" w:rsidRPr="00F110C2" w:rsidRDefault="00CD45DB" w:rsidP="00254EC9">
      <w:r w:rsidRPr="00F110C2">
        <w:t>La Fig</w:t>
      </w:r>
      <w:r w:rsidR="00F91EA9" w:rsidRPr="00F110C2">
        <w:t>ure</w:t>
      </w:r>
      <w:r w:rsidRPr="00F110C2">
        <w:t> 10 montre l'étiquetage préféré de l'axe des Y sur les gabarits spectraux en dBc et dBsd, pour lequel on utilise les valeurs négatives du niveau relatif. La Fig</w:t>
      </w:r>
      <w:r w:rsidR="00F91EA9" w:rsidRPr="00F110C2">
        <w:t>ure</w:t>
      </w:r>
      <w:r w:rsidRPr="00F110C2">
        <w:t> 11 montre un autre étiquetage possible, pour lequel on utilise les valeurs positives de l'affaiblissement. Il est à noter que les gabarits associés à des limites symétriques sont dessinés de la même façon sur les Figs 10 et 11; seul l'étiquetage de l'axe des Y est différent. En ce qui concerne les graphes en dBsd, il faut inclure la largeur de bande de référence dans l'étiquette, par exemple dBsd (largeur de bande = 50 kHz).</w:t>
      </w:r>
    </w:p>
    <w:p w14:paraId="3D77625D" w14:textId="77777777" w:rsidR="00CD45DB" w:rsidRPr="00F110C2" w:rsidRDefault="00CD45DB" w:rsidP="00254EC9">
      <w:r w:rsidRPr="00F110C2">
        <w:t>La convention consistant à avoir zéro en haut de l'axe des Y est conforme à la pratique habituellement adoptée par l'industrie en ce qui concerne la spécification des gabarits limites et l'affichage des spectres sur les analyseurs de spectre et autres équipements de test.</w:t>
      </w:r>
    </w:p>
    <w:p w14:paraId="28055C22" w14:textId="77777777" w:rsidR="00CD45DB" w:rsidRPr="00F110C2" w:rsidRDefault="00CD45DB" w:rsidP="00254EC9">
      <w:pPr>
        <w:pStyle w:val="FigureNo"/>
      </w:pPr>
      <w:r w:rsidRPr="00F110C2">
        <w:t>FIGURE 10</w:t>
      </w:r>
    </w:p>
    <w:p w14:paraId="70AC4FBA" w14:textId="77777777" w:rsidR="00CD45DB" w:rsidRPr="00F110C2" w:rsidRDefault="00CD45DB" w:rsidP="00254EC9">
      <w:pPr>
        <w:pStyle w:val="Figuretitle"/>
      </w:pPr>
      <w:r w:rsidRPr="00F110C2">
        <w:t>Exemples de l'étiquetage préféré de l'axe des Y pour les gabarits symétriques</w:t>
      </w:r>
      <w:r w:rsidRPr="00F110C2">
        <w:br/>
        <w:t>des émissions hors bande, utilisant les niveaux relatifs</w:t>
      </w:r>
    </w:p>
    <w:p w14:paraId="1D7B886F" w14:textId="77777777" w:rsidR="00CD45DB" w:rsidRPr="00F110C2" w:rsidRDefault="00CD45DB" w:rsidP="00254EC9">
      <w:pPr>
        <w:pStyle w:val="Figure"/>
      </w:pPr>
      <w:r w:rsidRPr="00F110C2">
        <w:drawing>
          <wp:inline distT="0" distB="0" distL="0" distR="0" wp14:anchorId="328CE54E" wp14:editId="6245A572">
            <wp:extent cx="5418162" cy="2021441"/>
            <wp:effectExtent l="0" t="0" r="0" b="0"/>
            <wp:docPr id="1682103123" name="Picture 8"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03123" name="Picture 8" descr="A comparison of a graph&#10;&#10;Description automatically generated with medium confidenc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24874" cy="2023945"/>
                    </a:xfrm>
                    <a:prstGeom prst="rect">
                      <a:avLst/>
                    </a:prstGeom>
                    <a:noFill/>
                    <a:ln>
                      <a:noFill/>
                    </a:ln>
                  </pic:spPr>
                </pic:pic>
              </a:graphicData>
            </a:graphic>
          </wp:inline>
        </w:drawing>
      </w:r>
    </w:p>
    <w:p w14:paraId="272DD986" w14:textId="77777777" w:rsidR="00CD45DB" w:rsidRPr="00F110C2" w:rsidRDefault="00CD45DB" w:rsidP="00254EC9">
      <w:pPr>
        <w:pStyle w:val="FigureNo"/>
      </w:pPr>
      <w:r w:rsidRPr="00F110C2">
        <w:t>FIGURE 11</w:t>
      </w:r>
    </w:p>
    <w:p w14:paraId="24FEC34C" w14:textId="77777777" w:rsidR="00CD45DB" w:rsidRPr="00F110C2" w:rsidRDefault="00CD45DB" w:rsidP="00254EC9">
      <w:pPr>
        <w:pStyle w:val="Figuretitle"/>
      </w:pPr>
      <w:r w:rsidRPr="00F110C2">
        <w:t xml:space="preserve">Exemples d'un autre étiquetage possible de l'axe des Y pour les gabarits symétriques </w:t>
      </w:r>
      <w:r w:rsidRPr="00F110C2">
        <w:br/>
        <w:t>des émissions hors bande, utilisant les valeurs de l'affaiblissement</w:t>
      </w:r>
    </w:p>
    <w:p w14:paraId="5C96F760" w14:textId="77777777" w:rsidR="00CD45DB" w:rsidRPr="00F110C2" w:rsidRDefault="00CD45DB" w:rsidP="00254EC9">
      <w:pPr>
        <w:pStyle w:val="Figure"/>
      </w:pPr>
      <w:r w:rsidRPr="00F110C2">
        <w:drawing>
          <wp:inline distT="0" distB="0" distL="0" distR="0" wp14:anchorId="24E8E487" wp14:editId="1593C7EB">
            <wp:extent cx="5370394" cy="2096519"/>
            <wp:effectExtent l="0" t="0" r="1905" b="0"/>
            <wp:docPr id="1524578116" name="Picture 9"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78116" name="Picture 9" descr="A comparison of a graph&#10;&#10;Description automatically generated with medium confidenc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91687" cy="2104832"/>
                    </a:xfrm>
                    <a:prstGeom prst="rect">
                      <a:avLst/>
                    </a:prstGeom>
                    <a:noFill/>
                    <a:ln>
                      <a:noFill/>
                    </a:ln>
                  </pic:spPr>
                </pic:pic>
              </a:graphicData>
            </a:graphic>
          </wp:inline>
        </w:drawing>
      </w:r>
    </w:p>
    <w:p w14:paraId="269D03A1" w14:textId="77777777" w:rsidR="00CD45DB" w:rsidRPr="00F110C2" w:rsidRDefault="00CD45DB" w:rsidP="00254EC9">
      <w:pPr>
        <w:pStyle w:val="Heading1"/>
        <w:rPr>
          <w:bCs/>
        </w:rPr>
      </w:pPr>
      <w:r w:rsidRPr="00F110C2">
        <w:rPr>
          <w:bCs/>
        </w:rPr>
        <w:lastRenderedPageBreak/>
        <w:t>2</w:t>
      </w:r>
      <w:r w:rsidRPr="00F110C2">
        <w:rPr>
          <w:bCs/>
        </w:rPr>
        <w:tab/>
        <w:t>Étiquetage de l'axe des X des gabarits des émissions hors bande</w:t>
      </w:r>
    </w:p>
    <w:p w14:paraId="70A10496" w14:textId="77777777" w:rsidR="00CD45DB" w:rsidRPr="00F110C2" w:rsidRDefault="00CD45DB" w:rsidP="00254EC9">
      <w:r w:rsidRPr="00F110C2">
        <w:t>Le décalage de fréquence est généralement donné sous la forme d'un pourcentage de la largeur de bande nécessaire, mais il peut parfois être plus pratique de le donner sous la forme d'un pourcentage de la largeur de bande de canal. Il peut aussi être donné en kHz ou en MHz.</w:t>
      </w:r>
    </w:p>
    <w:p w14:paraId="6C39EB2C" w14:textId="67C33B05" w:rsidR="00CD45DB" w:rsidRPr="00F110C2" w:rsidRDefault="00CD45DB" w:rsidP="00254EC9">
      <w:r w:rsidRPr="00F110C2">
        <w:t>Les limites du gabarit sont généralement symétriques autour de la fréquence centrale et seules les valeurs positives du décalage de fréquence sont représentées; celles-ci sont interprétées comme étant des valeurs absolues qui représentent à la fois les décalages de fréquence positifs et les décalages de fréquence négatifs. Dans ce cas, seules les valeurs positives du décalage de fréquence sont représentées. Toutefois, lorsque les limites ne sont pas symétriques autour de la fréquence centrale, il faut inclure à la fois les décalages de fréquence positifs et les décalages de fréquence négatifs sur l'axe des X. La Fig</w:t>
      </w:r>
      <w:r w:rsidR="00F91EA9" w:rsidRPr="00F110C2">
        <w:t>ure</w:t>
      </w:r>
      <w:r w:rsidRPr="00F110C2">
        <w:t> 12 donne un exemple de graphe qui peut être utilisé pour des limites non symétriques comme pour des limites symétriques.</w:t>
      </w:r>
    </w:p>
    <w:p w14:paraId="04FFDA6B" w14:textId="77777777" w:rsidR="00CD45DB" w:rsidRPr="00F110C2" w:rsidRDefault="00CD45DB" w:rsidP="00254EC9">
      <w:pPr>
        <w:pStyle w:val="FigureNo"/>
      </w:pPr>
      <w:r w:rsidRPr="00F110C2">
        <w:t>FIGURE 12</w:t>
      </w:r>
    </w:p>
    <w:p w14:paraId="666AEFD8" w14:textId="77777777" w:rsidR="00CD45DB" w:rsidRPr="00F110C2" w:rsidRDefault="00CD45DB" w:rsidP="00254EC9">
      <w:pPr>
        <w:pStyle w:val="Figuretitle"/>
      </w:pPr>
      <w:r w:rsidRPr="00F110C2">
        <w:t>Exemple d'étiquetage pour des gabarits symétriques</w:t>
      </w:r>
      <w:r w:rsidRPr="00F110C2">
        <w:br/>
        <w:t>ou non des émissions hors bande</w:t>
      </w:r>
    </w:p>
    <w:p w14:paraId="2F801B6B" w14:textId="77777777" w:rsidR="00CD45DB" w:rsidRPr="00F110C2" w:rsidRDefault="00CD45DB" w:rsidP="00254EC9">
      <w:pPr>
        <w:pStyle w:val="Figure"/>
      </w:pPr>
      <w:r w:rsidRPr="00F110C2">
        <w:drawing>
          <wp:inline distT="0" distB="0" distL="0" distR="0" wp14:anchorId="616930AD" wp14:editId="1B7D406E">
            <wp:extent cx="4885898" cy="1916111"/>
            <wp:effectExtent l="0" t="0" r="0" b="8255"/>
            <wp:docPr id="1295820282" name="Picture 10"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20282" name="Picture 10" descr="A graph with numbers and lines&#10;&#10;Description automatically generated"/>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891583" cy="1918340"/>
                    </a:xfrm>
                    <a:prstGeom prst="rect">
                      <a:avLst/>
                    </a:prstGeom>
                    <a:noFill/>
                    <a:ln>
                      <a:noFill/>
                    </a:ln>
                  </pic:spPr>
                </pic:pic>
              </a:graphicData>
            </a:graphic>
          </wp:inline>
        </w:drawing>
      </w:r>
    </w:p>
    <w:p w14:paraId="60A8AB90" w14:textId="77777777" w:rsidR="00CD45DB" w:rsidRPr="00F110C2" w:rsidRDefault="00CD45DB" w:rsidP="00254EC9"/>
    <w:p w14:paraId="41CAAF65" w14:textId="77777777" w:rsidR="00CD45DB" w:rsidRPr="00F110C2" w:rsidRDefault="00CD45DB" w:rsidP="00254EC9"/>
    <w:p w14:paraId="17B787BE" w14:textId="77777777" w:rsidR="00CD45DB" w:rsidRPr="00F110C2" w:rsidRDefault="00CD45DB" w:rsidP="00254EC9">
      <w:pPr>
        <w:pStyle w:val="AnnexNoTitle"/>
        <w:outlineLvl w:val="0"/>
      </w:pPr>
      <w:r w:rsidRPr="00F110C2">
        <w:t>Annexe 4</w:t>
      </w:r>
      <w:r w:rsidRPr="00F110C2">
        <w:br/>
      </w:r>
      <w:r w:rsidRPr="00F110C2">
        <w:br/>
        <w:t>Liste de textes de l'UIT-R concernant les émissions dans le domaine</w:t>
      </w:r>
      <w:r w:rsidRPr="00F110C2">
        <w:br/>
        <w:t>des émissions hors bande pour des services particuliers</w:t>
      </w:r>
    </w:p>
    <w:p w14:paraId="76DF3386" w14:textId="2FABEA30" w:rsidR="00CD45DB" w:rsidRPr="00F110C2" w:rsidRDefault="00CD45DB" w:rsidP="00254EC9">
      <w:pPr>
        <w:pStyle w:val="Reftext"/>
      </w:pPr>
      <w:r w:rsidRPr="00F110C2">
        <w:t>Recommandation UIT-R F.1191 </w:t>
      </w:r>
      <w:r w:rsidR="0023743D" w:rsidRPr="00F110C2">
        <w:t>–</w:t>
      </w:r>
      <w:r w:rsidRPr="00F110C2">
        <w:t> Largeurs de bande nécessaire et occupée et rayonnements non désirés des systèmes numériques du service fixe (DFSS)</w:t>
      </w:r>
    </w:p>
    <w:p w14:paraId="6BC8A206" w14:textId="598D7C2C" w:rsidR="00CD45DB" w:rsidRPr="00F110C2" w:rsidRDefault="00CD45DB" w:rsidP="00254EC9">
      <w:pPr>
        <w:pStyle w:val="Reftext"/>
      </w:pPr>
      <w:r w:rsidRPr="00F110C2">
        <w:t>Recommandation UIT-R M.478 </w:t>
      </w:r>
      <w:r w:rsidR="0023743D" w:rsidRPr="00F110C2">
        <w:t>–</w:t>
      </w:r>
      <w:r w:rsidRPr="00F110C2">
        <w:t> Caractéristiques techniques des équipements et principes à suivre pour l'assignation des voies entre 25 et 3 000 MHz pour le service mobile terrestre à modulation de fréquence</w:t>
      </w:r>
    </w:p>
    <w:p w14:paraId="0AFCB43F" w14:textId="1ECCC07F" w:rsidR="00CD45DB" w:rsidRPr="00F110C2" w:rsidRDefault="00CD45DB" w:rsidP="00254EC9">
      <w:pPr>
        <w:pStyle w:val="Reftext"/>
      </w:pPr>
      <w:r w:rsidRPr="00F110C2">
        <w:t xml:space="preserve">Recommandation UIT-R M.1580 </w:t>
      </w:r>
      <w:r w:rsidR="0023743D" w:rsidRPr="00F110C2">
        <w:t>–</w:t>
      </w:r>
      <w:r w:rsidRPr="00F110C2">
        <w:t xml:space="preserve"> Caractéristiques génériques des rayonnements non désirés des stations de base utilisant les interfaces radioélectriques de Terre des IMT-2000</w:t>
      </w:r>
    </w:p>
    <w:p w14:paraId="1B9B964D" w14:textId="4606AFA7" w:rsidR="00CD45DB" w:rsidRPr="00F110C2" w:rsidRDefault="00CD45DB" w:rsidP="00254EC9">
      <w:pPr>
        <w:pStyle w:val="Reftext"/>
      </w:pPr>
      <w:r w:rsidRPr="00F110C2">
        <w:t xml:space="preserve">Recommandation UIT-R M.1581 </w:t>
      </w:r>
      <w:r w:rsidR="0023743D" w:rsidRPr="00F110C2">
        <w:t>–</w:t>
      </w:r>
      <w:r w:rsidRPr="00F110C2">
        <w:t xml:space="preserve"> Caractéristiques génériques des rayonnements non désirés des stations mobiles utilisant les interfaces radioélectriques de Terre des IMT</w:t>
      </w:r>
      <w:r w:rsidRPr="00F110C2">
        <w:noBreakHyphen/>
        <w:t>2000</w:t>
      </w:r>
    </w:p>
    <w:p w14:paraId="3AE1D167" w14:textId="12A09362" w:rsidR="00CD45DB" w:rsidRPr="00F110C2" w:rsidRDefault="00CD45DB" w:rsidP="00254EC9">
      <w:pPr>
        <w:pStyle w:val="Reftext"/>
      </w:pPr>
      <w:r w:rsidRPr="00F110C2">
        <w:t>Rapport UIT</w:t>
      </w:r>
      <w:r w:rsidRPr="00F110C2">
        <w:noBreakHyphen/>
        <w:t>R M.2014 </w:t>
      </w:r>
      <w:r w:rsidR="0023743D" w:rsidRPr="00F110C2">
        <w:t>–</w:t>
      </w:r>
      <w:r w:rsidRPr="00F110C2">
        <w:t> Systèmes mobiles terrestres numériques pour trafic de dispatching</w:t>
      </w:r>
    </w:p>
    <w:p w14:paraId="042B3690" w14:textId="61854DF3" w:rsidR="00CD45DB" w:rsidRPr="00F110C2" w:rsidRDefault="00CD45DB" w:rsidP="00254EC9">
      <w:pPr>
        <w:pStyle w:val="Reftext"/>
      </w:pPr>
      <w:r w:rsidRPr="00F110C2">
        <w:lastRenderedPageBreak/>
        <w:t>Recommandation UIT-R BS.1114 </w:t>
      </w:r>
      <w:r w:rsidR="0023743D" w:rsidRPr="00F110C2">
        <w:t>–</w:t>
      </w:r>
      <w:r w:rsidRPr="00F110C2">
        <w:t> Systèmes de radiodiffusion sonore numérique de Terre à destination de récepteurs fixes, portatifs ou placés à bord de véhicules, fonctionnant dans la gamme de fréquences de 30-3 000 MHz</w:t>
      </w:r>
    </w:p>
    <w:p w14:paraId="08D8D323" w14:textId="3C1867FC" w:rsidR="00CD45DB" w:rsidRPr="00F110C2" w:rsidRDefault="00CD45DB" w:rsidP="00254EC9">
      <w:pPr>
        <w:pStyle w:val="Reftext"/>
      </w:pPr>
      <w:r w:rsidRPr="00F110C2">
        <w:t>Recommandation UIT</w:t>
      </w:r>
      <w:r w:rsidRPr="00F110C2">
        <w:noBreakHyphen/>
        <w:t>R BT.1206</w:t>
      </w:r>
      <w:r w:rsidRPr="00F110C2">
        <w:noBreakHyphen/>
        <w:t>1 </w:t>
      </w:r>
      <w:r w:rsidR="0023743D" w:rsidRPr="00F110C2">
        <w:t>–</w:t>
      </w:r>
      <w:r w:rsidRPr="00F110C2">
        <w:t> Gabarits de limite spectrale pour la radiodiffusion télévisuelle numérique de Terre</w:t>
      </w:r>
    </w:p>
    <w:p w14:paraId="01288843" w14:textId="086E78C4" w:rsidR="00CD45DB" w:rsidRPr="00F110C2" w:rsidRDefault="00CD45DB" w:rsidP="00254EC9">
      <w:pPr>
        <w:pStyle w:val="Reftext"/>
      </w:pPr>
      <w:r w:rsidRPr="00F110C2">
        <w:t>Recommandation UIT-R M.1480 </w:t>
      </w:r>
      <w:r w:rsidR="0023743D" w:rsidRPr="00F110C2">
        <w:t>–</w:t>
      </w:r>
      <w:r w:rsidRPr="00F110C2">
        <w:t> Spécifications techniques essentielles des stations terriennes mobiles des systèmes mobiles à satellites géostationnaires qui appliquent les arrangements relatifs au mémorandum d'accord sur les communications personnelles mobiles mondiales par satellite (GMPCS) dans des parties de la bande de fréquences entre 1 et 3 GHz</w:t>
      </w:r>
    </w:p>
    <w:p w14:paraId="0B001BB4" w14:textId="6E4A1D0D" w:rsidR="00CD45DB" w:rsidRPr="00F110C2" w:rsidRDefault="00CD45DB" w:rsidP="00254EC9">
      <w:pPr>
        <w:pStyle w:val="Reftext"/>
      </w:pPr>
      <w:r w:rsidRPr="00F110C2">
        <w:t>Recommandation UIT-R M.1343 </w:t>
      </w:r>
      <w:r w:rsidR="0023743D" w:rsidRPr="00F110C2">
        <w:t>–</w:t>
      </w:r>
      <w:r w:rsidRPr="00F110C2">
        <w:t> Caractéristiques techniques essentielles des stations terriennes mobiles des systèmes mondiaux du service mobile à satellites non géostationnaires fonctionnant dans la bande</w:t>
      </w:r>
      <w:r w:rsidR="00F91EA9" w:rsidRPr="00F110C2">
        <w:t> </w:t>
      </w:r>
      <w:r w:rsidRPr="00F110C2">
        <w:t>1</w:t>
      </w:r>
      <w:r w:rsidR="00F91EA9" w:rsidRPr="00F110C2">
        <w:noBreakHyphen/>
      </w:r>
      <w:r w:rsidRPr="00F110C2">
        <w:t>3</w:t>
      </w:r>
      <w:r w:rsidR="00F91EA9" w:rsidRPr="00F110C2">
        <w:t> </w:t>
      </w:r>
      <w:r w:rsidRPr="00F110C2">
        <w:t>GHz</w:t>
      </w:r>
    </w:p>
    <w:p w14:paraId="1E33860F" w14:textId="2FD33EA1" w:rsidR="00CD45DB" w:rsidRPr="00F110C2" w:rsidRDefault="00CD45DB" w:rsidP="00254EC9">
      <w:pPr>
        <w:pStyle w:val="Note"/>
      </w:pPr>
      <w:r w:rsidRPr="00F110C2">
        <w:t>NOTE 1 </w:t>
      </w:r>
      <w:r w:rsidR="0023743D" w:rsidRPr="00F110C2">
        <w:t>–</w:t>
      </w:r>
      <w:r w:rsidRPr="00F110C2">
        <w:t> La Recommandation UIT-R M.1343 pourrait aussi s'appliquer aux terminaux de systèmes régionaux à satellites non géostationnaires, même s'il est fait mention de systèmes mondiaux dans le titre.</w:t>
      </w:r>
      <w:bookmarkStart w:id="9" w:name="_996670188"/>
      <w:bookmarkStart w:id="10" w:name="_996670227"/>
      <w:bookmarkStart w:id="11" w:name="dsgno"/>
      <w:bookmarkStart w:id="12" w:name="_996559183"/>
      <w:bookmarkEnd w:id="9"/>
      <w:bookmarkEnd w:id="10"/>
      <w:bookmarkEnd w:id="11"/>
      <w:bookmarkEnd w:id="12"/>
    </w:p>
    <w:p w14:paraId="39AABF3C" w14:textId="77777777" w:rsidR="00CD45DB" w:rsidRPr="00F110C2" w:rsidRDefault="00CD45DB" w:rsidP="00254EC9"/>
    <w:p w14:paraId="66773175" w14:textId="77777777" w:rsidR="00CD45DB" w:rsidRPr="00F110C2" w:rsidRDefault="00CD45DB" w:rsidP="00254EC9"/>
    <w:p w14:paraId="05B130C5" w14:textId="77777777" w:rsidR="00CD45DB" w:rsidRPr="00F110C2" w:rsidRDefault="00CD45DB" w:rsidP="00254EC9">
      <w:pPr>
        <w:pStyle w:val="AnnexNoTitle"/>
        <w:outlineLvl w:val="0"/>
      </w:pPr>
      <w:r w:rsidRPr="00F110C2">
        <w:t>Annexe 5</w:t>
      </w:r>
      <w:r w:rsidRPr="00F110C2">
        <w:br/>
      </w:r>
      <w:r w:rsidRPr="00F110C2">
        <w:br/>
        <w:t>Limites des émissions dans le domaine des émissions hors bande pour les</w:t>
      </w:r>
      <w:r w:rsidRPr="00F110C2">
        <w:br/>
        <w:t>services spatiaux (stations terriennes et stations spatiales)</w:t>
      </w:r>
    </w:p>
    <w:p w14:paraId="79A8B22E" w14:textId="77777777" w:rsidR="00CD45DB" w:rsidRPr="00F110C2" w:rsidRDefault="00CD45DB" w:rsidP="00254EC9">
      <w:pPr>
        <w:pStyle w:val="Heading1"/>
        <w:rPr>
          <w:bCs/>
        </w:rPr>
      </w:pPr>
      <w:r w:rsidRPr="00F110C2">
        <w:rPr>
          <w:bCs/>
        </w:rPr>
        <w:t>1</w:t>
      </w:r>
      <w:r w:rsidRPr="00F110C2">
        <w:rPr>
          <w:bCs/>
        </w:rPr>
        <w:tab/>
        <w:t>Introduction</w:t>
      </w:r>
    </w:p>
    <w:p w14:paraId="57C88CE4" w14:textId="77777777" w:rsidR="00CD45DB" w:rsidRPr="00F110C2" w:rsidRDefault="00CD45DB" w:rsidP="00254EC9">
      <w:r w:rsidRPr="00F110C2">
        <w:t>Dans certains cas, on a jugé que les gabarits des émissions hors bande (des § 2 à 4) ne devaient pas s'appliquer:</w:t>
      </w:r>
    </w:p>
    <w:p w14:paraId="43D1DC2C" w14:textId="77777777" w:rsidR="00CD45DB" w:rsidRPr="00F110C2" w:rsidRDefault="00CD45DB" w:rsidP="00254EC9">
      <w:r w:rsidRPr="00F110C2">
        <w:t>Partons de l'hypothèse d'un seul satellite fonctionnant avec plusieurs répéteurs dans une même zone de service et considérons les limites des émissions dans le domaine hors bande indiquées ci</w:t>
      </w:r>
      <w:r w:rsidRPr="00F110C2">
        <w:noBreakHyphen/>
        <w:t>dessous, les émissions hors bande provenant d'un répéteur peuvent se situer à une fréquence à laquelle un deuxième émetteur associé émet. En pareil cas, le niveau des émissions hors bande provenant du premier répéteur est nettement dépassé par les émissions à la fréquence fondamentale du deuxième répéteur. Les limites ci-dessous ne doivent donc pas s'appliquer aux émissions hors bande d'un satellite, qui se situent dans la largeur de bande nécessaire d'un autre répéteur, sur le même satellite, dans la même zone de service.</w:t>
      </w:r>
    </w:p>
    <w:p w14:paraId="64F8598D" w14:textId="77777777" w:rsidR="00CD45DB" w:rsidRPr="00F110C2" w:rsidRDefault="00CD45DB" w:rsidP="00254EC9">
      <w:pPr>
        <w:pStyle w:val="FigureNo"/>
        <w:keepNext w:val="0"/>
        <w:keepLines w:val="0"/>
      </w:pPr>
      <w:r w:rsidRPr="00F110C2">
        <w:t>FIGURE 13</w:t>
      </w:r>
    </w:p>
    <w:p w14:paraId="269060B3" w14:textId="77777777" w:rsidR="00CD45DB" w:rsidRPr="00F110C2" w:rsidRDefault="00CD45DB" w:rsidP="00254EC9">
      <w:pPr>
        <w:pStyle w:val="Figuretitle"/>
        <w:keepNext w:val="0"/>
        <w:rPr>
          <w:rFonts w:ascii="Times New Roman"/>
          <w:b w:val="0"/>
          <w:szCs w:val="18"/>
        </w:rPr>
      </w:pPr>
      <w:r w:rsidRPr="00F110C2">
        <w:t>Exemple d'applicabilité des limites des émissions hors bande à un répéteur de satellite</w:t>
      </w:r>
      <w:r w:rsidRPr="00F110C2">
        <w:br/>
      </w:r>
      <w:r w:rsidRPr="00F110C2">
        <w:rPr>
          <w:rFonts w:ascii="Times New Roman"/>
          <w:b w:val="0"/>
          <w:szCs w:val="18"/>
        </w:rPr>
        <w:t>(</w:t>
      </w:r>
      <w:r w:rsidRPr="00F110C2">
        <w:rPr>
          <w:rFonts w:asciiTheme="majorBidi" w:hAnsiTheme="majorBidi" w:cstheme="majorBidi"/>
          <w:b w:val="0"/>
          <w:szCs w:val="18"/>
        </w:rPr>
        <w:t>cette Figure n'est pas à l'échelle</w:t>
      </w:r>
      <w:r w:rsidRPr="00F110C2">
        <w:rPr>
          <w:rFonts w:ascii="Times New Roman"/>
          <w:b w:val="0"/>
          <w:szCs w:val="18"/>
        </w:rPr>
        <w:t>)</w:t>
      </w:r>
    </w:p>
    <w:p w14:paraId="0BDA6AC7" w14:textId="77777777" w:rsidR="00CD45DB" w:rsidRPr="00F110C2" w:rsidRDefault="00CD45DB" w:rsidP="00254EC9">
      <w:pPr>
        <w:pStyle w:val="Figure"/>
        <w:keepLines w:val="0"/>
      </w:pPr>
      <w:r w:rsidRPr="00F110C2">
        <w:drawing>
          <wp:inline distT="0" distB="0" distL="0" distR="0" wp14:anchorId="2F1D7ECC" wp14:editId="0350E083">
            <wp:extent cx="5590540" cy="1700248"/>
            <wp:effectExtent l="0" t="0" r="0" b="0"/>
            <wp:docPr id="755864559" name="Picture 11" descr="A rectangular object with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64559" name="Picture 11" descr="A rectangular object with lines and text&#10;&#10;Description automatically generated with medium confidence"/>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8457" b="4453"/>
                    <a:stretch/>
                  </pic:blipFill>
                  <pic:spPr bwMode="auto">
                    <a:xfrm>
                      <a:off x="0" y="0"/>
                      <a:ext cx="5628357" cy="1711749"/>
                    </a:xfrm>
                    <a:prstGeom prst="rect">
                      <a:avLst/>
                    </a:prstGeom>
                    <a:noFill/>
                    <a:ln>
                      <a:noFill/>
                    </a:ln>
                    <a:extLst>
                      <a:ext uri="{53640926-AAD7-44D8-BBD7-CCE9431645EC}">
                        <a14:shadowObscured xmlns:a14="http://schemas.microsoft.com/office/drawing/2010/main"/>
                      </a:ext>
                    </a:extLst>
                  </pic:spPr>
                </pic:pic>
              </a:graphicData>
            </a:graphic>
          </wp:inline>
        </w:drawing>
      </w:r>
    </w:p>
    <w:p w14:paraId="553F0D2A" w14:textId="77777777" w:rsidR="00CD45DB" w:rsidRPr="00F110C2" w:rsidRDefault="00CD45DB" w:rsidP="00254EC9">
      <w:pPr>
        <w:pStyle w:val="Normalaftertitle"/>
      </w:pPr>
      <w:r w:rsidRPr="00F110C2">
        <w:lastRenderedPageBreak/>
        <w:t>Les répéteurs A et B fonctionnent sur le même satellite dans la même zone de service. Le répéteur B n'est pas tenu de respecter les limites des émissions dans le domaine hors bande dans la plage de fréquences 2 mais il est tenu de les respecter dans les plages de fréquences 1, 3 et 4. Dans la plage de fréquences 3, les limites des émissions dans le domaine hors bande ne s'appliquent pas s'il s'agit d'une bande de garde.</w:t>
      </w:r>
    </w:p>
    <w:p w14:paraId="6EE8D8ED" w14:textId="77777777" w:rsidR="00CD45DB" w:rsidRPr="00F110C2" w:rsidRDefault="00CD45DB" w:rsidP="00254EC9">
      <w:pPr>
        <w:pStyle w:val="Heading1"/>
        <w:rPr>
          <w:bCs/>
        </w:rPr>
      </w:pPr>
      <w:r w:rsidRPr="00F110C2">
        <w:rPr>
          <w:bCs/>
        </w:rPr>
        <w:t>2</w:t>
      </w:r>
      <w:r w:rsidRPr="00F110C2">
        <w:rPr>
          <w:bCs/>
        </w:rPr>
        <w:tab/>
        <w:t>Gabarits des émissions hors bande pour les stations terriennes et les stations spatiales du service fixe par satellite (SFS)</w:t>
      </w:r>
    </w:p>
    <w:p w14:paraId="75D6DFAD" w14:textId="53C8B0D7" w:rsidR="00CD45DB" w:rsidRPr="00F110C2" w:rsidRDefault="00CD45DB" w:rsidP="00254EC9">
      <w:r w:rsidRPr="00F110C2">
        <w:t>Les émissions dans le domaine des émissions hors bande d'une station fonctionnant dans les bandes attribuées au SFS doivent être affaiblies au-dessous de la densité spectrale de puissance maximale, dans une largeur de bande de référence de 4 kHz (pour les systèmes fonctionnant au-dessus de</w:t>
      </w:r>
      <w:r w:rsidR="00F91EA9" w:rsidRPr="00F110C2">
        <w:t> </w:t>
      </w:r>
      <w:r w:rsidRPr="00F110C2">
        <w:t>15 GHz, on peut utiliser une largeur de bande de référence de 1 MHz au lieu de 4 kHz) dans la largeur de bande nécessaire, d'une valeur égale à:</w:t>
      </w:r>
    </w:p>
    <w:p w14:paraId="4F4FD91F" w14:textId="77777777" w:rsidR="00CD45DB" w:rsidRPr="00F110C2" w:rsidRDefault="00CD45DB" w:rsidP="00254EC9">
      <w:pPr>
        <w:pStyle w:val="Equation"/>
      </w:pPr>
      <w:r w:rsidRPr="00F110C2">
        <w:tab/>
      </w:r>
      <w:r w:rsidRPr="00F110C2">
        <w:tab/>
      </w:r>
      <w:r w:rsidRPr="00F110C2">
        <w:rPr>
          <w:position w:val="-28"/>
          <w:sz w:val="20"/>
        </w:rPr>
        <w:object w:dxaOrig="3100" w:dyaOrig="680" w14:anchorId="4A69A7E9">
          <v:shape id="_x0000_i1587" type="#_x0000_t75" style="width:153.85pt;height:33.35pt" o:ole="" fillcolor="window">
            <v:imagedata r:id="rId137" o:title=""/>
          </v:shape>
          <o:OLEObject Type="Embed" ProgID="Equation.3" ShapeID="_x0000_i1587" DrawAspect="Content" ObjectID="_1801482049" r:id="rId138"/>
        </w:object>
      </w:r>
    </w:p>
    <w:p w14:paraId="45495C0B" w14:textId="77777777" w:rsidR="00CD45DB" w:rsidRPr="00F110C2" w:rsidRDefault="00CD45DB" w:rsidP="00254EC9">
      <w:r w:rsidRPr="00F110C2">
        <w:t xml:space="preserve">où </w:t>
      </w:r>
      <w:r w:rsidRPr="00F110C2">
        <w:rPr>
          <w:i/>
        </w:rPr>
        <w:t>F</w:t>
      </w:r>
      <w:r w:rsidRPr="00F110C2">
        <w:t xml:space="preserve"> est le décalage de fréquence par rapport au bord de la bande assignée totale, exprimé sous la forme d'un pourcentage de la largeur de bande nécessaire. Il est à noter que le domaine des émissions hors bande commence à chaque bord de la bande assignée totale.</w:t>
      </w:r>
    </w:p>
    <w:p w14:paraId="2A5CED69" w14:textId="77777777" w:rsidR="00CD45DB" w:rsidRPr="00F110C2" w:rsidRDefault="00CD45DB" w:rsidP="00254EC9">
      <w:pPr>
        <w:pStyle w:val="FigureNo"/>
      </w:pPr>
      <w:r w:rsidRPr="00F110C2">
        <w:t>FIGURE 14</w:t>
      </w:r>
    </w:p>
    <w:p w14:paraId="4A0C9FB3" w14:textId="77777777" w:rsidR="00CD45DB" w:rsidRPr="00F110C2" w:rsidRDefault="00CD45DB" w:rsidP="00254EC9">
      <w:pPr>
        <w:pStyle w:val="Figuretitle"/>
        <w:rPr>
          <w:rFonts w:asciiTheme="majorBidi" w:hAnsiTheme="majorBidi" w:cstheme="majorBidi"/>
          <w:b w:val="0"/>
        </w:rPr>
      </w:pPr>
      <w:r w:rsidRPr="00F110C2">
        <w:t>Exemple 1: Gabarit des émissions hors bande dans le cas où la limite des</w:t>
      </w:r>
      <w:r w:rsidRPr="00F110C2">
        <w:br/>
        <w:t>rayonnements non essentiels est équivalente à 25 dBsd</w:t>
      </w:r>
      <w:r w:rsidRPr="00F110C2">
        <w:br/>
      </w:r>
      <w:r w:rsidRPr="00F110C2">
        <w:rPr>
          <w:rFonts w:asciiTheme="majorBidi" w:hAnsiTheme="majorBidi" w:cstheme="majorBidi"/>
          <w:b w:val="0"/>
        </w:rPr>
        <w:t>(l'affaiblissement n'est pas supérieur à la limite des rayonnements non essentiels)</w:t>
      </w:r>
    </w:p>
    <w:p w14:paraId="61576599" w14:textId="77777777" w:rsidR="00CD45DB" w:rsidRPr="00F110C2" w:rsidRDefault="00CD45DB" w:rsidP="00254EC9">
      <w:pPr>
        <w:pStyle w:val="Figure"/>
      </w:pPr>
      <w:r w:rsidRPr="00F110C2">
        <w:drawing>
          <wp:inline distT="0" distB="0" distL="0" distR="0" wp14:anchorId="32298766" wp14:editId="7E3C225A">
            <wp:extent cx="3943704" cy="3298146"/>
            <wp:effectExtent l="0" t="0" r="0" b="0"/>
            <wp:docPr id="417716455" name="Picture 13"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16455" name="Picture 13" descr="A graph of a line graph&#10;&#10;Description automatically generated with medium confidence"/>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t="3589" b="2549"/>
                    <a:stretch/>
                  </pic:blipFill>
                  <pic:spPr bwMode="auto">
                    <a:xfrm>
                      <a:off x="0" y="0"/>
                      <a:ext cx="3943985" cy="3298381"/>
                    </a:xfrm>
                    <a:prstGeom prst="rect">
                      <a:avLst/>
                    </a:prstGeom>
                    <a:noFill/>
                    <a:ln>
                      <a:noFill/>
                    </a:ln>
                    <a:extLst>
                      <a:ext uri="{53640926-AAD7-44D8-BBD7-CCE9431645EC}">
                        <a14:shadowObscured xmlns:a14="http://schemas.microsoft.com/office/drawing/2010/main"/>
                      </a:ext>
                    </a:extLst>
                  </pic:spPr>
                </pic:pic>
              </a:graphicData>
            </a:graphic>
          </wp:inline>
        </w:drawing>
      </w:r>
    </w:p>
    <w:p w14:paraId="70E19B09" w14:textId="77777777" w:rsidR="00CD45DB" w:rsidRPr="00F110C2" w:rsidRDefault="00CD45DB" w:rsidP="00254EC9">
      <w:pPr>
        <w:pStyle w:val="FigureNo"/>
      </w:pPr>
      <w:r w:rsidRPr="00F110C2">
        <w:lastRenderedPageBreak/>
        <w:t>FIGURE 15</w:t>
      </w:r>
    </w:p>
    <w:p w14:paraId="1A059D29" w14:textId="77777777" w:rsidR="00CD45DB" w:rsidRPr="00F110C2" w:rsidRDefault="00CD45DB" w:rsidP="00254EC9">
      <w:pPr>
        <w:pStyle w:val="Figuretitle"/>
        <w:spacing w:after="0"/>
        <w:rPr>
          <w:rFonts w:asciiTheme="majorBidi" w:hAnsiTheme="majorBidi" w:cstheme="majorBidi"/>
          <w:b w:val="0"/>
        </w:rPr>
      </w:pPr>
      <w:r w:rsidRPr="00F110C2">
        <w:t>Exemple 2: Gabarit des émissions hors bande dans le cas où la limite des</w:t>
      </w:r>
      <w:r w:rsidRPr="00F110C2">
        <w:br/>
        <w:t>rayonnements non essentiels est équivalente à 40 dBsd</w:t>
      </w:r>
      <w:r w:rsidRPr="00F110C2">
        <w:br/>
      </w:r>
      <w:r w:rsidRPr="00F110C2">
        <w:rPr>
          <w:rFonts w:asciiTheme="majorBidi" w:hAnsiTheme="majorBidi" w:cstheme="majorBidi"/>
          <w:b w:val="0"/>
        </w:rPr>
        <w:t>(le gabarit est tronqué à la frontière des rayonnements non essentiels)</w:t>
      </w:r>
    </w:p>
    <w:p w14:paraId="646AEF28" w14:textId="77777777" w:rsidR="00CD45DB" w:rsidRPr="00F110C2" w:rsidRDefault="00CD45DB" w:rsidP="00254EC9">
      <w:pPr>
        <w:pStyle w:val="Figure"/>
      </w:pPr>
      <w:r w:rsidRPr="00F110C2">
        <w:drawing>
          <wp:inline distT="0" distB="0" distL="0" distR="0" wp14:anchorId="63FECFC7" wp14:editId="74093F33">
            <wp:extent cx="3889375" cy="3473450"/>
            <wp:effectExtent l="0" t="0" r="0" b="635"/>
            <wp:docPr id="2061731121" name="Picture 1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31121" name="Picture 14" descr="A graph with lines and numbers&#10;&#10;Description automatically generate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889375" cy="3473450"/>
                    </a:xfrm>
                    <a:prstGeom prst="rect">
                      <a:avLst/>
                    </a:prstGeom>
                    <a:noFill/>
                    <a:ln>
                      <a:noFill/>
                    </a:ln>
                  </pic:spPr>
                </pic:pic>
              </a:graphicData>
            </a:graphic>
          </wp:inline>
        </w:drawing>
      </w:r>
    </w:p>
    <w:p w14:paraId="7565B362" w14:textId="77777777" w:rsidR="00CD45DB" w:rsidRPr="00F110C2" w:rsidRDefault="00CD45DB" w:rsidP="00254EC9">
      <w:pPr>
        <w:pStyle w:val="Normalaftertitle"/>
        <w:keepLines/>
      </w:pPr>
      <w:r w:rsidRPr="00F110C2">
        <w:t>Il faut être vigilant dans les cas où il a été proposé que des gabarits des émissions hors bande s'appliquent à la fois aux stations terriennes et aux stations spatiales. En effet, dans les applications multiporteuse, la largeur de bande nécessaire, sur laquelle les gabarits sont fondés, est définie comme étant celle du dernier amplificateur de l'émetteur. Les stations terriennes ont souvent des amplificateurs dont la largeur de bande est beaucoup plus grande que celle des amplificateurs des stations spatiales.</w:t>
      </w:r>
    </w:p>
    <w:p w14:paraId="599FBF58" w14:textId="77777777" w:rsidR="00CD45DB" w:rsidRPr="00F110C2" w:rsidRDefault="00CD45DB" w:rsidP="00254EC9">
      <w:pPr>
        <w:pStyle w:val="Heading1"/>
        <w:rPr>
          <w:bCs/>
        </w:rPr>
      </w:pPr>
      <w:r w:rsidRPr="00F110C2">
        <w:rPr>
          <w:bCs/>
        </w:rPr>
        <w:t>3</w:t>
      </w:r>
      <w:r w:rsidRPr="00F110C2">
        <w:rPr>
          <w:bCs/>
        </w:rPr>
        <w:tab/>
        <w:t>Gabarit des émissions hors bande pour les stations terriennes et les stations spatiales du service mobile par satellite (SMS)</w:t>
      </w:r>
    </w:p>
    <w:p w14:paraId="607C7FD7" w14:textId="77777777" w:rsidR="00CD45DB" w:rsidRPr="00F110C2" w:rsidRDefault="00CD45DB" w:rsidP="00254EC9">
      <w:r w:rsidRPr="00F110C2">
        <w:t xml:space="preserve">On peut utiliser les gabarits contenus dans la Recommandation UIT-R M.1480 pour les stations terriennes mobiles de systèmes géostationnaires (OSG) du SMS pour lesquels le Mémorandum d'accord sur les systèmes mobiles mondiaux de communications personnelles (GMPCS, </w:t>
      </w:r>
      <w:r w:rsidRPr="00F110C2">
        <w:rPr>
          <w:i/>
          <w:iCs/>
        </w:rPr>
        <w:t>global mobile personal communications systems</w:t>
      </w:r>
      <w:r w:rsidRPr="00F110C2">
        <w:t>) est appliqué dans des parties de la bande de fréquences 1</w:t>
      </w:r>
      <w:r w:rsidRPr="00F110C2">
        <w:noBreakHyphen/>
        <w:t>3 GHz.</w:t>
      </w:r>
    </w:p>
    <w:p w14:paraId="23413206" w14:textId="77777777" w:rsidR="00CD45DB" w:rsidRPr="00F110C2" w:rsidRDefault="00CD45DB" w:rsidP="00254EC9">
      <w:r w:rsidRPr="00F110C2">
        <w:t>On peut utiliser les gabarits contenus dans la Recommandation UIT-R M.1343 pour les stations terriennes mobiles de systèmes non OSG fonctionnant dans la bande 1-3 GHz.</w:t>
      </w:r>
    </w:p>
    <w:p w14:paraId="1728DEA2" w14:textId="77777777" w:rsidR="00CD45DB" w:rsidRPr="00F110C2" w:rsidRDefault="00CD45DB" w:rsidP="00254EC9">
      <w:r w:rsidRPr="00F110C2">
        <w:t>En ce qui concerne les stations terriennes non couvertes dans les Recommandations susmentionnées et toutes les stations spatiales, il faut utiliser le gabarit générique des émissions hors bande qui suit, considéré comme une limite supérieure pour les systèmes du SMS:</w:t>
      </w:r>
    </w:p>
    <w:p w14:paraId="15F1A726" w14:textId="77777777" w:rsidR="00CD45DB" w:rsidRPr="00F110C2" w:rsidRDefault="00CD45DB" w:rsidP="00254EC9">
      <w:r w:rsidRPr="00F110C2">
        <w:t>L'affaiblissement des émissions hors bande dans une largeur de bande de référence de 4 kHz pour les systèmes du SMS fonctionnant au-dessous de 15 GHz (ou dans une largeur de bande de référence de 1 MHz pour les systèmes du SMS fonctionnant au-dessus de 15 GHz) est de:</w:t>
      </w:r>
    </w:p>
    <w:p w14:paraId="72A61C6B" w14:textId="77777777" w:rsidR="00CD45DB" w:rsidRPr="00F110C2" w:rsidRDefault="00CD45DB" w:rsidP="00254EC9">
      <w:pPr>
        <w:pStyle w:val="Equation"/>
      </w:pPr>
      <w:r w:rsidRPr="00F110C2">
        <w:tab/>
      </w:r>
      <w:r w:rsidRPr="00F110C2">
        <w:tab/>
      </w:r>
      <w:r w:rsidRPr="00F110C2">
        <w:rPr>
          <w:position w:val="-28"/>
          <w:sz w:val="20"/>
        </w:rPr>
        <w:object w:dxaOrig="3100" w:dyaOrig="680" w14:anchorId="525B6CEF">
          <v:shape id="_x0000_i1588" type="#_x0000_t75" style="width:153.85pt;height:33.35pt" o:ole="" fillcolor="window">
            <v:imagedata r:id="rId141" o:title=""/>
          </v:shape>
          <o:OLEObject Type="Embed" ProgID="Equation.3" ShapeID="_x0000_i1588" DrawAspect="Content" ObjectID="_1801482050" r:id="rId142"/>
        </w:object>
      </w:r>
    </w:p>
    <w:p w14:paraId="699D16E0" w14:textId="77777777" w:rsidR="00CD45DB" w:rsidRPr="00F110C2" w:rsidRDefault="00CD45DB" w:rsidP="00254EC9">
      <w:r w:rsidRPr="00F110C2">
        <w:lastRenderedPageBreak/>
        <w:t xml:space="preserve">où </w:t>
      </w:r>
      <w:r w:rsidRPr="00F110C2">
        <w:rPr>
          <w:i/>
          <w:iCs/>
        </w:rPr>
        <w:t>F</w:t>
      </w:r>
      <w:r w:rsidRPr="00F110C2">
        <w:t xml:space="preserve"> est le décalage de fréquence par rapport au bord de la bande assignée totale, exprimé sous la forme d'un pourcentage de la largeur de bande nécessaire, allant de 0% à la frontière des rayonnements non essentiels (correspondant généralement à 200%).</w:t>
      </w:r>
    </w:p>
    <w:p w14:paraId="4A837FB1" w14:textId="77777777" w:rsidR="00CD45DB" w:rsidRPr="00F110C2" w:rsidRDefault="00CD45DB" w:rsidP="00254EC9">
      <w:r w:rsidRPr="00F110C2">
        <w:t>Il est possible que le gabarit proposé ci-dessus ne soit pas applicable lors d'un examen détaillé de compatibilité dans les bandes adjacentes.</w:t>
      </w:r>
    </w:p>
    <w:p w14:paraId="31C68DDB" w14:textId="77777777" w:rsidR="00CD45DB" w:rsidRPr="00F110C2" w:rsidRDefault="00CD45DB" w:rsidP="00254EC9">
      <w:pPr>
        <w:pStyle w:val="Heading1"/>
        <w:rPr>
          <w:bCs/>
        </w:rPr>
      </w:pPr>
      <w:r w:rsidRPr="00F110C2">
        <w:rPr>
          <w:bCs/>
        </w:rPr>
        <w:t>4</w:t>
      </w:r>
      <w:r w:rsidRPr="00F110C2">
        <w:rPr>
          <w:bCs/>
        </w:rPr>
        <w:tab/>
        <w:t>Gabarits des émissions hors bande pour les stations spatiales du service de radiodiffusion par satellite (SRS)</w:t>
      </w:r>
    </w:p>
    <w:p w14:paraId="293CDB42" w14:textId="77777777" w:rsidR="00CD45DB" w:rsidRPr="00F110C2" w:rsidRDefault="00CD45DB" w:rsidP="00254EC9">
      <w:r w:rsidRPr="00F110C2">
        <w:t xml:space="preserve">Les émissions hors bande d'une station fonctionnant dans les bandes attribuées au service de radiodiffusion par satellite devraient être affaiblies au-dessous de la valeur maximale de la densité spectrale de puissance, dans une largeur de bande de référence de 4 kHz (pour les systèmes fonctionnant au-dessus de 15 GHz, on peut utiliser une largeur de 1 MHz au lieu de 4 kHz), à l'intérieur de la largeur de bande nécessaire, conformément à la formule suivante: </w:t>
      </w:r>
    </w:p>
    <w:p w14:paraId="1EB43E82" w14:textId="77777777" w:rsidR="00CD45DB" w:rsidRPr="00F110C2" w:rsidRDefault="00CD45DB" w:rsidP="00254EC9">
      <w:pPr>
        <w:pStyle w:val="Equation"/>
        <w:rPr>
          <w:lang w:eastAsia="ja-JP"/>
        </w:rPr>
      </w:pPr>
      <w:r w:rsidRPr="00F110C2">
        <w:tab/>
      </w:r>
      <w:r w:rsidRPr="00F110C2">
        <w:tab/>
      </w:r>
      <w:r w:rsidRPr="00F110C2">
        <w:rPr>
          <w:position w:val="-28"/>
          <w:sz w:val="20"/>
        </w:rPr>
        <w:object w:dxaOrig="1500" w:dyaOrig="680" w14:anchorId="186EFE1E">
          <v:shape id="_x0000_i1589" type="#_x0000_t75" style="width:75.05pt;height:33.35pt" o:ole="" fillcolor="window">
            <v:imagedata r:id="rId143" o:title=""/>
          </v:shape>
          <o:OLEObject Type="Embed" ProgID="Equation.3" ShapeID="_x0000_i1589" DrawAspect="Content" ObjectID="_1801482051" r:id="rId144"/>
        </w:object>
      </w:r>
      <w:r w:rsidRPr="00F110C2">
        <w:rPr>
          <w:szCs w:val="24"/>
        </w:rPr>
        <w:t>                </w:t>
      </w:r>
      <w:r w:rsidRPr="00F110C2">
        <w:t>dBsd</w:t>
      </w:r>
    </w:p>
    <w:p w14:paraId="03CEB84E" w14:textId="77777777" w:rsidR="00CD45DB" w:rsidRPr="00F110C2" w:rsidRDefault="00CD45DB" w:rsidP="00254EC9">
      <w:r w:rsidRPr="00F110C2">
        <w:t xml:space="preserve">où </w:t>
      </w:r>
      <w:r w:rsidRPr="00F110C2">
        <w:rPr>
          <w:i/>
        </w:rPr>
        <w:t>F</w:t>
      </w:r>
      <w:r w:rsidRPr="00F110C2">
        <w:t xml:space="preserve"> est le décalage de fréquence par rapport au bord de la bande totale assignée, exprimé en pourcentage de la largeur de bande nécessaire. On note que le domaine des émissions hors bande commence à chaque bord de la bande totale assignée.</w:t>
      </w:r>
    </w:p>
    <w:p w14:paraId="2C8128DB" w14:textId="77777777" w:rsidR="00CD45DB" w:rsidRPr="00F110C2" w:rsidRDefault="00CD45DB" w:rsidP="00254EC9">
      <w:pPr>
        <w:pStyle w:val="Heading1"/>
      </w:pPr>
      <w:r w:rsidRPr="00F110C2">
        <w:t>5</w:t>
      </w:r>
      <w:r w:rsidRPr="00F110C2">
        <w:tab/>
        <w:t>Gabarit des émissions hors bande pour les liaisons espace vers Terre de télécommunication du service de recherche spatiale, du service d'exploitation spatiale (SES) et du service d'exploration de la Terre par satellite (SETS) fonctionnant dans des bandes comprises entre 1 et 20 GHz</w:t>
      </w:r>
    </w:p>
    <w:p w14:paraId="72092CF3" w14:textId="77777777" w:rsidR="00CD45DB" w:rsidRPr="00F110C2" w:rsidRDefault="00CD45DB" w:rsidP="00254EC9">
      <w:pPr>
        <w:pStyle w:val="Heading2"/>
        <w:rPr>
          <w:bCs/>
        </w:rPr>
      </w:pPr>
      <w:r w:rsidRPr="00F110C2">
        <w:rPr>
          <w:bCs/>
        </w:rPr>
        <w:t>5.1</w:t>
      </w:r>
      <w:r w:rsidRPr="00F110C2">
        <w:rPr>
          <w:bCs/>
        </w:rPr>
        <w:tab/>
        <w:t>Introduction</w:t>
      </w:r>
    </w:p>
    <w:p w14:paraId="650E6CD9" w14:textId="77777777" w:rsidR="00CD45DB" w:rsidRPr="00F110C2" w:rsidRDefault="00CD45DB" w:rsidP="00254EC9">
      <w:r w:rsidRPr="00F110C2">
        <w:t>La présente Annexe contient un gabarit des émissions hors bande pour les liaisons espace vers Terre du service de recherche spatiale, du SES et du SETS fonctionnant dans des bandes comprises entre 1 et 20 GHz. Ce gabarit ne s'applique ni aux stations situées dans l'espace lointain, ni aux capteurs actifs, ni aux liaisons espace</w:t>
      </w:r>
      <w:r w:rsidRPr="00F110C2">
        <w:noBreakHyphen/>
        <w:t>espace.</w:t>
      </w:r>
    </w:p>
    <w:p w14:paraId="7572A35C" w14:textId="77777777" w:rsidR="00CD45DB" w:rsidRPr="00F110C2" w:rsidRDefault="00CD45DB" w:rsidP="00254EC9">
      <w:pPr>
        <w:pStyle w:val="Heading2"/>
        <w:rPr>
          <w:bCs/>
        </w:rPr>
      </w:pPr>
      <w:r w:rsidRPr="00F110C2">
        <w:rPr>
          <w:bCs/>
        </w:rPr>
        <w:t>5.2</w:t>
      </w:r>
      <w:r w:rsidRPr="00F110C2">
        <w:rPr>
          <w:bCs/>
        </w:rPr>
        <w:tab/>
        <w:t>Gabarits des émissions hors bande pour les systèmes du service de recherche spatiale, du SES et du SETS fonctionnant dans le sens espace vers Terre et dans le sens Terre vers espace</w:t>
      </w:r>
    </w:p>
    <w:p w14:paraId="49F1FB27" w14:textId="77777777" w:rsidR="00CD45DB" w:rsidRPr="00F110C2" w:rsidRDefault="00CD45DB" w:rsidP="00254EC9">
      <w:r w:rsidRPr="00F110C2">
        <w:t>Le gabarit représenté sur la Fig. 16 s'applique aux émissions monoporteuse provenant de stations terriennes ou de stations spatiales du service de recherche spatiale, du SES ou du SETS fonctionnant à des fréquences centrales comprises entre 1 GHz et 20 GHz.</w:t>
      </w:r>
    </w:p>
    <w:p w14:paraId="633CF563" w14:textId="77777777" w:rsidR="00CD45DB" w:rsidRPr="00F110C2" w:rsidRDefault="00CD45DB" w:rsidP="00254EC9">
      <w:pPr>
        <w:pStyle w:val="FigureNo"/>
      </w:pPr>
      <w:r w:rsidRPr="00F110C2">
        <w:lastRenderedPageBreak/>
        <w:t>FIGURE 16</w:t>
      </w:r>
    </w:p>
    <w:p w14:paraId="349EB839" w14:textId="77777777" w:rsidR="00CD45DB" w:rsidRPr="00F110C2" w:rsidRDefault="00CD45DB" w:rsidP="00254EC9">
      <w:pPr>
        <w:pStyle w:val="Figuretitle"/>
      </w:pPr>
      <w:r w:rsidRPr="00F110C2">
        <w:t>Gabarit recommandé des émissions hors bande pour les émissions monoporteuse du service</w:t>
      </w:r>
      <w:r w:rsidRPr="00F110C2">
        <w:br/>
        <w:t>de recherche spatiale, du SES et du SETS dans le sens espace vers Terre et dans le sens</w:t>
      </w:r>
      <w:r w:rsidRPr="00F110C2">
        <w:br/>
        <w:t>Terre vers espace dans les bandes comprises entre 1 GHz et 20 GHz</w:t>
      </w:r>
    </w:p>
    <w:p w14:paraId="480E33B4" w14:textId="77777777" w:rsidR="00CD45DB" w:rsidRPr="00F110C2" w:rsidRDefault="00CD45DB" w:rsidP="00254EC9">
      <w:pPr>
        <w:pStyle w:val="Figure"/>
      </w:pPr>
      <w:r w:rsidRPr="00F110C2">
        <w:drawing>
          <wp:inline distT="0" distB="0" distL="0" distR="0" wp14:anchorId="650BC9D8" wp14:editId="4B5840D9">
            <wp:extent cx="5205630" cy="2181947"/>
            <wp:effectExtent l="0" t="0" r="3175" b="0"/>
            <wp:docPr id="895375561" name="Picture 15"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75561" name="Picture 15" descr="A graph with a line&#10;&#10;Description automatically generated"/>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5024" b="3459"/>
                    <a:stretch/>
                  </pic:blipFill>
                  <pic:spPr bwMode="auto">
                    <a:xfrm>
                      <a:off x="0" y="0"/>
                      <a:ext cx="5205630" cy="2181947"/>
                    </a:xfrm>
                    <a:prstGeom prst="rect">
                      <a:avLst/>
                    </a:prstGeom>
                    <a:noFill/>
                    <a:ln>
                      <a:noFill/>
                    </a:ln>
                    <a:extLst>
                      <a:ext uri="{53640926-AAD7-44D8-BBD7-CCE9431645EC}">
                        <a14:shadowObscured xmlns:a14="http://schemas.microsoft.com/office/drawing/2010/main"/>
                      </a:ext>
                    </a:extLst>
                  </pic:spPr>
                </pic:pic>
              </a:graphicData>
            </a:graphic>
          </wp:inline>
        </w:drawing>
      </w:r>
    </w:p>
    <w:p w14:paraId="63E267CA" w14:textId="230F3AEC" w:rsidR="00CD45DB" w:rsidRPr="00F110C2" w:rsidRDefault="00CD45DB" w:rsidP="00254EC9">
      <w:pPr>
        <w:pStyle w:val="Note"/>
      </w:pPr>
      <w:r w:rsidRPr="00F110C2">
        <w:t xml:space="preserve">NOTE 1 </w:t>
      </w:r>
      <w:r w:rsidR="0023743D" w:rsidRPr="00F110C2">
        <w:t>–</w:t>
      </w:r>
      <w:r w:rsidRPr="00F110C2">
        <w:t xml:space="preserve"> Le gabarit d'émission s'étend généralement jusqu'à 250% de la largeur de bande nécessaire. Toutefois, le bord extérieur du domaine des émissions hors bande pour les systèmes à bande étroite et les systèmes à large bande est modifié comme indiqué dans la Recommandation UIT-R SM.1539.</w:t>
      </w:r>
    </w:p>
    <w:p w14:paraId="7FB4A3B2" w14:textId="77777777" w:rsidR="00CD45DB" w:rsidRPr="00F110C2" w:rsidRDefault="00CD45DB" w:rsidP="00254EC9">
      <w:pPr>
        <w:pStyle w:val="Heading3"/>
      </w:pPr>
      <w:r w:rsidRPr="00F110C2">
        <w:t>5.2.1</w:t>
      </w:r>
      <w:r w:rsidRPr="00F110C2">
        <w:tab/>
        <w:t>Paramètres du gabarit d'émission</w:t>
      </w:r>
    </w:p>
    <w:p w14:paraId="4FF8D268" w14:textId="77777777" w:rsidR="00CD45DB" w:rsidRPr="00F110C2" w:rsidRDefault="00CD45DB" w:rsidP="00254EC9">
      <w:r w:rsidRPr="00F110C2">
        <w:t xml:space="preserve">Le gabarit d'émission est spécifié en dBsd, la largeur de bande de référence étant de 4 kHz. </w:t>
      </w:r>
    </w:p>
    <w:p w14:paraId="17ACCB9B" w14:textId="77777777" w:rsidR="00CD45DB" w:rsidRPr="00F110C2" w:rsidRDefault="00CD45DB" w:rsidP="00254EC9">
      <w:r w:rsidRPr="00F110C2">
        <w:t xml:space="preserve">Le gabarit d'émission est défini comme suit: </w:t>
      </w:r>
    </w:p>
    <w:p w14:paraId="5B0BBB65" w14:textId="77777777" w:rsidR="00CD45DB" w:rsidRPr="00F110C2" w:rsidRDefault="00CD45DB" w:rsidP="00254EC9">
      <w:pPr>
        <w:pStyle w:val="Equation"/>
      </w:pPr>
      <w:r w:rsidRPr="00F110C2">
        <w:tab/>
      </w:r>
      <w:r w:rsidRPr="00F110C2">
        <w:rPr>
          <w:position w:val="-10"/>
        </w:rPr>
        <w:object w:dxaOrig="8040" w:dyaOrig="320" w14:anchorId="751790F3">
          <v:shape id="_x0000_i1590" type="#_x0000_t75" style="width:402.45pt;height:15.9pt" o:ole="">
            <v:imagedata r:id="rId146" o:title=""/>
          </v:shape>
          <o:OLEObject Type="Embed" ProgID="Equation.DSMT4" ShapeID="_x0000_i1590" DrawAspect="Content" ObjectID="_1801482052" r:id="rId147"/>
        </w:object>
      </w:r>
      <w:r w:rsidRPr="00F110C2">
        <w:tab/>
        <w:t>(33)</w:t>
      </w:r>
    </w:p>
    <w:p w14:paraId="6C20F378" w14:textId="77777777" w:rsidR="00CD45DB" w:rsidRPr="00F110C2" w:rsidRDefault="00CD45DB" w:rsidP="00254EC9">
      <w:pPr>
        <w:pStyle w:val="Equation"/>
      </w:pPr>
      <w:r w:rsidRPr="00F110C2">
        <w:tab/>
      </w:r>
      <w:r w:rsidRPr="00F110C2">
        <w:rPr>
          <w:position w:val="-10"/>
        </w:rPr>
        <w:object w:dxaOrig="8040" w:dyaOrig="320" w14:anchorId="2420A221">
          <v:shape id="_x0000_i1591" type="#_x0000_t75" style="width:402.45pt;height:15.9pt" o:ole="">
            <v:imagedata r:id="rId148" o:title=""/>
          </v:shape>
          <o:OLEObject Type="Embed" ProgID="Equation.DSMT4" ShapeID="_x0000_i1591" DrawAspect="Content" ObjectID="_1801482053" r:id="rId149"/>
        </w:object>
      </w:r>
      <w:r w:rsidRPr="00F110C2">
        <w:tab/>
        <w:t>(34)</w:t>
      </w:r>
    </w:p>
    <w:p w14:paraId="4729445F" w14:textId="77777777" w:rsidR="00CD45DB" w:rsidRPr="00F110C2" w:rsidRDefault="00CD45DB" w:rsidP="00254EC9">
      <w:r w:rsidRPr="00F110C2">
        <w:t xml:space="preserve">où </w:t>
      </w:r>
      <w:r w:rsidRPr="00F110C2">
        <w:rPr>
          <w:i/>
          <w:iCs/>
        </w:rPr>
        <w:t>X</w:t>
      </w:r>
      <w:r w:rsidRPr="00F110C2">
        <w:t xml:space="preserve"> est spécifié sous la forme d'un pourcentage de la largeur de bande nécessaire.</w:t>
      </w:r>
    </w:p>
    <w:p w14:paraId="1530BB11" w14:textId="77777777" w:rsidR="00CD45DB" w:rsidRPr="00F110C2" w:rsidRDefault="00CD45DB" w:rsidP="00254EC9">
      <w:pPr>
        <w:pStyle w:val="Heading3"/>
      </w:pPr>
      <w:r w:rsidRPr="00F110C2">
        <w:t>5.2.2</w:t>
      </w:r>
      <w:r w:rsidRPr="00F110C2">
        <w:tab/>
        <w:t>Applicabilité du gabarit d'émission</w:t>
      </w:r>
    </w:p>
    <w:p w14:paraId="09854AC1" w14:textId="77777777" w:rsidR="00CD45DB" w:rsidRPr="00F110C2" w:rsidRDefault="00CD45DB" w:rsidP="00254EC9">
      <w:r w:rsidRPr="00F110C2">
        <w:t>Le gabarit d'émission donné ici ne s'applique qu'aux émissions monoporteuse des stations du service de recherche spatiale, du SES et du SETS fonctionnant dans des bandes comprises entre 1 GHz et 20 GHz. Il ne s'applique pas aux émissions provenant de stations situées dans l'espace lointain, de stations utilisant des liaisons espace-espace ou de capteurs actifs. Les gabarits d'émission pour les liaisons espace-espace et les liaisons espace vers Terre au-dessous de 1 GHz ou au-dessus de 20 GHz nécessitent un complément d'étude.</w:t>
      </w:r>
    </w:p>
    <w:p w14:paraId="59917DD7" w14:textId="77777777" w:rsidR="00CD45DB" w:rsidRPr="00F110C2" w:rsidRDefault="00CD45DB" w:rsidP="00254EC9">
      <w:pPr>
        <w:pStyle w:val="Heading3"/>
      </w:pPr>
      <w:r w:rsidRPr="00F110C2">
        <w:t>5.2.3</w:t>
      </w:r>
      <w:r w:rsidRPr="00F110C2">
        <w:tab/>
        <w:t>Fondements relatifs au gabarit d'émission</w:t>
      </w:r>
    </w:p>
    <w:p w14:paraId="3D9595FE" w14:textId="77777777" w:rsidR="00CD45DB" w:rsidRPr="00F110C2" w:rsidRDefault="00CD45DB" w:rsidP="00254EC9">
      <w:r w:rsidRPr="00F110C2">
        <w:t>On a choisi le gabarit d'émission donné par les équations (33) et (34) car des simulations montrent que ce gabarit peut être respecté sans qu'il n'en résulte de contraintes inutiles pour les stations au sol et les engins spatiaux du service de recherche spatiale, du SES et du SETS. Par ailleurs, ce gabarit permet généralement d'assurer une protection suffisante contre les rayonnements non désirés. En outre, il est compatible avec le concept de filet de sécurité: les limites générales recommandées des émissions hors bande constitueront généralement une enveloppe correspondant au cas le plus défavorable fondée sur les limites des émissions dans le domaine hors bande les moins restrictives fixées dans des réglementations nationales ou régionales et utilisées avec succès et elles n'incluront pas de limites régionales ou nationales plus strictes.</w:t>
      </w:r>
    </w:p>
    <w:p w14:paraId="2EA818E7" w14:textId="77777777" w:rsidR="00CD45DB" w:rsidRPr="00F110C2" w:rsidRDefault="00CD45DB" w:rsidP="00254EC9">
      <w:pPr>
        <w:pStyle w:val="Heading1"/>
      </w:pPr>
      <w:r w:rsidRPr="00F110C2">
        <w:lastRenderedPageBreak/>
        <w:t>6</w:t>
      </w:r>
      <w:r w:rsidRPr="00F110C2">
        <w:tab/>
        <w:t>Services des fréquences étalon et des signaux horaires</w:t>
      </w:r>
    </w:p>
    <w:p w14:paraId="01D0116A" w14:textId="77777777" w:rsidR="00CD45DB" w:rsidRPr="00F110C2" w:rsidRDefault="00CD45DB" w:rsidP="00254EC9">
      <w:pPr>
        <w:pStyle w:val="Heading2"/>
      </w:pPr>
      <w:r w:rsidRPr="00F110C2">
        <w:t>6.1</w:t>
      </w:r>
      <w:r w:rsidRPr="00F110C2">
        <w:tab/>
        <w:t>Service des fréquences étalon et des signaux horaires fonctionnant au</w:t>
      </w:r>
      <w:r w:rsidRPr="00F110C2">
        <w:noBreakHyphen/>
        <w:t>dessous de 30 MHz</w:t>
      </w:r>
    </w:p>
    <w:p w14:paraId="2638CB87" w14:textId="77777777" w:rsidR="00CD45DB" w:rsidRPr="00F110C2" w:rsidRDefault="00CD45DB" w:rsidP="00254EC9">
      <w:pPr>
        <w:pStyle w:val="Headingb"/>
      </w:pPr>
      <w:r w:rsidRPr="00F110C2">
        <w:t>Bande 7 (2,5-25 MHz)</w:t>
      </w:r>
    </w:p>
    <w:p w14:paraId="6BE4C07A" w14:textId="77777777" w:rsidR="00CD45DB" w:rsidRPr="00F110C2" w:rsidRDefault="00CD45DB" w:rsidP="00254EC9">
      <w:r w:rsidRPr="00F110C2">
        <w:t>Les émissions du service des fréquences étalon et des signaux horaires dans la bande 7 (2,5</w:t>
      </w:r>
      <w:r w:rsidRPr="00F110C2">
        <w:noBreakHyphen/>
        <w:t>25 MHz) incluent généralement des annonces vocales, des salves de tonalités et des codes horaires multiplexés temporellement. Chaque signal module la porteuse au moyen de la modulation d'amplitude à double bande latérale.</w:t>
      </w:r>
    </w:p>
    <w:p w14:paraId="41B8EF46" w14:textId="77777777" w:rsidR="00CD45DB" w:rsidRPr="00F110C2" w:rsidRDefault="00CD45DB" w:rsidP="00254EC9">
      <w:r w:rsidRPr="00F110C2">
        <w:t>Les gabarits de limite spectrale du service des fréquences étalon et des signaux horaires sont calculés conformément au § 6.3.3 de l'Annexe 1 de la Recommandation UIT-R SM.328, avec les largeurs de bande de canal indiquées ci</w:t>
      </w:r>
      <w:r w:rsidRPr="00F110C2">
        <w:noBreakHyphen/>
        <w:t>dessus, étant donné que la radiodiffusion sonore est le signal déterminant pour la largeur de bande nécessaire.</w:t>
      </w:r>
    </w:p>
    <w:p w14:paraId="6EC01A15" w14:textId="77777777" w:rsidR="00CD45DB" w:rsidRPr="00F110C2" w:rsidRDefault="00CD45DB" w:rsidP="00254EC9">
      <w:r w:rsidRPr="00F110C2">
        <w:t>Si on porte en abscisse les fréquences selon une échelle logarithmique et en ordonnée les densités de puissance (dB), la courbe représentant le spectre hors bande devra se trouver au</w:t>
      </w:r>
      <w:r w:rsidRPr="00F110C2">
        <w:noBreakHyphen/>
        <w:t>dessous de deux droites partant du point (+0,5 × largeur de bande du canal, 0 dB) ou du point (−0,5 × largeur de bande du canal, 0 dB) et aboutissant au point (+0,7 × largeur de bande du canal, −35 dB) ou (−0,5 × largeur de bande du canal, −35 dB) respectivement. Au</w:t>
      </w:r>
      <w:r w:rsidRPr="00F110C2">
        <w:noBreakHyphen/>
        <w:t>delà de ces derniers points et jusqu'au niveau de −60 dB, cette courbe devra se trouver au</w:t>
      </w:r>
      <w:r w:rsidRPr="00F110C2">
        <w:noBreakHyphen/>
        <w:t>dessous de deux droites partant de ces derniers points et ayant une pente de 12 dB/octave. Cette même courbe devra se trouver ensuite au</w:t>
      </w:r>
      <w:r w:rsidRPr="00F110C2">
        <w:noBreakHyphen/>
        <w:t>dessous du niveau de −60 dB.</w:t>
      </w:r>
    </w:p>
    <w:p w14:paraId="5AB586AC" w14:textId="77777777" w:rsidR="00CD45DB" w:rsidRPr="00F110C2" w:rsidRDefault="00CD45DB" w:rsidP="00254EC9">
      <w:r w:rsidRPr="00F110C2">
        <w:t>Le niveau de référence, 0 dB, correspond à la densité de puissance qui existerait si la puissance totale, à l'exclusion de celle de la porteuse, était répartie uniformément dans la largeur de bande nécessaire.</w:t>
      </w:r>
    </w:p>
    <w:p w14:paraId="00FC55D2" w14:textId="77777777" w:rsidR="00CD45DB" w:rsidRPr="00F110C2" w:rsidRDefault="00CD45DB" w:rsidP="00254EC9">
      <w:r w:rsidRPr="00F110C2">
        <w:t>Pour la courbe ainsi définie, l'ordonnée représente la puissance moyenne interceptée par un analyseur avec une largeur de bande de 100 Hz pour la valeur efficace du bruit et dont la fréquence centrale est égale à la valeur portée en abscisse.</w:t>
      </w:r>
    </w:p>
    <w:p w14:paraId="13B90BF2" w14:textId="77777777" w:rsidR="009615D1" w:rsidRPr="00F110C2" w:rsidRDefault="009615D1" w:rsidP="00254EC9"/>
    <w:p w14:paraId="5EE55EA1" w14:textId="77777777" w:rsidR="009615D1" w:rsidRPr="00F110C2" w:rsidRDefault="009615D1" w:rsidP="00254EC9"/>
    <w:p w14:paraId="042FB01D" w14:textId="77777777" w:rsidR="00CD45DB" w:rsidRPr="00F110C2" w:rsidRDefault="00CD45DB" w:rsidP="00254EC9">
      <w:pPr>
        <w:pStyle w:val="AnnexNoTitle"/>
        <w:outlineLvl w:val="0"/>
      </w:pPr>
      <w:r w:rsidRPr="00F110C2">
        <w:t>Annexe 6</w:t>
      </w:r>
      <w:r w:rsidRPr="00F110C2">
        <w:br/>
      </w:r>
      <w:r w:rsidRPr="00F110C2">
        <w:br/>
        <w:t>Limites des émissions dans le domaine des émissions hors bande</w:t>
      </w:r>
      <w:r w:rsidRPr="00F110C2">
        <w:br/>
        <w:t>pour les systèmes de radiodiffusion télévisuelle</w:t>
      </w:r>
    </w:p>
    <w:p w14:paraId="3483FB1D" w14:textId="77777777" w:rsidR="00CD45DB" w:rsidRPr="00F110C2" w:rsidRDefault="00CD45DB" w:rsidP="00254EC9">
      <w:pPr>
        <w:pStyle w:val="Normalaftertitle"/>
      </w:pPr>
      <w:r w:rsidRPr="00F110C2">
        <w:t xml:space="preserve">La présente Annexe contient les limites des émissions dans le domaine hors bande à appliquer aux systèmes de radiodiffusion télévisuelle. Conformément au principe du filet de sécurité (voir le point 4 du </w:t>
      </w:r>
      <w:r w:rsidRPr="00F110C2">
        <w:rPr>
          <w:i/>
          <w:iCs/>
        </w:rPr>
        <w:t>recommande</w:t>
      </w:r>
      <w:r w:rsidRPr="00F110C2">
        <w:t>), il est à noter que les limites plus strictes ne sont pas affectées dans les cas où il existe des accords spéciaux relatifs aux services de radiodiffusion pour des raisons de coordination et de compatibilité. Il faut utiliser les limites plus strictes spécifiées dans les accords et les normes applicables dans tous les cas où un besoin particulier peut être indiqué et où la portée d'un accord s'en trouverait affectée.</w:t>
      </w:r>
    </w:p>
    <w:p w14:paraId="46455250" w14:textId="434EDBD3" w:rsidR="00CD45DB" w:rsidRPr="00F110C2" w:rsidRDefault="00CD45DB" w:rsidP="00254EC9">
      <w:pPr>
        <w:pStyle w:val="Note"/>
      </w:pPr>
      <w:r w:rsidRPr="00F110C2">
        <w:t>NOTE 1 </w:t>
      </w:r>
      <w:r w:rsidR="0023743D" w:rsidRPr="00F110C2">
        <w:t>–</w:t>
      </w:r>
      <w:r w:rsidRPr="00F110C2">
        <w:t> Tous les gabarits présentés sont des gabarits d'émission d'ensemble comprenant les limites des émissions dans le domaine hors bande.</w:t>
      </w:r>
    </w:p>
    <w:p w14:paraId="6C73AB8A" w14:textId="6BA5CA93" w:rsidR="00CD45DB" w:rsidRPr="00F110C2" w:rsidRDefault="00CD45DB" w:rsidP="00254EC9">
      <w:pPr>
        <w:pStyle w:val="Heading1"/>
      </w:pPr>
      <w:r w:rsidRPr="00F110C2">
        <w:lastRenderedPageBreak/>
        <w:t>1</w:t>
      </w:r>
      <w:r w:rsidRPr="00F110C2">
        <w:tab/>
        <w:t>Systèmes de télévision numérique avec canaux de 6</w:t>
      </w:r>
      <w:r w:rsidR="00F91EA9" w:rsidRPr="00F110C2">
        <w:t> </w:t>
      </w:r>
      <w:r w:rsidRPr="00F110C2">
        <w:t>MHz conformément à la Recommandation UIT-R BT.1306</w:t>
      </w:r>
    </w:p>
    <w:p w14:paraId="2C88BD3A" w14:textId="77777777" w:rsidR="00CD45DB" w:rsidRPr="00F110C2" w:rsidRDefault="00CD45DB" w:rsidP="00254EC9">
      <w:pPr>
        <w:pStyle w:val="Heading2"/>
      </w:pPr>
      <w:r w:rsidRPr="00F110C2">
        <w:t>1.1</w:t>
      </w:r>
      <w:r w:rsidRPr="00F110C2">
        <w:tab/>
        <w:t>Systèmes (DVB-T) à 6 MHz</w:t>
      </w:r>
    </w:p>
    <w:p w14:paraId="14D029B9" w14:textId="77777777" w:rsidR="00CD45DB" w:rsidRPr="00F110C2" w:rsidRDefault="00CD45DB" w:rsidP="00254EC9">
      <w:r w:rsidRPr="00F110C2">
        <w:t xml:space="preserve">En ce qui concerne la télévision numérique à 6 MHz, le domaine des émissions hors bande est compris entre </w:t>
      </w:r>
      <w:r w:rsidRPr="00F110C2">
        <w:sym w:font="Symbol" w:char="F0B1"/>
      </w:r>
      <w:r w:rsidRPr="00F110C2">
        <w:t xml:space="preserve">3 MHz (soit </w:t>
      </w:r>
      <w:r w:rsidRPr="00F110C2">
        <w:sym w:font="Symbol" w:char="F0B1"/>
      </w:r>
      <w:r w:rsidRPr="00F110C2">
        <w:t xml:space="preserve">0,5 × 6 MHz) et </w:t>
      </w:r>
      <w:r w:rsidRPr="00F110C2">
        <w:sym w:font="Symbol" w:char="F0B1"/>
      </w:r>
      <w:r w:rsidRPr="00F110C2">
        <w:t xml:space="preserve">15 MHz (soit </w:t>
      </w:r>
      <w:r w:rsidRPr="00F110C2">
        <w:sym w:font="Symbol" w:char="F0B1"/>
      </w:r>
      <w:r w:rsidRPr="00F110C2">
        <w:t>2,5 × 6 MHz).</w:t>
      </w:r>
    </w:p>
    <w:p w14:paraId="10DD54E8" w14:textId="77777777" w:rsidR="00CD45DB" w:rsidRPr="00F110C2" w:rsidRDefault="00CD45DB" w:rsidP="00254EC9">
      <w:r w:rsidRPr="00F110C2">
        <w:t>En ce qui concerne les systèmes DVB-T à 6 MHz, on utilise une largeur de bande de 4 kHz pour mesurer les limites spectrales. Le niveau de référence 0 dB correspond à la puissance moyenne de sortie mesurée dans la largeur de bande du canal.</w:t>
      </w:r>
    </w:p>
    <w:p w14:paraId="160F12B0" w14:textId="77777777" w:rsidR="00CD45DB" w:rsidRPr="00F110C2" w:rsidRDefault="00CD45DB" w:rsidP="00254EC9">
      <w:r w:rsidRPr="00F110C2">
        <w:t>Le gabarit de limite spectrale pour les systèmes DVB-T à 6 MHz est reproduit dans la Fig. 17. Le graphe représente les limites spectrales pour les émetteurs dans la plage de puissances de sortie comprises entre 39 dBW et 50 dBW. À chaque graphe sont associés un tableau de points de rupture ainsi qu'un tableau des valeurs des points d'extrémité et des points les plus proches des points d'extrémité, accompagnés des niveaux de rayonnements non essentiels correspondants, pour une plage de puissances de sortie de l'émetteur.</w:t>
      </w:r>
    </w:p>
    <w:p w14:paraId="5B4CAB93" w14:textId="77777777" w:rsidR="00CD45DB" w:rsidRPr="00F110C2" w:rsidRDefault="00CD45DB" w:rsidP="00254EC9">
      <w:pPr>
        <w:pStyle w:val="FigureNo"/>
      </w:pPr>
      <w:r w:rsidRPr="00F110C2">
        <w:t>FIGURE 17</w:t>
      </w:r>
    </w:p>
    <w:p w14:paraId="275F04BD" w14:textId="77777777" w:rsidR="00CD45DB" w:rsidRPr="00F110C2" w:rsidRDefault="00CD45DB" w:rsidP="00254EC9">
      <w:pPr>
        <w:pStyle w:val="Figuretitle"/>
      </w:pPr>
      <w:r w:rsidRPr="00F110C2">
        <w:t>Gabarit de limite spectrale pour les systèmes DVB-T à 6 MHz</w:t>
      </w:r>
      <w:r w:rsidRPr="00F110C2">
        <w:br/>
        <w:t xml:space="preserve">(pour </w:t>
      </w:r>
      <w:r w:rsidRPr="00F110C2">
        <w:rPr>
          <w:i/>
          <w:iCs/>
        </w:rPr>
        <w:t>P</w:t>
      </w:r>
      <w:r w:rsidRPr="00F110C2">
        <w:t xml:space="preserve"> compris entre 39 et 50 dBW)</w:t>
      </w:r>
    </w:p>
    <w:p w14:paraId="03459471" w14:textId="77777777" w:rsidR="00CD45DB" w:rsidRPr="00F110C2" w:rsidRDefault="00CD45DB" w:rsidP="00254EC9">
      <w:pPr>
        <w:pStyle w:val="Figure"/>
      </w:pPr>
      <w:r w:rsidRPr="00F110C2">
        <w:drawing>
          <wp:inline distT="0" distB="0" distL="0" distR="0" wp14:anchorId="35E85E6B" wp14:editId="14916147">
            <wp:extent cx="5848350" cy="3043555"/>
            <wp:effectExtent l="0" t="0" r="1905" b="0"/>
            <wp:docPr id="1555591302" name="Picture 16" descr="A graph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91302" name="Picture 16" descr="A graph with lines on it&#10;&#10;Description automatically generate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848350" cy="3043555"/>
                    </a:xfrm>
                    <a:prstGeom prst="rect">
                      <a:avLst/>
                    </a:prstGeom>
                    <a:noFill/>
                    <a:ln>
                      <a:noFill/>
                    </a:ln>
                  </pic:spPr>
                </pic:pic>
              </a:graphicData>
            </a:graphic>
          </wp:inline>
        </w:drawing>
      </w:r>
    </w:p>
    <w:p w14:paraId="1F5C54FF" w14:textId="77777777" w:rsidR="00CD45DB" w:rsidRPr="00F110C2" w:rsidRDefault="00CD45DB" w:rsidP="00254EC9">
      <w:pPr>
        <w:pStyle w:val="TableNo"/>
        <w:keepNext w:val="0"/>
      </w:pPr>
      <w:r w:rsidRPr="00F110C2">
        <w:t>TABLEAU 5</w:t>
      </w:r>
    </w:p>
    <w:p w14:paraId="343578FB" w14:textId="77777777" w:rsidR="00CD45DB" w:rsidRPr="00F110C2" w:rsidRDefault="00CD45DB" w:rsidP="00254EC9">
      <w:pPr>
        <w:pStyle w:val="Tabletitle"/>
        <w:keepNext w:val="0"/>
      </w:pPr>
      <w:r w:rsidRPr="00F110C2">
        <w:t>Tableau de points de rupture correspondant à la Fig. 17</w:t>
      </w:r>
      <w:r w:rsidRPr="00F110C2">
        <w:br/>
        <w:t>pour les systèmes DVB-T à 6 MHz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1"/>
        <w:gridCol w:w="4823"/>
      </w:tblGrid>
      <w:tr w:rsidR="00CD45DB" w:rsidRPr="00F110C2" w14:paraId="53D07401" w14:textId="77777777" w:rsidTr="009615D1">
        <w:trPr>
          <w:jc w:val="center"/>
        </w:trPr>
        <w:tc>
          <w:tcPr>
            <w:tcW w:w="4819" w:type="dxa"/>
          </w:tcPr>
          <w:p w14:paraId="026F0476" w14:textId="77777777" w:rsidR="00CD45DB" w:rsidRPr="00F110C2" w:rsidRDefault="00CD45DB" w:rsidP="00254EC9">
            <w:pPr>
              <w:pStyle w:val="Tablehead"/>
              <w:keepNext w:val="0"/>
            </w:pPr>
            <w:r w:rsidRPr="00F110C2">
              <w:t>Fréquence (MHz) par rapport au</w:t>
            </w:r>
            <w:r w:rsidRPr="00F110C2">
              <w:br/>
              <w:t>centre du canal à 6 MHz</w:t>
            </w:r>
          </w:p>
        </w:tc>
        <w:tc>
          <w:tcPr>
            <w:tcW w:w="4820" w:type="dxa"/>
          </w:tcPr>
          <w:p w14:paraId="780ADD15" w14:textId="77777777" w:rsidR="00CD45DB" w:rsidRPr="00F110C2" w:rsidRDefault="00CD45DB" w:rsidP="00254EC9">
            <w:pPr>
              <w:pStyle w:val="Tablehead"/>
              <w:keepNext w:val="0"/>
            </w:pPr>
            <w:r w:rsidRPr="00F110C2">
              <w:t>Niveau relatif (dB) dans une largeur</w:t>
            </w:r>
            <w:r w:rsidRPr="00F110C2">
              <w:br/>
              <w:t>de bande de mesure de 4 kHz</w:t>
            </w:r>
          </w:p>
        </w:tc>
      </w:tr>
      <w:tr w:rsidR="00CD45DB" w:rsidRPr="00F110C2" w14:paraId="35ADD23A" w14:textId="77777777" w:rsidTr="009615D1">
        <w:trPr>
          <w:jc w:val="center"/>
        </w:trPr>
        <w:tc>
          <w:tcPr>
            <w:tcW w:w="4819" w:type="dxa"/>
          </w:tcPr>
          <w:p w14:paraId="7EFF2134" w14:textId="79BE89DB" w:rsidR="00CD45DB" w:rsidRPr="00F110C2" w:rsidRDefault="00F91EA9" w:rsidP="00254EC9">
            <w:pPr>
              <w:pStyle w:val="Tabletext"/>
              <w:jc w:val="center"/>
            </w:pPr>
            <w:r w:rsidRPr="00F110C2">
              <w:t>−</w:t>
            </w:r>
            <w:r w:rsidR="00CD45DB" w:rsidRPr="00F110C2">
              <w:t>15</w:t>
            </w:r>
          </w:p>
        </w:tc>
        <w:tc>
          <w:tcPr>
            <w:tcW w:w="4820" w:type="dxa"/>
          </w:tcPr>
          <w:p w14:paraId="1CA9B5BD" w14:textId="034485AF" w:rsidR="00CD45DB" w:rsidRPr="00F110C2" w:rsidRDefault="00F91EA9" w:rsidP="00254EC9">
            <w:pPr>
              <w:pStyle w:val="Tabletext"/>
              <w:jc w:val="center"/>
            </w:pPr>
            <w:r w:rsidRPr="00F110C2">
              <w:t>−</w:t>
            </w:r>
            <w:r w:rsidR="00CD45DB" w:rsidRPr="00F110C2">
              <w:t>99</w:t>
            </w:r>
          </w:p>
        </w:tc>
      </w:tr>
      <w:tr w:rsidR="00CD45DB" w:rsidRPr="00F110C2" w14:paraId="541CD54B" w14:textId="77777777" w:rsidTr="009615D1">
        <w:trPr>
          <w:jc w:val="center"/>
        </w:trPr>
        <w:tc>
          <w:tcPr>
            <w:tcW w:w="4819" w:type="dxa"/>
          </w:tcPr>
          <w:p w14:paraId="6866C83F" w14:textId="625C35CD" w:rsidR="00CD45DB" w:rsidRPr="00F110C2" w:rsidRDefault="00F91EA9" w:rsidP="00254EC9">
            <w:pPr>
              <w:pStyle w:val="Tabletext"/>
              <w:jc w:val="center"/>
            </w:pPr>
            <w:r w:rsidRPr="00F110C2">
              <w:t>−</w:t>
            </w:r>
            <w:r w:rsidR="00CD45DB" w:rsidRPr="00F110C2">
              <w:t>9</w:t>
            </w:r>
          </w:p>
        </w:tc>
        <w:tc>
          <w:tcPr>
            <w:tcW w:w="4820" w:type="dxa"/>
          </w:tcPr>
          <w:p w14:paraId="4A1CF62C" w14:textId="4E4705E2" w:rsidR="00CD45DB" w:rsidRPr="00F110C2" w:rsidRDefault="00F91EA9" w:rsidP="00254EC9">
            <w:pPr>
              <w:pStyle w:val="Tabletext"/>
              <w:jc w:val="center"/>
            </w:pPr>
            <w:r w:rsidRPr="00F110C2">
              <w:t>−</w:t>
            </w:r>
            <w:r w:rsidR="00CD45DB" w:rsidRPr="00F110C2">
              <w:t>91</w:t>
            </w:r>
          </w:p>
        </w:tc>
      </w:tr>
      <w:tr w:rsidR="00CD45DB" w:rsidRPr="00F110C2" w14:paraId="1CC601AD" w14:textId="77777777" w:rsidTr="009615D1">
        <w:trPr>
          <w:jc w:val="center"/>
        </w:trPr>
        <w:tc>
          <w:tcPr>
            <w:tcW w:w="4819" w:type="dxa"/>
          </w:tcPr>
          <w:p w14:paraId="712F79E1" w14:textId="0B2BC731" w:rsidR="00CD45DB" w:rsidRPr="00F110C2" w:rsidRDefault="00F91EA9" w:rsidP="00254EC9">
            <w:pPr>
              <w:pStyle w:val="Tabletext"/>
              <w:jc w:val="center"/>
            </w:pPr>
            <w:r w:rsidRPr="00F110C2">
              <w:t>−</w:t>
            </w:r>
            <w:r w:rsidR="00CD45DB" w:rsidRPr="00F110C2">
              <w:t>3,2</w:t>
            </w:r>
          </w:p>
        </w:tc>
        <w:tc>
          <w:tcPr>
            <w:tcW w:w="4820" w:type="dxa"/>
          </w:tcPr>
          <w:p w14:paraId="4563B28F" w14:textId="79630972" w:rsidR="00CD45DB" w:rsidRPr="00F110C2" w:rsidRDefault="00F91EA9" w:rsidP="00254EC9">
            <w:pPr>
              <w:pStyle w:val="Tabletext"/>
              <w:jc w:val="center"/>
            </w:pPr>
            <w:r w:rsidRPr="00F110C2">
              <w:t>−</w:t>
            </w:r>
            <w:r w:rsidR="00CD45DB" w:rsidRPr="00F110C2">
              <w:t>66,5</w:t>
            </w:r>
          </w:p>
        </w:tc>
      </w:tr>
      <w:tr w:rsidR="00CD45DB" w:rsidRPr="00F110C2" w14:paraId="07A12F9C" w14:textId="77777777" w:rsidTr="009615D1">
        <w:trPr>
          <w:jc w:val="center"/>
        </w:trPr>
        <w:tc>
          <w:tcPr>
            <w:tcW w:w="4819" w:type="dxa"/>
          </w:tcPr>
          <w:p w14:paraId="733B08A3" w14:textId="11072098" w:rsidR="00CD45DB" w:rsidRPr="00F110C2" w:rsidRDefault="00F91EA9" w:rsidP="00254EC9">
            <w:pPr>
              <w:pStyle w:val="Tabletext"/>
              <w:jc w:val="center"/>
            </w:pPr>
            <w:r w:rsidRPr="00F110C2">
              <w:t>−</w:t>
            </w:r>
            <w:r w:rsidR="00CD45DB" w:rsidRPr="00F110C2">
              <w:t>2,86</w:t>
            </w:r>
          </w:p>
        </w:tc>
        <w:tc>
          <w:tcPr>
            <w:tcW w:w="4820" w:type="dxa"/>
          </w:tcPr>
          <w:p w14:paraId="3AC7374C" w14:textId="3EC8F488" w:rsidR="00CD45DB" w:rsidRPr="00F110C2" w:rsidRDefault="00F91EA9" w:rsidP="00254EC9">
            <w:pPr>
              <w:pStyle w:val="Tabletext"/>
              <w:jc w:val="center"/>
            </w:pPr>
            <w:r w:rsidRPr="00F110C2">
              <w:t>−</w:t>
            </w:r>
            <w:r w:rsidR="00CD45DB" w:rsidRPr="00F110C2">
              <w:t>31,5</w:t>
            </w:r>
          </w:p>
        </w:tc>
      </w:tr>
      <w:tr w:rsidR="009615D1" w:rsidRPr="00F110C2" w14:paraId="5720FF90" w14:textId="77777777" w:rsidTr="009615D1">
        <w:trPr>
          <w:jc w:val="center"/>
        </w:trPr>
        <w:tc>
          <w:tcPr>
            <w:tcW w:w="9639" w:type="dxa"/>
            <w:gridSpan w:val="2"/>
            <w:tcBorders>
              <w:top w:val="nil"/>
              <w:left w:val="nil"/>
              <w:right w:val="nil"/>
            </w:tcBorders>
          </w:tcPr>
          <w:p w14:paraId="1FA9FB78" w14:textId="4725BFEC" w:rsidR="009615D1" w:rsidRPr="00F110C2" w:rsidRDefault="009615D1" w:rsidP="00254EC9">
            <w:pPr>
              <w:pStyle w:val="TableNo"/>
            </w:pPr>
            <w:r w:rsidRPr="00F110C2">
              <w:lastRenderedPageBreak/>
              <w:t>TABLEAU 5</w:t>
            </w:r>
            <w:r w:rsidRPr="00F110C2">
              <w:t xml:space="preserve"> (</w:t>
            </w:r>
            <w:r w:rsidRPr="00F110C2">
              <w:rPr>
                <w:i/>
                <w:iCs/>
              </w:rPr>
              <w:t>fin</w:t>
            </w:r>
            <w:r w:rsidRPr="00F110C2">
              <w:t>)</w:t>
            </w:r>
          </w:p>
        </w:tc>
      </w:tr>
      <w:tr w:rsidR="009615D1" w:rsidRPr="00F110C2" w14:paraId="3021E4B0" w14:textId="77777777" w:rsidTr="009615D1">
        <w:trPr>
          <w:jc w:val="center"/>
        </w:trPr>
        <w:tc>
          <w:tcPr>
            <w:tcW w:w="4819" w:type="dxa"/>
          </w:tcPr>
          <w:p w14:paraId="2A770260" w14:textId="77777777" w:rsidR="009615D1" w:rsidRPr="00F110C2" w:rsidRDefault="009615D1" w:rsidP="00254EC9">
            <w:pPr>
              <w:pStyle w:val="Tablehead"/>
              <w:keepNext w:val="0"/>
            </w:pPr>
            <w:r w:rsidRPr="00F110C2">
              <w:t>Fréquence (MHz) par rapport au</w:t>
            </w:r>
            <w:r w:rsidRPr="00F110C2">
              <w:br/>
              <w:t>centre du canal à 6 MHz</w:t>
            </w:r>
          </w:p>
        </w:tc>
        <w:tc>
          <w:tcPr>
            <w:tcW w:w="4820" w:type="dxa"/>
          </w:tcPr>
          <w:p w14:paraId="32A2F1C5" w14:textId="77777777" w:rsidR="009615D1" w:rsidRPr="00F110C2" w:rsidRDefault="009615D1" w:rsidP="00254EC9">
            <w:pPr>
              <w:pStyle w:val="Tablehead"/>
              <w:keepNext w:val="0"/>
            </w:pPr>
            <w:r w:rsidRPr="00F110C2">
              <w:t>Niveau relatif (dB) dans une largeur</w:t>
            </w:r>
            <w:r w:rsidRPr="00F110C2">
              <w:br/>
              <w:t>de bande de mesure de 4 kHz</w:t>
            </w:r>
          </w:p>
        </w:tc>
      </w:tr>
      <w:tr w:rsidR="00CD45DB" w:rsidRPr="00F110C2" w14:paraId="560935EB" w14:textId="77777777" w:rsidTr="009615D1">
        <w:trPr>
          <w:jc w:val="center"/>
        </w:trPr>
        <w:tc>
          <w:tcPr>
            <w:tcW w:w="4819" w:type="dxa"/>
          </w:tcPr>
          <w:p w14:paraId="4DAC34B6" w14:textId="6089CA70" w:rsidR="00CD45DB" w:rsidRPr="00F110C2" w:rsidRDefault="00CD45DB" w:rsidP="00254EC9">
            <w:pPr>
              <w:pStyle w:val="Tabletext"/>
              <w:jc w:val="center"/>
            </w:pPr>
            <w:r w:rsidRPr="00F110C2">
              <w:t>2,86</w:t>
            </w:r>
          </w:p>
        </w:tc>
        <w:tc>
          <w:tcPr>
            <w:tcW w:w="4820" w:type="dxa"/>
          </w:tcPr>
          <w:p w14:paraId="626EF711" w14:textId="18382CAD" w:rsidR="00CD45DB" w:rsidRPr="00F110C2" w:rsidRDefault="00F91EA9" w:rsidP="00254EC9">
            <w:pPr>
              <w:pStyle w:val="Tabletext"/>
              <w:jc w:val="center"/>
            </w:pPr>
            <w:r w:rsidRPr="00F110C2">
              <w:t>−</w:t>
            </w:r>
            <w:r w:rsidR="00CD45DB" w:rsidRPr="00F110C2">
              <w:t>31,5</w:t>
            </w:r>
          </w:p>
        </w:tc>
      </w:tr>
      <w:tr w:rsidR="00CD45DB" w:rsidRPr="00F110C2" w14:paraId="249D6941" w14:textId="77777777" w:rsidTr="009615D1">
        <w:trPr>
          <w:jc w:val="center"/>
        </w:trPr>
        <w:tc>
          <w:tcPr>
            <w:tcW w:w="4819" w:type="dxa"/>
          </w:tcPr>
          <w:p w14:paraId="3A66640B" w14:textId="77777777" w:rsidR="00CD45DB" w:rsidRPr="00F110C2" w:rsidRDefault="00CD45DB" w:rsidP="00254EC9">
            <w:pPr>
              <w:pStyle w:val="Tabletext"/>
              <w:jc w:val="center"/>
            </w:pPr>
            <w:r w:rsidRPr="00F110C2">
              <w:t>3,2</w:t>
            </w:r>
          </w:p>
        </w:tc>
        <w:tc>
          <w:tcPr>
            <w:tcW w:w="4820" w:type="dxa"/>
          </w:tcPr>
          <w:p w14:paraId="0518D483" w14:textId="03DF94AF" w:rsidR="00CD45DB" w:rsidRPr="00F110C2" w:rsidRDefault="00F91EA9" w:rsidP="00254EC9">
            <w:pPr>
              <w:pStyle w:val="Tabletext"/>
              <w:jc w:val="center"/>
            </w:pPr>
            <w:r w:rsidRPr="00F110C2">
              <w:t>−</w:t>
            </w:r>
            <w:r w:rsidR="00CD45DB" w:rsidRPr="00F110C2">
              <w:t>66,5</w:t>
            </w:r>
          </w:p>
        </w:tc>
      </w:tr>
      <w:tr w:rsidR="00CD45DB" w:rsidRPr="00F110C2" w14:paraId="783BECBA" w14:textId="77777777" w:rsidTr="009615D1">
        <w:trPr>
          <w:jc w:val="center"/>
        </w:trPr>
        <w:tc>
          <w:tcPr>
            <w:tcW w:w="4819" w:type="dxa"/>
          </w:tcPr>
          <w:p w14:paraId="45DB96EA" w14:textId="77777777" w:rsidR="00CD45DB" w:rsidRPr="00F110C2" w:rsidRDefault="00CD45DB" w:rsidP="00254EC9">
            <w:pPr>
              <w:pStyle w:val="Tabletext"/>
              <w:jc w:val="center"/>
            </w:pPr>
            <w:r w:rsidRPr="00F110C2">
              <w:t>9</w:t>
            </w:r>
          </w:p>
        </w:tc>
        <w:tc>
          <w:tcPr>
            <w:tcW w:w="4820" w:type="dxa"/>
          </w:tcPr>
          <w:p w14:paraId="1439609C" w14:textId="445B867A" w:rsidR="00CD45DB" w:rsidRPr="00F110C2" w:rsidRDefault="00F91EA9" w:rsidP="00254EC9">
            <w:pPr>
              <w:pStyle w:val="Tabletext"/>
              <w:jc w:val="center"/>
            </w:pPr>
            <w:r w:rsidRPr="00F110C2">
              <w:t>−</w:t>
            </w:r>
            <w:r w:rsidR="00CD45DB" w:rsidRPr="00F110C2">
              <w:t>91</w:t>
            </w:r>
          </w:p>
        </w:tc>
      </w:tr>
      <w:tr w:rsidR="00CD45DB" w:rsidRPr="00F110C2" w14:paraId="42E88C24" w14:textId="77777777" w:rsidTr="009615D1">
        <w:trPr>
          <w:jc w:val="center"/>
        </w:trPr>
        <w:tc>
          <w:tcPr>
            <w:tcW w:w="4819" w:type="dxa"/>
          </w:tcPr>
          <w:p w14:paraId="2DF59448" w14:textId="77777777" w:rsidR="00CD45DB" w:rsidRPr="00F110C2" w:rsidRDefault="00CD45DB" w:rsidP="00254EC9">
            <w:pPr>
              <w:pStyle w:val="Tabletext"/>
              <w:jc w:val="center"/>
            </w:pPr>
            <w:r w:rsidRPr="00F110C2">
              <w:t>15</w:t>
            </w:r>
          </w:p>
        </w:tc>
        <w:tc>
          <w:tcPr>
            <w:tcW w:w="4820" w:type="dxa"/>
          </w:tcPr>
          <w:p w14:paraId="4146599C" w14:textId="4955C7CE" w:rsidR="00CD45DB" w:rsidRPr="00F110C2" w:rsidRDefault="00F91EA9" w:rsidP="00254EC9">
            <w:pPr>
              <w:pStyle w:val="Tabletext"/>
              <w:jc w:val="center"/>
            </w:pPr>
            <w:r w:rsidRPr="00F110C2">
              <w:t>−</w:t>
            </w:r>
            <w:r w:rsidR="00CD45DB" w:rsidRPr="00F110C2">
              <w:t>99</w:t>
            </w:r>
          </w:p>
        </w:tc>
      </w:tr>
    </w:tbl>
    <w:p w14:paraId="6E550C14" w14:textId="77777777" w:rsidR="00CD45DB" w:rsidRPr="00F110C2" w:rsidRDefault="00CD45DB" w:rsidP="00254EC9">
      <w:pPr>
        <w:pStyle w:val="Tablefin"/>
      </w:pPr>
    </w:p>
    <w:p w14:paraId="4FBD54A6" w14:textId="77777777" w:rsidR="00CD45DB" w:rsidRPr="00F110C2" w:rsidRDefault="00CD45DB" w:rsidP="00254EC9">
      <w:pPr>
        <w:pStyle w:val="TableNo"/>
        <w:keepNext w:val="0"/>
      </w:pPr>
      <w:r w:rsidRPr="00F110C2">
        <w:t>TABLEAU 6</w:t>
      </w:r>
    </w:p>
    <w:p w14:paraId="2D654809" w14:textId="77777777" w:rsidR="00CD45DB" w:rsidRPr="00F110C2" w:rsidRDefault="00CD45DB" w:rsidP="00254EC9">
      <w:pPr>
        <w:pStyle w:val="Tabletitle"/>
        <w:keepLines/>
      </w:pPr>
      <w:r w:rsidRPr="00F110C2">
        <w:t>Tableau des valeurs des points d'extrémité et des points les plus proches des points</w:t>
      </w:r>
      <w:r w:rsidRPr="00F110C2">
        <w:br/>
        <w:t>d'extrémité à utiliser avec la Fig. 17 et le Tableau 5, applicables à une plage de</w:t>
      </w:r>
      <w:r w:rsidRPr="00F110C2">
        <w:br/>
        <w:t>puissances de sortie de l'émetteur, pour les systèmes DVB-T à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8"/>
        <w:gridCol w:w="2341"/>
        <w:gridCol w:w="3570"/>
      </w:tblGrid>
      <w:tr w:rsidR="00CD45DB" w:rsidRPr="00F110C2" w14:paraId="260BFA9D" w14:textId="77777777" w:rsidTr="00F91EA9">
        <w:trPr>
          <w:jc w:val="center"/>
        </w:trPr>
        <w:tc>
          <w:tcPr>
            <w:tcW w:w="3386" w:type="dxa"/>
            <w:vAlign w:val="center"/>
          </w:tcPr>
          <w:p w14:paraId="2189520B" w14:textId="77777777" w:rsidR="00CD45DB" w:rsidRPr="00F110C2" w:rsidRDefault="00CD45DB" w:rsidP="00254EC9">
            <w:pPr>
              <w:pStyle w:val="Tablehead"/>
              <w:keepLines/>
            </w:pPr>
            <w:r w:rsidRPr="00F110C2">
              <w:t>Valeur du point d'extrémité</w:t>
            </w:r>
            <w:r w:rsidRPr="00F110C2">
              <w:rPr>
                <w:position w:val="6"/>
                <w:sz w:val="18"/>
                <w:vertAlign w:val="superscript"/>
              </w:rPr>
              <w:t>(1)</w:t>
            </w:r>
            <w:r w:rsidRPr="00F110C2">
              <w:br/>
              <w:t>(largeur de bande de mesure de 4 kHz) (dB)</w:t>
            </w:r>
          </w:p>
        </w:tc>
        <w:tc>
          <w:tcPr>
            <w:tcW w:w="2126" w:type="dxa"/>
            <w:vAlign w:val="center"/>
          </w:tcPr>
          <w:p w14:paraId="2C1D427E" w14:textId="77777777" w:rsidR="00CD45DB" w:rsidRPr="00F110C2" w:rsidRDefault="00CD45DB" w:rsidP="00254EC9">
            <w:pPr>
              <w:pStyle w:val="Tablehead"/>
              <w:keepLines/>
            </w:pPr>
            <w:r w:rsidRPr="00F110C2">
              <w:t>Plage de puissances</w:t>
            </w:r>
            <w:r w:rsidRPr="00F110C2">
              <w:br/>
              <w:t>(dBW)</w:t>
            </w:r>
          </w:p>
        </w:tc>
        <w:tc>
          <w:tcPr>
            <w:tcW w:w="3243" w:type="dxa"/>
            <w:vAlign w:val="center"/>
          </w:tcPr>
          <w:p w14:paraId="798CB516" w14:textId="77777777" w:rsidR="00CD45DB" w:rsidRPr="00F110C2" w:rsidRDefault="00CD45DB" w:rsidP="00254EC9">
            <w:pPr>
              <w:pStyle w:val="Tablehead"/>
              <w:keepLines/>
            </w:pPr>
            <w:r w:rsidRPr="00F110C2">
              <w:t>Niveau de rayonnement non essentiel correspondant (largeur de bande de mesure de 100 kHz)</w:t>
            </w:r>
          </w:p>
        </w:tc>
      </w:tr>
      <w:tr w:rsidR="00CD45DB" w:rsidRPr="00F110C2" w14:paraId="1035DF37" w14:textId="77777777" w:rsidTr="00F91EA9">
        <w:trPr>
          <w:jc w:val="center"/>
        </w:trPr>
        <w:tc>
          <w:tcPr>
            <w:tcW w:w="3386" w:type="dxa"/>
          </w:tcPr>
          <w:p w14:paraId="349A28FC" w14:textId="2986F2A7" w:rsidR="00CD45DB" w:rsidRPr="00F110C2" w:rsidRDefault="00F91EA9" w:rsidP="00254EC9">
            <w:pPr>
              <w:pStyle w:val="Tabletext"/>
              <w:keepNext/>
              <w:keepLines/>
              <w:jc w:val="center"/>
            </w:pPr>
            <w:r w:rsidRPr="00F110C2">
              <w:t>−</w:t>
            </w:r>
            <w:r w:rsidR="00CD45DB" w:rsidRPr="00F110C2">
              <w:t xml:space="preserve">89 </w:t>
            </w:r>
            <w:r w:rsidR="009615D1" w:rsidRPr="00F110C2">
              <w:t>−</w:t>
            </w:r>
            <w:r w:rsidR="00CD45DB" w:rsidRPr="00F110C2">
              <w:t xml:space="preserve"> (</w:t>
            </w:r>
            <w:r w:rsidR="00CD45DB" w:rsidRPr="00F110C2">
              <w:rPr>
                <w:i/>
                <w:iCs/>
              </w:rPr>
              <w:t>P</w:t>
            </w:r>
            <w:r w:rsidR="00CD45DB" w:rsidRPr="00F110C2">
              <w:t xml:space="preserve"> </w:t>
            </w:r>
            <w:r w:rsidR="009615D1" w:rsidRPr="00F110C2">
              <w:t>−</w:t>
            </w:r>
            <w:r w:rsidR="00CD45DB" w:rsidRPr="00F110C2">
              <w:t xml:space="preserve"> 9)</w:t>
            </w:r>
          </w:p>
        </w:tc>
        <w:tc>
          <w:tcPr>
            <w:tcW w:w="2126" w:type="dxa"/>
          </w:tcPr>
          <w:p w14:paraId="19231E1F" w14:textId="77777777" w:rsidR="00CD45DB" w:rsidRPr="00F110C2" w:rsidRDefault="00CD45DB" w:rsidP="00254EC9">
            <w:pPr>
              <w:pStyle w:val="Tabletext"/>
              <w:keepNext/>
              <w:keepLines/>
              <w:jc w:val="center"/>
            </w:pPr>
            <w:r w:rsidRPr="00F110C2">
              <w:rPr>
                <w:i/>
                <w:iCs/>
              </w:rPr>
              <w:t>P</w:t>
            </w:r>
            <w:r w:rsidRPr="00F110C2">
              <w:t xml:space="preserve"> </w:t>
            </w:r>
            <w:r w:rsidRPr="00F110C2">
              <w:sym w:font="Symbol" w:char="F0A3"/>
            </w:r>
            <w:r w:rsidRPr="00F110C2">
              <w:t xml:space="preserve"> 9</w:t>
            </w:r>
          </w:p>
        </w:tc>
        <w:tc>
          <w:tcPr>
            <w:tcW w:w="3243" w:type="dxa"/>
          </w:tcPr>
          <w:p w14:paraId="7347452E" w14:textId="1C293E44" w:rsidR="00CD45DB" w:rsidRPr="00F110C2" w:rsidRDefault="00F91EA9" w:rsidP="00254EC9">
            <w:pPr>
              <w:pStyle w:val="Tabletext"/>
              <w:keepNext/>
              <w:keepLines/>
              <w:jc w:val="center"/>
            </w:pPr>
            <w:r w:rsidRPr="00F110C2">
              <w:t>−</w:t>
            </w:r>
            <w:r w:rsidR="00CD45DB" w:rsidRPr="00F110C2">
              <w:t>36 dBm</w:t>
            </w:r>
          </w:p>
        </w:tc>
      </w:tr>
      <w:tr w:rsidR="00CD45DB" w:rsidRPr="00F110C2" w14:paraId="5C3A0FBF" w14:textId="77777777" w:rsidTr="00F91EA9">
        <w:trPr>
          <w:jc w:val="center"/>
        </w:trPr>
        <w:tc>
          <w:tcPr>
            <w:tcW w:w="3386" w:type="dxa"/>
          </w:tcPr>
          <w:p w14:paraId="7DC0EADD" w14:textId="49B79ECF" w:rsidR="00CD45DB" w:rsidRPr="00F110C2" w:rsidRDefault="00F91EA9" w:rsidP="00254EC9">
            <w:pPr>
              <w:pStyle w:val="Tabletext"/>
              <w:keepNext/>
              <w:keepLines/>
              <w:jc w:val="center"/>
            </w:pPr>
            <w:r w:rsidRPr="00F110C2">
              <w:t>−</w:t>
            </w:r>
            <w:r w:rsidR="00CD45DB" w:rsidRPr="00F110C2">
              <w:t>89</w:t>
            </w:r>
          </w:p>
        </w:tc>
        <w:tc>
          <w:tcPr>
            <w:tcW w:w="2126" w:type="dxa"/>
          </w:tcPr>
          <w:p w14:paraId="6CFF0EBA" w14:textId="77777777" w:rsidR="00CD45DB" w:rsidRPr="00F110C2" w:rsidRDefault="00CD45DB" w:rsidP="00254EC9">
            <w:pPr>
              <w:pStyle w:val="Tabletext"/>
              <w:keepNext/>
              <w:keepLines/>
              <w:jc w:val="center"/>
            </w:pPr>
            <w:r w:rsidRPr="00F110C2">
              <w:t>9 &lt;</w:t>
            </w:r>
            <w:r w:rsidRPr="00F110C2">
              <w:tab/>
            </w:r>
            <w:r w:rsidRPr="00F110C2">
              <w:rPr>
                <w:i/>
                <w:iCs/>
              </w:rPr>
              <w:t>P</w:t>
            </w:r>
            <w:r w:rsidRPr="00F110C2">
              <w:t xml:space="preserve"> </w:t>
            </w:r>
            <w:r w:rsidRPr="00F110C2">
              <w:sym w:font="Symbol" w:char="F0A3"/>
            </w:r>
            <w:r w:rsidRPr="00F110C2">
              <w:t xml:space="preserve"> 29</w:t>
            </w:r>
          </w:p>
        </w:tc>
        <w:tc>
          <w:tcPr>
            <w:tcW w:w="3243" w:type="dxa"/>
          </w:tcPr>
          <w:p w14:paraId="0FE4EBE3" w14:textId="77777777" w:rsidR="00CD45DB" w:rsidRPr="00F110C2" w:rsidRDefault="00CD45DB" w:rsidP="00254EC9">
            <w:pPr>
              <w:pStyle w:val="Tabletext"/>
              <w:keepNext/>
              <w:keepLines/>
              <w:jc w:val="center"/>
            </w:pPr>
            <w:r w:rsidRPr="00F110C2">
              <w:t>75 dBc</w:t>
            </w:r>
          </w:p>
        </w:tc>
      </w:tr>
      <w:tr w:rsidR="00CD45DB" w:rsidRPr="00F110C2" w14:paraId="3D4B3D07" w14:textId="77777777" w:rsidTr="00F91EA9">
        <w:trPr>
          <w:jc w:val="center"/>
        </w:trPr>
        <w:tc>
          <w:tcPr>
            <w:tcW w:w="3386" w:type="dxa"/>
          </w:tcPr>
          <w:p w14:paraId="3A7AF9A3" w14:textId="401B34B6" w:rsidR="00CD45DB" w:rsidRPr="00F110C2" w:rsidRDefault="00F91EA9" w:rsidP="00254EC9">
            <w:pPr>
              <w:pStyle w:val="Tabletext"/>
              <w:keepNext/>
              <w:keepLines/>
              <w:jc w:val="center"/>
            </w:pPr>
            <w:r w:rsidRPr="00F110C2">
              <w:t>−</w:t>
            </w:r>
            <w:r w:rsidR="00CD45DB" w:rsidRPr="00F110C2">
              <w:t xml:space="preserve">89 </w:t>
            </w:r>
            <w:r w:rsidR="009615D1" w:rsidRPr="00F110C2">
              <w:t>−</w:t>
            </w:r>
            <w:r w:rsidR="00CD45DB" w:rsidRPr="00F110C2">
              <w:t xml:space="preserve"> (</w:t>
            </w:r>
            <w:r w:rsidR="00CD45DB" w:rsidRPr="00F110C2">
              <w:rPr>
                <w:i/>
                <w:iCs/>
              </w:rPr>
              <w:t>P</w:t>
            </w:r>
            <w:r w:rsidR="00CD45DB" w:rsidRPr="00F110C2">
              <w:t xml:space="preserve"> </w:t>
            </w:r>
            <w:r w:rsidR="009615D1" w:rsidRPr="00F110C2">
              <w:t>−</w:t>
            </w:r>
            <w:r w:rsidR="00CD45DB" w:rsidRPr="00F110C2">
              <w:t xml:space="preserve"> 29)</w:t>
            </w:r>
          </w:p>
        </w:tc>
        <w:tc>
          <w:tcPr>
            <w:tcW w:w="2126" w:type="dxa"/>
          </w:tcPr>
          <w:p w14:paraId="1AC7C798" w14:textId="77777777" w:rsidR="00CD45DB" w:rsidRPr="00F110C2" w:rsidRDefault="00CD45DB" w:rsidP="00254EC9">
            <w:pPr>
              <w:pStyle w:val="Tabletext"/>
              <w:keepNext/>
              <w:keepLines/>
              <w:jc w:val="center"/>
            </w:pPr>
            <w:r w:rsidRPr="00F110C2">
              <w:t>29 &lt;</w:t>
            </w:r>
            <w:r w:rsidRPr="00F110C2">
              <w:tab/>
            </w:r>
            <w:r w:rsidRPr="00F110C2">
              <w:rPr>
                <w:i/>
                <w:iCs/>
              </w:rPr>
              <w:t>P</w:t>
            </w:r>
            <w:r w:rsidRPr="00F110C2">
              <w:t xml:space="preserve"> </w:t>
            </w:r>
            <w:r w:rsidRPr="00F110C2">
              <w:sym w:font="Symbol" w:char="F0A3"/>
            </w:r>
            <w:r w:rsidRPr="00F110C2">
              <w:t xml:space="preserve"> 39</w:t>
            </w:r>
          </w:p>
        </w:tc>
        <w:tc>
          <w:tcPr>
            <w:tcW w:w="3243" w:type="dxa"/>
          </w:tcPr>
          <w:p w14:paraId="7D40E2D7" w14:textId="59570608" w:rsidR="00CD45DB" w:rsidRPr="00F110C2" w:rsidRDefault="00F91EA9" w:rsidP="00254EC9">
            <w:pPr>
              <w:pStyle w:val="Tabletext"/>
              <w:keepNext/>
              <w:keepLines/>
              <w:jc w:val="center"/>
            </w:pPr>
            <w:r w:rsidRPr="00F110C2">
              <w:t>−</w:t>
            </w:r>
            <w:r w:rsidR="00CD45DB" w:rsidRPr="00F110C2">
              <w:t>16 dBm</w:t>
            </w:r>
          </w:p>
        </w:tc>
      </w:tr>
      <w:tr w:rsidR="00CD45DB" w:rsidRPr="00F110C2" w14:paraId="7B2DAD99" w14:textId="77777777" w:rsidTr="00F91EA9">
        <w:trPr>
          <w:jc w:val="center"/>
        </w:trPr>
        <w:tc>
          <w:tcPr>
            <w:tcW w:w="3386" w:type="dxa"/>
          </w:tcPr>
          <w:p w14:paraId="0A71172E" w14:textId="62D36E4F" w:rsidR="00CD45DB" w:rsidRPr="00F110C2" w:rsidRDefault="00F91EA9" w:rsidP="00254EC9">
            <w:pPr>
              <w:pStyle w:val="Tabletext"/>
              <w:jc w:val="center"/>
            </w:pPr>
            <w:r w:rsidRPr="00F110C2">
              <w:t>−</w:t>
            </w:r>
            <w:r w:rsidR="00CD45DB" w:rsidRPr="00F110C2">
              <w:t>99</w:t>
            </w:r>
          </w:p>
        </w:tc>
        <w:tc>
          <w:tcPr>
            <w:tcW w:w="2126" w:type="dxa"/>
          </w:tcPr>
          <w:p w14:paraId="2F92E6D3" w14:textId="77777777" w:rsidR="00CD45DB" w:rsidRPr="00F110C2" w:rsidRDefault="00CD45DB" w:rsidP="00254EC9">
            <w:pPr>
              <w:pStyle w:val="Tabletext"/>
              <w:jc w:val="center"/>
            </w:pPr>
            <w:r w:rsidRPr="00F110C2">
              <w:t>39 &lt;</w:t>
            </w:r>
            <w:r w:rsidRPr="00F110C2">
              <w:tab/>
            </w:r>
            <w:r w:rsidRPr="00F110C2">
              <w:rPr>
                <w:i/>
                <w:iCs/>
              </w:rPr>
              <w:t>P</w:t>
            </w:r>
            <w:r w:rsidRPr="00F110C2">
              <w:t xml:space="preserve"> </w:t>
            </w:r>
            <w:r w:rsidRPr="00F110C2">
              <w:sym w:font="Symbol" w:char="F0A3"/>
            </w:r>
            <w:r w:rsidRPr="00F110C2">
              <w:t xml:space="preserve"> 50</w:t>
            </w:r>
          </w:p>
        </w:tc>
        <w:tc>
          <w:tcPr>
            <w:tcW w:w="3243" w:type="dxa"/>
          </w:tcPr>
          <w:p w14:paraId="31ADFF73" w14:textId="77777777" w:rsidR="00CD45DB" w:rsidRPr="00F110C2" w:rsidRDefault="00CD45DB" w:rsidP="00254EC9">
            <w:pPr>
              <w:pStyle w:val="Tabletext"/>
              <w:jc w:val="center"/>
            </w:pPr>
            <w:r w:rsidRPr="00F110C2">
              <w:t>85 dBc</w:t>
            </w:r>
          </w:p>
        </w:tc>
      </w:tr>
      <w:tr w:rsidR="00CD45DB" w:rsidRPr="00F110C2" w14:paraId="689A5856" w14:textId="77777777" w:rsidTr="00F91EA9">
        <w:trPr>
          <w:jc w:val="center"/>
        </w:trPr>
        <w:tc>
          <w:tcPr>
            <w:tcW w:w="3386" w:type="dxa"/>
            <w:tcBorders>
              <w:bottom w:val="single" w:sz="4" w:space="0" w:color="auto"/>
            </w:tcBorders>
          </w:tcPr>
          <w:p w14:paraId="2269CA15" w14:textId="60A0606A" w:rsidR="00CD45DB" w:rsidRPr="00F110C2" w:rsidRDefault="00F91EA9" w:rsidP="00254EC9">
            <w:pPr>
              <w:pStyle w:val="Tabletext"/>
              <w:jc w:val="center"/>
            </w:pPr>
            <w:r w:rsidRPr="00F110C2">
              <w:t>−</w:t>
            </w:r>
            <w:r w:rsidR="00CD45DB" w:rsidRPr="00F110C2">
              <w:t xml:space="preserve">99 </w:t>
            </w:r>
            <w:r w:rsidR="009615D1" w:rsidRPr="00F110C2">
              <w:t>−</w:t>
            </w:r>
            <w:r w:rsidR="00CD45DB" w:rsidRPr="00F110C2">
              <w:t xml:space="preserve"> (</w:t>
            </w:r>
            <w:r w:rsidR="00CD45DB" w:rsidRPr="00F110C2">
              <w:rPr>
                <w:i/>
                <w:iCs/>
              </w:rPr>
              <w:t>P</w:t>
            </w:r>
            <w:r w:rsidR="00CD45DB" w:rsidRPr="00F110C2">
              <w:t xml:space="preserve"> </w:t>
            </w:r>
            <w:r w:rsidR="009615D1" w:rsidRPr="00F110C2">
              <w:t>−</w:t>
            </w:r>
            <w:r w:rsidR="00CD45DB" w:rsidRPr="00F110C2">
              <w:t xml:space="preserve"> 50)</w:t>
            </w:r>
          </w:p>
        </w:tc>
        <w:tc>
          <w:tcPr>
            <w:tcW w:w="2126" w:type="dxa"/>
            <w:tcBorders>
              <w:bottom w:val="single" w:sz="4" w:space="0" w:color="auto"/>
            </w:tcBorders>
          </w:tcPr>
          <w:p w14:paraId="4F7A5913" w14:textId="77777777" w:rsidR="00CD45DB" w:rsidRPr="00F110C2" w:rsidRDefault="00CD45DB" w:rsidP="00254EC9">
            <w:pPr>
              <w:pStyle w:val="Tabletext"/>
              <w:jc w:val="center"/>
            </w:pPr>
            <w:r w:rsidRPr="00F110C2">
              <w:t xml:space="preserve">50 </w:t>
            </w:r>
            <w:r w:rsidRPr="00F110C2">
              <w:sym w:font="Symbol" w:char="F0A3"/>
            </w:r>
            <w:r w:rsidRPr="00F110C2">
              <w:t> </w:t>
            </w:r>
            <w:r w:rsidRPr="00F110C2">
              <w:rPr>
                <w:i/>
                <w:iCs/>
              </w:rPr>
              <w:t>P</w:t>
            </w:r>
          </w:p>
        </w:tc>
        <w:tc>
          <w:tcPr>
            <w:tcW w:w="3243" w:type="dxa"/>
            <w:tcBorders>
              <w:bottom w:val="single" w:sz="4" w:space="0" w:color="auto"/>
            </w:tcBorders>
          </w:tcPr>
          <w:p w14:paraId="23B818C1" w14:textId="105A5FA7" w:rsidR="00CD45DB" w:rsidRPr="00F110C2" w:rsidRDefault="00F91EA9" w:rsidP="00254EC9">
            <w:pPr>
              <w:pStyle w:val="Tabletext"/>
              <w:jc w:val="center"/>
            </w:pPr>
            <w:r w:rsidRPr="00F110C2">
              <w:t>−</w:t>
            </w:r>
            <w:r w:rsidR="00CD45DB" w:rsidRPr="00F110C2">
              <w:t>5 dBm</w:t>
            </w:r>
          </w:p>
        </w:tc>
      </w:tr>
      <w:tr w:rsidR="00CD45DB" w:rsidRPr="00F110C2" w14:paraId="0516F058" w14:textId="77777777" w:rsidTr="00F91EA9">
        <w:trPr>
          <w:jc w:val="center"/>
        </w:trPr>
        <w:tc>
          <w:tcPr>
            <w:tcW w:w="8755" w:type="dxa"/>
            <w:gridSpan w:val="3"/>
            <w:tcBorders>
              <w:left w:val="nil"/>
              <w:bottom w:val="nil"/>
              <w:right w:val="nil"/>
            </w:tcBorders>
          </w:tcPr>
          <w:p w14:paraId="043BCC3D" w14:textId="2142E5B5" w:rsidR="00CD45DB" w:rsidRPr="00F110C2" w:rsidRDefault="00CD45DB" w:rsidP="00254EC9">
            <w:pPr>
              <w:pStyle w:val="Tabletext"/>
              <w:ind w:left="284" w:hanging="284"/>
            </w:pPr>
            <w:r w:rsidRPr="00F110C2">
              <w:rPr>
                <w:vertAlign w:val="superscript"/>
              </w:rPr>
              <w:t>(1)</w:t>
            </w:r>
            <w:r w:rsidRPr="00F110C2">
              <w:tab/>
              <w:t xml:space="preserve">La valeur du point le plus proche du point d'extrémité est supérieure de 8 dB à la valeur du point d'extrémité, toutes ces valeurs étant assujetties à une limite supérieure de </w:t>
            </w:r>
            <w:r w:rsidR="009615D1" w:rsidRPr="00F110C2">
              <w:t>−</w:t>
            </w:r>
            <w:r w:rsidRPr="00F110C2">
              <w:t>66,5 dB.</w:t>
            </w:r>
          </w:p>
        </w:tc>
      </w:tr>
    </w:tbl>
    <w:p w14:paraId="5C0F0B93" w14:textId="77777777" w:rsidR="00CD45DB" w:rsidRPr="00F110C2" w:rsidRDefault="00CD45DB" w:rsidP="00254EC9">
      <w:pPr>
        <w:pStyle w:val="Tablefin"/>
      </w:pPr>
    </w:p>
    <w:p w14:paraId="483BFBAA" w14:textId="77777777" w:rsidR="00CD45DB" w:rsidRPr="00F110C2" w:rsidRDefault="00CD45DB" w:rsidP="00254EC9">
      <w:pPr>
        <w:pStyle w:val="Heading2"/>
      </w:pPr>
      <w:r w:rsidRPr="00F110C2">
        <w:t>1.2</w:t>
      </w:r>
      <w:r w:rsidRPr="00F110C2">
        <w:tab/>
        <w:t>Systèmes ISDB-T avec canaux de 6 MHz</w:t>
      </w:r>
    </w:p>
    <w:p w14:paraId="40328CDD" w14:textId="77777777" w:rsidR="00CD45DB" w:rsidRPr="00F110C2" w:rsidRDefault="00CD45DB" w:rsidP="00254EC9">
      <w:r w:rsidRPr="00F110C2">
        <w:t xml:space="preserve">En ce qui concerne les systèmes ISDB-T avec canaux de 6 MHz, le domaine des émissions hors bande est compris entre </w:t>
      </w:r>
      <w:r w:rsidRPr="00F110C2">
        <w:sym w:font="Symbol" w:char="F0B1"/>
      </w:r>
      <w:r w:rsidRPr="00F110C2">
        <w:t xml:space="preserve">3 MHz (soit </w:t>
      </w:r>
      <w:r w:rsidRPr="00F110C2">
        <w:sym w:font="Symbol" w:char="F0B1"/>
      </w:r>
      <w:r w:rsidRPr="00F110C2">
        <w:t xml:space="preserve">0,5 × 6 MHz) et </w:t>
      </w:r>
      <w:r w:rsidRPr="00F110C2">
        <w:sym w:font="Symbol" w:char="F0B1"/>
      </w:r>
      <w:r w:rsidRPr="00F110C2">
        <w:t xml:space="preserve">15 MHz (soit </w:t>
      </w:r>
      <w:r w:rsidRPr="00F110C2">
        <w:sym w:font="Symbol" w:char="F0B1"/>
      </w:r>
      <w:r w:rsidRPr="00F110C2">
        <w:t>2,5 × 6 MHz) par rapport au centre du canal.</w:t>
      </w:r>
    </w:p>
    <w:p w14:paraId="6E52C789" w14:textId="77777777" w:rsidR="00CD45DB" w:rsidRPr="00F110C2" w:rsidRDefault="00CD45DB" w:rsidP="00254EC9">
      <w:r w:rsidRPr="00F110C2">
        <w:t>Le gabarit de limite spectrale pour les systèmes ISDB-T à 6 MHz est présenté à la Fig. 18. Les points de rupture correspondants sont indiqués dans le Tableau 7. Le niveau relatif de puissance est défini dans une largeur de bande de référence de 4 kHz. Le niveau de référence de 0 dB correspond à la puissance moyenne de sortie mesurée dans la largeur de bande du canal. Ces limites des émissions s'appliquent lorsque la puissance de l'émetteur est supérieure à 39 dBW.</w:t>
      </w:r>
    </w:p>
    <w:p w14:paraId="78BDB705" w14:textId="77777777" w:rsidR="00CD45DB" w:rsidRPr="00F110C2" w:rsidRDefault="00CD45DB" w:rsidP="00254EC9">
      <w:pPr>
        <w:pStyle w:val="FigureNo"/>
      </w:pPr>
      <w:r w:rsidRPr="00F110C2">
        <w:lastRenderedPageBreak/>
        <w:t>FIGURE 18</w:t>
      </w:r>
    </w:p>
    <w:p w14:paraId="21233C85" w14:textId="77777777" w:rsidR="00CD45DB" w:rsidRPr="00F110C2" w:rsidRDefault="00CD45DB" w:rsidP="00254EC9">
      <w:pPr>
        <w:pStyle w:val="Figuretitle"/>
        <w:keepLines/>
      </w:pPr>
      <w:r w:rsidRPr="00F110C2">
        <w:t xml:space="preserve">Gabarit de limite spectrale pour les systèmes ISDB-T à 6 MHz (pour &lt; </w:t>
      </w:r>
      <w:r w:rsidRPr="00F110C2">
        <w:rPr>
          <w:i/>
          <w:iCs/>
        </w:rPr>
        <w:t>P</w:t>
      </w:r>
      <w:r w:rsidRPr="00F110C2">
        <w:t xml:space="preserve"> &gt; 39 dBW)</w:t>
      </w:r>
    </w:p>
    <w:p w14:paraId="5FD57DFA" w14:textId="77777777" w:rsidR="00CD45DB" w:rsidRPr="00F110C2" w:rsidRDefault="00CD45DB" w:rsidP="00254EC9">
      <w:pPr>
        <w:pStyle w:val="Figure"/>
        <w:keepNext/>
      </w:pPr>
      <w:r w:rsidRPr="00F110C2">
        <w:drawing>
          <wp:inline distT="0" distB="0" distL="0" distR="0" wp14:anchorId="3F1B9609" wp14:editId="36128830">
            <wp:extent cx="5259841" cy="3221990"/>
            <wp:effectExtent l="0" t="0" r="0" b="2540"/>
            <wp:docPr id="676915287" name="Picture 17" descr="A graph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15287" name="Picture 17" descr="A graph with lines on it&#10;&#10;Description automatically generated"/>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t="3398" b="2124"/>
                    <a:stretch/>
                  </pic:blipFill>
                  <pic:spPr bwMode="auto">
                    <a:xfrm>
                      <a:off x="0" y="0"/>
                      <a:ext cx="5259841" cy="3221990"/>
                    </a:xfrm>
                    <a:prstGeom prst="rect">
                      <a:avLst/>
                    </a:prstGeom>
                    <a:noFill/>
                    <a:ln>
                      <a:noFill/>
                    </a:ln>
                    <a:extLst>
                      <a:ext uri="{53640926-AAD7-44D8-BBD7-CCE9431645EC}">
                        <a14:shadowObscured xmlns:a14="http://schemas.microsoft.com/office/drawing/2010/main"/>
                      </a:ext>
                    </a:extLst>
                  </pic:spPr>
                </pic:pic>
              </a:graphicData>
            </a:graphic>
          </wp:inline>
        </w:drawing>
      </w:r>
    </w:p>
    <w:p w14:paraId="1C4EBA7C" w14:textId="77777777" w:rsidR="00CD45DB" w:rsidRPr="00F110C2" w:rsidRDefault="00CD45DB" w:rsidP="00254EC9">
      <w:pPr>
        <w:pStyle w:val="TableNo"/>
      </w:pPr>
      <w:r w:rsidRPr="00F110C2">
        <w:t>TABLEAU 7</w:t>
      </w:r>
    </w:p>
    <w:p w14:paraId="1354F8A6" w14:textId="77777777" w:rsidR="00CD45DB" w:rsidRPr="00F110C2" w:rsidRDefault="00CD45DB" w:rsidP="00254EC9">
      <w:pPr>
        <w:pStyle w:val="Tabletitle"/>
      </w:pPr>
      <w:r w:rsidRPr="00F110C2">
        <w:t xml:space="preserve">Points de rupture pour les systèmes ISDB-T à 6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CD45DB" w:rsidRPr="00F110C2" w14:paraId="13D621BC" w14:textId="77777777" w:rsidTr="00F91EA9">
        <w:trPr>
          <w:tblHeader/>
          <w:jc w:val="center"/>
        </w:trPr>
        <w:tc>
          <w:tcPr>
            <w:tcW w:w="4536" w:type="dxa"/>
            <w:vAlign w:val="center"/>
          </w:tcPr>
          <w:p w14:paraId="3DD3A45D" w14:textId="77777777" w:rsidR="00CD45DB" w:rsidRPr="00F110C2" w:rsidRDefault="00CD45DB" w:rsidP="00254EC9">
            <w:pPr>
              <w:pStyle w:val="Tablehead"/>
            </w:pPr>
            <w:r w:rsidRPr="00F110C2">
              <w:t>Fréquence par rapport au centre</w:t>
            </w:r>
            <w:r w:rsidRPr="00F110C2">
              <w:br/>
              <w:t>du canal de 6 MHz</w:t>
            </w:r>
          </w:p>
        </w:tc>
        <w:tc>
          <w:tcPr>
            <w:tcW w:w="4536" w:type="dxa"/>
            <w:vAlign w:val="center"/>
          </w:tcPr>
          <w:p w14:paraId="7B555621" w14:textId="479EC65F" w:rsidR="00CD45DB" w:rsidRPr="00F110C2" w:rsidRDefault="00CD45DB" w:rsidP="00254EC9">
            <w:pPr>
              <w:pStyle w:val="Tablehead"/>
            </w:pPr>
            <w:r w:rsidRPr="00F110C2">
              <w:t>Niveau relatif dans une largeur de</w:t>
            </w:r>
            <w:r w:rsidRPr="00F110C2">
              <w:br/>
              <w:t>bande de référence de 4 kHz</w:t>
            </w:r>
            <w:r w:rsidR="00F91EA9" w:rsidRPr="00F110C2">
              <w:t xml:space="preserve"> </w:t>
            </w:r>
            <w:r w:rsidRPr="00F110C2">
              <w:t>(dB)</w:t>
            </w:r>
          </w:p>
        </w:tc>
      </w:tr>
      <w:tr w:rsidR="00CD45DB" w:rsidRPr="00F110C2" w14:paraId="7369D134" w14:textId="77777777" w:rsidTr="00F91EA9">
        <w:trPr>
          <w:jc w:val="center"/>
        </w:trPr>
        <w:tc>
          <w:tcPr>
            <w:tcW w:w="4536" w:type="dxa"/>
          </w:tcPr>
          <w:p w14:paraId="18D8D296" w14:textId="4083F9EE" w:rsidR="00CD45DB" w:rsidRPr="00F110C2" w:rsidRDefault="009615D1" w:rsidP="00254EC9">
            <w:pPr>
              <w:pStyle w:val="Tabletext"/>
              <w:jc w:val="center"/>
            </w:pPr>
            <w:r w:rsidRPr="00F110C2">
              <w:t>−</w:t>
            </w:r>
            <w:r w:rsidR="00CD45DB" w:rsidRPr="00F110C2">
              <w:t>15,0</w:t>
            </w:r>
          </w:p>
        </w:tc>
        <w:tc>
          <w:tcPr>
            <w:tcW w:w="4536" w:type="dxa"/>
          </w:tcPr>
          <w:p w14:paraId="51137B30" w14:textId="0B709FE9" w:rsidR="00CD45DB" w:rsidRPr="00F110C2" w:rsidRDefault="009615D1" w:rsidP="00254EC9">
            <w:pPr>
              <w:pStyle w:val="Tabletext"/>
              <w:jc w:val="center"/>
              <w:rPr>
                <w:snapToGrid w:val="0"/>
                <w:color w:val="000000"/>
                <w:lang w:eastAsia="fr-FR"/>
              </w:rPr>
            </w:pPr>
            <w:r w:rsidRPr="00F110C2">
              <w:t>−</w:t>
            </w:r>
            <w:r w:rsidR="00CD45DB" w:rsidRPr="00F110C2">
              <w:rPr>
                <w:snapToGrid w:val="0"/>
                <w:color w:val="000000"/>
                <w:lang w:eastAsia="fr-FR"/>
              </w:rPr>
              <w:t>81,4</w:t>
            </w:r>
          </w:p>
        </w:tc>
      </w:tr>
      <w:tr w:rsidR="00CD45DB" w:rsidRPr="00F110C2" w14:paraId="7E823508" w14:textId="77777777" w:rsidTr="00F91EA9">
        <w:trPr>
          <w:jc w:val="center"/>
        </w:trPr>
        <w:tc>
          <w:tcPr>
            <w:tcW w:w="4536" w:type="dxa"/>
          </w:tcPr>
          <w:p w14:paraId="3D8B9FE4" w14:textId="4CB34A2D" w:rsidR="00CD45DB" w:rsidRPr="00F110C2" w:rsidRDefault="009615D1" w:rsidP="00254EC9">
            <w:pPr>
              <w:pStyle w:val="Tabletext"/>
              <w:jc w:val="center"/>
            </w:pPr>
            <w:r w:rsidRPr="00F110C2">
              <w:t>−</w:t>
            </w:r>
            <w:r w:rsidR="00CD45DB" w:rsidRPr="00F110C2">
              <w:t>4,36</w:t>
            </w:r>
          </w:p>
        </w:tc>
        <w:tc>
          <w:tcPr>
            <w:tcW w:w="4536" w:type="dxa"/>
          </w:tcPr>
          <w:p w14:paraId="3081CC2A" w14:textId="28DB3613" w:rsidR="00CD45DB" w:rsidRPr="00F110C2" w:rsidRDefault="009615D1" w:rsidP="00254EC9">
            <w:pPr>
              <w:pStyle w:val="Tabletext"/>
              <w:jc w:val="center"/>
              <w:rPr>
                <w:snapToGrid w:val="0"/>
                <w:color w:val="000000"/>
                <w:lang w:eastAsia="fr-FR"/>
              </w:rPr>
            </w:pPr>
            <w:r w:rsidRPr="00F110C2">
              <w:t>−</w:t>
            </w:r>
            <w:r w:rsidR="00CD45DB" w:rsidRPr="00F110C2">
              <w:rPr>
                <w:snapToGrid w:val="0"/>
                <w:color w:val="000000"/>
                <w:lang w:eastAsia="fr-FR"/>
              </w:rPr>
              <w:t>81,4</w:t>
            </w:r>
          </w:p>
        </w:tc>
      </w:tr>
      <w:tr w:rsidR="00CD45DB" w:rsidRPr="00F110C2" w14:paraId="52337850" w14:textId="77777777" w:rsidTr="00F91EA9">
        <w:trPr>
          <w:jc w:val="center"/>
        </w:trPr>
        <w:tc>
          <w:tcPr>
            <w:tcW w:w="4536" w:type="dxa"/>
          </w:tcPr>
          <w:p w14:paraId="64396293" w14:textId="74B54F33" w:rsidR="00CD45DB" w:rsidRPr="00F110C2" w:rsidRDefault="009615D1" w:rsidP="00254EC9">
            <w:pPr>
              <w:pStyle w:val="Tabletext"/>
              <w:jc w:val="center"/>
            </w:pPr>
            <w:r w:rsidRPr="00F110C2">
              <w:t>−</w:t>
            </w:r>
            <w:r w:rsidR="00CD45DB" w:rsidRPr="00F110C2">
              <w:t>3,00</w:t>
            </w:r>
          </w:p>
        </w:tc>
        <w:tc>
          <w:tcPr>
            <w:tcW w:w="4536" w:type="dxa"/>
          </w:tcPr>
          <w:p w14:paraId="0887862F" w14:textId="6E640D0F" w:rsidR="00CD45DB" w:rsidRPr="00F110C2" w:rsidRDefault="009615D1" w:rsidP="00254EC9">
            <w:pPr>
              <w:pStyle w:val="Tabletext"/>
              <w:jc w:val="center"/>
              <w:rPr>
                <w:snapToGrid w:val="0"/>
                <w:color w:val="000000"/>
                <w:lang w:eastAsia="fr-FR"/>
              </w:rPr>
            </w:pPr>
            <w:r w:rsidRPr="00F110C2">
              <w:t>−</w:t>
            </w:r>
            <w:r w:rsidR="00CD45DB" w:rsidRPr="00F110C2">
              <w:rPr>
                <w:snapToGrid w:val="0"/>
                <w:color w:val="000000"/>
                <w:lang w:eastAsia="fr-FR"/>
              </w:rPr>
              <w:t>58,4</w:t>
            </w:r>
          </w:p>
        </w:tc>
      </w:tr>
      <w:tr w:rsidR="00CD45DB" w:rsidRPr="00F110C2" w14:paraId="3800B230" w14:textId="77777777" w:rsidTr="00F91EA9">
        <w:trPr>
          <w:jc w:val="center"/>
        </w:trPr>
        <w:tc>
          <w:tcPr>
            <w:tcW w:w="4536" w:type="dxa"/>
          </w:tcPr>
          <w:p w14:paraId="1B9B7A98" w14:textId="70AC8AED" w:rsidR="00CD45DB" w:rsidRPr="00F110C2" w:rsidRDefault="009615D1" w:rsidP="00254EC9">
            <w:pPr>
              <w:pStyle w:val="Tabletext"/>
              <w:jc w:val="center"/>
            </w:pPr>
            <w:r w:rsidRPr="00F110C2">
              <w:t>−</w:t>
            </w:r>
            <w:r w:rsidR="00CD45DB" w:rsidRPr="00F110C2">
              <w:t>2,86</w:t>
            </w:r>
          </w:p>
        </w:tc>
        <w:tc>
          <w:tcPr>
            <w:tcW w:w="4536" w:type="dxa"/>
          </w:tcPr>
          <w:p w14:paraId="36BAD16A" w14:textId="7D20DB82" w:rsidR="00CD45DB" w:rsidRPr="00F110C2" w:rsidRDefault="009615D1" w:rsidP="00254EC9">
            <w:pPr>
              <w:pStyle w:val="Tabletext"/>
              <w:jc w:val="center"/>
              <w:rPr>
                <w:snapToGrid w:val="0"/>
                <w:color w:val="000000"/>
                <w:lang w:eastAsia="fr-FR"/>
              </w:rPr>
            </w:pPr>
            <w:r w:rsidRPr="00F110C2">
              <w:t>−</w:t>
            </w:r>
            <w:r w:rsidR="00CD45DB" w:rsidRPr="00F110C2">
              <w:rPr>
                <w:snapToGrid w:val="0"/>
                <w:color w:val="000000"/>
                <w:lang w:eastAsia="fr-FR"/>
              </w:rPr>
              <w:t>51,4</w:t>
            </w:r>
          </w:p>
        </w:tc>
      </w:tr>
      <w:tr w:rsidR="00CD45DB" w:rsidRPr="00F110C2" w14:paraId="38060A44" w14:textId="77777777" w:rsidTr="00F91EA9">
        <w:trPr>
          <w:jc w:val="center"/>
        </w:trPr>
        <w:tc>
          <w:tcPr>
            <w:tcW w:w="4536" w:type="dxa"/>
          </w:tcPr>
          <w:p w14:paraId="0DC0BDBF" w14:textId="2E0B8B42" w:rsidR="00CD45DB" w:rsidRPr="00F110C2" w:rsidRDefault="009615D1" w:rsidP="00254EC9">
            <w:pPr>
              <w:pStyle w:val="Tabletext"/>
              <w:jc w:val="center"/>
            </w:pPr>
            <w:r w:rsidRPr="00F110C2">
              <w:t>−</w:t>
            </w:r>
            <w:r w:rsidR="00CD45DB" w:rsidRPr="00F110C2">
              <w:t>2,79</w:t>
            </w:r>
          </w:p>
        </w:tc>
        <w:tc>
          <w:tcPr>
            <w:tcW w:w="4536" w:type="dxa"/>
          </w:tcPr>
          <w:p w14:paraId="363C07DA" w14:textId="31D60A80" w:rsidR="00CD45DB" w:rsidRPr="00F110C2" w:rsidRDefault="009615D1" w:rsidP="00254EC9">
            <w:pPr>
              <w:pStyle w:val="Tabletext"/>
              <w:jc w:val="center"/>
              <w:rPr>
                <w:snapToGrid w:val="0"/>
                <w:color w:val="000000"/>
                <w:lang w:eastAsia="fr-FR"/>
              </w:rPr>
            </w:pPr>
            <w:r w:rsidRPr="00F110C2">
              <w:t>−</w:t>
            </w:r>
            <w:r w:rsidR="00CD45DB" w:rsidRPr="00F110C2">
              <w:rPr>
                <w:snapToGrid w:val="0"/>
                <w:color w:val="000000"/>
                <w:lang w:eastAsia="fr-FR"/>
              </w:rPr>
              <w:t>31,4</w:t>
            </w:r>
          </w:p>
        </w:tc>
      </w:tr>
      <w:tr w:rsidR="00CD45DB" w:rsidRPr="00F110C2" w14:paraId="5049742A" w14:textId="77777777" w:rsidTr="00F91EA9">
        <w:trPr>
          <w:jc w:val="center"/>
        </w:trPr>
        <w:tc>
          <w:tcPr>
            <w:tcW w:w="4536" w:type="dxa"/>
          </w:tcPr>
          <w:p w14:paraId="5AC4A4E6" w14:textId="77777777" w:rsidR="00CD45DB" w:rsidRPr="00F110C2" w:rsidRDefault="00CD45DB" w:rsidP="00254EC9">
            <w:pPr>
              <w:pStyle w:val="Tabletext"/>
              <w:jc w:val="center"/>
            </w:pPr>
            <w:r w:rsidRPr="00F110C2">
              <w:t>+2,79</w:t>
            </w:r>
          </w:p>
        </w:tc>
        <w:tc>
          <w:tcPr>
            <w:tcW w:w="4536" w:type="dxa"/>
          </w:tcPr>
          <w:p w14:paraId="44F6EF5C" w14:textId="4F858982" w:rsidR="00CD45DB" w:rsidRPr="00F110C2" w:rsidRDefault="009615D1" w:rsidP="00254EC9">
            <w:pPr>
              <w:pStyle w:val="Tabletext"/>
              <w:jc w:val="center"/>
              <w:rPr>
                <w:snapToGrid w:val="0"/>
                <w:color w:val="000000"/>
                <w:lang w:eastAsia="fr-FR"/>
              </w:rPr>
            </w:pPr>
            <w:r w:rsidRPr="00F110C2">
              <w:t>−</w:t>
            </w:r>
            <w:r w:rsidR="00CD45DB" w:rsidRPr="00F110C2">
              <w:rPr>
                <w:snapToGrid w:val="0"/>
                <w:color w:val="000000"/>
                <w:lang w:eastAsia="fr-FR"/>
              </w:rPr>
              <w:t>31,4</w:t>
            </w:r>
          </w:p>
        </w:tc>
      </w:tr>
      <w:tr w:rsidR="00CD45DB" w:rsidRPr="00F110C2" w14:paraId="0CE11D3C" w14:textId="77777777" w:rsidTr="00F91EA9">
        <w:trPr>
          <w:jc w:val="center"/>
        </w:trPr>
        <w:tc>
          <w:tcPr>
            <w:tcW w:w="4536" w:type="dxa"/>
          </w:tcPr>
          <w:p w14:paraId="2CFA3DA2" w14:textId="77777777" w:rsidR="00CD45DB" w:rsidRPr="00F110C2" w:rsidRDefault="00CD45DB" w:rsidP="00254EC9">
            <w:pPr>
              <w:pStyle w:val="Tabletext"/>
              <w:jc w:val="center"/>
            </w:pPr>
            <w:r w:rsidRPr="00F110C2">
              <w:t>+2,86</w:t>
            </w:r>
          </w:p>
        </w:tc>
        <w:tc>
          <w:tcPr>
            <w:tcW w:w="4536" w:type="dxa"/>
          </w:tcPr>
          <w:p w14:paraId="171B498B" w14:textId="7DD761F3" w:rsidR="00CD45DB" w:rsidRPr="00F110C2" w:rsidRDefault="009615D1" w:rsidP="00254EC9">
            <w:pPr>
              <w:pStyle w:val="Tabletext"/>
              <w:jc w:val="center"/>
              <w:rPr>
                <w:snapToGrid w:val="0"/>
                <w:color w:val="000000"/>
                <w:lang w:eastAsia="fr-FR"/>
              </w:rPr>
            </w:pPr>
            <w:r w:rsidRPr="00F110C2">
              <w:t>−</w:t>
            </w:r>
            <w:r w:rsidR="00CD45DB" w:rsidRPr="00F110C2">
              <w:rPr>
                <w:snapToGrid w:val="0"/>
                <w:color w:val="000000"/>
                <w:lang w:eastAsia="fr-FR"/>
              </w:rPr>
              <w:t>51,4</w:t>
            </w:r>
          </w:p>
        </w:tc>
      </w:tr>
      <w:tr w:rsidR="00CD45DB" w:rsidRPr="00F110C2" w14:paraId="11A00078" w14:textId="77777777" w:rsidTr="00F91EA9">
        <w:trPr>
          <w:jc w:val="center"/>
        </w:trPr>
        <w:tc>
          <w:tcPr>
            <w:tcW w:w="4536" w:type="dxa"/>
          </w:tcPr>
          <w:p w14:paraId="332B4211" w14:textId="77777777" w:rsidR="00CD45DB" w:rsidRPr="00F110C2" w:rsidRDefault="00CD45DB" w:rsidP="00254EC9">
            <w:pPr>
              <w:pStyle w:val="Tabletext"/>
              <w:jc w:val="center"/>
            </w:pPr>
            <w:r w:rsidRPr="00F110C2">
              <w:t>+300</w:t>
            </w:r>
          </w:p>
        </w:tc>
        <w:tc>
          <w:tcPr>
            <w:tcW w:w="4536" w:type="dxa"/>
          </w:tcPr>
          <w:p w14:paraId="1D9253A7" w14:textId="01AF29A0" w:rsidR="00CD45DB" w:rsidRPr="00F110C2" w:rsidRDefault="009615D1" w:rsidP="00254EC9">
            <w:pPr>
              <w:pStyle w:val="Tabletext"/>
              <w:jc w:val="center"/>
              <w:rPr>
                <w:snapToGrid w:val="0"/>
                <w:color w:val="000000"/>
                <w:lang w:eastAsia="fr-FR"/>
              </w:rPr>
            </w:pPr>
            <w:r w:rsidRPr="00F110C2">
              <w:t>−</w:t>
            </w:r>
            <w:r w:rsidR="00CD45DB" w:rsidRPr="00F110C2">
              <w:rPr>
                <w:snapToGrid w:val="0"/>
                <w:color w:val="000000"/>
                <w:lang w:eastAsia="fr-FR"/>
              </w:rPr>
              <w:t>58,4</w:t>
            </w:r>
          </w:p>
        </w:tc>
      </w:tr>
      <w:tr w:rsidR="00CD45DB" w:rsidRPr="00F110C2" w14:paraId="464B7E14" w14:textId="77777777" w:rsidTr="00F91EA9">
        <w:trPr>
          <w:jc w:val="center"/>
        </w:trPr>
        <w:tc>
          <w:tcPr>
            <w:tcW w:w="4536" w:type="dxa"/>
          </w:tcPr>
          <w:p w14:paraId="423EA40E" w14:textId="77777777" w:rsidR="00CD45DB" w:rsidRPr="00F110C2" w:rsidRDefault="00CD45DB" w:rsidP="00254EC9">
            <w:pPr>
              <w:pStyle w:val="Tabletext"/>
              <w:jc w:val="center"/>
            </w:pPr>
            <w:r w:rsidRPr="00F110C2">
              <w:t>+4,36</w:t>
            </w:r>
          </w:p>
        </w:tc>
        <w:tc>
          <w:tcPr>
            <w:tcW w:w="4536" w:type="dxa"/>
          </w:tcPr>
          <w:p w14:paraId="78288A38" w14:textId="220565BD" w:rsidR="00CD45DB" w:rsidRPr="00F110C2" w:rsidRDefault="009615D1" w:rsidP="00254EC9">
            <w:pPr>
              <w:pStyle w:val="Tabletext"/>
              <w:jc w:val="center"/>
              <w:rPr>
                <w:snapToGrid w:val="0"/>
                <w:color w:val="000000"/>
                <w:lang w:eastAsia="fr-FR"/>
              </w:rPr>
            </w:pPr>
            <w:r w:rsidRPr="00F110C2">
              <w:t>−</w:t>
            </w:r>
            <w:r w:rsidR="00CD45DB" w:rsidRPr="00F110C2">
              <w:rPr>
                <w:snapToGrid w:val="0"/>
                <w:color w:val="000000"/>
                <w:lang w:eastAsia="fr-FR"/>
              </w:rPr>
              <w:t>81,4</w:t>
            </w:r>
          </w:p>
        </w:tc>
      </w:tr>
      <w:tr w:rsidR="00CD45DB" w:rsidRPr="00F110C2" w14:paraId="1405A935" w14:textId="77777777" w:rsidTr="00F91EA9">
        <w:trPr>
          <w:jc w:val="center"/>
        </w:trPr>
        <w:tc>
          <w:tcPr>
            <w:tcW w:w="4536" w:type="dxa"/>
          </w:tcPr>
          <w:p w14:paraId="5930A94B" w14:textId="77777777" w:rsidR="00CD45DB" w:rsidRPr="00F110C2" w:rsidRDefault="00CD45DB" w:rsidP="00254EC9">
            <w:pPr>
              <w:pStyle w:val="Tabletext"/>
              <w:jc w:val="center"/>
            </w:pPr>
            <w:r w:rsidRPr="00F110C2">
              <w:t>+15,00</w:t>
            </w:r>
          </w:p>
        </w:tc>
        <w:tc>
          <w:tcPr>
            <w:tcW w:w="4536" w:type="dxa"/>
          </w:tcPr>
          <w:p w14:paraId="3ADB8EE5" w14:textId="1C6B4E3C" w:rsidR="00CD45DB" w:rsidRPr="00F110C2" w:rsidRDefault="009615D1" w:rsidP="00254EC9">
            <w:pPr>
              <w:pStyle w:val="Tabletext"/>
              <w:jc w:val="center"/>
              <w:rPr>
                <w:snapToGrid w:val="0"/>
                <w:color w:val="000000"/>
                <w:lang w:eastAsia="fr-FR"/>
              </w:rPr>
            </w:pPr>
            <w:r w:rsidRPr="00F110C2">
              <w:t>−</w:t>
            </w:r>
            <w:r w:rsidR="00CD45DB" w:rsidRPr="00F110C2">
              <w:rPr>
                <w:snapToGrid w:val="0"/>
                <w:color w:val="000000"/>
                <w:lang w:eastAsia="fr-FR"/>
              </w:rPr>
              <w:t>81,4</w:t>
            </w:r>
          </w:p>
        </w:tc>
      </w:tr>
    </w:tbl>
    <w:p w14:paraId="0142EBC7" w14:textId="77777777" w:rsidR="00F91EA9" w:rsidRPr="00F110C2" w:rsidRDefault="00F91EA9" w:rsidP="00254EC9">
      <w:pPr>
        <w:pStyle w:val="Tablefin"/>
      </w:pPr>
    </w:p>
    <w:p w14:paraId="38390AB4" w14:textId="7BAB9A14" w:rsidR="00CD45DB" w:rsidRPr="00F110C2" w:rsidRDefault="00CD45DB" w:rsidP="00254EC9">
      <w:pPr>
        <w:pStyle w:val="Heading2"/>
      </w:pPr>
      <w:r w:rsidRPr="00F110C2">
        <w:t>1.3</w:t>
      </w:r>
      <w:r w:rsidRPr="00F110C2">
        <w:tab/>
        <w:t>Systèmes DTMB avec canaux de 6 MHz</w:t>
      </w:r>
    </w:p>
    <w:p w14:paraId="7F5C7AEC" w14:textId="77777777" w:rsidR="00CD45DB" w:rsidRPr="00F110C2" w:rsidRDefault="00CD45DB" w:rsidP="00254EC9">
      <w:r w:rsidRPr="00F110C2">
        <w:t xml:space="preserve">En ce qui concerne les systèmes DTMB avec canaux de 6 MHz, le domaine des émissions hors bande est compris entre </w:t>
      </w:r>
      <w:r w:rsidRPr="00F110C2">
        <w:sym w:font="Symbol" w:char="F0B1"/>
      </w:r>
      <w:r w:rsidRPr="00F110C2">
        <w:t xml:space="preserve">3 MHz (soit </w:t>
      </w:r>
      <w:r w:rsidRPr="00F110C2">
        <w:sym w:font="Symbol" w:char="F0B1"/>
      </w:r>
      <w:r w:rsidRPr="00F110C2">
        <w:t xml:space="preserve">0,5 × 6 MHz) et </w:t>
      </w:r>
      <w:r w:rsidRPr="00F110C2">
        <w:sym w:font="Symbol" w:char="F0B1"/>
      </w:r>
      <w:r w:rsidRPr="00F110C2">
        <w:t xml:space="preserve">15 MHz (soit </w:t>
      </w:r>
      <w:r w:rsidRPr="00F110C2">
        <w:sym w:font="Symbol" w:char="F0B1"/>
      </w:r>
      <w:r w:rsidRPr="00F110C2">
        <w:t>2,5 × 6 MHz) par rapport au centre du canal.</w:t>
      </w:r>
    </w:p>
    <w:p w14:paraId="19E4A048" w14:textId="77777777" w:rsidR="00CD45DB" w:rsidRPr="00F110C2" w:rsidRDefault="00CD45DB" w:rsidP="00254EC9">
      <w:pPr>
        <w:widowControl w:val="0"/>
      </w:pPr>
      <w:r w:rsidRPr="00F110C2">
        <w:t>Le gabarit de limite spectrale pour les systèmes DTMB à 6 MHz est présenté à la Fig. 19. Les points de rupture correspondants sont indiqués dans le Tableau 8. Le niveau relatif de puissance est défini dans une largeur de bande de référence de 4 kHz. Le niveau de référence de 0 dB correspond à la puissance moyenne de sortie mesurée dans la largeur de bande du canal. Ces limites des émissions s'appliquent lorsque la puissance de l'émetteur est supérieure à 39 dBW.</w:t>
      </w:r>
    </w:p>
    <w:p w14:paraId="72E59709" w14:textId="77777777" w:rsidR="00CD45DB" w:rsidRPr="00F110C2" w:rsidRDefault="00CD45DB" w:rsidP="00254EC9">
      <w:pPr>
        <w:pStyle w:val="FigureNo"/>
        <w:keepNext w:val="0"/>
        <w:keepLines w:val="0"/>
        <w:widowControl w:val="0"/>
      </w:pPr>
      <w:r w:rsidRPr="00F110C2">
        <w:lastRenderedPageBreak/>
        <w:t>FIGURE 19</w:t>
      </w:r>
    </w:p>
    <w:p w14:paraId="6CE02CE7" w14:textId="77777777" w:rsidR="00CD45DB" w:rsidRPr="00F110C2" w:rsidRDefault="00CD45DB" w:rsidP="00254EC9">
      <w:pPr>
        <w:pStyle w:val="Figuretitle"/>
        <w:keepNext w:val="0"/>
        <w:widowControl w:val="0"/>
      </w:pPr>
      <w:r w:rsidRPr="00F110C2">
        <w:t>Gabarit de limite spectrale pour les systèmes D (DTMB) à 6 MHz</w:t>
      </w:r>
    </w:p>
    <w:p w14:paraId="6F2784D7" w14:textId="77777777" w:rsidR="00CD45DB" w:rsidRPr="00F110C2" w:rsidRDefault="00CD45DB" w:rsidP="00254EC9">
      <w:pPr>
        <w:pStyle w:val="Figure"/>
        <w:keepLines w:val="0"/>
        <w:widowControl w:val="0"/>
      </w:pPr>
      <w:r w:rsidRPr="00F110C2">
        <w:drawing>
          <wp:inline distT="0" distB="0" distL="0" distR="0" wp14:anchorId="5C1EB447" wp14:editId="233FBD77">
            <wp:extent cx="5934454" cy="3135086"/>
            <wp:effectExtent l="0" t="0" r="9525" b="8255"/>
            <wp:docPr id="1287841847" name="Picture 18" descr="A graph with line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41847" name="Picture 18" descr="A graph with lines in the middle&#10;&#10;Description automatically generated"/>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t="4383" b="2813"/>
                    <a:stretch/>
                  </pic:blipFill>
                  <pic:spPr bwMode="auto">
                    <a:xfrm>
                      <a:off x="0" y="0"/>
                      <a:ext cx="5938073" cy="3136998"/>
                    </a:xfrm>
                    <a:prstGeom prst="rect">
                      <a:avLst/>
                    </a:prstGeom>
                    <a:noFill/>
                    <a:ln>
                      <a:noFill/>
                    </a:ln>
                    <a:extLst>
                      <a:ext uri="{53640926-AAD7-44D8-BBD7-CCE9431645EC}">
                        <a14:shadowObscured xmlns:a14="http://schemas.microsoft.com/office/drawing/2010/main"/>
                      </a:ext>
                    </a:extLst>
                  </pic:spPr>
                </pic:pic>
              </a:graphicData>
            </a:graphic>
          </wp:inline>
        </w:drawing>
      </w:r>
    </w:p>
    <w:p w14:paraId="5A200DBC" w14:textId="77777777" w:rsidR="00CD45DB" w:rsidRPr="00F110C2" w:rsidRDefault="00CD45DB" w:rsidP="00254EC9">
      <w:pPr>
        <w:pStyle w:val="TableNo"/>
      </w:pPr>
      <w:r w:rsidRPr="00F110C2">
        <w:t>TABLEAU 8</w:t>
      </w:r>
    </w:p>
    <w:p w14:paraId="1ABBD937" w14:textId="77777777" w:rsidR="00CD45DB" w:rsidRPr="00F110C2" w:rsidRDefault="00CD45DB" w:rsidP="00254EC9">
      <w:pPr>
        <w:pStyle w:val="Tabletitle"/>
      </w:pPr>
      <w:r w:rsidRPr="00F110C2">
        <w:t xml:space="preserve">Tableau des points de rupture correspondant à la Fig. 19 </w:t>
      </w:r>
      <w:r w:rsidRPr="00F110C2">
        <w:br/>
        <w:t>pour les systèmes D (DTMB) avec canaux de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4"/>
        <w:gridCol w:w="4915"/>
      </w:tblGrid>
      <w:tr w:rsidR="00CD45DB" w:rsidRPr="00F110C2" w14:paraId="32C155D9" w14:textId="77777777" w:rsidTr="00F91EA9">
        <w:trPr>
          <w:tblHeader/>
          <w:jc w:val="center"/>
        </w:trPr>
        <w:tc>
          <w:tcPr>
            <w:tcW w:w="3402" w:type="dxa"/>
            <w:vAlign w:val="center"/>
          </w:tcPr>
          <w:p w14:paraId="3388C662" w14:textId="4EB746CF" w:rsidR="00CD45DB" w:rsidRPr="00F110C2" w:rsidRDefault="00CD45DB" w:rsidP="00254EC9">
            <w:pPr>
              <w:pStyle w:val="Tablehead"/>
            </w:pPr>
            <w:r w:rsidRPr="00F110C2">
              <w:t xml:space="preserve">Fréquence par rapport au centre </w:t>
            </w:r>
            <w:r w:rsidR="00F91EA9" w:rsidRPr="00F110C2">
              <w:br/>
            </w:r>
            <w:r w:rsidRPr="00F110C2">
              <w:t>du canal de 8 MHz (MHz)</w:t>
            </w:r>
          </w:p>
        </w:tc>
        <w:tc>
          <w:tcPr>
            <w:tcW w:w="3539" w:type="dxa"/>
            <w:vAlign w:val="center"/>
          </w:tcPr>
          <w:p w14:paraId="212F684F" w14:textId="66624694" w:rsidR="00CD45DB" w:rsidRPr="00F110C2" w:rsidRDefault="00CD45DB" w:rsidP="00254EC9">
            <w:pPr>
              <w:pStyle w:val="Tablehead"/>
            </w:pPr>
            <w:r w:rsidRPr="00F110C2">
              <w:t xml:space="preserve">Niveau relatif dans une largeur de bande </w:t>
            </w:r>
            <w:r w:rsidR="00F91EA9" w:rsidRPr="00F110C2">
              <w:br/>
            </w:r>
            <w:r w:rsidRPr="00F110C2">
              <w:t>de mesure de 4 kHz (dB)</w:t>
            </w:r>
          </w:p>
        </w:tc>
      </w:tr>
      <w:tr w:rsidR="00CD45DB" w:rsidRPr="00F110C2" w14:paraId="54D9586A" w14:textId="77777777" w:rsidTr="00F91EA9">
        <w:trPr>
          <w:jc w:val="center"/>
        </w:trPr>
        <w:tc>
          <w:tcPr>
            <w:tcW w:w="3402" w:type="dxa"/>
            <w:vAlign w:val="center"/>
          </w:tcPr>
          <w:p w14:paraId="3E0733AF" w14:textId="671A42D2" w:rsidR="00CD45DB" w:rsidRPr="00F110C2" w:rsidRDefault="009615D1" w:rsidP="00254EC9">
            <w:pPr>
              <w:pStyle w:val="Tabletext"/>
              <w:jc w:val="center"/>
            </w:pPr>
            <w:r w:rsidRPr="00F110C2">
              <w:t>−</w:t>
            </w:r>
            <w:r w:rsidR="00CD45DB" w:rsidRPr="00F110C2">
              <w:t>15</w:t>
            </w:r>
          </w:p>
        </w:tc>
        <w:tc>
          <w:tcPr>
            <w:tcW w:w="3539" w:type="dxa"/>
          </w:tcPr>
          <w:p w14:paraId="35568FD9" w14:textId="266F7478" w:rsidR="00CD45DB" w:rsidRPr="00F110C2" w:rsidRDefault="009615D1" w:rsidP="00254EC9">
            <w:pPr>
              <w:pStyle w:val="Tabletext"/>
              <w:jc w:val="center"/>
            </w:pPr>
            <w:r w:rsidRPr="00F110C2">
              <w:t>−</w:t>
            </w:r>
            <w:r w:rsidR="00CD45DB" w:rsidRPr="00F110C2">
              <w:t>85</w:t>
            </w:r>
          </w:p>
        </w:tc>
      </w:tr>
      <w:tr w:rsidR="00CD45DB" w:rsidRPr="00F110C2" w14:paraId="4FD26635" w14:textId="77777777" w:rsidTr="00F91EA9">
        <w:trPr>
          <w:jc w:val="center"/>
        </w:trPr>
        <w:tc>
          <w:tcPr>
            <w:tcW w:w="3402" w:type="dxa"/>
            <w:vAlign w:val="center"/>
          </w:tcPr>
          <w:p w14:paraId="3121B985" w14:textId="05F623F9" w:rsidR="00CD45DB" w:rsidRPr="00F110C2" w:rsidRDefault="009615D1" w:rsidP="00254EC9">
            <w:pPr>
              <w:pStyle w:val="Tabletext"/>
              <w:jc w:val="center"/>
            </w:pPr>
            <w:r w:rsidRPr="00F110C2">
              <w:t>−</w:t>
            </w:r>
            <w:r w:rsidR="00CD45DB" w:rsidRPr="00F110C2">
              <w:t>9</w:t>
            </w:r>
          </w:p>
        </w:tc>
        <w:tc>
          <w:tcPr>
            <w:tcW w:w="3539" w:type="dxa"/>
          </w:tcPr>
          <w:p w14:paraId="75D6E314" w14:textId="6BBDF64E" w:rsidR="00CD45DB" w:rsidRPr="00F110C2" w:rsidRDefault="009615D1" w:rsidP="00254EC9">
            <w:pPr>
              <w:pStyle w:val="Tabletext"/>
              <w:jc w:val="center"/>
            </w:pPr>
            <w:r w:rsidRPr="00F110C2">
              <w:t>−</w:t>
            </w:r>
            <w:r w:rsidR="00CD45DB" w:rsidRPr="00F110C2">
              <w:t>85</w:t>
            </w:r>
          </w:p>
        </w:tc>
      </w:tr>
      <w:tr w:rsidR="00CD45DB" w:rsidRPr="00F110C2" w14:paraId="279C23BA" w14:textId="77777777" w:rsidTr="00F91EA9">
        <w:trPr>
          <w:jc w:val="center"/>
        </w:trPr>
        <w:tc>
          <w:tcPr>
            <w:tcW w:w="3402" w:type="dxa"/>
            <w:vAlign w:val="center"/>
          </w:tcPr>
          <w:p w14:paraId="55A7E77A" w14:textId="7B123780" w:rsidR="00CD45DB" w:rsidRPr="00F110C2" w:rsidRDefault="009615D1" w:rsidP="00254EC9">
            <w:pPr>
              <w:pStyle w:val="Tabletext"/>
              <w:jc w:val="center"/>
            </w:pPr>
            <w:r w:rsidRPr="00F110C2">
              <w:t>−</w:t>
            </w:r>
            <w:r w:rsidR="00CD45DB" w:rsidRPr="00F110C2">
              <w:t>4,5</w:t>
            </w:r>
          </w:p>
        </w:tc>
        <w:tc>
          <w:tcPr>
            <w:tcW w:w="3539" w:type="dxa"/>
            <w:vAlign w:val="center"/>
          </w:tcPr>
          <w:p w14:paraId="25682690" w14:textId="5A2A2969" w:rsidR="00CD45DB" w:rsidRPr="00F110C2" w:rsidRDefault="009615D1" w:rsidP="00254EC9">
            <w:pPr>
              <w:pStyle w:val="Tabletext"/>
              <w:jc w:val="center"/>
            </w:pPr>
            <w:r w:rsidRPr="00F110C2">
              <w:t>−</w:t>
            </w:r>
            <w:r w:rsidR="00CD45DB" w:rsidRPr="00F110C2">
              <w:t>85</w:t>
            </w:r>
          </w:p>
        </w:tc>
      </w:tr>
      <w:tr w:rsidR="00CD45DB" w:rsidRPr="00F110C2" w14:paraId="602FBE42" w14:textId="77777777" w:rsidTr="00F91EA9">
        <w:trPr>
          <w:jc w:val="center"/>
        </w:trPr>
        <w:tc>
          <w:tcPr>
            <w:tcW w:w="3402" w:type="dxa"/>
            <w:vAlign w:val="center"/>
          </w:tcPr>
          <w:p w14:paraId="2C136000" w14:textId="386D608D" w:rsidR="00CD45DB" w:rsidRPr="00F110C2" w:rsidRDefault="009615D1" w:rsidP="00254EC9">
            <w:pPr>
              <w:pStyle w:val="Tabletext"/>
              <w:jc w:val="center"/>
            </w:pPr>
            <w:r w:rsidRPr="00F110C2">
              <w:t>−</w:t>
            </w:r>
            <w:r w:rsidR="00CD45DB" w:rsidRPr="00F110C2">
              <w:t>3,15</w:t>
            </w:r>
          </w:p>
        </w:tc>
        <w:tc>
          <w:tcPr>
            <w:tcW w:w="3539" w:type="dxa"/>
            <w:vAlign w:val="center"/>
          </w:tcPr>
          <w:p w14:paraId="7E56BA23" w14:textId="2EA92F27" w:rsidR="00CD45DB" w:rsidRPr="00F110C2" w:rsidRDefault="009615D1" w:rsidP="00254EC9">
            <w:pPr>
              <w:pStyle w:val="Tabletext"/>
              <w:jc w:val="center"/>
            </w:pPr>
            <w:r w:rsidRPr="00F110C2">
              <w:t>−</w:t>
            </w:r>
            <w:r w:rsidR="00CD45DB" w:rsidRPr="00F110C2">
              <w:t>73</w:t>
            </w:r>
          </w:p>
        </w:tc>
      </w:tr>
      <w:tr w:rsidR="00CD45DB" w:rsidRPr="00F110C2" w14:paraId="6F57B97B" w14:textId="77777777" w:rsidTr="00F91EA9">
        <w:trPr>
          <w:jc w:val="center"/>
        </w:trPr>
        <w:tc>
          <w:tcPr>
            <w:tcW w:w="3402" w:type="dxa"/>
            <w:vAlign w:val="center"/>
          </w:tcPr>
          <w:p w14:paraId="22A2D966" w14:textId="4E1E0554" w:rsidR="00CD45DB" w:rsidRPr="00F110C2" w:rsidRDefault="009615D1" w:rsidP="00254EC9">
            <w:pPr>
              <w:pStyle w:val="Tabletext"/>
              <w:jc w:val="center"/>
            </w:pPr>
            <w:r w:rsidRPr="00F110C2">
              <w:t>−</w:t>
            </w:r>
            <w:r w:rsidR="00CD45DB" w:rsidRPr="00F110C2">
              <w:t>2,85</w:t>
            </w:r>
          </w:p>
        </w:tc>
        <w:tc>
          <w:tcPr>
            <w:tcW w:w="3539" w:type="dxa"/>
            <w:vAlign w:val="center"/>
          </w:tcPr>
          <w:p w14:paraId="5C7AD55A" w14:textId="72FC0015" w:rsidR="00CD45DB" w:rsidRPr="00F110C2" w:rsidRDefault="009615D1" w:rsidP="00254EC9">
            <w:pPr>
              <w:pStyle w:val="Tabletext"/>
              <w:jc w:val="center"/>
            </w:pPr>
            <w:r w:rsidRPr="00F110C2">
              <w:t>−</w:t>
            </w:r>
            <w:r w:rsidR="00CD45DB" w:rsidRPr="00F110C2">
              <w:t>31,4</w:t>
            </w:r>
          </w:p>
        </w:tc>
      </w:tr>
      <w:tr w:rsidR="00CD45DB" w:rsidRPr="00F110C2" w14:paraId="11F1FE8D" w14:textId="77777777" w:rsidTr="00F91EA9">
        <w:trPr>
          <w:jc w:val="center"/>
        </w:trPr>
        <w:tc>
          <w:tcPr>
            <w:tcW w:w="3402" w:type="dxa"/>
            <w:vAlign w:val="center"/>
          </w:tcPr>
          <w:p w14:paraId="13739115" w14:textId="77777777" w:rsidR="00CD45DB" w:rsidRPr="00F110C2" w:rsidRDefault="00CD45DB" w:rsidP="00254EC9">
            <w:pPr>
              <w:pStyle w:val="Tabletext"/>
              <w:jc w:val="center"/>
            </w:pPr>
            <w:r w:rsidRPr="00F110C2">
              <w:t>2,85</w:t>
            </w:r>
          </w:p>
        </w:tc>
        <w:tc>
          <w:tcPr>
            <w:tcW w:w="3539" w:type="dxa"/>
            <w:vAlign w:val="center"/>
          </w:tcPr>
          <w:p w14:paraId="53918D99" w14:textId="28E5B3D1" w:rsidR="00CD45DB" w:rsidRPr="00F110C2" w:rsidRDefault="009615D1" w:rsidP="00254EC9">
            <w:pPr>
              <w:pStyle w:val="Tabletext"/>
              <w:jc w:val="center"/>
            </w:pPr>
            <w:r w:rsidRPr="00F110C2">
              <w:t>−</w:t>
            </w:r>
            <w:r w:rsidR="00CD45DB" w:rsidRPr="00F110C2">
              <w:t>31,4</w:t>
            </w:r>
          </w:p>
        </w:tc>
      </w:tr>
      <w:tr w:rsidR="00CD45DB" w:rsidRPr="00F110C2" w14:paraId="56CBC8A4" w14:textId="77777777" w:rsidTr="00F91EA9">
        <w:trPr>
          <w:jc w:val="center"/>
        </w:trPr>
        <w:tc>
          <w:tcPr>
            <w:tcW w:w="3402" w:type="dxa"/>
            <w:vAlign w:val="center"/>
          </w:tcPr>
          <w:p w14:paraId="0BBF2425" w14:textId="77777777" w:rsidR="00CD45DB" w:rsidRPr="00F110C2" w:rsidRDefault="00CD45DB" w:rsidP="00254EC9">
            <w:pPr>
              <w:pStyle w:val="Tabletext"/>
              <w:jc w:val="center"/>
            </w:pPr>
            <w:r w:rsidRPr="00F110C2">
              <w:t>3,15</w:t>
            </w:r>
          </w:p>
        </w:tc>
        <w:tc>
          <w:tcPr>
            <w:tcW w:w="3539" w:type="dxa"/>
            <w:vAlign w:val="center"/>
          </w:tcPr>
          <w:p w14:paraId="3EDA4668" w14:textId="468001BB" w:rsidR="00CD45DB" w:rsidRPr="00F110C2" w:rsidRDefault="009615D1" w:rsidP="00254EC9">
            <w:pPr>
              <w:pStyle w:val="Tabletext"/>
              <w:jc w:val="center"/>
            </w:pPr>
            <w:r w:rsidRPr="00F110C2">
              <w:t>−</w:t>
            </w:r>
            <w:r w:rsidR="00CD45DB" w:rsidRPr="00F110C2">
              <w:t>73</w:t>
            </w:r>
          </w:p>
        </w:tc>
      </w:tr>
      <w:tr w:rsidR="00CD45DB" w:rsidRPr="00F110C2" w14:paraId="4FE20EEE" w14:textId="77777777" w:rsidTr="00F91EA9">
        <w:trPr>
          <w:jc w:val="center"/>
        </w:trPr>
        <w:tc>
          <w:tcPr>
            <w:tcW w:w="3402" w:type="dxa"/>
            <w:vAlign w:val="center"/>
          </w:tcPr>
          <w:p w14:paraId="62DD12A5" w14:textId="77777777" w:rsidR="00CD45DB" w:rsidRPr="00F110C2" w:rsidRDefault="00CD45DB" w:rsidP="00254EC9">
            <w:pPr>
              <w:pStyle w:val="Tabletext"/>
              <w:jc w:val="center"/>
            </w:pPr>
            <w:r w:rsidRPr="00F110C2">
              <w:t>4,5</w:t>
            </w:r>
          </w:p>
        </w:tc>
        <w:tc>
          <w:tcPr>
            <w:tcW w:w="3539" w:type="dxa"/>
            <w:vAlign w:val="center"/>
          </w:tcPr>
          <w:p w14:paraId="56212054" w14:textId="2286BEAF" w:rsidR="00CD45DB" w:rsidRPr="00F110C2" w:rsidRDefault="009615D1" w:rsidP="00254EC9">
            <w:pPr>
              <w:pStyle w:val="Tabletext"/>
              <w:jc w:val="center"/>
            </w:pPr>
            <w:r w:rsidRPr="00F110C2">
              <w:t>−</w:t>
            </w:r>
            <w:r w:rsidR="00CD45DB" w:rsidRPr="00F110C2">
              <w:t>85</w:t>
            </w:r>
          </w:p>
        </w:tc>
      </w:tr>
      <w:tr w:rsidR="00CD45DB" w:rsidRPr="00F110C2" w14:paraId="02B5B187" w14:textId="77777777" w:rsidTr="00F91EA9">
        <w:trPr>
          <w:jc w:val="center"/>
        </w:trPr>
        <w:tc>
          <w:tcPr>
            <w:tcW w:w="3402" w:type="dxa"/>
            <w:vAlign w:val="center"/>
          </w:tcPr>
          <w:p w14:paraId="2E63A730" w14:textId="77777777" w:rsidR="00CD45DB" w:rsidRPr="00F110C2" w:rsidRDefault="00CD45DB" w:rsidP="00254EC9">
            <w:pPr>
              <w:pStyle w:val="Tabletext"/>
              <w:jc w:val="center"/>
            </w:pPr>
            <w:r w:rsidRPr="00F110C2">
              <w:t>9</w:t>
            </w:r>
          </w:p>
        </w:tc>
        <w:tc>
          <w:tcPr>
            <w:tcW w:w="3539" w:type="dxa"/>
          </w:tcPr>
          <w:p w14:paraId="4011B767" w14:textId="1A4F0A6B" w:rsidR="00CD45DB" w:rsidRPr="00F110C2" w:rsidRDefault="009615D1" w:rsidP="00254EC9">
            <w:pPr>
              <w:pStyle w:val="Tabletext"/>
              <w:jc w:val="center"/>
            </w:pPr>
            <w:r w:rsidRPr="00F110C2">
              <w:t>−</w:t>
            </w:r>
            <w:r w:rsidR="00CD45DB" w:rsidRPr="00F110C2">
              <w:t>85</w:t>
            </w:r>
          </w:p>
        </w:tc>
      </w:tr>
      <w:tr w:rsidR="00CD45DB" w:rsidRPr="00F110C2" w14:paraId="06ED6534" w14:textId="77777777" w:rsidTr="00F91EA9">
        <w:trPr>
          <w:jc w:val="center"/>
        </w:trPr>
        <w:tc>
          <w:tcPr>
            <w:tcW w:w="3402" w:type="dxa"/>
            <w:vAlign w:val="center"/>
          </w:tcPr>
          <w:p w14:paraId="0F6849FC" w14:textId="77777777" w:rsidR="00CD45DB" w:rsidRPr="00F110C2" w:rsidRDefault="00CD45DB" w:rsidP="00254EC9">
            <w:pPr>
              <w:pStyle w:val="Tabletext"/>
              <w:jc w:val="center"/>
            </w:pPr>
            <w:r w:rsidRPr="00F110C2">
              <w:t>15</w:t>
            </w:r>
          </w:p>
        </w:tc>
        <w:tc>
          <w:tcPr>
            <w:tcW w:w="3539" w:type="dxa"/>
          </w:tcPr>
          <w:p w14:paraId="2EEAF608" w14:textId="3450068F" w:rsidR="00CD45DB" w:rsidRPr="00F110C2" w:rsidRDefault="009615D1" w:rsidP="00254EC9">
            <w:pPr>
              <w:pStyle w:val="Tabletext"/>
              <w:jc w:val="center"/>
            </w:pPr>
            <w:r w:rsidRPr="00F110C2">
              <w:t>−</w:t>
            </w:r>
            <w:r w:rsidR="00CD45DB" w:rsidRPr="00F110C2">
              <w:t>85</w:t>
            </w:r>
          </w:p>
        </w:tc>
      </w:tr>
    </w:tbl>
    <w:p w14:paraId="3EDE5453" w14:textId="77777777" w:rsidR="00F91EA9" w:rsidRPr="00F110C2" w:rsidRDefault="00F91EA9" w:rsidP="00254EC9">
      <w:pPr>
        <w:pStyle w:val="Tablefin"/>
      </w:pPr>
    </w:p>
    <w:p w14:paraId="5C503CA1" w14:textId="08A862AE" w:rsidR="00CD45DB" w:rsidRPr="00F110C2" w:rsidRDefault="00CD45DB" w:rsidP="00254EC9">
      <w:pPr>
        <w:pStyle w:val="Heading2"/>
      </w:pPr>
      <w:r w:rsidRPr="00F110C2">
        <w:t>1.4</w:t>
      </w:r>
      <w:r w:rsidRPr="00F110C2">
        <w:tab/>
        <w:t>Autres systèmes de télévision numérique à 6 MHz</w:t>
      </w:r>
    </w:p>
    <w:p w14:paraId="0D32C3EF" w14:textId="77777777" w:rsidR="00CD45DB" w:rsidRPr="00F110C2" w:rsidRDefault="00CD45DB" w:rsidP="00254EC9">
      <w:r w:rsidRPr="00F110C2">
        <w:t>Les limites des émissions dans le domaine hors bande pour d'autres systèmes de télévision numérique à 6 MHz devraient être fondées sur la réglementation nationale des pays utilisant de tels systèmes.</w:t>
      </w:r>
    </w:p>
    <w:p w14:paraId="6F935A53" w14:textId="77777777" w:rsidR="00CD45DB" w:rsidRPr="00F110C2" w:rsidRDefault="00CD45DB" w:rsidP="00254EC9">
      <w:pPr>
        <w:pStyle w:val="Heading1"/>
      </w:pPr>
      <w:r w:rsidRPr="00F110C2">
        <w:lastRenderedPageBreak/>
        <w:t>2</w:t>
      </w:r>
      <w:r w:rsidRPr="00F110C2">
        <w:tab/>
        <w:t>Gabarits spectraux pour les systèmes de télévision analogique ou numérique avec canaux de 7 ou 8 MHz</w:t>
      </w:r>
    </w:p>
    <w:p w14:paraId="02FD0C54" w14:textId="77777777" w:rsidR="00CD45DB" w:rsidRPr="00F110C2" w:rsidRDefault="00CD45DB" w:rsidP="00254EC9">
      <w:pPr>
        <w:pStyle w:val="Heading2"/>
      </w:pPr>
      <w:r w:rsidRPr="00F110C2">
        <w:t>2.1</w:t>
      </w:r>
      <w:r w:rsidRPr="00F110C2">
        <w:tab/>
        <w:t>Systèmes de télévision analogique</w:t>
      </w:r>
    </w:p>
    <w:p w14:paraId="40CEB4D4" w14:textId="23ED8B9B" w:rsidR="00CD45DB" w:rsidRPr="00F110C2" w:rsidRDefault="00CD45DB" w:rsidP="00254EC9">
      <w:r w:rsidRPr="00F110C2">
        <w:t>Les gabarits pour la télévision analogique sont représentés sur les Figs 20, 21 et 22. On utilise une approche générique afin de tenir compte des types de système suivants:</w:t>
      </w:r>
    </w:p>
    <w:p w14:paraId="54FBF957" w14:textId="04B8F7D2" w:rsidR="00CD45DB" w:rsidRPr="00F110C2" w:rsidRDefault="0023743D" w:rsidP="00254EC9">
      <w:pPr>
        <w:pStyle w:val="enumlev1"/>
      </w:pPr>
      <w:r w:rsidRPr="00F110C2">
        <w:t>–</w:t>
      </w:r>
      <w:r w:rsidR="00CD45DB" w:rsidRPr="00F110C2">
        <w:tab/>
        <w:t>télévision analogique à 7 MHz, modulation négative, bande latérale résiduelle (BLR) de 0,75 MHz;</w:t>
      </w:r>
    </w:p>
    <w:p w14:paraId="619964A8" w14:textId="74910DF3" w:rsidR="00CD45DB" w:rsidRPr="00F110C2" w:rsidRDefault="0023743D" w:rsidP="00254EC9">
      <w:pPr>
        <w:pStyle w:val="enumlev1"/>
      </w:pPr>
      <w:r w:rsidRPr="00F110C2">
        <w:t>–</w:t>
      </w:r>
      <w:r w:rsidR="00CD45DB" w:rsidRPr="00F110C2">
        <w:tab/>
        <w:t>télévision analogique à 8 MHz, modulation négative, BLR de 0,75 et 1,25 MHz;</w:t>
      </w:r>
    </w:p>
    <w:p w14:paraId="54B76A01" w14:textId="4F771BD3" w:rsidR="00CD45DB" w:rsidRPr="00F110C2" w:rsidRDefault="0023743D" w:rsidP="00254EC9">
      <w:pPr>
        <w:pStyle w:val="enumlev1"/>
      </w:pPr>
      <w:r w:rsidRPr="00F110C2">
        <w:t>–</w:t>
      </w:r>
      <w:r w:rsidR="00CD45DB" w:rsidRPr="00F110C2">
        <w:tab/>
        <w:t>télévision analogique à 8 MHz, modulation positive, BLR de 0,75 et 1,25 MHz.</w:t>
      </w:r>
    </w:p>
    <w:p w14:paraId="1B6A9490" w14:textId="77777777" w:rsidR="00CD45DB" w:rsidRPr="00F110C2" w:rsidRDefault="00CD45DB" w:rsidP="00254EC9">
      <w:r w:rsidRPr="00F110C2">
        <w:t>Chaque graphe représente les limites spectrales applicables à un émetteur dont la puissance de sortie est comprise entre 39 dBW et 50 dBW. À chaque graphe sont associés un tableau des points de rupture et un tableau des valeurs de point d'extrémité, conjointement avec les niveaux correspondants des rayonnements non essentiels, pour une plage de puissances de sortie d'émetteur.</w:t>
      </w:r>
    </w:p>
    <w:p w14:paraId="62D216E0" w14:textId="77777777" w:rsidR="00CD45DB" w:rsidRPr="00F110C2" w:rsidRDefault="00CD45DB" w:rsidP="00254EC9">
      <w:r w:rsidRPr="00F110C2">
        <w:t xml:space="preserve">En ce qui concerne la télévision analogique à 7 MHz, le domaine des émissions hors bande s'étend de </w:t>
      </w:r>
      <w:r w:rsidRPr="00F110C2">
        <w:sym w:font="Symbol" w:char="F0B1"/>
      </w:r>
      <w:r w:rsidRPr="00F110C2">
        <w:t xml:space="preserve">3,5 MHz (c'est-à-dire </w:t>
      </w:r>
      <w:r w:rsidRPr="00F110C2">
        <w:sym w:font="Symbol" w:char="F0B1"/>
      </w:r>
      <w:r w:rsidRPr="00F110C2">
        <w:t>0,5 </w:t>
      </w:r>
      <w:r w:rsidRPr="00F110C2">
        <w:sym w:font="Symbol" w:char="F0B4"/>
      </w:r>
      <w:r w:rsidRPr="00F110C2">
        <w:t xml:space="preserve"> 7 MHz) à </w:t>
      </w:r>
      <w:r w:rsidRPr="00F110C2">
        <w:sym w:font="Symbol" w:char="F0B1"/>
      </w:r>
      <w:r w:rsidRPr="00F110C2">
        <w:t xml:space="preserve">17,5 MHz (c'est-à-dire </w:t>
      </w:r>
      <w:r w:rsidRPr="00F110C2">
        <w:sym w:font="Symbol" w:char="F0B1"/>
      </w:r>
      <w:r w:rsidRPr="00F110C2">
        <w:t>2,5 </w:t>
      </w:r>
      <w:r w:rsidRPr="00F110C2">
        <w:sym w:font="Symbol" w:char="F0B4"/>
      </w:r>
      <w:r w:rsidRPr="00F110C2">
        <w:t> 7 MHz).</w:t>
      </w:r>
    </w:p>
    <w:p w14:paraId="30C482EA" w14:textId="77777777" w:rsidR="00CD45DB" w:rsidRPr="00F110C2" w:rsidRDefault="00CD45DB" w:rsidP="00254EC9">
      <w:r w:rsidRPr="00F110C2">
        <w:t xml:space="preserve">En ce qui concerne la télévision analogique à 8 MHz, le domaine des émissions hors bande s'étend de </w:t>
      </w:r>
      <w:r w:rsidRPr="00F110C2">
        <w:sym w:font="Symbol" w:char="F0B1"/>
      </w:r>
      <w:r w:rsidRPr="00F110C2">
        <w:t xml:space="preserve">4 MHz (c'est-à-dire </w:t>
      </w:r>
      <w:r w:rsidRPr="00F110C2">
        <w:sym w:font="Symbol" w:char="F0B1"/>
      </w:r>
      <w:r w:rsidRPr="00F110C2">
        <w:t>0,5 </w:t>
      </w:r>
      <w:r w:rsidRPr="00F110C2">
        <w:sym w:font="Symbol" w:char="F0B4"/>
      </w:r>
      <w:r w:rsidRPr="00F110C2">
        <w:t xml:space="preserve"> 8 MHz) à </w:t>
      </w:r>
      <w:r w:rsidRPr="00F110C2">
        <w:sym w:font="Symbol" w:char="F0B1"/>
      </w:r>
      <w:r w:rsidRPr="00F110C2">
        <w:t xml:space="preserve">20 MHz (c'est-à-dire </w:t>
      </w:r>
      <w:r w:rsidRPr="00F110C2">
        <w:sym w:font="Symbol" w:char="F0B1"/>
      </w:r>
      <w:r w:rsidRPr="00F110C2">
        <w:t>2,5 </w:t>
      </w:r>
      <w:r w:rsidRPr="00F110C2">
        <w:sym w:font="Symbol" w:char="F0B4"/>
      </w:r>
      <w:r w:rsidRPr="00F110C2">
        <w:t> 8 MHz).</w:t>
      </w:r>
    </w:p>
    <w:p w14:paraId="7DDF284A" w14:textId="77777777" w:rsidR="00CD45DB" w:rsidRPr="00F110C2" w:rsidRDefault="00CD45DB" w:rsidP="00254EC9">
      <w:r w:rsidRPr="00F110C2">
        <w:t>Pour la télévision analogique à 7 MHz comme pour celle à 8 MHz, on utilise une largeur de bande de mesure de 50 kHz pour mesurer les niveaux de rayonnement non désirés. Le niveau de référence 0 dB correspond à la puissance de synchronisation de crête pour les systèmes de télévision à modulation négative ou la puissance de crête du blanc pour les systèmes de télévision à modulation positive. La puissance moyenne la plus élevée est supposée être de 2,5 dB au-dessous de la puissance de synchronisation de crête pour la modulation négative et de 1,2 dB au-dessous de la puissance de crête du blanc pour la modulation positive.</w:t>
      </w:r>
    </w:p>
    <w:p w14:paraId="7519A48D" w14:textId="77777777" w:rsidR="00CD45DB" w:rsidRPr="00F110C2" w:rsidRDefault="00CD45DB" w:rsidP="00254EC9">
      <w:pPr>
        <w:pStyle w:val="FigureNo"/>
      </w:pPr>
      <w:r w:rsidRPr="00F110C2">
        <w:t>FIGURE 20</w:t>
      </w:r>
    </w:p>
    <w:p w14:paraId="73CAB738" w14:textId="77777777" w:rsidR="00CD45DB" w:rsidRPr="00F110C2" w:rsidRDefault="00CD45DB" w:rsidP="00254EC9">
      <w:pPr>
        <w:pStyle w:val="Figuretitle"/>
        <w:keepNext w:val="0"/>
        <w:spacing w:after="0"/>
      </w:pPr>
      <w:r w:rsidRPr="00F110C2">
        <w:t xml:space="preserve">Gabarit de limite spectrale pour la télévision analogique à 7 MHz, </w:t>
      </w:r>
      <w:r w:rsidRPr="00F110C2">
        <w:br/>
        <w:t xml:space="preserve">modulation négative, BLR de 0,75 MHz (pour </w:t>
      </w:r>
      <w:r w:rsidRPr="00F110C2">
        <w:rPr>
          <w:rFonts w:ascii="Times New Roman"/>
          <w:bCs/>
          <w:i/>
          <w:iCs/>
        </w:rPr>
        <w:t>P</w:t>
      </w:r>
      <w:r w:rsidRPr="00F110C2">
        <w:t xml:space="preserve"> = 39 à 50 dBW)</w:t>
      </w:r>
    </w:p>
    <w:p w14:paraId="42E3E53E" w14:textId="77777777" w:rsidR="00CD45DB" w:rsidRPr="00F110C2" w:rsidRDefault="00CD45DB" w:rsidP="00254EC9">
      <w:pPr>
        <w:pStyle w:val="Figure"/>
        <w:keepLines w:val="0"/>
      </w:pPr>
      <w:r w:rsidRPr="00F110C2">
        <w:drawing>
          <wp:inline distT="0" distB="0" distL="0" distR="0" wp14:anchorId="3CA7B997" wp14:editId="67772CF5">
            <wp:extent cx="4432300" cy="3348376"/>
            <wp:effectExtent l="0" t="0" r="6350" b="4445"/>
            <wp:docPr id="1150311147" name="Picture 1" descr="A graph of a b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11147" name="Picture 1" descr="A graph of a bat&#10;&#10;AI-generated content may be incorrect."/>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456608" cy="3366739"/>
                    </a:xfrm>
                    <a:prstGeom prst="rect">
                      <a:avLst/>
                    </a:prstGeom>
                    <a:noFill/>
                    <a:ln>
                      <a:noFill/>
                    </a:ln>
                  </pic:spPr>
                </pic:pic>
              </a:graphicData>
            </a:graphic>
          </wp:inline>
        </w:drawing>
      </w:r>
    </w:p>
    <w:p w14:paraId="3BDE45C7" w14:textId="77777777" w:rsidR="00CD45DB" w:rsidRPr="00F110C2" w:rsidRDefault="00CD45DB" w:rsidP="00254EC9">
      <w:pPr>
        <w:pStyle w:val="Normalaftertitle"/>
      </w:pPr>
      <w:r w:rsidRPr="00F110C2">
        <w:lastRenderedPageBreak/>
        <w:t>Le Tableau 9 donne les points de rupture correspondant au graphe représenté sur la Fig. 20, pour la télévision analogique à 7 MHz, modulation négative, BLR de 0,75 MHz.</w:t>
      </w:r>
    </w:p>
    <w:p w14:paraId="5927BD5B" w14:textId="77777777" w:rsidR="00CD45DB" w:rsidRPr="00F110C2" w:rsidRDefault="00CD45DB" w:rsidP="00254EC9">
      <w:pPr>
        <w:pStyle w:val="TableNo"/>
      </w:pPr>
      <w:r w:rsidRPr="00F110C2">
        <w:t>TABLEAU 9</w:t>
      </w:r>
    </w:p>
    <w:p w14:paraId="649832A2" w14:textId="77777777" w:rsidR="00CD45DB" w:rsidRPr="00F110C2" w:rsidRDefault="00CD45DB" w:rsidP="00254EC9">
      <w:pPr>
        <w:pStyle w:val="Tabletitle"/>
      </w:pPr>
      <w:r w:rsidRPr="00F110C2">
        <w:t>Points de rupture pour la télévision analogique à 7 MHz,</w:t>
      </w:r>
      <w:r w:rsidRPr="00F110C2">
        <w:br/>
        <w:t>modulation négative, BLR de 0,75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D45DB" w:rsidRPr="00F110C2" w14:paraId="1E59CE34" w14:textId="77777777" w:rsidTr="009615D1">
        <w:trPr>
          <w:jc w:val="center"/>
        </w:trPr>
        <w:tc>
          <w:tcPr>
            <w:tcW w:w="3213" w:type="dxa"/>
            <w:vAlign w:val="center"/>
          </w:tcPr>
          <w:p w14:paraId="3DDB643E" w14:textId="77777777" w:rsidR="00CD45DB" w:rsidRPr="00F110C2" w:rsidRDefault="00CD45DB" w:rsidP="00254EC9">
            <w:pPr>
              <w:pStyle w:val="Tablehead"/>
            </w:pPr>
            <w:r w:rsidRPr="00F110C2">
              <w:rPr>
                <w:bCs/>
                <w:szCs w:val="24"/>
              </w:rPr>
              <w:t>Fréquence par rapport à la</w:t>
            </w:r>
            <w:r w:rsidRPr="00F110C2">
              <w:rPr>
                <w:bCs/>
                <w:szCs w:val="24"/>
              </w:rPr>
              <w:br/>
              <w:t>fréquence de la porteuse vidéo</w:t>
            </w:r>
          </w:p>
        </w:tc>
        <w:tc>
          <w:tcPr>
            <w:tcW w:w="3213" w:type="dxa"/>
            <w:vAlign w:val="center"/>
          </w:tcPr>
          <w:p w14:paraId="24A16DE0" w14:textId="77777777" w:rsidR="00CD45DB" w:rsidRPr="00F110C2" w:rsidRDefault="00CD45DB" w:rsidP="00254EC9">
            <w:pPr>
              <w:pStyle w:val="Tablehead"/>
            </w:pPr>
            <w:r w:rsidRPr="00F110C2">
              <w:rPr>
                <w:bCs/>
                <w:szCs w:val="24"/>
              </w:rPr>
              <w:t>Fréquence par rapport au</w:t>
            </w:r>
            <w:r w:rsidRPr="00F110C2">
              <w:rPr>
                <w:bCs/>
                <w:szCs w:val="24"/>
              </w:rPr>
              <w:br/>
              <w:t>centre du canal de 7 MHz</w:t>
            </w:r>
          </w:p>
        </w:tc>
        <w:tc>
          <w:tcPr>
            <w:tcW w:w="3213" w:type="dxa"/>
            <w:vAlign w:val="center"/>
          </w:tcPr>
          <w:p w14:paraId="6000EB90" w14:textId="12B40352" w:rsidR="00CD45DB" w:rsidRPr="00F110C2" w:rsidRDefault="00CD45DB" w:rsidP="00254EC9">
            <w:pPr>
              <w:pStyle w:val="Tablehead"/>
            </w:pPr>
            <w:r w:rsidRPr="00F110C2">
              <w:rPr>
                <w:bCs/>
                <w:szCs w:val="24"/>
              </w:rPr>
              <w:t>Niveau relatif dans une</w:t>
            </w:r>
            <w:r w:rsidRPr="00F110C2">
              <w:rPr>
                <w:bCs/>
                <w:szCs w:val="24"/>
              </w:rPr>
              <w:br/>
              <w:t xml:space="preserve">largeur de bande de </w:t>
            </w:r>
            <w:r w:rsidRPr="00F110C2">
              <w:rPr>
                <w:bCs/>
                <w:szCs w:val="24"/>
              </w:rPr>
              <w:br/>
              <w:t>mesure de 50 kHz</w:t>
            </w:r>
            <w:r w:rsidR="00F91EA9" w:rsidRPr="00F110C2">
              <w:rPr>
                <w:bCs/>
                <w:szCs w:val="24"/>
              </w:rPr>
              <w:t xml:space="preserve"> </w:t>
            </w:r>
            <w:r w:rsidRPr="00F110C2">
              <w:rPr>
                <w:bCs/>
                <w:szCs w:val="24"/>
              </w:rPr>
              <w:t>(dB)</w:t>
            </w:r>
          </w:p>
        </w:tc>
      </w:tr>
      <w:tr w:rsidR="00CD45DB" w:rsidRPr="00F110C2" w14:paraId="465E2393" w14:textId="77777777" w:rsidTr="009615D1">
        <w:trPr>
          <w:jc w:val="center"/>
        </w:trPr>
        <w:tc>
          <w:tcPr>
            <w:tcW w:w="3213" w:type="dxa"/>
          </w:tcPr>
          <w:p w14:paraId="76486107" w14:textId="570287EE" w:rsidR="00CD45DB" w:rsidRPr="00F110C2" w:rsidRDefault="009615D1" w:rsidP="00254EC9">
            <w:pPr>
              <w:pStyle w:val="Tabletext"/>
              <w:jc w:val="center"/>
            </w:pPr>
            <w:r w:rsidRPr="00F110C2">
              <w:t>−</w:t>
            </w:r>
            <w:r w:rsidR="00CD45DB" w:rsidRPr="00F110C2">
              <w:t>15,25</w:t>
            </w:r>
          </w:p>
        </w:tc>
        <w:tc>
          <w:tcPr>
            <w:tcW w:w="3213" w:type="dxa"/>
          </w:tcPr>
          <w:p w14:paraId="51BF35F7" w14:textId="179B2747" w:rsidR="00CD45DB" w:rsidRPr="00F110C2" w:rsidRDefault="009615D1" w:rsidP="00254EC9">
            <w:pPr>
              <w:pStyle w:val="Tabletext"/>
              <w:jc w:val="center"/>
            </w:pPr>
            <w:r w:rsidRPr="00F110C2">
              <w:t>−</w:t>
            </w:r>
            <w:r w:rsidR="00CD45DB" w:rsidRPr="00F110C2">
              <w:t>17,5</w:t>
            </w:r>
          </w:p>
        </w:tc>
        <w:tc>
          <w:tcPr>
            <w:tcW w:w="3213" w:type="dxa"/>
          </w:tcPr>
          <w:p w14:paraId="2F861847" w14:textId="16520BAA" w:rsidR="00CD45DB" w:rsidRPr="00F110C2" w:rsidRDefault="009615D1" w:rsidP="00254EC9">
            <w:pPr>
              <w:pStyle w:val="Tabletext"/>
              <w:jc w:val="center"/>
            </w:pPr>
            <w:r w:rsidRPr="00F110C2">
              <w:t>−</w:t>
            </w:r>
            <w:r w:rsidR="00CD45DB" w:rsidRPr="00F110C2">
              <w:t>90,5</w:t>
            </w:r>
          </w:p>
        </w:tc>
      </w:tr>
      <w:tr w:rsidR="00CD45DB" w:rsidRPr="00F110C2" w14:paraId="72A78607" w14:textId="77777777" w:rsidTr="009615D1">
        <w:trPr>
          <w:jc w:val="center"/>
        </w:trPr>
        <w:tc>
          <w:tcPr>
            <w:tcW w:w="3213" w:type="dxa"/>
          </w:tcPr>
          <w:p w14:paraId="248798B1" w14:textId="727910F4" w:rsidR="00CD45DB" w:rsidRPr="00F110C2" w:rsidRDefault="009615D1" w:rsidP="00254EC9">
            <w:pPr>
              <w:pStyle w:val="Tabletext"/>
              <w:jc w:val="center"/>
            </w:pPr>
            <w:r w:rsidRPr="00F110C2">
              <w:t>−</w:t>
            </w:r>
            <w:r w:rsidR="00CD45DB" w:rsidRPr="00F110C2">
              <w:t>8,25</w:t>
            </w:r>
          </w:p>
        </w:tc>
        <w:tc>
          <w:tcPr>
            <w:tcW w:w="3213" w:type="dxa"/>
          </w:tcPr>
          <w:p w14:paraId="00F9936C" w14:textId="093B327E" w:rsidR="00CD45DB" w:rsidRPr="00F110C2" w:rsidRDefault="009615D1" w:rsidP="00254EC9">
            <w:pPr>
              <w:pStyle w:val="Tabletext"/>
              <w:jc w:val="center"/>
            </w:pPr>
            <w:r w:rsidRPr="00F110C2">
              <w:t>−</w:t>
            </w:r>
            <w:r w:rsidR="00CD45DB" w:rsidRPr="00F110C2">
              <w:t>10,5</w:t>
            </w:r>
          </w:p>
        </w:tc>
        <w:tc>
          <w:tcPr>
            <w:tcW w:w="3213" w:type="dxa"/>
          </w:tcPr>
          <w:p w14:paraId="019956E7" w14:textId="68176027" w:rsidR="00CD45DB" w:rsidRPr="00F110C2" w:rsidRDefault="009615D1" w:rsidP="00254EC9">
            <w:pPr>
              <w:pStyle w:val="Tabletext"/>
              <w:jc w:val="center"/>
            </w:pPr>
            <w:r w:rsidRPr="00F110C2">
              <w:t>−</w:t>
            </w:r>
            <w:r w:rsidR="00CD45DB" w:rsidRPr="00F110C2">
              <w:t>65,5</w:t>
            </w:r>
          </w:p>
        </w:tc>
      </w:tr>
      <w:tr w:rsidR="00CD45DB" w:rsidRPr="00F110C2" w14:paraId="335D29AB" w14:textId="77777777" w:rsidTr="009615D1">
        <w:trPr>
          <w:jc w:val="center"/>
        </w:trPr>
        <w:tc>
          <w:tcPr>
            <w:tcW w:w="3213" w:type="dxa"/>
          </w:tcPr>
          <w:p w14:paraId="1FCDA308" w14:textId="54B77A4D" w:rsidR="00CD45DB" w:rsidRPr="00F110C2" w:rsidRDefault="009615D1" w:rsidP="00254EC9">
            <w:pPr>
              <w:pStyle w:val="Tabletext"/>
              <w:jc w:val="center"/>
            </w:pPr>
            <w:r w:rsidRPr="00F110C2">
              <w:t>−</w:t>
            </w:r>
            <w:r w:rsidR="00CD45DB" w:rsidRPr="00F110C2">
              <w:t>5,5</w:t>
            </w:r>
          </w:p>
        </w:tc>
        <w:tc>
          <w:tcPr>
            <w:tcW w:w="3213" w:type="dxa"/>
          </w:tcPr>
          <w:p w14:paraId="2EF42507" w14:textId="1275CBBE" w:rsidR="00CD45DB" w:rsidRPr="00F110C2" w:rsidRDefault="009615D1" w:rsidP="00254EC9">
            <w:pPr>
              <w:pStyle w:val="Tabletext"/>
              <w:jc w:val="center"/>
            </w:pPr>
            <w:r w:rsidRPr="00F110C2">
              <w:t>−</w:t>
            </w:r>
            <w:r w:rsidR="00CD45DB" w:rsidRPr="00F110C2">
              <w:t>7,75</w:t>
            </w:r>
          </w:p>
        </w:tc>
        <w:tc>
          <w:tcPr>
            <w:tcW w:w="3213" w:type="dxa"/>
          </w:tcPr>
          <w:p w14:paraId="673D3D15" w14:textId="039315AA" w:rsidR="00CD45DB" w:rsidRPr="00F110C2" w:rsidRDefault="009615D1" w:rsidP="00254EC9">
            <w:pPr>
              <w:pStyle w:val="Tabletext"/>
              <w:jc w:val="center"/>
            </w:pPr>
            <w:r w:rsidRPr="00F110C2">
              <w:t>−</w:t>
            </w:r>
            <w:r w:rsidR="00CD45DB" w:rsidRPr="00F110C2">
              <w:t>56</w:t>
            </w:r>
          </w:p>
        </w:tc>
      </w:tr>
      <w:tr w:rsidR="00CD45DB" w:rsidRPr="00F110C2" w14:paraId="7FB81691" w14:textId="77777777" w:rsidTr="009615D1">
        <w:trPr>
          <w:jc w:val="center"/>
        </w:trPr>
        <w:tc>
          <w:tcPr>
            <w:tcW w:w="3213" w:type="dxa"/>
          </w:tcPr>
          <w:p w14:paraId="18145333" w14:textId="2FC76631" w:rsidR="00CD45DB" w:rsidRPr="00F110C2" w:rsidRDefault="009615D1" w:rsidP="00254EC9">
            <w:pPr>
              <w:pStyle w:val="Tabletext"/>
              <w:jc w:val="center"/>
            </w:pPr>
            <w:r w:rsidRPr="00F110C2">
              <w:t>−</w:t>
            </w:r>
            <w:r w:rsidR="00CD45DB" w:rsidRPr="00F110C2">
              <w:t>5</w:t>
            </w:r>
          </w:p>
        </w:tc>
        <w:tc>
          <w:tcPr>
            <w:tcW w:w="3213" w:type="dxa"/>
          </w:tcPr>
          <w:p w14:paraId="5EC88957" w14:textId="3FD2DF79" w:rsidR="00CD45DB" w:rsidRPr="00F110C2" w:rsidRDefault="009615D1" w:rsidP="00254EC9">
            <w:pPr>
              <w:pStyle w:val="Tabletext"/>
              <w:jc w:val="center"/>
            </w:pPr>
            <w:r w:rsidRPr="00F110C2">
              <w:t>−</w:t>
            </w:r>
            <w:r w:rsidR="00CD45DB" w:rsidRPr="00F110C2">
              <w:t>7,25</w:t>
            </w:r>
          </w:p>
        </w:tc>
        <w:tc>
          <w:tcPr>
            <w:tcW w:w="3213" w:type="dxa"/>
          </w:tcPr>
          <w:p w14:paraId="4E49C930" w14:textId="3A10D339" w:rsidR="00CD45DB" w:rsidRPr="00F110C2" w:rsidRDefault="009615D1" w:rsidP="00254EC9">
            <w:pPr>
              <w:pStyle w:val="Tabletext"/>
              <w:jc w:val="center"/>
            </w:pPr>
            <w:r w:rsidRPr="00F110C2">
              <w:t>−</w:t>
            </w:r>
            <w:r w:rsidR="00CD45DB" w:rsidRPr="00F110C2">
              <w:t>36</w:t>
            </w:r>
          </w:p>
        </w:tc>
      </w:tr>
      <w:tr w:rsidR="00CD45DB" w:rsidRPr="00F110C2" w14:paraId="51D9A870" w14:textId="77777777" w:rsidTr="009615D1">
        <w:trPr>
          <w:jc w:val="center"/>
        </w:trPr>
        <w:tc>
          <w:tcPr>
            <w:tcW w:w="3213" w:type="dxa"/>
          </w:tcPr>
          <w:p w14:paraId="5446BA9A" w14:textId="0DC1B6C9" w:rsidR="00CD45DB" w:rsidRPr="00F110C2" w:rsidRDefault="009615D1" w:rsidP="00254EC9">
            <w:pPr>
              <w:pStyle w:val="Tabletext"/>
              <w:jc w:val="center"/>
            </w:pPr>
            <w:r w:rsidRPr="00F110C2">
              <w:t>−</w:t>
            </w:r>
            <w:r w:rsidR="00CD45DB" w:rsidRPr="00F110C2">
              <w:t>1,25</w:t>
            </w:r>
          </w:p>
        </w:tc>
        <w:tc>
          <w:tcPr>
            <w:tcW w:w="3213" w:type="dxa"/>
          </w:tcPr>
          <w:p w14:paraId="38717E96" w14:textId="713B93B1" w:rsidR="00CD45DB" w:rsidRPr="00F110C2" w:rsidRDefault="009615D1" w:rsidP="00254EC9">
            <w:pPr>
              <w:pStyle w:val="Tabletext"/>
              <w:jc w:val="center"/>
            </w:pPr>
            <w:r w:rsidRPr="00F110C2">
              <w:t>−</w:t>
            </w:r>
            <w:r w:rsidR="00CD45DB" w:rsidRPr="00F110C2">
              <w:t>3,5</w:t>
            </w:r>
          </w:p>
        </w:tc>
        <w:tc>
          <w:tcPr>
            <w:tcW w:w="3213" w:type="dxa"/>
          </w:tcPr>
          <w:p w14:paraId="751215C2" w14:textId="647CB8C0" w:rsidR="00CD45DB" w:rsidRPr="00F110C2" w:rsidRDefault="009615D1" w:rsidP="00254EC9">
            <w:pPr>
              <w:pStyle w:val="Tabletext"/>
              <w:jc w:val="center"/>
            </w:pPr>
            <w:r w:rsidRPr="00F110C2">
              <w:t>−</w:t>
            </w:r>
            <w:r w:rsidR="00CD45DB" w:rsidRPr="00F110C2">
              <w:t>36</w:t>
            </w:r>
          </w:p>
        </w:tc>
      </w:tr>
      <w:tr w:rsidR="00CD45DB" w:rsidRPr="00F110C2" w14:paraId="4829209B" w14:textId="77777777" w:rsidTr="009615D1">
        <w:trPr>
          <w:jc w:val="center"/>
        </w:trPr>
        <w:tc>
          <w:tcPr>
            <w:tcW w:w="3213" w:type="dxa"/>
          </w:tcPr>
          <w:p w14:paraId="261FBF5C" w14:textId="6E018F94" w:rsidR="00CD45DB" w:rsidRPr="00F110C2" w:rsidRDefault="009615D1" w:rsidP="00254EC9">
            <w:pPr>
              <w:pStyle w:val="Tabletext"/>
              <w:jc w:val="center"/>
            </w:pPr>
            <w:r w:rsidRPr="00F110C2">
              <w:t>−</w:t>
            </w:r>
            <w:r w:rsidR="00CD45DB" w:rsidRPr="00F110C2">
              <w:t>0,75</w:t>
            </w:r>
          </w:p>
        </w:tc>
        <w:tc>
          <w:tcPr>
            <w:tcW w:w="3213" w:type="dxa"/>
          </w:tcPr>
          <w:p w14:paraId="2AFCEAC4" w14:textId="63C49AAC" w:rsidR="00CD45DB" w:rsidRPr="00F110C2" w:rsidRDefault="009615D1" w:rsidP="00254EC9">
            <w:pPr>
              <w:pStyle w:val="Tabletext"/>
              <w:jc w:val="center"/>
            </w:pPr>
            <w:r w:rsidRPr="00F110C2">
              <w:t>−</w:t>
            </w:r>
            <w:r w:rsidR="00CD45DB" w:rsidRPr="00F110C2">
              <w:t>3</w:t>
            </w:r>
          </w:p>
        </w:tc>
        <w:tc>
          <w:tcPr>
            <w:tcW w:w="3213" w:type="dxa"/>
          </w:tcPr>
          <w:p w14:paraId="43C71979" w14:textId="18BEBFFC" w:rsidR="00CD45DB" w:rsidRPr="00F110C2" w:rsidRDefault="009615D1" w:rsidP="00254EC9">
            <w:pPr>
              <w:pStyle w:val="Tabletext"/>
              <w:jc w:val="center"/>
            </w:pPr>
            <w:r w:rsidRPr="00F110C2">
              <w:t>−</w:t>
            </w:r>
            <w:r w:rsidR="00CD45DB" w:rsidRPr="00F110C2">
              <w:t>16</w:t>
            </w:r>
          </w:p>
        </w:tc>
      </w:tr>
      <w:tr w:rsidR="00CD45DB" w:rsidRPr="00F110C2" w14:paraId="25AE9C1B" w14:textId="77777777" w:rsidTr="009615D1">
        <w:trPr>
          <w:jc w:val="center"/>
        </w:trPr>
        <w:tc>
          <w:tcPr>
            <w:tcW w:w="3213" w:type="dxa"/>
            <w:tcBorders>
              <w:bottom w:val="single" w:sz="4" w:space="0" w:color="auto"/>
            </w:tcBorders>
          </w:tcPr>
          <w:p w14:paraId="6CD4B87E" w14:textId="3F1E23F6" w:rsidR="00CD45DB" w:rsidRPr="00F110C2" w:rsidRDefault="009615D1" w:rsidP="00254EC9">
            <w:pPr>
              <w:pStyle w:val="Tabletext"/>
              <w:jc w:val="center"/>
            </w:pPr>
            <w:r w:rsidRPr="00F110C2">
              <w:t>−</w:t>
            </w:r>
            <w:r w:rsidR="00CD45DB" w:rsidRPr="00F110C2">
              <w:t>0,18</w:t>
            </w:r>
          </w:p>
        </w:tc>
        <w:tc>
          <w:tcPr>
            <w:tcW w:w="3213" w:type="dxa"/>
            <w:tcBorders>
              <w:bottom w:val="single" w:sz="4" w:space="0" w:color="auto"/>
            </w:tcBorders>
          </w:tcPr>
          <w:p w14:paraId="37B69FFA" w14:textId="4602F921" w:rsidR="00CD45DB" w:rsidRPr="00F110C2" w:rsidRDefault="009615D1" w:rsidP="00254EC9">
            <w:pPr>
              <w:pStyle w:val="Tabletext"/>
              <w:jc w:val="center"/>
            </w:pPr>
            <w:r w:rsidRPr="00F110C2">
              <w:t>−</w:t>
            </w:r>
            <w:r w:rsidR="00CD45DB" w:rsidRPr="00F110C2">
              <w:t>2,43</w:t>
            </w:r>
          </w:p>
        </w:tc>
        <w:tc>
          <w:tcPr>
            <w:tcW w:w="3213" w:type="dxa"/>
            <w:tcBorders>
              <w:bottom w:val="single" w:sz="4" w:space="0" w:color="auto"/>
            </w:tcBorders>
          </w:tcPr>
          <w:p w14:paraId="74240A5E" w14:textId="046BDF27" w:rsidR="00CD45DB" w:rsidRPr="00F110C2" w:rsidRDefault="009615D1" w:rsidP="00254EC9">
            <w:pPr>
              <w:pStyle w:val="Tabletext"/>
              <w:jc w:val="center"/>
            </w:pPr>
            <w:r w:rsidRPr="00F110C2">
              <w:t>−</w:t>
            </w:r>
            <w:r w:rsidR="00CD45DB" w:rsidRPr="00F110C2">
              <w:t>16</w:t>
            </w:r>
          </w:p>
        </w:tc>
      </w:tr>
      <w:tr w:rsidR="00CD45DB" w:rsidRPr="00F110C2" w14:paraId="1C207C79" w14:textId="77777777" w:rsidTr="009615D1">
        <w:trPr>
          <w:jc w:val="center"/>
        </w:trPr>
        <w:tc>
          <w:tcPr>
            <w:tcW w:w="3213" w:type="dxa"/>
            <w:tcBorders>
              <w:bottom w:val="single" w:sz="4" w:space="0" w:color="auto"/>
            </w:tcBorders>
          </w:tcPr>
          <w:p w14:paraId="36A77746" w14:textId="77777777" w:rsidR="00CD45DB" w:rsidRPr="00F110C2" w:rsidRDefault="00CD45DB" w:rsidP="00254EC9">
            <w:pPr>
              <w:pStyle w:val="Tabletext"/>
              <w:jc w:val="center"/>
            </w:pPr>
            <w:r w:rsidRPr="00F110C2">
              <w:t>0</w:t>
            </w:r>
          </w:p>
        </w:tc>
        <w:tc>
          <w:tcPr>
            <w:tcW w:w="3213" w:type="dxa"/>
            <w:tcBorders>
              <w:bottom w:val="single" w:sz="4" w:space="0" w:color="auto"/>
            </w:tcBorders>
          </w:tcPr>
          <w:p w14:paraId="51978C80" w14:textId="3054908B" w:rsidR="00CD45DB" w:rsidRPr="00F110C2" w:rsidRDefault="009615D1" w:rsidP="00254EC9">
            <w:pPr>
              <w:pStyle w:val="Tabletext"/>
              <w:jc w:val="center"/>
            </w:pPr>
            <w:r w:rsidRPr="00F110C2">
              <w:t>−</w:t>
            </w:r>
            <w:r w:rsidR="00CD45DB" w:rsidRPr="00F110C2">
              <w:t>2,25</w:t>
            </w:r>
          </w:p>
        </w:tc>
        <w:tc>
          <w:tcPr>
            <w:tcW w:w="3213" w:type="dxa"/>
            <w:tcBorders>
              <w:bottom w:val="single" w:sz="4" w:space="0" w:color="auto"/>
            </w:tcBorders>
          </w:tcPr>
          <w:p w14:paraId="3DF5DCB2" w14:textId="77777777" w:rsidR="00CD45DB" w:rsidRPr="00F110C2" w:rsidRDefault="00CD45DB" w:rsidP="00254EC9">
            <w:pPr>
              <w:pStyle w:val="Tabletext"/>
              <w:jc w:val="center"/>
            </w:pPr>
            <w:r w:rsidRPr="00F110C2">
              <w:t>0</w:t>
            </w:r>
          </w:p>
        </w:tc>
      </w:tr>
      <w:tr w:rsidR="00CD45DB" w:rsidRPr="00F110C2" w14:paraId="3F139517" w14:textId="77777777" w:rsidTr="009615D1">
        <w:trPr>
          <w:jc w:val="center"/>
        </w:trPr>
        <w:tc>
          <w:tcPr>
            <w:tcW w:w="3213" w:type="dxa"/>
          </w:tcPr>
          <w:p w14:paraId="2553DF56" w14:textId="45C07AEC" w:rsidR="00CD45DB" w:rsidRPr="00F110C2" w:rsidRDefault="00CD45DB" w:rsidP="00254EC9">
            <w:pPr>
              <w:pStyle w:val="Tabletext"/>
              <w:jc w:val="center"/>
            </w:pPr>
            <w:r w:rsidRPr="00F110C2">
              <w:t>0,18</w:t>
            </w:r>
          </w:p>
        </w:tc>
        <w:tc>
          <w:tcPr>
            <w:tcW w:w="3213" w:type="dxa"/>
          </w:tcPr>
          <w:p w14:paraId="1DABB49F" w14:textId="45C54797" w:rsidR="00CD45DB" w:rsidRPr="00F110C2" w:rsidRDefault="009615D1" w:rsidP="00254EC9">
            <w:pPr>
              <w:pStyle w:val="Tabletext"/>
              <w:jc w:val="center"/>
            </w:pPr>
            <w:r w:rsidRPr="00F110C2">
              <w:t>−</w:t>
            </w:r>
            <w:r w:rsidR="00CD45DB" w:rsidRPr="00F110C2">
              <w:t>2,07</w:t>
            </w:r>
          </w:p>
        </w:tc>
        <w:tc>
          <w:tcPr>
            <w:tcW w:w="3213" w:type="dxa"/>
          </w:tcPr>
          <w:p w14:paraId="5F3CEB16" w14:textId="1EADAF69" w:rsidR="00CD45DB" w:rsidRPr="00F110C2" w:rsidRDefault="009615D1" w:rsidP="00254EC9">
            <w:pPr>
              <w:pStyle w:val="Tabletext"/>
              <w:jc w:val="center"/>
            </w:pPr>
            <w:r w:rsidRPr="00F110C2">
              <w:t>−</w:t>
            </w:r>
            <w:r w:rsidR="00CD45DB" w:rsidRPr="00F110C2">
              <w:t>16</w:t>
            </w:r>
          </w:p>
        </w:tc>
      </w:tr>
      <w:tr w:rsidR="00CD45DB" w:rsidRPr="00F110C2" w14:paraId="1531C269" w14:textId="77777777" w:rsidTr="009615D1">
        <w:trPr>
          <w:jc w:val="center"/>
        </w:trPr>
        <w:tc>
          <w:tcPr>
            <w:tcW w:w="3213" w:type="dxa"/>
          </w:tcPr>
          <w:p w14:paraId="6D4B74FC" w14:textId="77777777" w:rsidR="00CD45DB" w:rsidRPr="00F110C2" w:rsidRDefault="00CD45DB" w:rsidP="00254EC9">
            <w:pPr>
              <w:pStyle w:val="Tabletext"/>
              <w:jc w:val="center"/>
            </w:pPr>
            <w:r w:rsidRPr="00F110C2">
              <w:t>5</w:t>
            </w:r>
          </w:p>
        </w:tc>
        <w:tc>
          <w:tcPr>
            <w:tcW w:w="3213" w:type="dxa"/>
          </w:tcPr>
          <w:p w14:paraId="02D3DB64" w14:textId="77777777" w:rsidR="00CD45DB" w:rsidRPr="00F110C2" w:rsidRDefault="00CD45DB" w:rsidP="00254EC9">
            <w:pPr>
              <w:pStyle w:val="Tabletext"/>
              <w:jc w:val="center"/>
            </w:pPr>
            <w:r w:rsidRPr="00F110C2">
              <w:t>2,75</w:t>
            </w:r>
          </w:p>
        </w:tc>
        <w:tc>
          <w:tcPr>
            <w:tcW w:w="3213" w:type="dxa"/>
          </w:tcPr>
          <w:p w14:paraId="149437EA" w14:textId="1221F5CB" w:rsidR="00CD45DB" w:rsidRPr="00F110C2" w:rsidRDefault="009615D1" w:rsidP="00254EC9">
            <w:pPr>
              <w:pStyle w:val="Tabletext"/>
              <w:jc w:val="center"/>
            </w:pPr>
            <w:r w:rsidRPr="00F110C2">
              <w:t>−</w:t>
            </w:r>
            <w:r w:rsidR="00CD45DB" w:rsidRPr="00F110C2">
              <w:t>16</w:t>
            </w:r>
          </w:p>
        </w:tc>
      </w:tr>
      <w:tr w:rsidR="00CD45DB" w:rsidRPr="00F110C2" w14:paraId="36818493" w14:textId="77777777" w:rsidTr="009615D1">
        <w:trPr>
          <w:jc w:val="center"/>
        </w:trPr>
        <w:tc>
          <w:tcPr>
            <w:tcW w:w="3213" w:type="dxa"/>
          </w:tcPr>
          <w:p w14:paraId="30FBFBAE" w14:textId="77777777" w:rsidR="00CD45DB" w:rsidRPr="00F110C2" w:rsidRDefault="00CD45DB" w:rsidP="00254EC9">
            <w:pPr>
              <w:pStyle w:val="Tabletext"/>
              <w:jc w:val="center"/>
            </w:pPr>
            <w:r w:rsidRPr="00F110C2">
              <w:t>5,435</w:t>
            </w:r>
          </w:p>
        </w:tc>
        <w:tc>
          <w:tcPr>
            <w:tcW w:w="3213" w:type="dxa"/>
          </w:tcPr>
          <w:p w14:paraId="4DF30B44" w14:textId="77777777" w:rsidR="00CD45DB" w:rsidRPr="00F110C2" w:rsidRDefault="00CD45DB" w:rsidP="00254EC9">
            <w:pPr>
              <w:pStyle w:val="Tabletext"/>
              <w:jc w:val="center"/>
            </w:pPr>
            <w:r w:rsidRPr="00F110C2">
              <w:t>3,185</w:t>
            </w:r>
          </w:p>
        </w:tc>
        <w:tc>
          <w:tcPr>
            <w:tcW w:w="3213" w:type="dxa"/>
          </w:tcPr>
          <w:p w14:paraId="00040D5E" w14:textId="7C2E61FE" w:rsidR="00CD45DB" w:rsidRPr="00F110C2" w:rsidRDefault="009615D1" w:rsidP="00254EC9">
            <w:pPr>
              <w:pStyle w:val="Tabletext"/>
              <w:jc w:val="center"/>
            </w:pPr>
            <w:r w:rsidRPr="00F110C2">
              <w:t>−</w:t>
            </w:r>
            <w:r w:rsidR="00CD45DB" w:rsidRPr="00F110C2">
              <w:t>10</w:t>
            </w:r>
          </w:p>
        </w:tc>
      </w:tr>
      <w:tr w:rsidR="00CD45DB" w:rsidRPr="00F110C2" w14:paraId="3CD6B8B1" w14:textId="77777777" w:rsidTr="009615D1">
        <w:trPr>
          <w:jc w:val="center"/>
        </w:trPr>
        <w:tc>
          <w:tcPr>
            <w:tcW w:w="3213" w:type="dxa"/>
          </w:tcPr>
          <w:p w14:paraId="21C7C270" w14:textId="77777777" w:rsidR="00CD45DB" w:rsidRPr="00F110C2" w:rsidRDefault="00CD45DB" w:rsidP="00254EC9">
            <w:pPr>
              <w:pStyle w:val="Tabletext"/>
              <w:jc w:val="center"/>
            </w:pPr>
            <w:r w:rsidRPr="00F110C2">
              <w:t>5,565</w:t>
            </w:r>
          </w:p>
        </w:tc>
        <w:tc>
          <w:tcPr>
            <w:tcW w:w="3213" w:type="dxa"/>
          </w:tcPr>
          <w:p w14:paraId="077B0B86" w14:textId="77777777" w:rsidR="00CD45DB" w:rsidRPr="00F110C2" w:rsidRDefault="00CD45DB" w:rsidP="00254EC9">
            <w:pPr>
              <w:pStyle w:val="Tabletext"/>
              <w:jc w:val="center"/>
            </w:pPr>
            <w:r w:rsidRPr="00F110C2">
              <w:t>3,315</w:t>
            </w:r>
          </w:p>
        </w:tc>
        <w:tc>
          <w:tcPr>
            <w:tcW w:w="3213" w:type="dxa"/>
          </w:tcPr>
          <w:p w14:paraId="1675B613" w14:textId="2E804E27" w:rsidR="00CD45DB" w:rsidRPr="00F110C2" w:rsidRDefault="009615D1" w:rsidP="00254EC9">
            <w:pPr>
              <w:pStyle w:val="Tabletext"/>
              <w:jc w:val="center"/>
            </w:pPr>
            <w:r w:rsidRPr="00F110C2">
              <w:t>−</w:t>
            </w:r>
            <w:r w:rsidR="00CD45DB" w:rsidRPr="00F110C2">
              <w:t>10</w:t>
            </w:r>
          </w:p>
        </w:tc>
      </w:tr>
      <w:tr w:rsidR="00CD45DB" w:rsidRPr="00F110C2" w14:paraId="4D01ACD8" w14:textId="77777777" w:rsidTr="009615D1">
        <w:trPr>
          <w:jc w:val="center"/>
        </w:trPr>
        <w:tc>
          <w:tcPr>
            <w:tcW w:w="3213" w:type="dxa"/>
          </w:tcPr>
          <w:p w14:paraId="2C18D939" w14:textId="77777777" w:rsidR="00CD45DB" w:rsidRPr="00F110C2" w:rsidRDefault="00CD45DB" w:rsidP="00254EC9">
            <w:pPr>
              <w:pStyle w:val="Tabletext"/>
              <w:jc w:val="center"/>
            </w:pPr>
            <w:r w:rsidRPr="00F110C2">
              <w:t>6,1</w:t>
            </w:r>
          </w:p>
        </w:tc>
        <w:tc>
          <w:tcPr>
            <w:tcW w:w="3213" w:type="dxa"/>
          </w:tcPr>
          <w:p w14:paraId="50521AAD" w14:textId="77777777" w:rsidR="00CD45DB" w:rsidRPr="00F110C2" w:rsidRDefault="00CD45DB" w:rsidP="00254EC9">
            <w:pPr>
              <w:pStyle w:val="Tabletext"/>
              <w:jc w:val="center"/>
            </w:pPr>
            <w:r w:rsidRPr="00F110C2">
              <w:t>3,85</w:t>
            </w:r>
          </w:p>
        </w:tc>
        <w:tc>
          <w:tcPr>
            <w:tcW w:w="3213" w:type="dxa"/>
          </w:tcPr>
          <w:p w14:paraId="78D636CF" w14:textId="26186095" w:rsidR="00CD45DB" w:rsidRPr="00F110C2" w:rsidRDefault="009615D1" w:rsidP="00254EC9">
            <w:pPr>
              <w:pStyle w:val="Tabletext"/>
              <w:jc w:val="center"/>
            </w:pPr>
            <w:r w:rsidRPr="00F110C2">
              <w:t>−</w:t>
            </w:r>
            <w:r w:rsidR="00CD45DB" w:rsidRPr="00F110C2">
              <w:t>20</w:t>
            </w:r>
          </w:p>
        </w:tc>
      </w:tr>
      <w:tr w:rsidR="00CD45DB" w:rsidRPr="00F110C2" w14:paraId="363F777C" w14:textId="77777777" w:rsidTr="009615D1">
        <w:trPr>
          <w:jc w:val="center"/>
        </w:trPr>
        <w:tc>
          <w:tcPr>
            <w:tcW w:w="3213" w:type="dxa"/>
          </w:tcPr>
          <w:p w14:paraId="5450A7DE" w14:textId="77777777" w:rsidR="00CD45DB" w:rsidRPr="00F110C2" w:rsidRDefault="00CD45DB" w:rsidP="00254EC9">
            <w:pPr>
              <w:pStyle w:val="Tabletext"/>
              <w:jc w:val="center"/>
            </w:pPr>
            <w:r w:rsidRPr="00F110C2">
              <w:t>6,28</w:t>
            </w:r>
          </w:p>
        </w:tc>
        <w:tc>
          <w:tcPr>
            <w:tcW w:w="3213" w:type="dxa"/>
          </w:tcPr>
          <w:p w14:paraId="3544E1D7" w14:textId="77777777" w:rsidR="00CD45DB" w:rsidRPr="00F110C2" w:rsidRDefault="00CD45DB" w:rsidP="00254EC9">
            <w:pPr>
              <w:pStyle w:val="Tabletext"/>
              <w:jc w:val="center"/>
            </w:pPr>
            <w:r w:rsidRPr="00F110C2">
              <w:t>4,03</w:t>
            </w:r>
          </w:p>
        </w:tc>
        <w:tc>
          <w:tcPr>
            <w:tcW w:w="3213" w:type="dxa"/>
          </w:tcPr>
          <w:p w14:paraId="2E98C80D" w14:textId="32CE0CC4" w:rsidR="00CD45DB" w:rsidRPr="00F110C2" w:rsidRDefault="009615D1" w:rsidP="00254EC9">
            <w:pPr>
              <w:pStyle w:val="Tabletext"/>
              <w:jc w:val="center"/>
            </w:pPr>
            <w:r w:rsidRPr="00F110C2">
              <w:t>−</w:t>
            </w:r>
            <w:r w:rsidR="00CD45DB" w:rsidRPr="00F110C2">
              <w:t>50</w:t>
            </w:r>
          </w:p>
        </w:tc>
      </w:tr>
      <w:tr w:rsidR="00CD45DB" w:rsidRPr="00F110C2" w14:paraId="4E8937A7" w14:textId="77777777" w:rsidTr="009615D1">
        <w:trPr>
          <w:jc w:val="center"/>
        </w:trPr>
        <w:tc>
          <w:tcPr>
            <w:tcW w:w="3213" w:type="dxa"/>
          </w:tcPr>
          <w:p w14:paraId="3BD7A4F1" w14:textId="77777777" w:rsidR="00CD45DB" w:rsidRPr="00F110C2" w:rsidRDefault="00CD45DB" w:rsidP="00254EC9">
            <w:pPr>
              <w:pStyle w:val="Tabletext"/>
              <w:jc w:val="center"/>
            </w:pPr>
            <w:r w:rsidRPr="00F110C2">
              <w:t>11</w:t>
            </w:r>
          </w:p>
        </w:tc>
        <w:tc>
          <w:tcPr>
            <w:tcW w:w="3213" w:type="dxa"/>
          </w:tcPr>
          <w:p w14:paraId="5ADF83AC" w14:textId="77777777" w:rsidR="00CD45DB" w:rsidRPr="00F110C2" w:rsidRDefault="00CD45DB" w:rsidP="00254EC9">
            <w:pPr>
              <w:pStyle w:val="Tabletext"/>
              <w:jc w:val="center"/>
            </w:pPr>
            <w:r w:rsidRPr="00F110C2">
              <w:t>8,75</w:t>
            </w:r>
          </w:p>
        </w:tc>
        <w:tc>
          <w:tcPr>
            <w:tcW w:w="3213" w:type="dxa"/>
          </w:tcPr>
          <w:p w14:paraId="4BCB3A52" w14:textId="31A199A6" w:rsidR="00CD45DB" w:rsidRPr="00F110C2" w:rsidRDefault="009615D1" w:rsidP="00254EC9">
            <w:pPr>
              <w:pStyle w:val="Tabletext"/>
              <w:jc w:val="center"/>
            </w:pPr>
            <w:r w:rsidRPr="00F110C2">
              <w:t>−</w:t>
            </w:r>
            <w:r w:rsidR="00CD45DB" w:rsidRPr="00F110C2">
              <w:t>56</w:t>
            </w:r>
          </w:p>
        </w:tc>
      </w:tr>
      <w:tr w:rsidR="00CD45DB" w:rsidRPr="00F110C2" w14:paraId="4283A09B" w14:textId="77777777" w:rsidTr="009615D1">
        <w:trPr>
          <w:jc w:val="center"/>
        </w:trPr>
        <w:tc>
          <w:tcPr>
            <w:tcW w:w="3213" w:type="dxa"/>
          </w:tcPr>
          <w:p w14:paraId="0128CFAC" w14:textId="77777777" w:rsidR="00CD45DB" w:rsidRPr="00F110C2" w:rsidRDefault="00CD45DB" w:rsidP="00254EC9">
            <w:pPr>
              <w:pStyle w:val="Tabletext"/>
              <w:jc w:val="center"/>
            </w:pPr>
            <w:r w:rsidRPr="00F110C2">
              <w:t>12,75</w:t>
            </w:r>
          </w:p>
        </w:tc>
        <w:tc>
          <w:tcPr>
            <w:tcW w:w="3213" w:type="dxa"/>
          </w:tcPr>
          <w:p w14:paraId="15B3B056" w14:textId="77777777" w:rsidR="00CD45DB" w:rsidRPr="00F110C2" w:rsidRDefault="00CD45DB" w:rsidP="00254EC9">
            <w:pPr>
              <w:pStyle w:val="Tabletext"/>
              <w:jc w:val="center"/>
            </w:pPr>
            <w:r w:rsidRPr="00F110C2">
              <w:t>10,5</w:t>
            </w:r>
          </w:p>
        </w:tc>
        <w:tc>
          <w:tcPr>
            <w:tcW w:w="3213" w:type="dxa"/>
          </w:tcPr>
          <w:p w14:paraId="29808539" w14:textId="7AA9D91B" w:rsidR="00CD45DB" w:rsidRPr="00F110C2" w:rsidRDefault="009615D1" w:rsidP="00254EC9">
            <w:pPr>
              <w:pStyle w:val="Tabletext"/>
              <w:jc w:val="center"/>
            </w:pPr>
            <w:r w:rsidRPr="00F110C2">
              <w:t>−</w:t>
            </w:r>
            <w:r w:rsidR="00CD45DB" w:rsidRPr="00F110C2">
              <w:t>65,5</w:t>
            </w:r>
          </w:p>
        </w:tc>
      </w:tr>
      <w:tr w:rsidR="00CD45DB" w:rsidRPr="00F110C2" w14:paraId="7DEEEB4D" w14:textId="77777777" w:rsidTr="009615D1">
        <w:trPr>
          <w:jc w:val="center"/>
        </w:trPr>
        <w:tc>
          <w:tcPr>
            <w:tcW w:w="3213" w:type="dxa"/>
          </w:tcPr>
          <w:p w14:paraId="4EB521AD" w14:textId="77777777" w:rsidR="00CD45DB" w:rsidRPr="00F110C2" w:rsidRDefault="00CD45DB" w:rsidP="00254EC9">
            <w:pPr>
              <w:pStyle w:val="Tabletext"/>
              <w:jc w:val="center"/>
            </w:pPr>
            <w:r w:rsidRPr="00F110C2">
              <w:t>19,75</w:t>
            </w:r>
          </w:p>
        </w:tc>
        <w:tc>
          <w:tcPr>
            <w:tcW w:w="3213" w:type="dxa"/>
          </w:tcPr>
          <w:p w14:paraId="15D9D765" w14:textId="77777777" w:rsidR="00CD45DB" w:rsidRPr="00F110C2" w:rsidRDefault="00CD45DB" w:rsidP="00254EC9">
            <w:pPr>
              <w:pStyle w:val="Tabletext"/>
              <w:jc w:val="center"/>
            </w:pPr>
            <w:r w:rsidRPr="00F110C2">
              <w:t>17,5</w:t>
            </w:r>
          </w:p>
        </w:tc>
        <w:tc>
          <w:tcPr>
            <w:tcW w:w="3213" w:type="dxa"/>
          </w:tcPr>
          <w:p w14:paraId="61290698" w14:textId="13D35F0D" w:rsidR="00CD45DB" w:rsidRPr="00F110C2" w:rsidRDefault="009615D1" w:rsidP="00254EC9">
            <w:pPr>
              <w:pStyle w:val="Tabletext"/>
              <w:jc w:val="center"/>
            </w:pPr>
            <w:r w:rsidRPr="00F110C2">
              <w:t>−</w:t>
            </w:r>
            <w:r w:rsidR="00CD45DB" w:rsidRPr="00F110C2">
              <w:t>90,5</w:t>
            </w:r>
          </w:p>
        </w:tc>
      </w:tr>
    </w:tbl>
    <w:p w14:paraId="51C5F35D" w14:textId="77777777" w:rsidR="00CD45DB" w:rsidRPr="00F110C2" w:rsidRDefault="00CD45DB" w:rsidP="00254EC9">
      <w:pPr>
        <w:pStyle w:val="Tablefin"/>
      </w:pPr>
    </w:p>
    <w:p w14:paraId="32162382" w14:textId="77777777" w:rsidR="00CD45DB" w:rsidRPr="00F110C2" w:rsidRDefault="00CD45DB" w:rsidP="00254EC9">
      <w:r w:rsidRPr="00F110C2">
        <w:t>Le Tableau 10 donne les valeurs de point d'extrémité à utiliser conjointement avec le Tableau 9 et la Fig. 20, applicables à une plage de puissances de sortie d'émetteur, pour la télévision analogique à 7 MHz, modulation négative, BLR de 0,75 MHz.</w:t>
      </w:r>
    </w:p>
    <w:p w14:paraId="165CFB36" w14:textId="77777777" w:rsidR="00CD45DB" w:rsidRPr="00F110C2" w:rsidRDefault="00CD45DB" w:rsidP="00254EC9">
      <w:pPr>
        <w:pStyle w:val="TableNo"/>
      </w:pPr>
      <w:r w:rsidRPr="00F110C2">
        <w:t>TABLEAU 10</w:t>
      </w:r>
    </w:p>
    <w:p w14:paraId="081DF6F3" w14:textId="77777777" w:rsidR="00CD45DB" w:rsidRPr="00F110C2" w:rsidRDefault="00CD45DB" w:rsidP="00254EC9">
      <w:pPr>
        <w:pStyle w:val="Tabletitle"/>
      </w:pPr>
      <w:r w:rsidRPr="00F110C2">
        <w:t>Valeurs de point d'extrémité pour la télévision analogique à 7 MHz,</w:t>
      </w:r>
      <w:r w:rsidRPr="00F110C2">
        <w:br/>
        <w:t>modulation négative, BLR de 0,75 MHz</w:t>
      </w:r>
    </w:p>
    <w:tbl>
      <w:tblPr>
        <w:tblW w:w="96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
        <w:gridCol w:w="3205"/>
        <w:gridCol w:w="8"/>
        <w:gridCol w:w="3205"/>
        <w:gridCol w:w="8"/>
        <w:gridCol w:w="3205"/>
        <w:gridCol w:w="8"/>
      </w:tblGrid>
      <w:tr w:rsidR="00CD45DB" w:rsidRPr="00F110C2" w14:paraId="4909DA42" w14:textId="77777777" w:rsidTr="009615D1">
        <w:trPr>
          <w:gridBefore w:val="1"/>
          <w:wBefore w:w="8" w:type="dxa"/>
          <w:jc w:val="center"/>
        </w:trPr>
        <w:tc>
          <w:tcPr>
            <w:tcW w:w="3213" w:type="dxa"/>
            <w:gridSpan w:val="2"/>
            <w:tcBorders>
              <w:top w:val="single" w:sz="6" w:space="0" w:color="auto"/>
              <w:left w:val="single" w:sz="6" w:space="0" w:color="auto"/>
              <w:bottom w:val="single" w:sz="6" w:space="0" w:color="auto"/>
              <w:right w:val="single" w:sz="6" w:space="0" w:color="auto"/>
            </w:tcBorders>
            <w:vAlign w:val="center"/>
          </w:tcPr>
          <w:p w14:paraId="009781D4" w14:textId="3C1B0472" w:rsidR="00CD45DB" w:rsidRPr="00F110C2" w:rsidRDefault="00CD45DB" w:rsidP="00254EC9">
            <w:pPr>
              <w:pStyle w:val="Tablehead"/>
            </w:pPr>
            <w:r w:rsidRPr="00F110C2">
              <w:t>Valeur de point d'extrémité</w:t>
            </w:r>
            <w:r w:rsidRPr="00F110C2">
              <w:rPr>
                <w:vertAlign w:val="superscript"/>
              </w:rPr>
              <w:t>(1)</w:t>
            </w:r>
            <w:r w:rsidRPr="00F110C2">
              <w:t xml:space="preserve"> (largeur de bande de mesure </w:t>
            </w:r>
            <w:r w:rsidR="00F91EA9" w:rsidRPr="00F110C2">
              <w:br/>
            </w:r>
            <w:r w:rsidRPr="00F110C2">
              <w:t>de 50 kHz)</w:t>
            </w:r>
            <w:r w:rsidR="00F91EA9" w:rsidRPr="00F110C2">
              <w:t xml:space="preserve"> </w:t>
            </w:r>
            <w:r w:rsidRPr="00F110C2">
              <w:t>(dB)</w:t>
            </w:r>
          </w:p>
        </w:tc>
        <w:tc>
          <w:tcPr>
            <w:tcW w:w="3213" w:type="dxa"/>
            <w:gridSpan w:val="2"/>
            <w:tcBorders>
              <w:top w:val="single" w:sz="6" w:space="0" w:color="auto"/>
              <w:left w:val="single" w:sz="6" w:space="0" w:color="auto"/>
              <w:bottom w:val="single" w:sz="6" w:space="0" w:color="auto"/>
              <w:right w:val="single" w:sz="6" w:space="0" w:color="auto"/>
            </w:tcBorders>
            <w:vAlign w:val="center"/>
          </w:tcPr>
          <w:p w14:paraId="4F5C424F" w14:textId="0ACE9920" w:rsidR="00CD45DB" w:rsidRPr="00F110C2" w:rsidRDefault="00CD45DB" w:rsidP="00254EC9">
            <w:pPr>
              <w:pStyle w:val="Tablehead"/>
            </w:pPr>
            <w:r w:rsidRPr="00F110C2">
              <w:t>Plage de puissances</w:t>
            </w:r>
            <w:r w:rsidR="00F91EA9" w:rsidRPr="00F110C2">
              <w:t xml:space="preserve"> </w:t>
            </w:r>
            <w:r w:rsidRPr="00F110C2">
              <w:t>(dBW)</w:t>
            </w:r>
          </w:p>
        </w:tc>
        <w:tc>
          <w:tcPr>
            <w:tcW w:w="3213" w:type="dxa"/>
            <w:gridSpan w:val="2"/>
            <w:tcBorders>
              <w:top w:val="single" w:sz="6" w:space="0" w:color="auto"/>
              <w:left w:val="single" w:sz="6" w:space="0" w:color="auto"/>
              <w:bottom w:val="single" w:sz="6" w:space="0" w:color="auto"/>
              <w:right w:val="single" w:sz="6" w:space="0" w:color="auto"/>
            </w:tcBorders>
            <w:vAlign w:val="center"/>
          </w:tcPr>
          <w:p w14:paraId="2168B58E" w14:textId="77777777" w:rsidR="00CD45DB" w:rsidRPr="00F110C2" w:rsidRDefault="00CD45DB" w:rsidP="00254EC9">
            <w:pPr>
              <w:pStyle w:val="Tablehead"/>
            </w:pPr>
            <w:r w:rsidRPr="00F110C2">
              <w:t>Niveau correspondant des rayonnements non essentiels (dans une largeur de bande de mesure de 100 kHz)</w:t>
            </w:r>
          </w:p>
        </w:tc>
      </w:tr>
      <w:tr w:rsidR="00CD45DB" w:rsidRPr="00F110C2" w14:paraId="25245178" w14:textId="77777777" w:rsidTr="009615D1">
        <w:trPr>
          <w:gridBefore w:val="1"/>
          <w:wBefore w:w="8" w:type="dxa"/>
          <w:jc w:val="center"/>
        </w:trPr>
        <w:tc>
          <w:tcPr>
            <w:tcW w:w="3213" w:type="dxa"/>
            <w:gridSpan w:val="2"/>
            <w:tcBorders>
              <w:top w:val="single" w:sz="6" w:space="0" w:color="auto"/>
              <w:left w:val="single" w:sz="6" w:space="0" w:color="auto"/>
              <w:bottom w:val="single" w:sz="6" w:space="0" w:color="auto"/>
              <w:right w:val="single" w:sz="6" w:space="0" w:color="auto"/>
            </w:tcBorders>
          </w:tcPr>
          <w:p w14:paraId="1A06EF5E" w14:textId="5EBDBF09" w:rsidR="00CD45DB" w:rsidRPr="00F110C2" w:rsidRDefault="009615D1" w:rsidP="00254EC9">
            <w:pPr>
              <w:pStyle w:val="Tabletext"/>
              <w:jc w:val="center"/>
            </w:pPr>
            <w:r w:rsidRPr="00F110C2">
              <w:t>−</w:t>
            </w:r>
            <w:r w:rsidR="00CD45DB" w:rsidRPr="00F110C2">
              <w:t>80,5 </w:t>
            </w:r>
            <w:r w:rsidRPr="00F110C2">
              <w:t>−</w:t>
            </w:r>
            <w:r w:rsidR="00CD45DB" w:rsidRPr="00F110C2">
              <w:t> (</w:t>
            </w:r>
            <w:r w:rsidR="00CD45DB" w:rsidRPr="00F110C2">
              <w:rPr>
                <w:i/>
                <w:iCs/>
              </w:rPr>
              <w:t>P</w:t>
            </w:r>
            <w:r w:rsidR="00CD45DB" w:rsidRPr="00F110C2">
              <w:t> </w:t>
            </w:r>
            <w:r w:rsidRPr="00F110C2">
              <w:t>−</w:t>
            </w:r>
            <w:r w:rsidR="00CD45DB" w:rsidRPr="00F110C2">
              <w:t> 9)</w:t>
            </w:r>
          </w:p>
        </w:tc>
        <w:tc>
          <w:tcPr>
            <w:tcW w:w="3213" w:type="dxa"/>
            <w:gridSpan w:val="2"/>
            <w:tcBorders>
              <w:top w:val="single" w:sz="6" w:space="0" w:color="auto"/>
              <w:left w:val="single" w:sz="6" w:space="0" w:color="auto"/>
              <w:bottom w:val="single" w:sz="6" w:space="0" w:color="auto"/>
              <w:right w:val="single" w:sz="6" w:space="0" w:color="auto"/>
            </w:tcBorders>
          </w:tcPr>
          <w:p w14:paraId="1719B760" w14:textId="77777777" w:rsidR="00CD45DB" w:rsidRPr="00F110C2" w:rsidRDefault="00CD45DB" w:rsidP="00254EC9">
            <w:pPr>
              <w:pStyle w:val="Tabletext"/>
              <w:tabs>
                <w:tab w:val="clear" w:pos="284"/>
                <w:tab w:val="clear" w:pos="567"/>
                <w:tab w:val="clear" w:pos="851"/>
                <w:tab w:val="clear" w:pos="1134"/>
                <w:tab w:val="clear" w:pos="1418"/>
                <w:tab w:val="left" w:pos="604"/>
                <w:tab w:val="left" w:pos="1171"/>
              </w:tabs>
            </w:pPr>
            <w:r w:rsidRPr="00F110C2">
              <w:rPr>
                <w:i/>
                <w:iCs/>
                <w:szCs w:val="24"/>
              </w:rPr>
              <w:tab/>
            </w:r>
            <w:r w:rsidRPr="00F110C2">
              <w:rPr>
                <w:i/>
                <w:iCs/>
                <w:szCs w:val="24"/>
              </w:rPr>
              <w:tab/>
              <w:t>P</w:t>
            </w:r>
            <w:r w:rsidRPr="00F110C2">
              <w:rPr>
                <w:szCs w:val="24"/>
              </w:rPr>
              <w:t> </w:t>
            </w:r>
            <w:r w:rsidRPr="00F110C2">
              <w:rPr>
                <w:rFonts w:ascii="Symbol" w:hAnsi="Symbol"/>
              </w:rPr>
              <w:sym w:font="Symbol" w:char="F0A3"/>
            </w:r>
            <w:r w:rsidRPr="00F110C2">
              <w:rPr>
                <w:szCs w:val="24"/>
              </w:rPr>
              <w:t> 9</w:t>
            </w:r>
          </w:p>
        </w:tc>
        <w:tc>
          <w:tcPr>
            <w:tcW w:w="3213" w:type="dxa"/>
            <w:gridSpan w:val="2"/>
            <w:tcBorders>
              <w:top w:val="single" w:sz="6" w:space="0" w:color="auto"/>
              <w:left w:val="single" w:sz="6" w:space="0" w:color="auto"/>
              <w:bottom w:val="single" w:sz="6" w:space="0" w:color="auto"/>
              <w:right w:val="single" w:sz="6" w:space="0" w:color="auto"/>
            </w:tcBorders>
          </w:tcPr>
          <w:p w14:paraId="509CA9A0" w14:textId="07A0C121" w:rsidR="00CD45DB" w:rsidRPr="00F110C2" w:rsidRDefault="009615D1" w:rsidP="00254EC9">
            <w:pPr>
              <w:pStyle w:val="Tabletext"/>
              <w:jc w:val="center"/>
            </w:pPr>
            <w:r w:rsidRPr="00F110C2">
              <w:t>−</w:t>
            </w:r>
            <w:r w:rsidR="00CD45DB" w:rsidRPr="00F110C2">
              <w:t>36 dBm</w:t>
            </w:r>
          </w:p>
        </w:tc>
      </w:tr>
      <w:tr w:rsidR="00CD45DB" w:rsidRPr="00F110C2" w14:paraId="3FA54B16" w14:textId="77777777" w:rsidTr="009615D1">
        <w:trPr>
          <w:gridBefore w:val="1"/>
          <w:wBefore w:w="8" w:type="dxa"/>
          <w:jc w:val="center"/>
        </w:trPr>
        <w:tc>
          <w:tcPr>
            <w:tcW w:w="3213" w:type="dxa"/>
            <w:gridSpan w:val="2"/>
            <w:tcBorders>
              <w:top w:val="single" w:sz="6" w:space="0" w:color="auto"/>
              <w:left w:val="single" w:sz="6" w:space="0" w:color="auto"/>
              <w:bottom w:val="single" w:sz="6" w:space="0" w:color="auto"/>
              <w:right w:val="single" w:sz="6" w:space="0" w:color="auto"/>
            </w:tcBorders>
          </w:tcPr>
          <w:p w14:paraId="7D56231C" w14:textId="38A34D73" w:rsidR="00CD45DB" w:rsidRPr="00F110C2" w:rsidRDefault="009615D1" w:rsidP="00254EC9">
            <w:pPr>
              <w:pStyle w:val="Tabletext"/>
              <w:jc w:val="center"/>
            </w:pPr>
            <w:r w:rsidRPr="00F110C2">
              <w:rPr>
                <w:caps/>
              </w:rPr>
              <w:t>−</w:t>
            </w:r>
            <w:r w:rsidR="00CD45DB" w:rsidRPr="00F110C2">
              <w:rPr>
                <w:caps/>
              </w:rPr>
              <w:t>80,5</w:t>
            </w:r>
          </w:p>
        </w:tc>
        <w:tc>
          <w:tcPr>
            <w:tcW w:w="3213" w:type="dxa"/>
            <w:gridSpan w:val="2"/>
            <w:tcBorders>
              <w:top w:val="single" w:sz="6" w:space="0" w:color="auto"/>
              <w:left w:val="single" w:sz="6" w:space="0" w:color="auto"/>
              <w:bottom w:val="single" w:sz="6" w:space="0" w:color="auto"/>
              <w:right w:val="single" w:sz="6" w:space="0" w:color="auto"/>
            </w:tcBorders>
          </w:tcPr>
          <w:p w14:paraId="6C8DE40D" w14:textId="77777777" w:rsidR="00CD45DB" w:rsidRPr="00F110C2" w:rsidRDefault="00CD45DB" w:rsidP="00254EC9">
            <w:pPr>
              <w:pStyle w:val="Tabletext"/>
              <w:tabs>
                <w:tab w:val="clear" w:pos="284"/>
                <w:tab w:val="clear" w:pos="567"/>
                <w:tab w:val="clear" w:pos="851"/>
                <w:tab w:val="clear" w:pos="1134"/>
                <w:tab w:val="clear" w:pos="1418"/>
                <w:tab w:val="left" w:pos="604"/>
                <w:tab w:val="left" w:pos="1171"/>
              </w:tabs>
            </w:pPr>
            <w:r w:rsidRPr="00F110C2">
              <w:rPr>
                <w:szCs w:val="24"/>
              </w:rPr>
              <w:tab/>
              <w:t>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29</w:t>
            </w:r>
          </w:p>
        </w:tc>
        <w:tc>
          <w:tcPr>
            <w:tcW w:w="3213" w:type="dxa"/>
            <w:gridSpan w:val="2"/>
            <w:tcBorders>
              <w:top w:val="single" w:sz="6" w:space="0" w:color="auto"/>
              <w:left w:val="single" w:sz="6" w:space="0" w:color="auto"/>
              <w:bottom w:val="single" w:sz="6" w:space="0" w:color="auto"/>
              <w:right w:val="single" w:sz="6" w:space="0" w:color="auto"/>
            </w:tcBorders>
          </w:tcPr>
          <w:p w14:paraId="1A72C2BB" w14:textId="77777777" w:rsidR="00CD45DB" w:rsidRPr="00F110C2" w:rsidRDefault="00CD45DB" w:rsidP="00254EC9">
            <w:pPr>
              <w:pStyle w:val="Tabletext"/>
              <w:jc w:val="center"/>
            </w:pPr>
            <w:r w:rsidRPr="00F110C2">
              <w:t>75 dBc</w:t>
            </w:r>
          </w:p>
        </w:tc>
      </w:tr>
      <w:tr w:rsidR="00CD45DB" w:rsidRPr="00F110C2" w14:paraId="360C5F06" w14:textId="77777777" w:rsidTr="009615D1">
        <w:trPr>
          <w:gridBefore w:val="1"/>
          <w:wBefore w:w="8" w:type="dxa"/>
          <w:jc w:val="center"/>
        </w:trPr>
        <w:tc>
          <w:tcPr>
            <w:tcW w:w="3213" w:type="dxa"/>
            <w:gridSpan w:val="2"/>
            <w:tcBorders>
              <w:top w:val="single" w:sz="6" w:space="0" w:color="auto"/>
              <w:left w:val="single" w:sz="6" w:space="0" w:color="auto"/>
              <w:bottom w:val="single" w:sz="6" w:space="0" w:color="auto"/>
              <w:right w:val="single" w:sz="6" w:space="0" w:color="auto"/>
            </w:tcBorders>
          </w:tcPr>
          <w:p w14:paraId="433E6BF3" w14:textId="693FA4D4" w:rsidR="00CD45DB" w:rsidRPr="00F110C2" w:rsidRDefault="009615D1" w:rsidP="00254EC9">
            <w:pPr>
              <w:pStyle w:val="Tabletext"/>
              <w:jc w:val="center"/>
            </w:pPr>
            <w:r w:rsidRPr="00F110C2">
              <w:t>−</w:t>
            </w:r>
            <w:r w:rsidR="00CD45DB" w:rsidRPr="00F110C2">
              <w:t>80,5 </w:t>
            </w:r>
            <w:r w:rsidRPr="00F110C2">
              <w:t>−</w:t>
            </w:r>
            <w:r w:rsidR="00CD45DB" w:rsidRPr="00F110C2">
              <w:t> (</w:t>
            </w:r>
            <w:r w:rsidR="00CD45DB" w:rsidRPr="00F110C2">
              <w:rPr>
                <w:i/>
                <w:iCs/>
              </w:rPr>
              <w:t>P</w:t>
            </w:r>
            <w:r w:rsidR="00CD45DB" w:rsidRPr="00F110C2">
              <w:t> </w:t>
            </w:r>
            <w:r w:rsidRPr="00F110C2">
              <w:t>−</w:t>
            </w:r>
            <w:r w:rsidR="00CD45DB" w:rsidRPr="00F110C2">
              <w:t> 29)</w:t>
            </w:r>
          </w:p>
        </w:tc>
        <w:tc>
          <w:tcPr>
            <w:tcW w:w="3213" w:type="dxa"/>
            <w:gridSpan w:val="2"/>
            <w:tcBorders>
              <w:top w:val="single" w:sz="6" w:space="0" w:color="auto"/>
              <w:left w:val="single" w:sz="6" w:space="0" w:color="auto"/>
              <w:bottom w:val="single" w:sz="6" w:space="0" w:color="auto"/>
              <w:right w:val="single" w:sz="6" w:space="0" w:color="auto"/>
            </w:tcBorders>
          </w:tcPr>
          <w:p w14:paraId="4CC024C4" w14:textId="77777777" w:rsidR="00CD45DB" w:rsidRPr="00F110C2" w:rsidRDefault="00CD45DB" w:rsidP="00254EC9">
            <w:pPr>
              <w:pStyle w:val="Tabletext"/>
              <w:tabs>
                <w:tab w:val="clear" w:pos="284"/>
                <w:tab w:val="clear" w:pos="567"/>
                <w:tab w:val="clear" w:pos="851"/>
                <w:tab w:val="clear" w:pos="1134"/>
                <w:tab w:val="clear" w:pos="1418"/>
                <w:tab w:val="left" w:pos="604"/>
                <w:tab w:val="left" w:pos="1171"/>
              </w:tabs>
            </w:pPr>
            <w:r w:rsidRPr="00F110C2">
              <w:rPr>
                <w:szCs w:val="24"/>
              </w:rPr>
              <w:tab/>
              <w:t>29 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39</w:t>
            </w:r>
          </w:p>
        </w:tc>
        <w:tc>
          <w:tcPr>
            <w:tcW w:w="3213" w:type="dxa"/>
            <w:gridSpan w:val="2"/>
            <w:tcBorders>
              <w:top w:val="single" w:sz="6" w:space="0" w:color="auto"/>
              <w:left w:val="single" w:sz="6" w:space="0" w:color="auto"/>
              <w:bottom w:val="single" w:sz="6" w:space="0" w:color="auto"/>
              <w:right w:val="single" w:sz="6" w:space="0" w:color="auto"/>
            </w:tcBorders>
          </w:tcPr>
          <w:p w14:paraId="024F44BB" w14:textId="1697B993" w:rsidR="00CD45DB" w:rsidRPr="00F110C2" w:rsidRDefault="009615D1" w:rsidP="00254EC9">
            <w:pPr>
              <w:pStyle w:val="Tabletext"/>
              <w:jc w:val="center"/>
            </w:pPr>
            <w:r w:rsidRPr="00F110C2">
              <w:t>−</w:t>
            </w:r>
            <w:r w:rsidR="00CD45DB" w:rsidRPr="00F110C2">
              <w:t>16 dBm</w:t>
            </w:r>
          </w:p>
        </w:tc>
      </w:tr>
      <w:tr w:rsidR="009615D1" w:rsidRPr="00F110C2" w14:paraId="3BBA469E" w14:textId="77777777" w:rsidTr="009615D1">
        <w:trPr>
          <w:gridAfter w:val="1"/>
          <w:wAfter w:w="8" w:type="dxa"/>
          <w:jc w:val="center"/>
        </w:trPr>
        <w:tc>
          <w:tcPr>
            <w:tcW w:w="9639" w:type="dxa"/>
            <w:gridSpan w:val="6"/>
            <w:tcBorders>
              <w:top w:val="nil"/>
              <w:left w:val="nil"/>
              <w:bottom w:val="single" w:sz="6" w:space="0" w:color="auto"/>
              <w:right w:val="nil"/>
            </w:tcBorders>
            <w:vAlign w:val="center"/>
          </w:tcPr>
          <w:p w14:paraId="68B67BDA" w14:textId="0E2B3B0C" w:rsidR="009615D1" w:rsidRPr="00F110C2" w:rsidRDefault="009615D1" w:rsidP="00254EC9">
            <w:pPr>
              <w:pStyle w:val="TableNo"/>
            </w:pPr>
            <w:r w:rsidRPr="00F110C2">
              <w:lastRenderedPageBreak/>
              <w:t>TABLEAU 10 (</w:t>
            </w:r>
            <w:r w:rsidRPr="00F110C2">
              <w:rPr>
                <w:i/>
                <w:iCs/>
              </w:rPr>
              <w:t>fin</w:t>
            </w:r>
            <w:r w:rsidRPr="00F110C2">
              <w:t>)</w:t>
            </w:r>
          </w:p>
        </w:tc>
      </w:tr>
      <w:tr w:rsidR="009615D1" w:rsidRPr="00F110C2" w14:paraId="3ADF8CBD" w14:textId="77777777" w:rsidTr="009615D1">
        <w:trPr>
          <w:gridAfter w:val="1"/>
          <w:wAfter w:w="8" w:type="dxa"/>
          <w:jc w:val="center"/>
        </w:trPr>
        <w:tc>
          <w:tcPr>
            <w:tcW w:w="3213" w:type="dxa"/>
            <w:gridSpan w:val="2"/>
            <w:tcBorders>
              <w:top w:val="single" w:sz="6" w:space="0" w:color="auto"/>
              <w:left w:val="single" w:sz="6" w:space="0" w:color="auto"/>
              <w:bottom w:val="single" w:sz="6" w:space="0" w:color="auto"/>
              <w:right w:val="single" w:sz="6" w:space="0" w:color="auto"/>
            </w:tcBorders>
            <w:vAlign w:val="center"/>
          </w:tcPr>
          <w:p w14:paraId="230DFB23" w14:textId="77777777" w:rsidR="009615D1" w:rsidRPr="00F110C2" w:rsidRDefault="009615D1" w:rsidP="00254EC9">
            <w:pPr>
              <w:pStyle w:val="Tablehead"/>
            </w:pPr>
            <w:r w:rsidRPr="00F110C2">
              <w:t>Valeur de point d'extrémité</w:t>
            </w:r>
            <w:r w:rsidRPr="00F110C2">
              <w:rPr>
                <w:vertAlign w:val="superscript"/>
              </w:rPr>
              <w:t>(1)</w:t>
            </w:r>
            <w:r w:rsidRPr="00F110C2">
              <w:t xml:space="preserve"> (largeur de bande de mesure </w:t>
            </w:r>
            <w:r w:rsidRPr="00F110C2">
              <w:br/>
              <w:t>de 50 kHz) (dB)</w:t>
            </w:r>
          </w:p>
        </w:tc>
        <w:tc>
          <w:tcPr>
            <w:tcW w:w="3213" w:type="dxa"/>
            <w:gridSpan w:val="2"/>
            <w:tcBorders>
              <w:top w:val="single" w:sz="6" w:space="0" w:color="auto"/>
              <w:left w:val="single" w:sz="6" w:space="0" w:color="auto"/>
              <w:bottom w:val="single" w:sz="6" w:space="0" w:color="auto"/>
              <w:right w:val="single" w:sz="6" w:space="0" w:color="auto"/>
            </w:tcBorders>
            <w:vAlign w:val="center"/>
          </w:tcPr>
          <w:p w14:paraId="6A683FC2" w14:textId="77777777" w:rsidR="009615D1" w:rsidRPr="00F110C2" w:rsidRDefault="009615D1" w:rsidP="00254EC9">
            <w:pPr>
              <w:pStyle w:val="Tablehead"/>
            </w:pPr>
            <w:r w:rsidRPr="00F110C2">
              <w:t>Plage de puissances (dBW)</w:t>
            </w:r>
          </w:p>
        </w:tc>
        <w:tc>
          <w:tcPr>
            <w:tcW w:w="3213" w:type="dxa"/>
            <w:gridSpan w:val="2"/>
            <w:tcBorders>
              <w:top w:val="single" w:sz="6" w:space="0" w:color="auto"/>
              <w:left w:val="single" w:sz="6" w:space="0" w:color="auto"/>
              <w:bottom w:val="single" w:sz="6" w:space="0" w:color="auto"/>
              <w:right w:val="single" w:sz="6" w:space="0" w:color="auto"/>
            </w:tcBorders>
            <w:vAlign w:val="center"/>
          </w:tcPr>
          <w:p w14:paraId="3C62F1B5" w14:textId="77777777" w:rsidR="009615D1" w:rsidRPr="00F110C2" w:rsidRDefault="009615D1" w:rsidP="00254EC9">
            <w:pPr>
              <w:pStyle w:val="Tablehead"/>
            </w:pPr>
            <w:r w:rsidRPr="00F110C2">
              <w:t>Niveau correspondant des rayonnements non essentiels (dans une largeur de bande de mesure de 100 kHz)</w:t>
            </w:r>
          </w:p>
        </w:tc>
      </w:tr>
      <w:tr w:rsidR="00CD45DB" w:rsidRPr="00F110C2" w14:paraId="3FEE5615" w14:textId="77777777" w:rsidTr="009615D1">
        <w:trPr>
          <w:gridAfter w:val="1"/>
          <w:wAfter w:w="8" w:type="dxa"/>
          <w:jc w:val="center"/>
        </w:trPr>
        <w:tc>
          <w:tcPr>
            <w:tcW w:w="3213" w:type="dxa"/>
            <w:gridSpan w:val="2"/>
            <w:tcBorders>
              <w:top w:val="single" w:sz="6" w:space="0" w:color="auto"/>
              <w:left w:val="single" w:sz="6" w:space="0" w:color="auto"/>
              <w:bottom w:val="single" w:sz="6" w:space="0" w:color="auto"/>
              <w:right w:val="single" w:sz="6" w:space="0" w:color="auto"/>
            </w:tcBorders>
          </w:tcPr>
          <w:p w14:paraId="13A63FA7" w14:textId="69E8F0B2" w:rsidR="00CD45DB" w:rsidRPr="00F110C2" w:rsidRDefault="009615D1" w:rsidP="00254EC9">
            <w:pPr>
              <w:pStyle w:val="Tabletext"/>
              <w:jc w:val="center"/>
            </w:pPr>
            <w:r w:rsidRPr="00F110C2">
              <w:t>−</w:t>
            </w:r>
            <w:r w:rsidR="00CD45DB" w:rsidRPr="00F110C2">
              <w:t>90,5</w:t>
            </w:r>
          </w:p>
        </w:tc>
        <w:tc>
          <w:tcPr>
            <w:tcW w:w="3213" w:type="dxa"/>
            <w:gridSpan w:val="2"/>
            <w:tcBorders>
              <w:top w:val="single" w:sz="6" w:space="0" w:color="auto"/>
              <w:left w:val="single" w:sz="6" w:space="0" w:color="auto"/>
              <w:bottom w:val="single" w:sz="6" w:space="0" w:color="auto"/>
              <w:right w:val="single" w:sz="6" w:space="0" w:color="auto"/>
            </w:tcBorders>
          </w:tcPr>
          <w:p w14:paraId="6BE4A54F" w14:textId="77777777" w:rsidR="00CD45DB" w:rsidRPr="00F110C2" w:rsidRDefault="00CD45DB" w:rsidP="00254EC9">
            <w:pPr>
              <w:pStyle w:val="Tabletext"/>
              <w:tabs>
                <w:tab w:val="clear" w:pos="284"/>
                <w:tab w:val="clear" w:pos="567"/>
                <w:tab w:val="clear" w:pos="851"/>
                <w:tab w:val="clear" w:pos="1134"/>
                <w:tab w:val="clear" w:pos="1418"/>
                <w:tab w:val="left" w:pos="604"/>
                <w:tab w:val="left" w:pos="1171"/>
              </w:tabs>
            </w:pPr>
            <w:r w:rsidRPr="00F110C2">
              <w:rPr>
                <w:szCs w:val="24"/>
              </w:rPr>
              <w:tab/>
              <w:t>39 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50</w:t>
            </w:r>
          </w:p>
        </w:tc>
        <w:tc>
          <w:tcPr>
            <w:tcW w:w="3213" w:type="dxa"/>
            <w:gridSpan w:val="2"/>
            <w:tcBorders>
              <w:top w:val="single" w:sz="6" w:space="0" w:color="auto"/>
              <w:left w:val="single" w:sz="6" w:space="0" w:color="auto"/>
              <w:bottom w:val="single" w:sz="6" w:space="0" w:color="auto"/>
              <w:right w:val="single" w:sz="6" w:space="0" w:color="auto"/>
            </w:tcBorders>
          </w:tcPr>
          <w:p w14:paraId="3DA6B804" w14:textId="77777777" w:rsidR="00CD45DB" w:rsidRPr="00F110C2" w:rsidRDefault="00CD45DB" w:rsidP="00254EC9">
            <w:pPr>
              <w:pStyle w:val="Tabletext"/>
              <w:jc w:val="center"/>
            </w:pPr>
            <w:r w:rsidRPr="00F110C2">
              <w:t>85 dBc</w:t>
            </w:r>
          </w:p>
        </w:tc>
      </w:tr>
      <w:tr w:rsidR="00CD45DB" w:rsidRPr="00F110C2" w14:paraId="03841911" w14:textId="77777777" w:rsidTr="009615D1">
        <w:trPr>
          <w:gridAfter w:val="1"/>
          <w:wAfter w:w="8" w:type="dxa"/>
          <w:jc w:val="center"/>
        </w:trPr>
        <w:tc>
          <w:tcPr>
            <w:tcW w:w="3213" w:type="dxa"/>
            <w:gridSpan w:val="2"/>
            <w:tcBorders>
              <w:top w:val="single" w:sz="6" w:space="0" w:color="auto"/>
              <w:left w:val="single" w:sz="6" w:space="0" w:color="auto"/>
              <w:bottom w:val="single" w:sz="6" w:space="0" w:color="auto"/>
              <w:right w:val="single" w:sz="6" w:space="0" w:color="auto"/>
            </w:tcBorders>
          </w:tcPr>
          <w:p w14:paraId="35693B4C" w14:textId="6A2A99DF" w:rsidR="00CD45DB" w:rsidRPr="00F110C2" w:rsidRDefault="009615D1" w:rsidP="00254EC9">
            <w:pPr>
              <w:pStyle w:val="Tabletext"/>
              <w:jc w:val="center"/>
            </w:pPr>
            <w:r w:rsidRPr="00F110C2">
              <w:t>−</w:t>
            </w:r>
            <w:r w:rsidR="00CD45DB" w:rsidRPr="00F110C2">
              <w:t>90,5 </w:t>
            </w:r>
            <w:r w:rsidRPr="00F110C2">
              <w:t>−</w:t>
            </w:r>
            <w:r w:rsidR="00CD45DB" w:rsidRPr="00F110C2">
              <w:t> (</w:t>
            </w:r>
            <w:r w:rsidR="00CD45DB" w:rsidRPr="00F110C2">
              <w:rPr>
                <w:i/>
                <w:iCs/>
              </w:rPr>
              <w:t>P</w:t>
            </w:r>
            <w:r w:rsidR="00CD45DB" w:rsidRPr="00F110C2">
              <w:t> </w:t>
            </w:r>
            <w:r w:rsidRPr="00F110C2">
              <w:t>−</w:t>
            </w:r>
            <w:r w:rsidR="00CD45DB" w:rsidRPr="00F110C2">
              <w:t> 50)</w:t>
            </w:r>
          </w:p>
        </w:tc>
        <w:tc>
          <w:tcPr>
            <w:tcW w:w="3213" w:type="dxa"/>
            <w:gridSpan w:val="2"/>
            <w:tcBorders>
              <w:top w:val="single" w:sz="6" w:space="0" w:color="auto"/>
              <w:left w:val="single" w:sz="6" w:space="0" w:color="auto"/>
              <w:bottom w:val="single" w:sz="6" w:space="0" w:color="auto"/>
              <w:right w:val="single" w:sz="6" w:space="0" w:color="auto"/>
            </w:tcBorders>
          </w:tcPr>
          <w:p w14:paraId="21149A05" w14:textId="77777777" w:rsidR="00CD45DB" w:rsidRPr="00F110C2" w:rsidRDefault="00CD45DB" w:rsidP="00254EC9">
            <w:pPr>
              <w:pStyle w:val="Tabletext"/>
              <w:tabs>
                <w:tab w:val="clear" w:pos="284"/>
                <w:tab w:val="clear" w:pos="567"/>
                <w:tab w:val="clear" w:pos="851"/>
                <w:tab w:val="clear" w:pos="1134"/>
                <w:tab w:val="clear" w:pos="1418"/>
                <w:tab w:val="left" w:pos="604"/>
                <w:tab w:val="left" w:pos="1171"/>
              </w:tabs>
            </w:pPr>
            <w:r w:rsidRPr="00F110C2">
              <w:rPr>
                <w:szCs w:val="24"/>
              </w:rPr>
              <w:tab/>
              <w:t>50 </w:t>
            </w:r>
            <w:r w:rsidRPr="00F110C2">
              <w:rPr>
                <w:rFonts w:ascii="Symbol" w:hAnsi="Symbol"/>
                <w:szCs w:val="24"/>
              </w:rPr>
              <w:t></w:t>
            </w:r>
            <w:r w:rsidRPr="00F110C2">
              <w:rPr>
                <w:szCs w:val="24"/>
              </w:rPr>
              <w:tab/>
            </w:r>
            <w:r w:rsidRPr="00F110C2">
              <w:rPr>
                <w:i/>
                <w:iCs/>
                <w:szCs w:val="24"/>
              </w:rPr>
              <w:t>P</w:t>
            </w:r>
          </w:p>
        </w:tc>
        <w:tc>
          <w:tcPr>
            <w:tcW w:w="3213" w:type="dxa"/>
            <w:gridSpan w:val="2"/>
            <w:tcBorders>
              <w:top w:val="single" w:sz="6" w:space="0" w:color="auto"/>
              <w:left w:val="single" w:sz="6" w:space="0" w:color="auto"/>
              <w:bottom w:val="single" w:sz="6" w:space="0" w:color="auto"/>
              <w:right w:val="single" w:sz="6" w:space="0" w:color="auto"/>
            </w:tcBorders>
          </w:tcPr>
          <w:p w14:paraId="2E656944" w14:textId="4F7E063A" w:rsidR="00CD45DB" w:rsidRPr="00F110C2" w:rsidRDefault="009615D1" w:rsidP="00254EC9">
            <w:pPr>
              <w:pStyle w:val="Tabletext"/>
              <w:jc w:val="center"/>
            </w:pPr>
            <w:r w:rsidRPr="00F110C2">
              <w:t>−</w:t>
            </w:r>
            <w:r w:rsidR="00CD45DB" w:rsidRPr="00F110C2">
              <w:t>5 dBm</w:t>
            </w:r>
          </w:p>
        </w:tc>
      </w:tr>
      <w:tr w:rsidR="00CD45DB" w:rsidRPr="00F110C2" w14:paraId="24E868D0" w14:textId="77777777" w:rsidTr="009615D1">
        <w:trPr>
          <w:gridAfter w:val="1"/>
          <w:wAfter w:w="8" w:type="dxa"/>
          <w:jc w:val="center"/>
        </w:trPr>
        <w:tc>
          <w:tcPr>
            <w:tcW w:w="9639" w:type="dxa"/>
            <w:gridSpan w:val="6"/>
            <w:tcBorders>
              <w:top w:val="single" w:sz="6" w:space="0" w:color="auto"/>
              <w:left w:val="nil"/>
              <w:bottom w:val="nil"/>
              <w:right w:val="nil"/>
            </w:tcBorders>
          </w:tcPr>
          <w:p w14:paraId="7DC25FF6" w14:textId="77777777" w:rsidR="00CD45DB" w:rsidRPr="00F110C2" w:rsidRDefault="00CD45DB" w:rsidP="00254EC9">
            <w:pPr>
              <w:pStyle w:val="Tabletext"/>
            </w:pPr>
            <w:r w:rsidRPr="00F110C2">
              <w:rPr>
                <w:vertAlign w:val="superscript"/>
              </w:rPr>
              <w:t>(1)</w:t>
            </w:r>
            <w:r w:rsidRPr="00F110C2">
              <w:tab/>
              <w:t>La valeur de point d'extrémité est assujettie à une limite supérieure de 65,5 dB.</w:t>
            </w:r>
          </w:p>
        </w:tc>
      </w:tr>
    </w:tbl>
    <w:p w14:paraId="0309C490" w14:textId="77777777" w:rsidR="00CD45DB" w:rsidRPr="00F110C2" w:rsidRDefault="00CD45DB" w:rsidP="00254EC9">
      <w:pPr>
        <w:pStyle w:val="Tablefin"/>
      </w:pPr>
    </w:p>
    <w:p w14:paraId="28C6895A" w14:textId="77777777" w:rsidR="00CD45DB" w:rsidRPr="00F110C2" w:rsidRDefault="00CD45DB" w:rsidP="00254EC9">
      <w:r w:rsidRPr="00F110C2">
        <w:t>Le Tableau 11 donne les points de rupture correspondant au graphe représenté sur la Fig. 21, pour la télévision analogique à 8 MHz, modulation négative, BLR de 0,75 MHz et de 1,25 MHz.</w:t>
      </w:r>
    </w:p>
    <w:p w14:paraId="63900EA6" w14:textId="77777777" w:rsidR="00CD45DB" w:rsidRPr="00F110C2" w:rsidRDefault="00CD45DB" w:rsidP="00254EC9">
      <w:pPr>
        <w:pStyle w:val="FigureNo"/>
      </w:pPr>
      <w:r w:rsidRPr="00F110C2">
        <w:t>FIGURE 21</w:t>
      </w:r>
    </w:p>
    <w:p w14:paraId="288ED5B1" w14:textId="77777777" w:rsidR="00CD45DB" w:rsidRPr="00F110C2" w:rsidRDefault="00CD45DB" w:rsidP="00254EC9">
      <w:pPr>
        <w:pStyle w:val="Figuretitle"/>
      </w:pPr>
      <w:r w:rsidRPr="00F110C2">
        <w:t>Gabarit de limite spectrale pour la télévision analogique à 8 MHz,</w:t>
      </w:r>
      <w:r w:rsidRPr="00F110C2">
        <w:br/>
        <w:t xml:space="preserve">modulation négative (pour </w:t>
      </w:r>
      <w:r w:rsidRPr="00F110C2">
        <w:rPr>
          <w:rFonts w:ascii="Times New Roman"/>
          <w:bCs/>
          <w:i/>
          <w:iCs/>
        </w:rPr>
        <w:t>P</w:t>
      </w:r>
      <w:r w:rsidRPr="00F110C2">
        <w:t xml:space="preserve"> = 39 à 50 dBW)</w:t>
      </w:r>
    </w:p>
    <w:p w14:paraId="0AA8A38C" w14:textId="77777777" w:rsidR="00CD45DB" w:rsidRPr="00F110C2" w:rsidRDefault="00CD45DB" w:rsidP="00254EC9">
      <w:pPr>
        <w:pStyle w:val="Figure"/>
      </w:pPr>
      <w:r w:rsidRPr="00F110C2">
        <w:drawing>
          <wp:inline distT="0" distB="0" distL="0" distR="0" wp14:anchorId="342FDF90" wp14:editId="2BA069A9">
            <wp:extent cx="5445456" cy="4483370"/>
            <wp:effectExtent l="0" t="0" r="3175" b="0"/>
            <wp:docPr id="1039261934" name="Picture 4" descr="A graph of a graph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61934" name="Picture 4" descr="A graph of a graph with lines&#10;&#10;AI-generated content may be incorrect."/>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451394" cy="4488259"/>
                    </a:xfrm>
                    <a:prstGeom prst="rect">
                      <a:avLst/>
                    </a:prstGeom>
                    <a:noFill/>
                    <a:ln>
                      <a:noFill/>
                    </a:ln>
                  </pic:spPr>
                </pic:pic>
              </a:graphicData>
            </a:graphic>
          </wp:inline>
        </w:drawing>
      </w:r>
    </w:p>
    <w:p w14:paraId="0296E6D6" w14:textId="77777777" w:rsidR="00CD45DB" w:rsidRPr="00F110C2" w:rsidRDefault="00CD45DB" w:rsidP="00254EC9">
      <w:pPr>
        <w:pStyle w:val="TableNo"/>
      </w:pPr>
      <w:r w:rsidRPr="00F110C2">
        <w:lastRenderedPageBreak/>
        <w:t>TABLEAU 11</w:t>
      </w:r>
    </w:p>
    <w:p w14:paraId="72226353" w14:textId="77777777" w:rsidR="00CD45DB" w:rsidRPr="00F110C2" w:rsidRDefault="00CD45DB" w:rsidP="00254EC9">
      <w:pPr>
        <w:pStyle w:val="Tabletitle"/>
      </w:pPr>
      <w:r w:rsidRPr="00F110C2">
        <w:t>Points de rupture pour la télévision analogique à 8 MHz, modulation</w:t>
      </w:r>
      <w:r w:rsidRPr="00F110C2">
        <w:br/>
        <w:t>négative, BLR de 0,75 MHz et de 1,25 MHz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2411"/>
        <w:gridCol w:w="2411"/>
        <w:gridCol w:w="2411"/>
      </w:tblGrid>
      <w:tr w:rsidR="00CD45DB" w:rsidRPr="00F110C2" w14:paraId="46B67EFB" w14:textId="77777777" w:rsidTr="009615D1">
        <w:trPr>
          <w:jc w:val="center"/>
        </w:trPr>
        <w:tc>
          <w:tcPr>
            <w:tcW w:w="2411" w:type="dxa"/>
            <w:vAlign w:val="center"/>
          </w:tcPr>
          <w:p w14:paraId="2C496137" w14:textId="77777777" w:rsidR="00CD45DB" w:rsidRPr="00F110C2" w:rsidRDefault="00CD45DB" w:rsidP="00254EC9">
            <w:pPr>
              <w:pStyle w:val="Tablehead"/>
            </w:pPr>
            <w:r w:rsidRPr="00F110C2">
              <w:t xml:space="preserve">Fréquence par rapport à la fréquence de la porteuse vidéo </w:t>
            </w:r>
          </w:p>
        </w:tc>
        <w:tc>
          <w:tcPr>
            <w:tcW w:w="2411" w:type="dxa"/>
            <w:vAlign w:val="center"/>
          </w:tcPr>
          <w:p w14:paraId="16234157" w14:textId="77777777" w:rsidR="00CD45DB" w:rsidRPr="00F110C2" w:rsidRDefault="00CD45DB" w:rsidP="00254EC9">
            <w:pPr>
              <w:pStyle w:val="Tablehead"/>
            </w:pPr>
            <w:r w:rsidRPr="00F110C2">
              <w:t xml:space="preserve">Fréquence par rapport au centre du canal de 8 MHz </w:t>
            </w:r>
          </w:p>
        </w:tc>
        <w:tc>
          <w:tcPr>
            <w:tcW w:w="2411" w:type="dxa"/>
            <w:vAlign w:val="center"/>
          </w:tcPr>
          <w:p w14:paraId="618E6F95" w14:textId="09A4D8E3" w:rsidR="00CD45DB" w:rsidRPr="00F110C2" w:rsidRDefault="00CD45DB" w:rsidP="00254EC9">
            <w:pPr>
              <w:pStyle w:val="Tablehead"/>
            </w:pPr>
            <w:r w:rsidRPr="00F110C2">
              <w:t>Niveau relatif dans une largeur de bande de mesure de 50 kHz BLR de 0,75 MHz</w:t>
            </w:r>
            <w:r w:rsidR="00F91EA9" w:rsidRPr="00F110C2">
              <w:t xml:space="preserve"> </w:t>
            </w:r>
            <w:r w:rsidRPr="00F110C2">
              <w:t>(dB)</w:t>
            </w:r>
          </w:p>
        </w:tc>
        <w:tc>
          <w:tcPr>
            <w:tcW w:w="2411" w:type="dxa"/>
            <w:vAlign w:val="center"/>
          </w:tcPr>
          <w:p w14:paraId="305BA42F" w14:textId="16313CCC" w:rsidR="00CD45DB" w:rsidRPr="00F110C2" w:rsidRDefault="00CD45DB" w:rsidP="00254EC9">
            <w:pPr>
              <w:pStyle w:val="Tablehead"/>
            </w:pPr>
            <w:r w:rsidRPr="00F110C2">
              <w:t>Niveau relatif dans une largeur de bande de mesure de 50 kHz BLR de 1,25 MHz</w:t>
            </w:r>
            <w:r w:rsidR="00F91EA9" w:rsidRPr="00F110C2">
              <w:t xml:space="preserve"> </w:t>
            </w:r>
            <w:r w:rsidRPr="00F110C2">
              <w:t>(dB)</w:t>
            </w:r>
          </w:p>
        </w:tc>
      </w:tr>
      <w:tr w:rsidR="00CD45DB" w:rsidRPr="00F110C2" w14:paraId="567CE90F" w14:textId="77777777" w:rsidTr="009615D1">
        <w:trPr>
          <w:jc w:val="center"/>
        </w:trPr>
        <w:tc>
          <w:tcPr>
            <w:tcW w:w="2411" w:type="dxa"/>
          </w:tcPr>
          <w:p w14:paraId="62325034" w14:textId="14B6FF1C" w:rsidR="00CD45DB" w:rsidRPr="00F110C2" w:rsidRDefault="009615D1" w:rsidP="00254EC9">
            <w:pPr>
              <w:pStyle w:val="Tabletext"/>
              <w:jc w:val="center"/>
            </w:pPr>
            <w:r w:rsidRPr="00F110C2">
              <w:t>−</w:t>
            </w:r>
            <w:r w:rsidR="00CD45DB" w:rsidRPr="00F110C2">
              <w:t>17,25</w:t>
            </w:r>
          </w:p>
        </w:tc>
        <w:tc>
          <w:tcPr>
            <w:tcW w:w="2411" w:type="dxa"/>
          </w:tcPr>
          <w:p w14:paraId="3F3BBFBF" w14:textId="135A4168" w:rsidR="00CD45DB" w:rsidRPr="00F110C2" w:rsidRDefault="009615D1" w:rsidP="00254EC9">
            <w:pPr>
              <w:pStyle w:val="Tabletext"/>
              <w:jc w:val="center"/>
            </w:pPr>
            <w:r w:rsidRPr="00F110C2">
              <w:t>−</w:t>
            </w:r>
            <w:r w:rsidR="00CD45DB" w:rsidRPr="00F110C2">
              <w:t>20</w:t>
            </w:r>
          </w:p>
        </w:tc>
        <w:tc>
          <w:tcPr>
            <w:tcW w:w="2411" w:type="dxa"/>
          </w:tcPr>
          <w:p w14:paraId="7237C897" w14:textId="7D601D5D" w:rsidR="00CD45DB" w:rsidRPr="00F110C2" w:rsidRDefault="009615D1" w:rsidP="00254EC9">
            <w:pPr>
              <w:pStyle w:val="Tabletext"/>
              <w:jc w:val="center"/>
            </w:pPr>
            <w:r w:rsidRPr="00F110C2">
              <w:t>−</w:t>
            </w:r>
            <w:r w:rsidR="00CD45DB" w:rsidRPr="00F110C2">
              <w:t>90,5</w:t>
            </w:r>
          </w:p>
        </w:tc>
        <w:tc>
          <w:tcPr>
            <w:tcW w:w="2411" w:type="dxa"/>
          </w:tcPr>
          <w:p w14:paraId="611750A0" w14:textId="7D6F06FB" w:rsidR="00CD45DB" w:rsidRPr="00F110C2" w:rsidRDefault="009615D1" w:rsidP="00254EC9">
            <w:pPr>
              <w:pStyle w:val="Tabletext"/>
              <w:jc w:val="center"/>
            </w:pPr>
            <w:r w:rsidRPr="00F110C2">
              <w:t>−</w:t>
            </w:r>
            <w:r w:rsidR="00CD45DB" w:rsidRPr="00F110C2">
              <w:t>90,5</w:t>
            </w:r>
          </w:p>
        </w:tc>
      </w:tr>
      <w:tr w:rsidR="00CD45DB" w:rsidRPr="00F110C2" w14:paraId="0A702A64" w14:textId="77777777" w:rsidTr="009615D1">
        <w:trPr>
          <w:jc w:val="center"/>
        </w:trPr>
        <w:tc>
          <w:tcPr>
            <w:tcW w:w="2411" w:type="dxa"/>
          </w:tcPr>
          <w:p w14:paraId="1105C39D" w14:textId="6B5B3E3F" w:rsidR="00CD45DB" w:rsidRPr="00F110C2" w:rsidRDefault="009615D1" w:rsidP="00254EC9">
            <w:pPr>
              <w:pStyle w:val="Tabletext"/>
              <w:jc w:val="center"/>
            </w:pPr>
            <w:r w:rsidRPr="00F110C2">
              <w:t>−</w:t>
            </w:r>
            <w:r w:rsidR="00CD45DB" w:rsidRPr="00F110C2">
              <w:t>9,25</w:t>
            </w:r>
          </w:p>
        </w:tc>
        <w:tc>
          <w:tcPr>
            <w:tcW w:w="2411" w:type="dxa"/>
          </w:tcPr>
          <w:p w14:paraId="252E0560" w14:textId="2ECBF186" w:rsidR="00CD45DB" w:rsidRPr="00F110C2" w:rsidRDefault="009615D1" w:rsidP="00254EC9">
            <w:pPr>
              <w:pStyle w:val="Tabletext"/>
              <w:jc w:val="center"/>
            </w:pPr>
            <w:r w:rsidRPr="00F110C2">
              <w:t>−</w:t>
            </w:r>
            <w:r w:rsidR="00CD45DB" w:rsidRPr="00F110C2">
              <w:t>12</w:t>
            </w:r>
          </w:p>
        </w:tc>
        <w:tc>
          <w:tcPr>
            <w:tcW w:w="2411" w:type="dxa"/>
          </w:tcPr>
          <w:p w14:paraId="7190F536" w14:textId="73BB3A0D" w:rsidR="00CD45DB" w:rsidRPr="00F110C2" w:rsidRDefault="009615D1" w:rsidP="00254EC9">
            <w:pPr>
              <w:pStyle w:val="Tabletext"/>
              <w:jc w:val="center"/>
            </w:pPr>
            <w:r w:rsidRPr="00F110C2">
              <w:t>−</w:t>
            </w:r>
            <w:r w:rsidR="00CD45DB" w:rsidRPr="00F110C2">
              <w:t>65,5</w:t>
            </w:r>
          </w:p>
        </w:tc>
        <w:tc>
          <w:tcPr>
            <w:tcW w:w="2411" w:type="dxa"/>
          </w:tcPr>
          <w:p w14:paraId="611C0171" w14:textId="03FB39AE" w:rsidR="00CD45DB" w:rsidRPr="00F110C2" w:rsidRDefault="009615D1" w:rsidP="00254EC9">
            <w:pPr>
              <w:pStyle w:val="Tabletext"/>
              <w:jc w:val="center"/>
            </w:pPr>
            <w:r w:rsidRPr="00F110C2">
              <w:t>−</w:t>
            </w:r>
            <w:r w:rsidR="00CD45DB" w:rsidRPr="00F110C2">
              <w:t>65,5</w:t>
            </w:r>
          </w:p>
        </w:tc>
      </w:tr>
      <w:tr w:rsidR="00CD45DB" w:rsidRPr="00F110C2" w14:paraId="7FF22777" w14:textId="77777777" w:rsidTr="009615D1">
        <w:trPr>
          <w:jc w:val="center"/>
        </w:trPr>
        <w:tc>
          <w:tcPr>
            <w:tcW w:w="2411" w:type="dxa"/>
          </w:tcPr>
          <w:p w14:paraId="0C16E5BE" w14:textId="5B20D328" w:rsidR="00CD45DB" w:rsidRPr="00F110C2" w:rsidRDefault="009615D1" w:rsidP="00254EC9">
            <w:pPr>
              <w:pStyle w:val="Tabletext"/>
              <w:jc w:val="center"/>
            </w:pPr>
            <w:r w:rsidRPr="00F110C2">
              <w:t>−</w:t>
            </w:r>
            <w:r w:rsidR="00CD45DB" w:rsidRPr="00F110C2">
              <w:t>6,5</w:t>
            </w:r>
          </w:p>
        </w:tc>
        <w:tc>
          <w:tcPr>
            <w:tcW w:w="2411" w:type="dxa"/>
          </w:tcPr>
          <w:p w14:paraId="65787254" w14:textId="7741BB1F" w:rsidR="00CD45DB" w:rsidRPr="00F110C2" w:rsidRDefault="009615D1" w:rsidP="00254EC9">
            <w:pPr>
              <w:pStyle w:val="Tabletext"/>
              <w:jc w:val="center"/>
            </w:pPr>
            <w:r w:rsidRPr="00F110C2">
              <w:t>−</w:t>
            </w:r>
            <w:r w:rsidR="00CD45DB" w:rsidRPr="00F110C2">
              <w:t>9,25</w:t>
            </w:r>
          </w:p>
        </w:tc>
        <w:tc>
          <w:tcPr>
            <w:tcW w:w="2411" w:type="dxa"/>
          </w:tcPr>
          <w:p w14:paraId="58C6E538" w14:textId="3E2EE54A" w:rsidR="00CD45DB" w:rsidRPr="00F110C2" w:rsidRDefault="009615D1" w:rsidP="00254EC9">
            <w:pPr>
              <w:pStyle w:val="Tabletext"/>
              <w:jc w:val="center"/>
            </w:pPr>
            <w:r w:rsidRPr="00F110C2">
              <w:t>−</w:t>
            </w:r>
            <w:r w:rsidR="00CD45DB" w:rsidRPr="00F110C2">
              <w:t>56</w:t>
            </w:r>
          </w:p>
        </w:tc>
        <w:tc>
          <w:tcPr>
            <w:tcW w:w="2411" w:type="dxa"/>
          </w:tcPr>
          <w:p w14:paraId="615473FA" w14:textId="4A2A4CBD" w:rsidR="00CD45DB" w:rsidRPr="00F110C2" w:rsidRDefault="009615D1" w:rsidP="00254EC9">
            <w:pPr>
              <w:pStyle w:val="Tabletext"/>
              <w:jc w:val="center"/>
            </w:pPr>
            <w:r w:rsidRPr="00F110C2">
              <w:t>−</w:t>
            </w:r>
            <w:r w:rsidR="00CD45DB" w:rsidRPr="00F110C2">
              <w:t>56</w:t>
            </w:r>
          </w:p>
        </w:tc>
      </w:tr>
      <w:tr w:rsidR="00CD45DB" w:rsidRPr="00F110C2" w14:paraId="474F6DEC" w14:textId="77777777" w:rsidTr="009615D1">
        <w:trPr>
          <w:jc w:val="center"/>
        </w:trPr>
        <w:tc>
          <w:tcPr>
            <w:tcW w:w="2411" w:type="dxa"/>
          </w:tcPr>
          <w:p w14:paraId="07E104C8" w14:textId="3CA7226D" w:rsidR="00CD45DB" w:rsidRPr="00F110C2" w:rsidRDefault="009615D1" w:rsidP="00254EC9">
            <w:pPr>
              <w:pStyle w:val="Tabletext"/>
              <w:jc w:val="center"/>
            </w:pPr>
            <w:r w:rsidRPr="00F110C2">
              <w:t>−</w:t>
            </w:r>
            <w:r w:rsidR="00CD45DB" w:rsidRPr="00F110C2">
              <w:t>6</w:t>
            </w:r>
          </w:p>
        </w:tc>
        <w:tc>
          <w:tcPr>
            <w:tcW w:w="2411" w:type="dxa"/>
          </w:tcPr>
          <w:p w14:paraId="5E812C92" w14:textId="29D78CF1" w:rsidR="00CD45DB" w:rsidRPr="00F110C2" w:rsidRDefault="009615D1" w:rsidP="00254EC9">
            <w:pPr>
              <w:pStyle w:val="Tabletext"/>
              <w:jc w:val="center"/>
            </w:pPr>
            <w:r w:rsidRPr="00F110C2">
              <w:t>−</w:t>
            </w:r>
            <w:r w:rsidR="00CD45DB" w:rsidRPr="00F110C2">
              <w:t>8,75</w:t>
            </w:r>
          </w:p>
        </w:tc>
        <w:tc>
          <w:tcPr>
            <w:tcW w:w="2411" w:type="dxa"/>
          </w:tcPr>
          <w:p w14:paraId="1C97B48F" w14:textId="2CF5655F" w:rsidR="00CD45DB" w:rsidRPr="00F110C2" w:rsidRDefault="009615D1" w:rsidP="00254EC9">
            <w:pPr>
              <w:pStyle w:val="Tabletext"/>
              <w:jc w:val="center"/>
            </w:pPr>
            <w:r w:rsidRPr="00F110C2">
              <w:t>−</w:t>
            </w:r>
            <w:r w:rsidR="00CD45DB" w:rsidRPr="00F110C2">
              <w:t>36</w:t>
            </w:r>
          </w:p>
        </w:tc>
        <w:tc>
          <w:tcPr>
            <w:tcW w:w="2411" w:type="dxa"/>
          </w:tcPr>
          <w:p w14:paraId="02F68B6C" w14:textId="47A450B8" w:rsidR="00CD45DB" w:rsidRPr="00F110C2" w:rsidRDefault="009615D1" w:rsidP="00254EC9">
            <w:pPr>
              <w:pStyle w:val="Tabletext"/>
              <w:jc w:val="center"/>
            </w:pPr>
            <w:r w:rsidRPr="00F110C2">
              <w:t>−</w:t>
            </w:r>
            <w:r w:rsidR="00CD45DB" w:rsidRPr="00F110C2">
              <w:t>36</w:t>
            </w:r>
          </w:p>
        </w:tc>
      </w:tr>
      <w:tr w:rsidR="00CD45DB" w:rsidRPr="00F110C2" w14:paraId="5AEFDA92" w14:textId="77777777" w:rsidTr="009615D1">
        <w:trPr>
          <w:jc w:val="center"/>
        </w:trPr>
        <w:tc>
          <w:tcPr>
            <w:tcW w:w="2411" w:type="dxa"/>
          </w:tcPr>
          <w:p w14:paraId="4D38DFB6" w14:textId="37BD5993" w:rsidR="00CD45DB" w:rsidRPr="00F110C2" w:rsidRDefault="009615D1" w:rsidP="00254EC9">
            <w:pPr>
              <w:pStyle w:val="Tabletext"/>
              <w:jc w:val="center"/>
            </w:pPr>
            <w:r w:rsidRPr="00F110C2">
              <w:t>−</w:t>
            </w:r>
            <w:r w:rsidR="00CD45DB" w:rsidRPr="00F110C2">
              <w:t>3</w:t>
            </w:r>
          </w:p>
        </w:tc>
        <w:tc>
          <w:tcPr>
            <w:tcW w:w="2411" w:type="dxa"/>
          </w:tcPr>
          <w:p w14:paraId="19EB25F5" w14:textId="1914BF5F" w:rsidR="00CD45DB" w:rsidRPr="00F110C2" w:rsidRDefault="009615D1" w:rsidP="00254EC9">
            <w:pPr>
              <w:pStyle w:val="Tabletext"/>
              <w:jc w:val="center"/>
            </w:pPr>
            <w:r w:rsidRPr="00F110C2">
              <w:t>−</w:t>
            </w:r>
            <w:r w:rsidR="00CD45DB" w:rsidRPr="00F110C2">
              <w:t>5,75</w:t>
            </w:r>
          </w:p>
        </w:tc>
        <w:tc>
          <w:tcPr>
            <w:tcW w:w="2411" w:type="dxa"/>
          </w:tcPr>
          <w:p w14:paraId="6D1BDD80" w14:textId="786BF270" w:rsidR="00CD45DB" w:rsidRPr="00F110C2" w:rsidRDefault="009615D1" w:rsidP="00254EC9">
            <w:pPr>
              <w:pStyle w:val="Tabletext"/>
              <w:jc w:val="center"/>
            </w:pPr>
            <w:r w:rsidRPr="00F110C2">
              <w:t>−</w:t>
            </w:r>
            <w:r w:rsidR="00CD45DB" w:rsidRPr="00F110C2">
              <w:t>36</w:t>
            </w:r>
          </w:p>
        </w:tc>
        <w:tc>
          <w:tcPr>
            <w:tcW w:w="2411" w:type="dxa"/>
          </w:tcPr>
          <w:p w14:paraId="610D6BDD" w14:textId="2D9FE0A1" w:rsidR="00CD45DB" w:rsidRPr="00F110C2" w:rsidRDefault="009615D1" w:rsidP="00254EC9">
            <w:pPr>
              <w:pStyle w:val="Tabletext"/>
              <w:jc w:val="center"/>
            </w:pPr>
            <w:r w:rsidRPr="00F110C2">
              <w:t>−</w:t>
            </w:r>
            <w:r w:rsidR="00CD45DB" w:rsidRPr="00F110C2">
              <w:t>36</w:t>
            </w:r>
          </w:p>
        </w:tc>
      </w:tr>
      <w:tr w:rsidR="00CD45DB" w:rsidRPr="00F110C2" w14:paraId="0981A354" w14:textId="77777777" w:rsidTr="009615D1">
        <w:trPr>
          <w:jc w:val="center"/>
        </w:trPr>
        <w:tc>
          <w:tcPr>
            <w:tcW w:w="2411" w:type="dxa"/>
          </w:tcPr>
          <w:p w14:paraId="3EA0F259" w14:textId="6B1BAD45" w:rsidR="00CD45DB" w:rsidRPr="00F110C2" w:rsidRDefault="009615D1" w:rsidP="00254EC9">
            <w:pPr>
              <w:pStyle w:val="Tabletext"/>
              <w:jc w:val="center"/>
            </w:pPr>
            <w:r w:rsidRPr="00F110C2">
              <w:t>−</w:t>
            </w:r>
            <w:r w:rsidR="00CD45DB" w:rsidRPr="00F110C2">
              <w:t>1,25</w:t>
            </w:r>
          </w:p>
        </w:tc>
        <w:tc>
          <w:tcPr>
            <w:tcW w:w="2411" w:type="dxa"/>
          </w:tcPr>
          <w:p w14:paraId="3F7E1BF8" w14:textId="0099DF4D" w:rsidR="00CD45DB" w:rsidRPr="00F110C2" w:rsidRDefault="009615D1" w:rsidP="00254EC9">
            <w:pPr>
              <w:pStyle w:val="Tabletext"/>
              <w:jc w:val="center"/>
            </w:pPr>
            <w:r w:rsidRPr="00F110C2">
              <w:t>−</w:t>
            </w:r>
            <w:r w:rsidR="00CD45DB" w:rsidRPr="00F110C2">
              <w:t>4</w:t>
            </w:r>
          </w:p>
        </w:tc>
        <w:tc>
          <w:tcPr>
            <w:tcW w:w="2411" w:type="dxa"/>
          </w:tcPr>
          <w:p w14:paraId="6403D88D" w14:textId="00E5DC83" w:rsidR="00CD45DB" w:rsidRPr="00F110C2" w:rsidRDefault="009615D1" w:rsidP="00254EC9">
            <w:pPr>
              <w:pStyle w:val="Tabletext"/>
              <w:jc w:val="center"/>
            </w:pPr>
            <w:r w:rsidRPr="00F110C2">
              <w:t>−</w:t>
            </w:r>
            <w:r w:rsidR="00CD45DB" w:rsidRPr="00F110C2">
              <w:t>36</w:t>
            </w:r>
          </w:p>
        </w:tc>
        <w:tc>
          <w:tcPr>
            <w:tcW w:w="2411" w:type="dxa"/>
          </w:tcPr>
          <w:p w14:paraId="029782CD" w14:textId="4F8F9C8F" w:rsidR="00CD45DB" w:rsidRPr="00F110C2" w:rsidRDefault="009615D1" w:rsidP="00254EC9">
            <w:pPr>
              <w:pStyle w:val="Tabletext"/>
              <w:jc w:val="center"/>
            </w:pPr>
            <w:r w:rsidRPr="00F110C2">
              <w:t>−</w:t>
            </w:r>
            <w:r w:rsidR="00CD45DB" w:rsidRPr="00F110C2">
              <w:t>16</w:t>
            </w:r>
          </w:p>
        </w:tc>
      </w:tr>
      <w:tr w:rsidR="00CD45DB" w:rsidRPr="00F110C2" w14:paraId="733021C2" w14:textId="77777777" w:rsidTr="009615D1">
        <w:trPr>
          <w:jc w:val="center"/>
        </w:trPr>
        <w:tc>
          <w:tcPr>
            <w:tcW w:w="2411" w:type="dxa"/>
          </w:tcPr>
          <w:p w14:paraId="4D63917A" w14:textId="6E9DA37C" w:rsidR="00CD45DB" w:rsidRPr="00F110C2" w:rsidRDefault="009615D1" w:rsidP="00254EC9">
            <w:pPr>
              <w:pStyle w:val="Tabletext"/>
              <w:jc w:val="center"/>
            </w:pPr>
            <w:r w:rsidRPr="00F110C2">
              <w:t>−</w:t>
            </w:r>
            <w:r w:rsidR="00CD45DB" w:rsidRPr="00F110C2">
              <w:t>0,75</w:t>
            </w:r>
          </w:p>
        </w:tc>
        <w:tc>
          <w:tcPr>
            <w:tcW w:w="2411" w:type="dxa"/>
          </w:tcPr>
          <w:p w14:paraId="7FD0DC7C" w14:textId="7AE9A61A" w:rsidR="00CD45DB" w:rsidRPr="00F110C2" w:rsidRDefault="009615D1" w:rsidP="00254EC9">
            <w:pPr>
              <w:pStyle w:val="Tabletext"/>
              <w:jc w:val="center"/>
            </w:pPr>
            <w:r w:rsidRPr="00F110C2">
              <w:t>−</w:t>
            </w:r>
            <w:r w:rsidR="00CD45DB" w:rsidRPr="00F110C2">
              <w:t>3,5</w:t>
            </w:r>
          </w:p>
        </w:tc>
        <w:tc>
          <w:tcPr>
            <w:tcW w:w="2411" w:type="dxa"/>
          </w:tcPr>
          <w:p w14:paraId="0AA7768A" w14:textId="4B626EFB" w:rsidR="00CD45DB" w:rsidRPr="00F110C2" w:rsidRDefault="009615D1" w:rsidP="00254EC9">
            <w:pPr>
              <w:pStyle w:val="Tabletext"/>
              <w:jc w:val="center"/>
            </w:pPr>
            <w:r w:rsidRPr="00F110C2">
              <w:t>−</w:t>
            </w:r>
            <w:r w:rsidR="00CD45DB" w:rsidRPr="00F110C2">
              <w:t>16</w:t>
            </w:r>
          </w:p>
        </w:tc>
        <w:tc>
          <w:tcPr>
            <w:tcW w:w="2411" w:type="dxa"/>
          </w:tcPr>
          <w:p w14:paraId="557B386A" w14:textId="6A76AF39" w:rsidR="00CD45DB" w:rsidRPr="00F110C2" w:rsidRDefault="009615D1" w:rsidP="00254EC9">
            <w:pPr>
              <w:pStyle w:val="Tabletext"/>
              <w:jc w:val="center"/>
            </w:pPr>
            <w:r w:rsidRPr="00F110C2">
              <w:t>−</w:t>
            </w:r>
            <w:r w:rsidR="00CD45DB" w:rsidRPr="00F110C2">
              <w:t>16</w:t>
            </w:r>
          </w:p>
        </w:tc>
      </w:tr>
      <w:tr w:rsidR="00CD45DB" w:rsidRPr="00F110C2" w14:paraId="601B3FDA" w14:textId="77777777" w:rsidTr="009615D1">
        <w:trPr>
          <w:jc w:val="center"/>
        </w:trPr>
        <w:tc>
          <w:tcPr>
            <w:tcW w:w="2411" w:type="dxa"/>
          </w:tcPr>
          <w:p w14:paraId="188BF4DB" w14:textId="6C37816F" w:rsidR="00CD45DB" w:rsidRPr="00F110C2" w:rsidRDefault="009615D1" w:rsidP="00254EC9">
            <w:pPr>
              <w:pStyle w:val="Tabletext"/>
              <w:jc w:val="center"/>
            </w:pPr>
            <w:r w:rsidRPr="00F110C2">
              <w:t>−</w:t>
            </w:r>
            <w:r w:rsidR="00CD45DB" w:rsidRPr="00F110C2">
              <w:t>0,18</w:t>
            </w:r>
          </w:p>
        </w:tc>
        <w:tc>
          <w:tcPr>
            <w:tcW w:w="2411" w:type="dxa"/>
          </w:tcPr>
          <w:p w14:paraId="4C3D4642" w14:textId="0A693F50" w:rsidR="00CD45DB" w:rsidRPr="00F110C2" w:rsidRDefault="009615D1" w:rsidP="00254EC9">
            <w:pPr>
              <w:pStyle w:val="Tabletext"/>
              <w:jc w:val="center"/>
            </w:pPr>
            <w:r w:rsidRPr="00F110C2">
              <w:t>−</w:t>
            </w:r>
            <w:r w:rsidR="00CD45DB" w:rsidRPr="00F110C2">
              <w:t>2,93</w:t>
            </w:r>
          </w:p>
        </w:tc>
        <w:tc>
          <w:tcPr>
            <w:tcW w:w="2411" w:type="dxa"/>
          </w:tcPr>
          <w:p w14:paraId="65BD1D81" w14:textId="7EB802CB" w:rsidR="00CD45DB" w:rsidRPr="00F110C2" w:rsidRDefault="009615D1" w:rsidP="00254EC9">
            <w:pPr>
              <w:pStyle w:val="Tabletext"/>
              <w:jc w:val="center"/>
            </w:pPr>
            <w:r w:rsidRPr="00F110C2">
              <w:t>−</w:t>
            </w:r>
            <w:r w:rsidR="00CD45DB" w:rsidRPr="00F110C2">
              <w:t>16</w:t>
            </w:r>
          </w:p>
        </w:tc>
        <w:tc>
          <w:tcPr>
            <w:tcW w:w="2411" w:type="dxa"/>
          </w:tcPr>
          <w:p w14:paraId="2321BB4D" w14:textId="3FD5BAA9" w:rsidR="00CD45DB" w:rsidRPr="00F110C2" w:rsidRDefault="009615D1" w:rsidP="00254EC9">
            <w:pPr>
              <w:pStyle w:val="Tabletext"/>
              <w:jc w:val="center"/>
            </w:pPr>
            <w:r w:rsidRPr="00F110C2">
              <w:t>−</w:t>
            </w:r>
            <w:r w:rsidR="00CD45DB" w:rsidRPr="00F110C2">
              <w:t>16</w:t>
            </w:r>
          </w:p>
        </w:tc>
      </w:tr>
      <w:tr w:rsidR="00CD45DB" w:rsidRPr="00F110C2" w14:paraId="73C8403C" w14:textId="77777777" w:rsidTr="009615D1">
        <w:trPr>
          <w:jc w:val="center"/>
        </w:trPr>
        <w:tc>
          <w:tcPr>
            <w:tcW w:w="2411" w:type="dxa"/>
          </w:tcPr>
          <w:p w14:paraId="106D87F5" w14:textId="77777777" w:rsidR="00CD45DB" w:rsidRPr="00F110C2" w:rsidRDefault="00CD45DB" w:rsidP="00254EC9">
            <w:pPr>
              <w:pStyle w:val="Tabletext"/>
              <w:jc w:val="center"/>
            </w:pPr>
            <w:r w:rsidRPr="00F110C2">
              <w:t>0</w:t>
            </w:r>
          </w:p>
        </w:tc>
        <w:tc>
          <w:tcPr>
            <w:tcW w:w="2411" w:type="dxa"/>
          </w:tcPr>
          <w:p w14:paraId="55057BD9" w14:textId="503C440E" w:rsidR="00CD45DB" w:rsidRPr="00F110C2" w:rsidRDefault="009615D1" w:rsidP="00254EC9">
            <w:pPr>
              <w:pStyle w:val="Tabletext"/>
              <w:jc w:val="center"/>
            </w:pPr>
            <w:r w:rsidRPr="00F110C2">
              <w:t>−</w:t>
            </w:r>
            <w:r w:rsidR="00CD45DB" w:rsidRPr="00F110C2">
              <w:t>2,75</w:t>
            </w:r>
          </w:p>
        </w:tc>
        <w:tc>
          <w:tcPr>
            <w:tcW w:w="2411" w:type="dxa"/>
          </w:tcPr>
          <w:p w14:paraId="4E6D165D" w14:textId="77777777" w:rsidR="00CD45DB" w:rsidRPr="00F110C2" w:rsidRDefault="00CD45DB" w:rsidP="00254EC9">
            <w:pPr>
              <w:pStyle w:val="Tabletext"/>
              <w:jc w:val="center"/>
            </w:pPr>
            <w:r w:rsidRPr="00F110C2">
              <w:t>0</w:t>
            </w:r>
          </w:p>
        </w:tc>
        <w:tc>
          <w:tcPr>
            <w:tcW w:w="2411" w:type="dxa"/>
          </w:tcPr>
          <w:p w14:paraId="49FFC227" w14:textId="77777777" w:rsidR="00CD45DB" w:rsidRPr="00F110C2" w:rsidRDefault="00CD45DB" w:rsidP="00254EC9">
            <w:pPr>
              <w:pStyle w:val="Tabletext"/>
              <w:jc w:val="center"/>
            </w:pPr>
            <w:r w:rsidRPr="00F110C2">
              <w:t>0</w:t>
            </w:r>
          </w:p>
        </w:tc>
      </w:tr>
      <w:tr w:rsidR="00CD45DB" w:rsidRPr="00F110C2" w14:paraId="5534BB98" w14:textId="77777777" w:rsidTr="009615D1">
        <w:trPr>
          <w:jc w:val="center"/>
        </w:trPr>
        <w:tc>
          <w:tcPr>
            <w:tcW w:w="2411" w:type="dxa"/>
          </w:tcPr>
          <w:p w14:paraId="6455377B" w14:textId="77777777" w:rsidR="00CD45DB" w:rsidRPr="00F110C2" w:rsidRDefault="00CD45DB" w:rsidP="00254EC9">
            <w:pPr>
              <w:pStyle w:val="Tabletext"/>
              <w:jc w:val="center"/>
            </w:pPr>
            <w:r w:rsidRPr="00F110C2">
              <w:t>0,18</w:t>
            </w:r>
          </w:p>
        </w:tc>
        <w:tc>
          <w:tcPr>
            <w:tcW w:w="2411" w:type="dxa"/>
          </w:tcPr>
          <w:p w14:paraId="343E42ED" w14:textId="647F3C32" w:rsidR="00CD45DB" w:rsidRPr="00F110C2" w:rsidRDefault="009615D1" w:rsidP="00254EC9">
            <w:pPr>
              <w:pStyle w:val="Tabletext"/>
              <w:jc w:val="center"/>
            </w:pPr>
            <w:r w:rsidRPr="00F110C2">
              <w:t>−</w:t>
            </w:r>
            <w:r w:rsidR="00CD45DB" w:rsidRPr="00F110C2">
              <w:t>2,57</w:t>
            </w:r>
          </w:p>
        </w:tc>
        <w:tc>
          <w:tcPr>
            <w:tcW w:w="2411" w:type="dxa"/>
          </w:tcPr>
          <w:p w14:paraId="539A3E63" w14:textId="125F8447" w:rsidR="00CD45DB" w:rsidRPr="00F110C2" w:rsidRDefault="009615D1" w:rsidP="00254EC9">
            <w:pPr>
              <w:pStyle w:val="Tabletext"/>
              <w:jc w:val="center"/>
            </w:pPr>
            <w:r w:rsidRPr="00F110C2">
              <w:t>−</w:t>
            </w:r>
            <w:r w:rsidR="00CD45DB" w:rsidRPr="00F110C2">
              <w:t>16</w:t>
            </w:r>
          </w:p>
        </w:tc>
        <w:tc>
          <w:tcPr>
            <w:tcW w:w="2411" w:type="dxa"/>
          </w:tcPr>
          <w:p w14:paraId="5F582FF5" w14:textId="5A0D9227" w:rsidR="00CD45DB" w:rsidRPr="00F110C2" w:rsidRDefault="009615D1" w:rsidP="00254EC9">
            <w:pPr>
              <w:pStyle w:val="Tabletext"/>
              <w:jc w:val="center"/>
            </w:pPr>
            <w:r w:rsidRPr="00F110C2">
              <w:t>−</w:t>
            </w:r>
            <w:r w:rsidR="00CD45DB" w:rsidRPr="00F110C2">
              <w:t>16</w:t>
            </w:r>
          </w:p>
        </w:tc>
      </w:tr>
      <w:tr w:rsidR="00CD45DB" w:rsidRPr="00F110C2" w14:paraId="6BDB4B6B" w14:textId="77777777" w:rsidTr="009615D1">
        <w:trPr>
          <w:jc w:val="center"/>
        </w:trPr>
        <w:tc>
          <w:tcPr>
            <w:tcW w:w="2411" w:type="dxa"/>
          </w:tcPr>
          <w:p w14:paraId="0C3A66C0" w14:textId="77777777" w:rsidR="00CD45DB" w:rsidRPr="00F110C2" w:rsidRDefault="00CD45DB" w:rsidP="00254EC9">
            <w:pPr>
              <w:pStyle w:val="Tabletext"/>
              <w:jc w:val="center"/>
            </w:pPr>
            <w:r w:rsidRPr="00F110C2">
              <w:t>5</w:t>
            </w:r>
          </w:p>
        </w:tc>
        <w:tc>
          <w:tcPr>
            <w:tcW w:w="2411" w:type="dxa"/>
          </w:tcPr>
          <w:p w14:paraId="37849D41" w14:textId="77777777" w:rsidR="00CD45DB" w:rsidRPr="00F110C2" w:rsidRDefault="00CD45DB" w:rsidP="00254EC9">
            <w:pPr>
              <w:pStyle w:val="Tabletext"/>
              <w:jc w:val="center"/>
            </w:pPr>
            <w:r w:rsidRPr="00F110C2">
              <w:t>2,25</w:t>
            </w:r>
          </w:p>
        </w:tc>
        <w:tc>
          <w:tcPr>
            <w:tcW w:w="2411" w:type="dxa"/>
          </w:tcPr>
          <w:p w14:paraId="7591A7B8" w14:textId="5FE61CB0" w:rsidR="00CD45DB" w:rsidRPr="00F110C2" w:rsidRDefault="009615D1" w:rsidP="00254EC9">
            <w:pPr>
              <w:pStyle w:val="Tabletext"/>
              <w:jc w:val="center"/>
            </w:pPr>
            <w:r w:rsidRPr="00F110C2">
              <w:t>−</w:t>
            </w:r>
            <w:r w:rsidR="00CD45DB" w:rsidRPr="00F110C2">
              <w:t>16</w:t>
            </w:r>
          </w:p>
        </w:tc>
        <w:tc>
          <w:tcPr>
            <w:tcW w:w="2411" w:type="dxa"/>
          </w:tcPr>
          <w:p w14:paraId="6FDC2744" w14:textId="60ADAD21" w:rsidR="00CD45DB" w:rsidRPr="00F110C2" w:rsidRDefault="009615D1" w:rsidP="00254EC9">
            <w:pPr>
              <w:pStyle w:val="Tabletext"/>
              <w:jc w:val="center"/>
            </w:pPr>
            <w:r w:rsidRPr="00F110C2">
              <w:t>−</w:t>
            </w:r>
            <w:r w:rsidR="00CD45DB" w:rsidRPr="00F110C2">
              <w:t>16</w:t>
            </w:r>
          </w:p>
        </w:tc>
      </w:tr>
      <w:tr w:rsidR="00CD45DB" w:rsidRPr="00F110C2" w14:paraId="00AA12F2" w14:textId="77777777" w:rsidTr="009615D1">
        <w:trPr>
          <w:jc w:val="center"/>
        </w:trPr>
        <w:tc>
          <w:tcPr>
            <w:tcW w:w="2411" w:type="dxa"/>
          </w:tcPr>
          <w:p w14:paraId="56E9417B" w14:textId="77777777" w:rsidR="00CD45DB" w:rsidRPr="00F110C2" w:rsidRDefault="00CD45DB" w:rsidP="00254EC9">
            <w:pPr>
              <w:pStyle w:val="Tabletext"/>
              <w:jc w:val="center"/>
            </w:pPr>
            <w:r w:rsidRPr="00F110C2">
              <w:t>5,435</w:t>
            </w:r>
          </w:p>
        </w:tc>
        <w:tc>
          <w:tcPr>
            <w:tcW w:w="2411" w:type="dxa"/>
          </w:tcPr>
          <w:p w14:paraId="4D81DE07" w14:textId="77777777" w:rsidR="00CD45DB" w:rsidRPr="00F110C2" w:rsidRDefault="00CD45DB" w:rsidP="00254EC9">
            <w:pPr>
              <w:pStyle w:val="Tabletext"/>
              <w:jc w:val="center"/>
            </w:pPr>
            <w:r w:rsidRPr="00F110C2">
              <w:t>2,685</w:t>
            </w:r>
          </w:p>
        </w:tc>
        <w:tc>
          <w:tcPr>
            <w:tcW w:w="2411" w:type="dxa"/>
          </w:tcPr>
          <w:p w14:paraId="0A2FA44A" w14:textId="4E0B2EF0" w:rsidR="00CD45DB" w:rsidRPr="00F110C2" w:rsidRDefault="009615D1" w:rsidP="00254EC9">
            <w:pPr>
              <w:pStyle w:val="Tabletext"/>
              <w:jc w:val="center"/>
            </w:pPr>
            <w:r w:rsidRPr="00F110C2">
              <w:t>−</w:t>
            </w:r>
            <w:r w:rsidR="00CD45DB" w:rsidRPr="00F110C2">
              <w:t>10</w:t>
            </w:r>
          </w:p>
        </w:tc>
        <w:tc>
          <w:tcPr>
            <w:tcW w:w="2411" w:type="dxa"/>
          </w:tcPr>
          <w:p w14:paraId="60BE5404" w14:textId="169DE86D" w:rsidR="00CD45DB" w:rsidRPr="00F110C2" w:rsidRDefault="009615D1" w:rsidP="00254EC9">
            <w:pPr>
              <w:pStyle w:val="Tabletext"/>
              <w:jc w:val="center"/>
            </w:pPr>
            <w:r w:rsidRPr="00F110C2">
              <w:t>−</w:t>
            </w:r>
            <w:r w:rsidR="00CD45DB" w:rsidRPr="00F110C2">
              <w:t>10</w:t>
            </w:r>
          </w:p>
        </w:tc>
      </w:tr>
      <w:tr w:rsidR="00CD45DB" w:rsidRPr="00F110C2" w14:paraId="66EB5811" w14:textId="77777777" w:rsidTr="009615D1">
        <w:trPr>
          <w:jc w:val="center"/>
        </w:trPr>
        <w:tc>
          <w:tcPr>
            <w:tcW w:w="2411" w:type="dxa"/>
          </w:tcPr>
          <w:p w14:paraId="17A57A33" w14:textId="77777777" w:rsidR="00CD45DB" w:rsidRPr="00F110C2" w:rsidRDefault="00CD45DB" w:rsidP="00254EC9">
            <w:pPr>
              <w:pStyle w:val="Tabletext"/>
              <w:jc w:val="center"/>
            </w:pPr>
            <w:r w:rsidRPr="00F110C2">
              <w:t>6,565</w:t>
            </w:r>
          </w:p>
        </w:tc>
        <w:tc>
          <w:tcPr>
            <w:tcW w:w="2411" w:type="dxa"/>
          </w:tcPr>
          <w:p w14:paraId="424DB76B" w14:textId="77777777" w:rsidR="00CD45DB" w:rsidRPr="00F110C2" w:rsidRDefault="00CD45DB" w:rsidP="00254EC9">
            <w:pPr>
              <w:pStyle w:val="Tabletext"/>
              <w:jc w:val="center"/>
            </w:pPr>
            <w:r w:rsidRPr="00F110C2">
              <w:t>3,815</w:t>
            </w:r>
          </w:p>
        </w:tc>
        <w:tc>
          <w:tcPr>
            <w:tcW w:w="2411" w:type="dxa"/>
          </w:tcPr>
          <w:p w14:paraId="3A824E63" w14:textId="3220F87B" w:rsidR="00CD45DB" w:rsidRPr="00F110C2" w:rsidRDefault="009615D1" w:rsidP="00254EC9">
            <w:pPr>
              <w:pStyle w:val="Tabletext"/>
              <w:jc w:val="center"/>
            </w:pPr>
            <w:r w:rsidRPr="00F110C2">
              <w:t>−</w:t>
            </w:r>
            <w:r w:rsidR="00CD45DB" w:rsidRPr="00F110C2">
              <w:t>10</w:t>
            </w:r>
          </w:p>
        </w:tc>
        <w:tc>
          <w:tcPr>
            <w:tcW w:w="2411" w:type="dxa"/>
          </w:tcPr>
          <w:p w14:paraId="34060B46" w14:textId="53AA778D" w:rsidR="00CD45DB" w:rsidRPr="00F110C2" w:rsidRDefault="009615D1" w:rsidP="00254EC9">
            <w:pPr>
              <w:pStyle w:val="Tabletext"/>
              <w:jc w:val="center"/>
            </w:pPr>
            <w:r w:rsidRPr="00F110C2">
              <w:t>−</w:t>
            </w:r>
            <w:r w:rsidR="00CD45DB" w:rsidRPr="00F110C2">
              <w:t>10</w:t>
            </w:r>
          </w:p>
        </w:tc>
      </w:tr>
      <w:tr w:rsidR="00CD45DB" w:rsidRPr="00F110C2" w14:paraId="585B0E66" w14:textId="77777777" w:rsidTr="009615D1">
        <w:trPr>
          <w:jc w:val="center"/>
        </w:trPr>
        <w:tc>
          <w:tcPr>
            <w:tcW w:w="2411" w:type="dxa"/>
          </w:tcPr>
          <w:p w14:paraId="6D9E63A2" w14:textId="77777777" w:rsidR="00CD45DB" w:rsidRPr="00F110C2" w:rsidRDefault="00CD45DB" w:rsidP="00254EC9">
            <w:pPr>
              <w:pStyle w:val="Tabletext"/>
              <w:jc w:val="center"/>
            </w:pPr>
            <w:r w:rsidRPr="00F110C2">
              <w:t>6,802</w:t>
            </w:r>
          </w:p>
        </w:tc>
        <w:tc>
          <w:tcPr>
            <w:tcW w:w="2411" w:type="dxa"/>
          </w:tcPr>
          <w:p w14:paraId="7061276C" w14:textId="77777777" w:rsidR="00CD45DB" w:rsidRPr="00F110C2" w:rsidRDefault="00CD45DB" w:rsidP="00254EC9">
            <w:pPr>
              <w:pStyle w:val="Tabletext"/>
              <w:jc w:val="center"/>
            </w:pPr>
            <w:r w:rsidRPr="00F110C2">
              <w:t>4,052</w:t>
            </w:r>
          </w:p>
        </w:tc>
        <w:tc>
          <w:tcPr>
            <w:tcW w:w="2411" w:type="dxa"/>
          </w:tcPr>
          <w:p w14:paraId="5A3257E3" w14:textId="56F12340" w:rsidR="00CD45DB" w:rsidRPr="00F110C2" w:rsidRDefault="009615D1" w:rsidP="00254EC9">
            <w:pPr>
              <w:pStyle w:val="Tabletext"/>
              <w:jc w:val="center"/>
            </w:pPr>
            <w:r w:rsidRPr="00F110C2">
              <w:t>−</w:t>
            </w:r>
            <w:r w:rsidR="00CD45DB" w:rsidRPr="00F110C2">
              <w:t>25</w:t>
            </w:r>
          </w:p>
        </w:tc>
        <w:tc>
          <w:tcPr>
            <w:tcW w:w="2411" w:type="dxa"/>
          </w:tcPr>
          <w:p w14:paraId="586290D5" w14:textId="2D3FF681" w:rsidR="00CD45DB" w:rsidRPr="00F110C2" w:rsidRDefault="009615D1" w:rsidP="00254EC9">
            <w:pPr>
              <w:pStyle w:val="Tabletext"/>
              <w:jc w:val="center"/>
            </w:pPr>
            <w:r w:rsidRPr="00F110C2">
              <w:t>−</w:t>
            </w:r>
            <w:r w:rsidR="00CD45DB" w:rsidRPr="00F110C2">
              <w:t>25</w:t>
            </w:r>
          </w:p>
        </w:tc>
      </w:tr>
      <w:tr w:rsidR="00CD45DB" w:rsidRPr="00F110C2" w14:paraId="74F9F15C" w14:textId="77777777" w:rsidTr="009615D1">
        <w:trPr>
          <w:jc w:val="center"/>
        </w:trPr>
        <w:tc>
          <w:tcPr>
            <w:tcW w:w="2411" w:type="dxa"/>
          </w:tcPr>
          <w:p w14:paraId="384442C9" w14:textId="77777777" w:rsidR="00CD45DB" w:rsidRPr="00F110C2" w:rsidRDefault="00CD45DB" w:rsidP="00254EC9">
            <w:pPr>
              <w:pStyle w:val="Tabletext"/>
              <w:jc w:val="center"/>
            </w:pPr>
            <w:r w:rsidRPr="00F110C2">
              <w:t>6,94</w:t>
            </w:r>
          </w:p>
        </w:tc>
        <w:tc>
          <w:tcPr>
            <w:tcW w:w="2411" w:type="dxa"/>
          </w:tcPr>
          <w:p w14:paraId="2DC2E9CB" w14:textId="77777777" w:rsidR="00CD45DB" w:rsidRPr="00F110C2" w:rsidRDefault="00CD45DB" w:rsidP="00254EC9">
            <w:pPr>
              <w:pStyle w:val="Tabletext"/>
              <w:jc w:val="center"/>
            </w:pPr>
            <w:r w:rsidRPr="00F110C2">
              <w:t>4,19</w:t>
            </w:r>
          </w:p>
        </w:tc>
        <w:tc>
          <w:tcPr>
            <w:tcW w:w="2411" w:type="dxa"/>
          </w:tcPr>
          <w:p w14:paraId="298FE33E" w14:textId="04BC7B80" w:rsidR="00CD45DB" w:rsidRPr="00F110C2" w:rsidRDefault="009615D1" w:rsidP="00254EC9">
            <w:pPr>
              <w:pStyle w:val="Tabletext"/>
              <w:jc w:val="center"/>
            </w:pPr>
            <w:r w:rsidRPr="00F110C2">
              <w:t>−</w:t>
            </w:r>
            <w:r w:rsidR="00CD45DB" w:rsidRPr="00F110C2">
              <w:t>50</w:t>
            </w:r>
          </w:p>
        </w:tc>
        <w:tc>
          <w:tcPr>
            <w:tcW w:w="2411" w:type="dxa"/>
          </w:tcPr>
          <w:p w14:paraId="100D9AD7" w14:textId="54BF1B14" w:rsidR="00CD45DB" w:rsidRPr="00F110C2" w:rsidRDefault="009615D1" w:rsidP="00254EC9">
            <w:pPr>
              <w:pStyle w:val="Tabletext"/>
              <w:jc w:val="center"/>
            </w:pPr>
            <w:r w:rsidRPr="00F110C2">
              <w:t>−</w:t>
            </w:r>
            <w:r w:rsidR="00CD45DB" w:rsidRPr="00F110C2">
              <w:t>50</w:t>
            </w:r>
          </w:p>
        </w:tc>
      </w:tr>
      <w:tr w:rsidR="00CD45DB" w:rsidRPr="00F110C2" w14:paraId="47BB23A7" w14:textId="77777777" w:rsidTr="009615D1">
        <w:trPr>
          <w:jc w:val="center"/>
        </w:trPr>
        <w:tc>
          <w:tcPr>
            <w:tcW w:w="2411" w:type="dxa"/>
          </w:tcPr>
          <w:p w14:paraId="33AD4CA9" w14:textId="77777777" w:rsidR="00CD45DB" w:rsidRPr="00F110C2" w:rsidRDefault="00CD45DB" w:rsidP="00254EC9">
            <w:pPr>
              <w:pStyle w:val="Tabletext"/>
              <w:jc w:val="center"/>
            </w:pPr>
            <w:r w:rsidRPr="00F110C2">
              <w:t>13</w:t>
            </w:r>
          </w:p>
        </w:tc>
        <w:tc>
          <w:tcPr>
            <w:tcW w:w="2411" w:type="dxa"/>
          </w:tcPr>
          <w:p w14:paraId="1A62BB26" w14:textId="77777777" w:rsidR="00CD45DB" w:rsidRPr="00F110C2" w:rsidRDefault="00CD45DB" w:rsidP="00254EC9">
            <w:pPr>
              <w:pStyle w:val="Tabletext"/>
              <w:jc w:val="center"/>
            </w:pPr>
            <w:r w:rsidRPr="00F110C2">
              <w:t>10,25</w:t>
            </w:r>
          </w:p>
        </w:tc>
        <w:tc>
          <w:tcPr>
            <w:tcW w:w="2411" w:type="dxa"/>
          </w:tcPr>
          <w:p w14:paraId="58B26CC8" w14:textId="10CD1C6E" w:rsidR="00CD45DB" w:rsidRPr="00F110C2" w:rsidRDefault="009615D1" w:rsidP="00254EC9">
            <w:pPr>
              <w:pStyle w:val="Tabletext"/>
              <w:jc w:val="center"/>
            </w:pPr>
            <w:r w:rsidRPr="00F110C2">
              <w:t>−</w:t>
            </w:r>
            <w:r w:rsidR="00CD45DB" w:rsidRPr="00F110C2">
              <w:t>56</w:t>
            </w:r>
          </w:p>
        </w:tc>
        <w:tc>
          <w:tcPr>
            <w:tcW w:w="2411" w:type="dxa"/>
          </w:tcPr>
          <w:p w14:paraId="5004158A" w14:textId="4F1A8A52" w:rsidR="00CD45DB" w:rsidRPr="00F110C2" w:rsidRDefault="009615D1" w:rsidP="00254EC9">
            <w:pPr>
              <w:pStyle w:val="Tabletext"/>
              <w:jc w:val="center"/>
            </w:pPr>
            <w:r w:rsidRPr="00F110C2">
              <w:t>−</w:t>
            </w:r>
            <w:r w:rsidR="00CD45DB" w:rsidRPr="00F110C2">
              <w:t>56</w:t>
            </w:r>
          </w:p>
        </w:tc>
      </w:tr>
      <w:tr w:rsidR="00CD45DB" w:rsidRPr="00F110C2" w14:paraId="1226051A" w14:textId="77777777" w:rsidTr="009615D1">
        <w:trPr>
          <w:jc w:val="center"/>
        </w:trPr>
        <w:tc>
          <w:tcPr>
            <w:tcW w:w="2411" w:type="dxa"/>
          </w:tcPr>
          <w:p w14:paraId="7153934F" w14:textId="77777777" w:rsidR="00CD45DB" w:rsidRPr="00F110C2" w:rsidRDefault="00CD45DB" w:rsidP="00254EC9">
            <w:pPr>
              <w:pStyle w:val="Tabletext"/>
              <w:jc w:val="center"/>
            </w:pPr>
            <w:r w:rsidRPr="00F110C2">
              <w:t>14,75</w:t>
            </w:r>
          </w:p>
        </w:tc>
        <w:tc>
          <w:tcPr>
            <w:tcW w:w="2411" w:type="dxa"/>
          </w:tcPr>
          <w:p w14:paraId="2E472F24" w14:textId="77777777" w:rsidR="00CD45DB" w:rsidRPr="00F110C2" w:rsidRDefault="00CD45DB" w:rsidP="00254EC9">
            <w:pPr>
              <w:pStyle w:val="Tabletext"/>
              <w:jc w:val="center"/>
            </w:pPr>
            <w:r w:rsidRPr="00F110C2">
              <w:t>12</w:t>
            </w:r>
          </w:p>
        </w:tc>
        <w:tc>
          <w:tcPr>
            <w:tcW w:w="2411" w:type="dxa"/>
          </w:tcPr>
          <w:p w14:paraId="7BE85237" w14:textId="5961B573" w:rsidR="00CD45DB" w:rsidRPr="00F110C2" w:rsidRDefault="009615D1" w:rsidP="00254EC9">
            <w:pPr>
              <w:pStyle w:val="Tabletext"/>
              <w:jc w:val="center"/>
            </w:pPr>
            <w:r w:rsidRPr="00F110C2">
              <w:t>−</w:t>
            </w:r>
            <w:r w:rsidR="00CD45DB" w:rsidRPr="00F110C2">
              <w:t>65,5</w:t>
            </w:r>
          </w:p>
        </w:tc>
        <w:tc>
          <w:tcPr>
            <w:tcW w:w="2411" w:type="dxa"/>
          </w:tcPr>
          <w:p w14:paraId="1AA6F587" w14:textId="4AFD953D" w:rsidR="00CD45DB" w:rsidRPr="00F110C2" w:rsidRDefault="009615D1" w:rsidP="00254EC9">
            <w:pPr>
              <w:pStyle w:val="Tabletext"/>
              <w:jc w:val="center"/>
            </w:pPr>
            <w:r w:rsidRPr="00F110C2">
              <w:t>−</w:t>
            </w:r>
            <w:r w:rsidR="00CD45DB" w:rsidRPr="00F110C2">
              <w:t>65,5</w:t>
            </w:r>
          </w:p>
        </w:tc>
      </w:tr>
      <w:tr w:rsidR="00CD45DB" w:rsidRPr="00F110C2" w14:paraId="0AD1A431" w14:textId="77777777" w:rsidTr="009615D1">
        <w:trPr>
          <w:jc w:val="center"/>
        </w:trPr>
        <w:tc>
          <w:tcPr>
            <w:tcW w:w="2411" w:type="dxa"/>
          </w:tcPr>
          <w:p w14:paraId="579E6DBE" w14:textId="77777777" w:rsidR="00CD45DB" w:rsidRPr="00F110C2" w:rsidRDefault="00CD45DB" w:rsidP="00254EC9">
            <w:pPr>
              <w:pStyle w:val="Tabletext"/>
              <w:jc w:val="center"/>
            </w:pPr>
            <w:r w:rsidRPr="00F110C2">
              <w:t>22,75</w:t>
            </w:r>
          </w:p>
        </w:tc>
        <w:tc>
          <w:tcPr>
            <w:tcW w:w="2411" w:type="dxa"/>
          </w:tcPr>
          <w:p w14:paraId="73E4EDCF" w14:textId="77777777" w:rsidR="00CD45DB" w:rsidRPr="00F110C2" w:rsidRDefault="00CD45DB" w:rsidP="00254EC9">
            <w:pPr>
              <w:pStyle w:val="Tabletext"/>
              <w:jc w:val="center"/>
            </w:pPr>
            <w:r w:rsidRPr="00F110C2">
              <w:t>20</w:t>
            </w:r>
          </w:p>
        </w:tc>
        <w:tc>
          <w:tcPr>
            <w:tcW w:w="2411" w:type="dxa"/>
          </w:tcPr>
          <w:p w14:paraId="30840B99" w14:textId="78495B23" w:rsidR="00CD45DB" w:rsidRPr="00F110C2" w:rsidRDefault="009615D1" w:rsidP="00254EC9">
            <w:pPr>
              <w:pStyle w:val="Tabletext"/>
              <w:jc w:val="center"/>
            </w:pPr>
            <w:r w:rsidRPr="00F110C2">
              <w:t>−</w:t>
            </w:r>
            <w:r w:rsidR="00CD45DB" w:rsidRPr="00F110C2">
              <w:t>90,5</w:t>
            </w:r>
          </w:p>
        </w:tc>
        <w:tc>
          <w:tcPr>
            <w:tcW w:w="2411" w:type="dxa"/>
          </w:tcPr>
          <w:p w14:paraId="54BDA78D" w14:textId="211D2C8A" w:rsidR="00CD45DB" w:rsidRPr="00F110C2" w:rsidRDefault="009615D1" w:rsidP="00254EC9">
            <w:pPr>
              <w:pStyle w:val="Tabletext"/>
              <w:jc w:val="center"/>
            </w:pPr>
            <w:r w:rsidRPr="00F110C2">
              <w:t>−</w:t>
            </w:r>
            <w:r w:rsidR="00CD45DB" w:rsidRPr="00F110C2">
              <w:t>90,5</w:t>
            </w:r>
          </w:p>
        </w:tc>
      </w:tr>
    </w:tbl>
    <w:p w14:paraId="2794A8B8" w14:textId="77777777" w:rsidR="00CD45DB" w:rsidRPr="00F110C2" w:rsidRDefault="00CD45DB" w:rsidP="00254EC9">
      <w:pPr>
        <w:pStyle w:val="Tablefin"/>
        <w:rPr>
          <w:sz w:val="2"/>
        </w:rPr>
      </w:pPr>
    </w:p>
    <w:p w14:paraId="0D19682C" w14:textId="77777777" w:rsidR="00CD45DB" w:rsidRPr="00F110C2" w:rsidRDefault="00CD45DB" w:rsidP="00254EC9">
      <w:pPr>
        <w:pStyle w:val="Tablefin"/>
      </w:pPr>
    </w:p>
    <w:p w14:paraId="22BE24D8" w14:textId="33DB61B8" w:rsidR="00CD45DB" w:rsidRPr="00F110C2" w:rsidRDefault="00CD45DB" w:rsidP="00254EC9">
      <w:r w:rsidRPr="00F110C2">
        <w:t>Le Tableau 12 donne les valeurs de point d'extrémité à utiliser conjointement avec le Tableau 11 et la Fig. 21, applicables à une plage de puissances de sortie d'émetteur, pour la télévision analogique à</w:t>
      </w:r>
      <w:r w:rsidR="00F91EA9" w:rsidRPr="00F110C2">
        <w:t> </w:t>
      </w:r>
      <w:r w:rsidRPr="00F110C2">
        <w:t>8 MHz, modulation négative.</w:t>
      </w:r>
    </w:p>
    <w:p w14:paraId="73984988" w14:textId="77777777" w:rsidR="00CD45DB" w:rsidRPr="00F110C2" w:rsidRDefault="00CD45DB" w:rsidP="00254EC9">
      <w:pPr>
        <w:pStyle w:val="TableNo"/>
      </w:pPr>
      <w:r w:rsidRPr="00F110C2">
        <w:t>TABLEAU 12</w:t>
      </w:r>
    </w:p>
    <w:p w14:paraId="3449E928" w14:textId="20FC541F" w:rsidR="00CD45DB" w:rsidRPr="00F110C2" w:rsidRDefault="00CD45DB" w:rsidP="00254EC9">
      <w:pPr>
        <w:pStyle w:val="Tabletitle"/>
      </w:pPr>
      <w:r w:rsidRPr="00F110C2">
        <w:t>Valeurs de point d'extrémité pour la télévision analogique à 8 MHz,</w:t>
      </w:r>
      <w:r w:rsidR="009615D1" w:rsidRPr="00F110C2">
        <w:t xml:space="preserve"> </w:t>
      </w:r>
      <w:r w:rsidRPr="00F110C2">
        <w:t>modulation négative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2662"/>
        <w:gridCol w:w="3764"/>
      </w:tblGrid>
      <w:tr w:rsidR="00CD45DB" w:rsidRPr="00F110C2" w14:paraId="329B42CF" w14:textId="77777777" w:rsidTr="00F91EA9">
        <w:trPr>
          <w:jc w:val="center"/>
        </w:trPr>
        <w:tc>
          <w:tcPr>
            <w:tcW w:w="3024" w:type="dxa"/>
            <w:tcBorders>
              <w:top w:val="single" w:sz="4" w:space="0" w:color="auto"/>
              <w:left w:val="single" w:sz="4" w:space="0" w:color="auto"/>
              <w:bottom w:val="single" w:sz="4" w:space="0" w:color="auto"/>
              <w:right w:val="single" w:sz="4" w:space="0" w:color="auto"/>
            </w:tcBorders>
            <w:vAlign w:val="center"/>
          </w:tcPr>
          <w:p w14:paraId="12827C06" w14:textId="66335E00" w:rsidR="00CD45DB" w:rsidRPr="00F110C2" w:rsidRDefault="00CD45DB" w:rsidP="00254EC9">
            <w:pPr>
              <w:pStyle w:val="Tablehead"/>
            </w:pPr>
            <w:r w:rsidRPr="00F110C2">
              <w:t>Valeur de point d'extrémité</w:t>
            </w:r>
            <w:r w:rsidRPr="00F110C2">
              <w:rPr>
                <w:vertAlign w:val="superscript"/>
              </w:rPr>
              <w:t>(1)</w:t>
            </w:r>
            <w:r w:rsidRPr="00F110C2">
              <w:t xml:space="preserve"> </w:t>
            </w:r>
            <w:r w:rsidRPr="00F110C2">
              <w:br/>
              <w:t>(largeur de bande de mesure</w:t>
            </w:r>
            <w:r w:rsidR="00F91EA9" w:rsidRPr="00F110C2">
              <w:br/>
            </w:r>
            <w:r w:rsidRPr="00F110C2">
              <w:t>de 50 kHz)</w:t>
            </w:r>
            <w:r w:rsidR="00F91EA9" w:rsidRPr="00F110C2">
              <w:t xml:space="preserve"> </w:t>
            </w:r>
            <w:r w:rsidRPr="00F110C2">
              <w:t>(dB)</w:t>
            </w:r>
          </w:p>
        </w:tc>
        <w:tc>
          <w:tcPr>
            <w:tcW w:w="2505" w:type="dxa"/>
            <w:tcBorders>
              <w:top w:val="single" w:sz="4" w:space="0" w:color="auto"/>
              <w:left w:val="single" w:sz="4" w:space="0" w:color="auto"/>
              <w:bottom w:val="single" w:sz="4" w:space="0" w:color="auto"/>
              <w:right w:val="single" w:sz="4" w:space="0" w:color="auto"/>
            </w:tcBorders>
            <w:vAlign w:val="center"/>
          </w:tcPr>
          <w:p w14:paraId="32DCB983" w14:textId="77777777" w:rsidR="00CD45DB" w:rsidRPr="00F110C2" w:rsidRDefault="00CD45DB" w:rsidP="00254EC9">
            <w:pPr>
              <w:pStyle w:val="Tablehead"/>
            </w:pPr>
            <w:r w:rsidRPr="00F110C2">
              <w:t>Plage de puissances</w:t>
            </w:r>
            <w:r w:rsidRPr="00F110C2">
              <w:br/>
              <w:t>(dBW)</w:t>
            </w:r>
          </w:p>
        </w:tc>
        <w:tc>
          <w:tcPr>
            <w:tcW w:w="3543" w:type="dxa"/>
            <w:tcBorders>
              <w:top w:val="single" w:sz="4" w:space="0" w:color="auto"/>
              <w:left w:val="single" w:sz="4" w:space="0" w:color="auto"/>
              <w:bottom w:val="single" w:sz="4" w:space="0" w:color="auto"/>
              <w:right w:val="single" w:sz="4" w:space="0" w:color="auto"/>
            </w:tcBorders>
            <w:vAlign w:val="center"/>
          </w:tcPr>
          <w:p w14:paraId="58C5AD6E" w14:textId="77777777" w:rsidR="00CD45DB" w:rsidRPr="00F110C2" w:rsidRDefault="00CD45DB" w:rsidP="00254EC9">
            <w:pPr>
              <w:pStyle w:val="Tablehead"/>
            </w:pPr>
            <w:r w:rsidRPr="00F110C2">
              <w:t>Niveau correspondant des rayonnements non essentiels (dans une largeur de bande de mesure de 100 kHz)</w:t>
            </w:r>
          </w:p>
        </w:tc>
      </w:tr>
      <w:tr w:rsidR="00CD45DB" w:rsidRPr="00F110C2" w14:paraId="42BA9E95" w14:textId="77777777" w:rsidTr="00F91EA9">
        <w:trPr>
          <w:jc w:val="center"/>
        </w:trPr>
        <w:tc>
          <w:tcPr>
            <w:tcW w:w="3024" w:type="dxa"/>
            <w:tcBorders>
              <w:top w:val="single" w:sz="4" w:space="0" w:color="auto"/>
              <w:left w:val="single" w:sz="4" w:space="0" w:color="auto"/>
              <w:bottom w:val="single" w:sz="4" w:space="0" w:color="auto"/>
              <w:right w:val="single" w:sz="4" w:space="0" w:color="auto"/>
            </w:tcBorders>
          </w:tcPr>
          <w:p w14:paraId="095EBD9E" w14:textId="4C8F9843" w:rsidR="00CD45DB" w:rsidRPr="00F110C2" w:rsidRDefault="009615D1" w:rsidP="00254EC9">
            <w:pPr>
              <w:pStyle w:val="Tabletext"/>
              <w:jc w:val="center"/>
            </w:pPr>
            <w:r w:rsidRPr="00F110C2">
              <w:t>−</w:t>
            </w:r>
            <w:r w:rsidR="00CD45DB" w:rsidRPr="00F110C2">
              <w:t>80,5 </w:t>
            </w:r>
            <w:r w:rsidRPr="00F110C2">
              <w:t>−</w:t>
            </w:r>
            <w:r w:rsidR="00CD45DB" w:rsidRPr="00F110C2">
              <w:t> (</w:t>
            </w:r>
            <w:r w:rsidR="00CD45DB" w:rsidRPr="00F110C2">
              <w:rPr>
                <w:i/>
                <w:iCs/>
              </w:rPr>
              <w:t>P</w:t>
            </w:r>
            <w:r w:rsidR="00CD45DB" w:rsidRPr="00F110C2">
              <w:t> </w:t>
            </w:r>
            <w:r w:rsidRPr="00F110C2">
              <w:t>−</w:t>
            </w:r>
            <w:r w:rsidR="00CD45DB" w:rsidRPr="00F110C2">
              <w:t> 9)</w:t>
            </w:r>
          </w:p>
        </w:tc>
        <w:tc>
          <w:tcPr>
            <w:tcW w:w="2505" w:type="dxa"/>
            <w:tcBorders>
              <w:top w:val="single" w:sz="4" w:space="0" w:color="auto"/>
              <w:left w:val="single" w:sz="4" w:space="0" w:color="auto"/>
              <w:bottom w:val="single" w:sz="4" w:space="0" w:color="auto"/>
              <w:right w:val="single" w:sz="4" w:space="0" w:color="auto"/>
            </w:tcBorders>
          </w:tcPr>
          <w:p w14:paraId="129D15A4" w14:textId="77777777" w:rsidR="00CD45DB" w:rsidRPr="00F110C2" w:rsidRDefault="00CD45DB" w:rsidP="00254EC9">
            <w:pPr>
              <w:pStyle w:val="Tabletext"/>
              <w:tabs>
                <w:tab w:val="clear" w:pos="851"/>
                <w:tab w:val="left" w:pos="845"/>
              </w:tabs>
              <w:jc w:val="left"/>
            </w:pPr>
            <w:r w:rsidRPr="00F110C2">
              <w:rPr>
                <w:i/>
                <w:iCs/>
                <w:szCs w:val="24"/>
              </w:rPr>
              <w:tab/>
            </w:r>
            <w:r w:rsidRPr="00F110C2">
              <w:rPr>
                <w:i/>
                <w:iCs/>
                <w:szCs w:val="24"/>
              </w:rPr>
              <w:tab/>
              <w:t>P</w:t>
            </w:r>
            <w:r w:rsidRPr="00F110C2">
              <w:rPr>
                <w:szCs w:val="24"/>
              </w:rPr>
              <w:t> </w:t>
            </w:r>
            <w:r w:rsidRPr="00F110C2">
              <w:sym w:font="Symbol" w:char="F0A3"/>
            </w:r>
            <w:r w:rsidRPr="00F110C2">
              <w:t> </w:t>
            </w:r>
            <w:r w:rsidRPr="00F110C2">
              <w:rPr>
                <w:szCs w:val="24"/>
              </w:rPr>
              <w:t>9</w:t>
            </w:r>
          </w:p>
        </w:tc>
        <w:tc>
          <w:tcPr>
            <w:tcW w:w="3543" w:type="dxa"/>
            <w:tcBorders>
              <w:top w:val="single" w:sz="4" w:space="0" w:color="auto"/>
              <w:left w:val="single" w:sz="4" w:space="0" w:color="auto"/>
              <w:bottom w:val="single" w:sz="4" w:space="0" w:color="auto"/>
              <w:right w:val="single" w:sz="4" w:space="0" w:color="auto"/>
            </w:tcBorders>
          </w:tcPr>
          <w:p w14:paraId="2F53F3BE" w14:textId="61581531" w:rsidR="00CD45DB" w:rsidRPr="00F110C2" w:rsidRDefault="009615D1" w:rsidP="00254EC9">
            <w:pPr>
              <w:pStyle w:val="Tabletext"/>
              <w:jc w:val="center"/>
            </w:pPr>
            <w:r w:rsidRPr="00F110C2">
              <w:t>−</w:t>
            </w:r>
            <w:r w:rsidR="00CD45DB" w:rsidRPr="00F110C2">
              <w:t>36 dBm</w:t>
            </w:r>
          </w:p>
        </w:tc>
      </w:tr>
      <w:tr w:rsidR="00CD45DB" w:rsidRPr="00F110C2" w14:paraId="3248D75F" w14:textId="77777777" w:rsidTr="00F91EA9">
        <w:trPr>
          <w:jc w:val="center"/>
        </w:trPr>
        <w:tc>
          <w:tcPr>
            <w:tcW w:w="3024" w:type="dxa"/>
            <w:tcBorders>
              <w:top w:val="single" w:sz="4" w:space="0" w:color="auto"/>
              <w:left w:val="single" w:sz="4" w:space="0" w:color="auto"/>
              <w:bottom w:val="single" w:sz="4" w:space="0" w:color="auto"/>
              <w:right w:val="single" w:sz="4" w:space="0" w:color="auto"/>
            </w:tcBorders>
          </w:tcPr>
          <w:p w14:paraId="0C629CD0" w14:textId="1198AD2F" w:rsidR="00CD45DB" w:rsidRPr="00F110C2" w:rsidRDefault="009615D1" w:rsidP="00254EC9">
            <w:pPr>
              <w:pStyle w:val="Tabletext"/>
              <w:jc w:val="center"/>
            </w:pPr>
            <w:r w:rsidRPr="00F110C2">
              <w:t>−</w:t>
            </w:r>
            <w:r w:rsidR="00CD45DB" w:rsidRPr="00F110C2">
              <w:t>80,5</w:t>
            </w:r>
          </w:p>
        </w:tc>
        <w:tc>
          <w:tcPr>
            <w:tcW w:w="2505" w:type="dxa"/>
            <w:tcBorders>
              <w:top w:val="single" w:sz="4" w:space="0" w:color="auto"/>
              <w:left w:val="single" w:sz="4" w:space="0" w:color="auto"/>
              <w:bottom w:val="single" w:sz="4" w:space="0" w:color="auto"/>
              <w:right w:val="single" w:sz="4" w:space="0" w:color="auto"/>
            </w:tcBorders>
          </w:tcPr>
          <w:p w14:paraId="3E269381" w14:textId="77777777" w:rsidR="00CD45DB" w:rsidRPr="00F110C2" w:rsidRDefault="00CD45DB" w:rsidP="00254EC9">
            <w:pPr>
              <w:pStyle w:val="Tabletext"/>
              <w:jc w:val="left"/>
            </w:pPr>
            <w:r w:rsidRPr="00F110C2">
              <w:rPr>
                <w:szCs w:val="24"/>
              </w:rPr>
              <w:tab/>
            </w:r>
            <w:r w:rsidRPr="00F110C2">
              <w:rPr>
                <w:szCs w:val="24"/>
              </w:rPr>
              <w:tab/>
              <w:t>9 &lt;</w:t>
            </w:r>
            <w:r w:rsidRPr="00F110C2">
              <w:rPr>
                <w:szCs w:val="24"/>
              </w:rPr>
              <w:tab/>
            </w:r>
            <w:r w:rsidRPr="00F110C2">
              <w:rPr>
                <w:i/>
                <w:iCs/>
                <w:szCs w:val="24"/>
              </w:rPr>
              <w:t>P</w:t>
            </w:r>
            <w:r w:rsidRPr="00F110C2">
              <w:rPr>
                <w:szCs w:val="24"/>
              </w:rPr>
              <w:t> </w:t>
            </w:r>
            <w:r w:rsidRPr="00F110C2">
              <w:sym w:font="Symbol" w:char="F0A3"/>
            </w:r>
            <w:r w:rsidRPr="00F110C2">
              <w:rPr>
                <w:szCs w:val="24"/>
              </w:rPr>
              <w:t> 29</w:t>
            </w:r>
          </w:p>
        </w:tc>
        <w:tc>
          <w:tcPr>
            <w:tcW w:w="3543" w:type="dxa"/>
            <w:tcBorders>
              <w:top w:val="single" w:sz="4" w:space="0" w:color="auto"/>
              <w:left w:val="single" w:sz="4" w:space="0" w:color="auto"/>
              <w:bottom w:val="single" w:sz="4" w:space="0" w:color="auto"/>
              <w:right w:val="single" w:sz="4" w:space="0" w:color="auto"/>
            </w:tcBorders>
          </w:tcPr>
          <w:p w14:paraId="68F5A1B0" w14:textId="77777777" w:rsidR="00CD45DB" w:rsidRPr="00F110C2" w:rsidRDefault="00CD45DB" w:rsidP="00254EC9">
            <w:pPr>
              <w:pStyle w:val="Tabletext"/>
              <w:jc w:val="center"/>
            </w:pPr>
            <w:r w:rsidRPr="00F110C2">
              <w:t>75 dBc</w:t>
            </w:r>
          </w:p>
        </w:tc>
      </w:tr>
      <w:tr w:rsidR="00CD45DB" w:rsidRPr="00F110C2" w14:paraId="16E98DAE" w14:textId="77777777" w:rsidTr="00F91EA9">
        <w:trPr>
          <w:jc w:val="center"/>
        </w:trPr>
        <w:tc>
          <w:tcPr>
            <w:tcW w:w="3024" w:type="dxa"/>
            <w:tcBorders>
              <w:top w:val="single" w:sz="4" w:space="0" w:color="auto"/>
              <w:left w:val="single" w:sz="4" w:space="0" w:color="auto"/>
              <w:bottom w:val="single" w:sz="4" w:space="0" w:color="auto"/>
              <w:right w:val="single" w:sz="4" w:space="0" w:color="auto"/>
            </w:tcBorders>
          </w:tcPr>
          <w:p w14:paraId="2F7B29B6" w14:textId="5A484985" w:rsidR="00CD45DB" w:rsidRPr="00F110C2" w:rsidRDefault="009615D1" w:rsidP="00254EC9">
            <w:pPr>
              <w:pStyle w:val="Tabletext"/>
              <w:jc w:val="center"/>
            </w:pPr>
            <w:r w:rsidRPr="00F110C2">
              <w:t>−</w:t>
            </w:r>
            <w:r w:rsidR="00CD45DB" w:rsidRPr="00F110C2">
              <w:t>80,5 </w:t>
            </w:r>
            <w:r w:rsidRPr="00F110C2">
              <w:t>−</w:t>
            </w:r>
            <w:r w:rsidR="00CD45DB" w:rsidRPr="00F110C2">
              <w:t> (</w:t>
            </w:r>
            <w:r w:rsidR="00CD45DB" w:rsidRPr="00F110C2">
              <w:rPr>
                <w:i/>
                <w:iCs/>
              </w:rPr>
              <w:t>P</w:t>
            </w:r>
            <w:r w:rsidR="00CD45DB" w:rsidRPr="00F110C2">
              <w:t> </w:t>
            </w:r>
            <w:r w:rsidRPr="00F110C2">
              <w:t>−</w:t>
            </w:r>
            <w:r w:rsidR="00CD45DB" w:rsidRPr="00F110C2">
              <w:t> 29)</w:t>
            </w:r>
          </w:p>
        </w:tc>
        <w:tc>
          <w:tcPr>
            <w:tcW w:w="2505" w:type="dxa"/>
            <w:tcBorders>
              <w:top w:val="single" w:sz="4" w:space="0" w:color="auto"/>
              <w:left w:val="single" w:sz="4" w:space="0" w:color="auto"/>
              <w:bottom w:val="single" w:sz="4" w:space="0" w:color="auto"/>
              <w:right w:val="single" w:sz="4" w:space="0" w:color="auto"/>
            </w:tcBorders>
          </w:tcPr>
          <w:p w14:paraId="22FBE88F" w14:textId="77777777" w:rsidR="00CD45DB" w:rsidRPr="00F110C2" w:rsidRDefault="00CD45DB" w:rsidP="00254EC9">
            <w:pPr>
              <w:pStyle w:val="Tabletext"/>
              <w:tabs>
                <w:tab w:val="clear" w:pos="851"/>
                <w:tab w:val="left" w:pos="845"/>
              </w:tabs>
              <w:jc w:val="left"/>
            </w:pPr>
            <w:r w:rsidRPr="00F110C2">
              <w:rPr>
                <w:szCs w:val="24"/>
              </w:rPr>
              <w:tab/>
            </w:r>
            <w:r w:rsidRPr="00F110C2">
              <w:rPr>
                <w:szCs w:val="24"/>
              </w:rPr>
              <w:tab/>
              <w:t>29 &lt;</w:t>
            </w:r>
            <w:r w:rsidRPr="00F110C2">
              <w:rPr>
                <w:szCs w:val="24"/>
              </w:rPr>
              <w:tab/>
            </w:r>
            <w:r w:rsidRPr="00F110C2">
              <w:rPr>
                <w:i/>
                <w:iCs/>
                <w:szCs w:val="24"/>
              </w:rPr>
              <w:t>P</w:t>
            </w:r>
            <w:r w:rsidRPr="00F110C2">
              <w:rPr>
                <w:szCs w:val="24"/>
              </w:rPr>
              <w:t> </w:t>
            </w:r>
            <w:r w:rsidRPr="00F110C2">
              <w:sym w:font="Symbol" w:char="F0A3"/>
            </w:r>
            <w:r w:rsidRPr="00F110C2">
              <w:rPr>
                <w:szCs w:val="24"/>
              </w:rPr>
              <w:t> 39</w:t>
            </w:r>
          </w:p>
        </w:tc>
        <w:tc>
          <w:tcPr>
            <w:tcW w:w="3543" w:type="dxa"/>
            <w:tcBorders>
              <w:top w:val="single" w:sz="4" w:space="0" w:color="auto"/>
              <w:left w:val="single" w:sz="4" w:space="0" w:color="auto"/>
              <w:bottom w:val="single" w:sz="4" w:space="0" w:color="auto"/>
              <w:right w:val="single" w:sz="4" w:space="0" w:color="auto"/>
            </w:tcBorders>
          </w:tcPr>
          <w:p w14:paraId="35158DB1" w14:textId="0AED2DBC" w:rsidR="00CD45DB" w:rsidRPr="00F110C2" w:rsidRDefault="009615D1" w:rsidP="00254EC9">
            <w:pPr>
              <w:pStyle w:val="Tabletext"/>
              <w:jc w:val="center"/>
            </w:pPr>
            <w:r w:rsidRPr="00F110C2">
              <w:t>−</w:t>
            </w:r>
            <w:r w:rsidR="00CD45DB" w:rsidRPr="00F110C2">
              <w:t>16 dBm</w:t>
            </w:r>
          </w:p>
        </w:tc>
      </w:tr>
      <w:tr w:rsidR="00CD45DB" w:rsidRPr="00F110C2" w14:paraId="720719A1" w14:textId="77777777" w:rsidTr="00F91EA9">
        <w:trPr>
          <w:jc w:val="center"/>
        </w:trPr>
        <w:tc>
          <w:tcPr>
            <w:tcW w:w="3024" w:type="dxa"/>
            <w:tcBorders>
              <w:top w:val="single" w:sz="4" w:space="0" w:color="auto"/>
              <w:left w:val="single" w:sz="4" w:space="0" w:color="auto"/>
              <w:bottom w:val="single" w:sz="4" w:space="0" w:color="auto"/>
              <w:right w:val="single" w:sz="4" w:space="0" w:color="auto"/>
            </w:tcBorders>
          </w:tcPr>
          <w:p w14:paraId="18ECFF8A" w14:textId="4A1C0649" w:rsidR="00CD45DB" w:rsidRPr="00F110C2" w:rsidRDefault="009615D1" w:rsidP="00254EC9">
            <w:pPr>
              <w:pStyle w:val="Tabletext"/>
              <w:jc w:val="center"/>
            </w:pPr>
            <w:r w:rsidRPr="00F110C2">
              <w:t>−</w:t>
            </w:r>
            <w:r w:rsidR="00CD45DB" w:rsidRPr="00F110C2">
              <w:t>90,5</w:t>
            </w:r>
          </w:p>
        </w:tc>
        <w:tc>
          <w:tcPr>
            <w:tcW w:w="2505" w:type="dxa"/>
            <w:tcBorders>
              <w:top w:val="single" w:sz="4" w:space="0" w:color="auto"/>
              <w:left w:val="single" w:sz="4" w:space="0" w:color="auto"/>
              <w:bottom w:val="single" w:sz="4" w:space="0" w:color="auto"/>
              <w:right w:val="single" w:sz="4" w:space="0" w:color="auto"/>
            </w:tcBorders>
          </w:tcPr>
          <w:p w14:paraId="571414DE" w14:textId="77777777" w:rsidR="00CD45DB" w:rsidRPr="00F110C2" w:rsidRDefault="00CD45DB" w:rsidP="00254EC9">
            <w:pPr>
              <w:pStyle w:val="Tabletext"/>
              <w:tabs>
                <w:tab w:val="clear" w:pos="851"/>
                <w:tab w:val="left" w:pos="845"/>
              </w:tabs>
              <w:jc w:val="left"/>
            </w:pPr>
            <w:r w:rsidRPr="00F110C2">
              <w:rPr>
                <w:szCs w:val="24"/>
              </w:rPr>
              <w:tab/>
            </w:r>
            <w:r w:rsidRPr="00F110C2">
              <w:rPr>
                <w:szCs w:val="24"/>
              </w:rPr>
              <w:tab/>
              <w:t>39 &lt;</w:t>
            </w:r>
            <w:r w:rsidRPr="00F110C2">
              <w:rPr>
                <w:szCs w:val="24"/>
              </w:rPr>
              <w:tab/>
            </w:r>
            <w:r w:rsidRPr="00F110C2">
              <w:rPr>
                <w:i/>
                <w:iCs/>
                <w:szCs w:val="24"/>
              </w:rPr>
              <w:t>P</w:t>
            </w:r>
            <w:r w:rsidRPr="00F110C2">
              <w:rPr>
                <w:szCs w:val="24"/>
              </w:rPr>
              <w:t> </w:t>
            </w:r>
            <w:r w:rsidRPr="00F110C2">
              <w:sym w:font="Symbol" w:char="F0A3"/>
            </w:r>
            <w:r w:rsidRPr="00F110C2">
              <w:rPr>
                <w:szCs w:val="24"/>
              </w:rPr>
              <w:t> 50</w:t>
            </w:r>
          </w:p>
        </w:tc>
        <w:tc>
          <w:tcPr>
            <w:tcW w:w="3543" w:type="dxa"/>
            <w:tcBorders>
              <w:top w:val="single" w:sz="4" w:space="0" w:color="auto"/>
              <w:left w:val="single" w:sz="4" w:space="0" w:color="auto"/>
              <w:bottom w:val="single" w:sz="4" w:space="0" w:color="auto"/>
              <w:right w:val="single" w:sz="4" w:space="0" w:color="auto"/>
            </w:tcBorders>
          </w:tcPr>
          <w:p w14:paraId="38716A48" w14:textId="77777777" w:rsidR="00CD45DB" w:rsidRPr="00F110C2" w:rsidRDefault="00CD45DB" w:rsidP="00254EC9">
            <w:pPr>
              <w:pStyle w:val="Tabletext"/>
              <w:jc w:val="center"/>
            </w:pPr>
            <w:r w:rsidRPr="00F110C2">
              <w:t>85 dBc</w:t>
            </w:r>
          </w:p>
        </w:tc>
      </w:tr>
      <w:tr w:rsidR="00CD45DB" w:rsidRPr="00F110C2" w14:paraId="686F86E3" w14:textId="77777777" w:rsidTr="00F91EA9">
        <w:trPr>
          <w:jc w:val="center"/>
        </w:trPr>
        <w:tc>
          <w:tcPr>
            <w:tcW w:w="3024" w:type="dxa"/>
            <w:tcBorders>
              <w:top w:val="single" w:sz="4" w:space="0" w:color="auto"/>
              <w:left w:val="single" w:sz="4" w:space="0" w:color="auto"/>
              <w:bottom w:val="single" w:sz="4" w:space="0" w:color="auto"/>
              <w:right w:val="single" w:sz="4" w:space="0" w:color="auto"/>
            </w:tcBorders>
          </w:tcPr>
          <w:p w14:paraId="156F2EA6" w14:textId="1993CC92" w:rsidR="00CD45DB" w:rsidRPr="00F110C2" w:rsidRDefault="009615D1" w:rsidP="00254EC9">
            <w:pPr>
              <w:pStyle w:val="Tabletext"/>
              <w:jc w:val="center"/>
            </w:pPr>
            <w:r w:rsidRPr="00F110C2">
              <w:t>−</w:t>
            </w:r>
            <w:r w:rsidR="00CD45DB" w:rsidRPr="00F110C2">
              <w:t>90,5 </w:t>
            </w:r>
            <w:r w:rsidRPr="00F110C2">
              <w:t>−</w:t>
            </w:r>
            <w:r w:rsidR="00CD45DB" w:rsidRPr="00F110C2">
              <w:t> (</w:t>
            </w:r>
            <w:r w:rsidR="00CD45DB" w:rsidRPr="00F110C2">
              <w:rPr>
                <w:i/>
                <w:iCs/>
              </w:rPr>
              <w:t>P</w:t>
            </w:r>
            <w:r w:rsidR="00CD45DB" w:rsidRPr="00F110C2">
              <w:t> </w:t>
            </w:r>
            <w:r w:rsidRPr="00F110C2">
              <w:t>−</w:t>
            </w:r>
            <w:r w:rsidR="00CD45DB" w:rsidRPr="00F110C2">
              <w:t> 50)</w:t>
            </w:r>
          </w:p>
        </w:tc>
        <w:tc>
          <w:tcPr>
            <w:tcW w:w="2505" w:type="dxa"/>
            <w:tcBorders>
              <w:top w:val="single" w:sz="4" w:space="0" w:color="auto"/>
              <w:left w:val="single" w:sz="4" w:space="0" w:color="auto"/>
              <w:bottom w:val="single" w:sz="4" w:space="0" w:color="auto"/>
              <w:right w:val="single" w:sz="4" w:space="0" w:color="auto"/>
            </w:tcBorders>
          </w:tcPr>
          <w:p w14:paraId="655D6534" w14:textId="77777777" w:rsidR="00CD45DB" w:rsidRPr="00F110C2" w:rsidRDefault="00CD45DB" w:rsidP="00254EC9">
            <w:pPr>
              <w:pStyle w:val="Tabletext"/>
              <w:tabs>
                <w:tab w:val="clear" w:pos="851"/>
                <w:tab w:val="left" w:pos="845"/>
              </w:tabs>
              <w:jc w:val="left"/>
            </w:pPr>
            <w:r w:rsidRPr="00F110C2">
              <w:rPr>
                <w:szCs w:val="24"/>
              </w:rPr>
              <w:tab/>
            </w:r>
            <w:r w:rsidRPr="00F110C2">
              <w:rPr>
                <w:szCs w:val="24"/>
              </w:rPr>
              <w:tab/>
              <w:t>50 &lt;</w:t>
            </w:r>
            <w:r w:rsidRPr="00F110C2">
              <w:rPr>
                <w:szCs w:val="24"/>
              </w:rPr>
              <w:tab/>
            </w:r>
            <w:r w:rsidRPr="00F110C2">
              <w:rPr>
                <w:i/>
                <w:iCs/>
                <w:szCs w:val="24"/>
              </w:rPr>
              <w:t>P</w:t>
            </w:r>
          </w:p>
        </w:tc>
        <w:tc>
          <w:tcPr>
            <w:tcW w:w="3543" w:type="dxa"/>
            <w:tcBorders>
              <w:top w:val="single" w:sz="4" w:space="0" w:color="auto"/>
              <w:left w:val="single" w:sz="4" w:space="0" w:color="auto"/>
              <w:bottom w:val="single" w:sz="4" w:space="0" w:color="auto"/>
              <w:right w:val="single" w:sz="4" w:space="0" w:color="auto"/>
            </w:tcBorders>
          </w:tcPr>
          <w:p w14:paraId="4B005FFF" w14:textId="012F9408" w:rsidR="00CD45DB" w:rsidRPr="00F110C2" w:rsidRDefault="009615D1" w:rsidP="00254EC9">
            <w:pPr>
              <w:pStyle w:val="Tabletext"/>
              <w:jc w:val="center"/>
            </w:pPr>
            <w:r w:rsidRPr="00F110C2">
              <w:t>−</w:t>
            </w:r>
            <w:r w:rsidR="00CD45DB" w:rsidRPr="00F110C2">
              <w:t>5 dBm</w:t>
            </w:r>
          </w:p>
        </w:tc>
      </w:tr>
      <w:tr w:rsidR="00CD45DB" w:rsidRPr="00F110C2" w14:paraId="4120EC08" w14:textId="77777777" w:rsidTr="00F91EA9">
        <w:trPr>
          <w:jc w:val="center"/>
        </w:trPr>
        <w:tc>
          <w:tcPr>
            <w:tcW w:w="9072" w:type="dxa"/>
            <w:gridSpan w:val="3"/>
            <w:tcBorders>
              <w:top w:val="single" w:sz="4" w:space="0" w:color="auto"/>
              <w:left w:val="nil"/>
              <w:bottom w:val="nil"/>
              <w:right w:val="nil"/>
            </w:tcBorders>
          </w:tcPr>
          <w:p w14:paraId="199696B9" w14:textId="77777777" w:rsidR="00CD45DB" w:rsidRPr="00F110C2" w:rsidRDefault="00CD45DB" w:rsidP="00254EC9">
            <w:pPr>
              <w:pStyle w:val="Tabletext"/>
            </w:pPr>
            <w:r w:rsidRPr="00F110C2">
              <w:rPr>
                <w:vertAlign w:val="superscript"/>
              </w:rPr>
              <w:t>(1)</w:t>
            </w:r>
            <w:r w:rsidRPr="00F110C2">
              <w:tab/>
              <w:t>La valeur de point d'extrémité est assujettie à une limite supérieure de 65,5 dB.</w:t>
            </w:r>
          </w:p>
        </w:tc>
      </w:tr>
    </w:tbl>
    <w:p w14:paraId="270BCAEC" w14:textId="77777777" w:rsidR="00CD45DB" w:rsidRPr="00F110C2" w:rsidRDefault="00CD45DB" w:rsidP="00254EC9">
      <w:pPr>
        <w:pStyle w:val="Tablefin"/>
        <w:rPr>
          <w:sz w:val="2"/>
        </w:rPr>
      </w:pPr>
    </w:p>
    <w:p w14:paraId="30C52CAB" w14:textId="77777777" w:rsidR="00CD45DB" w:rsidRPr="00F110C2" w:rsidRDefault="00CD45DB" w:rsidP="00254EC9">
      <w:r w:rsidRPr="00F110C2">
        <w:lastRenderedPageBreak/>
        <w:t>Le Tableau 13 donne les points de rupture correspondant au graphe représenté sur la Fig. 22, pour la télévision analogique à 8 MHz, modulation positive, BLR de 0,75 MHz et de 1,25 MHz.</w:t>
      </w:r>
    </w:p>
    <w:p w14:paraId="174F7537" w14:textId="77777777" w:rsidR="00CD45DB" w:rsidRPr="00F110C2" w:rsidRDefault="00CD45DB" w:rsidP="00254EC9">
      <w:pPr>
        <w:pStyle w:val="FigureNo"/>
      </w:pPr>
      <w:r w:rsidRPr="00F110C2">
        <w:t>FIGURE 22</w:t>
      </w:r>
    </w:p>
    <w:p w14:paraId="5E507155" w14:textId="77777777" w:rsidR="00CD45DB" w:rsidRPr="00F110C2" w:rsidRDefault="00CD45DB" w:rsidP="00254EC9">
      <w:pPr>
        <w:pStyle w:val="Figuretitle"/>
      </w:pPr>
      <w:r w:rsidRPr="00F110C2">
        <w:t xml:space="preserve">Gabarit de limite spectrale pour la télévision analogique à 8 MHz, </w:t>
      </w:r>
      <w:r w:rsidRPr="00F110C2">
        <w:br/>
        <w:t xml:space="preserve">modulation positive (pour </w:t>
      </w:r>
      <w:r w:rsidRPr="00F110C2">
        <w:rPr>
          <w:rFonts w:ascii="Times New Roman"/>
          <w:bCs/>
          <w:i/>
          <w:iCs/>
        </w:rPr>
        <w:t xml:space="preserve">P </w:t>
      </w:r>
      <w:r w:rsidRPr="00F110C2">
        <w:t>= 39 à 50 dBW)</w:t>
      </w:r>
    </w:p>
    <w:p w14:paraId="4F18A61D" w14:textId="77777777" w:rsidR="00CD45DB" w:rsidRPr="00F110C2" w:rsidRDefault="00CD45DB" w:rsidP="00254EC9">
      <w:pPr>
        <w:pStyle w:val="Figure"/>
      </w:pPr>
      <w:r w:rsidRPr="00F110C2">
        <w:drawing>
          <wp:inline distT="0" distB="0" distL="0" distR="0" wp14:anchorId="440243C6" wp14:editId="25EED26E">
            <wp:extent cx="5670550" cy="4462780"/>
            <wp:effectExtent l="0" t="0" r="6350" b="0"/>
            <wp:docPr id="201334434" name="Picture 5" descr="A graph of a graph showing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4434" name="Picture 5" descr="A graph of a graph showing a line&#10;&#10;AI-generated content may be incorrect."/>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670550" cy="4462780"/>
                    </a:xfrm>
                    <a:prstGeom prst="rect">
                      <a:avLst/>
                    </a:prstGeom>
                    <a:noFill/>
                    <a:ln>
                      <a:noFill/>
                    </a:ln>
                  </pic:spPr>
                </pic:pic>
              </a:graphicData>
            </a:graphic>
          </wp:inline>
        </w:drawing>
      </w:r>
    </w:p>
    <w:p w14:paraId="7FA99760" w14:textId="77777777" w:rsidR="00CD45DB" w:rsidRPr="00F110C2" w:rsidRDefault="00CD45DB" w:rsidP="00254EC9">
      <w:pPr>
        <w:pStyle w:val="TableNo"/>
      </w:pPr>
      <w:r w:rsidRPr="00F110C2">
        <w:t>TABLEAU 13</w:t>
      </w:r>
    </w:p>
    <w:p w14:paraId="28212CD8" w14:textId="77777777" w:rsidR="00CD45DB" w:rsidRPr="00F110C2" w:rsidRDefault="00CD45DB" w:rsidP="00254EC9">
      <w:pPr>
        <w:pStyle w:val="Tabletitle"/>
      </w:pPr>
      <w:r w:rsidRPr="00F110C2">
        <w:t>Points de rupture pour la télévision analogique à 8 MHz,</w:t>
      </w:r>
      <w:r w:rsidRPr="00F110C2">
        <w:br/>
        <w:t>modulation positive, BLR de 0,75 MHz et de 1,25 MHz</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2160"/>
        <w:gridCol w:w="2443"/>
        <w:gridCol w:w="2486"/>
      </w:tblGrid>
      <w:tr w:rsidR="00CD45DB" w:rsidRPr="00F110C2" w14:paraId="2E11D869" w14:textId="77777777" w:rsidTr="009615D1">
        <w:trPr>
          <w:jc w:val="center"/>
        </w:trPr>
        <w:tc>
          <w:tcPr>
            <w:tcW w:w="2558" w:type="dxa"/>
            <w:vAlign w:val="center"/>
          </w:tcPr>
          <w:p w14:paraId="1BC234C3" w14:textId="77777777" w:rsidR="00CD45DB" w:rsidRPr="00F110C2" w:rsidRDefault="00CD45DB" w:rsidP="00254EC9">
            <w:pPr>
              <w:pStyle w:val="Tablehead"/>
            </w:pPr>
            <w:r w:rsidRPr="00F110C2">
              <w:t>Fréquence par rapport à la fréquence de la porteuse vidéo</w:t>
            </w:r>
          </w:p>
        </w:tc>
        <w:tc>
          <w:tcPr>
            <w:tcW w:w="2159" w:type="dxa"/>
            <w:vAlign w:val="center"/>
          </w:tcPr>
          <w:p w14:paraId="046ECB99" w14:textId="77777777" w:rsidR="00CD45DB" w:rsidRPr="00F110C2" w:rsidRDefault="00CD45DB" w:rsidP="00254EC9">
            <w:pPr>
              <w:pStyle w:val="Tablehead"/>
            </w:pPr>
            <w:r w:rsidRPr="00F110C2">
              <w:t>Fréquence par rapport au centre du canal de 8 MHz</w:t>
            </w:r>
          </w:p>
        </w:tc>
        <w:tc>
          <w:tcPr>
            <w:tcW w:w="2442" w:type="dxa"/>
            <w:vAlign w:val="center"/>
          </w:tcPr>
          <w:p w14:paraId="29856D3F" w14:textId="5713C0A6" w:rsidR="00CD45DB" w:rsidRPr="00F110C2" w:rsidRDefault="00CD45DB" w:rsidP="00254EC9">
            <w:pPr>
              <w:pStyle w:val="Tablehead"/>
            </w:pPr>
            <w:r w:rsidRPr="00F110C2">
              <w:t>Niveau relatif dans une largeur de bande de mesure de 50 kHz BLR de 0,75 MHz</w:t>
            </w:r>
            <w:r w:rsidR="00F91EA9" w:rsidRPr="00F110C2">
              <w:t xml:space="preserve"> </w:t>
            </w:r>
            <w:r w:rsidRPr="00F110C2">
              <w:t>(dB)</w:t>
            </w:r>
          </w:p>
        </w:tc>
        <w:tc>
          <w:tcPr>
            <w:tcW w:w="2485" w:type="dxa"/>
            <w:vAlign w:val="center"/>
          </w:tcPr>
          <w:p w14:paraId="7EBCDA5B" w14:textId="0A6AC4ED" w:rsidR="00CD45DB" w:rsidRPr="00F110C2" w:rsidRDefault="00CD45DB" w:rsidP="00254EC9">
            <w:pPr>
              <w:pStyle w:val="Tablehead"/>
            </w:pPr>
            <w:r w:rsidRPr="00F110C2">
              <w:t>Niveau relatif dans une largeur de bande de mesure de 50 kHz BLR de 1,25 MHz</w:t>
            </w:r>
            <w:r w:rsidR="00F91EA9" w:rsidRPr="00F110C2">
              <w:t xml:space="preserve"> </w:t>
            </w:r>
            <w:r w:rsidRPr="00F110C2">
              <w:t>(dB)</w:t>
            </w:r>
          </w:p>
        </w:tc>
      </w:tr>
      <w:tr w:rsidR="00CD45DB" w:rsidRPr="00F110C2" w14:paraId="7A6D6978" w14:textId="77777777" w:rsidTr="009615D1">
        <w:trPr>
          <w:jc w:val="center"/>
        </w:trPr>
        <w:tc>
          <w:tcPr>
            <w:tcW w:w="2558" w:type="dxa"/>
          </w:tcPr>
          <w:p w14:paraId="7DA7F7A7" w14:textId="7A33200A" w:rsidR="00CD45DB" w:rsidRPr="00F110C2" w:rsidRDefault="009615D1" w:rsidP="00254EC9">
            <w:pPr>
              <w:pStyle w:val="Tabletext"/>
              <w:jc w:val="center"/>
            </w:pPr>
            <w:r w:rsidRPr="00F110C2">
              <w:t>−</w:t>
            </w:r>
            <w:r w:rsidR="00CD45DB" w:rsidRPr="00F110C2">
              <w:t>17,25</w:t>
            </w:r>
          </w:p>
        </w:tc>
        <w:tc>
          <w:tcPr>
            <w:tcW w:w="2159" w:type="dxa"/>
          </w:tcPr>
          <w:p w14:paraId="2FD4B4C2" w14:textId="24C630C5" w:rsidR="00CD45DB" w:rsidRPr="00F110C2" w:rsidRDefault="009615D1" w:rsidP="00254EC9">
            <w:pPr>
              <w:pStyle w:val="Tabletext"/>
              <w:jc w:val="center"/>
            </w:pPr>
            <w:r w:rsidRPr="00F110C2">
              <w:t>−</w:t>
            </w:r>
            <w:r w:rsidR="00CD45DB" w:rsidRPr="00F110C2">
              <w:t>20</w:t>
            </w:r>
          </w:p>
        </w:tc>
        <w:tc>
          <w:tcPr>
            <w:tcW w:w="2442" w:type="dxa"/>
          </w:tcPr>
          <w:p w14:paraId="0E275052" w14:textId="444D7E76" w:rsidR="00CD45DB" w:rsidRPr="00F110C2" w:rsidRDefault="009615D1" w:rsidP="00254EC9">
            <w:pPr>
              <w:pStyle w:val="Tabletext"/>
              <w:jc w:val="center"/>
            </w:pPr>
            <w:r w:rsidRPr="00F110C2">
              <w:t>−</w:t>
            </w:r>
            <w:r w:rsidR="00CD45DB" w:rsidRPr="00F110C2">
              <w:t>89,2</w:t>
            </w:r>
          </w:p>
        </w:tc>
        <w:tc>
          <w:tcPr>
            <w:tcW w:w="2485" w:type="dxa"/>
          </w:tcPr>
          <w:p w14:paraId="1541051A" w14:textId="5821D258" w:rsidR="00CD45DB" w:rsidRPr="00F110C2" w:rsidRDefault="009615D1" w:rsidP="00254EC9">
            <w:pPr>
              <w:pStyle w:val="Tabletext"/>
              <w:jc w:val="center"/>
            </w:pPr>
            <w:r w:rsidRPr="00F110C2">
              <w:t>−</w:t>
            </w:r>
            <w:r w:rsidR="00CD45DB" w:rsidRPr="00F110C2">
              <w:t>89,2</w:t>
            </w:r>
          </w:p>
        </w:tc>
      </w:tr>
      <w:tr w:rsidR="00CD45DB" w:rsidRPr="00F110C2" w14:paraId="4672C320" w14:textId="77777777" w:rsidTr="009615D1">
        <w:trPr>
          <w:jc w:val="center"/>
        </w:trPr>
        <w:tc>
          <w:tcPr>
            <w:tcW w:w="2558" w:type="dxa"/>
          </w:tcPr>
          <w:p w14:paraId="5274152E" w14:textId="2C521E0F" w:rsidR="00CD45DB" w:rsidRPr="00F110C2" w:rsidRDefault="009615D1" w:rsidP="00254EC9">
            <w:pPr>
              <w:pStyle w:val="Tabletext"/>
              <w:jc w:val="center"/>
            </w:pPr>
            <w:r w:rsidRPr="00F110C2">
              <w:t>−</w:t>
            </w:r>
            <w:r w:rsidR="00CD45DB" w:rsidRPr="00F110C2">
              <w:t>9,25</w:t>
            </w:r>
          </w:p>
        </w:tc>
        <w:tc>
          <w:tcPr>
            <w:tcW w:w="2159" w:type="dxa"/>
          </w:tcPr>
          <w:p w14:paraId="4A5D77D4" w14:textId="7965A885" w:rsidR="00CD45DB" w:rsidRPr="00F110C2" w:rsidRDefault="009615D1" w:rsidP="00254EC9">
            <w:pPr>
              <w:pStyle w:val="Tabletext"/>
              <w:jc w:val="center"/>
            </w:pPr>
            <w:r w:rsidRPr="00F110C2">
              <w:t>−</w:t>
            </w:r>
            <w:r w:rsidR="00CD45DB" w:rsidRPr="00F110C2">
              <w:t>12</w:t>
            </w:r>
          </w:p>
        </w:tc>
        <w:tc>
          <w:tcPr>
            <w:tcW w:w="2442" w:type="dxa"/>
          </w:tcPr>
          <w:p w14:paraId="7ECACBFD" w14:textId="0F8EDAB4" w:rsidR="00CD45DB" w:rsidRPr="00F110C2" w:rsidRDefault="009615D1" w:rsidP="00254EC9">
            <w:pPr>
              <w:pStyle w:val="Tabletext"/>
              <w:jc w:val="center"/>
            </w:pPr>
            <w:r w:rsidRPr="00F110C2">
              <w:t>−</w:t>
            </w:r>
            <w:r w:rsidR="00CD45DB" w:rsidRPr="00F110C2">
              <w:t>64,2</w:t>
            </w:r>
          </w:p>
        </w:tc>
        <w:tc>
          <w:tcPr>
            <w:tcW w:w="2485" w:type="dxa"/>
          </w:tcPr>
          <w:p w14:paraId="4500B028" w14:textId="3265835D" w:rsidR="00CD45DB" w:rsidRPr="00F110C2" w:rsidRDefault="009615D1" w:rsidP="00254EC9">
            <w:pPr>
              <w:pStyle w:val="Tabletext"/>
              <w:jc w:val="center"/>
            </w:pPr>
            <w:r w:rsidRPr="00F110C2">
              <w:t>−</w:t>
            </w:r>
            <w:r w:rsidR="00CD45DB" w:rsidRPr="00F110C2">
              <w:t>64,2</w:t>
            </w:r>
          </w:p>
        </w:tc>
      </w:tr>
      <w:tr w:rsidR="00CD45DB" w:rsidRPr="00F110C2" w14:paraId="6460ED80" w14:textId="77777777" w:rsidTr="009615D1">
        <w:trPr>
          <w:jc w:val="center"/>
        </w:trPr>
        <w:tc>
          <w:tcPr>
            <w:tcW w:w="2558" w:type="dxa"/>
          </w:tcPr>
          <w:p w14:paraId="3BB47F3D" w14:textId="29DC5CF1" w:rsidR="00CD45DB" w:rsidRPr="00F110C2" w:rsidRDefault="009615D1" w:rsidP="00254EC9">
            <w:pPr>
              <w:pStyle w:val="Tabletext"/>
              <w:jc w:val="center"/>
            </w:pPr>
            <w:r w:rsidRPr="00F110C2">
              <w:t>−</w:t>
            </w:r>
            <w:r w:rsidR="00CD45DB" w:rsidRPr="00F110C2">
              <w:t>6,5</w:t>
            </w:r>
          </w:p>
        </w:tc>
        <w:tc>
          <w:tcPr>
            <w:tcW w:w="2159" w:type="dxa"/>
          </w:tcPr>
          <w:p w14:paraId="16820E1F" w14:textId="716BD16A" w:rsidR="00CD45DB" w:rsidRPr="00F110C2" w:rsidRDefault="009615D1" w:rsidP="00254EC9">
            <w:pPr>
              <w:pStyle w:val="Tabletext"/>
              <w:jc w:val="center"/>
            </w:pPr>
            <w:r w:rsidRPr="00F110C2">
              <w:t>−</w:t>
            </w:r>
            <w:r w:rsidR="00CD45DB" w:rsidRPr="00F110C2">
              <w:t>9,25</w:t>
            </w:r>
          </w:p>
        </w:tc>
        <w:tc>
          <w:tcPr>
            <w:tcW w:w="2442" w:type="dxa"/>
          </w:tcPr>
          <w:p w14:paraId="16646F44" w14:textId="50213929" w:rsidR="00CD45DB" w:rsidRPr="00F110C2" w:rsidRDefault="009615D1" w:rsidP="00254EC9">
            <w:pPr>
              <w:pStyle w:val="Tabletext"/>
              <w:jc w:val="center"/>
            </w:pPr>
            <w:r w:rsidRPr="00F110C2">
              <w:t>−</w:t>
            </w:r>
            <w:r w:rsidR="00CD45DB" w:rsidRPr="00F110C2">
              <w:t>56</w:t>
            </w:r>
          </w:p>
        </w:tc>
        <w:tc>
          <w:tcPr>
            <w:tcW w:w="2485" w:type="dxa"/>
          </w:tcPr>
          <w:p w14:paraId="260D396E" w14:textId="3E88BB75" w:rsidR="00CD45DB" w:rsidRPr="00F110C2" w:rsidRDefault="009615D1" w:rsidP="00254EC9">
            <w:pPr>
              <w:pStyle w:val="Tabletext"/>
              <w:jc w:val="center"/>
            </w:pPr>
            <w:r w:rsidRPr="00F110C2">
              <w:t>−</w:t>
            </w:r>
            <w:r w:rsidR="00CD45DB" w:rsidRPr="00F110C2">
              <w:t>56</w:t>
            </w:r>
          </w:p>
        </w:tc>
      </w:tr>
      <w:tr w:rsidR="00CD45DB" w:rsidRPr="00F110C2" w14:paraId="3BD70406" w14:textId="77777777" w:rsidTr="009615D1">
        <w:trPr>
          <w:jc w:val="center"/>
        </w:trPr>
        <w:tc>
          <w:tcPr>
            <w:tcW w:w="2558" w:type="dxa"/>
          </w:tcPr>
          <w:p w14:paraId="75843EB5" w14:textId="05422F5D" w:rsidR="00CD45DB" w:rsidRPr="00F110C2" w:rsidRDefault="009615D1" w:rsidP="00254EC9">
            <w:pPr>
              <w:pStyle w:val="Tabletext"/>
              <w:jc w:val="center"/>
            </w:pPr>
            <w:r w:rsidRPr="00F110C2">
              <w:t>−</w:t>
            </w:r>
            <w:r w:rsidR="00CD45DB" w:rsidRPr="00F110C2">
              <w:t>6</w:t>
            </w:r>
          </w:p>
        </w:tc>
        <w:tc>
          <w:tcPr>
            <w:tcW w:w="2159" w:type="dxa"/>
          </w:tcPr>
          <w:p w14:paraId="6D66A594" w14:textId="77944F04" w:rsidR="00CD45DB" w:rsidRPr="00F110C2" w:rsidRDefault="009615D1" w:rsidP="00254EC9">
            <w:pPr>
              <w:pStyle w:val="Tabletext"/>
              <w:jc w:val="center"/>
            </w:pPr>
            <w:r w:rsidRPr="00F110C2">
              <w:t>−</w:t>
            </w:r>
            <w:r w:rsidR="00CD45DB" w:rsidRPr="00F110C2">
              <w:t>8,75</w:t>
            </w:r>
          </w:p>
        </w:tc>
        <w:tc>
          <w:tcPr>
            <w:tcW w:w="2442" w:type="dxa"/>
          </w:tcPr>
          <w:p w14:paraId="15EB1A7A" w14:textId="45BFC44B" w:rsidR="00CD45DB" w:rsidRPr="00F110C2" w:rsidRDefault="009615D1" w:rsidP="00254EC9">
            <w:pPr>
              <w:pStyle w:val="Tabletext"/>
              <w:jc w:val="center"/>
            </w:pPr>
            <w:r w:rsidRPr="00F110C2">
              <w:t>−</w:t>
            </w:r>
            <w:r w:rsidR="00CD45DB" w:rsidRPr="00F110C2">
              <w:t>28</w:t>
            </w:r>
          </w:p>
        </w:tc>
        <w:tc>
          <w:tcPr>
            <w:tcW w:w="2485" w:type="dxa"/>
          </w:tcPr>
          <w:p w14:paraId="77636999" w14:textId="1A9BEFDD" w:rsidR="00CD45DB" w:rsidRPr="00F110C2" w:rsidRDefault="009615D1" w:rsidP="00254EC9">
            <w:pPr>
              <w:pStyle w:val="Tabletext"/>
              <w:jc w:val="center"/>
            </w:pPr>
            <w:r w:rsidRPr="00F110C2">
              <w:t>−</w:t>
            </w:r>
            <w:r w:rsidR="00CD45DB" w:rsidRPr="00F110C2">
              <w:t>28</w:t>
            </w:r>
          </w:p>
        </w:tc>
      </w:tr>
      <w:tr w:rsidR="00CD45DB" w:rsidRPr="00F110C2" w14:paraId="59722741" w14:textId="77777777" w:rsidTr="009615D1">
        <w:trPr>
          <w:jc w:val="center"/>
        </w:trPr>
        <w:tc>
          <w:tcPr>
            <w:tcW w:w="2558" w:type="dxa"/>
          </w:tcPr>
          <w:p w14:paraId="42C23452" w14:textId="1EBEE71B" w:rsidR="00CD45DB" w:rsidRPr="00F110C2" w:rsidRDefault="009615D1" w:rsidP="00254EC9">
            <w:pPr>
              <w:pStyle w:val="Tabletext"/>
              <w:jc w:val="center"/>
            </w:pPr>
            <w:r w:rsidRPr="00F110C2">
              <w:t>−</w:t>
            </w:r>
            <w:r w:rsidR="00CD45DB" w:rsidRPr="00F110C2">
              <w:t>2,7</w:t>
            </w:r>
          </w:p>
        </w:tc>
        <w:tc>
          <w:tcPr>
            <w:tcW w:w="2159" w:type="dxa"/>
          </w:tcPr>
          <w:p w14:paraId="2F5DF4F9" w14:textId="5D1A5FFB" w:rsidR="00CD45DB" w:rsidRPr="00F110C2" w:rsidRDefault="009615D1" w:rsidP="00254EC9">
            <w:pPr>
              <w:pStyle w:val="Tabletext"/>
              <w:jc w:val="center"/>
            </w:pPr>
            <w:r w:rsidRPr="00F110C2">
              <w:t>−</w:t>
            </w:r>
            <w:r w:rsidR="00CD45DB" w:rsidRPr="00F110C2">
              <w:t>5,45</w:t>
            </w:r>
          </w:p>
        </w:tc>
        <w:tc>
          <w:tcPr>
            <w:tcW w:w="2442" w:type="dxa"/>
          </w:tcPr>
          <w:p w14:paraId="428BBD5D" w14:textId="77777777" w:rsidR="00CD45DB" w:rsidRPr="00F110C2" w:rsidRDefault="00CD45DB" w:rsidP="00254EC9">
            <w:pPr>
              <w:pStyle w:val="Tabletext"/>
              <w:jc w:val="center"/>
            </w:pPr>
          </w:p>
        </w:tc>
        <w:tc>
          <w:tcPr>
            <w:tcW w:w="2485" w:type="dxa"/>
          </w:tcPr>
          <w:p w14:paraId="05EC6883" w14:textId="6C604FCC" w:rsidR="00CD45DB" w:rsidRPr="00F110C2" w:rsidRDefault="009615D1" w:rsidP="00254EC9">
            <w:pPr>
              <w:pStyle w:val="Tabletext"/>
              <w:jc w:val="center"/>
            </w:pPr>
            <w:r w:rsidRPr="00F110C2">
              <w:t>−</w:t>
            </w:r>
            <w:r w:rsidR="00CD45DB" w:rsidRPr="00F110C2">
              <w:t>28</w:t>
            </w:r>
          </w:p>
        </w:tc>
      </w:tr>
      <w:tr w:rsidR="00CD45DB" w:rsidRPr="00F110C2" w14:paraId="023AE506" w14:textId="77777777" w:rsidTr="009615D1">
        <w:trPr>
          <w:jc w:val="center"/>
        </w:trPr>
        <w:tc>
          <w:tcPr>
            <w:tcW w:w="2558" w:type="dxa"/>
          </w:tcPr>
          <w:p w14:paraId="0B58D543" w14:textId="14226478" w:rsidR="00CD45DB" w:rsidRPr="00F110C2" w:rsidRDefault="009615D1" w:rsidP="00254EC9">
            <w:pPr>
              <w:pStyle w:val="Tabletext"/>
              <w:jc w:val="center"/>
            </w:pPr>
            <w:r w:rsidRPr="00F110C2">
              <w:t>−</w:t>
            </w:r>
            <w:r w:rsidR="00CD45DB" w:rsidRPr="00F110C2">
              <w:t>1,25</w:t>
            </w:r>
          </w:p>
        </w:tc>
        <w:tc>
          <w:tcPr>
            <w:tcW w:w="2159" w:type="dxa"/>
          </w:tcPr>
          <w:p w14:paraId="69FA2D59" w14:textId="523A38C1" w:rsidR="00CD45DB" w:rsidRPr="00F110C2" w:rsidRDefault="009615D1" w:rsidP="00254EC9">
            <w:pPr>
              <w:pStyle w:val="Tabletext"/>
              <w:jc w:val="center"/>
            </w:pPr>
            <w:r w:rsidRPr="00F110C2">
              <w:t>−</w:t>
            </w:r>
            <w:r w:rsidR="00CD45DB" w:rsidRPr="00F110C2">
              <w:t>4</w:t>
            </w:r>
          </w:p>
        </w:tc>
        <w:tc>
          <w:tcPr>
            <w:tcW w:w="2442" w:type="dxa"/>
          </w:tcPr>
          <w:p w14:paraId="3DAAB082" w14:textId="7F5C4ECD" w:rsidR="00CD45DB" w:rsidRPr="00F110C2" w:rsidRDefault="009615D1" w:rsidP="00254EC9">
            <w:pPr>
              <w:pStyle w:val="Tabletext"/>
              <w:jc w:val="center"/>
            </w:pPr>
            <w:r w:rsidRPr="00F110C2">
              <w:t>−</w:t>
            </w:r>
            <w:r w:rsidR="00CD45DB" w:rsidRPr="00F110C2">
              <w:t>28</w:t>
            </w:r>
          </w:p>
        </w:tc>
        <w:tc>
          <w:tcPr>
            <w:tcW w:w="2485" w:type="dxa"/>
          </w:tcPr>
          <w:p w14:paraId="58424AC2" w14:textId="4DC3FC0A" w:rsidR="00CD45DB" w:rsidRPr="00F110C2" w:rsidRDefault="009615D1" w:rsidP="00254EC9">
            <w:pPr>
              <w:pStyle w:val="Tabletext"/>
              <w:jc w:val="center"/>
            </w:pPr>
            <w:r w:rsidRPr="00F110C2">
              <w:t>−</w:t>
            </w:r>
            <w:r w:rsidR="00CD45DB" w:rsidRPr="00F110C2">
              <w:t>13</w:t>
            </w:r>
          </w:p>
        </w:tc>
      </w:tr>
      <w:tr w:rsidR="00CD45DB" w:rsidRPr="00F110C2" w14:paraId="58D89F14" w14:textId="77777777" w:rsidTr="009615D1">
        <w:trPr>
          <w:jc w:val="center"/>
        </w:trPr>
        <w:tc>
          <w:tcPr>
            <w:tcW w:w="2558" w:type="dxa"/>
          </w:tcPr>
          <w:p w14:paraId="2870C3EA" w14:textId="5732A534" w:rsidR="00CD45DB" w:rsidRPr="00F110C2" w:rsidRDefault="009615D1" w:rsidP="00254EC9">
            <w:pPr>
              <w:pStyle w:val="Tabletext"/>
              <w:jc w:val="center"/>
            </w:pPr>
            <w:r w:rsidRPr="00F110C2">
              <w:t>−</w:t>
            </w:r>
            <w:r w:rsidR="00CD45DB" w:rsidRPr="00F110C2">
              <w:t>0,75</w:t>
            </w:r>
          </w:p>
        </w:tc>
        <w:tc>
          <w:tcPr>
            <w:tcW w:w="2159" w:type="dxa"/>
          </w:tcPr>
          <w:p w14:paraId="0918AC59" w14:textId="76EE401A" w:rsidR="00CD45DB" w:rsidRPr="00F110C2" w:rsidRDefault="009615D1" w:rsidP="00254EC9">
            <w:pPr>
              <w:pStyle w:val="Tabletext"/>
              <w:jc w:val="center"/>
            </w:pPr>
            <w:r w:rsidRPr="00F110C2">
              <w:t>−</w:t>
            </w:r>
            <w:r w:rsidR="00CD45DB" w:rsidRPr="00F110C2">
              <w:t>3,5</w:t>
            </w:r>
          </w:p>
        </w:tc>
        <w:tc>
          <w:tcPr>
            <w:tcW w:w="2442" w:type="dxa"/>
          </w:tcPr>
          <w:p w14:paraId="12988FA0" w14:textId="79D91490" w:rsidR="00CD45DB" w:rsidRPr="00F110C2" w:rsidRDefault="009615D1" w:rsidP="00254EC9">
            <w:pPr>
              <w:pStyle w:val="Tabletext"/>
              <w:jc w:val="center"/>
            </w:pPr>
            <w:r w:rsidRPr="00F110C2">
              <w:t>−</w:t>
            </w:r>
            <w:r w:rsidR="00CD45DB" w:rsidRPr="00F110C2">
              <w:t>13</w:t>
            </w:r>
          </w:p>
        </w:tc>
        <w:tc>
          <w:tcPr>
            <w:tcW w:w="2485" w:type="dxa"/>
          </w:tcPr>
          <w:p w14:paraId="01CAB6EF" w14:textId="74A92897" w:rsidR="00CD45DB" w:rsidRPr="00F110C2" w:rsidRDefault="009615D1" w:rsidP="00254EC9">
            <w:pPr>
              <w:pStyle w:val="Tabletext"/>
              <w:jc w:val="center"/>
            </w:pPr>
            <w:r w:rsidRPr="00F110C2">
              <w:t>−</w:t>
            </w:r>
            <w:r w:rsidR="00CD45DB" w:rsidRPr="00F110C2">
              <w:t>13</w:t>
            </w:r>
          </w:p>
        </w:tc>
      </w:tr>
      <w:tr w:rsidR="00CD45DB" w:rsidRPr="00F110C2" w14:paraId="5DC7B390" w14:textId="77777777" w:rsidTr="009615D1">
        <w:trPr>
          <w:jc w:val="center"/>
        </w:trPr>
        <w:tc>
          <w:tcPr>
            <w:tcW w:w="2558" w:type="dxa"/>
          </w:tcPr>
          <w:p w14:paraId="095B9B36" w14:textId="12A9A882" w:rsidR="00CD45DB" w:rsidRPr="00F110C2" w:rsidRDefault="009615D1" w:rsidP="00254EC9">
            <w:pPr>
              <w:pStyle w:val="Tabletext"/>
              <w:jc w:val="center"/>
            </w:pPr>
            <w:r w:rsidRPr="00F110C2">
              <w:t>−</w:t>
            </w:r>
            <w:r w:rsidR="00CD45DB" w:rsidRPr="00F110C2">
              <w:t>0,18</w:t>
            </w:r>
          </w:p>
        </w:tc>
        <w:tc>
          <w:tcPr>
            <w:tcW w:w="2159" w:type="dxa"/>
          </w:tcPr>
          <w:p w14:paraId="1A5E220A" w14:textId="7FC66815" w:rsidR="00CD45DB" w:rsidRPr="00F110C2" w:rsidRDefault="009615D1" w:rsidP="00254EC9">
            <w:pPr>
              <w:pStyle w:val="Tabletext"/>
              <w:jc w:val="center"/>
            </w:pPr>
            <w:r w:rsidRPr="00F110C2">
              <w:t>−</w:t>
            </w:r>
            <w:r w:rsidR="00CD45DB" w:rsidRPr="00F110C2">
              <w:t>2,93</w:t>
            </w:r>
          </w:p>
        </w:tc>
        <w:tc>
          <w:tcPr>
            <w:tcW w:w="2442" w:type="dxa"/>
          </w:tcPr>
          <w:p w14:paraId="284C8EAF" w14:textId="38C4D0D2" w:rsidR="00CD45DB" w:rsidRPr="00F110C2" w:rsidRDefault="009615D1" w:rsidP="00254EC9">
            <w:pPr>
              <w:pStyle w:val="Tabletext"/>
              <w:jc w:val="center"/>
            </w:pPr>
            <w:r w:rsidRPr="00F110C2">
              <w:t>−</w:t>
            </w:r>
            <w:r w:rsidR="00CD45DB" w:rsidRPr="00F110C2">
              <w:t>13</w:t>
            </w:r>
          </w:p>
        </w:tc>
        <w:tc>
          <w:tcPr>
            <w:tcW w:w="2485" w:type="dxa"/>
          </w:tcPr>
          <w:p w14:paraId="1C0A9A21" w14:textId="1FBC4EA9" w:rsidR="00CD45DB" w:rsidRPr="00F110C2" w:rsidRDefault="009615D1" w:rsidP="00254EC9">
            <w:pPr>
              <w:pStyle w:val="Tabletext"/>
              <w:jc w:val="center"/>
            </w:pPr>
            <w:r w:rsidRPr="00F110C2">
              <w:t>−</w:t>
            </w:r>
            <w:r w:rsidR="00CD45DB" w:rsidRPr="00F110C2">
              <w:t>13</w:t>
            </w:r>
          </w:p>
        </w:tc>
      </w:tr>
      <w:tr w:rsidR="009615D1" w:rsidRPr="00F110C2" w14:paraId="0272CB3E" w14:textId="77777777" w:rsidTr="009615D1">
        <w:trPr>
          <w:jc w:val="center"/>
        </w:trPr>
        <w:tc>
          <w:tcPr>
            <w:tcW w:w="9649" w:type="dxa"/>
            <w:gridSpan w:val="4"/>
            <w:tcBorders>
              <w:top w:val="nil"/>
              <w:left w:val="nil"/>
              <w:right w:val="nil"/>
            </w:tcBorders>
          </w:tcPr>
          <w:p w14:paraId="6AA621FD" w14:textId="77777777" w:rsidR="009615D1" w:rsidRPr="00F110C2" w:rsidRDefault="009615D1" w:rsidP="00254EC9">
            <w:pPr>
              <w:pStyle w:val="TableNo"/>
            </w:pPr>
            <w:r w:rsidRPr="00F110C2">
              <w:lastRenderedPageBreak/>
              <w:t>TABLEAU 13 (</w:t>
            </w:r>
            <w:r w:rsidRPr="00F110C2">
              <w:rPr>
                <w:i/>
                <w:iCs/>
              </w:rPr>
              <w:t>fin</w:t>
            </w:r>
            <w:r w:rsidRPr="00F110C2">
              <w:t>)</w:t>
            </w:r>
          </w:p>
        </w:tc>
      </w:tr>
      <w:tr w:rsidR="009615D1" w:rsidRPr="00F110C2" w14:paraId="723918E6" w14:textId="77777777" w:rsidTr="009615D1">
        <w:trPr>
          <w:jc w:val="center"/>
        </w:trPr>
        <w:tc>
          <w:tcPr>
            <w:tcW w:w="2560" w:type="dxa"/>
            <w:vAlign w:val="center"/>
          </w:tcPr>
          <w:p w14:paraId="08EBC552" w14:textId="77777777" w:rsidR="009615D1" w:rsidRPr="00F110C2" w:rsidRDefault="009615D1" w:rsidP="00254EC9">
            <w:pPr>
              <w:pStyle w:val="Tablehead"/>
            </w:pPr>
            <w:r w:rsidRPr="00F110C2">
              <w:t>Fréquence par rapport à la fréquence de la porteuse vidéo</w:t>
            </w:r>
          </w:p>
        </w:tc>
        <w:tc>
          <w:tcPr>
            <w:tcW w:w="2160" w:type="dxa"/>
            <w:vAlign w:val="center"/>
          </w:tcPr>
          <w:p w14:paraId="57FD8C51" w14:textId="77777777" w:rsidR="009615D1" w:rsidRPr="00F110C2" w:rsidRDefault="009615D1" w:rsidP="00254EC9">
            <w:pPr>
              <w:pStyle w:val="Tablehead"/>
            </w:pPr>
            <w:r w:rsidRPr="00F110C2">
              <w:t>Fréquence par rapport au centre du canal de 8 MHz</w:t>
            </w:r>
          </w:p>
        </w:tc>
        <w:tc>
          <w:tcPr>
            <w:tcW w:w="2443" w:type="dxa"/>
            <w:vAlign w:val="center"/>
          </w:tcPr>
          <w:p w14:paraId="34FCF2BB" w14:textId="77777777" w:rsidR="009615D1" w:rsidRPr="00F110C2" w:rsidRDefault="009615D1" w:rsidP="00254EC9">
            <w:pPr>
              <w:pStyle w:val="Tablehead"/>
            </w:pPr>
            <w:r w:rsidRPr="00F110C2">
              <w:t>Niveau relatif dans une largeur de bande de mesure de 50 kHz BLR de 0,75 MHz (dB)</w:t>
            </w:r>
          </w:p>
        </w:tc>
        <w:tc>
          <w:tcPr>
            <w:tcW w:w="2486" w:type="dxa"/>
            <w:vAlign w:val="center"/>
          </w:tcPr>
          <w:p w14:paraId="66F8CF64" w14:textId="77777777" w:rsidR="009615D1" w:rsidRPr="00F110C2" w:rsidRDefault="009615D1" w:rsidP="00254EC9">
            <w:pPr>
              <w:pStyle w:val="Tablehead"/>
            </w:pPr>
            <w:r w:rsidRPr="00F110C2">
              <w:t>Niveau relatif dans une largeur de bande de mesure de 50 kHz BLR de 1,25 MHz (dB)</w:t>
            </w:r>
          </w:p>
        </w:tc>
      </w:tr>
      <w:tr w:rsidR="00CD45DB" w:rsidRPr="00F110C2" w14:paraId="5B02D51F" w14:textId="77777777" w:rsidTr="009615D1">
        <w:trPr>
          <w:jc w:val="center"/>
        </w:trPr>
        <w:tc>
          <w:tcPr>
            <w:tcW w:w="2560" w:type="dxa"/>
          </w:tcPr>
          <w:p w14:paraId="11D10C74" w14:textId="16C5B223" w:rsidR="00CD45DB" w:rsidRPr="00F110C2" w:rsidRDefault="00CD45DB" w:rsidP="00254EC9">
            <w:pPr>
              <w:pStyle w:val="Tabletext"/>
              <w:jc w:val="center"/>
            </w:pPr>
            <w:r w:rsidRPr="00F110C2">
              <w:t>0</w:t>
            </w:r>
          </w:p>
        </w:tc>
        <w:tc>
          <w:tcPr>
            <w:tcW w:w="2160" w:type="dxa"/>
          </w:tcPr>
          <w:p w14:paraId="1BD77810" w14:textId="425F8582" w:rsidR="00CD45DB" w:rsidRPr="00F110C2" w:rsidRDefault="009615D1" w:rsidP="00254EC9">
            <w:pPr>
              <w:pStyle w:val="Tabletext"/>
              <w:jc w:val="center"/>
            </w:pPr>
            <w:r w:rsidRPr="00F110C2">
              <w:t>−</w:t>
            </w:r>
            <w:r w:rsidR="00CD45DB" w:rsidRPr="00F110C2">
              <w:t>2,75</w:t>
            </w:r>
          </w:p>
        </w:tc>
        <w:tc>
          <w:tcPr>
            <w:tcW w:w="2443" w:type="dxa"/>
          </w:tcPr>
          <w:p w14:paraId="3425C0F3" w14:textId="77777777" w:rsidR="00CD45DB" w:rsidRPr="00F110C2" w:rsidRDefault="00CD45DB" w:rsidP="00254EC9">
            <w:pPr>
              <w:pStyle w:val="Tabletext"/>
              <w:jc w:val="center"/>
            </w:pPr>
            <w:r w:rsidRPr="00F110C2">
              <w:t>0</w:t>
            </w:r>
          </w:p>
        </w:tc>
        <w:tc>
          <w:tcPr>
            <w:tcW w:w="2486" w:type="dxa"/>
          </w:tcPr>
          <w:p w14:paraId="2767FA87" w14:textId="77777777" w:rsidR="00CD45DB" w:rsidRPr="00F110C2" w:rsidRDefault="00CD45DB" w:rsidP="00254EC9">
            <w:pPr>
              <w:pStyle w:val="Tabletext"/>
              <w:jc w:val="center"/>
            </w:pPr>
            <w:r w:rsidRPr="00F110C2">
              <w:t>0</w:t>
            </w:r>
          </w:p>
        </w:tc>
      </w:tr>
      <w:tr w:rsidR="00CD45DB" w:rsidRPr="00F110C2" w14:paraId="0989BB69" w14:textId="77777777" w:rsidTr="009615D1">
        <w:trPr>
          <w:jc w:val="center"/>
        </w:trPr>
        <w:tc>
          <w:tcPr>
            <w:tcW w:w="2560" w:type="dxa"/>
          </w:tcPr>
          <w:p w14:paraId="16B6FC6D" w14:textId="77777777" w:rsidR="00CD45DB" w:rsidRPr="00F110C2" w:rsidRDefault="00CD45DB" w:rsidP="00254EC9">
            <w:pPr>
              <w:pStyle w:val="Tabletext"/>
              <w:jc w:val="center"/>
            </w:pPr>
            <w:r w:rsidRPr="00F110C2">
              <w:t>0,18</w:t>
            </w:r>
          </w:p>
        </w:tc>
        <w:tc>
          <w:tcPr>
            <w:tcW w:w="2160" w:type="dxa"/>
          </w:tcPr>
          <w:p w14:paraId="04FEA63C" w14:textId="1E497B1C" w:rsidR="00CD45DB" w:rsidRPr="00F110C2" w:rsidRDefault="009615D1" w:rsidP="00254EC9">
            <w:pPr>
              <w:pStyle w:val="Tabletext"/>
              <w:jc w:val="center"/>
            </w:pPr>
            <w:r w:rsidRPr="00F110C2">
              <w:t>−</w:t>
            </w:r>
            <w:r w:rsidR="00CD45DB" w:rsidRPr="00F110C2">
              <w:t>2,57</w:t>
            </w:r>
          </w:p>
        </w:tc>
        <w:tc>
          <w:tcPr>
            <w:tcW w:w="2443" w:type="dxa"/>
          </w:tcPr>
          <w:p w14:paraId="383C0DF6" w14:textId="4298CA02" w:rsidR="00CD45DB" w:rsidRPr="00F110C2" w:rsidRDefault="009615D1" w:rsidP="00254EC9">
            <w:pPr>
              <w:pStyle w:val="Tabletext"/>
              <w:jc w:val="center"/>
            </w:pPr>
            <w:r w:rsidRPr="00F110C2">
              <w:t>−</w:t>
            </w:r>
            <w:r w:rsidR="00CD45DB" w:rsidRPr="00F110C2">
              <w:t>13</w:t>
            </w:r>
          </w:p>
        </w:tc>
        <w:tc>
          <w:tcPr>
            <w:tcW w:w="2486" w:type="dxa"/>
          </w:tcPr>
          <w:p w14:paraId="72F058C0" w14:textId="2C9257C9" w:rsidR="00CD45DB" w:rsidRPr="00F110C2" w:rsidRDefault="009615D1" w:rsidP="00254EC9">
            <w:pPr>
              <w:pStyle w:val="Tabletext"/>
              <w:jc w:val="center"/>
            </w:pPr>
            <w:r w:rsidRPr="00F110C2">
              <w:t>−</w:t>
            </w:r>
            <w:r w:rsidR="00CD45DB" w:rsidRPr="00F110C2">
              <w:t>13</w:t>
            </w:r>
          </w:p>
        </w:tc>
      </w:tr>
      <w:tr w:rsidR="00CD45DB" w:rsidRPr="00F110C2" w14:paraId="5243F472" w14:textId="77777777" w:rsidTr="009615D1">
        <w:trPr>
          <w:jc w:val="center"/>
        </w:trPr>
        <w:tc>
          <w:tcPr>
            <w:tcW w:w="2560" w:type="dxa"/>
          </w:tcPr>
          <w:p w14:paraId="03E74FCA" w14:textId="77777777" w:rsidR="00CD45DB" w:rsidRPr="00F110C2" w:rsidRDefault="00CD45DB" w:rsidP="00254EC9">
            <w:pPr>
              <w:pStyle w:val="Tabletext"/>
              <w:jc w:val="center"/>
            </w:pPr>
            <w:r w:rsidRPr="00F110C2">
              <w:t>6</w:t>
            </w:r>
          </w:p>
        </w:tc>
        <w:tc>
          <w:tcPr>
            <w:tcW w:w="2160" w:type="dxa"/>
          </w:tcPr>
          <w:p w14:paraId="5BECA50A" w14:textId="77777777" w:rsidR="00CD45DB" w:rsidRPr="00F110C2" w:rsidRDefault="00CD45DB" w:rsidP="00254EC9">
            <w:pPr>
              <w:pStyle w:val="Tabletext"/>
              <w:jc w:val="center"/>
            </w:pPr>
            <w:r w:rsidRPr="00F110C2">
              <w:t>3,25</w:t>
            </w:r>
          </w:p>
        </w:tc>
        <w:tc>
          <w:tcPr>
            <w:tcW w:w="2443" w:type="dxa"/>
          </w:tcPr>
          <w:p w14:paraId="2084545D" w14:textId="496856E0" w:rsidR="00CD45DB" w:rsidRPr="00F110C2" w:rsidRDefault="009615D1" w:rsidP="00254EC9">
            <w:pPr>
              <w:pStyle w:val="Tabletext"/>
              <w:jc w:val="center"/>
            </w:pPr>
            <w:r w:rsidRPr="00F110C2">
              <w:t>−</w:t>
            </w:r>
            <w:r w:rsidR="00CD45DB" w:rsidRPr="00F110C2">
              <w:t>13</w:t>
            </w:r>
          </w:p>
        </w:tc>
        <w:tc>
          <w:tcPr>
            <w:tcW w:w="2486" w:type="dxa"/>
          </w:tcPr>
          <w:p w14:paraId="0FA54490" w14:textId="320142E1" w:rsidR="00CD45DB" w:rsidRPr="00F110C2" w:rsidRDefault="009615D1" w:rsidP="00254EC9">
            <w:pPr>
              <w:pStyle w:val="Tabletext"/>
              <w:jc w:val="center"/>
            </w:pPr>
            <w:r w:rsidRPr="00F110C2">
              <w:t>−</w:t>
            </w:r>
            <w:r w:rsidR="00CD45DB" w:rsidRPr="00F110C2">
              <w:t>13</w:t>
            </w:r>
          </w:p>
        </w:tc>
      </w:tr>
      <w:tr w:rsidR="00CD45DB" w:rsidRPr="00F110C2" w14:paraId="295ACA2F" w14:textId="77777777" w:rsidTr="009615D1">
        <w:trPr>
          <w:jc w:val="center"/>
        </w:trPr>
        <w:tc>
          <w:tcPr>
            <w:tcW w:w="2560" w:type="dxa"/>
          </w:tcPr>
          <w:p w14:paraId="140592BB" w14:textId="3BE99987" w:rsidR="00CD45DB" w:rsidRPr="00F110C2" w:rsidRDefault="00CD45DB" w:rsidP="00254EC9">
            <w:pPr>
              <w:pStyle w:val="Tabletext"/>
              <w:jc w:val="center"/>
            </w:pPr>
            <w:r w:rsidRPr="00F110C2">
              <w:t>6,435</w:t>
            </w:r>
          </w:p>
        </w:tc>
        <w:tc>
          <w:tcPr>
            <w:tcW w:w="2160" w:type="dxa"/>
          </w:tcPr>
          <w:p w14:paraId="34DAD731" w14:textId="77777777" w:rsidR="00CD45DB" w:rsidRPr="00F110C2" w:rsidRDefault="00CD45DB" w:rsidP="00254EC9">
            <w:pPr>
              <w:pStyle w:val="Tabletext"/>
              <w:jc w:val="center"/>
            </w:pPr>
            <w:r w:rsidRPr="00F110C2">
              <w:t>3,685</w:t>
            </w:r>
          </w:p>
        </w:tc>
        <w:tc>
          <w:tcPr>
            <w:tcW w:w="2443" w:type="dxa"/>
          </w:tcPr>
          <w:p w14:paraId="4A7E42AD" w14:textId="522B0B5F" w:rsidR="00CD45DB" w:rsidRPr="00F110C2" w:rsidRDefault="009615D1" w:rsidP="00254EC9">
            <w:pPr>
              <w:pStyle w:val="Tabletext"/>
              <w:jc w:val="center"/>
            </w:pPr>
            <w:r w:rsidRPr="00F110C2">
              <w:t>−</w:t>
            </w:r>
            <w:r w:rsidR="00CD45DB" w:rsidRPr="00F110C2">
              <w:t>10</w:t>
            </w:r>
          </w:p>
        </w:tc>
        <w:tc>
          <w:tcPr>
            <w:tcW w:w="2486" w:type="dxa"/>
          </w:tcPr>
          <w:p w14:paraId="68D0B273" w14:textId="779900F4" w:rsidR="00CD45DB" w:rsidRPr="00F110C2" w:rsidRDefault="009615D1" w:rsidP="00254EC9">
            <w:pPr>
              <w:pStyle w:val="Tabletext"/>
              <w:jc w:val="center"/>
            </w:pPr>
            <w:r w:rsidRPr="00F110C2">
              <w:t>−</w:t>
            </w:r>
            <w:r w:rsidR="00CD45DB" w:rsidRPr="00F110C2">
              <w:t>10</w:t>
            </w:r>
          </w:p>
        </w:tc>
      </w:tr>
      <w:tr w:rsidR="00CD45DB" w:rsidRPr="00F110C2" w14:paraId="06CE3C17" w14:textId="77777777" w:rsidTr="009615D1">
        <w:trPr>
          <w:jc w:val="center"/>
        </w:trPr>
        <w:tc>
          <w:tcPr>
            <w:tcW w:w="2560" w:type="dxa"/>
          </w:tcPr>
          <w:p w14:paraId="1B0B2FD7" w14:textId="77777777" w:rsidR="00CD45DB" w:rsidRPr="00F110C2" w:rsidRDefault="00CD45DB" w:rsidP="00254EC9">
            <w:pPr>
              <w:pStyle w:val="Tabletext"/>
              <w:jc w:val="center"/>
            </w:pPr>
            <w:r w:rsidRPr="00F110C2">
              <w:t>6,565</w:t>
            </w:r>
          </w:p>
        </w:tc>
        <w:tc>
          <w:tcPr>
            <w:tcW w:w="2160" w:type="dxa"/>
          </w:tcPr>
          <w:p w14:paraId="1736F884" w14:textId="77777777" w:rsidR="00CD45DB" w:rsidRPr="00F110C2" w:rsidRDefault="00CD45DB" w:rsidP="00254EC9">
            <w:pPr>
              <w:pStyle w:val="Tabletext"/>
              <w:jc w:val="center"/>
            </w:pPr>
            <w:r w:rsidRPr="00F110C2">
              <w:t>3,815</w:t>
            </w:r>
          </w:p>
        </w:tc>
        <w:tc>
          <w:tcPr>
            <w:tcW w:w="2443" w:type="dxa"/>
          </w:tcPr>
          <w:p w14:paraId="32E89647" w14:textId="315F5ADC" w:rsidR="00CD45DB" w:rsidRPr="00F110C2" w:rsidRDefault="009615D1" w:rsidP="00254EC9">
            <w:pPr>
              <w:pStyle w:val="Tabletext"/>
              <w:jc w:val="center"/>
            </w:pPr>
            <w:r w:rsidRPr="00F110C2">
              <w:t>−</w:t>
            </w:r>
            <w:r w:rsidR="00CD45DB" w:rsidRPr="00F110C2">
              <w:t>10</w:t>
            </w:r>
          </w:p>
        </w:tc>
        <w:tc>
          <w:tcPr>
            <w:tcW w:w="2486" w:type="dxa"/>
          </w:tcPr>
          <w:p w14:paraId="1FD9EFB8" w14:textId="131CAFF1" w:rsidR="00CD45DB" w:rsidRPr="00F110C2" w:rsidRDefault="009615D1" w:rsidP="00254EC9">
            <w:pPr>
              <w:pStyle w:val="Tabletext"/>
              <w:jc w:val="center"/>
            </w:pPr>
            <w:r w:rsidRPr="00F110C2">
              <w:t>−</w:t>
            </w:r>
            <w:r w:rsidR="00CD45DB" w:rsidRPr="00F110C2">
              <w:t>10</w:t>
            </w:r>
          </w:p>
        </w:tc>
      </w:tr>
      <w:tr w:rsidR="00CD45DB" w:rsidRPr="00F110C2" w14:paraId="45D6E282" w14:textId="77777777" w:rsidTr="009615D1">
        <w:trPr>
          <w:jc w:val="center"/>
        </w:trPr>
        <w:tc>
          <w:tcPr>
            <w:tcW w:w="2560" w:type="dxa"/>
          </w:tcPr>
          <w:p w14:paraId="30E3F474" w14:textId="77777777" w:rsidR="00CD45DB" w:rsidRPr="00F110C2" w:rsidRDefault="00CD45DB" w:rsidP="00254EC9">
            <w:pPr>
              <w:pStyle w:val="Tabletext"/>
              <w:jc w:val="center"/>
            </w:pPr>
            <w:r w:rsidRPr="00F110C2">
              <w:t>6,75</w:t>
            </w:r>
          </w:p>
        </w:tc>
        <w:tc>
          <w:tcPr>
            <w:tcW w:w="2160" w:type="dxa"/>
          </w:tcPr>
          <w:p w14:paraId="3425E586" w14:textId="77777777" w:rsidR="00CD45DB" w:rsidRPr="00F110C2" w:rsidRDefault="00CD45DB" w:rsidP="00254EC9">
            <w:pPr>
              <w:pStyle w:val="Tabletext"/>
              <w:jc w:val="center"/>
            </w:pPr>
            <w:r w:rsidRPr="00F110C2">
              <w:t>4</w:t>
            </w:r>
          </w:p>
        </w:tc>
        <w:tc>
          <w:tcPr>
            <w:tcW w:w="2443" w:type="dxa"/>
          </w:tcPr>
          <w:p w14:paraId="2CE32849" w14:textId="7DB5AD9D" w:rsidR="00CD45DB" w:rsidRPr="00F110C2" w:rsidRDefault="009615D1" w:rsidP="00254EC9">
            <w:pPr>
              <w:pStyle w:val="Tabletext"/>
              <w:jc w:val="center"/>
            </w:pPr>
            <w:r w:rsidRPr="00F110C2">
              <w:t>−</w:t>
            </w:r>
            <w:r w:rsidR="00CD45DB" w:rsidRPr="00F110C2">
              <w:t>50</w:t>
            </w:r>
          </w:p>
        </w:tc>
        <w:tc>
          <w:tcPr>
            <w:tcW w:w="2486" w:type="dxa"/>
          </w:tcPr>
          <w:p w14:paraId="218D53DC" w14:textId="4864511F" w:rsidR="00CD45DB" w:rsidRPr="00F110C2" w:rsidRDefault="009615D1" w:rsidP="00254EC9">
            <w:pPr>
              <w:pStyle w:val="Tabletext"/>
              <w:jc w:val="center"/>
            </w:pPr>
            <w:r w:rsidRPr="00F110C2">
              <w:t>−</w:t>
            </w:r>
            <w:r w:rsidR="00CD45DB" w:rsidRPr="00F110C2">
              <w:t>50</w:t>
            </w:r>
          </w:p>
        </w:tc>
      </w:tr>
      <w:tr w:rsidR="00CD45DB" w:rsidRPr="00F110C2" w14:paraId="7CF5D677" w14:textId="77777777" w:rsidTr="009615D1">
        <w:trPr>
          <w:jc w:val="center"/>
        </w:trPr>
        <w:tc>
          <w:tcPr>
            <w:tcW w:w="2560" w:type="dxa"/>
          </w:tcPr>
          <w:p w14:paraId="5FBC68EB" w14:textId="77777777" w:rsidR="00CD45DB" w:rsidRPr="00F110C2" w:rsidRDefault="00CD45DB" w:rsidP="00254EC9">
            <w:pPr>
              <w:pStyle w:val="Tabletext"/>
              <w:jc w:val="center"/>
            </w:pPr>
            <w:r w:rsidRPr="00F110C2">
              <w:t>13</w:t>
            </w:r>
          </w:p>
        </w:tc>
        <w:tc>
          <w:tcPr>
            <w:tcW w:w="2160" w:type="dxa"/>
          </w:tcPr>
          <w:p w14:paraId="5A11FB73" w14:textId="77777777" w:rsidR="00CD45DB" w:rsidRPr="00F110C2" w:rsidRDefault="00CD45DB" w:rsidP="00254EC9">
            <w:pPr>
              <w:pStyle w:val="Tabletext"/>
              <w:jc w:val="center"/>
            </w:pPr>
            <w:r w:rsidRPr="00F110C2">
              <w:t>10,25</w:t>
            </w:r>
          </w:p>
        </w:tc>
        <w:tc>
          <w:tcPr>
            <w:tcW w:w="2443" w:type="dxa"/>
          </w:tcPr>
          <w:p w14:paraId="7EE8632F" w14:textId="5CD9AA02" w:rsidR="00CD45DB" w:rsidRPr="00F110C2" w:rsidRDefault="009615D1" w:rsidP="00254EC9">
            <w:pPr>
              <w:pStyle w:val="Tabletext"/>
              <w:jc w:val="center"/>
            </w:pPr>
            <w:r w:rsidRPr="00F110C2">
              <w:t>−</w:t>
            </w:r>
            <w:r w:rsidR="00CD45DB" w:rsidRPr="00F110C2">
              <w:t>56</w:t>
            </w:r>
          </w:p>
        </w:tc>
        <w:tc>
          <w:tcPr>
            <w:tcW w:w="2486" w:type="dxa"/>
          </w:tcPr>
          <w:p w14:paraId="3431FE4E" w14:textId="51F8B438" w:rsidR="00CD45DB" w:rsidRPr="00F110C2" w:rsidRDefault="009615D1" w:rsidP="00254EC9">
            <w:pPr>
              <w:pStyle w:val="Tabletext"/>
              <w:jc w:val="center"/>
            </w:pPr>
            <w:r w:rsidRPr="00F110C2">
              <w:t>−</w:t>
            </w:r>
            <w:r w:rsidR="00CD45DB" w:rsidRPr="00F110C2">
              <w:t>56</w:t>
            </w:r>
          </w:p>
        </w:tc>
      </w:tr>
      <w:tr w:rsidR="00CD45DB" w:rsidRPr="00F110C2" w14:paraId="33D1B91A" w14:textId="77777777" w:rsidTr="009615D1">
        <w:trPr>
          <w:jc w:val="center"/>
        </w:trPr>
        <w:tc>
          <w:tcPr>
            <w:tcW w:w="2560" w:type="dxa"/>
          </w:tcPr>
          <w:p w14:paraId="7E319527" w14:textId="77777777" w:rsidR="00CD45DB" w:rsidRPr="00F110C2" w:rsidRDefault="00CD45DB" w:rsidP="00254EC9">
            <w:pPr>
              <w:pStyle w:val="Tabletext"/>
              <w:jc w:val="center"/>
            </w:pPr>
            <w:r w:rsidRPr="00F110C2">
              <w:t>14,75</w:t>
            </w:r>
          </w:p>
        </w:tc>
        <w:tc>
          <w:tcPr>
            <w:tcW w:w="2160" w:type="dxa"/>
          </w:tcPr>
          <w:p w14:paraId="4F33F82C" w14:textId="77777777" w:rsidR="00CD45DB" w:rsidRPr="00F110C2" w:rsidRDefault="00CD45DB" w:rsidP="00254EC9">
            <w:pPr>
              <w:pStyle w:val="Tabletext"/>
              <w:jc w:val="center"/>
            </w:pPr>
            <w:r w:rsidRPr="00F110C2">
              <w:t>12</w:t>
            </w:r>
          </w:p>
        </w:tc>
        <w:tc>
          <w:tcPr>
            <w:tcW w:w="2443" w:type="dxa"/>
          </w:tcPr>
          <w:p w14:paraId="17C48555" w14:textId="5D795EA2" w:rsidR="00CD45DB" w:rsidRPr="00F110C2" w:rsidRDefault="009615D1" w:rsidP="00254EC9">
            <w:pPr>
              <w:pStyle w:val="Tabletext"/>
              <w:jc w:val="center"/>
            </w:pPr>
            <w:r w:rsidRPr="00F110C2">
              <w:t>−</w:t>
            </w:r>
            <w:r w:rsidR="00CD45DB" w:rsidRPr="00F110C2">
              <w:t>64,2</w:t>
            </w:r>
          </w:p>
        </w:tc>
        <w:tc>
          <w:tcPr>
            <w:tcW w:w="2486" w:type="dxa"/>
          </w:tcPr>
          <w:p w14:paraId="693BBD15" w14:textId="1E310227" w:rsidR="00CD45DB" w:rsidRPr="00F110C2" w:rsidRDefault="009615D1" w:rsidP="00254EC9">
            <w:pPr>
              <w:pStyle w:val="Tabletext"/>
              <w:jc w:val="center"/>
            </w:pPr>
            <w:r w:rsidRPr="00F110C2">
              <w:t>−</w:t>
            </w:r>
            <w:r w:rsidR="00CD45DB" w:rsidRPr="00F110C2">
              <w:t>64,2</w:t>
            </w:r>
          </w:p>
        </w:tc>
      </w:tr>
      <w:tr w:rsidR="00CD45DB" w:rsidRPr="00F110C2" w14:paraId="1070D126" w14:textId="77777777" w:rsidTr="009615D1">
        <w:trPr>
          <w:jc w:val="center"/>
        </w:trPr>
        <w:tc>
          <w:tcPr>
            <w:tcW w:w="2560" w:type="dxa"/>
          </w:tcPr>
          <w:p w14:paraId="0FB6F88F" w14:textId="77777777" w:rsidR="00CD45DB" w:rsidRPr="00F110C2" w:rsidRDefault="00CD45DB" w:rsidP="00254EC9">
            <w:pPr>
              <w:pStyle w:val="Tabletext"/>
              <w:jc w:val="center"/>
            </w:pPr>
            <w:r w:rsidRPr="00F110C2">
              <w:t>22,75</w:t>
            </w:r>
          </w:p>
        </w:tc>
        <w:tc>
          <w:tcPr>
            <w:tcW w:w="2160" w:type="dxa"/>
          </w:tcPr>
          <w:p w14:paraId="796A3ED1" w14:textId="77777777" w:rsidR="00CD45DB" w:rsidRPr="00F110C2" w:rsidRDefault="00CD45DB" w:rsidP="00254EC9">
            <w:pPr>
              <w:pStyle w:val="Tabletext"/>
              <w:jc w:val="center"/>
            </w:pPr>
            <w:r w:rsidRPr="00F110C2">
              <w:t>20</w:t>
            </w:r>
          </w:p>
        </w:tc>
        <w:tc>
          <w:tcPr>
            <w:tcW w:w="2443" w:type="dxa"/>
          </w:tcPr>
          <w:p w14:paraId="7BF8D2F4" w14:textId="13CEAD3A" w:rsidR="00CD45DB" w:rsidRPr="00F110C2" w:rsidRDefault="009615D1" w:rsidP="00254EC9">
            <w:pPr>
              <w:pStyle w:val="Tabletext"/>
              <w:jc w:val="center"/>
            </w:pPr>
            <w:r w:rsidRPr="00F110C2">
              <w:t>−</w:t>
            </w:r>
            <w:r w:rsidR="00CD45DB" w:rsidRPr="00F110C2">
              <w:t>89,2</w:t>
            </w:r>
          </w:p>
        </w:tc>
        <w:tc>
          <w:tcPr>
            <w:tcW w:w="2486" w:type="dxa"/>
          </w:tcPr>
          <w:p w14:paraId="13C1E4BD" w14:textId="55EBC7F3" w:rsidR="00CD45DB" w:rsidRPr="00F110C2" w:rsidRDefault="009615D1" w:rsidP="00254EC9">
            <w:pPr>
              <w:pStyle w:val="Tabletext"/>
              <w:jc w:val="center"/>
            </w:pPr>
            <w:r w:rsidRPr="00F110C2">
              <w:t>−</w:t>
            </w:r>
            <w:r w:rsidR="00CD45DB" w:rsidRPr="00F110C2">
              <w:t>89,2</w:t>
            </w:r>
          </w:p>
        </w:tc>
      </w:tr>
    </w:tbl>
    <w:p w14:paraId="531451E8" w14:textId="77777777" w:rsidR="00CD45DB" w:rsidRPr="00F110C2" w:rsidRDefault="00CD45DB" w:rsidP="00254EC9">
      <w:pPr>
        <w:pStyle w:val="Tablefin"/>
        <w:rPr>
          <w:sz w:val="2"/>
        </w:rPr>
      </w:pPr>
    </w:p>
    <w:p w14:paraId="4D970679" w14:textId="77777777" w:rsidR="00CD45DB" w:rsidRPr="00F110C2" w:rsidRDefault="00CD45DB" w:rsidP="00254EC9">
      <w:pPr>
        <w:pStyle w:val="Tablefin"/>
      </w:pPr>
    </w:p>
    <w:p w14:paraId="35E03DF4" w14:textId="77777777" w:rsidR="00CD45DB" w:rsidRPr="00F110C2" w:rsidRDefault="00CD45DB" w:rsidP="00254EC9">
      <w:r w:rsidRPr="00F110C2">
        <w:t>Le Tableau 14 donne les valeurs de point d'extrémité à utiliser conjointement avec le Tableau 13 et la Fig. 22, applicables à une plage de puissances de sortie d'émetteur, pour la télévision analogique à 8 MHz, modulation positive.</w:t>
      </w:r>
    </w:p>
    <w:p w14:paraId="76B585FD" w14:textId="77777777" w:rsidR="00CD45DB" w:rsidRPr="00F110C2" w:rsidRDefault="00CD45DB" w:rsidP="00254EC9">
      <w:pPr>
        <w:pStyle w:val="TableNo"/>
      </w:pPr>
      <w:r w:rsidRPr="00F110C2">
        <w:t>TABLEAU 14</w:t>
      </w:r>
    </w:p>
    <w:p w14:paraId="2CE23EA3" w14:textId="30AFAE90" w:rsidR="00CD45DB" w:rsidRPr="00F110C2" w:rsidRDefault="00CD45DB" w:rsidP="00254EC9">
      <w:pPr>
        <w:pStyle w:val="Tabletitle"/>
      </w:pPr>
      <w:r w:rsidRPr="00F110C2">
        <w:t>Valeurs de point d'extrémité pour la télévision analogique à 8 MHz,</w:t>
      </w:r>
      <w:r w:rsidR="009615D1" w:rsidRPr="00F110C2">
        <w:t xml:space="preserve"> </w:t>
      </w:r>
      <w:r w:rsidRPr="00F110C2">
        <w:t>modulation positive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21"/>
        <w:gridCol w:w="2978"/>
        <w:gridCol w:w="3340"/>
      </w:tblGrid>
      <w:tr w:rsidR="00CD45DB" w:rsidRPr="00F110C2" w14:paraId="331526DD" w14:textId="77777777" w:rsidTr="00F91EA9">
        <w:trPr>
          <w:jc w:val="center"/>
        </w:trPr>
        <w:tc>
          <w:tcPr>
            <w:tcW w:w="2987" w:type="dxa"/>
            <w:tcBorders>
              <w:top w:val="single" w:sz="4" w:space="0" w:color="auto"/>
              <w:left w:val="single" w:sz="4" w:space="0" w:color="auto"/>
              <w:bottom w:val="single" w:sz="4" w:space="0" w:color="auto"/>
              <w:right w:val="single" w:sz="4" w:space="0" w:color="auto"/>
            </w:tcBorders>
            <w:vAlign w:val="center"/>
          </w:tcPr>
          <w:p w14:paraId="7E89B346" w14:textId="37538A2B" w:rsidR="00CD45DB" w:rsidRPr="00F110C2" w:rsidRDefault="00CD45DB" w:rsidP="00254EC9">
            <w:pPr>
              <w:pStyle w:val="Tablehead"/>
            </w:pPr>
            <w:r w:rsidRPr="00F110C2">
              <w:t>Valeur de point d'extrémité</w:t>
            </w:r>
            <w:r w:rsidRPr="00F110C2">
              <w:rPr>
                <w:vertAlign w:val="superscript"/>
              </w:rPr>
              <w:t>(1)</w:t>
            </w:r>
            <w:r w:rsidRPr="00F110C2">
              <w:t xml:space="preserve"> (largeur de bande de mesure </w:t>
            </w:r>
            <w:r w:rsidR="00F91EA9" w:rsidRPr="00F110C2">
              <w:br/>
            </w:r>
            <w:r w:rsidRPr="00F110C2">
              <w:t>de 50 kHz)</w:t>
            </w:r>
            <w:r w:rsidR="00F91EA9" w:rsidRPr="00F110C2">
              <w:t xml:space="preserve"> </w:t>
            </w:r>
            <w:r w:rsidRPr="00F110C2">
              <w:t>(dB)</w:t>
            </w:r>
          </w:p>
        </w:tc>
        <w:tc>
          <w:tcPr>
            <w:tcW w:w="2678" w:type="dxa"/>
            <w:tcBorders>
              <w:top w:val="single" w:sz="4" w:space="0" w:color="auto"/>
              <w:left w:val="single" w:sz="4" w:space="0" w:color="auto"/>
              <w:bottom w:val="single" w:sz="4" w:space="0" w:color="auto"/>
              <w:right w:val="single" w:sz="4" w:space="0" w:color="auto"/>
            </w:tcBorders>
            <w:vAlign w:val="center"/>
          </w:tcPr>
          <w:p w14:paraId="03AF9040" w14:textId="77777777" w:rsidR="00CD45DB" w:rsidRPr="00F110C2" w:rsidRDefault="00CD45DB" w:rsidP="00254EC9">
            <w:pPr>
              <w:pStyle w:val="Tablehead"/>
            </w:pPr>
            <w:r w:rsidRPr="00F110C2">
              <w:rPr>
                <w:szCs w:val="24"/>
              </w:rPr>
              <w:t>Plage de puissances</w:t>
            </w:r>
            <w:r w:rsidRPr="00F110C2">
              <w:rPr>
                <w:szCs w:val="24"/>
              </w:rPr>
              <w:br/>
              <w:t>(dBW)</w:t>
            </w:r>
          </w:p>
        </w:tc>
        <w:tc>
          <w:tcPr>
            <w:tcW w:w="3004" w:type="dxa"/>
            <w:tcBorders>
              <w:top w:val="single" w:sz="4" w:space="0" w:color="auto"/>
              <w:left w:val="single" w:sz="4" w:space="0" w:color="auto"/>
              <w:bottom w:val="single" w:sz="4" w:space="0" w:color="auto"/>
              <w:right w:val="single" w:sz="4" w:space="0" w:color="auto"/>
            </w:tcBorders>
            <w:vAlign w:val="center"/>
          </w:tcPr>
          <w:p w14:paraId="013D98A2" w14:textId="77777777" w:rsidR="00CD45DB" w:rsidRPr="00F110C2" w:rsidRDefault="00CD45DB" w:rsidP="00254EC9">
            <w:pPr>
              <w:pStyle w:val="Tablehead"/>
            </w:pPr>
            <w:r w:rsidRPr="00F110C2">
              <w:rPr>
                <w:szCs w:val="24"/>
              </w:rPr>
              <w:t>Niveau correspondant des rayonnements non essentiels (dans une largeur de bande de mesure de 100 kHz)</w:t>
            </w:r>
          </w:p>
        </w:tc>
      </w:tr>
      <w:tr w:rsidR="00CD45DB" w:rsidRPr="00F110C2" w14:paraId="5978881A" w14:textId="77777777" w:rsidTr="00F91EA9">
        <w:trPr>
          <w:jc w:val="center"/>
        </w:trPr>
        <w:tc>
          <w:tcPr>
            <w:tcW w:w="2987" w:type="dxa"/>
            <w:tcBorders>
              <w:top w:val="single" w:sz="4" w:space="0" w:color="auto"/>
              <w:left w:val="single" w:sz="4" w:space="0" w:color="auto"/>
              <w:bottom w:val="single" w:sz="4" w:space="0" w:color="auto"/>
              <w:right w:val="single" w:sz="4" w:space="0" w:color="auto"/>
            </w:tcBorders>
          </w:tcPr>
          <w:p w14:paraId="4D80C5FA" w14:textId="6C7F9DCC" w:rsidR="00CD45DB" w:rsidRPr="00F110C2" w:rsidRDefault="009615D1" w:rsidP="00254EC9">
            <w:pPr>
              <w:pStyle w:val="Tabletext"/>
              <w:jc w:val="center"/>
            </w:pPr>
            <w:r w:rsidRPr="00F110C2">
              <w:t>−</w:t>
            </w:r>
            <w:r w:rsidR="00CD45DB" w:rsidRPr="00F110C2">
              <w:t>79,2 </w:t>
            </w:r>
            <w:r w:rsidRPr="00F110C2">
              <w:t>−</w:t>
            </w:r>
            <w:r w:rsidR="00CD45DB" w:rsidRPr="00F110C2">
              <w:t> (</w:t>
            </w:r>
            <w:r w:rsidR="00CD45DB" w:rsidRPr="00F110C2">
              <w:rPr>
                <w:i/>
                <w:iCs/>
              </w:rPr>
              <w:t>P</w:t>
            </w:r>
            <w:r w:rsidR="00CD45DB" w:rsidRPr="00F110C2">
              <w:t> </w:t>
            </w:r>
            <w:r w:rsidRPr="00F110C2">
              <w:t>−</w:t>
            </w:r>
            <w:r w:rsidR="00CD45DB" w:rsidRPr="00F110C2">
              <w:t> 9)</w:t>
            </w:r>
          </w:p>
        </w:tc>
        <w:tc>
          <w:tcPr>
            <w:tcW w:w="2678" w:type="dxa"/>
            <w:tcBorders>
              <w:top w:val="single" w:sz="4" w:space="0" w:color="auto"/>
              <w:left w:val="single" w:sz="4" w:space="0" w:color="auto"/>
              <w:bottom w:val="single" w:sz="4" w:space="0" w:color="auto"/>
              <w:right w:val="single" w:sz="4" w:space="0" w:color="auto"/>
            </w:tcBorders>
          </w:tcPr>
          <w:p w14:paraId="6037D70E" w14:textId="77777777" w:rsidR="00CD45DB" w:rsidRPr="00F110C2" w:rsidRDefault="00CD45DB" w:rsidP="00254EC9">
            <w:pPr>
              <w:pStyle w:val="Tabletext"/>
              <w:tabs>
                <w:tab w:val="clear" w:pos="284"/>
              </w:tabs>
            </w:pPr>
            <w:r w:rsidRPr="00F110C2">
              <w:rPr>
                <w:i/>
                <w:iCs/>
                <w:szCs w:val="24"/>
              </w:rPr>
              <w:tab/>
            </w:r>
            <w:r w:rsidRPr="00F110C2">
              <w:rPr>
                <w:i/>
                <w:iCs/>
                <w:szCs w:val="24"/>
              </w:rPr>
              <w:tab/>
            </w:r>
            <w:r w:rsidRPr="00F110C2">
              <w:rPr>
                <w:i/>
                <w:iCs/>
                <w:szCs w:val="24"/>
              </w:rPr>
              <w:tab/>
              <w:t>P</w:t>
            </w:r>
            <w:r w:rsidRPr="00F110C2">
              <w:rPr>
                <w:szCs w:val="24"/>
              </w:rPr>
              <w:t> </w:t>
            </w:r>
            <w:r w:rsidRPr="00F110C2">
              <w:rPr>
                <w:rFonts w:ascii="Symbol" w:hAnsi="Symbol"/>
              </w:rPr>
              <w:sym w:font="Symbol" w:char="F0A3"/>
            </w:r>
            <w:r w:rsidRPr="00F110C2">
              <w:rPr>
                <w:szCs w:val="24"/>
              </w:rPr>
              <w:t> 9</w:t>
            </w:r>
          </w:p>
        </w:tc>
        <w:tc>
          <w:tcPr>
            <w:tcW w:w="3004" w:type="dxa"/>
            <w:tcBorders>
              <w:top w:val="single" w:sz="4" w:space="0" w:color="auto"/>
              <w:left w:val="single" w:sz="4" w:space="0" w:color="auto"/>
              <w:bottom w:val="single" w:sz="4" w:space="0" w:color="auto"/>
              <w:right w:val="single" w:sz="4" w:space="0" w:color="auto"/>
            </w:tcBorders>
          </w:tcPr>
          <w:p w14:paraId="59422454" w14:textId="76C076EA" w:rsidR="00CD45DB" w:rsidRPr="00F110C2" w:rsidRDefault="009615D1" w:rsidP="00254EC9">
            <w:pPr>
              <w:pStyle w:val="Tabletext"/>
              <w:jc w:val="center"/>
            </w:pPr>
            <w:r w:rsidRPr="00F110C2">
              <w:t>−</w:t>
            </w:r>
            <w:r w:rsidR="00CD45DB" w:rsidRPr="00F110C2">
              <w:t>36 dBm</w:t>
            </w:r>
          </w:p>
        </w:tc>
      </w:tr>
      <w:tr w:rsidR="00CD45DB" w:rsidRPr="00F110C2" w14:paraId="35431814" w14:textId="77777777" w:rsidTr="00F91EA9">
        <w:trPr>
          <w:jc w:val="center"/>
        </w:trPr>
        <w:tc>
          <w:tcPr>
            <w:tcW w:w="2987" w:type="dxa"/>
            <w:tcBorders>
              <w:top w:val="single" w:sz="4" w:space="0" w:color="auto"/>
              <w:left w:val="single" w:sz="4" w:space="0" w:color="auto"/>
              <w:bottom w:val="single" w:sz="4" w:space="0" w:color="auto"/>
              <w:right w:val="single" w:sz="4" w:space="0" w:color="auto"/>
            </w:tcBorders>
          </w:tcPr>
          <w:p w14:paraId="000A2245" w14:textId="7AB94E77" w:rsidR="00CD45DB" w:rsidRPr="00F110C2" w:rsidRDefault="009615D1" w:rsidP="00254EC9">
            <w:pPr>
              <w:pStyle w:val="Tabletext"/>
              <w:jc w:val="center"/>
            </w:pPr>
            <w:r w:rsidRPr="00F110C2">
              <w:t>−</w:t>
            </w:r>
            <w:r w:rsidR="00CD45DB" w:rsidRPr="00F110C2">
              <w:t>79,2</w:t>
            </w:r>
          </w:p>
        </w:tc>
        <w:tc>
          <w:tcPr>
            <w:tcW w:w="2678" w:type="dxa"/>
            <w:tcBorders>
              <w:top w:val="single" w:sz="4" w:space="0" w:color="auto"/>
              <w:left w:val="single" w:sz="4" w:space="0" w:color="auto"/>
              <w:bottom w:val="single" w:sz="4" w:space="0" w:color="auto"/>
              <w:right w:val="single" w:sz="4" w:space="0" w:color="auto"/>
            </w:tcBorders>
          </w:tcPr>
          <w:p w14:paraId="1FD155DC" w14:textId="5B5F826C" w:rsidR="00CD45DB" w:rsidRPr="00F110C2" w:rsidRDefault="00CD45DB" w:rsidP="00254EC9">
            <w:pPr>
              <w:pStyle w:val="Tabletext"/>
              <w:tabs>
                <w:tab w:val="clear" w:pos="284"/>
              </w:tabs>
            </w:pPr>
            <w:r w:rsidRPr="00F110C2">
              <w:rPr>
                <w:szCs w:val="24"/>
              </w:rPr>
              <w:tab/>
              <w:t>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29</w:t>
            </w:r>
          </w:p>
        </w:tc>
        <w:tc>
          <w:tcPr>
            <w:tcW w:w="3004" w:type="dxa"/>
            <w:tcBorders>
              <w:top w:val="single" w:sz="4" w:space="0" w:color="auto"/>
              <w:left w:val="single" w:sz="4" w:space="0" w:color="auto"/>
              <w:bottom w:val="single" w:sz="4" w:space="0" w:color="auto"/>
              <w:right w:val="single" w:sz="4" w:space="0" w:color="auto"/>
            </w:tcBorders>
          </w:tcPr>
          <w:p w14:paraId="3CD79385" w14:textId="77777777" w:rsidR="00CD45DB" w:rsidRPr="00F110C2" w:rsidRDefault="00CD45DB" w:rsidP="00254EC9">
            <w:pPr>
              <w:pStyle w:val="Tabletext"/>
              <w:jc w:val="center"/>
            </w:pPr>
            <w:r w:rsidRPr="00F110C2">
              <w:t>75 dBc</w:t>
            </w:r>
          </w:p>
        </w:tc>
      </w:tr>
      <w:tr w:rsidR="00CD45DB" w:rsidRPr="00F110C2" w14:paraId="63A3C8B4" w14:textId="77777777" w:rsidTr="00F91EA9">
        <w:trPr>
          <w:jc w:val="center"/>
        </w:trPr>
        <w:tc>
          <w:tcPr>
            <w:tcW w:w="2987" w:type="dxa"/>
            <w:tcBorders>
              <w:top w:val="single" w:sz="4" w:space="0" w:color="auto"/>
              <w:left w:val="single" w:sz="4" w:space="0" w:color="auto"/>
              <w:bottom w:val="single" w:sz="4" w:space="0" w:color="auto"/>
              <w:right w:val="single" w:sz="4" w:space="0" w:color="auto"/>
            </w:tcBorders>
          </w:tcPr>
          <w:p w14:paraId="69FF8B09" w14:textId="3F8F547E" w:rsidR="00CD45DB" w:rsidRPr="00F110C2" w:rsidRDefault="009615D1" w:rsidP="00254EC9">
            <w:pPr>
              <w:pStyle w:val="Tabletext"/>
              <w:jc w:val="center"/>
            </w:pPr>
            <w:r w:rsidRPr="00F110C2">
              <w:t>−</w:t>
            </w:r>
            <w:r w:rsidR="00CD45DB" w:rsidRPr="00F110C2">
              <w:t>79,2 </w:t>
            </w:r>
            <w:r w:rsidRPr="00F110C2">
              <w:t>−</w:t>
            </w:r>
            <w:r w:rsidR="00CD45DB" w:rsidRPr="00F110C2">
              <w:t> (</w:t>
            </w:r>
            <w:r w:rsidR="00CD45DB" w:rsidRPr="00F110C2">
              <w:rPr>
                <w:i/>
                <w:iCs/>
              </w:rPr>
              <w:t>P</w:t>
            </w:r>
            <w:r w:rsidR="00CD45DB" w:rsidRPr="00F110C2">
              <w:t> </w:t>
            </w:r>
            <w:r w:rsidRPr="00F110C2">
              <w:t>−</w:t>
            </w:r>
            <w:r w:rsidR="00CD45DB" w:rsidRPr="00F110C2">
              <w:t> 29)</w:t>
            </w:r>
          </w:p>
        </w:tc>
        <w:tc>
          <w:tcPr>
            <w:tcW w:w="2678" w:type="dxa"/>
            <w:tcBorders>
              <w:top w:val="single" w:sz="4" w:space="0" w:color="auto"/>
              <w:left w:val="single" w:sz="4" w:space="0" w:color="auto"/>
              <w:bottom w:val="single" w:sz="4" w:space="0" w:color="auto"/>
              <w:right w:val="single" w:sz="4" w:space="0" w:color="auto"/>
            </w:tcBorders>
          </w:tcPr>
          <w:p w14:paraId="0B85B4F6" w14:textId="77777777" w:rsidR="00CD45DB" w:rsidRPr="00F110C2" w:rsidRDefault="00CD45DB" w:rsidP="00254EC9">
            <w:pPr>
              <w:pStyle w:val="Tabletext"/>
              <w:tabs>
                <w:tab w:val="clear" w:pos="284"/>
                <w:tab w:val="clear" w:pos="851"/>
                <w:tab w:val="left" w:pos="845"/>
              </w:tabs>
            </w:pPr>
            <w:r w:rsidRPr="00F110C2">
              <w:rPr>
                <w:szCs w:val="24"/>
              </w:rPr>
              <w:tab/>
              <w:t>29 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39</w:t>
            </w:r>
          </w:p>
        </w:tc>
        <w:tc>
          <w:tcPr>
            <w:tcW w:w="3004" w:type="dxa"/>
            <w:tcBorders>
              <w:top w:val="single" w:sz="4" w:space="0" w:color="auto"/>
              <w:left w:val="single" w:sz="4" w:space="0" w:color="auto"/>
              <w:bottom w:val="single" w:sz="4" w:space="0" w:color="auto"/>
              <w:right w:val="single" w:sz="4" w:space="0" w:color="auto"/>
            </w:tcBorders>
          </w:tcPr>
          <w:p w14:paraId="237BE8EE" w14:textId="11E8A577" w:rsidR="00CD45DB" w:rsidRPr="00F110C2" w:rsidRDefault="009615D1" w:rsidP="00254EC9">
            <w:pPr>
              <w:pStyle w:val="Tabletext"/>
              <w:jc w:val="center"/>
            </w:pPr>
            <w:r w:rsidRPr="00F110C2">
              <w:t>−</w:t>
            </w:r>
            <w:r w:rsidR="00CD45DB" w:rsidRPr="00F110C2">
              <w:t>16 dBm</w:t>
            </w:r>
          </w:p>
        </w:tc>
      </w:tr>
      <w:tr w:rsidR="00CD45DB" w:rsidRPr="00F110C2" w14:paraId="0A38B2DA" w14:textId="77777777" w:rsidTr="00F91EA9">
        <w:trPr>
          <w:jc w:val="center"/>
        </w:trPr>
        <w:tc>
          <w:tcPr>
            <w:tcW w:w="2987" w:type="dxa"/>
            <w:tcBorders>
              <w:top w:val="single" w:sz="4" w:space="0" w:color="auto"/>
              <w:left w:val="single" w:sz="4" w:space="0" w:color="auto"/>
              <w:bottom w:val="single" w:sz="4" w:space="0" w:color="auto"/>
              <w:right w:val="single" w:sz="4" w:space="0" w:color="auto"/>
            </w:tcBorders>
          </w:tcPr>
          <w:p w14:paraId="1D577DDB" w14:textId="6CE0C448" w:rsidR="00CD45DB" w:rsidRPr="00F110C2" w:rsidRDefault="009615D1" w:rsidP="00254EC9">
            <w:pPr>
              <w:pStyle w:val="Tabletext"/>
              <w:jc w:val="center"/>
            </w:pPr>
            <w:r w:rsidRPr="00F110C2">
              <w:t>−</w:t>
            </w:r>
            <w:r w:rsidR="00CD45DB" w:rsidRPr="00F110C2">
              <w:t>89,2</w:t>
            </w:r>
          </w:p>
        </w:tc>
        <w:tc>
          <w:tcPr>
            <w:tcW w:w="2678" w:type="dxa"/>
            <w:tcBorders>
              <w:top w:val="single" w:sz="4" w:space="0" w:color="auto"/>
              <w:left w:val="single" w:sz="4" w:space="0" w:color="auto"/>
              <w:bottom w:val="single" w:sz="4" w:space="0" w:color="auto"/>
              <w:right w:val="single" w:sz="4" w:space="0" w:color="auto"/>
            </w:tcBorders>
          </w:tcPr>
          <w:p w14:paraId="4083F394" w14:textId="77777777" w:rsidR="00CD45DB" w:rsidRPr="00F110C2" w:rsidRDefault="00CD45DB" w:rsidP="00254EC9">
            <w:pPr>
              <w:pStyle w:val="Tabletext"/>
              <w:tabs>
                <w:tab w:val="clear" w:pos="284"/>
                <w:tab w:val="clear" w:pos="851"/>
                <w:tab w:val="left" w:pos="845"/>
              </w:tabs>
            </w:pPr>
            <w:r w:rsidRPr="00F110C2">
              <w:rPr>
                <w:szCs w:val="24"/>
              </w:rPr>
              <w:tab/>
              <w:t>39 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50</w:t>
            </w:r>
          </w:p>
        </w:tc>
        <w:tc>
          <w:tcPr>
            <w:tcW w:w="3004" w:type="dxa"/>
            <w:tcBorders>
              <w:top w:val="single" w:sz="4" w:space="0" w:color="auto"/>
              <w:left w:val="single" w:sz="4" w:space="0" w:color="auto"/>
              <w:bottom w:val="single" w:sz="4" w:space="0" w:color="auto"/>
              <w:right w:val="single" w:sz="4" w:space="0" w:color="auto"/>
            </w:tcBorders>
          </w:tcPr>
          <w:p w14:paraId="21245760" w14:textId="77777777" w:rsidR="00CD45DB" w:rsidRPr="00F110C2" w:rsidRDefault="00CD45DB" w:rsidP="00254EC9">
            <w:pPr>
              <w:pStyle w:val="Tabletext"/>
              <w:jc w:val="center"/>
            </w:pPr>
            <w:r w:rsidRPr="00F110C2">
              <w:t>85 dBc</w:t>
            </w:r>
          </w:p>
        </w:tc>
      </w:tr>
      <w:tr w:rsidR="00CD45DB" w:rsidRPr="00F110C2" w14:paraId="14C9228F" w14:textId="77777777" w:rsidTr="00F91EA9">
        <w:trPr>
          <w:jc w:val="center"/>
        </w:trPr>
        <w:tc>
          <w:tcPr>
            <w:tcW w:w="2987" w:type="dxa"/>
            <w:tcBorders>
              <w:top w:val="single" w:sz="4" w:space="0" w:color="auto"/>
              <w:left w:val="single" w:sz="4" w:space="0" w:color="auto"/>
              <w:bottom w:val="single" w:sz="4" w:space="0" w:color="auto"/>
              <w:right w:val="single" w:sz="4" w:space="0" w:color="auto"/>
            </w:tcBorders>
          </w:tcPr>
          <w:p w14:paraId="3C3218C8" w14:textId="31742F53" w:rsidR="00CD45DB" w:rsidRPr="00F110C2" w:rsidRDefault="009615D1" w:rsidP="00254EC9">
            <w:pPr>
              <w:pStyle w:val="Tabletext"/>
              <w:jc w:val="center"/>
            </w:pPr>
            <w:r w:rsidRPr="00F110C2">
              <w:t>−</w:t>
            </w:r>
            <w:r w:rsidR="00CD45DB" w:rsidRPr="00F110C2">
              <w:t>89,2 </w:t>
            </w:r>
            <w:r w:rsidRPr="00F110C2">
              <w:t>−</w:t>
            </w:r>
            <w:r w:rsidR="00CD45DB" w:rsidRPr="00F110C2">
              <w:t> (</w:t>
            </w:r>
            <w:r w:rsidR="00CD45DB" w:rsidRPr="00F110C2">
              <w:rPr>
                <w:i/>
                <w:iCs/>
              </w:rPr>
              <w:t>P</w:t>
            </w:r>
            <w:r w:rsidR="00CD45DB" w:rsidRPr="00F110C2">
              <w:t> </w:t>
            </w:r>
            <w:r w:rsidRPr="00F110C2">
              <w:t>−</w:t>
            </w:r>
            <w:r w:rsidR="00CD45DB" w:rsidRPr="00F110C2">
              <w:t> 50)</w:t>
            </w:r>
          </w:p>
        </w:tc>
        <w:tc>
          <w:tcPr>
            <w:tcW w:w="2678" w:type="dxa"/>
            <w:tcBorders>
              <w:top w:val="single" w:sz="4" w:space="0" w:color="auto"/>
              <w:left w:val="single" w:sz="4" w:space="0" w:color="auto"/>
              <w:bottom w:val="single" w:sz="4" w:space="0" w:color="auto"/>
              <w:right w:val="single" w:sz="4" w:space="0" w:color="auto"/>
            </w:tcBorders>
          </w:tcPr>
          <w:p w14:paraId="68ED8459" w14:textId="77777777" w:rsidR="00CD45DB" w:rsidRPr="00F110C2" w:rsidRDefault="00CD45DB" w:rsidP="00254EC9">
            <w:pPr>
              <w:pStyle w:val="Tabletext"/>
              <w:tabs>
                <w:tab w:val="clear" w:pos="284"/>
                <w:tab w:val="clear" w:pos="851"/>
                <w:tab w:val="left" w:pos="845"/>
              </w:tabs>
            </w:pPr>
            <w:r w:rsidRPr="00F110C2">
              <w:rPr>
                <w:szCs w:val="24"/>
              </w:rPr>
              <w:tab/>
              <w:t>50 </w:t>
            </w:r>
            <w:r w:rsidRPr="00F110C2">
              <w:rPr>
                <w:rFonts w:ascii="Symbol" w:hAnsi="Symbol"/>
                <w:szCs w:val="24"/>
              </w:rPr>
              <w:t></w:t>
            </w:r>
            <w:r w:rsidRPr="00F110C2">
              <w:rPr>
                <w:szCs w:val="24"/>
              </w:rPr>
              <w:tab/>
            </w:r>
            <w:r w:rsidRPr="00F110C2">
              <w:rPr>
                <w:i/>
                <w:iCs/>
                <w:szCs w:val="24"/>
              </w:rPr>
              <w:t>P</w:t>
            </w:r>
          </w:p>
        </w:tc>
        <w:tc>
          <w:tcPr>
            <w:tcW w:w="3004" w:type="dxa"/>
            <w:tcBorders>
              <w:top w:val="single" w:sz="4" w:space="0" w:color="auto"/>
              <w:left w:val="single" w:sz="4" w:space="0" w:color="auto"/>
              <w:bottom w:val="single" w:sz="4" w:space="0" w:color="auto"/>
              <w:right w:val="single" w:sz="4" w:space="0" w:color="auto"/>
            </w:tcBorders>
          </w:tcPr>
          <w:p w14:paraId="7AFB4669" w14:textId="5C83D7B7" w:rsidR="00CD45DB" w:rsidRPr="00F110C2" w:rsidRDefault="009615D1" w:rsidP="00254EC9">
            <w:pPr>
              <w:pStyle w:val="Tabletext"/>
              <w:jc w:val="center"/>
            </w:pPr>
            <w:r w:rsidRPr="00F110C2">
              <w:t>−</w:t>
            </w:r>
            <w:r w:rsidR="00CD45DB" w:rsidRPr="00F110C2">
              <w:t>5 dBm</w:t>
            </w:r>
          </w:p>
        </w:tc>
      </w:tr>
      <w:tr w:rsidR="00CD45DB" w:rsidRPr="00F110C2" w14:paraId="34D95CFF" w14:textId="77777777" w:rsidTr="00F91EA9">
        <w:trPr>
          <w:jc w:val="center"/>
        </w:trPr>
        <w:tc>
          <w:tcPr>
            <w:tcW w:w="8669" w:type="dxa"/>
            <w:gridSpan w:val="3"/>
            <w:tcBorders>
              <w:top w:val="single" w:sz="4" w:space="0" w:color="auto"/>
              <w:left w:val="nil"/>
              <w:bottom w:val="nil"/>
              <w:right w:val="nil"/>
            </w:tcBorders>
          </w:tcPr>
          <w:p w14:paraId="033F7788" w14:textId="77777777" w:rsidR="00CD45DB" w:rsidRPr="00F110C2" w:rsidRDefault="00CD45DB" w:rsidP="00254EC9">
            <w:pPr>
              <w:pStyle w:val="Tabletext"/>
            </w:pPr>
            <w:r w:rsidRPr="00F110C2">
              <w:rPr>
                <w:vertAlign w:val="superscript"/>
              </w:rPr>
              <w:t>(1)</w:t>
            </w:r>
            <w:r w:rsidRPr="00F110C2">
              <w:tab/>
              <w:t>La valeur de point d'extrémité est assujettie à une limite supérieure de 64,2 dB.</w:t>
            </w:r>
          </w:p>
        </w:tc>
      </w:tr>
    </w:tbl>
    <w:p w14:paraId="11D16C26" w14:textId="77777777" w:rsidR="00CD45DB" w:rsidRPr="00F110C2" w:rsidRDefault="00CD45DB" w:rsidP="00254EC9">
      <w:pPr>
        <w:pStyle w:val="Tablefin"/>
        <w:rPr>
          <w:sz w:val="2"/>
        </w:rPr>
      </w:pPr>
    </w:p>
    <w:p w14:paraId="2A2E9931" w14:textId="77777777" w:rsidR="00CD45DB" w:rsidRPr="00F110C2" w:rsidRDefault="00CD45DB" w:rsidP="00254EC9">
      <w:pPr>
        <w:pStyle w:val="Tablefin"/>
      </w:pPr>
    </w:p>
    <w:p w14:paraId="58B7A6CB" w14:textId="77777777" w:rsidR="00CD45DB" w:rsidRPr="00F110C2" w:rsidRDefault="00CD45DB" w:rsidP="00254EC9">
      <w:pPr>
        <w:pStyle w:val="Heading2"/>
        <w:rPr>
          <w:bCs/>
        </w:rPr>
      </w:pPr>
      <w:r w:rsidRPr="00F110C2">
        <w:rPr>
          <w:bCs/>
        </w:rPr>
        <w:t>2.2</w:t>
      </w:r>
      <w:r w:rsidRPr="00F110C2">
        <w:rPr>
          <w:bCs/>
        </w:rPr>
        <w:tab/>
        <w:t>Systèmes de télévision numérique</w:t>
      </w:r>
    </w:p>
    <w:p w14:paraId="1886AA37" w14:textId="77777777" w:rsidR="00CD45DB" w:rsidRPr="00F110C2" w:rsidRDefault="00CD45DB" w:rsidP="00254EC9">
      <w:pPr>
        <w:pStyle w:val="Heading3"/>
      </w:pPr>
      <w:r w:rsidRPr="00F110C2">
        <w:t>2.2.1</w:t>
      </w:r>
      <w:r w:rsidRPr="00F110C2">
        <w:tab/>
        <w:t>Systèmes DVB-T à 7 MHz et à 8 MHz</w:t>
      </w:r>
    </w:p>
    <w:p w14:paraId="013CCC1D" w14:textId="77777777" w:rsidR="00CD45DB" w:rsidRPr="00F110C2" w:rsidRDefault="00CD45DB" w:rsidP="00254EC9">
      <w:r w:rsidRPr="00F110C2">
        <w:t>En ce qui concerne la télévision numérique à 7 MHz, le domaine des émissions hors bande s'étend de </w:t>
      </w:r>
      <w:r w:rsidRPr="00F110C2">
        <w:sym w:font="Symbol" w:char="F0B1"/>
      </w:r>
      <w:r w:rsidRPr="00F110C2">
        <w:t xml:space="preserve">3,5 MHz (c'est-à-dire </w:t>
      </w:r>
      <w:r w:rsidRPr="00F110C2">
        <w:sym w:font="Symbol" w:char="F0B1"/>
      </w:r>
      <w:r w:rsidRPr="00F110C2">
        <w:t>0,5 </w:t>
      </w:r>
      <w:r w:rsidRPr="00F110C2">
        <w:sym w:font="Symbol" w:char="F0B4"/>
      </w:r>
      <w:r w:rsidRPr="00F110C2">
        <w:t xml:space="preserve"> 7 MHz) à </w:t>
      </w:r>
      <w:r w:rsidRPr="00F110C2">
        <w:sym w:font="Symbol" w:char="F0B1"/>
      </w:r>
      <w:r w:rsidRPr="00F110C2">
        <w:t xml:space="preserve">17,5 MHz (c'est-à-dire </w:t>
      </w:r>
      <w:r w:rsidRPr="00F110C2">
        <w:sym w:font="Symbol" w:char="F0B1"/>
      </w:r>
      <w:r w:rsidRPr="00F110C2">
        <w:t>2,5 </w:t>
      </w:r>
      <w:r w:rsidRPr="00F110C2">
        <w:sym w:font="Symbol" w:char="F0B4"/>
      </w:r>
      <w:r w:rsidRPr="00F110C2">
        <w:t> 7 MHz).</w:t>
      </w:r>
    </w:p>
    <w:p w14:paraId="146F16A1" w14:textId="77777777" w:rsidR="00CD45DB" w:rsidRPr="00F110C2" w:rsidRDefault="00CD45DB" w:rsidP="00254EC9">
      <w:r w:rsidRPr="00F110C2">
        <w:t>En ce qui concerne la télévision numérique à 8 MHz, le domaine des émissions hors bande s'étend de </w:t>
      </w:r>
      <w:r w:rsidRPr="00F110C2">
        <w:sym w:font="Symbol" w:char="F0B1"/>
      </w:r>
      <w:r w:rsidRPr="00F110C2">
        <w:t xml:space="preserve">4 MHz (c'est-à-dire </w:t>
      </w:r>
      <w:r w:rsidRPr="00F110C2">
        <w:sym w:font="Symbol" w:char="F0B1"/>
      </w:r>
      <w:r w:rsidRPr="00F110C2">
        <w:t>0,5 </w:t>
      </w:r>
      <w:r w:rsidRPr="00F110C2">
        <w:sym w:font="Symbol" w:char="F0B4"/>
      </w:r>
      <w:r w:rsidRPr="00F110C2">
        <w:t xml:space="preserve"> 8 MHz) à </w:t>
      </w:r>
      <w:r w:rsidRPr="00F110C2">
        <w:sym w:font="Symbol" w:char="F0B1"/>
      </w:r>
      <w:r w:rsidRPr="00F110C2">
        <w:t xml:space="preserve">20 MHz (c'est-à-dire </w:t>
      </w:r>
      <w:r w:rsidRPr="00F110C2">
        <w:sym w:font="Symbol" w:char="F0B1"/>
      </w:r>
      <w:r w:rsidRPr="00F110C2">
        <w:t>2,5 </w:t>
      </w:r>
      <w:r w:rsidRPr="00F110C2">
        <w:sym w:font="Symbol" w:char="F0B4"/>
      </w:r>
      <w:r w:rsidRPr="00F110C2">
        <w:t> 8 MHz).</w:t>
      </w:r>
    </w:p>
    <w:p w14:paraId="04C3EAC5" w14:textId="77777777" w:rsidR="00CD45DB" w:rsidRPr="00F110C2" w:rsidRDefault="00CD45DB" w:rsidP="00254EC9">
      <w:r w:rsidRPr="00F110C2">
        <w:lastRenderedPageBreak/>
        <w:t>Pour la télévision numérique à 7 MHz comme pour celle à 8 MHz, on utilise une largeur de bande de mesure de 4 kHz pour mesurer les niveaux de rayonnement non désirés. Le niveau de référence 0 dB correspond à la puissance moyenne de sortie mesurée dans la largeur de bande du canal.</w:t>
      </w:r>
    </w:p>
    <w:p w14:paraId="6B124318" w14:textId="0D211739" w:rsidR="00CD45DB" w:rsidRPr="00F110C2" w:rsidRDefault="00CD45DB" w:rsidP="00254EC9">
      <w:r w:rsidRPr="00F110C2">
        <w:t>Les gabarits pour les systèmes DVB</w:t>
      </w:r>
      <w:r w:rsidRPr="00F110C2">
        <w:noBreakHyphen/>
        <w:t>T à 7 MHz et ceux à 8 MHz sont représentés sur les Figs 23 et 24 respectivement. Chaque graphe représente les limites spectrales applicables à un émetteur dont la puissance de sortie est comprise entre 39 dBW et 50 dBW. À chaque graphe sont associés un tableau des points de rupture et un tableau des valeurs des points d'extrémité et des points les plus proches des points d'extrémité, conjointement avec les niveaux correspondants des rayonnements non essentiels, pour une plage de puissances de sortie d'émetteur.</w:t>
      </w:r>
    </w:p>
    <w:p w14:paraId="36A4E8C4" w14:textId="77777777" w:rsidR="00CD45DB" w:rsidRPr="00F110C2" w:rsidRDefault="00CD45DB" w:rsidP="00254EC9">
      <w:pPr>
        <w:pStyle w:val="FigureNo"/>
      </w:pPr>
      <w:r w:rsidRPr="00F110C2">
        <w:t>FIGURE 23</w:t>
      </w:r>
    </w:p>
    <w:p w14:paraId="6F827ECB" w14:textId="77777777" w:rsidR="00CD45DB" w:rsidRPr="00F110C2" w:rsidRDefault="00CD45DB" w:rsidP="00254EC9">
      <w:pPr>
        <w:pStyle w:val="Figuretitle"/>
      </w:pPr>
      <w:r w:rsidRPr="00F110C2">
        <w:t xml:space="preserve">Gabarit de limite spectrale pour les systèmes DVB-T à 7 MHz (pour </w:t>
      </w:r>
      <w:r w:rsidRPr="00F110C2">
        <w:rPr>
          <w:i/>
          <w:iCs/>
        </w:rPr>
        <w:t>P</w:t>
      </w:r>
      <w:r w:rsidRPr="00F110C2">
        <w:t xml:space="preserve"> = 39 à 50 dBW)</w:t>
      </w:r>
    </w:p>
    <w:p w14:paraId="7C47188B" w14:textId="77777777" w:rsidR="00CD45DB" w:rsidRPr="00F110C2" w:rsidRDefault="00CD45DB" w:rsidP="00254EC9">
      <w:pPr>
        <w:pStyle w:val="Figure"/>
      </w:pPr>
      <w:r w:rsidRPr="00F110C2">
        <w:drawing>
          <wp:inline distT="0" distB="0" distL="0" distR="0" wp14:anchorId="560B9516" wp14:editId="15633FA4">
            <wp:extent cx="5848350" cy="4715510"/>
            <wp:effectExtent l="0" t="0" r="0" b="8890"/>
            <wp:docPr id="1175173697" name="Picture 6" descr="A graph of a graph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73697" name="Picture 6" descr="A graph of a graph with lines&#10;&#10;AI-generated content may be incorrect."/>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48350" cy="4715510"/>
                    </a:xfrm>
                    <a:prstGeom prst="rect">
                      <a:avLst/>
                    </a:prstGeom>
                    <a:noFill/>
                    <a:ln>
                      <a:noFill/>
                    </a:ln>
                  </pic:spPr>
                </pic:pic>
              </a:graphicData>
            </a:graphic>
          </wp:inline>
        </w:drawing>
      </w:r>
    </w:p>
    <w:p w14:paraId="4E8594CA" w14:textId="77777777" w:rsidR="00CD45DB" w:rsidRPr="00F110C2" w:rsidRDefault="00CD45DB" w:rsidP="00254EC9">
      <w:pPr>
        <w:pStyle w:val="Normalaftertitle"/>
      </w:pPr>
      <w:r w:rsidRPr="00F110C2">
        <w:t>Le Tableau 15 donne les points de rupture correspondant à la Fig. 23, pour les systèmes DVB</w:t>
      </w:r>
      <w:r w:rsidRPr="00F110C2">
        <w:noBreakHyphen/>
        <w:t>T à 7 MHz.</w:t>
      </w:r>
    </w:p>
    <w:p w14:paraId="13D4B87B" w14:textId="77777777" w:rsidR="00CD45DB" w:rsidRPr="00F110C2" w:rsidRDefault="00CD45DB" w:rsidP="00254EC9">
      <w:pPr>
        <w:pStyle w:val="TableNo"/>
        <w:keepLines/>
      </w:pPr>
      <w:r w:rsidRPr="00F110C2">
        <w:lastRenderedPageBreak/>
        <w:t>TABLEAU 15</w:t>
      </w:r>
    </w:p>
    <w:p w14:paraId="62B61309" w14:textId="77777777" w:rsidR="00CD45DB" w:rsidRPr="00F110C2" w:rsidRDefault="00CD45DB" w:rsidP="00254EC9">
      <w:pPr>
        <w:pStyle w:val="Tabletitle"/>
        <w:keepLines/>
      </w:pPr>
      <w:r w:rsidRPr="00F110C2">
        <w:t>Points de rupture pour les systèmes DVB</w:t>
      </w:r>
      <w:r w:rsidRPr="00F110C2">
        <w:noBreakHyphen/>
        <w:t>T à 7 MHz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1"/>
        <w:gridCol w:w="4823"/>
      </w:tblGrid>
      <w:tr w:rsidR="00CD45DB" w:rsidRPr="00F110C2" w14:paraId="51EE29CB" w14:textId="77777777" w:rsidTr="009615D1">
        <w:trPr>
          <w:jc w:val="center"/>
        </w:trPr>
        <w:tc>
          <w:tcPr>
            <w:tcW w:w="4821" w:type="dxa"/>
            <w:vAlign w:val="center"/>
          </w:tcPr>
          <w:p w14:paraId="7E051DA0" w14:textId="77777777" w:rsidR="00CD45DB" w:rsidRPr="00F110C2" w:rsidRDefault="00CD45DB" w:rsidP="00254EC9">
            <w:pPr>
              <w:pStyle w:val="Tablehead"/>
              <w:keepLines/>
            </w:pPr>
            <w:r w:rsidRPr="00F110C2">
              <w:t xml:space="preserve">Fréquence par rapport au centre </w:t>
            </w:r>
            <w:r w:rsidRPr="00F110C2">
              <w:br/>
              <w:t>du canal de 7 MHz</w:t>
            </w:r>
          </w:p>
        </w:tc>
        <w:tc>
          <w:tcPr>
            <w:tcW w:w="4823" w:type="dxa"/>
            <w:vAlign w:val="center"/>
          </w:tcPr>
          <w:p w14:paraId="254E8FC4" w14:textId="27BD2D08" w:rsidR="00CD45DB" w:rsidRPr="00F110C2" w:rsidRDefault="00CD45DB" w:rsidP="00254EC9">
            <w:pPr>
              <w:pStyle w:val="Tablehead"/>
              <w:keepLines/>
            </w:pPr>
            <w:r w:rsidRPr="00F110C2">
              <w:t>Niveau relatif dans une largeur</w:t>
            </w:r>
            <w:r w:rsidRPr="00F110C2">
              <w:br/>
              <w:t>de bande de mesure de 4 kHz</w:t>
            </w:r>
            <w:r w:rsidR="00F91EA9" w:rsidRPr="00F110C2">
              <w:t xml:space="preserve"> </w:t>
            </w:r>
            <w:r w:rsidRPr="00F110C2">
              <w:t>(dB)</w:t>
            </w:r>
          </w:p>
        </w:tc>
      </w:tr>
      <w:tr w:rsidR="00CD45DB" w:rsidRPr="00F110C2" w14:paraId="705C49BB" w14:textId="77777777" w:rsidTr="009615D1">
        <w:trPr>
          <w:jc w:val="center"/>
        </w:trPr>
        <w:tc>
          <w:tcPr>
            <w:tcW w:w="4821" w:type="dxa"/>
          </w:tcPr>
          <w:p w14:paraId="38C6378C" w14:textId="594E4B11" w:rsidR="00CD45DB" w:rsidRPr="00F110C2" w:rsidRDefault="009615D1" w:rsidP="00254EC9">
            <w:pPr>
              <w:pStyle w:val="Tabletext"/>
              <w:keepNext/>
              <w:keepLines/>
              <w:jc w:val="center"/>
            </w:pPr>
            <w:r w:rsidRPr="00F110C2">
              <w:t>−</w:t>
            </w:r>
            <w:r w:rsidR="00CD45DB" w:rsidRPr="00F110C2">
              <w:t>17,5</w:t>
            </w:r>
          </w:p>
        </w:tc>
        <w:tc>
          <w:tcPr>
            <w:tcW w:w="4823" w:type="dxa"/>
          </w:tcPr>
          <w:p w14:paraId="274DD7CB" w14:textId="1B422960" w:rsidR="00CD45DB" w:rsidRPr="00F110C2" w:rsidRDefault="009615D1" w:rsidP="00254EC9">
            <w:pPr>
              <w:pStyle w:val="Tabletext"/>
              <w:keepNext/>
              <w:keepLines/>
              <w:jc w:val="center"/>
            </w:pPr>
            <w:r w:rsidRPr="00F110C2">
              <w:t>−</w:t>
            </w:r>
            <w:r w:rsidR="00CD45DB" w:rsidRPr="00F110C2">
              <w:t>99</w:t>
            </w:r>
          </w:p>
        </w:tc>
      </w:tr>
      <w:tr w:rsidR="00CD45DB" w:rsidRPr="00F110C2" w14:paraId="6929A08E" w14:textId="77777777" w:rsidTr="009615D1">
        <w:trPr>
          <w:jc w:val="center"/>
        </w:trPr>
        <w:tc>
          <w:tcPr>
            <w:tcW w:w="4821" w:type="dxa"/>
          </w:tcPr>
          <w:p w14:paraId="1F85739C" w14:textId="51CB0214" w:rsidR="00CD45DB" w:rsidRPr="00F110C2" w:rsidRDefault="009615D1" w:rsidP="00254EC9">
            <w:pPr>
              <w:pStyle w:val="Tabletext"/>
              <w:keepNext/>
              <w:keepLines/>
              <w:jc w:val="center"/>
            </w:pPr>
            <w:r w:rsidRPr="00F110C2">
              <w:t>−</w:t>
            </w:r>
            <w:r w:rsidR="00CD45DB" w:rsidRPr="00F110C2">
              <w:t>10,5</w:t>
            </w:r>
          </w:p>
        </w:tc>
        <w:tc>
          <w:tcPr>
            <w:tcW w:w="4823" w:type="dxa"/>
          </w:tcPr>
          <w:p w14:paraId="5DB0F812" w14:textId="62C18F24" w:rsidR="00CD45DB" w:rsidRPr="00F110C2" w:rsidRDefault="009615D1" w:rsidP="00254EC9">
            <w:pPr>
              <w:pStyle w:val="Tabletext"/>
              <w:keepNext/>
              <w:keepLines/>
              <w:jc w:val="center"/>
            </w:pPr>
            <w:r w:rsidRPr="00F110C2">
              <w:t>−</w:t>
            </w:r>
            <w:r w:rsidR="00CD45DB" w:rsidRPr="00F110C2">
              <w:t>91</w:t>
            </w:r>
          </w:p>
        </w:tc>
      </w:tr>
      <w:tr w:rsidR="00CD45DB" w:rsidRPr="00F110C2" w14:paraId="4C283F4E" w14:textId="77777777" w:rsidTr="009615D1">
        <w:trPr>
          <w:jc w:val="center"/>
        </w:trPr>
        <w:tc>
          <w:tcPr>
            <w:tcW w:w="4821" w:type="dxa"/>
          </w:tcPr>
          <w:p w14:paraId="7D015581" w14:textId="4917C474" w:rsidR="00CD45DB" w:rsidRPr="00F110C2" w:rsidRDefault="009615D1" w:rsidP="00254EC9">
            <w:pPr>
              <w:pStyle w:val="Tabletext"/>
              <w:jc w:val="center"/>
            </w:pPr>
            <w:r w:rsidRPr="00F110C2">
              <w:t>−</w:t>
            </w:r>
            <w:r w:rsidR="00CD45DB" w:rsidRPr="00F110C2">
              <w:t>3,7</w:t>
            </w:r>
          </w:p>
        </w:tc>
        <w:tc>
          <w:tcPr>
            <w:tcW w:w="4823" w:type="dxa"/>
          </w:tcPr>
          <w:p w14:paraId="373A219C" w14:textId="1F7A68C5" w:rsidR="00CD45DB" w:rsidRPr="00F110C2" w:rsidRDefault="009615D1" w:rsidP="00254EC9">
            <w:pPr>
              <w:pStyle w:val="Tabletext"/>
              <w:jc w:val="center"/>
            </w:pPr>
            <w:r w:rsidRPr="00F110C2">
              <w:t>−</w:t>
            </w:r>
            <w:r w:rsidR="00CD45DB" w:rsidRPr="00F110C2">
              <w:t>67,2</w:t>
            </w:r>
          </w:p>
        </w:tc>
      </w:tr>
      <w:tr w:rsidR="00CD45DB" w:rsidRPr="00F110C2" w14:paraId="7A4E3E3E" w14:textId="77777777" w:rsidTr="009615D1">
        <w:trPr>
          <w:jc w:val="center"/>
        </w:trPr>
        <w:tc>
          <w:tcPr>
            <w:tcW w:w="4821" w:type="dxa"/>
          </w:tcPr>
          <w:p w14:paraId="3F1160D0" w14:textId="6C994AD6" w:rsidR="00CD45DB" w:rsidRPr="00F110C2" w:rsidRDefault="009615D1" w:rsidP="00254EC9">
            <w:pPr>
              <w:pStyle w:val="Tabletext"/>
              <w:jc w:val="center"/>
            </w:pPr>
            <w:r w:rsidRPr="00F110C2">
              <w:t>−</w:t>
            </w:r>
            <w:r w:rsidR="00CD45DB" w:rsidRPr="00F110C2">
              <w:t>3,35</w:t>
            </w:r>
          </w:p>
        </w:tc>
        <w:tc>
          <w:tcPr>
            <w:tcW w:w="4823" w:type="dxa"/>
          </w:tcPr>
          <w:p w14:paraId="18BBDE5C" w14:textId="5010A84D" w:rsidR="00CD45DB" w:rsidRPr="00F110C2" w:rsidRDefault="009615D1" w:rsidP="00254EC9">
            <w:pPr>
              <w:pStyle w:val="Tabletext"/>
              <w:jc w:val="center"/>
            </w:pPr>
            <w:r w:rsidRPr="00F110C2">
              <w:t>−</w:t>
            </w:r>
            <w:r w:rsidR="00CD45DB" w:rsidRPr="00F110C2">
              <w:t>32,2</w:t>
            </w:r>
          </w:p>
        </w:tc>
      </w:tr>
      <w:tr w:rsidR="00CD45DB" w:rsidRPr="00F110C2" w14:paraId="045AD3FA" w14:textId="77777777" w:rsidTr="009615D1">
        <w:trPr>
          <w:jc w:val="center"/>
        </w:trPr>
        <w:tc>
          <w:tcPr>
            <w:tcW w:w="4821" w:type="dxa"/>
          </w:tcPr>
          <w:p w14:paraId="26B6D406" w14:textId="7EBB46D8" w:rsidR="00CD45DB" w:rsidRPr="00F110C2" w:rsidRDefault="00CD45DB" w:rsidP="00254EC9">
            <w:pPr>
              <w:pStyle w:val="Tabletext"/>
              <w:jc w:val="center"/>
            </w:pPr>
            <w:r w:rsidRPr="00F110C2">
              <w:t>3,35</w:t>
            </w:r>
          </w:p>
        </w:tc>
        <w:tc>
          <w:tcPr>
            <w:tcW w:w="4823" w:type="dxa"/>
          </w:tcPr>
          <w:p w14:paraId="4EF0BBA0" w14:textId="11E746F9" w:rsidR="00CD45DB" w:rsidRPr="00F110C2" w:rsidRDefault="009615D1" w:rsidP="00254EC9">
            <w:pPr>
              <w:pStyle w:val="Tabletext"/>
              <w:jc w:val="center"/>
            </w:pPr>
            <w:r w:rsidRPr="00F110C2">
              <w:t>−</w:t>
            </w:r>
            <w:r w:rsidR="00CD45DB" w:rsidRPr="00F110C2">
              <w:t>32,2</w:t>
            </w:r>
          </w:p>
        </w:tc>
      </w:tr>
      <w:tr w:rsidR="00CD45DB" w:rsidRPr="00F110C2" w14:paraId="06842075" w14:textId="77777777" w:rsidTr="009615D1">
        <w:trPr>
          <w:jc w:val="center"/>
        </w:trPr>
        <w:tc>
          <w:tcPr>
            <w:tcW w:w="4821" w:type="dxa"/>
          </w:tcPr>
          <w:p w14:paraId="2B82D20C" w14:textId="77777777" w:rsidR="00CD45DB" w:rsidRPr="00F110C2" w:rsidRDefault="00CD45DB" w:rsidP="00254EC9">
            <w:pPr>
              <w:pStyle w:val="Tabletext"/>
              <w:jc w:val="center"/>
            </w:pPr>
            <w:r w:rsidRPr="00F110C2">
              <w:t>3,7</w:t>
            </w:r>
          </w:p>
        </w:tc>
        <w:tc>
          <w:tcPr>
            <w:tcW w:w="4823" w:type="dxa"/>
          </w:tcPr>
          <w:p w14:paraId="54C0E0FD" w14:textId="6F84D5D5" w:rsidR="00CD45DB" w:rsidRPr="00F110C2" w:rsidRDefault="009615D1" w:rsidP="00254EC9">
            <w:pPr>
              <w:pStyle w:val="Tabletext"/>
              <w:jc w:val="center"/>
            </w:pPr>
            <w:r w:rsidRPr="00F110C2">
              <w:t>−</w:t>
            </w:r>
            <w:r w:rsidR="00CD45DB" w:rsidRPr="00F110C2">
              <w:t>67,2</w:t>
            </w:r>
          </w:p>
        </w:tc>
      </w:tr>
      <w:tr w:rsidR="00CD45DB" w:rsidRPr="00F110C2" w14:paraId="18D2256E" w14:textId="77777777" w:rsidTr="009615D1">
        <w:trPr>
          <w:jc w:val="center"/>
        </w:trPr>
        <w:tc>
          <w:tcPr>
            <w:tcW w:w="4821" w:type="dxa"/>
          </w:tcPr>
          <w:p w14:paraId="15DDD41D" w14:textId="77777777" w:rsidR="00CD45DB" w:rsidRPr="00F110C2" w:rsidRDefault="00CD45DB" w:rsidP="00254EC9">
            <w:pPr>
              <w:pStyle w:val="Tabletext"/>
              <w:jc w:val="center"/>
            </w:pPr>
            <w:r w:rsidRPr="00F110C2">
              <w:t>10,5</w:t>
            </w:r>
          </w:p>
        </w:tc>
        <w:tc>
          <w:tcPr>
            <w:tcW w:w="4823" w:type="dxa"/>
          </w:tcPr>
          <w:p w14:paraId="7A1F2B6E" w14:textId="2C98B348" w:rsidR="00CD45DB" w:rsidRPr="00F110C2" w:rsidRDefault="009615D1" w:rsidP="00254EC9">
            <w:pPr>
              <w:pStyle w:val="Tabletext"/>
              <w:jc w:val="center"/>
            </w:pPr>
            <w:r w:rsidRPr="00F110C2">
              <w:t>−</w:t>
            </w:r>
            <w:r w:rsidR="00CD45DB" w:rsidRPr="00F110C2">
              <w:t>91</w:t>
            </w:r>
          </w:p>
        </w:tc>
      </w:tr>
      <w:tr w:rsidR="00CD45DB" w:rsidRPr="00F110C2" w14:paraId="16F57F34" w14:textId="77777777" w:rsidTr="009615D1">
        <w:trPr>
          <w:jc w:val="center"/>
        </w:trPr>
        <w:tc>
          <w:tcPr>
            <w:tcW w:w="4821" w:type="dxa"/>
          </w:tcPr>
          <w:p w14:paraId="50F2BA36" w14:textId="77777777" w:rsidR="00CD45DB" w:rsidRPr="00F110C2" w:rsidRDefault="00CD45DB" w:rsidP="00254EC9">
            <w:pPr>
              <w:pStyle w:val="Tabletext"/>
              <w:jc w:val="center"/>
            </w:pPr>
            <w:r w:rsidRPr="00F110C2">
              <w:t>17,5</w:t>
            </w:r>
          </w:p>
        </w:tc>
        <w:tc>
          <w:tcPr>
            <w:tcW w:w="4823" w:type="dxa"/>
          </w:tcPr>
          <w:p w14:paraId="0ADE8DE0" w14:textId="3D74DEF2" w:rsidR="00CD45DB" w:rsidRPr="00F110C2" w:rsidRDefault="009615D1" w:rsidP="00254EC9">
            <w:pPr>
              <w:pStyle w:val="Tabletext"/>
              <w:jc w:val="center"/>
            </w:pPr>
            <w:r w:rsidRPr="00F110C2">
              <w:t>−</w:t>
            </w:r>
            <w:r w:rsidR="00CD45DB" w:rsidRPr="00F110C2">
              <w:t>99</w:t>
            </w:r>
          </w:p>
        </w:tc>
      </w:tr>
    </w:tbl>
    <w:p w14:paraId="631DA38A" w14:textId="77777777" w:rsidR="00CD45DB" w:rsidRPr="00F110C2" w:rsidRDefault="00CD45DB" w:rsidP="00254EC9">
      <w:pPr>
        <w:pStyle w:val="Tablefin"/>
      </w:pPr>
    </w:p>
    <w:p w14:paraId="0317C113" w14:textId="77777777" w:rsidR="00CD45DB" w:rsidRPr="00F110C2" w:rsidRDefault="00CD45DB" w:rsidP="00254EC9">
      <w:r w:rsidRPr="00F110C2">
        <w:t>Le Tableau 16 donne les valeurs des points d'extrémité et les valeurs des points les plus proches des points d'extrémité à utiliser conjointement avec la Fig. 23 et le Tableau 15, applicables à une plage de puissances de sortie d'émetteur, pour les systèmes DVB</w:t>
      </w:r>
      <w:r w:rsidRPr="00F110C2">
        <w:noBreakHyphen/>
        <w:t>T à 7 MHz.</w:t>
      </w:r>
    </w:p>
    <w:p w14:paraId="4156A482" w14:textId="77777777" w:rsidR="00CD45DB" w:rsidRPr="00F110C2" w:rsidRDefault="00CD45DB" w:rsidP="00254EC9">
      <w:pPr>
        <w:pStyle w:val="TableNo"/>
      </w:pPr>
      <w:r w:rsidRPr="00F110C2">
        <w:t>TABLEAU 16</w:t>
      </w:r>
    </w:p>
    <w:p w14:paraId="33F1E852" w14:textId="77777777" w:rsidR="00CD45DB" w:rsidRPr="00F110C2" w:rsidRDefault="00CD45DB" w:rsidP="00254EC9">
      <w:pPr>
        <w:pStyle w:val="Tabletitle"/>
      </w:pPr>
      <w:r w:rsidRPr="00F110C2">
        <w:t>Valeurs des points d'extrémité et valeurs des points les plus proches</w:t>
      </w:r>
      <w:r w:rsidRPr="00F110C2">
        <w:br/>
        <w:t>des points d'extrémité pour les systèmes DVB</w:t>
      </w:r>
      <w:r w:rsidRPr="00F110C2">
        <w:noBreakHyphen/>
        <w:t>T à 7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2812"/>
        <w:gridCol w:w="3614"/>
      </w:tblGrid>
      <w:tr w:rsidR="00CD45DB" w:rsidRPr="00F110C2" w14:paraId="52753123" w14:textId="77777777" w:rsidTr="003C1C18">
        <w:trPr>
          <w:jc w:val="center"/>
        </w:trPr>
        <w:tc>
          <w:tcPr>
            <w:tcW w:w="3024" w:type="dxa"/>
            <w:tcBorders>
              <w:top w:val="single" w:sz="6" w:space="0" w:color="auto"/>
              <w:left w:val="single" w:sz="6" w:space="0" w:color="auto"/>
              <w:bottom w:val="single" w:sz="6" w:space="0" w:color="auto"/>
              <w:right w:val="single" w:sz="6" w:space="0" w:color="auto"/>
            </w:tcBorders>
            <w:vAlign w:val="center"/>
          </w:tcPr>
          <w:p w14:paraId="626A5B24" w14:textId="5D10EB8C" w:rsidR="00CD45DB" w:rsidRPr="00F110C2" w:rsidRDefault="00CD45DB" w:rsidP="00254EC9">
            <w:pPr>
              <w:pStyle w:val="Tablehead"/>
            </w:pPr>
            <w:r w:rsidRPr="00F110C2">
              <w:t>Valeur de point d'extrémité</w:t>
            </w:r>
            <w:r w:rsidRPr="00F110C2">
              <w:rPr>
                <w:vertAlign w:val="superscript"/>
              </w:rPr>
              <w:t>(1)</w:t>
            </w:r>
            <w:r w:rsidRPr="00F110C2">
              <w:t xml:space="preserve"> (largeur de bande de </w:t>
            </w:r>
            <w:r w:rsidR="003C1C18" w:rsidRPr="00F110C2">
              <w:br/>
            </w:r>
            <w:r w:rsidRPr="00F110C2">
              <w:t>mesure de 4 kHz)</w:t>
            </w:r>
            <w:r w:rsidR="003C1C18" w:rsidRPr="00F110C2">
              <w:t xml:space="preserve"> </w:t>
            </w:r>
            <w:r w:rsidRPr="00F110C2">
              <w:t>(dB)</w:t>
            </w:r>
          </w:p>
        </w:tc>
        <w:tc>
          <w:tcPr>
            <w:tcW w:w="2647" w:type="dxa"/>
            <w:tcBorders>
              <w:top w:val="single" w:sz="6" w:space="0" w:color="auto"/>
              <w:left w:val="single" w:sz="6" w:space="0" w:color="auto"/>
              <w:bottom w:val="single" w:sz="6" w:space="0" w:color="auto"/>
              <w:right w:val="single" w:sz="6" w:space="0" w:color="auto"/>
            </w:tcBorders>
            <w:vAlign w:val="center"/>
          </w:tcPr>
          <w:p w14:paraId="25376D9D" w14:textId="77777777" w:rsidR="00CD45DB" w:rsidRPr="00F110C2" w:rsidRDefault="00CD45DB" w:rsidP="00254EC9">
            <w:pPr>
              <w:pStyle w:val="Tablehead"/>
            </w:pPr>
            <w:r w:rsidRPr="00F110C2">
              <w:t>Plage de puissances</w:t>
            </w:r>
            <w:r w:rsidRPr="00F110C2">
              <w:br/>
              <w:t>(dBW)</w:t>
            </w:r>
          </w:p>
        </w:tc>
        <w:tc>
          <w:tcPr>
            <w:tcW w:w="3401" w:type="dxa"/>
            <w:tcBorders>
              <w:top w:val="single" w:sz="6" w:space="0" w:color="auto"/>
              <w:left w:val="single" w:sz="6" w:space="0" w:color="auto"/>
              <w:bottom w:val="single" w:sz="6" w:space="0" w:color="auto"/>
              <w:right w:val="single" w:sz="6" w:space="0" w:color="auto"/>
            </w:tcBorders>
            <w:vAlign w:val="center"/>
          </w:tcPr>
          <w:p w14:paraId="5A74EB56" w14:textId="77777777" w:rsidR="00CD45DB" w:rsidRPr="00F110C2" w:rsidRDefault="00CD45DB" w:rsidP="00254EC9">
            <w:pPr>
              <w:pStyle w:val="Tablehead"/>
            </w:pPr>
            <w:r w:rsidRPr="00F110C2">
              <w:t>Niveau correspondant des rayonnements non essentiels (largeur de bande de mesure de 100 kHz)</w:t>
            </w:r>
          </w:p>
        </w:tc>
      </w:tr>
      <w:tr w:rsidR="00CD45DB" w:rsidRPr="00F110C2" w14:paraId="5BEED558" w14:textId="77777777" w:rsidTr="003C1C18">
        <w:trPr>
          <w:jc w:val="center"/>
        </w:trPr>
        <w:tc>
          <w:tcPr>
            <w:tcW w:w="3024" w:type="dxa"/>
            <w:tcBorders>
              <w:top w:val="single" w:sz="6" w:space="0" w:color="auto"/>
              <w:left w:val="single" w:sz="6" w:space="0" w:color="auto"/>
              <w:bottom w:val="single" w:sz="6" w:space="0" w:color="auto"/>
              <w:right w:val="single" w:sz="6" w:space="0" w:color="auto"/>
            </w:tcBorders>
          </w:tcPr>
          <w:p w14:paraId="74EADEF5" w14:textId="33CDA66B" w:rsidR="00CD45DB" w:rsidRPr="00F110C2" w:rsidRDefault="009615D1" w:rsidP="00254EC9">
            <w:pPr>
              <w:pStyle w:val="Tabletext"/>
              <w:jc w:val="center"/>
            </w:pPr>
            <w:r w:rsidRPr="00F110C2">
              <w:t>−</w:t>
            </w:r>
            <w:r w:rsidR="00CD45DB" w:rsidRPr="00F110C2">
              <w:t>89 </w:t>
            </w:r>
            <w:r w:rsidRPr="00F110C2">
              <w:t>−</w:t>
            </w:r>
            <w:r w:rsidR="00CD45DB" w:rsidRPr="00F110C2">
              <w:t> (</w:t>
            </w:r>
            <w:r w:rsidR="00CD45DB" w:rsidRPr="00F110C2">
              <w:rPr>
                <w:i/>
                <w:iCs/>
              </w:rPr>
              <w:t>P</w:t>
            </w:r>
            <w:r w:rsidR="00CD45DB" w:rsidRPr="00F110C2">
              <w:t> </w:t>
            </w:r>
            <w:r w:rsidRPr="00F110C2">
              <w:t>−</w:t>
            </w:r>
            <w:r w:rsidR="00CD45DB" w:rsidRPr="00F110C2">
              <w:t> 9)</w:t>
            </w:r>
          </w:p>
        </w:tc>
        <w:tc>
          <w:tcPr>
            <w:tcW w:w="2647" w:type="dxa"/>
            <w:tcBorders>
              <w:top w:val="single" w:sz="6" w:space="0" w:color="auto"/>
              <w:left w:val="single" w:sz="6" w:space="0" w:color="auto"/>
              <w:bottom w:val="single" w:sz="6" w:space="0" w:color="auto"/>
              <w:right w:val="single" w:sz="6" w:space="0" w:color="auto"/>
            </w:tcBorders>
          </w:tcPr>
          <w:p w14:paraId="717855A3" w14:textId="77777777" w:rsidR="00CD45DB" w:rsidRPr="00F110C2" w:rsidRDefault="00CD45DB" w:rsidP="00254EC9">
            <w:pPr>
              <w:pStyle w:val="Tabletext"/>
            </w:pPr>
            <w:r w:rsidRPr="00F110C2">
              <w:rPr>
                <w:i/>
                <w:iCs/>
                <w:szCs w:val="24"/>
              </w:rPr>
              <w:tab/>
            </w:r>
            <w:r w:rsidRPr="00F110C2">
              <w:rPr>
                <w:i/>
                <w:iCs/>
                <w:szCs w:val="24"/>
              </w:rPr>
              <w:tab/>
            </w:r>
            <w:r w:rsidRPr="00F110C2">
              <w:rPr>
                <w:i/>
                <w:iCs/>
                <w:szCs w:val="24"/>
              </w:rPr>
              <w:tab/>
            </w:r>
            <w:r w:rsidRPr="00F110C2">
              <w:rPr>
                <w:i/>
                <w:iCs/>
                <w:szCs w:val="24"/>
              </w:rPr>
              <w:tab/>
              <w:t>P</w:t>
            </w:r>
            <w:r w:rsidRPr="00F110C2">
              <w:rPr>
                <w:szCs w:val="24"/>
              </w:rPr>
              <w:t> </w:t>
            </w:r>
            <w:r w:rsidRPr="00F110C2">
              <w:rPr>
                <w:rFonts w:ascii="Symbol" w:hAnsi="Symbol"/>
              </w:rPr>
              <w:sym w:font="Symbol" w:char="F0A3"/>
            </w:r>
            <w:r w:rsidRPr="00F110C2">
              <w:rPr>
                <w:szCs w:val="24"/>
              </w:rPr>
              <w:t> 9</w:t>
            </w:r>
          </w:p>
        </w:tc>
        <w:tc>
          <w:tcPr>
            <w:tcW w:w="3401" w:type="dxa"/>
            <w:tcBorders>
              <w:top w:val="single" w:sz="6" w:space="0" w:color="auto"/>
              <w:left w:val="single" w:sz="6" w:space="0" w:color="auto"/>
              <w:bottom w:val="single" w:sz="6" w:space="0" w:color="auto"/>
              <w:right w:val="single" w:sz="6" w:space="0" w:color="auto"/>
            </w:tcBorders>
          </w:tcPr>
          <w:p w14:paraId="307A3924" w14:textId="1806A9FE" w:rsidR="00CD45DB" w:rsidRPr="00F110C2" w:rsidRDefault="009615D1" w:rsidP="00254EC9">
            <w:pPr>
              <w:pStyle w:val="Tabletext"/>
              <w:jc w:val="center"/>
            </w:pPr>
            <w:r w:rsidRPr="00F110C2">
              <w:t>−</w:t>
            </w:r>
            <w:r w:rsidR="00CD45DB" w:rsidRPr="00F110C2">
              <w:t>36 dBm</w:t>
            </w:r>
          </w:p>
        </w:tc>
      </w:tr>
      <w:tr w:rsidR="00CD45DB" w:rsidRPr="00F110C2" w14:paraId="3D189FE0" w14:textId="77777777" w:rsidTr="003C1C18">
        <w:trPr>
          <w:jc w:val="center"/>
        </w:trPr>
        <w:tc>
          <w:tcPr>
            <w:tcW w:w="3024" w:type="dxa"/>
            <w:tcBorders>
              <w:top w:val="single" w:sz="6" w:space="0" w:color="auto"/>
              <w:left w:val="single" w:sz="6" w:space="0" w:color="auto"/>
              <w:bottom w:val="single" w:sz="6" w:space="0" w:color="auto"/>
              <w:right w:val="single" w:sz="6" w:space="0" w:color="auto"/>
            </w:tcBorders>
          </w:tcPr>
          <w:p w14:paraId="747B84CE" w14:textId="637DEB94" w:rsidR="00CD45DB" w:rsidRPr="00F110C2" w:rsidRDefault="009615D1" w:rsidP="00254EC9">
            <w:pPr>
              <w:pStyle w:val="Tabletext"/>
              <w:jc w:val="center"/>
            </w:pPr>
            <w:r w:rsidRPr="00F110C2">
              <w:t>−</w:t>
            </w:r>
            <w:r w:rsidR="00CD45DB" w:rsidRPr="00F110C2">
              <w:t>89</w:t>
            </w:r>
          </w:p>
        </w:tc>
        <w:tc>
          <w:tcPr>
            <w:tcW w:w="2647" w:type="dxa"/>
            <w:tcBorders>
              <w:top w:val="single" w:sz="6" w:space="0" w:color="auto"/>
              <w:left w:val="single" w:sz="6" w:space="0" w:color="auto"/>
              <w:bottom w:val="single" w:sz="6" w:space="0" w:color="auto"/>
              <w:right w:val="single" w:sz="6" w:space="0" w:color="auto"/>
            </w:tcBorders>
          </w:tcPr>
          <w:p w14:paraId="41A2CBFF" w14:textId="77777777" w:rsidR="00CD45DB" w:rsidRPr="00F110C2" w:rsidRDefault="00CD45DB" w:rsidP="00254EC9">
            <w:pPr>
              <w:pStyle w:val="Tabletext"/>
            </w:pPr>
            <w:r w:rsidRPr="00F110C2">
              <w:rPr>
                <w:szCs w:val="24"/>
              </w:rPr>
              <w:tab/>
            </w:r>
            <w:r w:rsidRPr="00F110C2">
              <w:rPr>
                <w:szCs w:val="24"/>
              </w:rPr>
              <w:tab/>
              <w:t xml:space="preserve">  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29</w:t>
            </w:r>
          </w:p>
        </w:tc>
        <w:tc>
          <w:tcPr>
            <w:tcW w:w="3401" w:type="dxa"/>
            <w:tcBorders>
              <w:top w:val="single" w:sz="6" w:space="0" w:color="auto"/>
              <w:left w:val="single" w:sz="6" w:space="0" w:color="auto"/>
              <w:bottom w:val="single" w:sz="6" w:space="0" w:color="auto"/>
              <w:right w:val="single" w:sz="6" w:space="0" w:color="auto"/>
            </w:tcBorders>
          </w:tcPr>
          <w:p w14:paraId="1D78C48A" w14:textId="77777777" w:rsidR="00CD45DB" w:rsidRPr="00F110C2" w:rsidRDefault="00CD45DB" w:rsidP="00254EC9">
            <w:pPr>
              <w:pStyle w:val="Tabletext"/>
              <w:jc w:val="center"/>
            </w:pPr>
            <w:r w:rsidRPr="00F110C2">
              <w:t>75 dBc</w:t>
            </w:r>
          </w:p>
        </w:tc>
      </w:tr>
      <w:tr w:rsidR="00CD45DB" w:rsidRPr="00F110C2" w14:paraId="1331385B" w14:textId="77777777" w:rsidTr="003C1C18">
        <w:trPr>
          <w:jc w:val="center"/>
        </w:trPr>
        <w:tc>
          <w:tcPr>
            <w:tcW w:w="3024" w:type="dxa"/>
            <w:tcBorders>
              <w:top w:val="single" w:sz="6" w:space="0" w:color="auto"/>
              <w:left w:val="single" w:sz="6" w:space="0" w:color="auto"/>
              <w:bottom w:val="single" w:sz="6" w:space="0" w:color="auto"/>
              <w:right w:val="single" w:sz="6" w:space="0" w:color="auto"/>
            </w:tcBorders>
          </w:tcPr>
          <w:p w14:paraId="74BA21A0" w14:textId="5221E6CA" w:rsidR="00CD45DB" w:rsidRPr="00F110C2" w:rsidRDefault="009615D1" w:rsidP="00254EC9">
            <w:pPr>
              <w:pStyle w:val="Tabletext"/>
              <w:jc w:val="center"/>
            </w:pPr>
            <w:r w:rsidRPr="00F110C2">
              <w:t>−</w:t>
            </w:r>
            <w:r w:rsidR="00CD45DB" w:rsidRPr="00F110C2">
              <w:t>89 </w:t>
            </w:r>
            <w:r w:rsidRPr="00F110C2">
              <w:t>−</w:t>
            </w:r>
            <w:r w:rsidR="00CD45DB" w:rsidRPr="00F110C2">
              <w:t> (</w:t>
            </w:r>
            <w:r w:rsidR="00CD45DB" w:rsidRPr="00F110C2">
              <w:rPr>
                <w:i/>
                <w:iCs/>
              </w:rPr>
              <w:t>P</w:t>
            </w:r>
            <w:r w:rsidR="00CD45DB" w:rsidRPr="00F110C2">
              <w:t> </w:t>
            </w:r>
            <w:r w:rsidRPr="00F110C2">
              <w:t>−</w:t>
            </w:r>
            <w:r w:rsidR="00CD45DB" w:rsidRPr="00F110C2">
              <w:t> 29)</w:t>
            </w:r>
          </w:p>
        </w:tc>
        <w:tc>
          <w:tcPr>
            <w:tcW w:w="2647" w:type="dxa"/>
            <w:tcBorders>
              <w:top w:val="single" w:sz="6" w:space="0" w:color="auto"/>
              <w:left w:val="single" w:sz="6" w:space="0" w:color="auto"/>
              <w:bottom w:val="single" w:sz="6" w:space="0" w:color="auto"/>
              <w:right w:val="single" w:sz="6" w:space="0" w:color="auto"/>
            </w:tcBorders>
          </w:tcPr>
          <w:p w14:paraId="23A8DB62" w14:textId="77777777" w:rsidR="00CD45DB" w:rsidRPr="00F110C2" w:rsidRDefault="00CD45DB" w:rsidP="00254EC9">
            <w:pPr>
              <w:pStyle w:val="Tabletext"/>
              <w:tabs>
                <w:tab w:val="clear" w:pos="851"/>
                <w:tab w:val="left" w:pos="845"/>
              </w:tabs>
            </w:pPr>
            <w:r w:rsidRPr="00F110C2">
              <w:rPr>
                <w:szCs w:val="24"/>
              </w:rPr>
              <w:tab/>
            </w:r>
            <w:r w:rsidRPr="00F110C2">
              <w:rPr>
                <w:szCs w:val="24"/>
              </w:rPr>
              <w:tab/>
              <w:t>29 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39</w:t>
            </w:r>
          </w:p>
        </w:tc>
        <w:tc>
          <w:tcPr>
            <w:tcW w:w="3401" w:type="dxa"/>
            <w:tcBorders>
              <w:top w:val="single" w:sz="6" w:space="0" w:color="auto"/>
              <w:left w:val="single" w:sz="6" w:space="0" w:color="auto"/>
              <w:bottom w:val="single" w:sz="6" w:space="0" w:color="auto"/>
              <w:right w:val="single" w:sz="6" w:space="0" w:color="auto"/>
            </w:tcBorders>
          </w:tcPr>
          <w:p w14:paraId="1FF4F394" w14:textId="7E9FAB8C" w:rsidR="00CD45DB" w:rsidRPr="00F110C2" w:rsidRDefault="009615D1" w:rsidP="00254EC9">
            <w:pPr>
              <w:pStyle w:val="Tabletext"/>
              <w:jc w:val="center"/>
            </w:pPr>
            <w:r w:rsidRPr="00F110C2">
              <w:t>−</w:t>
            </w:r>
            <w:r w:rsidR="00CD45DB" w:rsidRPr="00F110C2">
              <w:t>16 dBm</w:t>
            </w:r>
          </w:p>
        </w:tc>
      </w:tr>
      <w:tr w:rsidR="00CD45DB" w:rsidRPr="00F110C2" w14:paraId="1A7BFBA7" w14:textId="77777777" w:rsidTr="003C1C18">
        <w:trPr>
          <w:jc w:val="center"/>
        </w:trPr>
        <w:tc>
          <w:tcPr>
            <w:tcW w:w="3024" w:type="dxa"/>
            <w:tcBorders>
              <w:top w:val="single" w:sz="6" w:space="0" w:color="auto"/>
              <w:left w:val="single" w:sz="6" w:space="0" w:color="auto"/>
              <w:bottom w:val="single" w:sz="6" w:space="0" w:color="auto"/>
              <w:right w:val="single" w:sz="6" w:space="0" w:color="auto"/>
            </w:tcBorders>
          </w:tcPr>
          <w:p w14:paraId="624BA863" w14:textId="6248B4F0" w:rsidR="00CD45DB" w:rsidRPr="00F110C2" w:rsidRDefault="009615D1" w:rsidP="00254EC9">
            <w:pPr>
              <w:pStyle w:val="Tabletext"/>
              <w:jc w:val="center"/>
            </w:pPr>
            <w:r w:rsidRPr="00F110C2">
              <w:t>−</w:t>
            </w:r>
            <w:r w:rsidR="00CD45DB" w:rsidRPr="00F110C2">
              <w:t>99</w:t>
            </w:r>
          </w:p>
        </w:tc>
        <w:tc>
          <w:tcPr>
            <w:tcW w:w="2647" w:type="dxa"/>
            <w:tcBorders>
              <w:top w:val="single" w:sz="6" w:space="0" w:color="auto"/>
              <w:left w:val="single" w:sz="6" w:space="0" w:color="auto"/>
              <w:bottom w:val="single" w:sz="6" w:space="0" w:color="auto"/>
              <w:right w:val="single" w:sz="6" w:space="0" w:color="auto"/>
            </w:tcBorders>
          </w:tcPr>
          <w:p w14:paraId="0B87DA0D" w14:textId="77777777" w:rsidR="00CD45DB" w:rsidRPr="00F110C2" w:rsidRDefault="00CD45DB" w:rsidP="00254EC9">
            <w:pPr>
              <w:pStyle w:val="Tabletext"/>
              <w:tabs>
                <w:tab w:val="clear" w:pos="851"/>
                <w:tab w:val="left" w:pos="845"/>
              </w:tabs>
            </w:pPr>
            <w:r w:rsidRPr="00F110C2">
              <w:rPr>
                <w:szCs w:val="24"/>
              </w:rPr>
              <w:tab/>
            </w:r>
            <w:r w:rsidRPr="00F110C2">
              <w:rPr>
                <w:szCs w:val="24"/>
              </w:rPr>
              <w:tab/>
              <w:t>39 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50</w:t>
            </w:r>
          </w:p>
        </w:tc>
        <w:tc>
          <w:tcPr>
            <w:tcW w:w="3401" w:type="dxa"/>
            <w:tcBorders>
              <w:top w:val="single" w:sz="6" w:space="0" w:color="auto"/>
              <w:left w:val="single" w:sz="6" w:space="0" w:color="auto"/>
              <w:bottom w:val="single" w:sz="6" w:space="0" w:color="auto"/>
              <w:right w:val="single" w:sz="6" w:space="0" w:color="auto"/>
            </w:tcBorders>
          </w:tcPr>
          <w:p w14:paraId="75C4D067" w14:textId="77777777" w:rsidR="00CD45DB" w:rsidRPr="00F110C2" w:rsidRDefault="00CD45DB" w:rsidP="00254EC9">
            <w:pPr>
              <w:pStyle w:val="Tabletext"/>
              <w:jc w:val="center"/>
            </w:pPr>
            <w:r w:rsidRPr="00F110C2">
              <w:t>85 dBc</w:t>
            </w:r>
          </w:p>
        </w:tc>
      </w:tr>
      <w:tr w:rsidR="00CD45DB" w:rsidRPr="00F110C2" w14:paraId="7615025A" w14:textId="77777777" w:rsidTr="003C1C18">
        <w:trPr>
          <w:jc w:val="center"/>
        </w:trPr>
        <w:tc>
          <w:tcPr>
            <w:tcW w:w="3024" w:type="dxa"/>
            <w:tcBorders>
              <w:top w:val="single" w:sz="6" w:space="0" w:color="auto"/>
              <w:left w:val="single" w:sz="6" w:space="0" w:color="auto"/>
              <w:bottom w:val="single" w:sz="6" w:space="0" w:color="auto"/>
              <w:right w:val="single" w:sz="6" w:space="0" w:color="auto"/>
            </w:tcBorders>
          </w:tcPr>
          <w:p w14:paraId="2171EF71" w14:textId="23978FA4" w:rsidR="00CD45DB" w:rsidRPr="00F110C2" w:rsidRDefault="009615D1" w:rsidP="00254EC9">
            <w:pPr>
              <w:pStyle w:val="Tabletext"/>
              <w:jc w:val="center"/>
            </w:pPr>
            <w:r w:rsidRPr="00F110C2">
              <w:t>−</w:t>
            </w:r>
            <w:r w:rsidR="00CD45DB" w:rsidRPr="00F110C2">
              <w:t>99 </w:t>
            </w:r>
            <w:r w:rsidRPr="00F110C2">
              <w:t>−</w:t>
            </w:r>
            <w:r w:rsidR="00CD45DB" w:rsidRPr="00F110C2">
              <w:t> (</w:t>
            </w:r>
            <w:r w:rsidR="00CD45DB" w:rsidRPr="00F110C2">
              <w:rPr>
                <w:i/>
                <w:iCs/>
              </w:rPr>
              <w:t>P</w:t>
            </w:r>
            <w:r w:rsidR="00CD45DB" w:rsidRPr="00F110C2">
              <w:t> </w:t>
            </w:r>
            <w:r w:rsidRPr="00F110C2">
              <w:t>−</w:t>
            </w:r>
            <w:r w:rsidR="00CD45DB" w:rsidRPr="00F110C2">
              <w:t> 50)</w:t>
            </w:r>
          </w:p>
        </w:tc>
        <w:tc>
          <w:tcPr>
            <w:tcW w:w="2647" w:type="dxa"/>
            <w:tcBorders>
              <w:top w:val="single" w:sz="6" w:space="0" w:color="auto"/>
              <w:left w:val="single" w:sz="6" w:space="0" w:color="auto"/>
              <w:bottom w:val="single" w:sz="6" w:space="0" w:color="auto"/>
              <w:right w:val="single" w:sz="6" w:space="0" w:color="auto"/>
            </w:tcBorders>
          </w:tcPr>
          <w:p w14:paraId="2AFB7740" w14:textId="77777777" w:rsidR="00CD45DB" w:rsidRPr="00F110C2" w:rsidRDefault="00CD45DB" w:rsidP="00254EC9">
            <w:pPr>
              <w:pStyle w:val="Tabletext"/>
              <w:tabs>
                <w:tab w:val="clear" w:pos="851"/>
                <w:tab w:val="left" w:pos="845"/>
              </w:tabs>
            </w:pPr>
            <w:r w:rsidRPr="00F110C2">
              <w:rPr>
                <w:szCs w:val="24"/>
              </w:rPr>
              <w:tab/>
            </w:r>
            <w:r w:rsidRPr="00F110C2">
              <w:rPr>
                <w:szCs w:val="24"/>
              </w:rPr>
              <w:tab/>
              <w:t>50 </w:t>
            </w:r>
            <w:r w:rsidRPr="00F110C2">
              <w:rPr>
                <w:rFonts w:ascii="Symbol" w:hAnsi="Symbol"/>
                <w:szCs w:val="24"/>
              </w:rPr>
              <w:sym w:font="Symbol" w:char="F0A3"/>
            </w:r>
            <w:r w:rsidRPr="00F110C2">
              <w:rPr>
                <w:szCs w:val="24"/>
              </w:rPr>
              <w:tab/>
            </w:r>
            <w:r w:rsidRPr="00F110C2">
              <w:rPr>
                <w:i/>
                <w:iCs/>
                <w:szCs w:val="24"/>
              </w:rPr>
              <w:t>P</w:t>
            </w:r>
          </w:p>
        </w:tc>
        <w:tc>
          <w:tcPr>
            <w:tcW w:w="3401" w:type="dxa"/>
            <w:tcBorders>
              <w:top w:val="single" w:sz="6" w:space="0" w:color="auto"/>
              <w:left w:val="single" w:sz="6" w:space="0" w:color="auto"/>
              <w:bottom w:val="single" w:sz="6" w:space="0" w:color="auto"/>
              <w:right w:val="single" w:sz="6" w:space="0" w:color="auto"/>
            </w:tcBorders>
          </w:tcPr>
          <w:p w14:paraId="0C1AAABE" w14:textId="4F488197" w:rsidR="00CD45DB" w:rsidRPr="00F110C2" w:rsidRDefault="009615D1" w:rsidP="00254EC9">
            <w:pPr>
              <w:pStyle w:val="Tabletext"/>
              <w:jc w:val="center"/>
            </w:pPr>
            <w:r w:rsidRPr="00F110C2">
              <w:t>−</w:t>
            </w:r>
            <w:r w:rsidR="00CD45DB" w:rsidRPr="00F110C2">
              <w:t>5 dBm</w:t>
            </w:r>
          </w:p>
        </w:tc>
      </w:tr>
      <w:tr w:rsidR="00CD45DB" w:rsidRPr="00F110C2" w14:paraId="18BBEC7A" w14:textId="77777777" w:rsidTr="003C1C18">
        <w:trPr>
          <w:jc w:val="center"/>
        </w:trPr>
        <w:tc>
          <w:tcPr>
            <w:tcW w:w="9072" w:type="dxa"/>
            <w:gridSpan w:val="3"/>
            <w:tcBorders>
              <w:top w:val="single" w:sz="6" w:space="0" w:color="auto"/>
              <w:left w:val="nil"/>
              <w:bottom w:val="nil"/>
              <w:right w:val="nil"/>
            </w:tcBorders>
          </w:tcPr>
          <w:p w14:paraId="1F0833E7" w14:textId="57636EAB" w:rsidR="00CD45DB" w:rsidRPr="00F110C2" w:rsidRDefault="00CD45DB" w:rsidP="00254EC9">
            <w:pPr>
              <w:pStyle w:val="Tabletext"/>
              <w:ind w:left="284" w:hanging="284"/>
            </w:pPr>
            <w:r w:rsidRPr="00F110C2">
              <w:rPr>
                <w:vertAlign w:val="superscript"/>
              </w:rPr>
              <w:t>(1)</w:t>
            </w:r>
            <w:r w:rsidRPr="00F110C2">
              <w:tab/>
              <w:t xml:space="preserve">La valeur du point le plus proche du point d'extrémité est supérieure de 8 dB à la valeur du point d'extrémité et toutes ces valeurs sont assujetties à une limite supérieure de </w:t>
            </w:r>
            <w:r w:rsidR="00F91EA9" w:rsidRPr="00F110C2">
              <w:t>−</w:t>
            </w:r>
            <w:r w:rsidRPr="00F110C2">
              <w:t>67,2 dB.</w:t>
            </w:r>
          </w:p>
        </w:tc>
      </w:tr>
    </w:tbl>
    <w:p w14:paraId="7C6BC9B3" w14:textId="77777777" w:rsidR="00CD45DB" w:rsidRPr="00F110C2" w:rsidRDefault="00CD45DB" w:rsidP="00254EC9">
      <w:pPr>
        <w:pStyle w:val="Tablefin"/>
      </w:pPr>
    </w:p>
    <w:p w14:paraId="4E25DFDF" w14:textId="77777777" w:rsidR="00CD45DB" w:rsidRPr="00F110C2" w:rsidRDefault="00CD45DB" w:rsidP="00254EC9">
      <w:r w:rsidRPr="00F110C2">
        <w:t>Le Tableau 17 donne les points de rupture correspondant à la Fig. 24, pour les systèmes DVB</w:t>
      </w:r>
      <w:r w:rsidRPr="00F110C2">
        <w:noBreakHyphen/>
        <w:t>T à 8 MHz.</w:t>
      </w:r>
    </w:p>
    <w:p w14:paraId="1E0A53FE" w14:textId="77777777" w:rsidR="00CD45DB" w:rsidRPr="00F110C2" w:rsidRDefault="00CD45DB" w:rsidP="00254EC9">
      <w:pPr>
        <w:pStyle w:val="FigureNo"/>
      </w:pPr>
      <w:r w:rsidRPr="00F110C2">
        <w:lastRenderedPageBreak/>
        <w:t>FIGURE 24</w:t>
      </w:r>
    </w:p>
    <w:p w14:paraId="0D44F2EB" w14:textId="77777777" w:rsidR="00CD45DB" w:rsidRPr="00F110C2" w:rsidRDefault="00CD45DB" w:rsidP="00254EC9">
      <w:pPr>
        <w:pStyle w:val="Figuretitle"/>
      </w:pPr>
      <w:r w:rsidRPr="00F110C2">
        <w:t xml:space="preserve">Gabarit de limite spectrale pour les systèmes DVB-T à 8 MHz (pour </w:t>
      </w:r>
      <w:r w:rsidRPr="00F110C2">
        <w:rPr>
          <w:rFonts w:ascii="Times New Roman"/>
          <w:bCs/>
          <w:i/>
          <w:iCs/>
        </w:rPr>
        <w:t>P</w:t>
      </w:r>
      <w:r w:rsidRPr="00F110C2">
        <w:t xml:space="preserve"> = 39 à 50 dBW)</w:t>
      </w:r>
    </w:p>
    <w:p w14:paraId="2927EB54" w14:textId="77777777" w:rsidR="00CD45DB" w:rsidRPr="00F110C2" w:rsidRDefault="00CD45DB" w:rsidP="00254EC9">
      <w:pPr>
        <w:pStyle w:val="Figure"/>
      </w:pPr>
      <w:r w:rsidRPr="00F110C2">
        <w:drawing>
          <wp:inline distT="0" distB="0" distL="0" distR="0" wp14:anchorId="1B8D3778" wp14:editId="1395B59D">
            <wp:extent cx="5424985" cy="4536118"/>
            <wp:effectExtent l="0" t="0" r="4445" b="0"/>
            <wp:docPr id="945144075" name="Picture 7" descr="A graph with lin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44075" name="Picture 7" descr="A graph with lines on it&#10;&#10;AI-generated content may be incorrect."/>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27283" cy="4538039"/>
                    </a:xfrm>
                    <a:prstGeom prst="rect">
                      <a:avLst/>
                    </a:prstGeom>
                    <a:noFill/>
                    <a:ln>
                      <a:noFill/>
                    </a:ln>
                  </pic:spPr>
                </pic:pic>
              </a:graphicData>
            </a:graphic>
          </wp:inline>
        </w:drawing>
      </w:r>
    </w:p>
    <w:p w14:paraId="7B7BB3B4" w14:textId="77777777" w:rsidR="00CD45DB" w:rsidRPr="00F110C2" w:rsidRDefault="00CD45DB" w:rsidP="00254EC9">
      <w:pPr>
        <w:pStyle w:val="TableNo"/>
      </w:pPr>
      <w:r w:rsidRPr="00F110C2">
        <w:t>TABLEAU 17</w:t>
      </w:r>
    </w:p>
    <w:p w14:paraId="53A9F773" w14:textId="77777777" w:rsidR="00CD45DB" w:rsidRPr="00F110C2" w:rsidRDefault="00CD45DB" w:rsidP="00254EC9">
      <w:pPr>
        <w:pStyle w:val="Tabletitle"/>
      </w:pPr>
      <w:r w:rsidRPr="00F110C2">
        <w:t>Points de rupture pour les systèmes DVB</w:t>
      </w:r>
      <w:r w:rsidRPr="00F110C2">
        <w:noBreakHyphen/>
        <w:t>T à 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CD45DB" w:rsidRPr="00F110C2" w14:paraId="42262FB9" w14:textId="77777777" w:rsidTr="003C1C18">
        <w:trPr>
          <w:jc w:val="center"/>
        </w:trPr>
        <w:tc>
          <w:tcPr>
            <w:tcW w:w="4264" w:type="dxa"/>
            <w:vAlign w:val="center"/>
          </w:tcPr>
          <w:p w14:paraId="3A86E8BE" w14:textId="77777777" w:rsidR="00CD45DB" w:rsidRPr="00F110C2" w:rsidRDefault="00CD45DB" w:rsidP="00254EC9">
            <w:pPr>
              <w:pStyle w:val="Tablehead"/>
            </w:pPr>
            <w:r w:rsidRPr="00F110C2">
              <w:rPr>
                <w:bCs/>
                <w:szCs w:val="24"/>
              </w:rPr>
              <w:t>Fréquence par rapport au centre</w:t>
            </w:r>
            <w:r w:rsidRPr="00F110C2">
              <w:rPr>
                <w:bCs/>
                <w:szCs w:val="24"/>
              </w:rPr>
              <w:br/>
              <w:t xml:space="preserve">du canal de 8 MHz </w:t>
            </w:r>
          </w:p>
        </w:tc>
        <w:tc>
          <w:tcPr>
            <w:tcW w:w="4264" w:type="dxa"/>
            <w:vAlign w:val="center"/>
          </w:tcPr>
          <w:p w14:paraId="649BA56D" w14:textId="196A0033" w:rsidR="00CD45DB" w:rsidRPr="00F110C2" w:rsidRDefault="00CD45DB" w:rsidP="00254EC9">
            <w:pPr>
              <w:pStyle w:val="Tablehead"/>
            </w:pPr>
            <w:r w:rsidRPr="00F110C2">
              <w:rPr>
                <w:bCs/>
                <w:szCs w:val="24"/>
              </w:rPr>
              <w:t>Niveau relatif dans une largeur</w:t>
            </w:r>
            <w:r w:rsidRPr="00F110C2">
              <w:rPr>
                <w:bCs/>
                <w:szCs w:val="24"/>
              </w:rPr>
              <w:br/>
              <w:t>de bande de mesure de 4 kHz</w:t>
            </w:r>
            <w:r w:rsidR="003C1C18" w:rsidRPr="00F110C2">
              <w:rPr>
                <w:bCs/>
                <w:szCs w:val="24"/>
              </w:rPr>
              <w:t xml:space="preserve"> </w:t>
            </w:r>
            <w:r w:rsidRPr="00F110C2">
              <w:rPr>
                <w:bCs/>
                <w:szCs w:val="24"/>
              </w:rPr>
              <w:t>(dB)</w:t>
            </w:r>
          </w:p>
        </w:tc>
      </w:tr>
      <w:tr w:rsidR="00CD45DB" w:rsidRPr="00F110C2" w14:paraId="07634728" w14:textId="77777777" w:rsidTr="003C1C18">
        <w:trPr>
          <w:jc w:val="center"/>
        </w:trPr>
        <w:tc>
          <w:tcPr>
            <w:tcW w:w="4264" w:type="dxa"/>
          </w:tcPr>
          <w:p w14:paraId="4E019FFA" w14:textId="428A6B3D" w:rsidR="00CD45DB" w:rsidRPr="00F110C2" w:rsidRDefault="009615D1" w:rsidP="00254EC9">
            <w:pPr>
              <w:pStyle w:val="Tabletext"/>
              <w:jc w:val="center"/>
            </w:pPr>
            <w:r w:rsidRPr="00F110C2">
              <w:t>−</w:t>
            </w:r>
            <w:r w:rsidR="00CD45DB" w:rsidRPr="00F110C2">
              <w:t>20</w:t>
            </w:r>
          </w:p>
        </w:tc>
        <w:tc>
          <w:tcPr>
            <w:tcW w:w="4264" w:type="dxa"/>
          </w:tcPr>
          <w:p w14:paraId="2F631682" w14:textId="7C06282D" w:rsidR="00CD45DB" w:rsidRPr="00F110C2" w:rsidRDefault="009615D1" w:rsidP="00254EC9">
            <w:pPr>
              <w:pStyle w:val="Tabletext"/>
              <w:jc w:val="center"/>
            </w:pPr>
            <w:r w:rsidRPr="00F110C2">
              <w:t>−</w:t>
            </w:r>
            <w:r w:rsidR="00CD45DB" w:rsidRPr="00F110C2">
              <w:t>99</w:t>
            </w:r>
          </w:p>
        </w:tc>
      </w:tr>
      <w:tr w:rsidR="00CD45DB" w:rsidRPr="00F110C2" w14:paraId="4AA052B1" w14:textId="77777777" w:rsidTr="003C1C18">
        <w:trPr>
          <w:jc w:val="center"/>
        </w:trPr>
        <w:tc>
          <w:tcPr>
            <w:tcW w:w="4264" w:type="dxa"/>
          </w:tcPr>
          <w:p w14:paraId="06AD796A" w14:textId="21BA5999" w:rsidR="00CD45DB" w:rsidRPr="00F110C2" w:rsidRDefault="009615D1" w:rsidP="00254EC9">
            <w:pPr>
              <w:pStyle w:val="Tabletext"/>
              <w:jc w:val="center"/>
            </w:pPr>
            <w:r w:rsidRPr="00F110C2">
              <w:t>−</w:t>
            </w:r>
            <w:r w:rsidR="00CD45DB" w:rsidRPr="00F110C2">
              <w:t>12</w:t>
            </w:r>
          </w:p>
        </w:tc>
        <w:tc>
          <w:tcPr>
            <w:tcW w:w="4264" w:type="dxa"/>
          </w:tcPr>
          <w:p w14:paraId="48178D9B" w14:textId="39D3EDA0" w:rsidR="00CD45DB" w:rsidRPr="00F110C2" w:rsidRDefault="009615D1" w:rsidP="00254EC9">
            <w:pPr>
              <w:pStyle w:val="Tabletext"/>
              <w:jc w:val="center"/>
            </w:pPr>
            <w:r w:rsidRPr="00F110C2">
              <w:t>−</w:t>
            </w:r>
            <w:r w:rsidR="00CD45DB" w:rsidRPr="00F110C2">
              <w:t>91</w:t>
            </w:r>
          </w:p>
        </w:tc>
      </w:tr>
      <w:tr w:rsidR="00CD45DB" w:rsidRPr="00F110C2" w14:paraId="59F59C59" w14:textId="77777777" w:rsidTr="003C1C18">
        <w:trPr>
          <w:jc w:val="center"/>
        </w:trPr>
        <w:tc>
          <w:tcPr>
            <w:tcW w:w="4264" w:type="dxa"/>
          </w:tcPr>
          <w:p w14:paraId="039132E9" w14:textId="2036E669" w:rsidR="00CD45DB" w:rsidRPr="00F110C2" w:rsidRDefault="009615D1" w:rsidP="00254EC9">
            <w:pPr>
              <w:pStyle w:val="Tabletext"/>
              <w:jc w:val="center"/>
            </w:pPr>
            <w:r w:rsidRPr="00F110C2">
              <w:t>−</w:t>
            </w:r>
            <w:r w:rsidR="00CD45DB" w:rsidRPr="00F110C2">
              <w:t>4,2</w:t>
            </w:r>
          </w:p>
        </w:tc>
        <w:tc>
          <w:tcPr>
            <w:tcW w:w="4264" w:type="dxa"/>
          </w:tcPr>
          <w:p w14:paraId="745AC99E" w14:textId="1EC975A9" w:rsidR="00CD45DB" w:rsidRPr="00F110C2" w:rsidRDefault="009615D1" w:rsidP="00254EC9">
            <w:pPr>
              <w:pStyle w:val="Tabletext"/>
              <w:jc w:val="center"/>
            </w:pPr>
            <w:r w:rsidRPr="00F110C2">
              <w:t>−</w:t>
            </w:r>
            <w:r w:rsidR="00CD45DB" w:rsidRPr="00F110C2">
              <w:t>67,8</w:t>
            </w:r>
          </w:p>
        </w:tc>
      </w:tr>
      <w:tr w:rsidR="00CD45DB" w:rsidRPr="00F110C2" w14:paraId="0173D02C" w14:textId="77777777" w:rsidTr="003C1C18">
        <w:trPr>
          <w:jc w:val="center"/>
        </w:trPr>
        <w:tc>
          <w:tcPr>
            <w:tcW w:w="4264" w:type="dxa"/>
          </w:tcPr>
          <w:p w14:paraId="3E7BD62D" w14:textId="5438D097" w:rsidR="00CD45DB" w:rsidRPr="00F110C2" w:rsidRDefault="009615D1" w:rsidP="00254EC9">
            <w:pPr>
              <w:pStyle w:val="Tabletext"/>
              <w:jc w:val="center"/>
            </w:pPr>
            <w:r w:rsidRPr="00F110C2">
              <w:t>−</w:t>
            </w:r>
            <w:r w:rsidR="00CD45DB" w:rsidRPr="00F110C2">
              <w:t>3,81</w:t>
            </w:r>
          </w:p>
        </w:tc>
        <w:tc>
          <w:tcPr>
            <w:tcW w:w="4264" w:type="dxa"/>
          </w:tcPr>
          <w:p w14:paraId="2FD46001" w14:textId="7E9F9155" w:rsidR="00CD45DB" w:rsidRPr="00F110C2" w:rsidRDefault="009615D1" w:rsidP="00254EC9">
            <w:pPr>
              <w:pStyle w:val="Tabletext"/>
              <w:jc w:val="center"/>
            </w:pPr>
            <w:r w:rsidRPr="00F110C2">
              <w:t>−</w:t>
            </w:r>
            <w:r w:rsidR="00CD45DB" w:rsidRPr="00F110C2">
              <w:t>32,8</w:t>
            </w:r>
          </w:p>
        </w:tc>
      </w:tr>
      <w:tr w:rsidR="00CD45DB" w:rsidRPr="00F110C2" w14:paraId="5DAA3CB0" w14:textId="77777777" w:rsidTr="003C1C18">
        <w:trPr>
          <w:jc w:val="center"/>
        </w:trPr>
        <w:tc>
          <w:tcPr>
            <w:tcW w:w="4264" w:type="dxa"/>
          </w:tcPr>
          <w:p w14:paraId="5305D83D" w14:textId="77777777" w:rsidR="00CD45DB" w:rsidRPr="00F110C2" w:rsidRDefault="00CD45DB" w:rsidP="00254EC9">
            <w:pPr>
              <w:pStyle w:val="Tabletext"/>
              <w:jc w:val="center"/>
            </w:pPr>
            <w:r w:rsidRPr="00F110C2">
              <w:t>3,81</w:t>
            </w:r>
          </w:p>
        </w:tc>
        <w:tc>
          <w:tcPr>
            <w:tcW w:w="4264" w:type="dxa"/>
          </w:tcPr>
          <w:p w14:paraId="2245751A" w14:textId="2B15D8AD" w:rsidR="00CD45DB" w:rsidRPr="00F110C2" w:rsidRDefault="009615D1" w:rsidP="00254EC9">
            <w:pPr>
              <w:pStyle w:val="Tabletext"/>
              <w:jc w:val="center"/>
            </w:pPr>
            <w:r w:rsidRPr="00F110C2">
              <w:t>−</w:t>
            </w:r>
            <w:r w:rsidR="00CD45DB" w:rsidRPr="00F110C2">
              <w:t>32,8</w:t>
            </w:r>
          </w:p>
        </w:tc>
      </w:tr>
      <w:tr w:rsidR="00CD45DB" w:rsidRPr="00F110C2" w14:paraId="76957B4A" w14:textId="77777777" w:rsidTr="003C1C18">
        <w:trPr>
          <w:jc w:val="center"/>
        </w:trPr>
        <w:tc>
          <w:tcPr>
            <w:tcW w:w="4264" w:type="dxa"/>
          </w:tcPr>
          <w:p w14:paraId="66E70866" w14:textId="77777777" w:rsidR="00CD45DB" w:rsidRPr="00F110C2" w:rsidRDefault="00CD45DB" w:rsidP="00254EC9">
            <w:pPr>
              <w:pStyle w:val="Tabletext"/>
              <w:jc w:val="center"/>
            </w:pPr>
            <w:r w:rsidRPr="00F110C2">
              <w:t>4,2</w:t>
            </w:r>
          </w:p>
        </w:tc>
        <w:tc>
          <w:tcPr>
            <w:tcW w:w="4264" w:type="dxa"/>
          </w:tcPr>
          <w:p w14:paraId="483A1070" w14:textId="51744ED5" w:rsidR="00CD45DB" w:rsidRPr="00F110C2" w:rsidRDefault="009615D1" w:rsidP="00254EC9">
            <w:pPr>
              <w:pStyle w:val="Tabletext"/>
              <w:jc w:val="center"/>
            </w:pPr>
            <w:r w:rsidRPr="00F110C2">
              <w:t>−</w:t>
            </w:r>
            <w:r w:rsidR="00CD45DB" w:rsidRPr="00F110C2">
              <w:t>67,8</w:t>
            </w:r>
          </w:p>
        </w:tc>
      </w:tr>
      <w:tr w:rsidR="00CD45DB" w:rsidRPr="00F110C2" w14:paraId="23BA77D5" w14:textId="77777777" w:rsidTr="003C1C18">
        <w:trPr>
          <w:jc w:val="center"/>
        </w:trPr>
        <w:tc>
          <w:tcPr>
            <w:tcW w:w="4264" w:type="dxa"/>
          </w:tcPr>
          <w:p w14:paraId="5FA7C795" w14:textId="77777777" w:rsidR="00CD45DB" w:rsidRPr="00F110C2" w:rsidRDefault="00CD45DB" w:rsidP="00254EC9">
            <w:pPr>
              <w:pStyle w:val="Tabletext"/>
              <w:jc w:val="center"/>
            </w:pPr>
            <w:r w:rsidRPr="00F110C2">
              <w:t>12</w:t>
            </w:r>
          </w:p>
        </w:tc>
        <w:tc>
          <w:tcPr>
            <w:tcW w:w="4264" w:type="dxa"/>
          </w:tcPr>
          <w:p w14:paraId="42A08927" w14:textId="22AC3CD8" w:rsidR="00CD45DB" w:rsidRPr="00F110C2" w:rsidRDefault="009615D1" w:rsidP="00254EC9">
            <w:pPr>
              <w:pStyle w:val="Tabletext"/>
              <w:jc w:val="center"/>
            </w:pPr>
            <w:r w:rsidRPr="00F110C2">
              <w:t>−</w:t>
            </w:r>
            <w:r w:rsidR="00CD45DB" w:rsidRPr="00F110C2">
              <w:t>91</w:t>
            </w:r>
          </w:p>
        </w:tc>
      </w:tr>
      <w:tr w:rsidR="00CD45DB" w:rsidRPr="00F110C2" w14:paraId="08B890E0" w14:textId="77777777" w:rsidTr="003C1C18">
        <w:trPr>
          <w:jc w:val="center"/>
        </w:trPr>
        <w:tc>
          <w:tcPr>
            <w:tcW w:w="4264" w:type="dxa"/>
          </w:tcPr>
          <w:p w14:paraId="4393F7FA" w14:textId="77777777" w:rsidR="00CD45DB" w:rsidRPr="00F110C2" w:rsidRDefault="00CD45DB" w:rsidP="00254EC9">
            <w:pPr>
              <w:pStyle w:val="Tabletext"/>
              <w:jc w:val="center"/>
            </w:pPr>
            <w:r w:rsidRPr="00F110C2">
              <w:t>20</w:t>
            </w:r>
          </w:p>
        </w:tc>
        <w:tc>
          <w:tcPr>
            <w:tcW w:w="4264" w:type="dxa"/>
          </w:tcPr>
          <w:p w14:paraId="1E9D043E" w14:textId="54ADEFC5" w:rsidR="00CD45DB" w:rsidRPr="00F110C2" w:rsidRDefault="009615D1" w:rsidP="00254EC9">
            <w:pPr>
              <w:pStyle w:val="Tabletext"/>
              <w:jc w:val="center"/>
            </w:pPr>
            <w:r w:rsidRPr="00F110C2">
              <w:t>−</w:t>
            </w:r>
            <w:r w:rsidR="00CD45DB" w:rsidRPr="00F110C2">
              <w:t>99</w:t>
            </w:r>
          </w:p>
        </w:tc>
      </w:tr>
    </w:tbl>
    <w:p w14:paraId="2B9A8664" w14:textId="77777777" w:rsidR="00CD45DB" w:rsidRPr="00F110C2" w:rsidRDefault="00CD45DB" w:rsidP="00254EC9">
      <w:pPr>
        <w:pStyle w:val="Tablefin"/>
      </w:pPr>
    </w:p>
    <w:p w14:paraId="622279D3" w14:textId="77777777" w:rsidR="00CD45DB" w:rsidRPr="00F110C2" w:rsidRDefault="00CD45DB" w:rsidP="00254EC9">
      <w:r w:rsidRPr="00F110C2">
        <w:t>Le Tableau 18 donne les valeurs des points d'extrémité et les valeurs des points les plus proches des points d'extrémité à utiliser conjointement avec la Fig. 24 et le Tableau 17, applicables à une plage de puissances de sortie d'émetteur, pour les systèmes DVB</w:t>
      </w:r>
      <w:r w:rsidRPr="00F110C2">
        <w:noBreakHyphen/>
        <w:t>T à 8 MHz.</w:t>
      </w:r>
    </w:p>
    <w:p w14:paraId="5FA88923" w14:textId="77777777" w:rsidR="00CD45DB" w:rsidRPr="00F110C2" w:rsidRDefault="00CD45DB" w:rsidP="00254EC9">
      <w:pPr>
        <w:pStyle w:val="TableNo"/>
      </w:pPr>
      <w:r w:rsidRPr="00F110C2">
        <w:lastRenderedPageBreak/>
        <w:t>TABLEAU 18</w:t>
      </w:r>
    </w:p>
    <w:p w14:paraId="5FA1FCB9" w14:textId="77777777" w:rsidR="00CD45DB" w:rsidRPr="00F110C2" w:rsidRDefault="00CD45DB" w:rsidP="00254EC9">
      <w:pPr>
        <w:pStyle w:val="Tabletitle"/>
      </w:pPr>
      <w:r w:rsidRPr="00F110C2">
        <w:t>Valeurs des points d'extrémité et valeurs des points les plus proches</w:t>
      </w:r>
      <w:r w:rsidRPr="00F110C2">
        <w:br/>
        <w:t>des points d'extrémité pour les systèmes DVB</w:t>
      </w:r>
      <w:r w:rsidRPr="00F110C2">
        <w:noBreakHyphen/>
        <w:t>T à 8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2812"/>
        <w:gridCol w:w="3614"/>
      </w:tblGrid>
      <w:tr w:rsidR="00CD45DB" w:rsidRPr="00F110C2" w14:paraId="61BC4B21" w14:textId="77777777" w:rsidTr="003C1C18">
        <w:trPr>
          <w:jc w:val="center"/>
        </w:trPr>
        <w:tc>
          <w:tcPr>
            <w:tcW w:w="3024" w:type="dxa"/>
            <w:tcBorders>
              <w:top w:val="single" w:sz="4" w:space="0" w:color="auto"/>
              <w:left w:val="single" w:sz="4" w:space="0" w:color="auto"/>
              <w:bottom w:val="single" w:sz="4" w:space="0" w:color="auto"/>
              <w:right w:val="single" w:sz="4" w:space="0" w:color="auto"/>
            </w:tcBorders>
            <w:vAlign w:val="center"/>
          </w:tcPr>
          <w:p w14:paraId="64692C75" w14:textId="5A94CBB4" w:rsidR="00CD45DB" w:rsidRPr="00F110C2" w:rsidRDefault="00CD45DB" w:rsidP="00254EC9">
            <w:pPr>
              <w:pStyle w:val="Tablehead"/>
            </w:pPr>
            <w:r w:rsidRPr="00F110C2">
              <w:t>Valeur de point d'extrémité</w:t>
            </w:r>
            <w:r w:rsidRPr="00F110C2">
              <w:rPr>
                <w:vertAlign w:val="superscript"/>
              </w:rPr>
              <w:t>(1)</w:t>
            </w:r>
            <w:r w:rsidRPr="00F110C2">
              <w:br/>
              <w:t xml:space="preserve">(largeur de bande de mesure </w:t>
            </w:r>
            <w:r w:rsidR="003C1C18" w:rsidRPr="00F110C2">
              <w:br/>
            </w:r>
            <w:r w:rsidRPr="00F110C2">
              <w:t>de 4 kHz)</w:t>
            </w:r>
            <w:r w:rsidR="003C1C18" w:rsidRPr="00F110C2">
              <w:t xml:space="preserve"> </w:t>
            </w:r>
            <w:r w:rsidRPr="00F110C2">
              <w:t>(dB)</w:t>
            </w:r>
          </w:p>
        </w:tc>
        <w:tc>
          <w:tcPr>
            <w:tcW w:w="2647" w:type="dxa"/>
            <w:tcBorders>
              <w:top w:val="single" w:sz="4" w:space="0" w:color="auto"/>
              <w:left w:val="single" w:sz="4" w:space="0" w:color="auto"/>
              <w:bottom w:val="single" w:sz="4" w:space="0" w:color="auto"/>
              <w:right w:val="single" w:sz="4" w:space="0" w:color="auto"/>
            </w:tcBorders>
            <w:vAlign w:val="center"/>
          </w:tcPr>
          <w:p w14:paraId="31DB69E2" w14:textId="77777777" w:rsidR="00CD45DB" w:rsidRPr="00F110C2" w:rsidRDefault="00CD45DB" w:rsidP="00254EC9">
            <w:pPr>
              <w:pStyle w:val="Tablehead"/>
            </w:pPr>
            <w:r w:rsidRPr="00F110C2">
              <w:t>Plage de puissances</w:t>
            </w:r>
            <w:r w:rsidRPr="00F110C2">
              <w:br/>
              <w:t>(dBW)</w:t>
            </w:r>
          </w:p>
        </w:tc>
        <w:tc>
          <w:tcPr>
            <w:tcW w:w="3401" w:type="dxa"/>
            <w:tcBorders>
              <w:top w:val="single" w:sz="4" w:space="0" w:color="auto"/>
              <w:left w:val="single" w:sz="4" w:space="0" w:color="auto"/>
              <w:bottom w:val="single" w:sz="4" w:space="0" w:color="auto"/>
              <w:right w:val="single" w:sz="4" w:space="0" w:color="auto"/>
            </w:tcBorders>
            <w:vAlign w:val="center"/>
          </w:tcPr>
          <w:p w14:paraId="4979D3B9" w14:textId="77777777" w:rsidR="00CD45DB" w:rsidRPr="00F110C2" w:rsidRDefault="00CD45DB" w:rsidP="00254EC9">
            <w:pPr>
              <w:pStyle w:val="Tablehead"/>
            </w:pPr>
            <w:r w:rsidRPr="00F110C2">
              <w:t>Niveau correspondant des rayonnements non essentiels (largeur de bande de mesure de 100 kHz)</w:t>
            </w:r>
          </w:p>
        </w:tc>
      </w:tr>
      <w:tr w:rsidR="00CD45DB" w:rsidRPr="00F110C2" w14:paraId="751A569F" w14:textId="77777777" w:rsidTr="003C1C18">
        <w:trPr>
          <w:jc w:val="center"/>
        </w:trPr>
        <w:tc>
          <w:tcPr>
            <w:tcW w:w="3024" w:type="dxa"/>
            <w:tcBorders>
              <w:top w:val="single" w:sz="4" w:space="0" w:color="auto"/>
              <w:left w:val="single" w:sz="4" w:space="0" w:color="auto"/>
              <w:bottom w:val="single" w:sz="4" w:space="0" w:color="auto"/>
              <w:right w:val="single" w:sz="4" w:space="0" w:color="auto"/>
            </w:tcBorders>
          </w:tcPr>
          <w:p w14:paraId="0F9B128C" w14:textId="478F0050" w:rsidR="00CD45DB" w:rsidRPr="00F110C2" w:rsidRDefault="009615D1" w:rsidP="00254EC9">
            <w:pPr>
              <w:pStyle w:val="Tabletext"/>
              <w:jc w:val="center"/>
            </w:pPr>
            <w:r w:rsidRPr="00F110C2">
              <w:t>−</w:t>
            </w:r>
            <w:r w:rsidR="00CD45DB" w:rsidRPr="00F110C2">
              <w:t>89 </w:t>
            </w:r>
            <w:r w:rsidRPr="00F110C2">
              <w:t>−</w:t>
            </w:r>
            <w:r w:rsidR="00CD45DB" w:rsidRPr="00F110C2">
              <w:t> (</w:t>
            </w:r>
            <w:r w:rsidR="00CD45DB" w:rsidRPr="00F110C2">
              <w:rPr>
                <w:i/>
                <w:iCs/>
              </w:rPr>
              <w:t>P</w:t>
            </w:r>
            <w:r w:rsidR="00CD45DB" w:rsidRPr="00F110C2">
              <w:t> </w:t>
            </w:r>
            <w:r w:rsidRPr="00F110C2">
              <w:t>−</w:t>
            </w:r>
            <w:r w:rsidR="00CD45DB" w:rsidRPr="00F110C2">
              <w:t> 9)</w:t>
            </w:r>
          </w:p>
        </w:tc>
        <w:tc>
          <w:tcPr>
            <w:tcW w:w="2647" w:type="dxa"/>
            <w:tcBorders>
              <w:top w:val="single" w:sz="4" w:space="0" w:color="auto"/>
              <w:left w:val="single" w:sz="4" w:space="0" w:color="auto"/>
              <w:bottom w:val="single" w:sz="4" w:space="0" w:color="auto"/>
              <w:right w:val="single" w:sz="4" w:space="0" w:color="auto"/>
            </w:tcBorders>
          </w:tcPr>
          <w:p w14:paraId="4B234B5E" w14:textId="77777777" w:rsidR="00CD45DB" w:rsidRPr="00F110C2" w:rsidRDefault="00CD45DB" w:rsidP="00254EC9">
            <w:pPr>
              <w:pStyle w:val="Tabletext"/>
            </w:pPr>
            <w:r w:rsidRPr="00F110C2">
              <w:rPr>
                <w:i/>
                <w:iCs/>
                <w:szCs w:val="24"/>
              </w:rPr>
              <w:tab/>
            </w:r>
            <w:r w:rsidRPr="00F110C2">
              <w:rPr>
                <w:i/>
                <w:iCs/>
                <w:szCs w:val="24"/>
              </w:rPr>
              <w:tab/>
            </w:r>
            <w:r w:rsidRPr="00F110C2">
              <w:rPr>
                <w:i/>
                <w:iCs/>
                <w:szCs w:val="24"/>
              </w:rPr>
              <w:tab/>
            </w:r>
            <w:r w:rsidRPr="00F110C2">
              <w:rPr>
                <w:i/>
                <w:iCs/>
                <w:szCs w:val="24"/>
              </w:rPr>
              <w:tab/>
              <w:t>P</w:t>
            </w:r>
            <w:r w:rsidRPr="00F110C2">
              <w:rPr>
                <w:szCs w:val="24"/>
              </w:rPr>
              <w:t> </w:t>
            </w:r>
            <w:r w:rsidRPr="00F110C2">
              <w:rPr>
                <w:rFonts w:ascii="Symbol" w:hAnsi="Symbol"/>
              </w:rPr>
              <w:sym w:font="Symbol" w:char="F0A3"/>
            </w:r>
            <w:r w:rsidRPr="00F110C2">
              <w:rPr>
                <w:szCs w:val="24"/>
              </w:rPr>
              <w:t> 9</w:t>
            </w:r>
          </w:p>
        </w:tc>
        <w:tc>
          <w:tcPr>
            <w:tcW w:w="3401" w:type="dxa"/>
            <w:tcBorders>
              <w:top w:val="single" w:sz="4" w:space="0" w:color="auto"/>
              <w:left w:val="single" w:sz="4" w:space="0" w:color="auto"/>
              <w:bottom w:val="single" w:sz="4" w:space="0" w:color="auto"/>
              <w:right w:val="single" w:sz="4" w:space="0" w:color="auto"/>
            </w:tcBorders>
          </w:tcPr>
          <w:p w14:paraId="240F2C11" w14:textId="63B65F4E" w:rsidR="00CD45DB" w:rsidRPr="00F110C2" w:rsidRDefault="009615D1" w:rsidP="00254EC9">
            <w:pPr>
              <w:pStyle w:val="Tabletext"/>
              <w:jc w:val="center"/>
            </w:pPr>
            <w:r w:rsidRPr="00F110C2">
              <w:t>−</w:t>
            </w:r>
            <w:r w:rsidR="00CD45DB" w:rsidRPr="00F110C2">
              <w:t>36 dBm</w:t>
            </w:r>
          </w:p>
        </w:tc>
      </w:tr>
      <w:tr w:rsidR="00CD45DB" w:rsidRPr="00F110C2" w14:paraId="67DAE3CE" w14:textId="77777777" w:rsidTr="003C1C18">
        <w:trPr>
          <w:jc w:val="center"/>
        </w:trPr>
        <w:tc>
          <w:tcPr>
            <w:tcW w:w="3024" w:type="dxa"/>
            <w:tcBorders>
              <w:top w:val="single" w:sz="4" w:space="0" w:color="auto"/>
              <w:left w:val="single" w:sz="4" w:space="0" w:color="auto"/>
              <w:bottom w:val="single" w:sz="4" w:space="0" w:color="auto"/>
              <w:right w:val="single" w:sz="4" w:space="0" w:color="auto"/>
            </w:tcBorders>
          </w:tcPr>
          <w:p w14:paraId="0E7A18C9" w14:textId="6ADAFA55" w:rsidR="00CD45DB" w:rsidRPr="00F110C2" w:rsidRDefault="009615D1" w:rsidP="00254EC9">
            <w:pPr>
              <w:pStyle w:val="Tabletext"/>
              <w:jc w:val="center"/>
            </w:pPr>
            <w:r w:rsidRPr="00F110C2">
              <w:t>−</w:t>
            </w:r>
            <w:r w:rsidR="00CD45DB" w:rsidRPr="00F110C2">
              <w:t>89</w:t>
            </w:r>
          </w:p>
        </w:tc>
        <w:tc>
          <w:tcPr>
            <w:tcW w:w="2647" w:type="dxa"/>
            <w:tcBorders>
              <w:top w:val="single" w:sz="4" w:space="0" w:color="auto"/>
              <w:left w:val="single" w:sz="4" w:space="0" w:color="auto"/>
              <w:bottom w:val="single" w:sz="4" w:space="0" w:color="auto"/>
              <w:right w:val="single" w:sz="4" w:space="0" w:color="auto"/>
            </w:tcBorders>
          </w:tcPr>
          <w:p w14:paraId="7D1596C8" w14:textId="77777777" w:rsidR="00CD45DB" w:rsidRPr="00F110C2" w:rsidRDefault="00CD45DB" w:rsidP="00254EC9">
            <w:pPr>
              <w:pStyle w:val="Tabletext"/>
            </w:pPr>
            <w:r w:rsidRPr="00F110C2">
              <w:rPr>
                <w:szCs w:val="24"/>
              </w:rPr>
              <w:tab/>
            </w:r>
            <w:r w:rsidRPr="00F110C2">
              <w:rPr>
                <w:szCs w:val="24"/>
              </w:rPr>
              <w:tab/>
              <w:t xml:space="preserve">  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29</w:t>
            </w:r>
          </w:p>
        </w:tc>
        <w:tc>
          <w:tcPr>
            <w:tcW w:w="3401" w:type="dxa"/>
            <w:tcBorders>
              <w:top w:val="single" w:sz="4" w:space="0" w:color="auto"/>
              <w:left w:val="single" w:sz="4" w:space="0" w:color="auto"/>
              <w:bottom w:val="single" w:sz="4" w:space="0" w:color="auto"/>
              <w:right w:val="single" w:sz="4" w:space="0" w:color="auto"/>
            </w:tcBorders>
          </w:tcPr>
          <w:p w14:paraId="40466699" w14:textId="77777777" w:rsidR="00CD45DB" w:rsidRPr="00F110C2" w:rsidRDefault="00CD45DB" w:rsidP="00254EC9">
            <w:pPr>
              <w:pStyle w:val="Tabletext"/>
              <w:jc w:val="center"/>
            </w:pPr>
            <w:r w:rsidRPr="00F110C2">
              <w:t>75 dBc</w:t>
            </w:r>
          </w:p>
        </w:tc>
      </w:tr>
      <w:tr w:rsidR="00CD45DB" w:rsidRPr="00F110C2" w14:paraId="71FC86B7" w14:textId="77777777" w:rsidTr="003C1C18">
        <w:trPr>
          <w:jc w:val="center"/>
        </w:trPr>
        <w:tc>
          <w:tcPr>
            <w:tcW w:w="3024" w:type="dxa"/>
            <w:tcBorders>
              <w:top w:val="single" w:sz="4" w:space="0" w:color="auto"/>
              <w:left w:val="single" w:sz="4" w:space="0" w:color="auto"/>
              <w:bottom w:val="single" w:sz="4" w:space="0" w:color="auto"/>
              <w:right w:val="single" w:sz="4" w:space="0" w:color="auto"/>
            </w:tcBorders>
          </w:tcPr>
          <w:p w14:paraId="53624913" w14:textId="7799FD46" w:rsidR="00CD45DB" w:rsidRPr="00F110C2" w:rsidRDefault="009615D1" w:rsidP="00254EC9">
            <w:pPr>
              <w:pStyle w:val="Tabletext"/>
              <w:jc w:val="center"/>
            </w:pPr>
            <w:r w:rsidRPr="00F110C2">
              <w:t>−</w:t>
            </w:r>
            <w:r w:rsidR="00CD45DB" w:rsidRPr="00F110C2">
              <w:t>89 </w:t>
            </w:r>
            <w:r w:rsidRPr="00F110C2">
              <w:t>−</w:t>
            </w:r>
            <w:r w:rsidR="00CD45DB" w:rsidRPr="00F110C2">
              <w:t> (</w:t>
            </w:r>
            <w:r w:rsidR="00CD45DB" w:rsidRPr="00F110C2">
              <w:rPr>
                <w:i/>
                <w:iCs/>
              </w:rPr>
              <w:t>P</w:t>
            </w:r>
            <w:r w:rsidR="00CD45DB" w:rsidRPr="00F110C2">
              <w:t> </w:t>
            </w:r>
            <w:r w:rsidRPr="00F110C2">
              <w:t>−</w:t>
            </w:r>
            <w:r w:rsidR="00CD45DB" w:rsidRPr="00F110C2">
              <w:t> 29)</w:t>
            </w:r>
          </w:p>
        </w:tc>
        <w:tc>
          <w:tcPr>
            <w:tcW w:w="2647" w:type="dxa"/>
            <w:tcBorders>
              <w:top w:val="single" w:sz="4" w:space="0" w:color="auto"/>
              <w:left w:val="single" w:sz="4" w:space="0" w:color="auto"/>
              <w:bottom w:val="single" w:sz="4" w:space="0" w:color="auto"/>
              <w:right w:val="single" w:sz="4" w:space="0" w:color="auto"/>
            </w:tcBorders>
          </w:tcPr>
          <w:p w14:paraId="7C9A45AD" w14:textId="77777777" w:rsidR="00CD45DB" w:rsidRPr="00F110C2" w:rsidRDefault="00CD45DB" w:rsidP="00254EC9">
            <w:pPr>
              <w:pStyle w:val="Tabletext"/>
              <w:tabs>
                <w:tab w:val="clear" w:pos="851"/>
                <w:tab w:val="left" w:pos="845"/>
              </w:tabs>
            </w:pPr>
            <w:r w:rsidRPr="00F110C2">
              <w:rPr>
                <w:szCs w:val="24"/>
              </w:rPr>
              <w:tab/>
            </w:r>
            <w:r w:rsidRPr="00F110C2">
              <w:rPr>
                <w:szCs w:val="24"/>
              </w:rPr>
              <w:tab/>
              <w:t>29 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39</w:t>
            </w:r>
          </w:p>
        </w:tc>
        <w:tc>
          <w:tcPr>
            <w:tcW w:w="3401" w:type="dxa"/>
            <w:tcBorders>
              <w:top w:val="single" w:sz="4" w:space="0" w:color="auto"/>
              <w:left w:val="single" w:sz="4" w:space="0" w:color="auto"/>
              <w:bottom w:val="single" w:sz="4" w:space="0" w:color="auto"/>
              <w:right w:val="single" w:sz="4" w:space="0" w:color="auto"/>
            </w:tcBorders>
          </w:tcPr>
          <w:p w14:paraId="456FEDA4" w14:textId="4B509690" w:rsidR="00CD45DB" w:rsidRPr="00F110C2" w:rsidRDefault="009615D1" w:rsidP="00254EC9">
            <w:pPr>
              <w:pStyle w:val="Tabletext"/>
              <w:jc w:val="center"/>
            </w:pPr>
            <w:r w:rsidRPr="00F110C2">
              <w:t>−</w:t>
            </w:r>
            <w:r w:rsidR="00CD45DB" w:rsidRPr="00F110C2">
              <w:t>16 dBm</w:t>
            </w:r>
          </w:p>
        </w:tc>
      </w:tr>
      <w:tr w:rsidR="00CD45DB" w:rsidRPr="00F110C2" w14:paraId="4B862A2E" w14:textId="77777777" w:rsidTr="003C1C18">
        <w:trPr>
          <w:jc w:val="center"/>
        </w:trPr>
        <w:tc>
          <w:tcPr>
            <w:tcW w:w="3024" w:type="dxa"/>
            <w:tcBorders>
              <w:top w:val="single" w:sz="4" w:space="0" w:color="auto"/>
              <w:left w:val="single" w:sz="4" w:space="0" w:color="auto"/>
              <w:bottom w:val="single" w:sz="4" w:space="0" w:color="auto"/>
              <w:right w:val="single" w:sz="4" w:space="0" w:color="auto"/>
            </w:tcBorders>
          </w:tcPr>
          <w:p w14:paraId="7FC90806" w14:textId="1D0F0FCD" w:rsidR="00CD45DB" w:rsidRPr="00F110C2" w:rsidRDefault="009615D1" w:rsidP="00254EC9">
            <w:pPr>
              <w:pStyle w:val="Tabletext"/>
              <w:jc w:val="center"/>
            </w:pPr>
            <w:r w:rsidRPr="00F110C2">
              <w:t>−</w:t>
            </w:r>
            <w:r w:rsidR="00CD45DB" w:rsidRPr="00F110C2">
              <w:t>99</w:t>
            </w:r>
          </w:p>
        </w:tc>
        <w:tc>
          <w:tcPr>
            <w:tcW w:w="2647" w:type="dxa"/>
            <w:tcBorders>
              <w:top w:val="single" w:sz="4" w:space="0" w:color="auto"/>
              <w:left w:val="single" w:sz="4" w:space="0" w:color="auto"/>
              <w:bottom w:val="single" w:sz="4" w:space="0" w:color="auto"/>
              <w:right w:val="single" w:sz="4" w:space="0" w:color="auto"/>
            </w:tcBorders>
          </w:tcPr>
          <w:p w14:paraId="5E45BD99" w14:textId="77777777" w:rsidR="00CD45DB" w:rsidRPr="00F110C2" w:rsidRDefault="00CD45DB" w:rsidP="00254EC9">
            <w:pPr>
              <w:pStyle w:val="Tabletext"/>
              <w:tabs>
                <w:tab w:val="clear" w:pos="851"/>
                <w:tab w:val="left" w:pos="845"/>
              </w:tabs>
            </w:pPr>
            <w:r w:rsidRPr="00F110C2">
              <w:rPr>
                <w:szCs w:val="24"/>
              </w:rPr>
              <w:tab/>
            </w:r>
            <w:r w:rsidRPr="00F110C2">
              <w:rPr>
                <w:szCs w:val="24"/>
              </w:rPr>
              <w:tab/>
              <w:t>39 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50</w:t>
            </w:r>
          </w:p>
        </w:tc>
        <w:tc>
          <w:tcPr>
            <w:tcW w:w="3401" w:type="dxa"/>
            <w:tcBorders>
              <w:top w:val="single" w:sz="4" w:space="0" w:color="auto"/>
              <w:left w:val="single" w:sz="4" w:space="0" w:color="auto"/>
              <w:bottom w:val="single" w:sz="4" w:space="0" w:color="auto"/>
              <w:right w:val="single" w:sz="4" w:space="0" w:color="auto"/>
            </w:tcBorders>
          </w:tcPr>
          <w:p w14:paraId="34877451" w14:textId="77777777" w:rsidR="00CD45DB" w:rsidRPr="00F110C2" w:rsidRDefault="00CD45DB" w:rsidP="00254EC9">
            <w:pPr>
              <w:pStyle w:val="Tabletext"/>
              <w:jc w:val="center"/>
            </w:pPr>
            <w:r w:rsidRPr="00F110C2">
              <w:t>85 dBc</w:t>
            </w:r>
          </w:p>
        </w:tc>
      </w:tr>
      <w:tr w:rsidR="00CD45DB" w:rsidRPr="00F110C2" w14:paraId="7F7BF01F" w14:textId="77777777" w:rsidTr="003C1C18">
        <w:trPr>
          <w:jc w:val="center"/>
        </w:trPr>
        <w:tc>
          <w:tcPr>
            <w:tcW w:w="3024" w:type="dxa"/>
            <w:tcBorders>
              <w:top w:val="single" w:sz="4" w:space="0" w:color="auto"/>
              <w:left w:val="single" w:sz="4" w:space="0" w:color="auto"/>
              <w:bottom w:val="single" w:sz="4" w:space="0" w:color="auto"/>
              <w:right w:val="single" w:sz="4" w:space="0" w:color="auto"/>
            </w:tcBorders>
          </w:tcPr>
          <w:p w14:paraId="750D0FFB" w14:textId="3D34952D" w:rsidR="00CD45DB" w:rsidRPr="00F110C2" w:rsidRDefault="009615D1" w:rsidP="00254EC9">
            <w:pPr>
              <w:pStyle w:val="Tabletext"/>
              <w:jc w:val="center"/>
            </w:pPr>
            <w:r w:rsidRPr="00F110C2">
              <w:t>−</w:t>
            </w:r>
            <w:r w:rsidR="00CD45DB" w:rsidRPr="00F110C2">
              <w:t>99 </w:t>
            </w:r>
            <w:r w:rsidRPr="00F110C2">
              <w:t>−</w:t>
            </w:r>
            <w:r w:rsidR="00CD45DB" w:rsidRPr="00F110C2">
              <w:t> (</w:t>
            </w:r>
            <w:r w:rsidR="00CD45DB" w:rsidRPr="00F110C2">
              <w:rPr>
                <w:i/>
                <w:iCs/>
              </w:rPr>
              <w:t>P</w:t>
            </w:r>
            <w:r w:rsidR="00CD45DB" w:rsidRPr="00F110C2">
              <w:t> </w:t>
            </w:r>
            <w:r w:rsidRPr="00F110C2">
              <w:t>−</w:t>
            </w:r>
            <w:r w:rsidR="00CD45DB" w:rsidRPr="00F110C2">
              <w:t> 50)</w:t>
            </w:r>
          </w:p>
        </w:tc>
        <w:tc>
          <w:tcPr>
            <w:tcW w:w="2647" w:type="dxa"/>
            <w:tcBorders>
              <w:top w:val="single" w:sz="4" w:space="0" w:color="auto"/>
              <w:left w:val="single" w:sz="4" w:space="0" w:color="auto"/>
              <w:bottom w:val="single" w:sz="4" w:space="0" w:color="auto"/>
              <w:right w:val="single" w:sz="4" w:space="0" w:color="auto"/>
            </w:tcBorders>
          </w:tcPr>
          <w:p w14:paraId="112B1842" w14:textId="77777777" w:rsidR="00CD45DB" w:rsidRPr="00F110C2" w:rsidRDefault="00CD45DB" w:rsidP="00254EC9">
            <w:pPr>
              <w:pStyle w:val="Tabletext"/>
              <w:tabs>
                <w:tab w:val="clear" w:pos="851"/>
                <w:tab w:val="left" w:pos="845"/>
              </w:tabs>
            </w:pPr>
            <w:r w:rsidRPr="00F110C2">
              <w:rPr>
                <w:szCs w:val="24"/>
              </w:rPr>
              <w:tab/>
            </w:r>
            <w:r w:rsidRPr="00F110C2">
              <w:rPr>
                <w:szCs w:val="24"/>
              </w:rPr>
              <w:tab/>
              <w:t>50 </w:t>
            </w:r>
            <w:r w:rsidRPr="00F110C2">
              <w:rPr>
                <w:rFonts w:ascii="Symbol" w:hAnsi="Symbol"/>
                <w:szCs w:val="24"/>
              </w:rPr>
              <w:sym w:font="Symbol" w:char="F0A3"/>
            </w:r>
            <w:r w:rsidRPr="00F110C2">
              <w:rPr>
                <w:szCs w:val="24"/>
              </w:rPr>
              <w:tab/>
            </w:r>
            <w:r w:rsidRPr="00F110C2">
              <w:rPr>
                <w:i/>
                <w:iCs/>
                <w:szCs w:val="24"/>
              </w:rPr>
              <w:t>P</w:t>
            </w:r>
          </w:p>
        </w:tc>
        <w:tc>
          <w:tcPr>
            <w:tcW w:w="3401" w:type="dxa"/>
            <w:tcBorders>
              <w:top w:val="single" w:sz="4" w:space="0" w:color="auto"/>
              <w:left w:val="single" w:sz="4" w:space="0" w:color="auto"/>
              <w:bottom w:val="single" w:sz="4" w:space="0" w:color="auto"/>
              <w:right w:val="single" w:sz="4" w:space="0" w:color="auto"/>
            </w:tcBorders>
          </w:tcPr>
          <w:p w14:paraId="3D4E4A0F" w14:textId="623D9870" w:rsidR="00CD45DB" w:rsidRPr="00F110C2" w:rsidRDefault="009615D1" w:rsidP="00254EC9">
            <w:pPr>
              <w:pStyle w:val="Tabletext"/>
              <w:jc w:val="center"/>
            </w:pPr>
            <w:r w:rsidRPr="00F110C2">
              <w:t>−</w:t>
            </w:r>
            <w:r w:rsidR="00CD45DB" w:rsidRPr="00F110C2">
              <w:t>5 dBm</w:t>
            </w:r>
          </w:p>
        </w:tc>
      </w:tr>
      <w:tr w:rsidR="00CD45DB" w:rsidRPr="00F110C2" w14:paraId="35ECDA58" w14:textId="77777777" w:rsidTr="003C1C18">
        <w:trPr>
          <w:jc w:val="center"/>
        </w:trPr>
        <w:tc>
          <w:tcPr>
            <w:tcW w:w="9072" w:type="dxa"/>
            <w:gridSpan w:val="3"/>
            <w:tcBorders>
              <w:top w:val="single" w:sz="4" w:space="0" w:color="auto"/>
              <w:left w:val="nil"/>
              <w:bottom w:val="nil"/>
              <w:right w:val="nil"/>
            </w:tcBorders>
          </w:tcPr>
          <w:p w14:paraId="50B7CAD3" w14:textId="635F06D8" w:rsidR="00CD45DB" w:rsidRPr="00F110C2" w:rsidRDefault="00CD45DB" w:rsidP="00254EC9">
            <w:pPr>
              <w:pStyle w:val="Tabletext"/>
              <w:ind w:left="284" w:hanging="284"/>
            </w:pPr>
            <w:r w:rsidRPr="00F110C2">
              <w:rPr>
                <w:vertAlign w:val="superscript"/>
              </w:rPr>
              <w:t>(1)</w:t>
            </w:r>
            <w:r w:rsidRPr="00F110C2">
              <w:tab/>
              <w:t xml:space="preserve">La valeur du point le plus proche du point d'extrémité est supérieure de 8 dB à la valeur du point d'extrémité et toutes ces valeurs sont assujetties à une limite supérieure de </w:t>
            </w:r>
            <w:r w:rsidR="009615D1" w:rsidRPr="00F110C2">
              <w:t>−</w:t>
            </w:r>
            <w:r w:rsidRPr="00F110C2">
              <w:t>67,8 dB.</w:t>
            </w:r>
          </w:p>
        </w:tc>
      </w:tr>
    </w:tbl>
    <w:p w14:paraId="330ED6C1" w14:textId="77777777" w:rsidR="003C1C18" w:rsidRPr="00F110C2" w:rsidRDefault="003C1C18" w:rsidP="00254EC9">
      <w:pPr>
        <w:pStyle w:val="Tablefin"/>
      </w:pPr>
    </w:p>
    <w:p w14:paraId="5A8125B4" w14:textId="5A2AB281" w:rsidR="00CD45DB" w:rsidRPr="00F110C2" w:rsidRDefault="00CD45DB" w:rsidP="00254EC9">
      <w:pPr>
        <w:pStyle w:val="Heading3"/>
      </w:pPr>
      <w:r w:rsidRPr="00F110C2">
        <w:t>2.2.2</w:t>
      </w:r>
      <w:r w:rsidRPr="00F110C2">
        <w:tab/>
        <w:t xml:space="preserve">Systèmes ISDB-T à 7MHz et à 8 MHz </w:t>
      </w:r>
    </w:p>
    <w:p w14:paraId="27904C06" w14:textId="77777777" w:rsidR="00CD45DB" w:rsidRPr="00F110C2" w:rsidRDefault="00CD45DB" w:rsidP="00254EC9">
      <w:r w:rsidRPr="00F110C2">
        <w:t>En ce qui concerne la télévision numérique à 7 MHz, le domaine des émissions hors bande s'étend de </w:t>
      </w:r>
      <w:r w:rsidRPr="00F110C2">
        <w:sym w:font="Symbol" w:char="F0B1"/>
      </w:r>
      <w:r w:rsidRPr="00F110C2">
        <w:t xml:space="preserve">3,5 MHz (c'est-à-dire </w:t>
      </w:r>
      <w:r w:rsidRPr="00F110C2">
        <w:sym w:font="Symbol" w:char="F0B1"/>
      </w:r>
      <w:r w:rsidRPr="00F110C2">
        <w:t>0,5 </w:t>
      </w:r>
      <w:r w:rsidRPr="00F110C2">
        <w:sym w:font="Symbol" w:char="F0B4"/>
      </w:r>
      <w:r w:rsidRPr="00F110C2">
        <w:t xml:space="preserve"> 7 MHz) à </w:t>
      </w:r>
      <w:r w:rsidRPr="00F110C2">
        <w:sym w:font="Symbol" w:char="F0B1"/>
      </w:r>
      <w:r w:rsidRPr="00F110C2">
        <w:t xml:space="preserve">17,5 MHz (c'est-à-dire </w:t>
      </w:r>
      <w:r w:rsidRPr="00F110C2">
        <w:sym w:font="Symbol" w:char="F0B1"/>
      </w:r>
      <w:r w:rsidRPr="00F110C2">
        <w:t>2,5 </w:t>
      </w:r>
      <w:r w:rsidRPr="00F110C2">
        <w:sym w:font="Symbol" w:char="F0B4"/>
      </w:r>
      <w:r w:rsidRPr="00F110C2">
        <w:t> 7 MHz).</w:t>
      </w:r>
    </w:p>
    <w:p w14:paraId="65C14FA7" w14:textId="77777777" w:rsidR="00CD45DB" w:rsidRPr="00F110C2" w:rsidRDefault="00CD45DB" w:rsidP="00254EC9">
      <w:r w:rsidRPr="00F110C2">
        <w:t>En ce qui concerne la télévision numérique à 8 MHz, le domaine des émissions hors bande s'étend de </w:t>
      </w:r>
      <w:r w:rsidRPr="00F110C2">
        <w:sym w:font="Symbol" w:char="F0B1"/>
      </w:r>
      <w:r w:rsidRPr="00F110C2">
        <w:t xml:space="preserve">4 MHz (c'est-à-dire </w:t>
      </w:r>
      <w:r w:rsidRPr="00F110C2">
        <w:sym w:font="Symbol" w:char="F0B1"/>
      </w:r>
      <w:r w:rsidRPr="00F110C2">
        <w:t>0,5 </w:t>
      </w:r>
      <w:r w:rsidRPr="00F110C2">
        <w:sym w:font="Symbol" w:char="F0B4"/>
      </w:r>
      <w:r w:rsidRPr="00F110C2">
        <w:t xml:space="preserve"> 8 MHz) à </w:t>
      </w:r>
      <w:r w:rsidRPr="00F110C2">
        <w:sym w:font="Symbol" w:char="F0B1"/>
      </w:r>
      <w:r w:rsidRPr="00F110C2">
        <w:t xml:space="preserve">20 MHz (c'est-à-dire </w:t>
      </w:r>
      <w:r w:rsidRPr="00F110C2">
        <w:sym w:font="Symbol" w:char="F0B1"/>
      </w:r>
      <w:r w:rsidRPr="00F110C2">
        <w:t>2,5 </w:t>
      </w:r>
      <w:r w:rsidRPr="00F110C2">
        <w:sym w:font="Symbol" w:char="F0B4"/>
      </w:r>
      <w:r w:rsidRPr="00F110C2">
        <w:t> 8 MHz).</w:t>
      </w:r>
    </w:p>
    <w:p w14:paraId="4419B2D4" w14:textId="20D06D47" w:rsidR="00CD45DB" w:rsidRPr="00F110C2" w:rsidRDefault="00CD45DB" w:rsidP="00254EC9">
      <w:r w:rsidRPr="00F110C2">
        <w:t>Les gabarits de limite spectrale pour les systèmes ISDB-T à 7 MHz et à 8 MHz sont représentés respectivement sur les Figs 25 et 26. Les points de rupture correspondant aux Figs 25 et 26 sont indiqués respectivement dans les Tableaux 19 et 20. Le niveau relatif de puissance est défini dans une largeur de bande de référence de 4 kHz. Le niveau de référence de 0 dB correspond à la puissance moyenne de sortie mesurée dans la largeur de bande du canal. Ces limites des émissions s'appliquent lorsque la puissance de sortie de l'émetteur est supérieure à 39 dBW.</w:t>
      </w:r>
    </w:p>
    <w:p w14:paraId="28EE3DD8" w14:textId="77777777" w:rsidR="00CD45DB" w:rsidRPr="00F110C2" w:rsidRDefault="00CD45DB" w:rsidP="00254EC9">
      <w:pPr>
        <w:pStyle w:val="FigureNo"/>
        <w:keepNext w:val="0"/>
        <w:keepLines w:val="0"/>
        <w:widowControl w:val="0"/>
      </w:pPr>
      <w:r w:rsidRPr="00F110C2">
        <w:t>figure 25</w:t>
      </w:r>
    </w:p>
    <w:p w14:paraId="56C73E3E" w14:textId="77777777" w:rsidR="00CD45DB" w:rsidRPr="00F110C2" w:rsidRDefault="00CD45DB" w:rsidP="00254EC9">
      <w:pPr>
        <w:pStyle w:val="Figuretitle"/>
        <w:keepNext w:val="0"/>
        <w:widowControl w:val="0"/>
      </w:pPr>
      <w:r w:rsidRPr="00F110C2">
        <w:t xml:space="preserve">Gabarit de limite spectrale pour les systèmes ISDB-T à 7 MHz (pour </w:t>
      </w:r>
      <w:r w:rsidRPr="00F110C2">
        <w:rPr>
          <w:rFonts w:ascii="Times New Roman"/>
          <w:bCs/>
          <w:i/>
          <w:iCs/>
        </w:rPr>
        <w:t>P</w:t>
      </w:r>
      <w:r w:rsidRPr="00F110C2">
        <w:t xml:space="preserve"> &gt; 39 dBW)</w:t>
      </w:r>
    </w:p>
    <w:p w14:paraId="34ABA1E6" w14:textId="77777777" w:rsidR="00CD45DB" w:rsidRPr="00F110C2" w:rsidRDefault="00CD45DB" w:rsidP="00254EC9">
      <w:pPr>
        <w:pStyle w:val="Figure"/>
        <w:keepLines w:val="0"/>
        <w:widowControl w:val="0"/>
      </w:pPr>
      <w:r w:rsidRPr="00F110C2">
        <w:drawing>
          <wp:inline distT="0" distB="0" distL="0" distR="0" wp14:anchorId="7164F24B" wp14:editId="6ECB6FC2">
            <wp:extent cx="5164183" cy="2936648"/>
            <wp:effectExtent l="0" t="0" r="0" b="0"/>
            <wp:docPr id="1105739478" name="Picture 8" descr="A graph of a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39478" name="Picture 8" descr="A graph of a frequency&#10;&#10;AI-generated content may be incorrect."/>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t="5380" b="4118"/>
                    <a:stretch/>
                  </pic:blipFill>
                  <pic:spPr bwMode="auto">
                    <a:xfrm>
                      <a:off x="0" y="0"/>
                      <a:ext cx="5217247" cy="2966823"/>
                    </a:xfrm>
                    <a:prstGeom prst="rect">
                      <a:avLst/>
                    </a:prstGeom>
                    <a:noFill/>
                    <a:ln>
                      <a:noFill/>
                    </a:ln>
                    <a:extLst>
                      <a:ext uri="{53640926-AAD7-44D8-BBD7-CCE9431645EC}">
                        <a14:shadowObscured xmlns:a14="http://schemas.microsoft.com/office/drawing/2010/main"/>
                      </a:ext>
                    </a:extLst>
                  </pic:spPr>
                </pic:pic>
              </a:graphicData>
            </a:graphic>
          </wp:inline>
        </w:drawing>
      </w:r>
    </w:p>
    <w:p w14:paraId="376EB212" w14:textId="77777777" w:rsidR="00CD45DB" w:rsidRPr="00F110C2" w:rsidRDefault="00CD45DB" w:rsidP="00254EC9">
      <w:pPr>
        <w:pStyle w:val="TableNo"/>
      </w:pPr>
      <w:r w:rsidRPr="00F110C2">
        <w:lastRenderedPageBreak/>
        <w:t>TABLEAU 19</w:t>
      </w:r>
    </w:p>
    <w:p w14:paraId="2CB23B40" w14:textId="77777777" w:rsidR="00CD45DB" w:rsidRPr="00F110C2" w:rsidRDefault="00CD45DB" w:rsidP="00254EC9">
      <w:pPr>
        <w:pStyle w:val="Tabletitle"/>
      </w:pPr>
      <w:r w:rsidRPr="00F110C2">
        <w:t>Tableau des points de rupture correspondant à la Fig. 25</w:t>
      </w:r>
      <w:r w:rsidRPr="00F110C2">
        <w:br/>
        <w:t>pour les systèmes ISDB</w:t>
      </w:r>
      <w:r w:rsidRPr="00F110C2">
        <w:noBreakHyphen/>
        <w:t>T à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1"/>
        <w:gridCol w:w="4358"/>
      </w:tblGrid>
      <w:tr w:rsidR="00CD45DB" w:rsidRPr="00F110C2" w14:paraId="247770AD" w14:textId="77777777" w:rsidTr="003C1C18">
        <w:trPr>
          <w:jc w:val="center"/>
        </w:trPr>
        <w:tc>
          <w:tcPr>
            <w:tcW w:w="3658" w:type="dxa"/>
          </w:tcPr>
          <w:p w14:paraId="4C97D081" w14:textId="0B3E13B8" w:rsidR="00CD45DB" w:rsidRPr="00F110C2" w:rsidRDefault="00CD45DB" w:rsidP="00254EC9">
            <w:pPr>
              <w:pStyle w:val="Tablehead"/>
            </w:pPr>
            <w:r w:rsidRPr="00F110C2">
              <w:t xml:space="preserve">Fréquence par rapport au centre du canal de 7 MHz </w:t>
            </w:r>
            <w:r w:rsidRPr="00F110C2">
              <w:rPr>
                <w:lang w:eastAsia="ja-JP"/>
              </w:rPr>
              <w:t>(MHz)</w:t>
            </w:r>
          </w:p>
        </w:tc>
        <w:tc>
          <w:tcPr>
            <w:tcW w:w="3019" w:type="dxa"/>
          </w:tcPr>
          <w:p w14:paraId="7726BEED" w14:textId="77777777" w:rsidR="00CD45DB" w:rsidRPr="00F110C2" w:rsidRDefault="00CD45DB" w:rsidP="00254EC9">
            <w:pPr>
              <w:pStyle w:val="Tablehead"/>
            </w:pPr>
            <w:r w:rsidRPr="00F110C2">
              <w:t xml:space="preserve">Niveau relatif dans une largeur de bande de référence de </w:t>
            </w:r>
            <w:r w:rsidRPr="00F110C2">
              <w:rPr>
                <w:lang w:eastAsia="ja-JP"/>
              </w:rPr>
              <w:t xml:space="preserve">4 </w:t>
            </w:r>
            <w:r w:rsidRPr="00F110C2">
              <w:t>kHz (dB)</w:t>
            </w:r>
          </w:p>
        </w:tc>
      </w:tr>
      <w:tr w:rsidR="00CD45DB" w:rsidRPr="00F110C2" w14:paraId="10595BA7" w14:textId="77777777" w:rsidTr="003C1C18">
        <w:trPr>
          <w:jc w:val="center"/>
        </w:trPr>
        <w:tc>
          <w:tcPr>
            <w:tcW w:w="3658" w:type="dxa"/>
          </w:tcPr>
          <w:p w14:paraId="152A69F4" w14:textId="5B3E0F92" w:rsidR="00CD45DB" w:rsidRPr="00F110C2" w:rsidRDefault="009615D1" w:rsidP="00254EC9">
            <w:pPr>
              <w:pStyle w:val="Tabletext"/>
              <w:jc w:val="center"/>
            </w:pPr>
            <w:r w:rsidRPr="00F110C2">
              <w:t>−</w:t>
            </w:r>
            <w:r w:rsidR="00CD45DB" w:rsidRPr="00F110C2">
              <w:rPr>
                <w:lang w:eastAsia="ja-JP"/>
              </w:rPr>
              <w:t>17,5</w:t>
            </w:r>
          </w:p>
        </w:tc>
        <w:tc>
          <w:tcPr>
            <w:tcW w:w="3019" w:type="dxa"/>
          </w:tcPr>
          <w:p w14:paraId="172F6599" w14:textId="4895EFF9" w:rsidR="00CD45DB" w:rsidRPr="00F110C2" w:rsidRDefault="009615D1" w:rsidP="00254EC9">
            <w:pPr>
              <w:pStyle w:val="Tabletext"/>
              <w:jc w:val="center"/>
            </w:pPr>
            <w:r w:rsidRPr="00F110C2">
              <w:t>−</w:t>
            </w:r>
            <w:r w:rsidR="00CD45DB" w:rsidRPr="00F110C2">
              <w:rPr>
                <w:lang w:eastAsia="ja-JP"/>
              </w:rPr>
              <w:t>82,1</w:t>
            </w:r>
          </w:p>
        </w:tc>
      </w:tr>
      <w:tr w:rsidR="00CD45DB" w:rsidRPr="00F110C2" w14:paraId="6C8CA7D8" w14:textId="77777777" w:rsidTr="003C1C18">
        <w:trPr>
          <w:jc w:val="center"/>
        </w:trPr>
        <w:tc>
          <w:tcPr>
            <w:tcW w:w="3658" w:type="dxa"/>
          </w:tcPr>
          <w:p w14:paraId="4F1DCA91" w14:textId="6F431812" w:rsidR="00CD45DB" w:rsidRPr="00F110C2" w:rsidRDefault="009615D1" w:rsidP="00254EC9">
            <w:pPr>
              <w:pStyle w:val="Tabletext"/>
              <w:jc w:val="center"/>
            </w:pPr>
            <w:r w:rsidRPr="00F110C2">
              <w:t>−</w:t>
            </w:r>
            <w:r w:rsidR="00CD45DB" w:rsidRPr="00F110C2">
              <w:rPr>
                <w:lang w:eastAsia="ja-JP"/>
              </w:rPr>
              <w:t>5,09</w:t>
            </w:r>
          </w:p>
        </w:tc>
        <w:tc>
          <w:tcPr>
            <w:tcW w:w="3019" w:type="dxa"/>
          </w:tcPr>
          <w:p w14:paraId="44F0FFA8" w14:textId="0FB797E5" w:rsidR="00CD45DB" w:rsidRPr="00F110C2" w:rsidRDefault="009615D1" w:rsidP="00254EC9">
            <w:pPr>
              <w:pStyle w:val="Tabletext"/>
              <w:jc w:val="center"/>
            </w:pPr>
            <w:r w:rsidRPr="00F110C2">
              <w:t>−</w:t>
            </w:r>
            <w:r w:rsidR="00CD45DB" w:rsidRPr="00F110C2">
              <w:rPr>
                <w:lang w:eastAsia="ja-JP"/>
              </w:rPr>
              <w:t>82,1</w:t>
            </w:r>
          </w:p>
        </w:tc>
      </w:tr>
      <w:tr w:rsidR="00CD45DB" w:rsidRPr="00F110C2" w14:paraId="77662F6C" w14:textId="77777777" w:rsidTr="003C1C18">
        <w:trPr>
          <w:jc w:val="center"/>
        </w:trPr>
        <w:tc>
          <w:tcPr>
            <w:tcW w:w="3658" w:type="dxa"/>
          </w:tcPr>
          <w:p w14:paraId="6B10052C" w14:textId="02CF19A3" w:rsidR="00CD45DB" w:rsidRPr="00F110C2" w:rsidRDefault="009615D1" w:rsidP="00254EC9">
            <w:pPr>
              <w:pStyle w:val="Tabletext"/>
              <w:jc w:val="center"/>
            </w:pPr>
            <w:r w:rsidRPr="00F110C2">
              <w:t>−</w:t>
            </w:r>
            <w:r w:rsidR="00CD45DB" w:rsidRPr="00F110C2">
              <w:rPr>
                <w:lang w:eastAsia="ja-JP"/>
              </w:rPr>
              <w:t>3,50</w:t>
            </w:r>
          </w:p>
        </w:tc>
        <w:tc>
          <w:tcPr>
            <w:tcW w:w="3019" w:type="dxa"/>
          </w:tcPr>
          <w:p w14:paraId="60A364FD" w14:textId="3DEBFC86" w:rsidR="00CD45DB" w:rsidRPr="00F110C2" w:rsidRDefault="009615D1" w:rsidP="00254EC9">
            <w:pPr>
              <w:pStyle w:val="Tabletext"/>
              <w:jc w:val="center"/>
            </w:pPr>
            <w:r w:rsidRPr="00F110C2">
              <w:t>−</w:t>
            </w:r>
            <w:r w:rsidR="00CD45DB" w:rsidRPr="00F110C2">
              <w:rPr>
                <w:lang w:eastAsia="ja-JP"/>
              </w:rPr>
              <w:t>59,1</w:t>
            </w:r>
          </w:p>
        </w:tc>
      </w:tr>
      <w:tr w:rsidR="00CD45DB" w:rsidRPr="00F110C2" w14:paraId="1332722B" w14:textId="77777777" w:rsidTr="003C1C18">
        <w:trPr>
          <w:jc w:val="center"/>
        </w:trPr>
        <w:tc>
          <w:tcPr>
            <w:tcW w:w="3658" w:type="dxa"/>
          </w:tcPr>
          <w:p w14:paraId="2636498F" w14:textId="347DF4F7" w:rsidR="00CD45DB" w:rsidRPr="00F110C2" w:rsidRDefault="009615D1" w:rsidP="00254EC9">
            <w:pPr>
              <w:pStyle w:val="Tabletext"/>
              <w:jc w:val="center"/>
            </w:pPr>
            <w:r w:rsidRPr="00F110C2">
              <w:t>−</w:t>
            </w:r>
            <w:r w:rsidR="00CD45DB" w:rsidRPr="00F110C2">
              <w:rPr>
                <w:lang w:eastAsia="ja-JP"/>
              </w:rPr>
              <w:t>3,34</w:t>
            </w:r>
          </w:p>
        </w:tc>
        <w:tc>
          <w:tcPr>
            <w:tcW w:w="3019" w:type="dxa"/>
          </w:tcPr>
          <w:p w14:paraId="0BB0A83A" w14:textId="1FFA5389" w:rsidR="00CD45DB" w:rsidRPr="00F110C2" w:rsidRDefault="009615D1" w:rsidP="00254EC9">
            <w:pPr>
              <w:pStyle w:val="Tabletext"/>
              <w:jc w:val="center"/>
            </w:pPr>
            <w:r w:rsidRPr="00F110C2">
              <w:t>−</w:t>
            </w:r>
            <w:r w:rsidR="00CD45DB" w:rsidRPr="00F110C2">
              <w:rPr>
                <w:lang w:eastAsia="ja-JP"/>
              </w:rPr>
              <w:t>52,1</w:t>
            </w:r>
          </w:p>
        </w:tc>
      </w:tr>
      <w:tr w:rsidR="00CD45DB" w:rsidRPr="00F110C2" w14:paraId="19B6398B" w14:textId="77777777" w:rsidTr="003C1C18">
        <w:trPr>
          <w:jc w:val="center"/>
        </w:trPr>
        <w:tc>
          <w:tcPr>
            <w:tcW w:w="3658" w:type="dxa"/>
          </w:tcPr>
          <w:p w14:paraId="11529ED6" w14:textId="41040B49" w:rsidR="00CD45DB" w:rsidRPr="00F110C2" w:rsidRDefault="009615D1" w:rsidP="00254EC9">
            <w:pPr>
              <w:pStyle w:val="Tabletext"/>
              <w:jc w:val="center"/>
            </w:pPr>
            <w:r w:rsidRPr="00F110C2">
              <w:t>−</w:t>
            </w:r>
            <w:r w:rsidR="00CD45DB" w:rsidRPr="00F110C2">
              <w:rPr>
                <w:lang w:eastAsia="ja-JP"/>
              </w:rPr>
              <w:t>3,26</w:t>
            </w:r>
          </w:p>
        </w:tc>
        <w:tc>
          <w:tcPr>
            <w:tcW w:w="3019" w:type="dxa"/>
          </w:tcPr>
          <w:p w14:paraId="29A42899" w14:textId="385FBC16" w:rsidR="00CD45DB" w:rsidRPr="00F110C2" w:rsidRDefault="009615D1" w:rsidP="00254EC9">
            <w:pPr>
              <w:pStyle w:val="Tabletext"/>
              <w:jc w:val="center"/>
            </w:pPr>
            <w:r w:rsidRPr="00F110C2">
              <w:t>−</w:t>
            </w:r>
            <w:r w:rsidR="00CD45DB" w:rsidRPr="00F110C2">
              <w:rPr>
                <w:lang w:eastAsia="ja-JP"/>
              </w:rPr>
              <w:t>32,1</w:t>
            </w:r>
          </w:p>
        </w:tc>
      </w:tr>
      <w:tr w:rsidR="00CD45DB" w:rsidRPr="00F110C2" w14:paraId="07C1AD95" w14:textId="77777777" w:rsidTr="003C1C18">
        <w:trPr>
          <w:jc w:val="center"/>
        </w:trPr>
        <w:tc>
          <w:tcPr>
            <w:tcW w:w="3658" w:type="dxa"/>
          </w:tcPr>
          <w:p w14:paraId="7ECA59AA" w14:textId="77777777" w:rsidR="00CD45DB" w:rsidRPr="00F110C2" w:rsidRDefault="00CD45DB" w:rsidP="00254EC9">
            <w:pPr>
              <w:pStyle w:val="Tabletext"/>
              <w:jc w:val="center"/>
            </w:pPr>
            <w:r w:rsidRPr="00F110C2">
              <w:t>+</w:t>
            </w:r>
            <w:r w:rsidRPr="00F110C2">
              <w:rPr>
                <w:lang w:eastAsia="ja-JP"/>
              </w:rPr>
              <w:t>3,26</w:t>
            </w:r>
          </w:p>
        </w:tc>
        <w:tc>
          <w:tcPr>
            <w:tcW w:w="3019" w:type="dxa"/>
          </w:tcPr>
          <w:p w14:paraId="33DEDC99" w14:textId="0887C0B0" w:rsidR="00CD45DB" w:rsidRPr="00F110C2" w:rsidRDefault="009615D1" w:rsidP="00254EC9">
            <w:pPr>
              <w:pStyle w:val="Tabletext"/>
              <w:jc w:val="center"/>
            </w:pPr>
            <w:r w:rsidRPr="00F110C2">
              <w:t>−</w:t>
            </w:r>
            <w:r w:rsidR="00CD45DB" w:rsidRPr="00F110C2">
              <w:rPr>
                <w:lang w:eastAsia="ja-JP"/>
              </w:rPr>
              <w:t>32,1</w:t>
            </w:r>
          </w:p>
        </w:tc>
      </w:tr>
      <w:tr w:rsidR="00CD45DB" w:rsidRPr="00F110C2" w14:paraId="41E5ACE5" w14:textId="77777777" w:rsidTr="003C1C18">
        <w:trPr>
          <w:jc w:val="center"/>
        </w:trPr>
        <w:tc>
          <w:tcPr>
            <w:tcW w:w="3658" w:type="dxa"/>
          </w:tcPr>
          <w:p w14:paraId="2C2CD1FF" w14:textId="77777777" w:rsidR="00CD45DB" w:rsidRPr="00F110C2" w:rsidRDefault="00CD45DB" w:rsidP="00254EC9">
            <w:pPr>
              <w:pStyle w:val="Tabletext"/>
              <w:jc w:val="center"/>
            </w:pPr>
            <w:r w:rsidRPr="00F110C2">
              <w:rPr>
                <w:lang w:eastAsia="ja-JP"/>
              </w:rPr>
              <w:t>+3,34</w:t>
            </w:r>
          </w:p>
        </w:tc>
        <w:tc>
          <w:tcPr>
            <w:tcW w:w="3019" w:type="dxa"/>
          </w:tcPr>
          <w:p w14:paraId="4E80E533" w14:textId="6F3D0946" w:rsidR="00CD45DB" w:rsidRPr="00F110C2" w:rsidRDefault="009615D1" w:rsidP="00254EC9">
            <w:pPr>
              <w:pStyle w:val="Tabletext"/>
              <w:jc w:val="center"/>
            </w:pPr>
            <w:r w:rsidRPr="00F110C2">
              <w:t>−</w:t>
            </w:r>
            <w:r w:rsidR="00CD45DB" w:rsidRPr="00F110C2">
              <w:rPr>
                <w:lang w:eastAsia="ja-JP"/>
              </w:rPr>
              <w:t>52,1</w:t>
            </w:r>
          </w:p>
        </w:tc>
      </w:tr>
      <w:tr w:rsidR="00CD45DB" w:rsidRPr="00F110C2" w14:paraId="164EC1BF" w14:textId="77777777" w:rsidTr="003C1C18">
        <w:trPr>
          <w:jc w:val="center"/>
        </w:trPr>
        <w:tc>
          <w:tcPr>
            <w:tcW w:w="3658" w:type="dxa"/>
          </w:tcPr>
          <w:p w14:paraId="23269F17" w14:textId="77777777" w:rsidR="00CD45DB" w:rsidRPr="00F110C2" w:rsidRDefault="00CD45DB" w:rsidP="00254EC9">
            <w:pPr>
              <w:pStyle w:val="Tabletext"/>
              <w:jc w:val="center"/>
            </w:pPr>
            <w:r w:rsidRPr="00F110C2">
              <w:rPr>
                <w:lang w:eastAsia="ja-JP"/>
              </w:rPr>
              <w:t>+3,50</w:t>
            </w:r>
          </w:p>
        </w:tc>
        <w:tc>
          <w:tcPr>
            <w:tcW w:w="3019" w:type="dxa"/>
          </w:tcPr>
          <w:p w14:paraId="1BB1FD4A" w14:textId="0B0F0693" w:rsidR="00CD45DB" w:rsidRPr="00F110C2" w:rsidRDefault="009615D1" w:rsidP="00254EC9">
            <w:pPr>
              <w:pStyle w:val="Tabletext"/>
              <w:jc w:val="center"/>
            </w:pPr>
            <w:r w:rsidRPr="00F110C2">
              <w:t>−</w:t>
            </w:r>
            <w:r w:rsidR="00CD45DB" w:rsidRPr="00F110C2">
              <w:rPr>
                <w:lang w:eastAsia="ja-JP"/>
              </w:rPr>
              <w:t>59,1</w:t>
            </w:r>
          </w:p>
        </w:tc>
      </w:tr>
      <w:tr w:rsidR="00CD45DB" w:rsidRPr="00F110C2" w14:paraId="5FE6C354" w14:textId="77777777" w:rsidTr="003C1C18">
        <w:trPr>
          <w:jc w:val="center"/>
        </w:trPr>
        <w:tc>
          <w:tcPr>
            <w:tcW w:w="3658" w:type="dxa"/>
          </w:tcPr>
          <w:p w14:paraId="666B8943" w14:textId="77777777" w:rsidR="00CD45DB" w:rsidRPr="00F110C2" w:rsidRDefault="00CD45DB" w:rsidP="00254EC9">
            <w:pPr>
              <w:pStyle w:val="Tabletext"/>
              <w:jc w:val="center"/>
            </w:pPr>
            <w:r w:rsidRPr="00F110C2">
              <w:rPr>
                <w:lang w:eastAsia="ja-JP"/>
              </w:rPr>
              <w:t>+5,09</w:t>
            </w:r>
          </w:p>
        </w:tc>
        <w:tc>
          <w:tcPr>
            <w:tcW w:w="3019" w:type="dxa"/>
          </w:tcPr>
          <w:p w14:paraId="467DB71E" w14:textId="5C8E0956" w:rsidR="00CD45DB" w:rsidRPr="00F110C2" w:rsidRDefault="009615D1" w:rsidP="00254EC9">
            <w:pPr>
              <w:pStyle w:val="Tabletext"/>
              <w:jc w:val="center"/>
            </w:pPr>
            <w:r w:rsidRPr="00F110C2">
              <w:t>−</w:t>
            </w:r>
            <w:r w:rsidR="00CD45DB" w:rsidRPr="00F110C2">
              <w:rPr>
                <w:lang w:eastAsia="ja-JP"/>
              </w:rPr>
              <w:t>82,1</w:t>
            </w:r>
          </w:p>
        </w:tc>
      </w:tr>
      <w:tr w:rsidR="00CD45DB" w:rsidRPr="00F110C2" w14:paraId="199969E3" w14:textId="77777777" w:rsidTr="003C1C18">
        <w:trPr>
          <w:jc w:val="center"/>
        </w:trPr>
        <w:tc>
          <w:tcPr>
            <w:tcW w:w="3658" w:type="dxa"/>
          </w:tcPr>
          <w:p w14:paraId="32E047A8" w14:textId="77777777" w:rsidR="00CD45DB" w:rsidRPr="00F110C2" w:rsidRDefault="00CD45DB" w:rsidP="00254EC9">
            <w:pPr>
              <w:pStyle w:val="Tabletext"/>
              <w:jc w:val="center"/>
            </w:pPr>
            <w:r w:rsidRPr="00F110C2">
              <w:rPr>
                <w:lang w:eastAsia="ja-JP"/>
              </w:rPr>
              <w:t>+</w:t>
            </w:r>
            <w:r w:rsidRPr="00F110C2">
              <w:t>1</w:t>
            </w:r>
            <w:r w:rsidRPr="00F110C2">
              <w:rPr>
                <w:lang w:eastAsia="ja-JP"/>
              </w:rPr>
              <w:t>7,5</w:t>
            </w:r>
          </w:p>
        </w:tc>
        <w:tc>
          <w:tcPr>
            <w:tcW w:w="3019" w:type="dxa"/>
          </w:tcPr>
          <w:p w14:paraId="6129BF36" w14:textId="03D59A7D" w:rsidR="00CD45DB" w:rsidRPr="00F110C2" w:rsidRDefault="009615D1" w:rsidP="00254EC9">
            <w:pPr>
              <w:pStyle w:val="Tabletext"/>
              <w:jc w:val="center"/>
            </w:pPr>
            <w:r w:rsidRPr="00F110C2">
              <w:t>−</w:t>
            </w:r>
            <w:r w:rsidR="00CD45DB" w:rsidRPr="00F110C2">
              <w:rPr>
                <w:lang w:eastAsia="ja-JP"/>
              </w:rPr>
              <w:t>82,1</w:t>
            </w:r>
          </w:p>
        </w:tc>
      </w:tr>
    </w:tbl>
    <w:p w14:paraId="2D7FF931" w14:textId="77777777" w:rsidR="00CD45DB" w:rsidRPr="00F110C2" w:rsidRDefault="00CD45DB" w:rsidP="00254EC9">
      <w:pPr>
        <w:pStyle w:val="Tablefin"/>
        <w:rPr>
          <w:lang w:eastAsia="ja-JP"/>
        </w:rPr>
      </w:pPr>
    </w:p>
    <w:p w14:paraId="21878A78" w14:textId="77777777" w:rsidR="00CD45DB" w:rsidRPr="00F110C2" w:rsidRDefault="00CD45DB" w:rsidP="00254EC9">
      <w:pPr>
        <w:pStyle w:val="FigureNo"/>
      </w:pPr>
      <w:r w:rsidRPr="00F110C2">
        <w:rPr>
          <w:lang w:eastAsia="ja-JP"/>
        </w:rPr>
        <w:t>FIGURE 26</w:t>
      </w:r>
    </w:p>
    <w:p w14:paraId="67D7E3E0" w14:textId="77777777" w:rsidR="00CD45DB" w:rsidRPr="00F110C2" w:rsidRDefault="00CD45DB" w:rsidP="00254EC9">
      <w:pPr>
        <w:pStyle w:val="Figuretitle"/>
        <w:rPr>
          <w:lang w:eastAsia="ja-JP"/>
        </w:rPr>
      </w:pPr>
      <w:r w:rsidRPr="00F110C2">
        <w:rPr>
          <w:lang w:eastAsia="ja-JP"/>
        </w:rPr>
        <w:t>Gabarit de limite spectrale pour les systèmes ISDB</w:t>
      </w:r>
      <w:r w:rsidRPr="00F110C2">
        <w:rPr>
          <w:lang w:eastAsia="ja-JP"/>
        </w:rPr>
        <w:noBreakHyphen/>
        <w:t>T à 8</w:t>
      </w:r>
      <w:r w:rsidRPr="00F110C2">
        <w:t> </w:t>
      </w:r>
      <w:r w:rsidRPr="00F110C2">
        <w:rPr>
          <w:lang w:eastAsia="ja-JP"/>
        </w:rPr>
        <w:t xml:space="preserve">MHz (pour </w:t>
      </w:r>
      <w:r w:rsidRPr="00F110C2">
        <w:rPr>
          <w:rFonts w:ascii="Times New Roman"/>
          <w:bCs/>
          <w:i/>
          <w:iCs/>
          <w:lang w:eastAsia="ja-JP"/>
        </w:rPr>
        <w:t xml:space="preserve">P </w:t>
      </w:r>
      <w:r w:rsidRPr="00F110C2">
        <w:rPr>
          <w:i/>
          <w:lang w:eastAsia="ja-JP"/>
        </w:rPr>
        <w:t>&gt;</w:t>
      </w:r>
      <w:r w:rsidRPr="00F110C2">
        <w:rPr>
          <w:lang w:eastAsia="ja-JP"/>
        </w:rPr>
        <w:t xml:space="preserve"> 39</w:t>
      </w:r>
      <w:r w:rsidRPr="00F110C2">
        <w:t> </w:t>
      </w:r>
      <w:r w:rsidRPr="00F110C2">
        <w:rPr>
          <w:lang w:eastAsia="ja-JP"/>
        </w:rPr>
        <w:t>dBW)</w:t>
      </w:r>
    </w:p>
    <w:p w14:paraId="604DF0C0" w14:textId="77777777" w:rsidR="00CD45DB" w:rsidRPr="00F110C2" w:rsidRDefault="00CD45DB" w:rsidP="00254EC9">
      <w:pPr>
        <w:pStyle w:val="Figure"/>
        <w:rPr>
          <w:lang w:eastAsia="ja-JP"/>
        </w:rPr>
      </w:pPr>
      <w:r w:rsidRPr="00F110C2">
        <w:drawing>
          <wp:inline distT="0" distB="0" distL="0" distR="0" wp14:anchorId="25B5DD41" wp14:editId="4CF5D417">
            <wp:extent cx="5629701" cy="3357851"/>
            <wp:effectExtent l="0" t="0" r="0" b="0"/>
            <wp:docPr id="1390625211" name="Picture 9" descr="A graph with lin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25211" name="Picture 9" descr="A graph with lines on it&#10;&#10;AI-generated content may be incorrect."/>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634272" cy="3360577"/>
                    </a:xfrm>
                    <a:prstGeom prst="rect">
                      <a:avLst/>
                    </a:prstGeom>
                    <a:noFill/>
                    <a:ln>
                      <a:noFill/>
                    </a:ln>
                  </pic:spPr>
                </pic:pic>
              </a:graphicData>
            </a:graphic>
          </wp:inline>
        </w:drawing>
      </w:r>
    </w:p>
    <w:p w14:paraId="2919D091" w14:textId="77777777" w:rsidR="00CD45DB" w:rsidRPr="00F110C2" w:rsidRDefault="00CD45DB" w:rsidP="00254EC9">
      <w:pPr>
        <w:pStyle w:val="TableNo"/>
        <w:keepLines/>
      </w:pPr>
      <w:r w:rsidRPr="00F110C2">
        <w:lastRenderedPageBreak/>
        <w:t>TABLEAU 20</w:t>
      </w:r>
    </w:p>
    <w:p w14:paraId="5E6303D8" w14:textId="77777777" w:rsidR="00CD45DB" w:rsidRPr="00F110C2" w:rsidRDefault="00CD45DB" w:rsidP="00254EC9">
      <w:pPr>
        <w:pStyle w:val="Tabletitle"/>
        <w:keepLines/>
      </w:pPr>
      <w:r w:rsidRPr="00F110C2">
        <w:t>Tableau des points de rupture correspondant à la Fig. 26</w:t>
      </w:r>
      <w:r w:rsidRPr="00F110C2">
        <w:br/>
        <w:t>pour les systèmes ISDB</w:t>
      </w:r>
      <w:r w:rsidRPr="00F110C2">
        <w:noBreakHyphen/>
        <w:t xml:space="preserve">T à 8 MHz </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835"/>
      </w:tblGrid>
      <w:tr w:rsidR="00CD45DB" w:rsidRPr="00F110C2" w14:paraId="4D7779C6" w14:textId="77777777" w:rsidTr="00311649">
        <w:trPr>
          <w:jc w:val="center"/>
        </w:trPr>
        <w:tc>
          <w:tcPr>
            <w:tcW w:w="4815" w:type="dxa"/>
          </w:tcPr>
          <w:p w14:paraId="17976604" w14:textId="77777777" w:rsidR="00CD45DB" w:rsidRPr="00F110C2" w:rsidRDefault="00CD45DB" w:rsidP="00254EC9">
            <w:pPr>
              <w:pStyle w:val="Tablehead"/>
              <w:keepLines/>
            </w:pPr>
            <w:r w:rsidRPr="00F110C2">
              <w:t>Fréquence par rapport au centre</w:t>
            </w:r>
            <w:r w:rsidRPr="00F110C2">
              <w:br/>
              <w:t xml:space="preserve">du canal de </w:t>
            </w:r>
            <w:r w:rsidRPr="00F110C2">
              <w:rPr>
                <w:lang w:eastAsia="ja-JP"/>
              </w:rPr>
              <w:t>8</w:t>
            </w:r>
            <w:r w:rsidRPr="00F110C2">
              <w:t> MHz (MHz)</w:t>
            </w:r>
          </w:p>
        </w:tc>
        <w:tc>
          <w:tcPr>
            <w:tcW w:w="4835" w:type="dxa"/>
          </w:tcPr>
          <w:p w14:paraId="26315430" w14:textId="77777777" w:rsidR="00CD45DB" w:rsidRPr="00F110C2" w:rsidRDefault="00CD45DB" w:rsidP="00254EC9">
            <w:pPr>
              <w:pStyle w:val="Tablehead"/>
              <w:keepLines/>
            </w:pPr>
            <w:r w:rsidRPr="00F110C2">
              <w:t>Niveau relatif dans une largeur de bande</w:t>
            </w:r>
            <w:r w:rsidRPr="00F110C2">
              <w:br/>
              <w:t xml:space="preserve">de référence de </w:t>
            </w:r>
            <w:r w:rsidRPr="00F110C2">
              <w:rPr>
                <w:lang w:eastAsia="ja-JP"/>
              </w:rPr>
              <w:t>4</w:t>
            </w:r>
            <w:r w:rsidRPr="00F110C2">
              <w:t> kHz (dB)</w:t>
            </w:r>
          </w:p>
        </w:tc>
      </w:tr>
      <w:tr w:rsidR="00CD45DB" w:rsidRPr="00F110C2" w14:paraId="7A6995F1" w14:textId="77777777" w:rsidTr="00311649">
        <w:trPr>
          <w:jc w:val="center"/>
        </w:trPr>
        <w:tc>
          <w:tcPr>
            <w:tcW w:w="4815" w:type="dxa"/>
          </w:tcPr>
          <w:p w14:paraId="7B876D94" w14:textId="391F6F9D" w:rsidR="00CD45DB" w:rsidRPr="00F110C2" w:rsidRDefault="009615D1" w:rsidP="00254EC9">
            <w:pPr>
              <w:pStyle w:val="Tabletext"/>
              <w:keepNext/>
              <w:keepLines/>
              <w:jc w:val="center"/>
            </w:pPr>
            <w:r w:rsidRPr="00F110C2">
              <w:t>−</w:t>
            </w:r>
            <w:r w:rsidR="00CD45DB" w:rsidRPr="00F110C2">
              <w:rPr>
                <w:lang w:eastAsia="ja-JP"/>
              </w:rPr>
              <w:t>20,</w:t>
            </w:r>
            <w:r w:rsidR="00CD45DB" w:rsidRPr="00F110C2">
              <w:t>0</w:t>
            </w:r>
          </w:p>
        </w:tc>
        <w:tc>
          <w:tcPr>
            <w:tcW w:w="4835" w:type="dxa"/>
          </w:tcPr>
          <w:p w14:paraId="1583C001" w14:textId="3E23C017" w:rsidR="00CD45DB" w:rsidRPr="00F110C2" w:rsidRDefault="009615D1" w:rsidP="00254EC9">
            <w:pPr>
              <w:pStyle w:val="Tabletext"/>
              <w:keepNext/>
              <w:keepLines/>
              <w:jc w:val="center"/>
            </w:pPr>
            <w:r w:rsidRPr="00F110C2">
              <w:t>−</w:t>
            </w:r>
            <w:r w:rsidR="00CD45DB" w:rsidRPr="00F110C2">
              <w:rPr>
                <w:lang w:eastAsia="ja-JP"/>
              </w:rPr>
              <w:t>82,7</w:t>
            </w:r>
          </w:p>
        </w:tc>
      </w:tr>
      <w:tr w:rsidR="00CD45DB" w:rsidRPr="00F110C2" w14:paraId="6F27A9FF" w14:textId="77777777" w:rsidTr="00311649">
        <w:trPr>
          <w:jc w:val="center"/>
        </w:trPr>
        <w:tc>
          <w:tcPr>
            <w:tcW w:w="4815" w:type="dxa"/>
          </w:tcPr>
          <w:p w14:paraId="3FAA2581" w14:textId="4878DE97" w:rsidR="00CD45DB" w:rsidRPr="00F110C2" w:rsidRDefault="009615D1" w:rsidP="00254EC9">
            <w:pPr>
              <w:pStyle w:val="Tabletext"/>
              <w:keepNext/>
              <w:keepLines/>
              <w:jc w:val="center"/>
            </w:pPr>
            <w:r w:rsidRPr="00F110C2">
              <w:t>−</w:t>
            </w:r>
            <w:r w:rsidR="00CD45DB" w:rsidRPr="00F110C2">
              <w:rPr>
                <w:lang w:eastAsia="ja-JP"/>
              </w:rPr>
              <w:t>5,81</w:t>
            </w:r>
          </w:p>
        </w:tc>
        <w:tc>
          <w:tcPr>
            <w:tcW w:w="4835" w:type="dxa"/>
          </w:tcPr>
          <w:p w14:paraId="7D6D8F84" w14:textId="7D74FB0B" w:rsidR="00CD45DB" w:rsidRPr="00F110C2" w:rsidRDefault="009615D1" w:rsidP="00254EC9">
            <w:pPr>
              <w:pStyle w:val="Tabletext"/>
              <w:keepNext/>
              <w:keepLines/>
              <w:jc w:val="center"/>
            </w:pPr>
            <w:r w:rsidRPr="00F110C2">
              <w:t>−</w:t>
            </w:r>
            <w:r w:rsidR="00CD45DB" w:rsidRPr="00F110C2">
              <w:rPr>
                <w:lang w:eastAsia="ja-JP"/>
              </w:rPr>
              <w:t>82,7</w:t>
            </w:r>
          </w:p>
        </w:tc>
      </w:tr>
      <w:tr w:rsidR="00CD45DB" w:rsidRPr="00F110C2" w14:paraId="176F189A" w14:textId="77777777" w:rsidTr="00311649">
        <w:trPr>
          <w:jc w:val="center"/>
        </w:trPr>
        <w:tc>
          <w:tcPr>
            <w:tcW w:w="4815" w:type="dxa"/>
          </w:tcPr>
          <w:p w14:paraId="5FB17CF8" w14:textId="3E416223" w:rsidR="00CD45DB" w:rsidRPr="00F110C2" w:rsidRDefault="009615D1" w:rsidP="00254EC9">
            <w:pPr>
              <w:pStyle w:val="Tabletext"/>
              <w:jc w:val="center"/>
            </w:pPr>
            <w:r w:rsidRPr="00F110C2">
              <w:t>−</w:t>
            </w:r>
            <w:r w:rsidR="00CD45DB" w:rsidRPr="00F110C2">
              <w:rPr>
                <w:lang w:eastAsia="ja-JP"/>
              </w:rPr>
              <w:t>4,00</w:t>
            </w:r>
          </w:p>
        </w:tc>
        <w:tc>
          <w:tcPr>
            <w:tcW w:w="4835" w:type="dxa"/>
          </w:tcPr>
          <w:p w14:paraId="37140E23" w14:textId="66115674" w:rsidR="00CD45DB" w:rsidRPr="00F110C2" w:rsidRDefault="009615D1" w:rsidP="00254EC9">
            <w:pPr>
              <w:pStyle w:val="Tabletext"/>
              <w:jc w:val="center"/>
            </w:pPr>
            <w:r w:rsidRPr="00F110C2">
              <w:t>−</w:t>
            </w:r>
            <w:r w:rsidR="00CD45DB" w:rsidRPr="00F110C2">
              <w:rPr>
                <w:lang w:eastAsia="ja-JP"/>
              </w:rPr>
              <w:t>59,7</w:t>
            </w:r>
          </w:p>
        </w:tc>
      </w:tr>
      <w:tr w:rsidR="00CD45DB" w:rsidRPr="00F110C2" w14:paraId="686A48F6" w14:textId="77777777" w:rsidTr="00311649">
        <w:trPr>
          <w:jc w:val="center"/>
        </w:trPr>
        <w:tc>
          <w:tcPr>
            <w:tcW w:w="4815" w:type="dxa"/>
          </w:tcPr>
          <w:p w14:paraId="1C0F9527" w14:textId="0E158C52" w:rsidR="00CD45DB" w:rsidRPr="00F110C2" w:rsidRDefault="009615D1" w:rsidP="00254EC9">
            <w:pPr>
              <w:pStyle w:val="Tabletext"/>
              <w:jc w:val="center"/>
            </w:pPr>
            <w:r w:rsidRPr="00F110C2">
              <w:t>−</w:t>
            </w:r>
            <w:r w:rsidR="00CD45DB" w:rsidRPr="00F110C2">
              <w:rPr>
                <w:lang w:eastAsia="ja-JP"/>
              </w:rPr>
              <w:t>3,81</w:t>
            </w:r>
          </w:p>
        </w:tc>
        <w:tc>
          <w:tcPr>
            <w:tcW w:w="4835" w:type="dxa"/>
          </w:tcPr>
          <w:p w14:paraId="1CD9BE67" w14:textId="1683BA69" w:rsidR="00CD45DB" w:rsidRPr="00F110C2" w:rsidRDefault="009615D1" w:rsidP="00254EC9">
            <w:pPr>
              <w:pStyle w:val="Tabletext"/>
              <w:jc w:val="center"/>
            </w:pPr>
            <w:r w:rsidRPr="00F110C2">
              <w:t>−</w:t>
            </w:r>
            <w:r w:rsidR="00CD45DB" w:rsidRPr="00F110C2">
              <w:rPr>
                <w:lang w:eastAsia="ja-JP"/>
              </w:rPr>
              <w:t>52,7</w:t>
            </w:r>
          </w:p>
        </w:tc>
      </w:tr>
      <w:tr w:rsidR="00CD45DB" w:rsidRPr="00F110C2" w14:paraId="448806DB" w14:textId="77777777" w:rsidTr="00311649">
        <w:trPr>
          <w:jc w:val="center"/>
        </w:trPr>
        <w:tc>
          <w:tcPr>
            <w:tcW w:w="4815" w:type="dxa"/>
          </w:tcPr>
          <w:p w14:paraId="507DF383" w14:textId="604A8716" w:rsidR="00CD45DB" w:rsidRPr="00F110C2" w:rsidRDefault="009615D1" w:rsidP="00254EC9">
            <w:pPr>
              <w:pStyle w:val="Tabletext"/>
              <w:jc w:val="center"/>
            </w:pPr>
            <w:r w:rsidRPr="00F110C2">
              <w:t>−</w:t>
            </w:r>
            <w:r w:rsidR="00CD45DB" w:rsidRPr="00F110C2">
              <w:rPr>
                <w:lang w:eastAsia="ja-JP"/>
              </w:rPr>
              <w:t>3,72</w:t>
            </w:r>
          </w:p>
        </w:tc>
        <w:tc>
          <w:tcPr>
            <w:tcW w:w="4835" w:type="dxa"/>
          </w:tcPr>
          <w:p w14:paraId="0AF3C2E2" w14:textId="33A23468" w:rsidR="00CD45DB" w:rsidRPr="00F110C2" w:rsidRDefault="009615D1" w:rsidP="00254EC9">
            <w:pPr>
              <w:pStyle w:val="Tabletext"/>
              <w:jc w:val="center"/>
            </w:pPr>
            <w:r w:rsidRPr="00F110C2">
              <w:t>−</w:t>
            </w:r>
            <w:r w:rsidR="00CD45DB" w:rsidRPr="00F110C2">
              <w:rPr>
                <w:lang w:eastAsia="ja-JP"/>
              </w:rPr>
              <w:t>32,7</w:t>
            </w:r>
          </w:p>
        </w:tc>
      </w:tr>
      <w:tr w:rsidR="00CD45DB" w:rsidRPr="00F110C2" w14:paraId="211558B8" w14:textId="77777777" w:rsidTr="00311649">
        <w:trPr>
          <w:jc w:val="center"/>
        </w:trPr>
        <w:tc>
          <w:tcPr>
            <w:tcW w:w="4815" w:type="dxa"/>
          </w:tcPr>
          <w:p w14:paraId="317BE696" w14:textId="77777777" w:rsidR="00CD45DB" w:rsidRPr="00F110C2" w:rsidRDefault="00CD45DB" w:rsidP="00254EC9">
            <w:pPr>
              <w:pStyle w:val="Tabletext"/>
              <w:jc w:val="center"/>
            </w:pPr>
            <w:r w:rsidRPr="00F110C2">
              <w:t>+</w:t>
            </w:r>
            <w:r w:rsidRPr="00F110C2">
              <w:rPr>
                <w:lang w:eastAsia="ja-JP"/>
              </w:rPr>
              <w:t>3,72</w:t>
            </w:r>
          </w:p>
        </w:tc>
        <w:tc>
          <w:tcPr>
            <w:tcW w:w="4835" w:type="dxa"/>
          </w:tcPr>
          <w:p w14:paraId="7949D8F6" w14:textId="4355D092" w:rsidR="00CD45DB" w:rsidRPr="00F110C2" w:rsidRDefault="009615D1" w:rsidP="00254EC9">
            <w:pPr>
              <w:pStyle w:val="Tabletext"/>
              <w:jc w:val="center"/>
            </w:pPr>
            <w:r w:rsidRPr="00F110C2">
              <w:t>−</w:t>
            </w:r>
            <w:r w:rsidR="00CD45DB" w:rsidRPr="00F110C2">
              <w:rPr>
                <w:lang w:eastAsia="ja-JP"/>
              </w:rPr>
              <w:t>32,7</w:t>
            </w:r>
          </w:p>
        </w:tc>
      </w:tr>
      <w:tr w:rsidR="00CD45DB" w:rsidRPr="00F110C2" w14:paraId="7E9389DB" w14:textId="77777777" w:rsidTr="00311649">
        <w:trPr>
          <w:jc w:val="center"/>
        </w:trPr>
        <w:tc>
          <w:tcPr>
            <w:tcW w:w="4815" w:type="dxa"/>
          </w:tcPr>
          <w:p w14:paraId="4AF94E5B" w14:textId="77777777" w:rsidR="00CD45DB" w:rsidRPr="00F110C2" w:rsidRDefault="00CD45DB" w:rsidP="00254EC9">
            <w:pPr>
              <w:pStyle w:val="Tabletext"/>
              <w:jc w:val="center"/>
            </w:pPr>
            <w:r w:rsidRPr="00F110C2">
              <w:rPr>
                <w:lang w:eastAsia="ja-JP"/>
              </w:rPr>
              <w:t>+3,81</w:t>
            </w:r>
          </w:p>
        </w:tc>
        <w:tc>
          <w:tcPr>
            <w:tcW w:w="4835" w:type="dxa"/>
          </w:tcPr>
          <w:p w14:paraId="593FC5C9" w14:textId="09D0CEF6" w:rsidR="00CD45DB" w:rsidRPr="00F110C2" w:rsidRDefault="009615D1" w:rsidP="00254EC9">
            <w:pPr>
              <w:pStyle w:val="Tabletext"/>
              <w:jc w:val="center"/>
            </w:pPr>
            <w:r w:rsidRPr="00F110C2">
              <w:t>−</w:t>
            </w:r>
            <w:r w:rsidR="00CD45DB" w:rsidRPr="00F110C2">
              <w:rPr>
                <w:lang w:eastAsia="ja-JP"/>
              </w:rPr>
              <w:t>52,7</w:t>
            </w:r>
          </w:p>
        </w:tc>
      </w:tr>
      <w:tr w:rsidR="00CD45DB" w:rsidRPr="00F110C2" w14:paraId="031C8CB8" w14:textId="77777777" w:rsidTr="00311649">
        <w:trPr>
          <w:jc w:val="center"/>
        </w:trPr>
        <w:tc>
          <w:tcPr>
            <w:tcW w:w="4815" w:type="dxa"/>
          </w:tcPr>
          <w:p w14:paraId="7D1C8E97" w14:textId="77777777" w:rsidR="00CD45DB" w:rsidRPr="00F110C2" w:rsidRDefault="00CD45DB" w:rsidP="00254EC9">
            <w:pPr>
              <w:pStyle w:val="Tabletext"/>
              <w:jc w:val="center"/>
            </w:pPr>
            <w:r w:rsidRPr="00F110C2">
              <w:rPr>
                <w:lang w:eastAsia="ja-JP"/>
              </w:rPr>
              <w:t>+4,00</w:t>
            </w:r>
          </w:p>
        </w:tc>
        <w:tc>
          <w:tcPr>
            <w:tcW w:w="4835" w:type="dxa"/>
          </w:tcPr>
          <w:p w14:paraId="4B9736C2" w14:textId="68A1669A" w:rsidR="00CD45DB" w:rsidRPr="00F110C2" w:rsidRDefault="009615D1" w:rsidP="00254EC9">
            <w:pPr>
              <w:pStyle w:val="Tabletext"/>
              <w:jc w:val="center"/>
            </w:pPr>
            <w:r w:rsidRPr="00F110C2">
              <w:t>−</w:t>
            </w:r>
            <w:r w:rsidR="00CD45DB" w:rsidRPr="00F110C2">
              <w:rPr>
                <w:lang w:eastAsia="ja-JP"/>
              </w:rPr>
              <w:t>59,7</w:t>
            </w:r>
          </w:p>
        </w:tc>
      </w:tr>
      <w:tr w:rsidR="00CD45DB" w:rsidRPr="00F110C2" w14:paraId="681854AC" w14:textId="77777777" w:rsidTr="00311649">
        <w:trPr>
          <w:jc w:val="center"/>
        </w:trPr>
        <w:tc>
          <w:tcPr>
            <w:tcW w:w="4815" w:type="dxa"/>
          </w:tcPr>
          <w:p w14:paraId="794F12F5" w14:textId="77777777" w:rsidR="00CD45DB" w:rsidRPr="00F110C2" w:rsidRDefault="00CD45DB" w:rsidP="00254EC9">
            <w:pPr>
              <w:pStyle w:val="Tabletext"/>
              <w:jc w:val="center"/>
            </w:pPr>
            <w:r w:rsidRPr="00F110C2">
              <w:rPr>
                <w:lang w:eastAsia="ja-JP"/>
              </w:rPr>
              <w:t>+5,81</w:t>
            </w:r>
          </w:p>
        </w:tc>
        <w:tc>
          <w:tcPr>
            <w:tcW w:w="4835" w:type="dxa"/>
          </w:tcPr>
          <w:p w14:paraId="69972FF9" w14:textId="37F102B9" w:rsidR="00CD45DB" w:rsidRPr="00F110C2" w:rsidRDefault="009615D1" w:rsidP="00254EC9">
            <w:pPr>
              <w:pStyle w:val="Tabletext"/>
              <w:jc w:val="center"/>
            </w:pPr>
            <w:r w:rsidRPr="00F110C2">
              <w:t>−</w:t>
            </w:r>
            <w:r w:rsidR="00CD45DB" w:rsidRPr="00F110C2">
              <w:rPr>
                <w:lang w:eastAsia="ja-JP"/>
              </w:rPr>
              <w:t>82,7</w:t>
            </w:r>
          </w:p>
        </w:tc>
      </w:tr>
      <w:tr w:rsidR="00CD45DB" w:rsidRPr="00F110C2" w14:paraId="692F8D58" w14:textId="77777777" w:rsidTr="00311649">
        <w:trPr>
          <w:jc w:val="center"/>
        </w:trPr>
        <w:tc>
          <w:tcPr>
            <w:tcW w:w="4815" w:type="dxa"/>
          </w:tcPr>
          <w:p w14:paraId="087535EF" w14:textId="77777777" w:rsidR="00CD45DB" w:rsidRPr="00F110C2" w:rsidRDefault="00CD45DB" w:rsidP="00254EC9">
            <w:pPr>
              <w:pStyle w:val="Tabletext"/>
              <w:jc w:val="center"/>
            </w:pPr>
            <w:r w:rsidRPr="00F110C2">
              <w:rPr>
                <w:lang w:eastAsia="ja-JP"/>
              </w:rPr>
              <w:t>+20,</w:t>
            </w:r>
            <w:r w:rsidRPr="00F110C2">
              <w:t>0</w:t>
            </w:r>
          </w:p>
        </w:tc>
        <w:tc>
          <w:tcPr>
            <w:tcW w:w="4835" w:type="dxa"/>
          </w:tcPr>
          <w:p w14:paraId="13A2D770" w14:textId="56E55BF2" w:rsidR="00CD45DB" w:rsidRPr="00F110C2" w:rsidRDefault="009615D1" w:rsidP="00254EC9">
            <w:pPr>
              <w:pStyle w:val="Tabletext"/>
              <w:jc w:val="center"/>
            </w:pPr>
            <w:r w:rsidRPr="00F110C2">
              <w:t>−</w:t>
            </w:r>
            <w:r w:rsidR="00CD45DB" w:rsidRPr="00F110C2">
              <w:rPr>
                <w:lang w:eastAsia="ja-JP"/>
              </w:rPr>
              <w:t>82,7</w:t>
            </w:r>
          </w:p>
        </w:tc>
      </w:tr>
    </w:tbl>
    <w:p w14:paraId="604E68DF" w14:textId="77777777" w:rsidR="00CD45DB" w:rsidRPr="00F110C2" w:rsidRDefault="00CD45DB" w:rsidP="00254EC9">
      <w:pPr>
        <w:pStyle w:val="Tablefin"/>
      </w:pPr>
    </w:p>
    <w:p w14:paraId="3B1A0F2D" w14:textId="77777777" w:rsidR="00CD45DB" w:rsidRPr="00F110C2" w:rsidRDefault="00CD45DB" w:rsidP="00254EC9">
      <w:pPr>
        <w:pStyle w:val="Heading3"/>
      </w:pPr>
      <w:r w:rsidRPr="00F110C2">
        <w:t>2.2.3</w:t>
      </w:r>
      <w:r w:rsidRPr="00F110C2">
        <w:tab/>
        <w:t>Systèmes DTMB avec canaux de 7 MHz et de 8 MHz</w:t>
      </w:r>
    </w:p>
    <w:p w14:paraId="71C4F4DB" w14:textId="77777777" w:rsidR="00CD45DB" w:rsidRPr="00F110C2" w:rsidRDefault="00CD45DB" w:rsidP="00254EC9">
      <w:r w:rsidRPr="00F110C2">
        <w:t>En ce qui concerne la télévision numérique à 7 MHz, le domaine des émissions hors bande est compris entre </w:t>
      </w:r>
      <w:r w:rsidRPr="00F110C2">
        <w:sym w:font="Symbol" w:char="F0B1"/>
      </w:r>
      <w:r w:rsidRPr="00F110C2">
        <w:t xml:space="preserve">3,5 MHz (soit </w:t>
      </w:r>
      <w:r w:rsidRPr="00F110C2">
        <w:sym w:font="Symbol" w:char="F0B1"/>
      </w:r>
      <w:r w:rsidRPr="00F110C2">
        <w:t xml:space="preserve">0,5 × 7 MHz) et </w:t>
      </w:r>
      <w:r w:rsidRPr="00F110C2">
        <w:sym w:font="Symbol" w:char="F0B1"/>
      </w:r>
      <w:r w:rsidRPr="00F110C2">
        <w:t xml:space="preserve">17,5 MHz (soit </w:t>
      </w:r>
      <w:r w:rsidRPr="00F110C2">
        <w:sym w:font="Symbol" w:char="F0B1"/>
      </w:r>
      <w:r w:rsidRPr="00F110C2">
        <w:t>2,5 × 7 MHz).</w:t>
      </w:r>
    </w:p>
    <w:p w14:paraId="2BF268A6" w14:textId="77777777" w:rsidR="00CD45DB" w:rsidRPr="00F110C2" w:rsidRDefault="00CD45DB" w:rsidP="00254EC9">
      <w:r w:rsidRPr="00F110C2">
        <w:t>En ce qui concerne la télévision numérique à 8 MHz, le domaine des émissions hors bande est compris entre </w:t>
      </w:r>
      <w:r w:rsidRPr="00F110C2">
        <w:sym w:font="Symbol" w:char="F0B1"/>
      </w:r>
      <w:r w:rsidRPr="00F110C2">
        <w:t xml:space="preserve">4 MHz (soit </w:t>
      </w:r>
      <w:r w:rsidRPr="00F110C2">
        <w:sym w:font="Symbol" w:char="F0B1"/>
      </w:r>
      <w:r w:rsidRPr="00F110C2">
        <w:t xml:space="preserve">0,5 × 8 MHz) et </w:t>
      </w:r>
      <w:r w:rsidRPr="00F110C2">
        <w:sym w:font="Symbol" w:char="F0B1"/>
      </w:r>
      <w:r w:rsidRPr="00F110C2">
        <w:t xml:space="preserve">20 MHz (soit </w:t>
      </w:r>
      <w:r w:rsidRPr="00F110C2">
        <w:sym w:font="Symbol" w:char="F0B1"/>
      </w:r>
      <w:r w:rsidRPr="00F110C2">
        <w:t>2,5 × 8 MHz).</w:t>
      </w:r>
    </w:p>
    <w:p w14:paraId="0DA58226" w14:textId="3D520CA2" w:rsidR="00CD45DB" w:rsidRPr="00F110C2" w:rsidRDefault="00CD45DB" w:rsidP="00254EC9">
      <w:r w:rsidRPr="00F110C2">
        <w:t>Les gabarits de limite spectrale pour les systèmes DTMB à 7 MHz et à 8 MHz sont représentés respectivement sur les Figs 27 et 28. Les points de rupture correspondant aux Figs 27 et 28 sont indiqués respectivement dans les Tableaux 21 et 22. Le niveau relatif de puissance est défini dans une largeur de bande de référence de 4 kHz. Le niveau de référence de 0 dB correspond à la puissance moyenne de sortie mesurée dans la largeur de bande du canal. Ces limites des émissions s'appliquent lorsque la puissance de l'émetteur est supérieure à 39 dBW.</w:t>
      </w:r>
    </w:p>
    <w:p w14:paraId="217E971E" w14:textId="77777777" w:rsidR="00CD45DB" w:rsidRPr="00F110C2" w:rsidRDefault="00CD45DB" w:rsidP="00254EC9">
      <w:pPr>
        <w:pStyle w:val="FigureNo"/>
        <w:rPr>
          <w:lang w:eastAsia="zh-CN"/>
        </w:rPr>
      </w:pPr>
      <w:r w:rsidRPr="00F110C2">
        <w:lastRenderedPageBreak/>
        <w:t>Figure</w:t>
      </w:r>
      <w:r w:rsidRPr="00F110C2">
        <w:rPr>
          <w:lang w:eastAsia="ja-JP"/>
        </w:rPr>
        <w:t xml:space="preserve"> </w:t>
      </w:r>
      <w:r w:rsidRPr="00F110C2">
        <w:rPr>
          <w:lang w:eastAsia="zh-CN"/>
        </w:rPr>
        <w:t>27</w:t>
      </w:r>
    </w:p>
    <w:p w14:paraId="10780CEE" w14:textId="77777777" w:rsidR="00CD45DB" w:rsidRPr="00F110C2" w:rsidRDefault="00CD45DB" w:rsidP="00254EC9">
      <w:pPr>
        <w:pStyle w:val="Figuretitle"/>
        <w:keepLines/>
      </w:pPr>
      <w:r w:rsidRPr="00F110C2">
        <w:t>Gabarit de limite spectrale pour les systèmes DTMB à 7 MHz</w:t>
      </w:r>
    </w:p>
    <w:p w14:paraId="6894AE52" w14:textId="77777777" w:rsidR="00CD45DB" w:rsidRPr="00F110C2" w:rsidRDefault="00CD45DB" w:rsidP="00254EC9">
      <w:pPr>
        <w:pStyle w:val="Figure"/>
        <w:keepLines w:val="0"/>
        <w:widowControl w:val="0"/>
      </w:pPr>
      <w:r w:rsidRPr="00F110C2">
        <w:drawing>
          <wp:inline distT="0" distB="0" distL="0" distR="0" wp14:anchorId="0DD64928" wp14:editId="0F0B3BE9">
            <wp:extent cx="5110548" cy="3892731"/>
            <wp:effectExtent l="0" t="0" r="0" b="5080"/>
            <wp:docPr id="1444408186" name="Picture 11" descr="A graph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08186" name="Picture 11" descr="A graph of a signal&#10;&#10;AI-generated content may be incorrect."/>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t="3547" b="2451"/>
                    <a:stretch/>
                  </pic:blipFill>
                  <pic:spPr bwMode="auto">
                    <a:xfrm>
                      <a:off x="0" y="0"/>
                      <a:ext cx="5110548" cy="3892731"/>
                    </a:xfrm>
                    <a:prstGeom prst="rect">
                      <a:avLst/>
                    </a:prstGeom>
                    <a:noFill/>
                    <a:ln>
                      <a:noFill/>
                    </a:ln>
                    <a:extLst>
                      <a:ext uri="{53640926-AAD7-44D8-BBD7-CCE9431645EC}">
                        <a14:shadowObscured xmlns:a14="http://schemas.microsoft.com/office/drawing/2010/main"/>
                      </a:ext>
                    </a:extLst>
                  </pic:spPr>
                </pic:pic>
              </a:graphicData>
            </a:graphic>
          </wp:inline>
        </w:drawing>
      </w:r>
    </w:p>
    <w:p w14:paraId="2AF071E8" w14:textId="77777777" w:rsidR="00CD45DB" w:rsidRPr="00F110C2" w:rsidRDefault="00CD45DB" w:rsidP="00254EC9">
      <w:pPr>
        <w:pStyle w:val="TableNo"/>
      </w:pPr>
      <w:r w:rsidRPr="00F110C2">
        <w:t>TABLEAU 21</w:t>
      </w:r>
    </w:p>
    <w:p w14:paraId="654E9D42" w14:textId="77777777" w:rsidR="00CD45DB" w:rsidRPr="00F110C2" w:rsidRDefault="00CD45DB" w:rsidP="00254EC9">
      <w:pPr>
        <w:pStyle w:val="Tabletitle"/>
      </w:pPr>
      <w:r w:rsidRPr="00F110C2">
        <w:t xml:space="preserve">Tableau des points de rupture correspondant à la Fig. 27 </w:t>
      </w:r>
      <w:r w:rsidRPr="00F110C2">
        <w:br/>
        <w:t>pour les systèmes DTMB à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CD45DB" w:rsidRPr="00F110C2" w14:paraId="62CDD5B1" w14:textId="77777777" w:rsidTr="00ED0290">
        <w:trPr>
          <w:tblHeader/>
          <w:jc w:val="center"/>
        </w:trPr>
        <w:tc>
          <w:tcPr>
            <w:tcW w:w="3402" w:type="dxa"/>
          </w:tcPr>
          <w:p w14:paraId="13F3CDDD" w14:textId="3E821303" w:rsidR="00CD45DB" w:rsidRPr="00F110C2" w:rsidRDefault="00CD45DB" w:rsidP="00254EC9">
            <w:pPr>
              <w:pStyle w:val="Tablehead"/>
            </w:pPr>
            <w:r w:rsidRPr="00F110C2">
              <w:t xml:space="preserve">Fréquence par rapport au centre </w:t>
            </w:r>
            <w:r w:rsidR="00ED0290" w:rsidRPr="00F110C2">
              <w:br/>
            </w:r>
            <w:r w:rsidRPr="00F110C2">
              <w:t>du canal de 7 MHz</w:t>
            </w:r>
            <w:r w:rsidR="00ED0290" w:rsidRPr="00F110C2">
              <w:t xml:space="preserve"> </w:t>
            </w:r>
            <w:r w:rsidRPr="00F110C2">
              <w:t xml:space="preserve">(MHz) </w:t>
            </w:r>
          </w:p>
        </w:tc>
        <w:tc>
          <w:tcPr>
            <w:tcW w:w="3402" w:type="dxa"/>
          </w:tcPr>
          <w:p w14:paraId="0B2D4572" w14:textId="5F9C40AA" w:rsidR="00CD45DB" w:rsidRPr="00F110C2" w:rsidRDefault="00CD45DB" w:rsidP="00254EC9">
            <w:pPr>
              <w:pStyle w:val="Tablehead"/>
            </w:pPr>
            <w:r w:rsidRPr="00F110C2">
              <w:t xml:space="preserve">Niveau relatif dans une largeur de bande </w:t>
            </w:r>
            <w:r w:rsidR="00ED0290" w:rsidRPr="00F110C2">
              <w:br/>
            </w:r>
            <w:r w:rsidRPr="00F110C2">
              <w:t xml:space="preserve">de mesure de </w:t>
            </w:r>
            <w:r w:rsidRPr="00F110C2">
              <w:rPr>
                <w:lang w:eastAsia="ja-JP"/>
              </w:rPr>
              <w:t>4</w:t>
            </w:r>
            <w:r w:rsidRPr="00F110C2">
              <w:t xml:space="preserve"> kHz (dB) </w:t>
            </w:r>
          </w:p>
        </w:tc>
      </w:tr>
      <w:tr w:rsidR="00CD45DB" w:rsidRPr="00F110C2" w14:paraId="24A711B3" w14:textId="77777777" w:rsidTr="00ED0290">
        <w:trPr>
          <w:jc w:val="center"/>
        </w:trPr>
        <w:tc>
          <w:tcPr>
            <w:tcW w:w="3402" w:type="dxa"/>
          </w:tcPr>
          <w:p w14:paraId="0D8BD8BF" w14:textId="39FA3521" w:rsidR="00CD45DB" w:rsidRPr="00F110C2" w:rsidRDefault="009615D1" w:rsidP="00254EC9">
            <w:pPr>
              <w:pStyle w:val="Tabletext"/>
              <w:jc w:val="center"/>
            </w:pPr>
            <w:r w:rsidRPr="00F110C2">
              <w:t>−</w:t>
            </w:r>
            <w:r w:rsidR="00CD45DB" w:rsidRPr="00F110C2">
              <w:t>17,5</w:t>
            </w:r>
          </w:p>
        </w:tc>
        <w:tc>
          <w:tcPr>
            <w:tcW w:w="3402" w:type="dxa"/>
          </w:tcPr>
          <w:p w14:paraId="4906CB03" w14:textId="5F0C2AAB" w:rsidR="00CD45DB" w:rsidRPr="00F110C2" w:rsidRDefault="009615D1" w:rsidP="00254EC9">
            <w:pPr>
              <w:pStyle w:val="Tabletext"/>
              <w:jc w:val="center"/>
            </w:pPr>
            <w:r w:rsidRPr="00F110C2">
              <w:t>−</w:t>
            </w:r>
            <w:r w:rsidR="00CD45DB" w:rsidRPr="00F110C2">
              <w:t>85</w:t>
            </w:r>
          </w:p>
        </w:tc>
      </w:tr>
      <w:tr w:rsidR="00CD45DB" w:rsidRPr="00F110C2" w14:paraId="09E086DD" w14:textId="77777777" w:rsidTr="00ED0290">
        <w:trPr>
          <w:jc w:val="center"/>
        </w:trPr>
        <w:tc>
          <w:tcPr>
            <w:tcW w:w="3402" w:type="dxa"/>
          </w:tcPr>
          <w:p w14:paraId="385ED12D" w14:textId="21938851" w:rsidR="00CD45DB" w:rsidRPr="00F110C2" w:rsidRDefault="009615D1" w:rsidP="00254EC9">
            <w:pPr>
              <w:pStyle w:val="Tabletext"/>
              <w:jc w:val="center"/>
            </w:pPr>
            <w:r w:rsidRPr="00F110C2">
              <w:t>−</w:t>
            </w:r>
            <w:r w:rsidR="00CD45DB" w:rsidRPr="00F110C2">
              <w:t>10,5</w:t>
            </w:r>
          </w:p>
        </w:tc>
        <w:tc>
          <w:tcPr>
            <w:tcW w:w="3402" w:type="dxa"/>
          </w:tcPr>
          <w:p w14:paraId="288B7A53" w14:textId="62E67936" w:rsidR="00CD45DB" w:rsidRPr="00F110C2" w:rsidRDefault="009615D1" w:rsidP="00254EC9">
            <w:pPr>
              <w:pStyle w:val="Tabletext"/>
              <w:jc w:val="center"/>
            </w:pPr>
            <w:r w:rsidRPr="00F110C2">
              <w:t>−</w:t>
            </w:r>
            <w:r w:rsidR="00CD45DB" w:rsidRPr="00F110C2">
              <w:t>85</w:t>
            </w:r>
          </w:p>
        </w:tc>
      </w:tr>
      <w:tr w:rsidR="00CD45DB" w:rsidRPr="00F110C2" w14:paraId="59B85E61" w14:textId="77777777" w:rsidTr="00ED0290">
        <w:trPr>
          <w:jc w:val="center"/>
        </w:trPr>
        <w:tc>
          <w:tcPr>
            <w:tcW w:w="3402" w:type="dxa"/>
          </w:tcPr>
          <w:p w14:paraId="05A2956B" w14:textId="22C42870" w:rsidR="00CD45DB" w:rsidRPr="00F110C2" w:rsidRDefault="009615D1" w:rsidP="00254EC9">
            <w:pPr>
              <w:pStyle w:val="Tabletext"/>
              <w:jc w:val="center"/>
            </w:pPr>
            <w:r w:rsidRPr="00F110C2">
              <w:t>−</w:t>
            </w:r>
            <w:r w:rsidR="00CD45DB" w:rsidRPr="00F110C2">
              <w:t>5,25</w:t>
            </w:r>
          </w:p>
        </w:tc>
        <w:tc>
          <w:tcPr>
            <w:tcW w:w="3402" w:type="dxa"/>
          </w:tcPr>
          <w:p w14:paraId="494AE823" w14:textId="4BE7837B" w:rsidR="00CD45DB" w:rsidRPr="00F110C2" w:rsidRDefault="009615D1" w:rsidP="00254EC9">
            <w:pPr>
              <w:pStyle w:val="Tabletext"/>
              <w:jc w:val="center"/>
            </w:pPr>
            <w:r w:rsidRPr="00F110C2">
              <w:t>−</w:t>
            </w:r>
            <w:r w:rsidR="00CD45DB" w:rsidRPr="00F110C2">
              <w:t>85</w:t>
            </w:r>
          </w:p>
        </w:tc>
      </w:tr>
      <w:tr w:rsidR="00CD45DB" w:rsidRPr="00F110C2" w14:paraId="7F9AF87D" w14:textId="77777777" w:rsidTr="00ED0290">
        <w:trPr>
          <w:jc w:val="center"/>
        </w:trPr>
        <w:tc>
          <w:tcPr>
            <w:tcW w:w="3402" w:type="dxa"/>
          </w:tcPr>
          <w:p w14:paraId="11099D03" w14:textId="5A9CB582" w:rsidR="00CD45DB" w:rsidRPr="00F110C2" w:rsidRDefault="009615D1" w:rsidP="00254EC9">
            <w:pPr>
              <w:pStyle w:val="Tabletext"/>
              <w:jc w:val="center"/>
            </w:pPr>
            <w:r w:rsidRPr="00F110C2">
              <w:t>−</w:t>
            </w:r>
            <w:r w:rsidR="00CD45DB" w:rsidRPr="00F110C2">
              <w:t>3,7</w:t>
            </w:r>
          </w:p>
        </w:tc>
        <w:tc>
          <w:tcPr>
            <w:tcW w:w="3402" w:type="dxa"/>
          </w:tcPr>
          <w:p w14:paraId="38D9338A" w14:textId="2495D629" w:rsidR="00CD45DB" w:rsidRPr="00F110C2" w:rsidRDefault="009615D1" w:rsidP="00254EC9">
            <w:pPr>
              <w:pStyle w:val="Tabletext"/>
              <w:jc w:val="center"/>
            </w:pPr>
            <w:r w:rsidRPr="00F110C2">
              <w:t>−</w:t>
            </w:r>
            <w:r w:rsidR="00CD45DB" w:rsidRPr="00F110C2">
              <w:t>73</w:t>
            </w:r>
          </w:p>
        </w:tc>
      </w:tr>
      <w:tr w:rsidR="00CD45DB" w:rsidRPr="00F110C2" w14:paraId="1DB9D174" w14:textId="77777777" w:rsidTr="00ED0290">
        <w:trPr>
          <w:jc w:val="center"/>
        </w:trPr>
        <w:tc>
          <w:tcPr>
            <w:tcW w:w="3402" w:type="dxa"/>
          </w:tcPr>
          <w:p w14:paraId="773BDEEC" w14:textId="4127BADB" w:rsidR="00CD45DB" w:rsidRPr="00F110C2" w:rsidRDefault="009615D1" w:rsidP="00254EC9">
            <w:pPr>
              <w:pStyle w:val="Tabletext"/>
              <w:jc w:val="center"/>
            </w:pPr>
            <w:r w:rsidRPr="00F110C2">
              <w:t>−</w:t>
            </w:r>
            <w:r w:rsidR="00CD45DB" w:rsidRPr="00F110C2">
              <w:t>3,33</w:t>
            </w:r>
          </w:p>
        </w:tc>
        <w:tc>
          <w:tcPr>
            <w:tcW w:w="3402" w:type="dxa"/>
          </w:tcPr>
          <w:p w14:paraId="4EE40C54" w14:textId="02425EA1" w:rsidR="00CD45DB" w:rsidRPr="00F110C2" w:rsidRDefault="009615D1" w:rsidP="00254EC9">
            <w:pPr>
              <w:pStyle w:val="Tabletext"/>
              <w:jc w:val="center"/>
            </w:pPr>
            <w:r w:rsidRPr="00F110C2">
              <w:t>−</w:t>
            </w:r>
            <w:r w:rsidR="00CD45DB" w:rsidRPr="00F110C2">
              <w:t>32,1</w:t>
            </w:r>
          </w:p>
        </w:tc>
      </w:tr>
      <w:tr w:rsidR="00CD45DB" w:rsidRPr="00F110C2" w14:paraId="25BB9F3E" w14:textId="77777777" w:rsidTr="00ED0290">
        <w:trPr>
          <w:jc w:val="center"/>
        </w:trPr>
        <w:tc>
          <w:tcPr>
            <w:tcW w:w="3402" w:type="dxa"/>
          </w:tcPr>
          <w:p w14:paraId="7CA507EF" w14:textId="77777777" w:rsidR="00CD45DB" w:rsidRPr="00F110C2" w:rsidRDefault="00CD45DB" w:rsidP="00254EC9">
            <w:pPr>
              <w:pStyle w:val="Tabletext"/>
              <w:jc w:val="center"/>
            </w:pPr>
            <w:r w:rsidRPr="00F110C2">
              <w:t>+3,33</w:t>
            </w:r>
          </w:p>
        </w:tc>
        <w:tc>
          <w:tcPr>
            <w:tcW w:w="3402" w:type="dxa"/>
          </w:tcPr>
          <w:p w14:paraId="622E4FE3" w14:textId="584EF46B" w:rsidR="00CD45DB" w:rsidRPr="00F110C2" w:rsidRDefault="009615D1" w:rsidP="00254EC9">
            <w:pPr>
              <w:pStyle w:val="Tabletext"/>
              <w:jc w:val="center"/>
            </w:pPr>
            <w:r w:rsidRPr="00F110C2">
              <w:t>−</w:t>
            </w:r>
            <w:r w:rsidR="00CD45DB" w:rsidRPr="00F110C2">
              <w:t>32,1</w:t>
            </w:r>
          </w:p>
        </w:tc>
      </w:tr>
      <w:tr w:rsidR="00CD45DB" w:rsidRPr="00F110C2" w14:paraId="6D1847D6" w14:textId="77777777" w:rsidTr="00ED0290">
        <w:trPr>
          <w:jc w:val="center"/>
        </w:trPr>
        <w:tc>
          <w:tcPr>
            <w:tcW w:w="3402" w:type="dxa"/>
          </w:tcPr>
          <w:p w14:paraId="29D8D6F4" w14:textId="77777777" w:rsidR="00CD45DB" w:rsidRPr="00F110C2" w:rsidRDefault="00CD45DB" w:rsidP="00254EC9">
            <w:pPr>
              <w:pStyle w:val="Tabletext"/>
              <w:jc w:val="center"/>
            </w:pPr>
            <w:r w:rsidRPr="00F110C2">
              <w:t>+3,7</w:t>
            </w:r>
          </w:p>
        </w:tc>
        <w:tc>
          <w:tcPr>
            <w:tcW w:w="3402" w:type="dxa"/>
          </w:tcPr>
          <w:p w14:paraId="7EBB28C7" w14:textId="6C33D030" w:rsidR="00CD45DB" w:rsidRPr="00F110C2" w:rsidRDefault="009615D1" w:rsidP="00254EC9">
            <w:pPr>
              <w:pStyle w:val="Tabletext"/>
              <w:jc w:val="center"/>
            </w:pPr>
            <w:r w:rsidRPr="00F110C2">
              <w:t>−</w:t>
            </w:r>
            <w:r w:rsidR="00CD45DB" w:rsidRPr="00F110C2">
              <w:t>73</w:t>
            </w:r>
          </w:p>
        </w:tc>
      </w:tr>
      <w:tr w:rsidR="00CD45DB" w:rsidRPr="00F110C2" w14:paraId="305CE93F" w14:textId="77777777" w:rsidTr="00ED0290">
        <w:trPr>
          <w:jc w:val="center"/>
        </w:trPr>
        <w:tc>
          <w:tcPr>
            <w:tcW w:w="3402" w:type="dxa"/>
          </w:tcPr>
          <w:p w14:paraId="5788CC29" w14:textId="77777777" w:rsidR="00CD45DB" w:rsidRPr="00F110C2" w:rsidRDefault="00CD45DB" w:rsidP="00254EC9">
            <w:pPr>
              <w:pStyle w:val="Tabletext"/>
              <w:jc w:val="center"/>
            </w:pPr>
            <w:r w:rsidRPr="00F110C2">
              <w:t>+5,25</w:t>
            </w:r>
          </w:p>
        </w:tc>
        <w:tc>
          <w:tcPr>
            <w:tcW w:w="3402" w:type="dxa"/>
          </w:tcPr>
          <w:p w14:paraId="360D1EA1" w14:textId="56475F04" w:rsidR="00CD45DB" w:rsidRPr="00F110C2" w:rsidRDefault="009615D1" w:rsidP="00254EC9">
            <w:pPr>
              <w:pStyle w:val="Tabletext"/>
              <w:jc w:val="center"/>
            </w:pPr>
            <w:r w:rsidRPr="00F110C2">
              <w:t>−</w:t>
            </w:r>
            <w:r w:rsidR="00CD45DB" w:rsidRPr="00F110C2">
              <w:t>85</w:t>
            </w:r>
          </w:p>
        </w:tc>
      </w:tr>
      <w:tr w:rsidR="00CD45DB" w:rsidRPr="00F110C2" w14:paraId="34F4855F" w14:textId="77777777" w:rsidTr="00ED0290">
        <w:trPr>
          <w:jc w:val="center"/>
        </w:trPr>
        <w:tc>
          <w:tcPr>
            <w:tcW w:w="3402" w:type="dxa"/>
          </w:tcPr>
          <w:p w14:paraId="776CD8CB" w14:textId="77777777" w:rsidR="00CD45DB" w:rsidRPr="00F110C2" w:rsidRDefault="00CD45DB" w:rsidP="00254EC9">
            <w:pPr>
              <w:pStyle w:val="Tabletext"/>
              <w:jc w:val="center"/>
            </w:pPr>
            <w:r w:rsidRPr="00F110C2">
              <w:t>+10,5</w:t>
            </w:r>
          </w:p>
        </w:tc>
        <w:tc>
          <w:tcPr>
            <w:tcW w:w="3402" w:type="dxa"/>
          </w:tcPr>
          <w:p w14:paraId="25C5EBD1" w14:textId="3FF6F8DF" w:rsidR="00CD45DB" w:rsidRPr="00F110C2" w:rsidRDefault="009615D1" w:rsidP="00254EC9">
            <w:pPr>
              <w:pStyle w:val="Tabletext"/>
              <w:jc w:val="center"/>
            </w:pPr>
            <w:r w:rsidRPr="00F110C2">
              <w:t>−</w:t>
            </w:r>
            <w:r w:rsidR="00CD45DB" w:rsidRPr="00F110C2">
              <w:t>85</w:t>
            </w:r>
          </w:p>
        </w:tc>
      </w:tr>
      <w:tr w:rsidR="00CD45DB" w:rsidRPr="00F110C2" w14:paraId="0D7282D5" w14:textId="77777777" w:rsidTr="00ED0290">
        <w:trPr>
          <w:jc w:val="center"/>
        </w:trPr>
        <w:tc>
          <w:tcPr>
            <w:tcW w:w="3402" w:type="dxa"/>
          </w:tcPr>
          <w:p w14:paraId="23AD5C30" w14:textId="77777777" w:rsidR="00CD45DB" w:rsidRPr="00F110C2" w:rsidRDefault="00CD45DB" w:rsidP="00254EC9">
            <w:pPr>
              <w:pStyle w:val="Tabletext"/>
              <w:jc w:val="center"/>
            </w:pPr>
            <w:r w:rsidRPr="00F110C2">
              <w:t>+17,5</w:t>
            </w:r>
          </w:p>
        </w:tc>
        <w:tc>
          <w:tcPr>
            <w:tcW w:w="3402" w:type="dxa"/>
          </w:tcPr>
          <w:p w14:paraId="4CB66CA3" w14:textId="7106327E" w:rsidR="00CD45DB" w:rsidRPr="00F110C2" w:rsidRDefault="009615D1" w:rsidP="00254EC9">
            <w:pPr>
              <w:pStyle w:val="Tabletext"/>
              <w:jc w:val="center"/>
            </w:pPr>
            <w:r w:rsidRPr="00F110C2">
              <w:t>−</w:t>
            </w:r>
            <w:r w:rsidR="00CD45DB" w:rsidRPr="00F110C2">
              <w:t>85</w:t>
            </w:r>
          </w:p>
        </w:tc>
      </w:tr>
    </w:tbl>
    <w:p w14:paraId="41D4088B" w14:textId="77777777" w:rsidR="00104AFE" w:rsidRPr="00F110C2" w:rsidRDefault="00104AFE" w:rsidP="00254EC9">
      <w:pPr>
        <w:pStyle w:val="Tablefin"/>
      </w:pPr>
    </w:p>
    <w:p w14:paraId="7D11E224" w14:textId="68C75350" w:rsidR="00CD45DB" w:rsidRPr="00F110C2" w:rsidRDefault="00CD45DB" w:rsidP="00254EC9">
      <w:pPr>
        <w:pStyle w:val="FigureNo"/>
      </w:pPr>
      <w:r w:rsidRPr="00F110C2">
        <w:lastRenderedPageBreak/>
        <w:t>FIGURE 28</w:t>
      </w:r>
    </w:p>
    <w:p w14:paraId="321D8B32" w14:textId="77777777" w:rsidR="00CD45DB" w:rsidRPr="00F110C2" w:rsidRDefault="00CD45DB" w:rsidP="00254EC9">
      <w:pPr>
        <w:pStyle w:val="Figuretitle"/>
      </w:pPr>
      <w:r w:rsidRPr="00F110C2">
        <w:t xml:space="preserve">Gabarit de limite spectrale pour les systèmes DTMB à 8 MHz </w:t>
      </w:r>
    </w:p>
    <w:p w14:paraId="3271CA6B" w14:textId="77777777" w:rsidR="00CD45DB" w:rsidRPr="00F110C2" w:rsidRDefault="00CD45DB" w:rsidP="00254EC9">
      <w:pPr>
        <w:pStyle w:val="Figure"/>
      </w:pPr>
      <w:r w:rsidRPr="00F110C2">
        <w:drawing>
          <wp:inline distT="0" distB="0" distL="0" distR="0" wp14:anchorId="3DC18C69" wp14:editId="45346997">
            <wp:extent cx="5015865" cy="4019550"/>
            <wp:effectExtent l="0" t="0" r="0" b="0"/>
            <wp:docPr id="417252251" name="Picture 1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52251" name="Picture 12" descr="A graph of a line graph&#10;&#10;AI-generated content may be incorrect."/>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015865" cy="4019550"/>
                    </a:xfrm>
                    <a:prstGeom prst="rect">
                      <a:avLst/>
                    </a:prstGeom>
                    <a:noFill/>
                    <a:ln>
                      <a:noFill/>
                    </a:ln>
                  </pic:spPr>
                </pic:pic>
              </a:graphicData>
            </a:graphic>
          </wp:inline>
        </w:drawing>
      </w:r>
    </w:p>
    <w:p w14:paraId="526F28C3" w14:textId="77777777" w:rsidR="00CD45DB" w:rsidRPr="00F110C2" w:rsidRDefault="00CD45DB" w:rsidP="00254EC9">
      <w:pPr>
        <w:pStyle w:val="TableNo"/>
      </w:pPr>
      <w:r w:rsidRPr="00F110C2">
        <w:t>TABLEAU 22</w:t>
      </w:r>
    </w:p>
    <w:p w14:paraId="0D7B9C08" w14:textId="77777777" w:rsidR="00CD45DB" w:rsidRPr="00F110C2" w:rsidRDefault="00CD45DB" w:rsidP="00254EC9">
      <w:pPr>
        <w:pStyle w:val="Tabletitle"/>
      </w:pPr>
      <w:r w:rsidRPr="00F110C2">
        <w:t xml:space="preserve">Tableau des points de rupture correspondant à la Fig. 28 </w:t>
      </w:r>
      <w:r w:rsidRPr="00F110C2">
        <w:br/>
        <w:t xml:space="preserve">pour les systèmes DTMB à 8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1"/>
        <w:gridCol w:w="4718"/>
      </w:tblGrid>
      <w:tr w:rsidR="00CD45DB" w:rsidRPr="00F110C2" w14:paraId="5188BD65" w14:textId="77777777" w:rsidTr="00ED0290">
        <w:trPr>
          <w:tblHeader/>
          <w:jc w:val="center"/>
        </w:trPr>
        <w:tc>
          <w:tcPr>
            <w:tcW w:w="3549" w:type="dxa"/>
            <w:vAlign w:val="center"/>
          </w:tcPr>
          <w:p w14:paraId="5A1D948E" w14:textId="00E5C996" w:rsidR="00CD45DB" w:rsidRPr="00F110C2" w:rsidRDefault="00CD45DB" w:rsidP="00254EC9">
            <w:pPr>
              <w:pStyle w:val="Tablehead"/>
            </w:pPr>
            <w:r w:rsidRPr="00F110C2">
              <w:t xml:space="preserve">Décalage de fréquence par rapport </w:t>
            </w:r>
            <w:r w:rsidR="00ED0290" w:rsidRPr="00F110C2">
              <w:br/>
            </w:r>
            <w:r w:rsidRPr="00F110C2">
              <w:t>à la fréquence centrale</w:t>
            </w:r>
            <w:r w:rsidR="00ED0290" w:rsidRPr="00F110C2">
              <w:t xml:space="preserve"> </w:t>
            </w:r>
            <w:r w:rsidRPr="00F110C2">
              <w:t>(MHz)</w:t>
            </w:r>
          </w:p>
        </w:tc>
        <w:tc>
          <w:tcPr>
            <w:tcW w:w="3402" w:type="dxa"/>
            <w:vAlign w:val="center"/>
          </w:tcPr>
          <w:p w14:paraId="0B36D4A7" w14:textId="29D4B8F9" w:rsidR="00CD45DB" w:rsidRPr="00F110C2" w:rsidRDefault="00CD45DB" w:rsidP="00254EC9">
            <w:pPr>
              <w:pStyle w:val="Tablehead"/>
            </w:pPr>
            <w:r w:rsidRPr="00F110C2">
              <w:t>Niveau relatif</w:t>
            </w:r>
            <w:r w:rsidR="00ED0290" w:rsidRPr="00F110C2">
              <w:br/>
            </w:r>
            <w:r w:rsidRPr="00F110C2">
              <w:t>(dB)</w:t>
            </w:r>
          </w:p>
        </w:tc>
      </w:tr>
      <w:tr w:rsidR="00CD45DB" w:rsidRPr="00F110C2" w14:paraId="15E9B84C" w14:textId="77777777" w:rsidTr="00ED0290">
        <w:trPr>
          <w:jc w:val="center"/>
        </w:trPr>
        <w:tc>
          <w:tcPr>
            <w:tcW w:w="3549" w:type="dxa"/>
            <w:vAlign w:val="center"/>
          </w:tcPr>
          <w:p w14:paraId="05D6A469" w14:textId="77777777" w:rsidR="00CD45DB" w:rsidRPr="00F110C2" w:rsidRDefault="00CD45DB" w:rsidP="00254EC9">
            <w:pPr>
              <w:pStyle w:val="Tabletext"/>
              <w:jc w:val="center"/>
            </w:pPr>
            <w:r w:rsidRPr="00F110C2">
              <w:t>−20</w:t>
            </w:r>
          </w:p>
        </w:tc>
        <w:tc>
          <w:tcPr>
            <w:tcW w:w="3402" w:type="dxa"/>
            <w:vAlign w:val="center"/>
          </w:tcPr>
          <w:p w14:paraId="166E0605" w14:textId="77777777" w:rsidR="00CD45DB" w:rsidRPr="00F110C2" w:rsidRDefault="00CD45DB" w:rsidP="00254EC9">
            <w:pPr>
              <w:pStyle w:val="Tabletext"/>
              <w:jc w:val="center"/>
            </w:pPr>
            <w:r w:rsidRPr="00F110C2">
              <w:t>−91</w:t>
            </w:r>
          </w:p>
        </w:tc>
      </w:tr>
      <w:tr w:rsidR="00CD45DB" w:rsidRPr="00F110C2" w14:paraId="33152851" w14:textId="77777777" w:rsidTr="00ED0290">
        <w:trPr>
          <w:jc w:val="center"/>
        </w:trPr>
        <w:tc>
          <w:tcPr>
            <w:tcW w:w="3549" w:type="dxa"/>
            <w:vAlign w:val="center"/>
          </w:tcPr>
          <w:p w14:paraId="42500437" w14:textId="77777777" w:rsidR="00CD45DB" w:rsidRPr="00F110C2" w:rsidRDefault="00CD45DB" w:rsidP="00254EC9">
            <w:pPr>
              <w:pStyle w:val="Tabletext"/>
              <w:jc w:val="center"/>
            </w:pPr>
            <w:r w:rsidRPr="00F110C2">
              <w:t>−12</w:t>
            </w:r>
          </w:p>
        </w:tc>
        <w:tc>
          <w:tcPr>
            <w:tcW w:w="3402" w:type="dxa"/>
            <w:vAlign w:val="center"/>
          </w:tcPr>
          <w:p w14:paraId="12BE8C32" w14:textId="77777777" w:rsidR="00CD45DB" w:rsidRPr="00F110C2" w:rsidRDefault="00CD45DB" w:rsidP="00254EC9">
            <w:pPr>
              <w:pStyle w:val="Tabletext"/>
              <w:jc w:val="center"/>
            </w:pPr>
            <w:r w:rsidRPr="00F110C2">
              <w:t>−91</w:t>
            </w:r>
          </w:p>
        </w:tc>
      </w:tr>
      <w:tr w:rsidR="00CD45DB" w:rsidRPr="00F110C2" w14:paraId="4C8A27FD" w14:textId="77777777" w:rsidTr="00ED0290">
        <w:trPr>
          <w:jc w:val="center"/>
        </w:trPr>
        <w:tc>
          <w:tcPr>
            <w:tcW w:w="3549" w:type="dxa"/>
            <w:vAlign w:val="center"/>
          </w:tcPr>
          <w:p w14:paraId="4DB87036" w14:textId="77777777" w:rsidR="00CD45DB" w:rsidRPr="00F110C2" w:rsidRDefault="00CD45DB" w:rsidP="00254EC9">
            <w:pPr>
              <w:pStyle w:val="Tabletext"/>
              <w:jc w:val="center"/>
            </w:pPr>
            <w:r w:rsidRPr="00F110C2">
              <w:t>−10,75</w:t>
            </w:r>
          </w:p>
        </w:tc>
        <w:tc>
          <w:tcPr>
            <w:tcW w:w="3402" w:type="dxa"/>
            <w:vAlign w:val="center"/>
          </w:tcPr>
          <w:p w14:paraId="37B597B7" w14:textId="77777777" w:rsidR="00CD45DB" w:rsidRPr="00F110C2" w:rsidRDefault="00CD45DB" w:rsidP="00254EC9">
            <w:pPr>
              <w:pStyle w:val="Tabletext"/>
              <w:jc w:val="center"/>
            </w:pPr>
            <w:r w:rsidRPr="00F110C2">
              <w:t>−76,9</w:t>
            </w:r>
          </w:p>
        </w:tc>
      </w:tr>
      <w:tr w:rsidR="00CD45DB" w:rsidRPr="00F110C2" w14:paraId="3305D466" w14:textId="77777777" w:rsidTr="00ED0290">
        <w:trPr>
          <w:jc w:val="center"/>
        </w:trPr>
        <w:tc>
          <w:tcPr>
            <w:tcW w:w="3549" w:type="dxa"/>
            <w:vAlign w:val="center"/>
          </w:tcPr>
          <w:p w14:paraId="6B2CECF3" w14:textId="77777777" w:rsidR="00CD45DB" w:rsidRPr="00F110C2" w:rsidRDefault="00CD45DB" w:rsidP="00254EC9">
            <w:pPr>
              <w:pStyle w:val="Tabletext"/>
              <w:jc w:val="center"/>
            </w:pPr>
            <w:r w:rsidRPr="00F110C2">
              <w:t>−9,75</w:t>
            </w:r>
          </w:p>
        </w:tc>
        <w:tc>
          <w:tcPr>
            <w:tcW w:w="3402" w:type="dxa"/>
            <w:vAlign w:val="center"/>
          </w:tcPr>
          <w:p w14:paraId="358B1087" w14:textId="77777777" w:rsidR="00CD45DB" w:rsidRPr="00F110C2" w:rsidRDefault="00CD45DB" w:rsidP="00254EC9">
            <w:pPr>
              <w:pStyle w:val="Tabletext"/>
              <w:jc w:val="center"/>
            </w:pPr>
            <w:r w:rsidRPr="00F110C2">
              <w:t>−76,9</w:t>
            </w:r>
          </w:p>
        </w:tc>
      </w:tr>
      <w:tr w:rsidR="00CD45DB" w:rsidRPr="00F110C2" w14:paraId="58CC5768" w14:textId="77777777" w:rsidTr="00ED0290">
        <w:trPr>
          <w:jc w:val="center"/>
        </w:trPr>
        <w:tc>
          <w:tcPr>
            <w:tcW w:w="3549" w:type="dxa"/>
            <w:vAlign w:val="center"/>
          </w:tcPr>
          <w:p w14:paraId="01B2203B" w14:textId="77777777" w:rsidR="00CD45DB" w:rsidRPr="00F110C2" w:rsidRDefault="00CD45DB" w:rsidP="00254EC9">
            <w:pPr>
              <w:pStyle w:val="Tabletext"/>
              <w:jc w:val="center"/>
            </w:pPr>
            <w:r w:rsidRPr="00F110C2">
              <w:t>−5,75</w:t>
            </w:r>
          </w:p>
        </w:tc>
        <w:tc>
          <w:tcPr>
            <w:tcW w:w="3402" w:type="dxa"/>
            <w:vAlign w:val="center"/>
          </w:tcPr>
          <w:p w14:paraId="298B1C60" w14:textId="77777777" w:rsidR="00CD45DB" w:rsidRPr="00F110C2" w:rsidRDefault="00CD45DB" w:rsidP="00254EC9">
            <w:pPr>
              <w:pStyle w:val="Tabletext"/>
              <w:jc w:val="center"/>
            </w:pPr>
            <w:r w:rsidRPr="00F110C2">
              <w:t>−74,2</w:t>
            </w:r>
          </w:p>
        </w:tc>
      </w:tr>
      <w:tr w:rsidR="00CD45DB" w:rsidRPr="00F110C2" w14:paraId="6B63DCC4" w14:textId="77777777" w:rsidTr="00ED0290">
        <w:trPr>
          <w:jc w:val="center"/>
        </w:trPr>
        <w:tc>
          <w:tcPr>
            <w:tcW w:w="3549" w:type="dxa"/>
            <w:vAlign w:val="center"/>
          </w:tcPr>
          <w:p w14:paraId="32421B08" w14:textId="77777777" w:rsidR="00CD45DB" w:rsidRPr="00F110C2" w:rsidRDefault="00CD45DB" w:rsidP="00254EC9">
            <w:pPr>
              <w:pStyle w:val="Tabletext"/>
              <w:jc w:val="center"/>
            </w:pPr>
            <w:r w:rsidRPr="00F110C2">
              <w:t>−4,94</w:t>
            </w:r>
          </w:p>
        </w:tc>
        <w:tc>
          <w:tcPr>
            <w:tcW w:w="3402" w:type="dxa"/>
            <w:vAlign w:val="center"/>
          </w:tcPr>
          <w:p w14:paraId="2D13CB1D" w14:textId="77777777" w:rsidR="00CD45DB" w:rsidRPr="00F110C2" w:rsidRDefault="00CD45DB" w:rsidP="00254EC9">
            <w:pPr>
              <w:pStyle w:val="Tabletext"/>
              <w:jc w:val="center"/>
            </w:pPr>
            <w:r w:rsidRPr="00F110C2">
              <w:t>−69,9</w:t>
            </w:r>
          </w:p>
        </w:tc>
      </w:tr>
      <w:tr w:rsidR="00CD45DB" w:rsidRPr="00F110C2" w14:paraId="6ADCAAA8" w14:textId="77777777" w:rsidTr="00ED0290">
        <w:trPr>
          <w:jc w:val="center"/>
        </w:trPr>
        <w:tc>
          <w:tcPr>
            <w:tcW w:w="3549" w:type="dxa"/>
            <w:vAlign w:val="center"/>
          </w:tcPr>
          <w:p w14:paraId="7119451C" w14:textId="77777777" w:rsidR="00CD45DB" w:rsidRPr="00F110C2" w:rsidRDefault="00CD45DB" w:rsidP="00254EC9">
            <w:pPr>
              <w:pStyle w:val="Tabletext"/>
              <w:jc w:val="center"/>
            </w:pPr>
            <w:r w:rsidRPr="00F110C2">
              <w:t>−3,9</w:t>
            </w:r>
          </w:p>
        </w:tc>
        <w:tc>
          <w:tcPr>
            <w:tcW w:w="3402" w:type="dxa"/>
            <w:vAlign w:val="center"/>
          </w:tcPr>
          <w:p w14:paraId="717D3164" w14:textId="77777777" w:rsidR="00CD45DB" w:rsidRPr="00F110C2" w:rsidRDefault="00CD45DB" w:rsidP="00254EC9">
            <w:pPr>
              <w:pStyle w:val="Tabletext"/>
              <w:jc w:val="center"/>
            </w:pPr>
            <w:r w:rsidRPr="00F110C2">
              <w:t>−32,8</w:t>
            </w:r>
          </w:p>
        </w:tc>
      </w:tr>
      <w:tr w:rsidR="00CD45DB" w:rsidRPr="00F110C2" w14:paraId="047FA17B" w14:textId="77777777" w:rsidTr="00ED0290">
        <w:trPr>
          <w:jc w:val="center"/>
        </w:trPr>
        <w:tc>
          <w:tcPr>
            <w:tcW w:w="3549" w:type="dxa"/>
            <w:vAlign w:val="center"/>
          </w:tcPr>
          <w:p w14:paraId="2E8BED70" w14:textId="77777777" w:rsidR="00CD45DB" w:rsidRPr="00F110C2" w:rsidRDefault="00CD45DB" w:rsidP="00254EC9">
            <w:pPr>
              <w:pStyle w:val="Tabletext"/>
              <w:jc w:val="center"/>
            </w:pPr>
            <w:r w:rsidRPr="00F110C2">
              <w:t>+3,9</w:t>
            </w:r>
          </w:p>
        </w:tc>
        <w:tc>
          <w:tcPr>
            <w:tcW w:w="3402" w:type="dxa"/>
            <w:vAlign w:val="center"/>
          </w:tcPr>
          <w:p w14:paraId="4920A5A6" w14:textId="77777777" w:rsidR="00CD45DB" w:rsidRPr="00F110C2" w:rsidRDefault="00CD45DB" w:rsidP="00254EC9">
            <w:pPr>
              <w:pStyle w:val="Tabletext"/>
              <w:jc w:val="center"/>
            </w:pPr>
            <w:r w:rsidRPr="00F110C2">
              <w:t>−32,8</w:t>
            </w:r>
          </w:p>
        </w:tc>
      </w:tr>
      <w:tr w:rsidR="00CD45DB" w:rsidRPr="00F110C2" w14:paraId="4C6B112A" w14:textId="77777777" w:rsidTr="00ED0290">
        <w:trPr>
          <w:jc w:val="center"/>
        </w:trPr>
        <w:tc>
          <w:tcPr>
            <w:tcW w:w="3549" w:type="dxa"/>
            <w:vAlign w:val="center"/>
          </w:tcPr>
          <w:p w14:paraId="2F62ACCC" w14:textId="77777777" w:rsidR="00CD45DB" w:rsidRPr="00F110C2" w:rsidRDefault="00CD45DB" w:rsidP="00254EC9">
            <w:pPr>
              <w:pStyle w:val="Tabletext"/>
              <w:jc w:val="center"/>
            </w:pPr>
            <w:r w:rsidRPr="00F110C2">
              <w:t>+4,25</w:t>
            </w:r>
          </w:p>
        </w:tc>
        <w:tc>
          <w:tcPr>
            <w:tcW w:w="3402" w:type="dxa"/>
            <w:vAlign w:val="center"/>
          </w:tcPr>
          <w:p w14:paraId="778BE207" w14:textId="77777777" w:rsidR="00CD45DB" w:rsidRPr="00F110C2" w:rsidRDefault="00CD45DB" w:rsidP="00254EC9">
            <w:pPr>
              <w:pStyle w:val="Tabletext"/>
              <w:jc w:val="center"/>
            </w:pPr>
            <w:r w:rsidRPr="00F110C2">
              <w:t>−64,9</w:t>
            </w:r>
          </w:p>
        </w:tc>
      </w:tr>
      <w:tr w:rsidR="00CD45DB" w:rsidRPr="00F110C2" w14:paraId="266364D4" w14:textId="77777777" w:rsidTr="00ED0290">
        <w:trPr>
          <w:jc w:val="center"/>
        </w:trPr>
        <w:tc>
          <w:tcPr>
            <w:tcW w:w="3549" w:type="dxa"/>
            <w:vAlign w:val="center"/>
          </w:tcPr>
          <w:p w14:paraId="427E6461" w14:textId="77777777" w:rsidR="00CD45DB" w:rsidRPr="00F110C2" w:rsidRDefault="00CD45DB" w:rsidP="00254EC9">
            <w:pPr>
              <w:pStyle w:val="Tabletext"/>
              <w:jc w:val="center"/>
            </w:pPr>
            <w:r w:rsidRPr="00F110C2">
              <w:t>+5,25</w:t>
            </w:r>
          </w:p>
        </w:tc>
        <w:tc>
          <w:tcPr>
            <w:tcW w:w="3402" w:type="dxa"/>
            <w:vAlign w:val="center"/>
          </w:tcPr>
          <w:p w14:paraId="05DDBB34" w14:textId="77777777" w:rsidR="00CD45DB" w:rsidRPr="00F110C2" w:rsidRDefault="00CD45DB" w:rsidP="00254EC9">
            <w:pPr>
              <w:pStyle w:val="Tabletext"/>
              <w:jc w:val="center"/>
            </w:pPr>
            <w:r w:rsidRPr="00F110C2">
              <w:t>−76,9</w:t>
            </w:r>
          </w:p>
        </w:tc>
      </w:tr>
      <w:tr w:rsidR="00CD45DB" w:rsidRPr="00F110C2" w14:paraId="580E1752" w14:textId="77777777" w:rsidTr="00ED0290">
        <w:trPr>
          <w:jc w:val="center"/>
        </w:trPr>
        <w:tc>
          <w:tcPr>
            <w:tcW w:w="3549" w:type="dxa"/>
            <w:vAlign w:val="center"/>
          </w:tcPr>
          <w:p w14:paraId="4E1FCF90" w14:textId="77777777" w:rsidR="00CD45DB" w:rsidRPr="00F110C2" w:rsidRDefault="00CD45DB" w:rsidP="00254EC9">
            <w:pPr>
              <w:pStyle w:val="Tabletext"/>
              <w:jc w:val="center"/>
            </w:pPr>
            <w:r w:rsidRPr="00F110C2">
              <w:t>+6,25</w:t>
            </w:r>
          </w:p>
        </w:tc>
        <w:tc>
          <w:tcPr>
            <w:tcW w:w="3402" w:type="dxa"/>
            <w:vAlign w:val="center"/>
          </w:tcPr>
          <w:p w14:paraId="356AAA25" w14:textId="77777777" w:rsidR="00CD45DB" w:rsidRPr="00F110C2" w:rsidRDefault="00CD45DB" w:rsidP="00254EC9">
            <w:pPr>
              <w:pStyle w:val="Tabletext"/>
              <w:jc w:val="center"/>
            </w:pPr>
            <w:r w:rsidRPr="00F110C2">
              <w:t>−76,9</w:t>
            </w:r>
          </w:p>
        </w:tc>
      </w:tr>
      <w:tr w:rsidR="00CD45DB" w:rsidRPr="00F110C2" w14:paraId="1EFD84D2" w14:textId="77777777" w:rsidTr="00ED0290">
        <w:trPr>
          <w:jc w:val="center"/>
        </w:trPr>
        <w:tc>
          <w:tcPr>
            <w:tcW w:w="3549" w:type="dxa"/>
            <w:vAlign w:val="center"/>
          </w:tcPr>
          <w:p w14:paraId="2FA18260" w14:textId="77777777" w:rsidR="00CD45DB" w:rsidRPr="00F110C2" w:rsidRDefault="00CD45DB" w:rsidP="00254EC9">
            <w:pPr>
              <w:pStyle w:val="Tabletext"/>
              <w:jc w:val="center"/>
            </w:pPr>
            <w:r w:rsidRPr="00F110C2">
              <w:t>+10,25</w:t>
            </w:r>
          </w:p>
        </w:tc>
        <w:tc>
          <w:tcPr>
            <w:tcW w:w="3402" w:type="dxa"/>
            <w:vAlign w:val="center"/>
          </w:tcPr>
          <w:p w14:paraId="621371B1" w14:textId="77777777" w:rsidR="00CD45DB" w:rsidRPr="00F110C2" w:rsidRDefault="00CD45DB" w:rsidP="00254EC9">
            <w:pPr>
              <w:pStyle w:val="Tabletext"/>
              <w:jc w:val="center"/>
            </w:pPr>
            <w:r w:rsidRPr="00F110C2">
              <w:t>−76,9</w:t>
            </w:r>
          </w:p>
        </w:tc>
      </w:tr>
      <w:tr w:rsidR="00CD45DB" w:rsidRPr="00F110C2" w14:paraId="25437D74" w14:textId="77777777" w:rsidTr="00ED0290">
        <w:trPr>
          <w:jc w:val="center"/>
        </w:trPr>
        <w:tc>
          <w:tcPr>
            <w:tcW w:w="3549" w:type="dxa"/>
            <w:vAlign w:val="center"/>
          </w:tcPr>
          <w:p w14:paraId="7EDD26E1" w14:textId="77777777" w:rsidR="00CD45DB" w:rsidRPr="00F110C2" w:rsidRDefault="00CD45DB" w:rsidP="00254EC9">
            <w:pPr>
              <w:pStyle w:val="Tabletext"/>
              <w:jc w:val="center"/>
            </w:pPr>
            <w:r w:rsidRPr="00F110C2">
              <w:t>+12</w:t>
            </w:r>
          </w:p>
        </w:tc>
        <w:tc>
          <w:tcPr>
            <w:tcW w:w="3402" w:type="dxa"/>
            <w:vAlign w:val="center"/>
          </w:tcPr>
          <w:p w14:paraId="05298798" w14:textId="77777777" w:rsidR="00CD45DB" w:rsidRPr="00F110C2" w:rsidRDefault="00CD45DB" w:rsidP="00254EC9">
            <w:pPr>
              <w:pStyle w:val="Tabletext"/>
              <w:jc w:val="center"/>
            </w:pPr>
            <w:r w:rsidRPr="00F110C2">
              <w:t>−91</w:t>
            </w:r>
          </w:p>
        </w:tc>
      </w:tr>
      <w:tr w:rsidR="00CD45DB" w:rsidRPr="00F110C2" w14:paraId="6FDD71C5" w14:textId="77777777" w:rsidTr="00ED0290">
        <w:trPr>
          <w:jc w:val="center"/>
        </w:trPr>
        <w:tc>
          <w:tcPr>
            <w:tcW w:w="3549" w:type="dxa"/>
            <w:vAlign w:val="center"/>
          </w:tcPr>
          <w:p w14:paraId="29309D90" w14:textId="77777777" w:rsidR="00CD45DB" w:rsidRPr="00F110C2" w:rsidRDefault="00CD45DB" w:rsidP="00254EC9">
            <w:pPr>
              <w:pStyle w:val="Tabletext"/>
              <w:jc w:val="center"/>
            </w:pPr>
            <w:r w:rsidRPr="00F110C2">
              <w:t>+20</w:t>
            </w:r>
          </w:p>
        </w:tc>
        <w:tc>
          <w:tcPr>
            <w:tcW w:w="3402" w:type="dxa"/>
            <w:vAlign w:val="center"/>
          </w:tcPr>
          <w:p w14:paraId="49196FA9" w14:textId="77777777" w:rsidR="00CD45DB" w:rsidRPr="00F110C2" w:rsidRDefault="00CD45DB" w:rsidP="00254EC9">
            <w:pPr>
              <w:pStyle w:val="Tabletext"/>
              <w:jc w:val="center"/>
            </w:pPr>
            <w:r w:rsidRPr="00F110C2">
              <w:t>−91</w:t>
            </w:r>
          </w:p>
        </w:tc>
      </w:tr>
    </w:tbl>
    <w:p w14:paraId="196B8D4A" w14:textId="77777777" w:rsidR="00104AFE" w:rsidRPr="00F110C2" w:rsidRDefault="00104AFE" w:rsidP="00254EC9">
      <w:pPr>
        <w:pStyle w:val="Tablefin"/>
      </w:pPr>
    </w:p>
    <w:p w14:paraId="1D62886E" w14:textId="5387BD07" w:rsidR="00CD45DB" w:rsidRPr="00F110C2" w:rsidRDefault="00CD45DB" w:rsidP="00254EC9">
      <w:pPr>
        <w:pStyle w:val="AnnexNoTitle"/>
        <w:outlineLvl w:val="0"/>
      </w:pPr>
      <w:r w:rsidRPr="00F110C2">
        <w:lastRenderedPageBreak/>
        <w:t>Annexe 7</w:t>
      </w:r>
      <w:r w:rsidRPr="00F110C2">
        <w:br/>
      </w:r>
      <w:r w:rsidRPr="00F110C2">
        <w:br/>
        <w:t xml:space="preserve">Limites des émissions dans le domaine des émissions hors bande </w:t>
      </w:r>
      <w:r w:rsidRPr="00F110C2">
        <w:br/>
        <w:t>pour les systèmes de radiodiffusion sonore</w:t>
      </w:r>
    </w:p>
    <w:p w14:paraId="6818B328" w14:textId="77777777" w:rsidR="00CD45DB" w:rsidRPr="00F110C2" w:rsidRDefault="00CD45DB" w:rsidP="00254EC9">
      <w:pPr>
        <w:pStyle w:val="Normalaftertitle"/>
      </w:pPr>
      <w:r w:rsidRPr="00F110C2">
        <w:t xml:space="preserve">La présente Annexe contient les limites des émissions dans le domaine hors bande à appliquer à la radiodiffusion sonore. Conformément au principe du filet de sécurité (voir le point 4 du </w:t>
      </w:r>
      <w:r w:rsidRPr="00F110C2">
        <w:rPr>
          <w:i/>
          <w:iCs/>
        </w:rPr>
        <w:t>recommande</w:t>
      </w:r>
      <w:r w:rsidRPr="00F110C2">
        <w:t>), il est à noter que les limites plus strictes ne sont pas affectées dans les cas où il existe des accords spéciaux relatifs aux services de radiodiffusion pour des raisons de coordination et de compatibilité. Il faut utiliser les limites plus strictes spécifiées dans les accords et les normes applicables dans tous les cas où un besoin particulier peut être indiqué et où la portée d'un accord s'en trouverait affectée.</w:t>
      </w:r>
    </w:p>
    <w:p w14:paraId="169E0583" w14:textId="77777777" w:rsidR="00CD45DB" w:rsidRPr="00F110C2" w:rsidRDefault="00CD45DB" w:rsidP="00254EC9">
      <w:pPr>
        <w:pStyle w:val="Heading1"/>
      </w:pPr>
      <w:r w:rsidRPr="00F110C2">
        <w:t>1</w:t>
      </w:r>
      <w:r w:rsidRPr="00F110C2">
        <w:tab/>
        <w:t>Radiodiffusion sonore à modulation de fréquence en ondes métriques</w:t>
      </w:r>
    </w:p>
    <w:p w14:paraId="47462F5B" w14:textId="77777777" w:rsidR="00CD45DB" w:rsidRPr="00F110C2" w:rsidRDefault="00CD45DB" w:rsidP="00254EC9">
      <w:r w:rsidRPr="00F110C2">
        <w:t>Le gabarit de limite spectrale pour la radiodiffusion sonore à modulation de fréquence en ondes métriques est représenté sur la Fig. 29. Les points de rupture associés sont donnés dans le Tableau 23.</w:t>
      </w:r>
    </w:p>
    <w:p w14:paraId="6A939BCF" w14:textId="77777777" w:rsidR="00CD45DB" w:rsidRPr="00F110C2" w:rsidRDefault="00CD45DB" w:rsidP="00254EC9">
      <w:r w:rsidRPr="00F110C2">
        <w:t xml:space="preserve">En ce qui concerne la radiodiffusion sonore à modulation de fréquence en ondes métriques avec canaux de 200 kHz, le domaine des émissions hors bande s'étend de </w:t>
      </w:r>
      <w:r w:rsidRPr="00F110C2">
        <w:sym w:font="Symbol" w:char="F0B1"/>
      </w:r>
      <w:r w:rsidRPr="00F110C2">
        <w:t>100 kHz (c'est</w:t>
      </w:r>
      <w:r w:rsidRPr="00F110C2">
        <w:noBreakHyphen/>
        <w:t>à</w:t>
      </w:r>
      <w:r w:rsidRPr="00F110C2">
        <w:noBreakHyphen/>
        <w:t>dire </w:t>
      </w:r>
      <w:r w:rsidRPr="00F110C2">
        <w:sym w:font="Symbol" w:char="F0B1"/>
      </w:r>
      <w:r w:rsidRPr="00F110C2">
        <w:t>0,5 </w:t>
      </w:r>
      <w:r w:rsidRPr="00F110C2">
        <w:sym w:font="Symbol" w:char="F0B4"/>
      </w:r>
      <w:r w:rsidRPr="00F110C2">
        <w:t xml:space="preserve"> 200 kHz) à </w:t>
      </w:r>
      <w:r w:rsidRPr="00F110C2">
        <w:sym w:font="Symbol" w:char="F0B1"/>
      </w:r>
      <w:r w:rsidRPr="00F110C2">
        <w:t xml:space="preserve">500 kHz (c'est-à-dire </w:t>
      </w:r>
      <w:r w:rsidRPr="00F110C2">
        <w:sym w:font="Symbol" w:char="F0B1"/>
      </w:r>
      <w:r w:rsidRPr="00F110C2">
        <w:t>2,5 </w:t>
      </w:r>
      <w:r w:rsidRPr="00F110C2">
        <w:sym w:font="Symbol" w:char="F0B4"/>
      </w:r>
      <w:r w:rsidRPr="00F110C2">
        <w:t> 200 kHz).</w:t>
      </w:r>
    </w:p>
    <w:p w14:paraId="3BCD47AA" w14:textId="77777777" w:rsidR="00CD45DB" w:rsidRPr="00F110C2" w:rsidRDefault="00CD45DB" w:rsidP="00254EC9">
      <w:r w:rsidRPr="00F110C2">
        <w:t>Le niveau de puissance est mesuré dans une largeur de bande de 1 kHz. Le niveau de référence 0 dB correspond à la puissance moyenne de sortie mesurée dans la largeur de bande du canal (200 kHz).</w:t>
      </w:r>
    </w:p>
    <w:p w14:paraId="4D431B13" w14:textId="77777777" w:rsidR="00CD45DB" w:rsidRPr="00F110C2" w:rsidRDefault="00CD45DB" w:rsidP="00254EC9">
      <w:pPr>
        <w:pStyle w:val="FigureNo"/>
      </w:pPr>
      <w:r w:rsidRPr="00F110C2">
        <w:t>figure 29</w:t>
      </w:r>
    </w:p>
    <w:p w14:paraId="22728B56" w14:textId="77777777" w:rsidR="00CD45DB" w:rsidRPr="00F110C2" w:rsidRDefault="00CD45DB" w:rsidP="00254EC9">
      <w:pPr>
        <w:pStyle w:val="Figuretitle"/>
      </w:pPr>
      <w:r w:rsidRPr="00F110C2">
        <w:t xml:space="preserve">Gabarit de limite spectrale pour les émetteurs de radiodiffusion sonore à </w:t>
      </w:r>
      <w:r w:rsidRPr="00F110C2">
        <w:br/>
        <w:t>modulation de fréquence en ondes métriques (proposition initiale)</w:t>
      </w:r>
      <w:r w:rsidRPr="00F110C2">
        <w:br/>
      </w:r>
      <w:r w:rsidRPr="00F110C2">
        <w:rPr>
          <w:rFonts w:ascii="Times New Roman"/>
          <w:b w:val="0"/>
        </w:rPr>
        <w:t>(Canaux de 200 kHz)</w:t>
      </w:r>
    </w:p>
    <w:p w14:paraId="1F581725" w14:textId="77777777" w:rsidR="00CD45DB" w:rsidRPr="00F110C2" w:rsidRDefault="00CD45DB" w:rsidP="00254EC9">
      <w:pPr>
        <w:pStyle w:val="Figure"/>
      </w:pPr>
      <w:r w:rsidRPr="00F110C2">
        <w:drawing>
          <wp:inline distT="0" distB="0" distL="0" distR="0" wp14:anchorId="06C3B0B5" wp14:editId="5CC52D95">
            <wp:extent cx="4319270" cy="3418840"/>
            <wp:effectExtent l="0" t="0" r="5080" b="0"/>
            <wp:docPr id="775457653" name="Picture 13"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57653" name="Picture 13" descr="A graph of a line graph&#10;&#10;AI-generated content may be incorrect."/>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319270" cy="3418840"/>
                    </a:xfrm>
                    <a:prstGeom prst="rect">
                      <a:avLst/>
                    </a:prstGeom>
                    <a:noFill/>
                    <a:ln>
                      <a:noFill/>
                    </a:ln>
                  </pic:spPr>
                </pic:pic>
              </a:graphicData>
            </a:graphic>
          </wp:inline>
        </w:drawing>
      </w:r>
    </w:p>
    <w:p w14:paraId="117CA310" w14:textId="77777777" w:rsidR="00CD45DB" w:rsidRPr="00F110C2" w:rsidRDefault="00CD45DB" w:rsidP="00254EC9">
      <w:pPr>
        <w:pStyle w:val="TableNo"/>
      </w:pPr>
      <w:r w:rsidRPr="00F110C2">
        <w:lastRenderedPageBreak/>
        <w:t>TABLEAU 23</w:t>
      </w:r>
    </w:p>
    <w:p w14:paraId="75884E43" w14:textId="77777777" w:rsidR="00CD45DB" w:rsidRPr="00F110C2" w:rsidRDefault="00CD45DB" w:rsidP="00254EC9">
      <w:pPr>
        <w:pStyle w:val="Tabletitle"/>
      </w:pPr>
      <w:r w:rsidRPr="00F110C2">
        <w:t xml:space="preserve">Points de rupture du gabarit pour la radiodiffusion sonore </w:t>
      </w:r>
      <w:r w:rsidRPr="00F110C2">
        <w:br/>
        <w:t>à modulation de fréquence en ondes métriques</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426"/>
        <w:gridCol w:w="4213"/>
      </w:tblGrid>
      <w:tr w:rsidR="00CD45DB" w:rsidRPr="00F110C2" w14:paraId="6C850770" w14:textId="77777777" w:rsidTr="00ED0290">
        <w:trPr>
          <w:jc w:val="center"/>
        </w:trPr>
        <w:tc>
          <w:tcPr>
            <w:tcW w:w="3477" w:type="dxa"/>
            <w:tcBorders>
              <w:top w:val="single" w:sz="6" w:space="0" w:color="auto"/>
              <w:left w:val="single" w:sz="4" w:space="0" w:color="auto"/>
            </w:tcBorders>
            <w:vAlign w:val="center"/>
          </w:tcPr>
          <w:p w14:paraId="092F5C0D" w14:textId="0FBF1BB4" w:rsidR="00CD45DB" w:rsidRPr="00F110C2" w:rsidRDefault="00CD45DB" w:rsidP="00254EC9">
            <w:pPr>
              <w:pStyle w:val="Tablehead"/>
            </w:pPr>
            <w:r w:rsidRPr="00F110C2">
              <w:t>Fréquence par rapport au centre</w:t>
            </w:r>
            <w:r w:rsidR="00ED0290" w:rsidRPr="00F110C2">
              <w:t xml:space="preserve"> </w:t>
            </w:r>
            <w:r w:rsidR="00ED0290" w:rsidRPr="00F110C2">
              <w:br/>
            </w:r>
            <w:r w:rsidRPr="00F110C2">
              <w:t>du canal de 200 kHz</w:t>
            </w:r>
            <w:r w:rsidR="00ED0290" w:rsidRPr="00F110C2">
              <w:t xml:space="preserve"> </w:t>
            </w:r>
            <w:r w:rsidRPr="00F110C2">
              <w:t>(MHz)</w:t>
            </w:r>
          </w:p>
        </w:tc>
        <w:tc>
          <w:tcPr>
            <w:tcW w:w="2700" w:type="dxa"/>
            <w:tcBorders>
              <w:top w:val="single" w:sz="6" w:space="0" w:color="auto"/>
              <w:right w:val="single" w:sz="4" w:space="0" w:color="auto"/>
            </w:tcBorders>
            <w:vAlign w:val="center"/>
          </w:tcPr>
          <w:p w14:paraId="78EB0E00" w14:textId="77777777" w:rsidR="00CD45DB" w:rsidRPr="00F110C2" w:rsidRDefault="00CD45DB" w:rsidP="00254EC9">
            <w:pPr>
              <w:pStyle w:val="Tablehead"/>
            </w:pPr>
            <w:r w:rsidRPr="00F110C2">
              <w:t xml:space="preserve">Niveau relatif </w:t>
            </w:r>
            <w:r w:rsidRPr="00F110C2">
              <w:br/>
              <w:t>(dB)</w:t>
            </w:r>
          </w:p>
        </w:tc>
      </w:tr>
      <w:tr w:rsidR="00CD45DB" w:rsidRPr="00F110C2" w14:paraId="7DD14652" w14:textId="77777777" w:rsidTr="00ED0290">
        <w:trPr>
          <w:jc w:val="center"/>
        </w:trPr>
        <w:tc>
          <w:tcPr>
            <w:tcW w:w="3477" w:type="dxa"/>
            <w:tcBorders>
              <w:left w:val="single" w:sz="4" w:space="0" w:color="auto"/>
            </w:tcBorders>
          </w:tcPr>
          <w:p w14:paraId="467B5431" w14:textId="4C879A7A" w:rsidR="00CD45DB" w:rsidRPr="00F110C2" w:rsidRDefault="009615D1" w:rsidP="00254EC9">
            <w:pPr>
              <w:pStyle w:val="Tabletext"/>
              <w:jc w:val="center"/>
            </w:pPr>
            <w:r w:rsidRPr="00F110C2">
              <w:t>−</w:t>
            </w:r>
            <w:r w:rsidR="00CD45DB" w:rsidRPr="00F110C2">
              <w:t>0,5</w:t>
            </w:r>
          </w:p>
        </w:tc>
        <w:tc>
          <w:tcPr>
            <w:tcW w:w="2700" w:type="dxa"/>
            <w:tcBorders>
              <w:right w:val="single" w:sz="4" w:space="0" w:color="auto"/>
            </w:tcBorders>
          </w:tcPr>
          <w:p w14:paraId="0459A310" w14:textId="2C02ECCE" w:rsidR="00CD45DB" w:rsidRPr="00F110C2" w:rsidRDefault="009615D1" w:rsidP="00254EC9">
            <w:pPr>
              <w:pStyle w:val="Tabletext"/>
              <w:jc w:val="center"/>
            </w:pPr>
            <w:r w:rsidRPr="00F110C2">
              <w:t>−</w:t>
            </w:r>
            <w:r w:rsidR="00CD45DB" w:rsidRPr="00F110C2">
              <w:t>105</w:t>
            </w:r>
          </w:p>
        </w:tc>
      </w:tr>
      <w:tr w:rsidR="00CD45DB" w:rsidRPr="00F110C2" w14:paraId="4058D1F3" w14:textId="77777777" w:rsidTr="00ED0290">
        <w:trPr>
          <w:jc w:val="center"/>
        </w:trPr>
        <w:tc>
          <w:tcPr>
            <w:tcW w:w="3477" w:type="dxa"/>
            <w:tcBorders>
              <w:left w:val="single" w:sz="4" w:space="0" w:color="auto"/>
            </w:tcBorders>
          </w:tcPr>
          <w:p w14:paraId="6083A9C1" w14:textId="3CE67BD0" w:rsidR="00CD45DB" w:rsidRPr="00F110C2" w:rsidRDefault="009615D1" w:rsidP="00254EC9">
            <w:pPr>
              <w:pStyle w:val="Tabletext"/>
              <w:jc w:val="center"/>
            </w:pPr>
            <w:r w:rsidRPr="00F110C2">
              <w:t>−</w:t>
            </w:r>
            <w:r w:rsidR="00CD45DB" w:rsidRPr="00F110C2">
              <w:t>0,3</w:t>
            </w:r>
          </w:p>
        </w:tc>
        <w:tc>
          <w:tcPr>
            <w:tcW w:w="2700" w:type="dxa"/>
            <w:tcBorders>
              <w:right w:val="single" w:sz="4" w:space="0" w:color="auto"/>
            </w:tcBorders>
          </w:tcPr>
          <w:p w14:paraId="36143598" w14:textId="3F2DE127" w:rsidR="00CD45DB" w:rsidRPr="00F110C2" w:rsidRDefault="009615D1" w:rsidP="00254EC9">
            <w:pPr>
              <w:pStyle w:val="Tabletext"/>
              <w:jc w:val="center"/>
            </w:pPr>
            <w:r w:rsidRPr="00F110C2">
              <w:t>−</w:t>
            </w:r>
            <w:r w:rsidR="00CD45DB" w:rsidRPr="00F110C2">
              <w:t>94</w:t>
            </w:r>
          </w:p>
        </w:tc>
      </w:tr>
      <w:tr w:rsidR="00CD45DB" w:rsidRPr="00F110C2" w14:paraId="49CB024C" w14:textId="77777777" w:rsidTr="00ED0290">
        <w:trPr>
          <w:jc w:val="center"/>
        </w:trPr>
        <w:tc>
          <w:tcPr>
            <w:tcW w:w="3477" w:type="dxa"/>
            <w:tcBorders>
              <w:left w:val="single" w:sz="4" w:space="0" w:color="auto"/>
            </w:tcBorders>
          </w:tcPr>
          <w:p w14:paraId="2A7B26EE" w14:textId="12211D7C" w:rsidR="00CD45DB" w:rsidRPr="00F110C2" w:rsidRDefault="009615D1" w:rsidP="00254EC9">
            <w:pPr>
              <w:pStyle w:val="Tabletext"/>
              <w:jc w:val="center"/>
            </w:pPr>
            <w:r w:rsidRPr="00F110C2">
              <w:t>−</w:t>
            </w:r>
            <w:r w:rsidR="00CD45DB" w:rsidRPr="00F110C2">
              <w:t>0,2</w:t>
            </w:r>
          </w:p>
        </w:tc>
        <w:tc>
          <w:tcPr>
            <w:tcW w:w="2700" w:type="dxa"/>
            <w:tcBorders>
              <w:right w:val="single" w:sz="4" w:space="0" w:color="auto"/>
            </w:tcBorders>
          </w:tcPr>
          <w:p w14:paraId="51912F28" w14:textId="6E2635DD" w:rsidR="00CD45DB" w:rsidRPr="00F110C2" w:rsidRDefault="009615D1" w:rsidP="00254EC9">
            <w:pPr>
              <w:pStyle w:val="Tabletext"/>
              <w:jc w:val="center"/>
            </w:pPr>
            <w:r w:rsidRPr="00F110C2">
              <w:t>−</w:t>
            </w:r>
            <w:r w:rsidR="00CD45DB" w:rsidRPr="00F110C2">
              <w:t>80</w:t>
            </w:r>
          </w:p>
        </w:tc>
      </w:tr>
      <w:tr w:rsidR="00CD45DB" w:rsidRPr="00F110C2" w14:paraId="338AEA81" w14:textId="77777777" w:rsidTr="00ED0290">
        <w:trPr>
          <w:jc w:val="center"/>
        </w:trPr>
        <w:tc>
          <w:tcPr>
            <w:tcW w:w="3477" w:type="dxa"/>
            <w:tcBorders>
              <w:left w:val="single" w:sz="4" w:space="0" w:color="auto"/>
            </w:tcBorders>
          </w:tcPr>
          <w:p w14:paraId="0C24059D" w14:textId="0C8F7187" w:rsidR="00CD45DB" w:rsidRPr="00F110C2" w:rsidRDefault="009615D1" w:rsidP="00254EC9">
            <w:pPr>
              <w:pStyle w:val="Tabletext"/>
              <w:jc w:val="center"/>
            </w:pPr>
            <w:r w:rsidRPr="00F110C2">
              <w:t>−</w:t>
            </w:r>
            <w:r w:rsidR="00CD45DB" w:rsidRPr="00F110C2">
              <w:t>0,1</w:t>
            </w:r>
          </w:p>
        </w:tc>
        <w:tc>
          <w:tcPr>
            <w:tcW w:w="2700" w:type="dxa"/>
            <w:tcBorders>
              <w:right w:val="single" w:sz="4" w:space="0" w:color="auto"/>
            </w:tcBorders>
          </w:tcPr>
          <w:p w14:paraId="5CF81001" w14:textId="6ACE569E" w:rsidR="00CD45DB" w:rsidRPr="00F110C2" w:rsidRDefault="009615D1" w:rsidP="00254EC9">
            <w:pPr>
              <w:pStyle w:val="Tabletext"/>
              <w:jc w:val="center"/>
            </w:pPr>
            <w:r w:rsidRPr="00F110C2">
              <w:t>−</w:t>
            </w:r>
            <w:r w:rsidR="00CD45DB" w:rsidRPr="00F110C2">
              <w:t>23</w:t>
            </w:r>
          </w:p>
        </w:tc>
      </w:tr>
      <w:tr w:rsidR="00CD45DB" w:rsidRPr="00F110C2" w14:paraId="5B09E3C9" w14:textId="77777777" w:rsidTr="00ED0290">
        <w:trPr>
          <w:jc w:val="center"/>
        </w:trPr>
        <w:tc>
          <w:tcPr>
            <w:tcW w:w="3477" w:type="dxa"/>
            <w:tcBorders>
              <w:left w:val="single" w:sz="4" w:space="0" w:color="auto"/>
            </w:tcBorders>
          </w:tcPr>
          <w:p w14:paraId="73531F2B" w14:textId="77777777" w:rsidR="00CD45DB" w:rsidRPr="00F110C2" w:rsidRDefault="00CD45DB" w:rsidP="00254EC9">
            <w:pPr>
              <w:pStyle w:val="Tabletext"/>
              <w:jc w:val="center"/>
            </w:pPr>
            <w:r w:rsidRPr="00F110C2">
              <w:t>0,1</w:t>
            </w:r>
          </w:p>
        </w:tc>
        <w:tc>
          <w:tcPr>
            <w:tcW w:w="2700" w:type="dxa"/>
            <w:tcBorders>
              <w:right w:val="single" w:sz="4" w:space="0" w:color="auto"/>
            </w:tcBorders>
          </w:tcPr>
          <w:p w14:paraId="56DF9953" w14:textId="40C7712E" w:rsidR="00CD45DB" w:rsidRPr="00F110C2" w:rsidRDefault="009615D1" w:rsidP="00254EC9">
            <w:pPr>
              <w:pStyle w:val="Tabletext"/>
              <w:jc w:val="center"/>
            </w:pPr>
            <w:r w:rsidRPr="00F110C2">
              <w:t>−</w:t>
            </w:r>
            <w:r w:rsidR="00CD45DB" w:rsidRPr="00F110C2">
              <w:t>23</w:t>
            </w:r>
          </w:p>
        </w:tc>
      </w:tr>
      <w:tr w:rsidR="00CD45DB" w:rsidRPr="00F110C2" w14:paraId="5A031389" w14:textId="77777777" w:rsidTr="00ED0290">
        <w:trPr>
          <w:jc w:val="center"/>
        </w:trPr>
        <w:tc>
          <w:tcPr>
            <w:tcW w:w="3477" w:type="dxa"/>
            <w:tcBorders>
              <w:left w:val="single" w:sz="4" w:space="0" w:color="auto"/>
            </w:tcBorders>
          </w:tcPr>
          <w:p w14:paraId="25747FAC" w14:textId="77777777" w:rsidR="00CD45DB" w:rsidRPr="00F110C2" w:rsidRDefault="00CD45DB" w:rsidP="00254EC9">
            <w:pPr>
              <w:pStyle w:val="Tabletext"/>
              <w:jc w:val="center"/>
            </w:pPr>
            <w:r w:rsidRPr="00F110C2">
              <w:t>0,2</w:t>
            </w:r>
          </w:p>
        </w:tc>
        <w:tc>
          <w:tcPr>
            <w:tcW w:w="2700" w:type="dxa"/>
            <w:tcBorders>
              <w:right w:val="single" w:sz="4" w:space="0" w:color="auto"/>
            </w:tcBorders>
          </w:tcPr>
          <w:p w14:paraId="0152A14F" w14:textId="4A3BC9BF" w:rsidR="00CD45DB" w:rsidRPr="00F110C2" w:rsidRDefault="009615D1" w:rsidP="00254EC9">
            <w:pPr>
              <w:pStyle w:val="Tabletext"/>
              <w:jc w:val="center"/>
            </w:pPr>
            <w:r w:rsidRPr="00F110C2">
              <w:t>−</w:t>
            </w:r>
            <w:r w:rsidR="00CD45DB" w:rsidRPr="00F110C2">
              <w:t>80</w:t>
            </w:r>
          </w:p>
        </w:tc>
      </w:tr>
      <w:tr w:rsidR="00CD45DB" w:rsidRPr="00F110C2" w14:paraId="1DD60527" w14:textId="77777777" w:rsidTr="00ED0290">
        <w:trPr>
          <w:jc w:val="center"/>
        </w:trPr>
        <w:tc>
          <w:tcPr>
            <w:tcW w:w="3477" w:type="dxa"/>
            <w:tcBorders>
              <w:left w:val="single" w:sz="4" w:space="0" w:color="auto"/>
            </w:tcBorders>
          </w:tcPr>
          <w:p w14:paraId="431165AF" w14:textId="77777777" w:rsidR="00CD45DB" w:rsidRPr="00F110C2" w:rsidRDefault="00CD45DB" w:rsidP="00254EC9">
            <w:pPr>
              <w:pStyle w:val="Tabletext"/>
              <w:jc w:val="center"/>
            </w:pPr>
            <w:r w:rsidRPr="00F110C2">
              <w:t>0,3</w:t>
            </w:r>
          </w:p>
        </w:tc>
        <w:tc>
          <w:tcPr>
            <w:tcW w:w="2700" w:type="dxa"/>
            <w:tcBorders>
              <w:right w:val="single" w:sz="4" w:space="0" w:color="auto"/>
            </w:tcBorders>
          </w:tcPr>
          <w:p w14:paraId="0D76B3A2" w14:textId="05B71A22" w:rsidR="00CD45DB" w:rsidRPr="00F110C2" w:rsidRDefault="009615D1" w:rsidP="00254EC9">
            <w:pPr>
              <w:pStyle w:val="Tabletext"/>
              <w:jc w:val="center"/>
            </w:pPr>
            <w:r w:rsidRPr="00F110C2">
              <w:t>−</w:t>
            </w:r>
            <w:r w:rsidR="00CD45DB" w:rsidRPr="00F110C2">
              <w:t>94</w:t>
            </w:r>
          </w:p>
        </w:tc>
      </w:tr>
      <w:tr w:rsidR="00CD45DB" w:rsidRPr="00F110C2" w14:paraId="4CD4DC95" w14:textId="77777777" w:rsidTr="00ED0290">
        <w:trPr>
          <w:jc w:val="center"/>
        </w:trPr>
        <w:tc>
          <w:tcPr>
            <w:tcW w:w="3477" w:type="dxa"/>
            <w:tcBorders>
              <w:left w:val="single" w:sz="4" w:space="0" w:color="auto"/>
              <w:bottom w:val="single" w:sz="4" w:space="0" w:color="auto"/>
            </w:tcBorders>
          </w:tcPr>
          <w:p w14:paraId="36905E98" w14:textId="77777777" w:rsidR="00CD45DB" w:rsidRPr="00F110C2" w:rsidRDefault="00CD45DB" w:rsidP="00254EC9">
            <w:pPr>
              <w:pStyle w:val="Tabletext"/>
              <w:jc w:val="center"/>
            </w:pPr>
            <w:r w:rsidRPr="00F110C2">
              <w:t>0,5</w:t>
            </w:r>
          </w:p>
        </w:tc>
        <w:tc>
          <w:tcPr>
            <w:tcW w:w="2700" w:type="dxa"/>
            <w:tcBorders>
              <w:bottom w:val="single" w:sz="4" w:space="0" w:color="auto"/>
              <w:right w:val="single" w:sz="4" w:space="0" w:color="auto"/>
            </w:tcBorders>
          </w:tcPr>
          <w:p w14:paraId="5B89B440" w14:textId="24E04985" w:rsidR="00CD45DB" w:rsidRPr="00F110C2" w:rsidRDefault="009615D1" w:rsidP="00254EC9">
            <w:pPr>
              <w:pStyle w:val="Tabletext"/>
              <w:jc w:val="center"/>
            </w:pPr>
            <w:r w:rsidRPr="00F110C2">
              <w:t>−</w:t>
            </w:r>
            <w:r w:rsidR="00CD45DB" w:rsidRPr="00F110C2">
              <w:t>105</w:t>
            </w:r>
          </w:p>
        </w:tc>
      </w:tr>
    </w:tbl>
    <w:p w14:paraId="1D1F1819" w14:textId="77777777" w:rsidR="00CD45DB" w:rsidRPr="00F110C2" w:rsidRDefault="00CD45DB" w:rsidP="00254EC9">
      <w:pPr>
        <w:pStyle w:val="Tablefin"/>
      </w:pPr>
    </w:p>
    <w:p w14:paraId="4CEC3400" w14:textId="77777777" w:rsidR="00CD45DB" w:rsidRPr="00F110C2" w:rsidRDefault="00CD45DB" w:rsidP="00254EC9">
      <w:pPr>
        <w:pStyle w:val="Heading1"/>
      </w:pPr>
      <w:r w:rsidRPr="00F110C2">
        <w:t>2</w:t>
      </w:r>
      <w:r w:rsidRPr="00F110C2">
        <w:tab/>
        <w:t>Radiodiffusion sonore au-dessous de 30 MHz</w:t>
      </w:r>
    </w:p>
    <w:p w14:paraId="1C93B154" w14:textId="77777777" w:rsidR="00CD45DB" w:rsidRPr="00F110C2" w:rsidRDefault="00CD45DB" w:rsidP="00254EC9">
      <w:r w:rsidRPr="00F110C2">
        <w:t>Les émissions dans le domaine des émissions hors bande pour les émetteurs de radiodiffusion sonore à double bande latérale ou à BLU fonctionnant au-dessous de 30 MHz sont évaluées à partir de la Recommandation UIT-R SM.328.</w:t>
      </w:r>
    </w:p>
    <w:p w14:paraId="6906A85F" w14:textId="77777777" w:rsidR="00CD45DB" w:rsidRPr="00F110C2" w:rsidRDefault="00CD45DB" w:rsidP="00254EC9">
      <w:pPr>
        <w:pStyle w:val="Heading2"/>
      </w:pPr>
      <w:r w:rsidRPr="00F110C2">
        <w:t>2.1</w:t>
      </w:r>
      <w:r w:rsidRPr="00F110C2">
        <w:tab/>
        <w:t>Systèmes Digital Radio Mondiale</w:t>
      </w:r>
    </w:p>
    <w:p w14:paraId="3F7641F1" w14:textId="77777777" w:rsidR="00CD45DB" w:rsidRPr="00F110C2" w:rsidRDefault="00CD45DB" w:rsidP="00254EC9">
      <w:r w:rsidRPr="00F110C2">
        <w:t>En ce qui concerne les systèmes Digital Radio Mondiale (DRM), le domaine des émissions hors bande s'étend:</w:t>
      </w:r>
    </w:p>
    <w:p w14:paraId="36CC96F0" w14:textId="5B73E32F" w:rsidR="00CD45DB" w:rsidRPr="00F110C2" w:rsidRDefault="00932E82" w:rsidP="00254EC9">
      <w:pPr>
        <w:pStyle w:val="enumlev1"/>
      </w:pPr>
      <w:r>
        <w:rPr>
          <w:lang w:val="en-GB"/>
        </w:rPr>
        <w:t>–</w:t>
      </w:r>
      <w:r w:rsidR="00CD45DB" w:rsidRPr="00F110C2">
        <w:tab/>
        <w:t xml:space="preserve">de </w:t>
      </w:r>
      <w:r w:rsidR="00CD45DB" w:rsidRPr="00F110C2">
        <w:sym w:font="Symbol" w:char="F0B1"/>
      </w:r>
      <w:r w:rsidR="00CD45DB" w:rsidRPr="00F110C2">
        <w:t xml:space="preserve">2,25 kHz (soit </w:t>
      </w:r>
      <w:r w:rsidR="00CD45DB" w:rsidRPr="00F110C2">
        <w:sym w:font="Symbol" w:char="F0B1"/>
      </w:r>
      <w:r w:rsidR="00CD45DB" w:rsidRPr="00F110C2">
        <w:t xml:space="preserve">0,5 × 4,5 kHz) à </w:t>
      </w:r>
      <w:r w:rsidR="00CD45DB" w:rsidRPr="00F110C2">
        <w:sym w:font="Symbol" w:char="F0B1"/>
      </w:r>
      <w:r w:rsidR="00CD45DB" w:rsidRPr="00F110C2">
        <w:t>11,25 kHz (soit </w:t>
      </w:r>
      <w:r w:rsidR="00CD45DB" w:rsidRPr="00F110C2">
        <w:sym w:font="Symbol" w:char="F0B1"/>
      </w:r>
      <w:r w:rsidR="00CD45DB" w:rsidRPr="00F110C2">
        <w:t>2,5 × 4,5 kHz), pour des canaux de 4,5 kHz;</w:t>
      </w:r>
    </w:p>
    <w:p w14:paraId="61C74D9A" w14:textId="0687FBDD" w:rsidR="00CD45DB" w:rsidRPr="00F110C2" w:rsidRDefault="00932E82" w:rsidP="00254EC9">
      <w:pPr>
        <w:pStyle w:val="enumlev1"/>
      </w:pPr>
      <w:r>
        <w:rPr>
          <w:lang w:val="en-GB"/>
        </w:rPr>
        <w:t>–</w:t>
      </w:r>
      <w:r w:rsidR="00CD45DB" w:rsidRPr="00F110C2">
        <w:tab/>
        <w:t xml:space="preserve">de </w:t>
      </w:r>
      <w:r w:rsidR="00CD45DB" w:rsidRPr="00F110C2">
        <w:sym w:font="Symbol" w:char="F0B1"/>
      </w:r>
      <w:r w:rsidR="00CD45DB" w:rsidRPr="00F110C2">
        <w:t xml:space="preserve">2,5 kHz (soit </w:t>
      </w:r>
      <w:r w:rsidR="00CD45DB" w:rsidRPr="00F110C2">
        <w:sym w:font="Symbol" w:char="F0B1"/>
      </w:r>
      <w:r w:rsidR="00CD45DB" w:rsidRPr="00F110C2">
        <w:t xml:space="preserve">0,5 × 5 kHz) à </w:t>
      </w:r>
      <w:r w:rsidR="00CD45DB" w:rsidRPr="00F110C2">
        <w:sym w:font="Symbol" w:char="F0B1"/>
      </w:r>
      <w:r w:rsidR="00CD45DB" w:rsidRPr="00F110C2">
        <w:t>12,5 kHz (soit </w:t>
      </w:r>
      <w:r w:rsidR="00CD45DB" w:rsidRPr="00F110C2">
        <w:sym w:font="Symbol" w:char="F0B1"/>
      </w:r>
      <w:r w:rsidR="00CD45DB" w:rsidRPr="00F110C2">
        <w:t>2,5 × 5 kHz), pour des canaux de 5 kHz;</w:t>
      </w:r>
    </w:p>
    <w:p w14:paraId="35F8F3AC" w14:textId="1035BFE2" w:rsidR="00CD45DB" w:rsidRPr="00F110C2" w:rsidRDefault="00932E82" w:rsidP="00254EC9">
      <w:pPr>
        <w:pStyle w:val="enumlev1"/>
      </w:pPr>
      <w:r>
        <w:rPr>
          <w:lang w:val="en-GB"/>
        </w:rPr>
        <w:t>–</w:t>
      </w:r>
      <w:r w:rsidR="00CD45DB" w:rsidRPr="00F110C2">
        <w:tab/>
        <w:t xml:space="preserve">de </w:t>
      </w:r>
      <w:r w:rsidR="00CD45DB" w:rsidRPr="00F110C2">
        <w:sym w:font="Symbol" w:char="F0B1"/>
      </w:r>
      <w:r w:rsidR="00CD45DB" w:rsidRPr="00F110C2">
        <w:t xml:space="preserve">4,5 kHz (soit </w:t>
      </w:r>
      <w:r w:rsidR="00CD45DB" w:rsidRPr="00F110C2">
        <w:sym w:font="Symbol" w:char="F0B1"/>
      </w:r>
      <w:r w:rsidR="00CD45DB" w:rsidRPr="00F110C2">
        <w:t xml:space="preserve">0,5 × 9 kHz) à </w:t>
      </w:r>
      <w:r w:rsidR="00CD45DB" w:rsidRPr="00F110C2">
        <w:sym w:font="Symbol" w:char="F0B1"/>
      </w:r>
      <w:r w:rsidR="00CD45DB" w:rsidRPr="00F110C2">
        <w:t>22,5 kHz (soit </w:t>
      </w:r>
      <w:r w:rsidR="00CD45DB" w:rsidRPr="00F110C2">
        <w:sym w:font="Symbol" w:char="F0B1"/>
      </w:r>
      <w:r w:rsidR="00CD45DB" w:rsidRPr="00F110C2">
        <w:t>2,5 × 9 kHz), pour des canaux de 9 kHz;</w:t>
      </w:r>
    </w:p>
    <w:p w14:paraId="2AA8E873" w14:textId="59F2951C" w:rsidR="00CD45DB" w:rsidRPr="00F110C2" w:rsidRDefault="00932E82" w:rsidP="00254EC9">
      <w:pPr>
        <w:pStyle w:val="enumlev1"/>
      </w:pPr>
      <w:r>
        <w:rPr>
          <w:lang w:val="en-GB"/>
        </w:rPr>
        <w:t>–</w:t>
      </w:r>
      <w:r w:rsidR="00CD45DB" w:rsidRPr="00F110C2">
        <w:tab/>
        <w:t xml:space="preserve">de </w:t>
      </w:r>
      <w:r w:rsidR="00CD45DB" w:rsidRPr="00F110C2">
        <w:sym w:font="Symbol" w:char="F0B1"/>
      </w:r>
      <w:r w:rsidR="00CD45DB" w:rsidRPr="00F110C2">
        <w:t xml:space="preserve">5 kHz (soit </w:t>
      </w:r>
      <w:r w:rsidR="00CD45DB" w:rsidRPr="00F110C2">
        <w:sym w:font="Symbol" w:char="F0B1"/>
      </w:r>
      <w:r w:rsidR="00CD45DB" w:rsidRPr="00F110C2">
        <w:t xml:space="preserve">0,5 × 10 kHz) à </w:t>
      </w:r>
      <w:r w:rsidR="00CD45DB" w:rsidRPr="00F110C2">
        <w:sym w:font="Symbol" w:char="F0B1"/>
      </w:r>
      <w:r w:rsidR="00CD45DB" w:rsidRPr="00F110C2">
        <w:t>25 kHz (soit </w:t>
      </w:r>
      <w:r w:rsidR="00CD45DB" w:rsidRPr="00F110C2">
        <w:sym w:font="Symbol" w:char="F0B1"/>
      </w:r>
      <w:r w:rsidR="00CD45DB" w:rsidRPr="00F110C2">
        <w:t>2,5 × 10 kHz), pour des canaux de 10 kHz.</w:t>
      </w:r>
    </w:p>
    <w:p w14:paraId="2CEA4AE3" w14:textId="1E18875A" w:rsidR="00CD45DB" w:rsidRPr="00F110C2" w:rsidRDefault="00CD45DB" w:rsidP="00254EC9">
      <w:r w:rsidRPr="00F110C2">
        <w:t>La Recommandation UIT</w:t>
      </w:r>
      <w:r w:rsidRPr="00F110C2">
        <w:noBreakHyphen/>
        <w:t xml:space="preserve">R BS.1615 </w:t>
      </w:r>
      <w:r w:rsidR="00932E82">
        <w:rPr>
          <w:lang w:val="en-GB"/>
        </w:rPr>
        <w:t>–</w:t>
      </w:r>
      <w:r w:rsidRPr="00F110C2">
        <w:t xml:space="preserve"> «Paramètres de planification» pour la radiodiffusion sonore numérique aux fréquences inférieures à 30 MHz (§ 2.2) donne des indications pour définir les gabarits de limite spectrale du système DRM.</w:t>
      </w:r>
    </w:p>
    <w:p w14:paraId="3347A867" w14:textId="48C75B3E" w:rsidR="00CD45DB" w:rsidRPr="00F110C2" w:rsidRDefault="00CD45DB" w:rsidP="00254EC9">
      <w:r w:rsidRPr="00F110C2">
        <w:t>Les gabarits de limite spectrale du système DRM sont calculés conformément au § 6.3.3 de l'Annexe 1 de la Recommandation UIT</w:t>
      </w:r>
      <w:r w:rsidRPr="00F110C2">
        <w:noBreakHyphen/>
        <w:t>R SM.328, avec les largeurs de bande de canal indiquées ci</w:t>
      </w:r>
      <w:r w:rsidRPr="00F110C2">
        <w:noBreakHyphen/>
        <w:t xml:space="preserve">dessus et un affaiblissement de 30 dB à </w:t>
      </w:r>
      <w:r w:rsidRPr="00F110C2">
        <w:sym w:font="Symbol" w:char="F0B1"/>
      </w:r>
      <w:r w:rsidRPr="00F110C2">
        <w:t>0,53 × largeur de bande du canal; au</w:t>
      </w:r>
      <w:r w:rsidRPr="00F110C2">
        <w:noBreakHyphen/>
        <w:t xml:space="preserve">delà de ce point et jusqu'au niveau de −60 dB, la pente est de </w:t>
      </w:r>
      <w:r w:rsidR="00F91EA9" w:rsidRPr="00F110C2">
        <w:t>−</w:t>
      </w:r>
      <w:r w:rsidRPr="00F110C2">
        <w:t>12 dB/octave. Le niveau relatif de puissance est défini dans une largeur de bande de référence de 100 Hz. Le niveau de référence de 0 dB correspond à la puissance moyenne de sortie mesurée dans la largeur de bande du canal.</w:t>
      </w:r>
    </w:p>
    <w:p w14:paraId="5F144B43" w14:textId="77777777" w:rsidR="00CD45DB" w:rsidRPr="00F110C2" w:rsidRDefault="00CD45DB" w:rsidP="00254EC9">
      <w:r w:rsidRPr="00F110C2">
        <w:t>Un exemple de gabarit de limite spectrale pour le système DRM avec des canaux de 10 kHz est présenté à la Fig. 30.</w:t>
      </w:r>
    </w:p>
    <w:p w14:paraId="28982CFF" w14:textId="77777777" w:rsidR="00CD45DB" w:rsidRPr="00F110C2" w:rsidRDefault="00CD45DB" w:rsidP="00254EC9">
      <w:pPr>
        <w:pStyle w:val="FigureNo"/>
      </w:pPr>
      <w:r w:rsidRPr="00F110C2">
        <w:lastRenderedPageBreak/>
        <w:t>FIGURE 30</w:t>
      </w:r>
    </w:p>
    <w:p w14:paraId="7102FC70" w14:textId="77777777" w:rsidR="00CD45DB" w:rsidRPr="00F110C2" w:rsidRDefault="00CD45DB" w:rsidP="00254EC9">
      <w:pPr>
        <w:pStyle w:val="Figuretitle"/>
      </w:pPr>
      <w:r w:rsidRPr="00F110C2">
        <w:t>Gabarit de limite spectrale pour le système DRM avec des canaux de 10 kHz</w:t>
      </w:r>
    </w:p>
    <w:p w14:paraId="1A9B51AC" w14:textId="77777777" w:rsidR="00CD45DB" w:rsidRPr="00F110C2" w:rsidRDefault="00CD45DB" w:rsidP="00254EC9">
      <w:pPr>
        <w:pStyle w:val="Figure"/>
      </w:pPr>
      <w:r w:rsidRPr="00F110C2">
        <w:drawing>
          <wp:inline distT="0" distB="0" distL="0" distR="0" wp14:anchorId="7A913ECF" wp14:editId="5A92569E">
            <wp:extent cx="4817745" cy="4142105"/>
            <wp:effectExtent l="0" t="0" r="6985" b="0"/>
            <wp:docPr id="438431229" name="Picture 14" descr="A graph with a lin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31229" name="Picture 14" descr="A graph with a line on it&#10;&#10;AI-generated content may be incorrect."/>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817745" cy="4142105"/>
                    </a:xfrm>
                    <a:prstGeom prst="rect">
                      <a:avLst/>
                    </a:prstGeom>
                    <a:noFill/>
                    <a:ln>
                      <a:noFill/>
                    </a:ln>
                  </pic:spPr>
                </pic:pic>
              </a:graphicData>
            </a:graphic>
          </wp:inline>
        </w:drawing>
      </w:r>
    </w:p>
    <w:p w14:paraId="5398E60F" w14:textId="77777777" w:rsidR="00CD45DB" w:rsidRPr="00F110C2" w:rsidRDefault="00CD45DB" w:rsidP="00254EC9">
      <w:pPr>
        <w:pStyle w:val="Heading1"/>
      </w:pPr>
      <w:r w:rsidRPr="00F110C2">
        <w:t>3</w:t>
      </w:r>
      <w:r w:rsidRPr="00F110C2">
        <w:tab/>
        <w:t>Radiodiffusion sonore numérique</w:t>
      </w:r>
    </w:p>
    <w:p w14:paraId="2BBEBE98" w14:textId="77777777" w:rsidR="00CD45DB" w:rsidRPr="00F110C2" w:rsidRDefault="00CD45DB" w:rsidP="00254EC9">
      <w:pPr>
        <w:pStyle w:val="Headingi"/>
      </w:pPr>
      <w:r w:rsidRPr="00F110C2">
        <w:t>Système numérique A</w:t>
      </w:r>
    </w:p>
    <w:p w14:paraId="4FA28B55" w14:textId="77777777" w:rsidR="00CD45DB" w:rsidRPr="00F110C2" w:rsidRDefault="00CD45DB" w:rsidP="00254EC9">
      <w:r w:rsidRPr="00F110C2">
        <w:t>Le gabarit pour le système numérique A est représenté sur la Fig. 31. Les points de rupture et les valeurs de point d'extrémité associés sont donnés dans les Tableaux 24 et 25.</w:t>
      </w:r>
    </w:p>
    <w:p w14:paraId="29C82BF9" w14:textId="77777777" w:rsidR="00CD45DB" w:rsidRPr="00F110C2" w:rsidRDefault="00CD45DB" w:rsidP="00254EC9">
      <w:r w:rsidRPr="00F110C2">
        <w:t xml:space="preserve">En ce qui concerne le système numérique A avec canaux de 1,54 MHz, le domaine des émissions hors bande s'étend de </w:t>
      </w:r>
      <w:r w:rsidRPr="00F110C2">
        <w:sym w:font="Symbol" w:char="F0B1"/>
      </w:r>
      <w:r w:rsidRPr="00F110C2">
        <w:t xml:space="preserve">0,77 MHz (c'est-à-dire </w:t>
      </w:r>
      <w:r w:rsidRPr="00F110C2">
        <w:sym w:font="Symbol" w:char="F0B1"/>
      </w:r>
      <w:r w:rsidRPr="00F110C2">
        <w:t>0,5 </w:t>
      </w:r>
      <w:r w:rsidRPr="00F110C2">
        <w:sym w:font="Symbol" w:char="F0B4"/>
      </w:r>
      <w:r w:rsidRPr="00F110C2">
        <w:t> 1,54 MHz) à </w:t>
      </w:r>
      <w:r w:rsidRPr="00F110C2">
        <w:sym w:font="Symbol" w:char="F0B1"/>
      </w:r>
      <w:r w:rsidRPr="00F110C2">
        <w:t>3,85 MHz (c'est</w:t>
      </w:r>
      <w:r w:rsidRPr="00F110C2">
        <w:noBreakHyphen/>
        <w:t>à</w:t>
      </w:r>
      <w:r w:rsidRPr="00F110C2">
        <w:noBreakHyphen/>
        <w:t>dire </w:t>
      </w:r>
      <w:r w:rsidRPr="00F110C2">
        <w:sym w:font="Symbol" w:char="F0B1"/>
      </w:r>
      <w:r w:rsidRPr="00F110C2">
        <w:t>2,5 </w:t>
      </w:r>
      <w:r w:rsidRPr="00F110C2">
        <w:sym w:font="Symbol" w:char="F0B4"/>
      </w:r>
      <w:r w:rsidRPr="00F110C2">
        <w:t> 1,54 MHz).</w:t>
      </w:r>
    </w:p>
    <w:p w14:paraId="7F4BBF1A" w14:textId="77777777" w:rsidR="00CD45DB" w:rsidRPr="00F110C2" w:rsidRDefault="00CD45DB" w:rsidP="00254EC9">
      <w:r w:rsidRPr="00F110C2">
        <w:t>Pour le système numérique A, on utilise une largeur de bande de mesure de 4 kHz. Le niveau de référence 0 dB correspond à la puissance moyenne de sortie mesurée dans la largeur de bande du canal (1,54 MHz).</w:t>
      </w:r>
    </w:p>
    <w:p w14:paraId="17EF4BDF" w14:textId="77777777" w:rsidR="00CD45DB" w:rsidRPr="00F110C2" w:rsidRDefault="00CD45DB" w:rsidP="00254EC9">
      <w:pPr>
        <w:pStyle w:val="FigureNo"/>
      </w:pPr>
      <w:r w:rsidRPr="00F110C2">
        <w:lastRenderedPageBreak/>
        <w:t>figure 31</w:t>
      </w:r>
    </w:p>
    <w:p w14:paraId="523E7491" w14:textId="77777777" w:rsidR="00CD45DB" w:rsidRPr="00F110C2" w:rsidRDefault="00CD45DB" w:rsidP="00254EC9">
      <w:pPr>
        <w:pStyle w:val="Figuretitle"/>
      </w:pPr>
      <w:r w:rsidRPr="00F110C2">
        <w:t xml:space="preserve">Gabarit de limite spectrale pour le système numérique A (9 dBW &lt; </w:t>
      </w:r>
      <w:r w:rsidRPr="00F110C2">
        <w:rPr>
          <w:i/>
          <w:iCs/>
        </w:rPr>
        <w:t>P</w:t>
      </w:r>
      <w:r w:rsidRPr="00F110C2">
        <w:t xml:space="preserve"> </w:t>
      </w:r>
      <w:r w:rsidRPr="00F110C2">
        <w:sym w:font="Symbol" w:char="F0A3"/>
      </w:r>
      <w:r w:rsidRPr="00F110C2">
        <w:t xml:space="preserve"> 29 dBW)</w:t>
      </w:r>
    </w:p>
    <w:p w14:paraId="410AAE40" w14:textId="77777777" w:rsidR="00CD45DB" w:rsidRPr="00F110C2" w:rsidRDefault="00CD45DB" w:rsidP="00254EC9">
      <w:pPr>
        <w:pStyle w:val="Figure"/>
      </w:pPr>
      <w:r w:rsidRPr="00F110C2">
        <w:drawing>
          <wp:inline distT="0" distB="0" distL="0" distR="0" wp14:anchorId="3B2945DB" wp14:editId="69127627">
            <wp:extent cx="4340225" cy="3691890"/>
            <wp:effectExtent l="0" t="0" r="3175" b="3810"/>
            <wp:docPr id="1960527504" name="Picture 16" descr="A graph of a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27504" name="Picture 16" descr="A graph of a frequency&#10;&#10;AI-generated content may be incorrect."/>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340225" cy="3691890"/>
                    </a:xfrm>
                    <a:prstGeom prst="rect">
                      <a:avLst/>
                    </a:prstGeom>
                    <a:noFill/>
                    <a:ln>
                      <a:noFill/>
                    </a:ln>
                  </pic:spPr>
                </pic:pic>
              </a:graphicData>
            </a:graphic>
          </wp:inline>
        </w:drawing>
      </w:r>
    </w:p>
    <w:p w14:paraId="51CBA358" w14:textId="77777777" w:rsidR="00CD45DB" w:rsidRPr="00F110C2" w:rsidRDefault="00CD45DB" w:rsidP="00254EC9">
      <w:pPr>
        <w:pStyle w:val="Normalaftertitle"/>
      </w:pPr>
      <w:r w:rsidRPr="00F110C2">
        <w:t>Le Tableau 25 donne les valeurs de point d'extrémité à utiliser conjointement avec le Tableau 24 et la Fig. 31, applicables à une plage de puissances de sortie d'émetteur, pour le système numérique A.</w:t>
      </w:r>
    </w:p>
    <w:p w14:paraId="0C46357F" w14:textId="77777777" w:rsidR="00CD45DB" w:rsidRPr="00F110C2" w:rsidRDefault="00CD45DB" w:rsidP="00254EC9">
      <w:pPr>
        <w:pStyle w:val="TableNo"/>
      </w:pPr>
      <w:r w:rsidRPr="00F110C2">
        <w:t>TABLEAU 24</w:t>
      </w:r>
    </w:p>
    <w:p w14:paraId="7C7F0A65" w14:textId="77777777" w:rsidR="00CD45DB" w:rsidRPr="00F110C2" w:rsidRDefault="00CD45DB" w:rsidP="00254EC9">
      <w:pPr>
        <w:pStyle w:val="Tabletitle"/>
      </w:pPr>
      <w:r w:rsidRPr="00F110C2">
        <w:t>Points de rupture du gabarit pour le système numérique A,</w:t>
      </w:r>
      <w:r w:rsidRPr="00F110C2">
        <w:br/>
        <w:t>tous les modes de transmission (9 dBW &lt; </w:t>
      </w:r>
      <w:r w:rsidRPr="00F110C2">
        <w:rPr>
          <w:i/>
          <w:iCs/>
        </w:rPr>
        <w:t>P</w:t>
      </w:r>
      <w:r w:rsidRPr="00F110C2">
        <w:t> </w:t>
      </w:r>
      <w:r w:rsidRPr="00F110C2">
        <w:sym w:font="Symbol" w:char="F0A3"/>
      </w:r>
      <w:r w:rsidRPr="00F110C2">
        <w:t> 29 dBW)</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630"/>
        <w:gridCol w:w="4009"/>
      </w:tblGrid>
      <w:tr w:rsidR="00CD45DB" w:rsidRPr="00F110C2" w14:paraId="6A4937B7" w14:textId="77777777" w:rsidTr="00ED0290">
        <w:trPr>
          <w:trHeight w:val="290"/>
          <w:jc w:val="center"/>
        </w:trPr>
        <w:tc>
          <w:tcPr>
            <w:tcW w:w="3792" w:type="dxa"/>
            <w:vAlign w:val="center"/>
          </w:tcPr>
          <w:p w14:paraId="30BECCEA" w14:textId="1965EF52" w:rsidR="00CD45DB" w:rsidRPr="00F110C2" w:rsidRDefault="00CD45DB" w:rsidP="00254EC9">
            <w:pPr>
              <w:pStyle w:val="Tablehead"/>
            </w:pPr>
            <w:r w:rsidRPr="00F110C2">
              <w:t>Fréquence par rapport au centre</w:t>
            </w:r>
            <w:r w:rsidR="00ED0290" w:rsidRPr="00F110C2">
              <w:t xml:space="preserve"> </w:t>
            </w:r>
            <w:r w:rsidR="00ED0290" w:rsidRPr="00F110C2">
              <w:br/>
            </w:r>
            <w:r w:rsidRPr="00F110C2">
              <w:t>du canal de 1,54 MHz</w:t>
            </w:r>
            <w:r w:rsidR="00ED0290" w:rsidRPr="00F110C2">
              <w:t xml:space="preserve"> </w:t>
            </w:r>
            <w:r w:rsidRPr="00F110C2">
              <w:t>(MHz)</w:t>
            </w:r>
          </w:p>
        </w:tc>
        <w:tc>
          <w:tcPr>
            <w:tcW w:w="2700" w:type="dxa"/>
            <w:vAlign w:val="center"/>
          </w:tcPr>
          <w:p w14:paraId="22C7E92D" w14:textId="77777777" w:rsidR="00CD45DB" w:rsidRPr="00F110C2" w:rsidRDefault="00CD45DB" w:rsidP="00254EC9">
            <w:pPr>
              <w:pStyle w:val="Tablehead"/>
            </w:pPr>
            <w:r w:rsidRPr="00F110C2">
              <w:t>Niveau relatif</w:t>
            </w:r>
            <w:r w:rsidRPr="00F110C2">
              <w:br/>
              <w:t>(dB)</w:t>
            </w:r>
          </w:p>
        </w:tc>
      </w:tr>
      <w:tr w:rsidR="00CD45DB" w:rsidRPr="00F110C2" w14:paraId="5F360EBC" w14:textId="77777777" w:rsidTr="00ED0290">
        <w:trPr>
          <w:trHeight w:val="20"/>
          <w:jc w:val="center"/>
        </w:trPr>
        <w:tc>
          <w:tcPr>
            <w:tcW w:w="3792" w:type="dxa"/>
            <w:shd w:val="solid" w:color="FFFFFF" w:fill="auto"/>
            <w:tcMar>
              <w:left w:w="108" w:type="dxa"/>
              <w:right w:w="108" w:type="dxa"/>
            </w:tcMar>
          </w:tcPr>
          <w:p w14:paraId="15EB558E" w14:textId="71D4983B" w:rsidR="00CD45DB" w:rsidRPr="00F110C2" w:rsidRDefault="00F91EA9" w:rsidP="00254EC9">
            <w:pPr>
              <w:pStyle w:val="Tabletext"/>
              <w:jc w:val="center"/>
            </w:pPr>
            <w:r w:rsidRPr="00F110C2">
              <w:t>−</w:t>
            </w:r>
            <w:r w:rsidR="00CD45DB" w:rsidRPr="00F110C2">
              <w:t>3,85</w:t>
            </w:r>
          </w:p>
        </w:tc>
        <w:tc>
          <w:tcPr>
            <w:tcW w:w="2700" w:type="dxa"/>
            <w:shd w:val="solid" w:color="FFFFFF" w:fill="auto"/>
            <w:tcMar>
              <w:left w:w="108" w:type="dxa"/>
              <w:right w:w="108" w:type="dxa"/>
            </w:tcMar>
          </w:tcPr>
          <w:p w14:paraId="003DD58C" w14:textId="6CABABC0" w:rsidR="00CD45DB" w:rsidRPr="00F110C2" w:rsidRDefault="00F91EA9" w:rsidP="00254EC9">
            <w:pPr>
              <w:pStyle w:val="Tabletext"/>
              <w:jc w:val="center"/>
            </w:pPr>
            <w:r w:rsidRPr="00F110C2">
              <w:t>−</w:t>
            </w:r>
            <w:r w:rsidR="00CD45DB" w:rsidRPr="00F110C2">
              <w:t>89</w:t>
            </w:r>
          </w:p>
        </w:tc>
      </w:tr>
      <w:tr w:rsidR="00CD45DB" w:rsidRPr="00F110C2" w14:paraId="01DE1DD5" w14:textId="77777777" w:rsidTr="00ED0290">
        <w:trPr>
          <w:trHeight w:val="20"/>
          <w:jc w:val="center"/>
        </w:trPr>
        <w:tc>
          <w:tcPr>
            <w:tcW w:w="3792" w:type="dxa"/>
            <w:shd w:val="solid" w:color="FFFFFF" w:fill="auto"/>
            <w:tcMar>
              <w:left w:w="108" w:type="dxa"/>
              <w:right w:w="108" w:type="dxa"/>
            </w:tcMar>
          </w:tcPr>
          <w:p w14:paraId="37E028F3" w14:textId="51B8558E" w:rsidR="00CD45DB" w:rsidRPr="00F110C2" w:rsidRDefault="00F91EA9" w:rsidP="00254EC9">
            <w:pPr>
              <w:pStyle w:val="Tabletext"/>
              <w:jc w:val="center"/>
            </w:pPr>
            <w:r w:rsidRPr="00F110C2">
              <w:t>−</w:t>
            </w:r>
            <w:r w:rsidR="00CD45DB" w:rsidRPr="00F110C2">
              <w:t>0,97</w:t>
            </w:r>
          </w:p>
        </w:tc>
        <w:tc>
          <w:tcPr>
            <w:tcW w:w="2700" w:type="dxa"/>
            <w:shd w:val="solid" w:color="FFFFFF" w:fill="auto"/>
            <w:tcMar>
              <w:left w:w="108" w:type="dxa"/>
              <w:right w:w="108" w:type="dxa"/>
            </w:tcMar>
          </w:tcPr>
          <w:p w14:paraId="2D8FD4A9" w14:textId="36575991" w:rsidR="00CD45DB" w:rsidRPr="00F110C2" w:rsidRDefault="00F91EA9" w:rsidP="00254EC9">
            <w:pPr>
              <w:pStyle w:val="Tabletext"/>
              <w:jc w:val="center"/>
            </w:pPr>
            <w:r w:rsidRPr="00F110C2">
              <w:t>−</w:t>
            </w:r>
            <w:r w:rsidR="00CD45DB" w:rsidRPr="00F110C2">
              <w:t>52</w:t>
            </w:r>
          </w:p>
        </w:tc>
      </w:tr>
      <w:tr w:rsidR="00CD45DB" w:rsidRPr="00F110C2" w14:paraId="043A0443" w14:textId="77777777" w:rsidTr="00ED0290">
        <w:trPr>
          <w:trHeight w:val="20"/>
          <w:jc w:val="center"/>
        </w:trPr>
        <w:tc>
          <w:tcPr>
            <w:tcW w:w="3792" w:type="dxa"/>
            <w:shd w:val="solid" w:color="FFFFFF" w:fill="auto"/>
            <w:tcMar>
              <w:left w:w="108" w:type="dxa"/>
              <w:right w:w="108" w:type="dxa"/>
            </w:tcMar>
          </w:tcPr>
          <w:p w14:paraId="412B1DF7" w14:textId="27009DFB" w:rsidR="00CD45DB" w:rsidRPr="00F110C2" w:rsidRDefault="00F91EA9" w:rsidP="00254EC9">
            <w:pPr>
              <w:pStyle w:val="Tabletext"/>
              <w:jc w:val="center"/>
            </w:pPr>
            <w:r w:rsidRPr="00F110C2">
              <w:t>−</w:t>
            </w:r>
            <w:r w:rsidR="00CD45DB" w:rsidRPr="00F110C2">
              <w:t>0,77</w:t>
            </w:r>
          </w:p>
        </w:tc>
        <w:tc>
          <w:tcPr>
            <w:tcW w:w="2700" w:type="dxa"/>
            <w:shd w:val="solid" w:color="FFFFFF" w:fill="auto"/>
            <w:tcMar>
              <w:left w:w="108" w:type="dxa"/>
              <w:right w:w="108" w:type="dxa"/>
            </w:tcMar>
          </w:tcPr>
          <w:p w14:paraId="2E295F4E" w14:textId="2D497C32" w:rsidR="00CD45DB" w:rsidRPr="00F110C2" w:rsidRDefault="00F91EA9" w:rsidP="00254EC9">
            <w:pPr>
              <w:pStyle w:val="Tabletext"/>
              <w:jc w:val="center"/>
            </w:pPr>
            <w:r w:rsidRPr="00F110C2">
              <w:t>−</w:t>
            </w:r>
            <w:r w:rsidR="00CD45DB" w:rsidRPr="00F110C2">
              <w:t>26</w:t>
            </w:r>
          </w:p>
        </w:tc>
      </w:tr>
      <w:tr w:rsidR="00CD45DB" w:rsidRPr="00F110C2" w14:paraId="35385D5A" w14:textId="77777777" w:rsidTr="00ED0290">
        <w:trPr>
          <w:trHeight w:val="20"/>
          <w:jc w:val="center"/>
        </w:trPr>
        <w:tc>
          <w:tcPr>
            <w:tcW w:w="3792" w:type="dxa"/>
            <w:shd w:val="solid" w:color="FFFFFF" w:fill="auto"/>
            <w:tcMar>
              <w:left w:w="108" w:type="dxa"/>
              <w:right w:w="108" w:type="dxa"/>
            </w:tcMar>
          </w:tcPr>
          <w:p w14:paraId="40C23869" w14:textId="77777777" w:rsidR="00CD45DB" w:rsidRPr="00F110C2" w:rsidRDefault="00CD45DB" w:rsidP="00254EC9">
            <w:pPr>
              <w:pStyle w:val="Tabletext"/>
              <w:jc w:val="center"/>
            </w:pPr>
            <w:r w:rsidRPr="00F110C2">
              <w:t>0,77</w:t>
            </w:r>
          </w:p>
        </w:tc>
        <w:tc>
          <w:tcPr>
            <w:tcW w:w="2700" w:type="dxa"/>
            <w:shd w:val="solid" w:color="FFFFFF" w:fill="auto"/>
            <w:tcMar>
              <w:left w:w="108" w:type="dxa"/>
              <w:right w:w="108" w:type="dxa"/>
            </w:tcMar>
          </w:tcPr>
          <w:p w14:paraId="75FAE537" w14:textId="60F21670" w:rsidR="00CD45DB" w:rsidRPr="00F110C2" w:rsidRDefault="009615D1" w:rsidP="00254EC9">
            <w:pPr>
              <w:pStyle w:val="Tabletext"/>
              <w:jc w:val="center"/>
            </w:pPr>
            <w:r w:rsidRPr="00F110C2">
              <w:t>−</w:t>
            </w:r>
            <w:r w:rsidR="00CD45DB" w:rsidRPr="00F110C2">
              <w:t>26</w:t>
            </w:r>
          </w:p>
        </w:tc>
      </w:tr>
      <w:tr w:rsidR="00CD45DB" w:rsidRPr="00F110C2" w14:paraId="2C34F927" w14:textId="77777777" w:rsidTr="00ED0290">
        <w:trPr>
          <w:trHeight w:val="20"/>
          <w:jc w:val="center"/>
        </w:trPr>
        <w:tc>
          <w:tcPr>
            <w:tcW w:w="3792" w:type="dxa"/>
            <w:shd w:val="solid" w:color="FFFFFF" w:fill="auto"/>
            <w:tcMar>
              <w:left w:w="108" w:type="dxa"/>
              <w:right w:w="108" w:type="dxa"/>
            </w:tcMar>
          </w:tcPr>
          <w:p w14:paraId="4E620E9A" w14:textId="77777777" w:rsidR="00CD45DB" w:rsidRPr="00F110C2" w:rsidRDefault="00CD45DB" w:rsidP="00254EC9">
            <w:pPr>
              <w:pStyle w:val="Tabletext"/>
              <w:jc w:val="center"/>
            </w:pPr>
            <w:r w:rsidRPr="00F110C2">
              <w:t>0,97</w:t>
            </w:r>
          </w:p>
        </w:tc>
        <w:tc>
          <w:tcPr>
            <w:tcW w:w="2700" w:type="dxa"/>
            <w:shd w:val="solid" w:color="FFFFFF" w:fill="auto"/>
            <w:tcMar>
              <w:left w:w="108" w:type="dxa"/>
              <w:right w:w="108" w:type="dxa"/>
            </w:tcMar>
          </w:tcPr>
          <w:p w14:paraId="22D6F9AC" w14:textId="1D30ED7E" w:rsidR="00CD45DB" w:rsidRPr="00F110C2" w:rsidRDefault="009615D1" w:rsidP="00254EC9">
            <w:pPr>
              <w:pStyle w:val="Tabletext"/>
              <w:jc w:val="center"/>
            </w:pPr>
            <w:r w:rsidRPr="00F110C2">
              <w:t>−</w:t>
            </w:r>
            <w:r w:rsidR="00CD45DB" w:rsidRPr="00F110C2">
              <w:t>52</w:t>
            </w:r>
          </w:p>
        </w:tc>
      </w:tr>
      <w:tr w:rsidR="00CD45DB" w:rsidRPr="00F110C2" w14:paraId="4B32B1FB" w14:textId="77777777" w:rsidTr="00ED0290">
        <w:trPr>
          <w:trHeight w:val="20"/>
          <w:jc w:val="center"/>
        </w:trPr>
        <w:tc>
          <w:tcPr>
            <w:tcW w:w="3792" w:type="dxa"/>
            <w:shd w:val="solid" w:color="FFFFFF" w:fill="auto"/>
            <w:tcMar>
              <w:left w:w="108" w:type="dxa"/>
              <w:right w:w="108" w:type="dxa"/>
            </w:tcMar>
          </w:tcPr>
          <w:p w14:paraId="07471374" w14:textId="77777777" w:rsidR="00CD45DB" w:rsidRPr="00F110C2" w:rsidRDefault="00CD45DB" w:rsidP="00254EC9">
            <w:pPr>
              <w:pStyle w:val="Tabletext"/>
              <w:jc w:val="center"/>
            </w:pPr>
            <w:r w:rsidRPr="00F110C2">
              <w:t>3,85</w:t>
            </w:r>
          </w:p>
        </w:tc>
        <w:tc>
          <w:tcPr>
            <w:tcW w:w="2700" w:type="dxa"/>
            <w:shd w:val="solid" w:color="FFFFFF" w:fill="auto"/>
            <w:tcMar>
              <w:left w:w="108" w:type="dxa"/>
              <w:right w:w="108" w:type="dxa"/>
            </w:tcMar>
          </w:tcPr>
          <w:p w14:paraId="4CC20B27" w14:textId="06B3F506" w:rsidR="00CD45DB" w:rsidRPr="00F110C2" w:rsidRDefault="009615D1" w:rsidP="00254EC9">
            <w:pPr>
              <w:pStyle w:val="Tabletext"/>
              <w:jc w:val="center"/>
            </w:pPr>
            <w:r w:rsidRPr="00F110C2">
              <w:t>−</w:t>
            </w:r>
            <w:r w:rsidR="00CD45DB" w:rsidRPr="00F110C2">
              <w:t>89</w:t>
            </w:r>
          </w:p>
        </w:tc>
      </w:tr>
    </w:tbl>
    <w:p w14:paraId="72E2C9B7" w14:textId="77777777" w:rsidR="00CD45DB" w:rsidRPr="00F110C2" w:rsidRDefault="00CD45DB" w:rsidP="00254EC9">
      <w:pPr>
        <w:pStyle w:val="Tablefin"/>
      </w:pPr>
    </w:p>
    <w:p w14:paraId="01616207" w14:textId="77777777" w:rsidR="00CD45DB" w:rsidRPr="00F110C2" w:rsidRDefault="00CD45DB" w:rsidP="00254EC9">
      <w:pPr>
        <w:pStyle w:val="TableNo"/>
      </w:pPr>
      <w:r w:rsidRPr="00F110C2">
        <w:lastRenderedPageBreak/>
        <w:t>TABLEAU 25</w:t>
      </w:r>
    </w:p>
    <w:p w14:paraId="0FFA536E" w14:textId="77777777" w:rsidR="00CD45DB" w:rsidRPr="00F110C2" w:rsidRDefault="00CD45DB" w:rsidP="00254EC9">
      <w:pPr>
        <w:pStyle w:val="Tabletitle"/>
      </w:pPr>
      <w:r w:rsidRPr="00F110C2">
        <w:t>Valeurs de point d'extrémité à utiliser conjointement avec le Tableau 24</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77"/>
        <w:gridCol w:w="2778"/>
        <w:gridCol w:w="4084"/>
      </w:tblGrid>
      <w:tr w:rsidR="00CD45DB" w:rsidRPr="00F110C2" w14:paraId="106190ED" w14:textId="77777777" w:rsidTr="009020B9">
        <w:trPr>
          <w:trHeight w:val="247"/>
          <w:jc w:val="center"/>
        </w:trPr>
        <w:tc>
          <w:tcPr>
            <w:tcW w:w="8789" w:type="dxa"/>
            <w:gridSpan w:val="3"/>
            <w:vAlign w:val="center"/>
          </w:tcPr>
          <w:p w14:paraId="115F4EE0" w14:textId="4F4092DF" w:rsidR="00CD45DB" w:rsidRPr="00F110C2" w:rsidRDefault="00CD45DB" w:rsidP="00254EC9">
            <w:pPr>
              <w:pStyle w:val="Tablehead"/>
            </w:pPr>
            <w:r w:rsidRPr="00F110C2">
              <w:t>Système numérique A fonctionnant dans les bandes 47-68 MHz et 174-240 MHz</w:t>
            </w:r>
          </w:p>
        </w:tc>
      </w:tr>
      <w:tr w:rsidR="00CD45DB" w:rsidRPr="00F110C2" w14:paraId="0F51F853" w14:textId="77777777" w:rsidTr="009020B9">
        <w:trPr>
          <w:trHeight w:val="247"/>
          <w:jc w:val="center"/>
        </w:trPr>
        <w:tc>
          <w:tcPr>
            <w:tcW w:w="2532" w:type="dxa"/>
            <w:vAlign w:val="center"/>
          </w:tcPr>
          <w:p w14:paraId="0A019002" w14:textId="77777777" w:rsidR="00CD45DB" w:rsidRPr="00F110C2" w:rsidRDefault="00CD45DB" w:rsidP="00254EC9">
            <w:pPr>
              <w:pStyle w:val="Tablehead"/>
            </w:pPr>
            <w:r w:rsidRPr="00F110C2">
              <w:t>Valeur de point d'extrémité</w:t>
            </w:r>
            <w:r w:rsidRPr="00F110C2">
              <w:rPr>
                <w:vertAlign w:val="superscript"/>
              </w:rPr>
              <w:t>(1)</w:t>
            </w:r>
            <w:r w:rsidRPr="00F110C2">
              <w:br/>
              <w:t>(dB/4 kHz)</w:t>
            </w:r>
          </w:p>
        </w:tc>
        <w:tc>
          <w:tcPr>
            <w:tcW w:w="2533" w:type="dxa"/>
            <w:vAlign w:val="center"/>
          </w:tcPr>
          <w:p w14:paraId="78FE4586" w14:textId="77777777" w:rsidR="00CD45DB" w:rsidRPr="00F110C2" w:rsidRDefault="00CD45DB" w:rsidP="00254EC9">
            <w:pPr>
              <w:pStyle w:val="Tablehead"/>
            </w:pPr>
            <w:r w:rsidRPr="00F110C2">
              <w:t>Plage de puissances (dBW)</w:t>
            </w:r>
          </w:p>
        </w:tc>
        <w:tc>
          <w:tcPr>
            <w:tcW w:w="3724" w:type="dxa"/>
            <w:vAlign w:val="center"/>
          </w:tcPr>
          <w:p w14:paraId="4DBE0EFE" w14:textId="77777777" w:rsidR="00CD45DB" w:rsidRPr="00F110C2" w:rsidRDefault="00CD45DB" w:rsidP="00254EC9">
            <w:pPr>
              <w:pStyle w:val="Tablehead"/>
            </w:pPr>
            <w:r w:rsidRPr="00F110C2">
              <w:t>Niveau correspondant des rayonnements non essentiels (largeur de bande de mesure de 100 kHz)</w:t>
            </w:r>
          </w:p>
        </w:tc>
      </w:tr>
      <w:tr w:rsidR="00CD45DB" w:rsidRPr="00F110C2" w14:paraId="391A9300" w14:textId="77777777" w:rsidTr="009020B9">
        <w:trPr>
          <w:trHeight w:val="247"/>
          <w:jc w:val="center"/>
        </w:trPr>
        <w:tc>
          <w:tcPr>
            <w:tcW w:w="2532" w:type="dxa"/>
            <w:vAlign w:val="center"/>
          </w:tcPr>
          <w:p w14:paraId="56B037A8" w14:textId="40109459" w:rsidR="00CD45DB" w:rsidRPr="00F110C2" w:rsidRDefault="00F91EA9" w:rsidP="00254EC9">
            <w:pPr>
              <w:pStyle w:val="Tabletext"/>
              <w:jc w:val="center"/>
            </w:pPr>
            <w:r w:rsidRPr="00F110C2">
              <w:t>−</w:t>
            </w:r>
            <w:r w:rsidR="00CD45DB" w:rsidRPr="00F110C2">
              <w:t>89 </w:t>
            </w:r>
            <w:r w:rsidR="009615D1" w:rsidRPr="00F110C2">
              <w:t>−</w:t>
            </w:r>
            <w:r w:rsidR="00CD45DB" w:rsidRPr="00F110C2">
              <w:t> (</w:t>
            </w:r>
            <w:r w:rsidR="00CD45DB" w:rsidRPr="00F110C2">
              <w:rPr>
                <w:i/>
                <w:iCs/>
              </w:rPr>
              <w:t>P</w:t>
            </w:r>
            <w:r w:rsidR="00CD45DB" w:rsidRPr="00F110C2">
              <w:t> </w:t>
            </w:r>
            <w:r w:rsidR="009615D1" w:rsidRPr="00F110C2">
              <w:t>−</w:t>
            </w:r>
            <w:r w:rsidR="00CD45DB" w:rsidRPr="00F110C2">
              <w:t> 9)</w:t>
            </w:r>
          </w:p>
        </w:tc>
        <w:tc>
          <w:tcPr>
            <w:tcW w:w="2533" w:type="dxa"/>
          </w:tcPr>
          <w:p w14:paraId="41540804" w14:textId="77777777" w:rsidR="00CD45DB" w:rsidRPr="00F110C2" w:rsidRDefault="00CD45DB" w:rsidP="00254EC9">
            <w:pPr>
              <w:pStyle w:val="Tabletext"/>
            </w:pPr>
            <w:r w:rsidRPr="00F110C2">
              <w:rPr>
                <w:i/>
                <w:iCs/>
                <w:szCs w:val="24"/>
              </w:rPr>
              <w:tab/>
            </w:r>
            <w:r w:rsidRPr="00F110C2">
              <w:rPr>
                <w:i/>
                <w:iCs/>
                <w:szCs w:val="24"/>
              </w:rPr>
              <w:tab/>
            </w:r>
            <w:r w:rsidRPr="00F110C2">
              <w:rPr>
                <w:i/>
                <w:iCs/>
                <w:szCs w:val="24"/>
              </w:rPr>
              <w:tab/>
            </w:r>
            <w:r w:rsidRPr="00F110C2">
              <w:rPr>
                <w:i/>
                <w:iCs/>
                <w:szCs w:val="24"/>
              </w:rPr>
              <w:tab/>
              <w:t>P</w:t>
            </w:r>
            <w:r w:rsidRPr="00F110C2">
              <w:rPr>
                <w:szCs w:val="24"/>
              </w:rPr>
              <w:t> </w:t>
            </w:r>
            <w:r w:rsidRPr="00F110C2">
              <w:rPr>
                <w:rFonts w:ascii="Symbol" w:hAnsi="Symbol"/>
              </w:rPr>
              <w:sym w:font="Symbol" w:char="F0A3"/>
            </w:r>
            <w:r w:rsidRPr="00F110C2">
              <w:rPr>
                <w:szCs w:val="24"/>
              </w:rPr>
              <w:t> 9</w:t>
            </w:r>
          </w:p>
        </w:tc>
        <w:tc>
          <w:tcPr>
            <w:tcW w:w="3724" w:type="dxa"/>
            <w:vAlign w:val="center"/>
          </w:tcPr>
          <w:p w14:paraId="4FC44F14" w14:textId="6DF351B8" w:rsidR="00CD45DB" w:rsidRPr="00F110C2" w:rsidRDefault="00F91EA9" w:rsidP="00254EC9">
            <w:pPr>
              <w:pStyle w:val="Tabletext"/>
              <w:jc w:val="center"/>
            </w:pPr>
            <w:r w:rsidRPr="00F110C2">
              <w:t>−</w:t>
            </w:r>
            <w:r w:rsidR="00CD45DB" w:rsidRPr="00F110C2">
              <w:t>36 dBm</w:t>
            </w:r>
          </w:p>
        </w:tc>
      </w:tr>
      <w:tr w:rsidR="00CD45DB" w:rsidRPr="00F110C2" w14:paraId="680CF3B0" w14:textId="77777777" w:rsidTr="009020B9">
        <w:trPr>
          <w:trHeight w:val="247"/>
          <w:jc w:val="center"/>
        </w:trPr>
        <w:tc>
          <w:tcPr>
            <w:tcW w:w="2532" w:type="dxa"/>
            <w:vAlign w:val="center"/>
          </w:tcPr>
          <w:p w14:paraId="4B862D95" w14:textId="4BF6998E" w:rsidR="00CD45DB" w:rsidRPr="00F110C2" w:rsidRDefault="009615D1" w:rsidP="00254EC9">
            <w:pPr>
              <w:pStyle w:val="Tabletext"/>
              <w:jc w:val="center"/>
            </w:pPr>
            <w:r w:rsidRPr="00F110C2">
              <w:t>−</w:t>
            </w:r>
            <w:r w:rsidR="00CD45DB" w:rsidRPr="00F110C2">
              <w:t>89</w:t>
            </w:r>
          </w:p>
        </w:tc>
        <w:tc>
          <w:tcPr>
            <w:tcW w:w="2533" w:type="dxa"/>
          </w:tcPr>
          <w:p w14:paraId="758F8B03" w14:textId="77777777" w:rsidR="00CD45DB" w:rsidRPr="00F110C2" w:rsidRDefault="00CD45DB" w:rsidP="00254EC9">
            <w:pPr>
              <w:pStyle w:val="Tabletext"/>
            </w:pPr>
            <w:r w:rsidRPr="00F110C2">
              <w:rPr>
                <w:szCs w:val="24"/>
              </w:rPr>
              <w:tab/>
            </w:r>
            <w:r w:rsidRPr="00F110C2">
              <w:rPr>
                <w:szCs w:val="24"/>
              </w:rPr>
              <w:tab/>
              <w:t xml:space="preserve">  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29</w:t>
            </w:r>
          </w:p>
        </w:tc>
        <w:tc>
          <w:tcPr>
            <w:tcW w:w="3724" w:type="dxa"/>
            <w:vAlign w:val="center"/>
          </w:tcPr>
          <w:p w14:paraId="1ED4E2C9" w14:textId="77777777" w:rsidR="00CD45DB" w:rsidRPr="00F110C2" w:rsidRDefault="00CD45DB" w:rsidP="00254EC9">
            <w:pPr>
              <w:pStyle w:val="Tabletext"/>
              <w:jc w:val="center"/>
            </w:pPr>
            <w:r w:rsidRPr="00F110C2">
              <w:t>75 dBc</w:t>
            </w:r>
          </w:p>
        </w:tc>
      </w:tr>
      <w:tr w:rsidR="00CD45DB" w:rsidRPr="00F110C2" w14:paraId="79B93ECD" w14:textId="77777777" w:rsidTr="009020B9">
        <w:trPr>
          <w:trHeight w:val="247"/>
          <w:jc w:val="center"/>
        </w:trPr>
        <w:tc>
          <w:tcPr>
            <w:tcW w:w="2532" w:type="dxa"/>
            <w:vAlign w:val="center"/>
          </w:tcPr>
          <w:p w14:paraId="53ED8964" w14:textId="33014659" w:rsidR="00CD45DB" w:rsidRPr="00F110C2" w:rsidRDefault="00F91EA9" w:rsidP="00254EC9">
            <w:pPr>
              <w:pStyle w:val="Tabletext"/>
              <w:jc w:val="center"/>
            </w:pPr>
            <w:r w:rsidRPr="00F110C2">
              <w:t>−</w:t>
            </w:r>
            <w:r w:rsidR="00CD45DB" w:rsidRPr="00F110C2">
              <w:t>89 </w:t>
            </w:r>
            <w:r w:rsidR="009615D1" w:rsidRPr="00F110C2">
              <w:t>−</w:t>
            </w:r>
            <w:r w:rsidR="00CD45DB" w:rsidRPr="00F110C2">
              <w:t> (</w:t>
            </w:r>
            <w:r w:rsidR="00CD45DB" w:rsidRPr="00F110C2">
              <w:rPr>
                <w:i/>
                <w:iCs/>
              </w:rPr>
              <w:t>P</w:t>
            </w:r>
            <w:r w:rsidR="00CD45DB" w:rsidRPr="00F110C2">
              <w:t> </w:t>
            </w:r>
            <w:r w:rsidR="009615D1" w:rsidRPr="00F110C2">
              <w:t>−</w:t>
            </w:r>
            <w:r w:rsidR="00CD45DB" w:rsidRPr="00F110C2">
              <w:t> 29)</w:t>
            </w:r>
          </w:p>
        </w:tc>
        <w:tc>
          <w:tcPr>
            <w:tcW w:w="2533" w:type="dxa"/>
          </w:tcPr>
          <w:p w14:paraId="5ABCB517" w14:textId="77777777" w:rsidR="00CD45DB" w:rsidRPr="00F110C2" w:rsidRDefault="00CD45DB" w:rsidP="00254EC9">
            <w:pPr>
              <w:pStyle w:val="Tabletext"/>
              <w:tabs>
                <w:tab w:val="clear" w:pos="851"/>
                <w:tab w:val="left" w:pos="845"/>
              </w:tabs>
            </w:pPr>
            <w:r w:rsidRPr="00F110C2">
              <w:rPr>
                <w:szCs w:val="24"/>
              </w:rPr>
              <w:tab/>
            </w:r>
            <w:r w:rsidRPr="00F110C2">
              <w:rPr>
                <w:szCs w:val="24"/>
              </w:rPr>
              <w:tab/>
              <w:t>29 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39</w:t>
            </w:r>
          </w:p>
        </w:tc>
        <w:tc>
          <w:tcPr>
            <w:tcW w:w="3724" w:type="dxa"/>
            <w:vAlign w:val="center"/>
          </w:tcPr>
          <w:p w14:paraId="147C258D" w14:textId="4AE0A2D0" w:rsidR="00CD45DB" w:rsidRPr="00F110C2" w:rsidRDefault="00F91EA9" w:rsidP="00254EC9">
            <w:pPr>
              <w:pStyle w:val="Tabletext"/>
              <w:jc w:val="center"/>
            </w:pPr>
            <w:r w:rsidRPr="00F110C2">
              <w:t>−</w:t>
            </w:r>
            <w:r w:rsidR="00CD45DB" w:rsidRPr="00F110C2">
              <w:t>16 dBm</w:t>
            </w:r>
          </w:p>
        </w:tc>
      </w:tr>
      <w:tr w:rsidR="00CD45DB" w:rsidRPr="00F110C2" w14:paraId="5E40A8AB" w14:textId="77777777" w:rsidTr="009020B9">
        <w:trPr>
          <w:trHeight w:val="247"/>
          <w:jc w:val="center"/>
        </w:trPr>
        <w:tc>
          <w:tcPr>
            <w:tcW w:w="2532" w:type="dxa"/>
            <w:vAlign w:val="center"/>
          </w:tcPr>
          <w:p w14:paraId="52AB4199" w14:textId="0B9EA418" w:rsidR="00CD45DB" w:rsidRPr="00F110C2" w:rsidRDefault="009615D1" w:rsidP="00254EC9">
            <w:pPr>
              <w:pStyle w:val="Tabletext"/>
              <w:jc w:val="center"/>
            </w:pPr>
            <w:r w:rsidRPr="00F110C2">
              <w:t>−</w:t>
            </w:r>
            <w:r w:rsidR="00CD45DB" w:rsidRPr="00F110C2">
              <w:t>99</w:t>
            </w:r>
          </w:p>
        </w:tc>
        <w:tc>
          <w:tcPr>
            <w:tcW w:w="2533" w:type="dxa"/>
          </w:tcPr>
          <w:p w14:paraId="0F005FA1" w14:textId="77777777" w:rsidR="00CD45DB" w:rsidRPr="00F110C2" w:rsidRDefault="00CD45DB" w:rsidP="00254EC9">
            <w:pPr>
              <w:pStyle w:val="Tabletext"/>
              <w:tabs>
                <w:tab w:val="clear" w:pos="851"/>
                <w:tab w:val="left" w:pos="845"/>
              </w:tabs>
            </w:pPr>
            <w:r w:rsidRPr="00F110C2">
              <w:rPr>
                <w:szCs w:val="24"/>
              </w:rPr>
              <w:tab/>
            </w:r>
            <w:r w:rsidRPr="00F110C2">
              <w:rPr>
                <w:szCs w:val="24"/>
              </w:rPr>
              <w:tab/>
              <w:t>39 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50</w:t>
            </w:r>
          </w:p>
        </w:tc>
        <w:tc>
          <w:tcPr>
            <w:tcW w:w="3724" w:type="dxa"/>
            <w:vAlign w:val="center"/>
          </w:tcPr>
          <w:p w14:paraId="1C615D30" w14:textId="77777777" w:rsidR="00CD45DB" w:rsidRPr="00F110C2" w:rsidRDefault="00CD45DB" w:rsidP="00254EC9">
            <w:pPr>
              <w:pStyle w:val="Tabletext"/>
              <w:jc w:val="center"/>
            </w:pPr>
            <w:r w:rsidRPr="00F110C2">
              <w:t>85 dBc</w:t>
            </w:r>
          </w:p>
        </w:tc>
      </w:tr>
      <w:tr w:rsidR="00CD45DB" w:rsidRPr="00F110C2" w14:paraId="6B636CC7" w14:textId="77777777" w:rsidTr="009020B9">
        <w:trPr>
          <w:trHeight w:val="247"/>
          <w:jc w:val="center"/>
        </w:trPr>
        <w:tc>
          <w:tcPr>
            <w:tcW w:w="2532" w:type="dxa"/>
            <w:tcBorders>
              <w:bottom w:val="single" w:sz="6" w:space="0" w:color="auto"/>
            </w:tcBorders>
            <w:vAlign w:val="center"/>
          </w:tcPr>
          <w:p w14:paraId="719384BB" w14:textId="4CC56899" w:rsidR="00CD45DB" w:rsidRPr="00F110C2" w:rsidRDefault="00F91EA9" w:rsidP="00254EC9">
            <w:pPr>
              <w:pStyle w:val="Tabletext"/>
              <w:jc w:val="center"/>
            </w:pPr>
            <w:r w:rsidRPr="00F110C2">
              <w:t>−</w:t>
            </w:r>
            <w:r w:rsidR="00CD45DB" w:rsidRPr="00F110C2">
              <w:t>99 </w:t>
            </w:r>
            <w:r w:rsidR="009615D1" w:rsidRPr="00F110C2">
              <w:t>−</w:t>
            </w:r>
            <w:r w:rsidR="00CD45DB" w:rsidRPr="00F110C2">
              <w:t> (</w:t>
            </w:r>
            <w:r w:rsidR="00CD45DB" w:rsidRPr="00F110C2">
              <w:rPr>
                <w:i/>
                <w:iCs/>
              </w:rPr>
              <w:t>P</w:t>
            </w:r>
            <w:r w:rsidR="00CD45DB" w:rsidRPr="00F110C2">
              <w:t> </w:t>
            </w:r>
            <w:r w:rsidR="009615D1" w:rsidRPr="00F110C2">
              <w:t>−</w:t>
            </w:r>
            <w:r w:rsidR="00CD45DB" w:rsidRPr="00F110C2">
              <w:t> 50)</w:t>
            </w:r>
          </w:p>
        </w:tc>
        <w:tc>
          <w:tcPr>
            <w:tcW w:w="2533" w:type="dxa"/>
            <w:tcBorders>
              <w:bottom w:val="single" w:sz="6" w:space="0" w:color="auto"/>
            </w:tcBorders>
          </w:tcPr>
          <w:p w14:paraId="4357E741" w14:textId="77777777" w:rsidR="00CD45DB" w:rsidRPr="00F110C2" w:rsidRDefault="00CD45DB" w:rsidP="00254EC9">
            <w:pPr>
              <w:pStyle w:val="Tabletext"/>
              <w:tabs>
                <w:tab w:val="clear" w:pos="851"/>
                <w:tab w:val="left" w:pos="845"/>
              </w:tabs>
            </w:pPr>
            <w:r w:rsidRPr="00F110C2">
              <w:rPr>
                <w:szCs w:val="24"/>
              </w:rPr>
              <w:tab/>
            </w:r>
            <w:r w:rsidRPr="00F110C2">
              <w:rPr>
                <w:szCs w:val="24"/>
              </w:rPr>
              <w:tab/>
              <w:t>50 </w:t>
            </w:r>
            <w:r w:rsidRPr="00F110C2">
              <w:rPr>
                <w:rFonts w:ascii="Symbol" w:hAnsi="Symbol"/>
                <w:szCs w:val="24"/>
              </w:rPr>
              <w:t></w:t>
            </w:r>
            <w:r w:rsidRPr="00F110C2">
              <w:rPr>
                <w:szCs w:val="24"/>
              </w:rPr>
              <w:tab/>
            </w:r>
            <w:r w:rsidRPr="00F110C2">
              <w:rPr>
                <w:i/>
                <w:iCs/>
                <w:szCs w:val="24"/>
              </w:rPr>
              <w:t>P</w:t>
            </w:r>
          </w:p>
        </w:tc>
        <w:tc>
          <w:tcPr>
            <w:tcW w:w="3724" w:type="dxa"/>
            <w:tcBorders>
              <w:bottom w:val="single" w:sz="6" w:space="0" w:color="auto"/>
            </w:tcBorders>
            <w:vAlign w:val="center"/>
          </w:tcPr>
          <w:p w14:paraId="1E4F830E" w14:textId="5FE2B9EC" w:rsidR="00CD45DB" w:rsidRPr="00F110C2" w:rsidRDefault="00F91EA9" w:rsidP="00254EC9">
            <w:pPr>
              <w:pStyle w:val="Tabletext"/>
              <w:jc w:val="center"/>
            </w:pPr>
            <w:r w:rsidRPr="00F110C2">
              <w:t>−</w:t>
            </w:r>
            <w:r w:rsidR="00CD45DB" w:rsidRPr="00F110C2">
              <w:t>5 dBm</w:t>
            </w:r>
          </w:p>
        </w:tc>
      </w:tr>
      <w:tr w:rsidR="00CD45DB" w:rsidRPr="00F110C2" w14:paraId="1BA3E991" w14:textId="77777777" w:rsidTr="009020B9">
        <w:trPr>
          <w:trHeight w:val="247"/>
          <w:jc w:val="center"/>
        </w:trPr>
        <w:tc>
          <w:tcPr>
            <w:tcW w:w="8789" w:type="dxa"/>
            <w:gridSpan w:val="3"/>
            <w:vAlign w:val="center"/>
          </w:tcPr>
          <w:p w14:paraId="6050ED13" w14:textId="557AE18A" w:rsidR="00CD45DB" w:rsidRPr="00F110C2" w:rsidRDefault="00CD45DB" w:rsidP="00254EC9">
            <w:pPr>
              <w:pStyle w:val="Tablehead"/>
            </w:pPr>
            <w:r w:rsidRPr="00F110C2">
              <w:t>Système numérique A fonctionnant dans les bandes 1 452-1 467,5 MHz</w:t>
            </w:r>
          </w:p>
        </w:tc>
      </w:tr>
      <w:tr w:rsidR="00CD45DB" w:rsidRPr="00F110C2" w14:paraId="0CD8CB8D" w14:textId="77777777" w:rsidTr="009020B9">
        <w:trPr>
          <w:trHeight w:val="247"/>
          <w:jc w:val="center"/>
        </w:trPr>
        <w:tc>
          <w:tcPr>
            <w:tcW w:w="2532" w:type="dxa"/>
            <w:vAlign w:val="center"/>
          </w:tcPr>
          <w:p w14:paraId="7A441638" w14:textId="77777777" w:rsidR="00CD45DB" w:rsidRPr="00F110C2" w:rsidRDefault="00CD45DB" w:rsidP="00254EC9">
            <w:pPr>
              <w:pStyle w:val="Tablehead"/>
            </w:pPr>
            <w:r w:rsidRPr="00F110C2">
              <w:t>Valeur de point d'extrémité</w:t>
            </w:r>
            <w:r w:rsidRPr="00F110C2">
              <w:rPr>
                <w:vertAlign w:val="superscript"/>
              </w:rPr>
              <w:t>(1)</w:t>
            </w:r>
            <w:r w:rsidRPr="00F110C2">
              <w:br/>
              <w:t>(dB/4 kHz)</w:t>
            </w:r>
          </w:p>
        </w:tc>
        <w:tc>
          <w:tcPr>
            <w:tcW w:w="2533" w:type="dxa"/>
            <w:vAlign w:val="center"/>
          </w:tcPr>
          <w:p w14:paraId="21156B8A" w14:textId="77777777" w:rsidR="00CD45DB" w:rsidRPr="00F110C2" w:rsidRDefault="00CD45DB" w:rsidP="00254EC9">
            <w:pPr>
              <w:pStyle w:val="Tablehead"/>
            </w:pPr>
            <w:r w:rsidRPr="00F110C2">
              <w:t>Plage de puissances (dBW)</w:t>
            </w:r>
          </w:p>
        </w:tc>
        <w:tc>
          <w:tcPr>
            <w:tcW w:w="3724" w:type="dxa"/>
            <w:vAlign w:val="center"/>
          </w:tcPr>
          <w:p w14:paraId="4DCB5716" w14:textId="77777777" w:rsidR="00CD45DB" w:rsidRPr="00F110C2" w:rsidRDefault="00CD45DB" w:rsidP="00254EC9">
            <w:pPr>
              <w:pStyle w:val="Tablehead"/>
            </w:pPr>
            <w:r w:rsidRPr="00F110C2">
              <w:t>Niveau correspondant des rayonnements non essentiels (largeur de bande de mesure de 1 MHz)</w:t>
            </w:r>
          </w:p>
        </w:tc>
      </w:tr>
      <w:tr w:rsidR="00CD45DB" w:rsidRPr="00F110C2" w14:paraId="03D7BD5D" w14:textId="77777777" w:rsidTr="009020B9">
        <w:trPr>
          <w:trHeight w:val="247"/>
          <w:jc w:val="center"/>
        </w:trPr>
        <w:tc>
          <w:tcPr>
            <w:tcW w:w="2532" w:type="dxa"/>
            <w:vAlign w:val="center"/>
          </w:tcPr>
          <w:p w14:paraId="74058A8E" w14:textId="0B56546B" w:rsidR="00CD45DB" w:rsidRPr="00F110C2" w:rsidRDefault="00F91EA9" w:rsidP="00254EC9">
            <w:pPr>
              <w:pStyle w:val="Tabletext"/>
              <w:jc w:val="center"/>
            </w:pPr>
            <w:r w:rsidRPr="00F110C2">
              <w:t>−</w:t>
            </w:r>
            <w:r w:rsidR="00CD45DB" w:rsidRPr="00F110C2">
              <w:t>99 </w:t>
            </w:r>
            <w:r w:rsidR="009615D1" w:rsidRPr="00F110C2">
              <w:t>−</w:t>
            </w:r>
            <w:r w:rsidR="00CD45DB" w:rsidRPr="00F110C2">
              <w:t> (</w:t>
            </w:r>
            <w:r w:rsidR="00CD45DB" w:rsidRPr="00F110C2">
              <w:rPr>
                <w:i/>
                <w:iCs/>
              </w:rPr>
              <w:t>P</w:t>
            </w:r>
            <w:r w:rsidR="00CD45DB" w:rsidRPr="00F110C2">
              <w:t> </w:t>
            </w:r>
            <w:r w:rsidR="009615D1" w:rsidRPr="00F110C2">
              <w:t>−</w:t>
            </w:r>
            <w:r w:rsidR="00CD45DB" w:rsidRPr="00F110C2">
              <w:t> 9)</w:t>
            </w:r>
          </w:p>
        </w:tc>
        <w:tc>
          <w:tcPr>
            <w:tcW w:w="2533" w:type="dxa"/>
          </w:tcPr>
          <w:p w14:paraId="13A15B7B" w14:textId="77777777" w:rsidR="00CD45DB" w:rsidRPr="00F110C2" w:rsidRDefault="00CD45DB" w:rsidP="00254EC9">
            <w:pPr>
              <w:pStyle w:val="Tabletext"/>
            </w:pPr>
            <w:r w:rsidRPr="00F110C2">
              <w:rPr>
                <w:i/>
                <w:iCs/>
                <w:szCs w:val="24"/>
              </w:rPr>
              <w:tab/>
            </w:r>
            <w:r w:rsidRPr="00F110C2">
              <w:rPr>
                <w:i/>
                <w:iCs/>
                <w:szCs w:val="24"/>
              </w:rPr>
              <w:tab/>
            </w:r>
            <w:r w:rsidRPr="00F110C2">
              <w:rPr>
                <w:i/>
                <w:iCs/>
                <w:szCs w:val="24"/>
              </w:rPr>
              <w:tab/>
            </w:r>
            <w:r w:rsidRPr="00F110C2">
              <w:rPr>
                <w:i/>
                <w:iCs/>
                <w:szCs w:val="24"/>
              </w:rPr>
              <w:tab/>
              <w:t>P</w:t>
            </w:r>
            <w:r w:rsidRPr="00F110C2">
              <w:rPr>
                <w:szCs w:val="24"/>
              </w:rPr>
              <w:t> </w:t>
            </w:r>
            <w:r w:rsidRPr="00F110C2">
              <w:rPr>
                <w:rFonts w:ascii="Symbol" w:hAnsi="Symbol"/>
              </w:rPr>
              <w:sym w:font="Symbol" w:char="F0A3"/>
            </w:r>
            <w:r w:rsidRPr="00F110C2">
              <w:rPr>
                <w:szCs w:val="24"/>
              </w:rPr>
              <w:t> 9</w:t>
            </w:r>
          </w:p>
        </w:tc>
        <w:tc>
          <w:tcPr>
            <w:tcW w:w="3724" w:type="dxa"/>
            <w:vAlign w:val="center"/>
          </w:tcPr>
          <w:p w14:paraId="303F34C2" w14:textId="162C2DA5" w:rsidR="00CD45DB" w:rsidRPr="00F110C2" w:rsidRDefault="00F91EA9" w:rsidP="00254EC9">
            <w:pPr>
              <w:pStyle w:val="Tabletext"/>
              <w:jc w:val="center"/>
            </w:pPr>
            <w:r w:rsidRPr="00F110C2">
              <w:t>−</w:t>
            </w:r>
            <w:r w:rsidR="00CD45DB" w:rsidRPr="00F110C2">
              <w:t>36 dBm</w:t>
            </w:r>
          </w:p>
        </w:tc>
      </w:tr>
      <w:tr w:rsidR="00CD45DB" w:rsidRPr="00F110C2" w14:paraId="56011F78" w14:textId="77777777" w:rsidTr="009020B9">
        <w:trPr>
          <w:trHeight w:val="247"/>
          <w:jc w:val="center"/>
        </w:trPr>
        <w:tc>
          <w:tcPr>
            <w:tcW w:w="2532" w:type="dxa"/>
            <w:vAlign w:val="center"/>
          </w:tcPr>
          <w:p w14:paraId="068845D2" w14:textId="079D43BD" w:rsidR="00CD45DB" w:rsidRPr="00F110C2" w:rsidRDefault="009615D1" w:rsidP="00254EC9">
            <w:pPr>
              <w:pStyle w:val="Tabletext"/>
              <w:jc w:val="center"/>
            </w:pPr>
            <w:r w:rsidRPr="00F110C2">
              <w:t>−</w:t>
            </w:r>
            <w:r w:rsidR="00CD45DB" w:rsidRPr="00F110C2">
              <w:t>99</w:t>
            </w:r>
          </w:p>
        </w:tc>
        <w:tc>
          <w:tcPr>
            <w:tcW w:w="2533" w:type="dxa"/>
          </w:tcPr>
          <w:p w14:paraId="34EB4322" w14:textId="77777777" w:rsidR="00CD45DB" w:rsidRPr="00F110C2" w:rsidRDefault="00CD45DB" w:rsidP="00254EC9">
            <w:pPr>
              <w:pStyle w:val="Tabletext"/>
            </w:pPr>
            <w:r w:rsidRPr="00F110C2">
              <w:rPr>
                <w:szCs w:val="24"/>
              </w:rPr>
              <w:tab/>
            </w:r>
            <w:r w:rsidRPr="00F110C2">
              <w:rPr>
                <w:szCs w:val="24"/>
              </w:rPr>
              <w:tab/>
              <w:t xml:space="preserve">  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29</w:t>
            </w:r>
          </w:p>
        </w:tc>
        <w:tc>
          <w:tcPr>
            <w:tcW w:w="3724" w:type="dxa"/>
            <w:vAlign w:val="center"/>
          </w:tcPr>
          <w:p w14:paraId="407B51E2" w14:textId="77777777" w:rsidR="00CD45DB" w:rsidRPr="00F110C2" w:rsidRDefault="00CD45DB" w:rsidP="00254EC9">
            <w:pPr>
              <w:pStyle w:val="Tabletext"/>
              <w:jc w:val="center"/>
            </w:pPr>
            <w:r w:rsidRPr="00F110C2">
              <w:t>75 dBc</w:t>
            </w:r>
          </w:p>
        </w:tc>
      </w:tr>
      <w:tr w:rsidR="00CD45DB" w:rsidRPr="00F110C2" w14:paraId="17E30485" w14:textId="77777777" w:rsidTr="009020B9">
        <w:trPr>
          <w:trHeight w:val="247"/>
          <w:jc w:val="center"/>
        </w:trPr>
        <w:tc>
          <w:tcPr>
            <w:tcW w:w="2532" w:type="dxa"/>
            <w:vAlign w:val="center"/>
          </w:tcPr>
          <w:p w14:paraId="04212CAB" w14:textId="67A2834F" w:rsidR="00CD45DB" w:rsidRPr="00F110C2" w:rsidRDefault="00F91EA9" w:rsidP="00254EC9">
            <w:pPr>
              <w:pStyle w:val="Tabletext"/>
              <w:jc w:val="center"/>
            </w:pPr>
            <w:r w:rsidRPr="00F110C2">
              <w:t>−</w:t>
            </w:r>
            <w:r w:rsidR="00CD45DB" w:rsidRPr="00F110C2">
              <w:t>99 </w:t>
            </w:r>
            <w:r w:rsidR="009615D1" w:rsidRPr="00F110C2">
              <w:t>−</w:t>
            </w:r>
            <w:r w:rsidR="00CD45DB" w:rsidRPr="00F110C2">
              <w:t> (</w:t>
            </w:r>
            <w:r w:rsidR="00CD45DB" w:rsidRPr="00F110C2">
              <w:rPr>
                <w:i/>
                <w:iCs/>
              </w:rPr>
              <w:t>P</w:t>
            </w:r>
            <w:r w:rsidR="00CD45DB" w:rsidRPr="00F110C2">
              <w:t> </w:t>
            </w:r>
            <w:r w:rsidR="009615D1" w:rsidRPr="00F110C2">
              <w:t>−</w:t>
            </w:r>
            <w:r w:rsidR="00CD45DB" w:rsidRPr="00F110C2">
              <w:t> 29)</w:t>
            </w:r>
          </w:p>
        </w:tc>
        <w:tc>
          <w:tcPr>
            <w:tcW w:w="2533" w:type="dxa"/>
          </w:tcPr>
          <w:p w14:paraId="07BB4915" w14:textId="77777777" w:rsidR="00CD45DB" w:rsidRPr="00F110C2" w:rsidRDefault="00CD45DB" w:rsidP="00254EC9">
            <w:pPr>
              <w:pStyle w:val="Tabletext"/>
              <w:tabs>
                <w:tab w:val="clear" w:pos="851"/>
                <w:tab w:val="left" w:pos="845"/>
              </w:tabs>
            </w:pPr>
            <w:r w:rsidRPr="00F110C2">
              <w:rPr>
                <w:szCs w:val="24"/>
              </w:rPr>
              <w:tab/>
            </w:r>
            <w:r w:rsidRPr="00F110C2">
              <w:rPr>
                <w:szCs w:val="24"/>
              </w:rPr>
              <w:tab/>
              <w:t>29 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39</w:t>
            </w:r>
          </w:p>
        </w:tc>
        <w:tc>
          <w:tcPr>
            <w:tcW w:w="3724" w:type="dxa"/>
            <w:vAlign w:val="center"/>
          </w:tcPr>
          <w:p w14:paraId="36EF5D82" w14:textId="7F6DF628" w:rsidR="00CD45DB" w:rsidRPr="00F110C2" w:rsidRDefault="00F91EA9" w:rsidP="00254EC9">
            <w:pPr>
              <w:pStyle w:val="Tabletext"/>
              <w:jc w:val="center"/>
            </w:pPr>
            <w:r w:rsidRPr="00F110C2">
              <w:t>−</w:t>
            </w:r>
            <w:r w:rsidR="00CD45DB" w:rsidRPr="00F110C2">
              <w:t>16 dBm</w:t>
            </w:r>
          </w:p>
        </w:tc>
      </w:tr>
      <w:tr w:rsidR="00CD45DB" w:rsidRPr="00F110C2" w14:paraId="1039D0C1" w14:textId="77777777" w:rsidTr="009020B9">
        <w:trPr>
          <w:trHeight w:val="247"/>
          <w:jc w:val="center"/>
        </w:trPr>
        <w:tc>
          <w:tcPr>
            <w:tcW w:w="2532" w:type="dxa"/>
            <w:vAlign w:val="center"/>
          </w:tcPr>
          <w:p w14:paraId="7B310FF2" w14:textId="08DFA83D" w:rsidR="00CD45DB" w:rsidRPr="00F110C2" w:rsidRDefault="00F91EA9" w:rsidP="00254EC9">
            <w:pPr>
              <w:pStyle w:val="Tabletext"/>
              <w:jc w:val="center"/>
            </w:pPr>
            <w:r w:rsidRPr="00F110C2">
              <w:t>−</w:t>
            </w:r>
            <w:r w:rsidR="00CD45DB" w:rsidRPr="00F110C2">
              <w:t>106</w:t>
            </w:r>
          </w:p>
        </w:tc>
        <w:tc>
          <w:tcPr>
            <w:tcW w:w="2533" w:type="dxa"/>
          </w:tcPr>
          <w:p w14:paraId="243DA882" w14:textId="77777777" w:rsidR="00CD45DB" w:rsidRPr="00F110C2" w:rsidRDefault="00CD45DB" w:rsidP="00254EC9">
            <w:pPr>
              <w:pStyle w:val="Tabletext"/>
              <w:tabs>
                <w:tab w:val="clear" w:pos="851"/>
                <w:tab w:val="left" w:pos="845"/>
              </w:tabs>
            </w:pPr>
            <w:r w:rsidRPr="00F110C2">
              <w:rPr>
                <w:szCs w:val="24"/>
              </w:rPr>
              <w:tab/>
            </w:r>
            <w:r w:rsidRPr="00F110C2">
              <w:rPr>
                <w:szCs w:val="24"/>
              </w:rPr>
              <w:tab/>
              <w:t>39 </w:t>
            </w:r>
            <w:r w:rsidRPr="00F110C2">
              <w:rPr>
                <w:rFonts w:ascii="Symbol" w:hAnsi="Symbol"/>
                <w:szCs w:val="24"/>
              </w:rPr>
              <w:t></w:t>
            </w:r>
            <w:r w:rsidRPr="00F110C2">
              <w:rPr>
                <w:szCs w:val="24"/>
              </w:rPr>
              <w:tab/>
            </w:r>
            <w:r w:rsidRPr="00F110C2">
              <w:rPr>
                <w:i/>
                <w:iCs/>
                <w:szCs w:val="24"/>
              </w:rPr>
              <w:t>P</w:t>
            </w:r>
            <w:r w:rsidRPr="00F110C2">
              <w:rPr>
                <w:szCs w:val="24"/>
              </w:rPr>
              <w:t> </w:t>
            </w:r>
            <w:r w:rsidRPr="00F110C2">
              <w:rPr>
                <w:rFonts w:ascii="Symbol" w:hAnsi="Symbol"/>
              </w:rPr>
              <w:sym w:font="Symbol" w:char="F0A3"/>
            </w:r>
            <w:r w:rsidRPr="00F110C2">
              <w:rPr>
                <w:szCs w:val="24"/>
              </w:rPr>
              <w:t> 50</w:t>
            </w:r>
          </w:p>
        </w:tc>
        <w:tc>
          <w:tcPr>
            <w:tcW w:w="3724" w:type="dxa"/>
            <w:vAlign w:val="center"/>
          </w:tcPr>
          <w:p w14:paraId="6C7644C9" w14:textId="77777777" w:rsidR="00CD45DB" w:rsidRPr="00F110C2" w:rsidRDefault="00CD45DB" w:rsidP="00254EC9">
            <w:pPr>
              <w:pStyle w:val="Tabletext"/>
              <w:jc w:val="center"/>
            </w:pPr>
            <w:r w:rsidRPr="00F110C2">
              <w:t>85 dBc</w:t>
            </w:r>
          </w:p>
        </w:tc>
      </w:tr>
      <w:tr w:rsidR="00CD45DB" w:rsidRPr="00F110C2" w14:paraId="2B028C77" w14:textId="77777777" w:rsidTr="009020B9">
        <w:trPr>
          <w:trHeight w:val="247"/>
          <w:jc w:val="center"/>
        </w:trPr>
        <w:tc>
          <w:tcPr>
            <w:tcW w:w="2532" w:type="dxa"/>
            <w:tcBorders>
              <w:bottom w:val="single" w:sz="6" w:space="0" w:color="auto"/>
            </w:tcBorders>
            <w:vAlign w:val="center"/>
          </w:tcPr>
          <w:p w14:paraId="150A27CD" w14:textId="1CB5B801" w:rsidR="00CD45DB" w:rsidRPr="00F110C2" w:rsidRDefault="00F91EA9" w:rsidP="00254EC9">
            <w:pPr>
              <w:pStyle w:val="Tabletext"/>
              <w:jc w:val="center"/>
            </w:pPr>
            <w:r w:rsidRPr="00F110C2">
              <w:t>−</w:t>
            </w:r>
            <w:r w:rsidR="00CD45DB" w:rsidRPr="00F110C2">
              <w:t>106</w:t>
            </w:r>
          </w:p>
        </w:tc>
        <w:tc>
          <w:tcPr>
            <w:tcW w:w="2533" w:type="dxa"/>
            <w:tcBorders>
              <w:bottom w:val="single" w:sz="6" w:space="0" w:color="auto"/>
            </w:tcBorders>
          </w:tcPr>
          <w:p w14:paraId="41A592FA" w14:textId="77777777" w:rsidR="00CD45DB" w:rsidRPr="00F110C2" w:rsidRDefault="00CD45DB" w:rsidP="00254EC9">
            <w:pPr>
              <w:pStyle w:val="Tabletext"/>
              <w:tabs>
                <w:tab w:val="clear" w:pos="851"/>
                <w:tab w:val="left" w:pos="845"/>
              </w:tabs>
            </w:pPr>
            <w:r w:rsidRPr="00F110C2">
              <w:rPr>
                <w:szCs w:val="24"/>
              </w:rPr>
              <w:tab/>
            </w:r>
            <w:r w:rsidRPr="00F110C2">
              <w:rPr>
                <w:szCs w:val="24"/>
              </w:rPr>
              <w:tab/>
              <w:t>50 </w:t>
            </w:r>
            <w:r w:rsidRPr="00F110C2">
              <w:rPr>
                <w:rFonts w:ascii="Symbol" w:hAnsi="Symbol"/>
                <w:szCs w:val="24"/>
              </w:rPr>
              <w:t></w:t>
            </w:r>
            <w:r w:rsidRPr="00F110C2">
              <w:rPr>
                <w:szCs w:val="24"/>
              </w:rPr>
              <w:tab/>
            </w:r>
            <w:r w:rsidRPr="00F110C2">
              <w:rPr>
                <w:i/>
                <w:iCs/>
                <w:szCs w:val="24"/>
              </w:rPr>
              <w:t>P</w:t>
            </w:r>
          </w:p>
        </w:tc>
        <w:tc>
          <w:tcPr>
            <w:tcW w:w="3724" w:type="dxa"/>
            <w:tcBorders>
              <w:bottom w:val="single" w:sz="6" w:space="0" w:color="auto"/>
            </w:tcBorders>
            <w:vAlign w:val="center"/>
          </w:tcPr>
          <w:p w14:paraId="080460CF" w14:textId="54A15F1C" w:rsidR="00CD45DB" w:rsidRPr="00F110C2" w:rsidRDefault="00F91EA9" w:rsidP="00254EC9">
            <w:pPr>
              <w:pStyle w:val="Tabletext"/>
              <w:jc w:val="center"/>
            </w:pPr>
            <w:r w:rsidRPr="00F110C2">
              <w:t>−</w:t>
            </w:r>
            <w:r w:rsidR="00CD45DB" w:rsidRPr="00F110C2">
              <w:t>5 dBm</w:t>
            </w:r>
          </w:p>
        </w:tc>
      </w:tr>
      <w:tr w:rsidR="00CD45DB" w:rsidRPr="00F110C2" w14:paraId="18D3B988" w14:textId="77777777" w:rsidTr="009020B9">
        <w:trPr>
          <w:trHeight w:val="247"/>
          <w:jc w:val="center"/>
        </w:trPr>
        <w:tc>
          <w:tcPr>
            <w:tcW w:w="8789" w:type="dxa"/>
            <w:gridSpan w:val="3"/>
            <w:tcBorders>
              <w:left w:val="nil"/>
              <w:bottom w:val="nil"/>
              <w:right w:val="nil"/>
            </w:tcBorders>
          </w:tcPr>
          <w:p w14:paraId="1BD36B9A" w14:textId="0A274D70" w:rsidR="00CD45DB" w:rsidRPr="00F110C2" w:rsidRDefault="00CD45DB" w:rsidP="00254EC9">
            <w:pPr>
              <w:pStyle w:val="Tabletext"/>
              <w:ind w:left="284" w:hanging="284"/>
            </w:pPr>
            <w:r w:rsidRPr="00F110C2">
              <w:rPr>
                <w:vertAlign w:val="superscript"/>
              </w:rPr>
              <w:t>(1)</w:t>
            </w:r>
            <w:r w:rsidRPr="00F110C2">
              <w:tab/>
              <w:t xml:space="preserve">La valeur de point d'extrémité est assujettie à une limite supérieure de </w:t>
            </w:r>
            <w:r w:rsidR="00F91EA9" w:rsidRPr="00F110C2">
              <w:t>−</w:t>
            </w:r>
            <w:r w:rsidRPr="00F110C2">
              <w:t xml:space="preserve">52 dB et à une limite inférieure de </w:t>
            </w:r>
            <w:r w:rsidR="00F91EA9" w:rsidRPr="00F110C2">
              <w:t>−</w:t>
            </w:r>
            <w:r w:rsidRPr="00F110C2">
              <w:t>106 dB.</w:t>
            </w:r>
          </w:p>
        </w:tc>
      </w:tr>
    </w:tbl>
    <w:p w14:paraId="0D814DEE" w14:textId="77777777" w:rsidR="00CD45DB" w:rsidRPr="00F110C2" w:rsidRDefault="00CD45DB" w:rsidP="00254EC9">
      <w:pPr>
        <w:pStyle w:val="Tablefin"/>
      </w:pPr>
    </w:p>
    <w:p w14:paraId="34976DCA" w14:textId="77777777" w:rsidR="00CD45DB" w:rsidRPr="00F110C2" w:rsidRDefault="00CD45DB" w:rsidP="00254EC9">
      <w:pPr>
        <w:pStyle w:val="Headingi"/>
      </w:pPr>
      <w:r w:rsidRPr="00F110C2">
        <w:t>Système numérique H</w:t>
      </w:r>
    </w:p>
    <w:p w14:paraId="305BBF6B" w14:textId="77777777" w:rsidR="00CD45DB" w:rsidRPr="00F110C2" w:rsidRDefault="00CD45DB" w:rsidP="00254EC9">
      <w:r w:rsidRPr="00F110C2">
        <w:t>Conformément à la Recommandation UIT-R BS.1114, le système CDR (Convergent Digital Radio) de radiodiffusion sonore/multimédia numérique de Terre a été classé dans la catégorie du système numérique H.</w:t>
      </w:r>
    </w:p>
    <w:p w14:paraId="4ACB27F7" w14:textId="77777777" w:rsidR="00CD45DB" w:rsidRPr="00F110C2" w:rsidRDefault="00CD45DB" w:rsidP="00254EC9">
      <w:r w:rsidRPr="00F110C2">
        <w:t>Le système numérique H définit six modes d'occupation spectrale, signalés respectivement par les lettres A, B, C, D, E et F. Chaque mode définit la largeur de bande du signal numérique, la position de la sous-bande active et celle de la sous-bande virtuelle.</w:t>
      </w:r>
    </w:p>
    <w:p w14:paraId="2F7D702E" w14:textId="64B5B114" w:rsidR="00CD45DB" w:rsidRPr="00F110C2" w:rsidRDefault="00CD45DB" w:rsidP="00254EC9">
      <w:r w:rsidRPr="00F110C2">
        <w:t>Le spectre</w:t>
      </w:r>
      <w:r w:rsidR="001B4F1B" w:rsidRPr="00F110C2">
        <w:t> </w:t>
      </w:r>
      <w:r w:rsidRPr="00F110C2">
        <w:t>A comprend une sous-bande dans laquelle les sous-porteuses sont toutes des sous</w:t>
      </w:r>
      <w:r w:rsidRPr="00F110C2">
        <w:noBreakHyphen/>
        <w:t>porteuses actives. La largeur de bande du signal numérique du spectre A est de 100 kHz. Le spectre B comprend deux sous-bandes et la largeur de bande totale du signal numérique est de 200 kHz. Le spectre C comprend quatre sous-bandes dans lesquelles les sous-porteuses de la partie inférieure de la première sous-bande et les sous-porteuses de la partie supérieure de la quatrième</w:t>
      </w:r>
      <w:r w:rsidR="009020B9" w:rsidRPr="00F110C2">
        <w:t> </w:t>
      </w:r>
      <w:r w:rsidRPr="00F110C2">
        <w:t>sous</w:t>
      </w:r>
      <w:r w:rsidRPr="00F110C2">
        <w:noBreakHyphen/>
        <w:t>bande sont toutes des sous-porteuses actives, alors que les sous-porteuses des deuxième et troisième sous-bandes sont toutes des sous-porteuses virtuelles, de sorte que la largeur de bande du signal numérique du spectre C est de 100 kHz. Le spectre D comprend cinq sous-bandes dans lesquelles les sous-porteuses des première et cinquième sous-bandes sont toutes des sous</w:t>
      </w:r>
      <w:r w:rsidR="009020B9" w:rsidRPr="00F110C2">
        <w:noBreakHyphen/>
      </w:r>
      <w:r w:rsidRPr="00F110C2">
        <w:t>porteuses actives, alors que les sous-porteuses de la deuxième à la quatrième sous-bande sont toutes des sous</w:t>
      </w:r>
      <w:r w:rsidRPr="00F110C2">
        <w:noBreakHyphen/>
        <w:t>porteuses virtuelles, de sorte que la largeur de bande du signal numérique du spectre</w:t>
      </w:r>
      <w:r w:rsidR="009020B9" w:rsidRPr="00F110C2">
        <w:t> </w:t>
      </w:r>
      <w:r w:rsidRPr="00F110C2">
        <w:t>D est de 200 kHz.</w:t>
      </w:r>
    </w:p>
    <w:p w14:paraId="7A4567A7" w14:textId="1BABDF1F" w:rsidR="00CD45DB" w:rsidRPr="00F110C2" w:rsidRDefault="00CD45DB" w:rsidP="00254EC9">
      <w:r w:rsidRPr="00F110C2">
        <w:lastRenderedPageBreak/>
        <w:t>Le gabarit de limite spectrale pour le système numérique H est représenté sur les Figs 32 à 37. La largeur de bande de résolution de la mesure de puissance du signal est de 1 kHz et 0 dB indique la puissance totale dans la bande. Les valeurs seuils correspondantes sont données dans les Tableaux 26 à 31.</w:t>
      </w:r>
    </w:p>
    <w:p w14:paraId="53A674CB" w14:textId="77777777" w:rsidR="00CD45DB" w:rsidRPr="00F110C2" w:rsidRDefault="00CD45DB" w:rsidP="00254EC9">
      <w:pPr>
        <w:pStyle w:val="FigureNo"/>
      </w:pPr>
      <w:r w:rsidRPr="00F110C2">
        <w:t>figure 32</w:t>
      </w:r>
    </w:p>
    <w:p w14:paraId="33DB64CA" w14:textId="77777777" w:rsidR="00CD45DB" w:rsidRPr="00F110C2" w:rsidRDefault="00CD45DB" w:rsidP="00254EC9">
      <w:pPr>
        <w:pStyle w:val="Figuretitle"/>
      </w:pPr>
      <w:r w:rsidRPr="00F110C2">
        <w:t>Gabarit spectral du mode d'occupation spectrale A</w:t>
      </w:r>
    </w:p>
    <w:p w14:paraId="02B67972" w14:textId="77777777" w:rsidR="00CD45DB" w:rsidRPr="00F110C2" w:rsidRDefault="00CD45DB" w:rsidP="00254EC9">
      <w:pPr>
        <w:pStyle w:val="Figure"/>
      </w:pPr>
      <w:r w:rsidRPr="00F110C2">
        <w:drawing>
          <wp:inline distT="0" distB="0" distL="0" distR="0" wp14:anchorId="27D50D95" wp14:editId="431211E5">
            <wp:extent cx="5277600" cy="3560400"/>
            <wp:effectExtent l="0" t="0" r="0" b="2540"/>
            <wp:docPr id="24121762" name="Picture 17"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1762" name="Picture 17" descr="A graph of a line graph&#10;&#10;AI-generated content may be incorrect."/>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277600" cy="3560400"/>
                    </a:xfrm>
                    <a:prstGeom prst="rect">
                      <a:avLst/>
                    </a:prstGeom>
                    <a:noFill/>
                    <a:ln>
                      <a:noFill/>
                    </a:ln>
                  </pic:spPr>
                </pic:pic>
              </a:graphicData>
            </a:graphic>
          </wp:inline>
        </w:drawing>
      </w:r>
    </w:p>
    <w:p w14:paraId="2D5DB8A5" w14:textId="77777777" w:rsidR="00CD45DB" w:rsidRPr="00F110C2" w:rsidRDefault="00CD45DB" w:rsidP="00254EC9">
      <w:pPr>
        <w:pStyle w:val="FigureNo"/>
      </w:pPr>
      <w:r w:rsidRPr="00F110C2">
        <w:t>figure 33</w:t>
      </w:r>
    </w:p>
    <w:p w14:paraId="7F816E8D" w14:textId="77777777" w:rsidR="00CD45DB" w:rsidRPr="00F110C2" w:rsidRDefault="00CD45DB" w:rsidP="00254EC9">
      <w:pPr>
        <w:pStyle w:val="Figuretitle"/>
      </w:pPr>
      <w:r w:rsidRPr="00F110C2">
        <w:t>Gabarit spectral du mode d'occupation spectrale B</w:t>
      </w:r>
    </w:p>
    <w:p w14:paraId="237B1B8C" w14:textId="77777777" w:rsidR="00CD45DB" w:rsidRPr="00F110C2" w:rsidRDefault="00CD45DB" w:rsidP="00254EC9">
      <w:pPr>
        <w:pStyle w:val="Figure"/>
      </w:pPr>
      <w:r w:rsidRPr="00F110C2">
        <w:drawing>
          <wp:inline distT="0" distB="0" distL="0" distR="0" wp14:anchorId="71B2FED8" wp14:editId="3112B74A">
            <wp:extent cx="5277394" cy="3262985"/>
            <wp:effectExtent l="0" t="0" r="0" b="0"/>
            <wp:docPr id="1358077468" name="Picture 18" descr="A graph of a number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77468" name="Picture 18" descr="A graph of a number of lines&#10;&#10;AI-generated content may be incorrect."/>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305761" cy="3280524"/>
                    </a:xfrm>
                    <a:prstGeom prst="rect">
                      <a:avLst/>
                    </a:prstGeom>
                    <a:noFill/>
                    <a:ln>
                      <a:noFill/>
                    </a:ln>
                  </pic:spPr>
                </pic:pic>
              </a:graphicData>
            </a:graphic>
          </wp:inline>
        </w:drawing>
      </w:r>
    </w:p>
    <w:p w14:paraId="44DC9B4E" w14:textId="77777777" w:rsidR="00CD45DB" w:rsidRPr="00F110C2" w:rsidRDefault="00CD45DB" w:rsidP="00254EC9">
      <w:pPr>
        <w:pStyle w:val="FigureNo"/>
      </w:pPr>
      <w:r w:rsidRPr="00F110C2">
        <w:lastRenderedPageBreak/>
        <w:t>figure 34</w:t>
      </w:r>
    </w:p>
    <w:p w14:paraId="5E3EEA2F" w14:textId="77777777" w:rsidR="00CD45DB" w:rsidRPr="00F110C2" w:rsidRDefault="00CD45DB" w:rsidP="00254EC9">
      <w:pPr>
        <w:pStyle w:val="Figuretitle"/>
      </w:pPr>
      <w:r w:rsidRPr="00F110C2">
        <w:t>Gabarit spectral du mode d'occupation spectrale C</w:t>
      </w:r>
    </w:p>
    <w:p w14:paraId="2EAAE7AA" w14:textId="77777777" w:rsidR="00CD45DB" w:rsidRPr="00F110C2" w:rsidRDefault="00CD45DB" w:rsidP="00254EC9">
      <w:pPr>
        <w:pStyle w:val="Figure"/>
      </w:pPr>
      <w:r w:rsidRPr="00F110C2">
        <w:drawing>
          <wp:inline distT="0" distB="0" distL="0" distR="0" wp14:anchorId="20C26D8C" wp14:editId="5DF145D6">
            <wp:extent cx="5547815" cy="3702760"/>
            <wp:effectExtent l="0" t="0" r="0" b="0"/>
            <wp:docPr id="348001857" name="Picture 19"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01857" name="Picture 19" descr="A graph of a function&#10;&#10;AI-generated content may be incorrect."/>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555049" cy="3707588"/>
                    </a:xfrm>
                    <a:prstGeom prst="rect">
                      <a:avLst/>
                    </a:prstGeom>
                    <a:noFill/>
                    <a:ln>
                      <a:noFill/>
                    </a:ln>
                  </pic:spPr>
                </pic:pic>
              </a:graphicData>
            </a:graphic>
          </wp:inline>
        </w:drawing>
      </w:r>
    </w:p>
    <w:p w14:paraId="6D862F62" w14:textId="77777777" w:rsidR="00CD45DB" w:rsidRPr="00F110C2" w:rsidRDefault="00CD45DB" w:rsidP="00254EC9">
      <w:pPr>
        <w:pStyle w:val="FigureNo"/>
      </w:pPr>
      <w:r w:rsidRPr="00F110C2">
        <w:t>figure 35</w:t>
      </w:r>
    </w:p>
    <w:p w14:paraId="4FD4BF82" w14:textId="77777777" w:rsidR="00CD45DB" w:rsidRPr="00F110C2" w:rsidRDefault="00CD45DB" w:rsidP="00254EC9">
      <w:pPr>
        <w:pStyle w:val="Figuretitle"/>
      </w:pPr>
      <w:r w:rsidRPr="00F110C2">
        <w:t>Gabarit spectral du mode d'occupation spectrale D</w:t>
      </w:r>
    </w:p>
    <w:p w14:paraId="2FC3B046" w14:textId="77777777" w:rsidR="00CD45DB" w:rsidRPr="00F110C2" w:rsidRDefault="00CD45DB" w:rsidP="00254EC9">
      <w:pPr>
        <w:pStyle w:val="Figure"/>
      </w:pPr>
      <w:r w:rsidRPr="00F110C2">
        <w:drawing>
          <wp:inline distT="0" distB="0" distL="0" distR="0" wp14:anchorId="0C110281" wp14:editId="0399C797">
            <wp:extent cx="5534167" cy="3711055"/>
            <wp:effectExtent l="0" t="0" r="0" b="3810"/>
            <wp:docPr id="1953006131" name="Picture 20"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06131" name="Picture 20" descr="A graph of a line&#10;&#10;AI-generated content may be incorrect."/>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542569" cy="3716689"/>
                    </a:xfrm>
                    <a:prstGeom prst="rect">
                      <a:avLst/>
                    </a:prstGeom>
                    <a:noFill/>
                    <a:ln>
                      <a:noFill/>
                    </a:ln>
                  </pic:spPr>
                </pic:pic>
              </a:graphicData>
            </a:graphic>
          </wp:inline>
        </w:drawing>
      </w:r>
    </w:p>
    <w:p w14:paraId="014E434D" w14:textId="77777777" w:rsidR="00CD45DB" w:rsidRPr="00F110C2" w:rsidRDefault="00CD45DB" w:rsidP="00254EC9">
      <w:pPr>
        <w:pStyle w:val="FigureNo"/>
      </w:pPr>
      <w:r w:rsidRPr="00F110C2">
        <w:lastRenderedPageBreak/>
        <w:t>figure 36</w:t>
      </w:r>
    </w:p>
    <w:p w14:paraId="32789A98" w14:textId="77777777" w:rsidR="00CD45DB" w:rsidRPr="00F110C2" w:rsidRDefault="00CD45DB" w:rsidP="00254EC9">
      <w:pPr>
        <w:pStyle w:val="Figuretitle"/>
      </w:pPr>
      <w:r w:rsidRPr="00F110C2">
        <w:t>Gabarit spectral du mode d'occupation spectrale E</w:t>
      </w:r>
    </w:p>
    <w:p w14:paraId="57CF86D8" w14:textId="77777777" w:rsidR="00CD45DB" w:rsidRPr="00F110C2" w:rsidRDefault="00CD45DB" w:rsidP="00254EC9">
      <w:pPr>
        <w:pStyle w:val="Figure"/>
      </w:pPr>
      <w:r w:rsidRPr="00F110C2">
        <w:drawing>
          <wp:inline distT="0" distB="0" distL="0" distR="0" wp14:anchorId="3D8A8C3A" wp14:editId="07325288">
            <wp:extent cx="5677469" cy="3901382"/>
            <wp:effectExtent l="0" t="0" r="0" b="4445"/>
            <wp:docPr id="2074034329" name="Picture 2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34329" name="Picture 21" descr="A graph of a function&#10;&#10;AI-generated content may be incorrect."/>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686228" cy="3907401"/>
                    </a:xfrm>
                    <a:prstGeom prst="rect">
                      <a:avLst/>
                    </a:prstGeom>
                    <a:noFill/>
                    <a:ln>
                      <a:noFill/>
                    </a:ln>
                  </pic:spPr>
                </pic:pic>
              </a:graphicData>
            </a:graphic>
          </wp:inline>
        </w:drawing>
      </w:r>
    </w:p>
    <w:p w14:paraId="4F74F8B4" w14:textId="77777777" w:rsidR="00CD45DB" w:rsidRPr="00F110C2" w:rsidRDefault="00CD45DB" w:rsidP="00254EC9">
      <w:pPr>
        <w:pStyle w:val="FigureNo"/>
      </w:pPr>
      <w:r w:rsidRPr="00F110C2">
        <w:t>figure 37</w:t>
      </w:r>
    </w:p>
    <w:p w14:paraId="5575E6A8" w14:textId="77777777" w:rsidR="00CD45DB" w:rsidRPr="00F110C2" w:rsidRDefault="00CD45DB" w:rsidP="00254EC9">
      <w:pPr>
        <w:pStyle w:val="Figuretitle"/>
      </w:pPr>
      <w:r w:rsidRPr="00F110C2">
        <w:t>Gabarit spectral du mode d'occupation spectrale F</w:t>
      </w:r>
    </w:p>
    <w:p w14:paraId="271EAFFF" w14:textId="77777777" w:rsidR="00CD45DB" w:rsidRPr="00F110C2" w:rsidRDefault="00CD45DB" w:rsidP="00254EC9">
      <w:pPr>
        <w:pStyle w:val="Figure"/>
      </w:pPr>
      <w:r w:rsidRPr="00F110C2">
        <w:drawing>
          <wp:inline distT="0" distB="0" distL="0" distR="0" wp14:anchorId="3094ED7F" wp14:editId="5C67DC8E">
            <wp:extent cx="5540991" cy="3855765"/>
            <wp:effectExtent l="0" t="0" r="3175" b="0"/>
            <wp:docPr id="818762398" name="Picture 22"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62398" name="Picture 22" descr="A graph of a line&#10;&#10;AI-generated content may be incorrect."/>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549870" cy="3861944"/>
                    </a:xfrm>
                    <a:prstGeom prst="rect">
                      <a:avLst/>
                    </a:prstGeom>
                    <a:noFill/>
                    <a:ln>
                      <a:noFill/>
                    </a:ln>
                  </pic:spPr>
                </pic:pic>
              </a:graphicData>
            </a:graphic>
          </wp:inline>
        </w:drawing>
      </w:r>
    </w:p>
    <w:p w14:paraId="5F5291DE" w14:textId="77777777" w:rsidR="00CD45DB" w:rsidRPr="00F110C2" w:rsidRDefault="00CD45DB" w:rsidP="00254EC9">
      <w:pPr>
        <w:pStyle w:val="TableNo"/>
      </w:pPr>
      <w:bookmarkStart w:id="13" w:name="_Toc440293456"/>
      <w:r w:rsidRPr="00F110C2">
        <w:lastRenderedPageBreak/>
        <w:t>TABLEAU 26</w:t>
      </w:r>
    </w:p>
    <w:bookmarkEnd w:id="13"/>
    <w:p w14:paraId="7DB2CF61" w14:textId="77777777" w:rsidR="00CD45DB" w:rsidRPr="00F110C2" w:rsidRDefault="00CD45DB" w:rsidP="00254EC9">
      <w:pPr>
        <w:pStyle w:val="Tabletitle"/>
      </w:pPr>
      <w:r w:rsidRPr="00F110C2">
        <w:t>Valeurs seuils du gabarit spectral lorsque la puissance dans la bande est définie</w:t>
      </w:r>
      <w:r w:rsidRPr="00F110C2">
        <w:br/>
        <w:t>comme étant égale à 0 dB (mode d'occupation spectrale A)</w:t>
      </w:r>
    </w:p>
    <w:tbl>
      <w:tblPr>
        <w:tblW w:w="9639" w:type="dxa"/>
        <w:jc w:val="center"/>
        <w:tblLayout w:type="fixed"/>
        <w:tblCellMar>
          <w:left w:w="0" w:type="dxa"/>
          <w:right w:w="0" w:type="dxa"/>
        </w:tblCellMar>
        <w:tblLook w:val="04A0" w:firstRow="1" w:lastRow="0" w:firstColumn="1" w:lastColumn="0" w:noHBand="0" w:noVBand="1"/>
      </w:tblPr>
      <w:tblGrid>
        <w:gridCol w:w="4740"/>
        <w:gridCol w:w="4899"/>
      </w:tblGrid>
      <w:tr w:rsidR="00CD45DB" w:rsidRPr="00F110C2" w14:paraId="3931E754" w14:textId="77777777" w:rsidTr="00311649">
        <w:trPr>
          <w:jc w:val="center"/>
        </w:trPr>
        <w:tc>
          <w:tcPr>
            <w:tcW w:w="4252" w:type="dxa"/>
            <w:tcBorders>
              <w:top w:val="single" w:sz="4" w:space="0" w:color="auto"/>
              <w:left w:val="single" w:sz="4" w:space="0" w:color="auto"/>
              <w:bottom w:val="nil"/>
              <w:right w:val="nil"/>
            </w:tcBorders>
            <w:shd w:val="clear" w:color="auto" w:fill="FFFFFF"/>
            <w:vAlign w:val="center"/>
          </w:tcPr>
          <w:p w14:paraId="4FCAC55B" w14:textId="77777777" w:rsidR="00CD45DB" w:rsidRPr="00F110C2" w:rsidRDefault="00CD45DB" w:rsidP="00254EC9">
            <w:pPr>
              <w:pStyle w:val="Tablehead"/>
            </w:pPr>
            <w:r w:rsidRPr="00F110C2">
              <w:t>Écart de fréquence par rapport</w:t>
            </w:r>
            <w:r w:rsidRPr="00F110C2">
              <w:br/>
              <w:t>à</w:t>
            </w:r>
            <w:r w:rsidRPr="00F110C2">
              <w:rPr>
                <w:b w:val="0"/>
                <w:color w:val="000000"/>
                <w:sz w:val="24"/>
              </w:rPr>
              <w:t xml:space="preserve"> </w:t>
            </w:r>
            <w:r w:rsidRPr="00F110C2">
              <w:t>la fréquence centrale (kHz)</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31021D7C" w14:textId="77777777" w:rsidR="00CD45DB" w:rsidRPr="00F110C2" w:rsidRDefault="00CD45DB" w:rsidP="00254EC9">
            <w:pPr>
              <w:pStyle w:val="Tablehead"/>
            </w:pPr>
            <w:r w:rsidRPr="00F110C2">
              <w:t>Niveau relatif (dB)</w:t>
            </w:r>
          </w:p>
        </w:tc>
      </w:tr>
      <w:tr w:rsidR="00CD45DB" w:rsidRPr="00F110C2" w14:paraId="19082E3A" w14:textId="77777777" w:rsidTr="00311649">
        <w:trPr>
          <w:jc w:val="center"/>
        </w:trPr>
        <w:tc>
          <w:tcPr>
            <w:tcW w:w="4252" w:type="dxa"/>
            <w:tcBorders>
              <w:top w:val="single" w:sz="4" w:space="0" w:color="auto"/>
              <w:left w:val="single" w:sz="4" w:space="0" w:color="auto"/>
              <w:bottom w:val="nil"/>
              <w:right w:val="nil"/>
            </w:tcBorders>
            <w:shd w:val="clear" w:color="auto" w:fill="FFFFFF"/>
            <w:vAlign w:val="center"/>
          </w:tcPr>
          <w:p w14:paraId="4A844DB8" w14:textId="77777777" w:rsidR="00CD45DB" w:rsidRPr="00F110C2" w:rsidRDefault="00CD45DB" w:rsidP="00254EC9">
            <w:pPr>
              <w:pStyle w:val="Tabletext"/>
              <w:jc w:val="center"/>
            </w:pPr>
            <w:r w:rsidRPr="00F110C2">
              <w:t>−200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50A65B44" w14:textId="77777777" w:rsidR="00CD45DB" w:rsidRPr="00F110C2" w:rsidRDefault="00CD45DB" w:rsidP="00254EC9">
            <w:pPr>
              <w:pStyle w:val="Tabletext"/>
              <w:jc w:val="center"/>
            </w:pPr>
            <w:r w:rsidRPr="00F110C2">
              <w:t>−80</w:t>
            </w:r>
          </w:p>
        </w:tc>
      </w:tr>
      <w:tr w:rsidR="00CD45DB" w:rsidRPr="00F110C2" w14:paraId="4721CB47" w14:textId="77777777" w:rsidTr="00311649">
        <w:trPr>
          <w:jc w:val="center"/>
        </w:trPr>
        <w:tc>
          <w:tcPr>
            <w:tcW w:w="4252" w:type="dxa"/>
            <w:tcBorders>
              <w:top w:val="single" w:sz="4" w:space="0" w:color="auto"/>
              <w:left w:val="single" w:sz="4" w:space="0" w:color="auto"/>
              <w:bottom w:val="nil"/>
              <w:right w:val="nil"/>
            </w:tcBorders>
            <w:shd w:val="clear" w:color="auto" w:fill="FFFFFF"/>
            <w:vAlign w:val="center"/>
          </w:tcPr>
          <w:p w14:paraId="69E21779" w14:textId="77777777" w:rsidR="00CD45DB" w:rsidRPr="00F110C2" w:rsidRDefault="00CD45DB" w:rsidP="00254EC9">
            <w:pPr>
              <w:pStyle w:val="Tabletext"/>
              <w:jc w:val="center"/>
            </w:pPr>
            <w:r w:rsidRPr="00F110C2">
              <w:t>−150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21AB63D6" w14:textId="77777777" w:rsidR="00CD45DB" w:rsidRPr="00F110C2" w:rsidRDefault="00CD45DB" w:rsidP="00254EC9">
            <w:pPr>
              <w:pStyle w:val="Tabletext"/>
              <w:jc w:val="center"/>
            </w:pPr>
            <w:r w:rsidRPr="00F110C2">
              <w:t>−65</w:t>
            </w:r>
          </w:p>
        </w:tc>
      </w:tr>
      <w:tr w:rsidR="00CD45DB" w:rsidRPr="00F110C2" w14:paraId="6DF4A199" w14:textId="77777777" w:rsidTr="00311649">
        <w:trPr>
          <w:jc w:val="center"/>
        </w:trPr>
        <w:tc>
          <w:tcPr>
            <w:tcW w:w="4252" w:type="dxa"/>
            <w:tcBorders>
              <w:top w:val="single" w:sz="4" w:space="0" w:color="auto"/>
              <w:left w:val="single" w:sz="4" w:space="0" w:color="auto"/>
              <w:bottom w:val="nil"/>
              <w:right w:val="nil"/>
            </w:tcBorders>
            <w:shd w:val="clear" w:color="auto" w:fill="FFFFFF"/>
            <w:vAlign w:val="center"/>
          </w:tcPr>
          <w:p w14:paraId="76804805" w14:textId="77777777" w:rsidR="00CD45DB" w:rsidRPr="00F110C2" w:rsidRDefault="00CD45DB" w:rsidP="00254EC9">
            <w:pPr>
              <w:pStyle w:val="Tabletext"/>
              <w:jc w:val="center"/>
            </w:pPr>
            <w:r w:rsidRPr="00F110C2">
              <w:t>−60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3257D0DE" w14:textId="77777777" w:rsidR="00CD45DB" w:rsidRPr="00F110C2" w:rsidRDefault="00CD45DB" w:rsidP="00254EC9">
            <w:pPr>
              <w:pStyle w:val="Tabletext"/>
              <w:jc w:val="center"/>
            </w:pPr>
            <w:r w:rsidRPr="00F110C2">
              <w:t>−50</w:t>
            </w:r>
          </w:p>
        </w:tc>
      </w:tr>
      <w:tr w:rsidR="00CD45DB" w:rsidRPr="00F110C2" w14:paraId="1A0D28E9" w14:textId="77777777" w:rsidTr="00311649">
        <w:trPr>
          <w:jc w:val="center"/>
        </w:trPr>
        <w:tc>
          <w:tcPr>
            <w:tcW w:w="4252" w:type="dxa"/>
            <w:tcBorders>
              <w:top w:val="single" w:sz="4" w:space="0" w:color="auto"/>
              <w:left w:val="single" w:sz="4" w:space="0" w:color="auto"/>
              <w:bottom w:val="nil"/>
              <w:right w:val="nil"/>
            </w:tcBorders>
            <w:shd w:val="clear" w:color="auto" w:fill="FFFFFF"/>
            <w:vAlign w:val="center"/>
          </w:tcPr>
          <w:p w14:paraId="5CE85953" w14:textId="77777777" w:rsidR="00CD45DB" w:rsidRPr="00F110C2" w:rsidRDefault="00CD45DB" w:rsidP="00254EC9">
            <w:pPr>
              <w:pStyle w:val="Tabletext"/>
              <w:jc w:val="center"/>
            </w:pPr>
            <w:r w:rsidRPr="00F110C2">
              <w:t>−50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58B7B0F9" w14:textId="77777777" w:rsidR="00CD45DB" w:rsidRPr="00F110C2" w:rsidRDefault="00CD45DB" w:rsidP="00254EC9">
            <w:pPr>
              <w:pStyle w:val="Tabletext"/>
              <w:jc w:val="center"/>
            </w:pPr>
            <w:r w:rsidRPr="00F110C2">
              <w:t>−20</w:t>
            </w:r>
          </w:p>
        </w:tc>
      </w:tr>
      <w:tr w:rsidR="00CD45DB" w:rsidRPr="00F110C2" w14:paraId="54BF369F" w14:textId="77777777" w:rsidTr="00311649">
        <w:trPr>
          <w:jc w:val="center"/>
        </w:trPr>
        <w:tc>
          <w:tcPr>
            <w:tcW w:w="4252" w:type="dxa"/>
            <w:tcBorders>
              <w:top w:val="single" w:sz="4" w:space="0" w:color="auto"/>
              <w:left w:val="single" w:sz="4" w:space="0" w:color="auto"/>
              <w:bottom w:val="nil"/>
              <w:right w:val="nil"/>
            </w:tcBorders>
            <w:shd w:val="clear" w:color="auto" w:fill="FFFFFF"/>
            <w:vAlign w:val="center"/>
          </w:tcPr>
          <w:p w14:paraId="05E72E11" w14:textId="77777777" w:rsidR="00CD45DB" w:rsidRPr="00F110C2" w:rsidRDefault="00CD45DB" w:rsidP="00254EC9">
            <w:pPr>
              <w:pStyle w:val="Tabletext"/>
              <w:jc w:val="center"/>
            </w:pPr>
            <w:r w:rsidRPr="00F110C2">
              <w:t>50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10DEF73A" w14:textId="77777777" w:rsidR="00CD45DB" w:rsidRPr="00F110C2" w:rsidRDefault="00CD45DB" w:rsidP="00254EC9">
            <w:pPr>
              <w:pStyle w:val="Tabletext"/>
              <w:jc w:val="center"/>
            </w:pPr>
            <w:r w:rsidRPr="00F110C2">
              <w:t>−20</w:t>
            </w:r>
          </w:p>
        </w:tc>
      </w:tr>
      <w:tr w:rsidR="00CD45DB" w:rsidRPr="00F110C2" w14:paraId="56C2B7C9" w14:textId="77777777" w:rsidTr="00311649">
        <w:trPr>
          <w:jc w:val="center"/>
        </w:trPr>
        <w:tc>
          <w:tcPr>
            <w:tcW w:w="4252" w:type="dxa"/>
            <w:tcBorders>
              <w:top w:val="single" w:sz="4" w:space="0" w:color="auto"/>
              <w:left w:val="single" w:sz="4" w:space="0" w:color="auto"/>
              <w:bottom w:val="nil"/>
              <w:right w:val="nil"/>
            </w:tcBorders>
            <w:shd w:val="clear" w:color="auto" w:fill="FFFFFF"/>
            <w:vAlign w:val="center"/>
          </w:tcPr>
          <w:p w14:paraId="469F67B3" w14:textId="77777777" w:rsidR="00CD45DB" w:rsidRPr="00F110C2" w:rsidRDefault="00CD45DB" w:rsidP="00254EC9">
            <w:pPr>
              <w:pStyle w:val="Tabletext"/>
              <w:jc w:val="center"/>
            </w:pPr>
            <w:r w:rsidRPr="00F110C2">
              <w:t>60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6C5A141E" w14:textId="77777777" w:rsidR="00CD45DB" w:rsidRPr="00F110C2" w:rsidRDefault="00CD45DB" w:rsidP="00254EC9">
            <w:pPr>
              <w:pStyle w:val="Tabletext"/>
              <w:jc w:val="center"/>
            </w:pPr>
            <w:r w:rsidRPr="00F110C2">
              <w:t>−50</w:t>
            </w:r>
          </w:p>
        </w:tc>
      </w:tr>
      <w:tr w:rsidR="00CD45DB" w:rsidRPr="00F110C2" w14:paraId="44D20C7E" w14:textId="77777777" w:rsidTr="00311649">
        <w:trPr>
          <w:jc w:val="center"/>
        </w:trPr>
        <w:tc>
          <w:tcPr>
            <w:tcW w:w="4252" w:type="dxa"/>
            <w:tcBorders>
              <w:top w:val="single" w:sz="4" w:space="0" w:color="auto"/>
              <w:left w:val="single" w:sz="4" w:space="0" w:color="auto"/>
              <w:bottom w:val="nil"/>
              <w:right w:val="nil"/>
            </w:tcBorders>
            <w:shd w:val="clear" w:color="auto" w:fill="FFFFFF"/>
            <w:vAlign w:val="center"/>
          </w:tcPr>
          <w:p w14:paraId="071181A6" w14:textId="77777777" w:rsidR="00CD45DB" w:rsidRPr="00F110C2" w:rsidRDefault="00CD45DB" w:rsidP="00254EC9">
            <w:pPr>
              <w:pStyle w:val="Tabletext"/>
              <w:jc w:val="center"/>
            </w:pPr>
            <w:r w:rsidRPr="00F110C2">
              <w:t>150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45A778CC" w14:textId="77777777" w:rsidR="00CD45DB" w:rsidRPr="00F110C2" w:rsidRDefault="00CD45DB" w:rsidP="00254EC9">
            <w:pPr>
              <w:pStyle w:val="Tabletext"/>
              <w:jc w:val="center"/>
            </w:pPr>
            <w:r w:rsidRPr="00F110C2">
              <w:t>−65</w:t>
            </w:r>
          </w:p>
        </w:tc>
      </w:tr>
      <w:tr w:rsidR="00CD45DB" w:rsidRPr="00F110C2" w14:paraId="5EA1DE76" w14:textId="77777777" w:rsidTr="00311649">
        <w:trPr>
          <w:jc w:val="center"/>
        </w:trPr>
        <w:tc>
          <w:tcPr>
            <w:tcW w:w="4252" w:type="dxa"/>
            <w:tcBorders>
              <w:top w:val="single" w:sz="4" w:space="0" w:color="auto"/>
              <w:left w:val="single" w:sz="4" w:space="0" w:color="auto"/>
              <w:bottom w:val="single" w:sz="4" w:space="0" w:color="auto"/>
              <w:right w:val="nil"/>
            </w:tcBorders>
            <w:shd w:val="clear" w:color="auto" w:fill="FFFFFF"/>
            <w:vAlign w:val="center"/>
          </w:tcPr>
          <w:p w14:paraId="49360435" w14:textId="77777777" w:rsidR="00CD45DB" w:rsidRPr="00F110C2" w:rsidRDefault="00CD45DB" w:rsidP="00254EC9">
            <w:pPr>
              <w:pStyle w:val="Tabletext"/>
              <w:jc w:val="center"/>
            </w:pPr>
            <w:r w:rsidRPr="00F110C2">
              <w:t>200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84C3534" w14:textId="77777777" w:rsidR="00CD45DB" w:rsidRPr="00F110C2" w:rsidRDefault="00CD45DB" w:rsidP="00254EC9">
            <w:pPr>
              <w:pStyle w:val="Tabletext"/>
              <w:jc w:val="center"/>
            </w:pPr>
            <w:r w:rsidRPr="00F110C2">
              <w:t>−80</w:t>
            </w:r>
          </w:p>
        </w:tc>
      </w:tr>
    </w:tbl>
    <w:p w14:paraId="02E03527" w14:textId="607CE6EE" w:rsidR="00CD45DB" w:rsidRPr="00F110C2" w:rsidRDefault="00CD45DB" w:rsidP="00254EC9">
      <w:pPr>
        <w:pStyle w:val="Tablefin"/>
      </w:pPr>
    </w:p>
    <w:p w14:paraId="6E63DC4D" w14:textId="77777777" w:rsidR="00CD45DB" w:rsidRPr="00F110C2" w:rsidRDefault="00CD45DB" w:rsidP="00254EC9">
      <w:pPr>
        <w:pStyle w:val="TableNo"/>
      </w:pPr>
      <w:r w:rsidRPr="00F110C2">
        <w:t>TABLEAU 27</w:t>
      </w:r>
    </w:p>
    <w:p w14:paraId="08076C97" w14:textId="77777777" w:rsidR="00CD45DB" w:rsidRPr="00F110C2" w:rsidRDefault="00CD45DB" w:rsidP="00254EC9">
      <w:pPr>
        <w:pStyle w:val="Tabletitle"/>
        <w:keepLines/>
      </w:pPr>
      <w:r w:rsidRPr="00F110C2">
        <w:t>Valeurs seuils du gabarit spectral lorsque la puissance dans la bande est définie</w:t>
      </w:r>
      <w:r w:rsidRPr="00F110C2">
        <w:br/>
        <w:t>comme étant égale à 0 dB (mode d'occupation spectrale B)</w:t>
      </w:r>
    </w:p>
    <w:tbl>
      <w:tblPr>
        <w:tblW w:w="9639" w:type="dxa"/>
        <w:jc w:val="center"/>
        <w:tblLayout w:type="fixed"/>
        <w:tblCellMar>
          <w:left w:w="0" w:type="dxa"/>
          <w:right w:w="0" w:type="dxa"/>
        </w:tblCellMar>
        <w:tblLook w:val="04A0" w:firstRow="1" w:lastRow="0" w:firstColumn="1" w:lastColumn="0" w:noHBand="0" w:noVBand="1"/>
      </w:tblPr>
      <w:tblGrid>
        <w:gridCol w:w="4741"/>
        <w:gridCol w:w="4898"/>
      </w:tblGrid>
      <w:tr w:rsidR="00CD45DB" w:rsidRPr="00F110C2" w14:paraId="6E0594F5" w14:textId="77777777" w:rsidTr="00311649">
        <w:trPr>
          <w:jc w:val="center"/>
        </w:trPr>
        <w:tc>
          <w:tcPr>
            <w:tcW w:w="4741" w:type="dxa"/>
            <w:tcBorders>
              <w:top w:val="single" w:sz="4" w:space="0" w:color="auto"/>
              <w:left w:val="single" w:sz="4" w:space="0" w:color="auto"/>
              <w:bottom w:val="nil"/>
              <w:right w:val="nil"/>
            </w:tcBorders>
            <w:shd w:val="clear" w:color="auto" w:fill="FFFFFF"/>
            <w:vAlign w:val="center"/>
          </w:tcPr>
          <w:p w14:paraId="1FDD9594" w14:textId="77777777" w:rsidR="00CD45DB" w:rsidRPr="00F110C2" w:rsidRDefault="00CD45DB" w:rsidP="00254EC9">
            <w:pPr>
              <w:pStyle w:val="Tablehead"/>
              <w:keepLines/>
            </w:pPr>
            <w:r w:rsidRPr="00F110C2">
              <w:t>Écart de fréquence par rapport</w:t>
            </w:r>
            <w:r w:rsidRPr="00F110C2">
              <w:br/>
              <w:t>à</w:t>
            </w:r>
            <w:r w:rsidRPr="00F110C2">
              <w:rPr>
                <w:b w:val="0"/>
                <w:color w:val="000000"/>
                <w:sz w:val="24"/>
              </w:rPr>
              <w:t xml:space="preserve"> </w:t>
            </w:r>
            <w:r w:rsidRPr="00F110C2">
              <w:t>la fréquence centrale (kHz)</w:t>
            </w:r>
          </w:p>
        </w:tc>
        <w:tc>
          <w:tcPr>
            <w:tcW w:w="4898" w:type="dxa"/>
            <w:tcBorders>
              <w:top w:val="single" w:sz="4" w:space="0" w:color="auto"/>
              <w:left w:val="single" w:sz="4" w:space="0" w:color="auto"/>
              <w:bottom w:val="nil"/>
              <w:right w:val="single" w:sz="4" w:space="0" w:color="auto"/>
            </w:tcBorders>
            <w:shd w:val="clear" w:color="auto" w:fill="FFFFFF"/>
            <w:vAlign w:val="center"/>
          </w:tcPr>
          <w:p w14:paraId="12C01580" w14:textId="77777777" w:rsidR="00CD45DB" w:rsidRPr="00F110C2" w:rsidRDefault="00CD45DB" w:rsidP="00254EC9">
            <w:pPr>
              <w:pStyle w:val="Tablehead"/>
              <w:keepLines/>
            </w:pPr>
            <w:r w:rsidRPr="00F110C2">
              <w:t>Niveau relatif (dB)</w:t>
            </w:r>
          </w:p>
        </w:tc>
      </w:tr>
      <w:tr w:rsidR="00CD45DB" w:rsidRPr="00F110C2" w14:paraId="0E3B0AE4" w14:textId="77777777" w:rsidTr="00311649">
        <w:trPr>
          <w:jc w:val="center"/>
        </w:trPr>
        <w:tc>
          <w:tcPr>
            <w:tcW w:w="4741" w:type="dxa"/>
            <w:tcBorders>
              <w:top w:val="single" w:sz="4" w:space="0" w:color="auto"/>
              <w:left w:val="single" w:sz="4" w:space="0" w:color="auto"/>
              <w:bottom w:val="nil"/>
              <w:right w:val="nil"/>
            </w:tcBorders>
            <w:shd w:val="clear" w:color="auto" w:fill="FFFFFF"/>
          </w:tcPr>
          <w:p w14:paraId="67306374" w14:textId="77777777" w:rsidR="00CD45DB" w:rsidRPr="00F110C2" w:rsidRDefault="00CD45DB" w:rsidP="00254EC9">
            <w:pPr>
              <w:pStyle w:val="Tabletext"/>
              <w:keepNext/>
              <w:keepLines/>
              <w:jc w:val="center"/>
            </w:pPr>
            <w:r w:rsidRPr="00F110C2">
              <w:t>−250</w:t>
            </w:r>
          </w:p>
        </w:tc>
        <w:tc>
          <w:tcPr>
            <w:tcW w:w="4898" w:type="dxa"/>
            <w:tcBorders>
              <w:top w:val="single" w:sz="4" w:space="0" w:color="auto"/>
              <w:left w:val="single" w:sz="4" w:space="0" w:color="auto"/>
              <w:bottom w:val="nil"/>
              <w:right w:val="single" w:sz="4" w:space="0" w:color="auto"/>
            </w:tcBorders>
            <w:shd w:val="clear" w:color="auto" w:fill="FFFFFF"/>
          </w:tcPr>
          <w:p w14:paraId="46643B12" w14:textId="77777777" w:rsidR="00CD45DB" w:rsidRPr="00F110C2" w:rsidRDefault="00CD45DB" w:rsidP="00254EC9">
            <w:pPr>
              <w:pStyle w:val="Tabletext"/>
              <w:keepNext/>
              <w:keepLines/>
              <w:jc w:val="center"/>
            </w:pPr>
            <w:r w:rsidRPr="00F110C2">
              <w:t>−83</w:t>
            </w:r>
          </w:p>
        </w:tc>
      </w:tr>
      <w:tr w:rsidR="00CD45DB" w:rsidRPr="00F110C2" w14:paraId="195FC678" w14:textId="77777777" w:rsidTr="00311649">
        <w:trPr>
          <w:jc w:val="center"/>
        </w:trPr>
        <w:tc>
          <w:tcPr>
            <w:tcW w:w="4741" w:type="dxa"/>
            <w:tcBorders>
              <w:top w:val="single" w:sz="4" w:space="0" w:color="auto"/>
              <w:left w:val="single" w:sz="4" w:space="0" w:color="auto"/>
              <w:bottom w:val="nil"/>
              <w:right w:val="nil"/>
            </w:tcBorders>
            <w:shd w:val="clear" w:color="auto" w:fill="FFFFFF"/>
          </w:tcPr>
          <w:p w14:paraId="0A1D8F25" w14:textId="77777777" w:rsidR="00CD45DB" w:rsidRPr="00F110C2" w:rsidRDefault="00CD45DB" w:rsidP="00254EC9">
            <w:pPr>
              <w:pStyle w:val="Tabletext"/>
              <w:keepNext/>
              <w:keepLines/>
              <w:jc w:val="center"/>
            </w:pPr>
            <w:r w:rsidRPr="00F110C2">
              <w:t>−200</w:t>
            </w:r>
          </w:p>
        </w:tc>
        <w:tc>
          <w:tcPr>
            <w:tcW w:w="4898" w:type="dxa"/>
            <w:tcBorders>
              <w:top w:val="single" w:sz="4" w:space="0" w:color="auto"/>
              <w:left w:val="single" w:sz="4" w:space="0" w:color="auto"/>
              <w:bottom w:val="nil"/>
              <w:right w:val="single" w:sz="4" w:space="0" w:color="auto"/>
            </w:tcBorders>
            <w:shd w:val="clear" w:color="auto" w:fill="FFFFFF"/>
          </w:tcPr>
          <w:p w14:paraId="2B092867" w14:textId="77777777" w:rsidR="00CD45DB" w:rsidRPr="00F110C2" w:rsidRDefault="00CD45DB" w:rsidP="00254EC9">
            <w:pPr>
              <w:pStyle w:val="Tabletext"/>
              <w:keepNext/>
              <w:keepLines/>
              <w:jc w:val="center"/>
            </w:pPr>
            <w:r w:rsidRPr="00F110C2">
              <w:t>−68</w:t>
            </w:r>
          </w:p>
        </w:tc>
      </w:tr>
      <w:tr w:rsidR="00CD45DB" w:rsidRPr="00F110C2" w14:paraId="6700C4B0" w14:textId="77777777" w:rsidTr="00311649">
        <w:trPr>
          <w:jc w:val="center"/>
        </w:trPr>
        <w:tc>
          <w:tcPr>
            <w:tcW w:w="4741" w:type="dxa"/>
            <w:tcBorders>
              <w:top w:val="single" w:sz="4" w:space="0" w:color="auto"/>
              <w:left w:val="single" w:sz="4" w:space="0" w:color="auto"/>
              <w:bottom w:val="nil"/>
              <w:right w:val="nil"/>
            </w:tcBorders>
            <w:shd w:val="clear" w:color="auto" w:fill="FFFFFF"/>
          </w:tcPr>
          <w:p w14:paraId="0A4DB546" w14:textId="77777777" w:rsidR="00CD45DB" w:rsidRPr="00F110C2" w:rsidRDefault="00CD45DB" w:rsidP="00254EC9">
            <w:pPr>
              <w:pStyle w:val="Tabletext"/>
              <w:jc w:val="center"/>
            </w:pPr>
            <w:r w:rsidRPr="00F110C2">
              <w:t>−110</w:t>
            </w:r>
          </w:p>
        </w:tc>
        <w:tc>
          <w:tcPr>
            <w:tcW w:w="4898" w:type="dxa"/>
            <w:tcBorders>
              <w:top w:val="single" w:sz="4" w:space="0" w:color="auto"/>
              <w:left w:val="single" w:sz="4" w:space="0" w:color="auto"/>
              <w:bottom w:val="nil"/>
              <w:right w:val="single" w:sz="4" w:space="0" w:color="auto"/>
            </w:tcBorders>
            <w:shd w:val="clear" w:color="auto" w:fill="FFFFFF"/>
          </w:tcPr>
          <w:p w14:paraId="62300370" w14:textId="77777777" w:rsidR="00CD45DB" w:rsidRPr="00F110C2" w:rsidRDefault="00CD45DB" w:rsidP="00254EC9">
            <w:pPr>
              <w:pStyle w:val="Tabletext"/>
              <w:jc w:val="center"/>
            </w:pPr>
            <w:r w:rsidRPr="00F110C2">
              <w:t>−53</w:t>
            </w:r>
          </w:p>
        </w:tc>
      </w:tr>
      <w:tr w:rsidR="00CD45DB" w:rsidRPr="00F110C2" w14:paraId="13D20174" w14:textId="77777777" w:rsidTr="00311649">
        <w:trPr>
          <w:jc w:val="center"/>
        </w:trPr>
        <w:tc>
          <w:tcPr>
            <w:tcW w:w="4741" w:type="dxa"/>
            <w:tcBorders>
              <w:top w:val="single" w:sz="4" w:space="0" w:color="auto"/>
              <w:left w:val="single" w:sz="4" w:space="0" w:color="auto"/>
              <w:bottom w:val="nil"/>
              <w:right w:val="nil"/>
            </w:tcBorders>
            <w:shd w:val="clear" w:color="auto" w:fill="FFFFFF"/>
          </w:tcPr>
          <w:p w14:paraId="23868E73" w14:textId="77777777" w:rsidR="00CD45DB" w:rsidRPr="00F110C2" w:rsidRDefault="00CD45DB" w:rsidP="00254EC9">
            <w:pPr>
              <w:pStyle w:val="Tabletext"/>
              <w:jc w:val="center"/>
            </w:pPr>
            <w:r w:rsidRPr="00F110C2">
              <w:t>−100</w:t>
            </w:r>
          </w:p>
        </w:tc>
        <w:tc>
          <w:tcPr>
            <w:tcW w:w="4898" w:type="dxa"/>
            <w:tcBorders>
              <w:top w:val="single" w:sz="4" w:space="0" w:color="auto"/>
              <w:left w:val="single" w:sz="4" w:space="0" w:color="auto"/>
              <w:bottom w:val="nil"/>
              <w:right w:val="single" w:sz="4" w:space="0" w:color="auto"/>
            </w:tcBorders>
            <w:shd w:val="clear" w:color="auto" w:fill="FFFFFF"/>
          </w:tcPr>
          <w:p w14:paraId="7C138493" w14:textId="77777777" w:rsidR="00CD45DB" w:rsidRPr="00F110C2" w:rsidRDefault="00CD45DB" w:rsidP="00254EC9">
            <w:pPr>
              <w:pStyle w:val="Tabletext"/>
              <w:jc w:val="center"/>
            </w:pPr>
            <w:r w:rsidRPr="00F110C2">
              <w:t>−23</w:t>
            </w:r>
          </w:p>
        </w:tc>
      </w:tr>
      <w:tr w:rsidR="00CD45DB" w:rsidRPr="00F110C2" w14:paraId="5A201755" w14:textId="77777777" w:rsidTr="00311649">
        <w:trPr>
          <w:jc w:val="center"/>
        </w:trPr>
        <w:tc>
          <w:tcPr>
            <w:tcW w:w="4741" w:type="dxa"/>
            <w:tcBorders>
              <w:top w:val="single" w:sz="4" w:space="0" w:color="auto"/>
              <w:left w:val="single" w:sz="4" w:space="0" w:color="auto"/>
              <w:bottom w:val="nil"/>
              <w:right w:val="nil"/>
            </w:tcBorders>
            <w:shd w:val="clear" w:color="auto" w:fill="FFFFFF"/>
          </w:tcPr>
          <w:p w14:paraId="7A8E70F7" w14:textId="77777777" w:rsidR="00CD45DB" w:rsidRPr="00F110C2" w:rsidRDefault="00CD45DB" w:rsidP="00254EC9">
            <w:pPr>
              <w:pStyle w:val="Tabletext"/>
              <w:jc w:val="center"/>
            </w:pPr>
            <w:r w:rsidRPr="00F110C2">
              <w:t>100</w:t>
            </w:r>
          </w:p>
        </w:tc>
        <w:tc>
          <w:tcPr>
            <w:tcW w:w="4898" w:type="dxa"/>
            <w:tcBorders>
              <w:top w:val="single" w:sz="4" w:space="0" w:color="auto"/>
              <w:left w:val="single" w:sz="4" w:space="0" w:color="auto"/>
              <w:bottom w:val="nil"/>
              <w:right w:val="single" w:sz="4" w:space="0" w:color="auto"/>
            </w:tcBorders>
            <w:shd w:val="clear" w:color="auto" w:fill="FFFFFF"/>
          </w:tcPr>
          <w:p w14:paraId="4590ABEA" w14:textId="77777777" w:rsidR="00CD45DB" w:rsidRPr="00F110C2" w:rsidRDefault="00CD45DB" w:rsidP="00254EC9">
            <w:pPr>
              <w:pStyle w:val="Tabletext"/>
              <w:jc w:val="center"/>
            </w:pPr>
            <w:r w:rsidRPr="00F110C2">
              <w:t>−23</w:t>
            </w:r>
          </w:p>
        </w:tc>
      </w:tr>
      <w:tr w:rsidR="00CD45DB" w:rsidRPr="00F110C2" w14:paraId="3C025956" w14:textId="77777777" w:rsidTr="00311649">
        <w:trPr>
          <w:jc w:val="center"/>
        </w:trPr>
        <w:tc>
          <w:tcPr>
            <w:tcW w:w="4741" w:type="dxa"/>
            <w:tcBorders>
              <w:top w:val="single" w:sz="4" w:space="0" w:color="auto"/>
              <w:left w:val="single" w:sz="4" w:space="0" w:color="auto"/>
              <w:bottom w:val="nil"/>
              <w:right w:val="nil"/>
            </w:tcBorders>
            <w:shd w:val="clear" w:color="auto" w:fill="FFFFFF"/>
          </w:tcPr>
          <w:p w14:paraId="1C2C043A" w14:textId="77777777" w:rsidR="00CD45DB" w:rsidRPr="00F110C2" w:rsidRDefault="00CD45DB" w:rsidP="00254EC9">
            <w:pPr>
              <w:pStyle w:val="Tabletext"/>
              <w:jc w:val="center"/>
            </w:pPr>
            <w:r w:rsidRPr="00F110C2">
              <w:t>110</w:t>
            </w:r>
          </w:p>
        </w:tc>
        <w:tc>
          <w:tcPr>
            <w:tcW w:w="4898" w:type="dxa"/>
            <w:tcBorders>
              <w:top w:val="single" w:sz="4" w:space="0" w:color="auto"/>
              <w:left w:val="single" w:sz="4" w:space="0" w:color="auto"/>
              <w:bottom w:val="nil"/>
              <w:right w:val="single" w:sz="4" w:space="0" w:color="auto"/>
            </w:tcBorders>
            <w:shd w:val="clear" w:color="auto" w:fill="FFFFFF"/>
          </w:tcPr>
          <w:p w14:paraId="5FAAF192" w14:textId="77777777" w:rsidR="00CD45DB" w:rsidRPr="00F110C2" w:rsidRDefault="00CD45DB" w:rsidP="00254EC9">
            <w:pPr>
              <w:pStyle w:val="Tabletext"/>
              <w:jc w:val="center"/>
            </w:pPr>
            <w:r w:rsidRPr="00F110C2">
              <w:t>−53</w:t>
            </w:r>
          </w:p>
        </w:tc>
      </w:tr>
      <w:tr w:rsidR="00CD45DB" w:rsidRPr="00F110C2" w14:paraId="15486A3E" w14:textId="77777777" w:rsidTr="00311649">
        <w:trPr>
          <w:jc w:val="center"/>
        </w:trPr>
        <w:tc>
          <w:tcPr>
            <w:tcW w:w="4741" w:type="dxa"/>
            <w:tcBorders>
              <w:top w:val="single" w:sz="4" w:space="0" w:color="auto"/>
              <w:left w:val="single" w:sz="4" w:space="0" w:color="auto"/>
              <w:bottom w:val="nil"/>
              <w:right w:val="nil"/>
            </w:tcBorders>
            <w:shd w:val="clear" w:color="auto" w:fill="FFFFFF"/>
          </w:tcPr>
          <w:p w14:paraId="412A1647" w14:textId="77777777" w:rsidR="00CD45DB" w:rsidRPr="00F110C2" w:rsidRDefault="00CD45DB" w:rsidP="00254EC9">
            <w:pPr>
              <w:pStyle w:val="Tabletext"/>
              <w:jc w:val="center"/>
            </w:pPr>
            <w:r w:rsidRPr="00F110C2">
              <w:t>200</w:t>
            </w:r>
          </w:p>
        </w:tc>
        <w:tc>
          <w:tcPr>
            <w:tcW w:w="4898" w:type="dxa"/>
            <w:tcBorders>
              <w:top w:val="single" w:sz="4" w:space="0" w:color="auto"/>
              <w:left w:val="single" w:sz="4" w:space="0" w:color="auto"/>
              <w:bottom w:val="nil"/>
              <w:right w:val="single" w:sz="4" w:space="0" w:color="auto"/>
            </w:tcBorders>
            <w:shd w:val="clear" w:color="auto" w:fill="FFFFFF"/>
          </w:tcPr>
          <w:p w14:paraId="06A57A10" w14:textId="77777777" w:rsidR="00CD45DB" w:rsidRPr="00F110C2" w:rsidRDefault="00CD45DB" w:rsidP="00254EC9">
            <w:pPr>
              <w:pStyle w:val="Tabletext"/>
              <w:jc w:val="center"/>
            </w:pPr>
            <w:r w:rsidRPr="00F110C2">
              <w:t>−68</w:t>
            </w:r>
          </w:p>
        </w:tc>
      </w:tr>
      <w:tr w:rsidR="00CD45DB" w:rsidRPr="00F110C2" w14:paraId="0C3AC136" w14:textId="77777777" w:rsidTr="00311649">
        <w:trPr>
          <w:jc w:val="center"/>
        </w:trPr>
        <w:tc>
          <w:tcPr>
            <w:tcW w:w="4741" w:type="dxa"/>
            <w:tcBorders>
              <w:top w:val="single" w:sz="4" w:space="0" w:color="auto"/>
              <w:left w:val="single" w:sz="4" w:space="0" w:color="auto"/>
              <w:bottom w:val="single" w:sz="4" w:space="0" w:color="auto"/>
              <w:right w:val="nil"/>
            </w:tcBorders>
            <w:shd w:val="clear" w:color="auto" w:fill="FFFFFF"/>
          </w:tcPr>
          <w:p w14:paraId="1620895E" w14:textId="77777777" w:rsidR="00CD45DB" w:rsidRPr="00F110C2" w:rsidRDefault="00CD45DB" w:rsidP="00254EC9">
            <w:pPr>
              <w:pStyle w:val="Tabletext"/>
              <w:jc w:val="center"/>
            </w:pPr>
            <w:r w:rsidRPr="00F110C2">
              <w:t>250</w:t>
            </w:r>
          </w:p>
        </w:tc>
        <w:tc>
          <w:tcPr>
            <w:tcW w:w="4898" w:type="dxa"/>
            <w:tcBorders>
              <w:top w:val="single" w:sz="4" w:space="0" w:color="auto"/>
              <w:left w:val="single" w:sz="4" w:space="0" w:color="auto"/>
              <w:bottom w:val="single" w:sz="4" w:space="0" w:color="auto"/>
              <w:right w:val="single" w:sz="4" w:space="0" w:color="auto"/>
            </w:tcBorders>
            <w:shd w:val="clear" w:color="auto" w:fill="FFFFFF"/>
          </w:tcPr>
          <w:p w14:paraId="7942A181" w14:textId="77777777" w:rsidR="00CD45DB" w:rsidRPr="00F110C2" w:rsidRDefault="00CD45DB" w:rsidP="00254EC9">
            <w:pPr>
              <w:pStyle w:val="Tabletext"/>
              <w:jc w:val="center"/>
            </w:pPr>
            <w:r w:rsidRPr="00F110C2">
              <w:t>−83</w:t>
            </w:r>
          </w:p>
        </w:tc>
      </w:tr>
    </w:tbl>
    <w:p w14:paraId="16569A9C" w14:textId="77777777" w:rsidR="00ED0290" w:rsidRPr="00F110C2" w:rsidRDefault="00ED0290" w:rsidP="00254EC9">
      <w:pPr>
        <w:pStyle w:val="Tablefin"/>
      </w:pPr>
    </w:p>
    <w:p w14:paraId="4512E519" w14:textId="379626AD" w:rsidR="00CD45DB" w:rsidRPr="00F110C2" w:rsidRDefault="00CD45DB" w:rsidP="00254EC9">
      <w:pPr>
        <w:pStyle w:val="TableNo"/>
      </w:pPr>
      <w:r w:rsidRPr="00F110C2">
        <w:t>TABLEAU 28</w:t>
      </w:r>
    </w:p>
    <w:p w14:paraId="00EBB791" w14:textId="77777777" w:rsidR="00CD45DB" w:rsidRPr="00F110C2" w:rsidRDefault="00CD45DB" w:rsidP="00254EC9">
      <w:pPr>
        <w:pStyle w:val="Tabletitle"/>
      </w:pPr>
      <w:r w:rsidRPr="00F110C2">
        <w:t>Valeurs seuils du gabarit spectral lorsque la puissance dans la bande est définie</w:t>
      </w:r>
      <w:r w:rsidRPr="00F110C2">
        <w:br/>
        <w:t>comme étant égale à 0 dB (mode d'occupation spectrale C)</w:t>
      </w:r>
    </w:p>
    <w:tbl>
      <w:tblPr>
        <w:tblW w:w="9644" w:type="dxa"/>
        <w:jc w:val="center"/>
        <w:tblLayout w:type="fixed"/>
        <w:tblCellMar>
          <w:left w:w="0" w:type="dxa"/>
          <w:right w:w="0" w:type="dxa"/>
        </w:tblCellMar>
        <w:tblLook w:val="04A0" w:firstRow="1" w:lastRow="0" w:firstColumn="1" w:lastColumn="0" w:noHBand="0" w:noVBand="1"/>
      </w:tblPr>
      <w:tblGrid>
        <w:gridCol w:w="4661"/>
        <w:gridCol w:w="4983"/>
      </w:tblGrid>
      <w:tr w:rsidR="00CD45DB" w:rsidRPr="00F110C2" w14:paraId="6603D712" w14:textId="77777777" w:rsidTr="003F32BF">
        <w:trPr>
          <w:jc w:val="center"/>
        </w:trPr>
        <w:tc>
          <w:tcPr>
            <w:tcW w:w="4659" w:type="dxa"/>
            <w:tcBorders>
              <w:top w:val="single" w:sz="4" w:space="0" w:color="auto"/>
              <w:left w:val="single" w:sz="4" w:space="0" w:color="auto"/>
              <w:bottom w:val="nil"/>
              <w:right w:val="nil"/>
            </w:tcBorders>
            <w:shd w:val="clear" w:color="auto" w:fill="FFFFFF"/>
            <w:vAlign w:val="center"/>
          </w:tcPr>
          <w:p w14:paraId="6DEDF417" w14:textId="77777777" w:rsidR="00CD45DB" w:rsidRPr="00F110C2" w:rsidRDefault="00CD45DB" w:rsidP="00254EC9">
            <w:pPr>
              <w:pStyle w:val="Tablehead"/>
            </w:pPr>
            <w:r w:rsidRPr="00F110C2">
              <w:t>Écart de fréquence par rapport</w:t>
            </w:r>
            <w:r w:rsidRPr="00F110C2">
              <w:br/>
              <w:t>à</w:t>
            </w:r>
            <w:r w:rsidRPr="00F110C2">
              <w:rPr>
                <w:b w:val="0"/>
                <w:color w:val="000000"/>
                <w:sz w:val="24"/>
              </w:rPr>
              <w:t xml:space="preserve"> </w:t>
            </w:r>
            <w:r w:rsidRPr="00F110C2">
              <w:t>la fréquence centrale (kHz)</w:t>
            </w:r>
          </w:p>
        </w:tc>
        <w:tc>
          <w:tcPr>
            <w:tcW w:w="4980" w:type="dxa"/>
            <w:tcBorders>
              <w:top w:val="single" w:sz="4" w:space="0" w:color="auto"/>
              <w:left w:val="single" w:sz="4" w:space="0" w:color="auto"/>
              <w:bottom w:val="nil"/>
              <w:right w:val="single" w:sz="4" w:space="0" w:color="auto"/>
            </w:tcBorders>
            <w:shd w:val="clear" w:color="auto" w:fill="FFFFFF"/>
            <w:vAlign w:val="center"/>
          </w:tcPr>
          <w:p w14:paraId="5CB9FBF5" w14:textId="77777777" w:rsidR="00CD45DB" w:rsidRPr="00F110C2" w:rsidRDefault="00CD45DB" w:rsidP="00254EC9">
            <w:pPr>
              <w:pStyle w:val="Tablehead"/>
            </w:pPr>
            <w:r w:rsidRPr="00F110C2">
              <w:t>Niveau relatif (dB)</w:t>
            </w:r>
          </w:p>
        </w:tc>
      </w:tr>
      <w:tr w:rsidR="00CD45DB" w:rsidRPr="00F110C2" w14:paraId="7F91D9AC" w14:textId="77777777" w:rsidTr="003F32BF">
        <w:trPr>
          <w:jc w:val="center"/>
        </w:trPr>
        <w:tc>
          <w:tcPr>
            <w:tcW w:w="4659" w:type="dxa"/>
            <w:tcBorders>
              <w:top w:val="single" w:sz="4" w:space="0" w:color="auto"/>
              <w:left w:val="single" w:sz="4" w:space="0" w:color="auto"/>
              <w:bottom w:val="nil"/>
              <w:right w:val="nil"/>
            </w:tcBorders>
            <w:shd w:val="clear" w:color="auto" w:fill="FFFFFF"/>
          </w:tcPr>
          <w:p w14:paraId="3C5EAB0D" w14:textId="77777777" w:rsidR="00CD45DB" w:rsidRPr="00F110C2" w:rsidRDefault="00CD45DB" w:rsidP="00254EC9">
            <w:pPr>
              <w:pStyle w:val="Tabletext"/>
              <w:jc w:val="center"/>
            </w:pPr>
            <w:r w:rsidRPr="00F110C2">
              <w:t>0</w:t>
            </w:r>
          </w:p>
        </w:tc>
        <w:tc>
          <w:tcPr>
            <w:tcW w:w="4980" w:type="dxa"/>
            <w:tcBorders>
              <w:top w:val="single" w:sz="4" w:space="0" w:color="auto"/>
              <w:left w:val="single" w:sz="4" w:space="0" w:color="auto"/>
              <w:bottom w:val="nil"/>
              <w:right w:val="single" w:sz="4" w:space="0" w:color="auto"/>
            </w:tcBorders>
            <w:shd w:val="clear" w:color="auto" w:fill="FFFFFF"/>
          </w:tcPr>
          <w:p w14:paraId="16D4DF93" w14:textId="77777777" w:rsidR="00CD45DB" w:rsidRPr="00F110C2" w:rsidRDefault="00CD45DB" w:rsidP="00254EC9">
            <w:pPr>
              <w:pStyle w:val="Tabletext"/>
              <w:jc w:val="center"/>
            </w:pPr>
            <w:r w:rsidRPr="00F110C2">
              <w:t>−65</w:t>
            </w:r>
          </w:p>
        </w:tc>
      </w:tr>
      <w:tr w:rsidR="00CD45DB" w:rsidRPr="00F110C2" w14:paraId="046BD418" w14:textId="77777777" w:rsidTr="003F32BF">
        <w:trPr>
          <w:jc w:val="center"/>
        </w:trPr>
        <w:tc>
          <w:tcPr>
            <w:tcW w:w="4659" w:type="dxa"/>
            <w:tcBorders>
              <w:top w:val="single" w:sz="4" w:space="0" w:color="auto"/>
              <w:left w:val="single" w:sz="4" w:space="0" w:color="auto"/>
              <w:bottom w:val="nil"/>
              <w:right w:val="nil"/>
            </w:tcBorders>
            <w:shd w:val="clear" w:color="auto" w:fill="FFFFFF"/>
          </w:tcPr>
          <w:p w14:paraId="1958A26F" w14:textId="77777777" w:rsidR="00CD45DB" w:rsidRPr="00F110C2" w:rsidRDefault="00CD45DB" w:rsidP="00254EC9">
            <w:pPr>
              <w:pStyle w:val="Tabletext"/>
              <w:jc w:val="center"/>
            </w:pPr>
            <w:r w:rsidRPr="00F110C2">
              <w:t>50</w:t>
            </w:r>
          </w:p>
        </w:tc>
        <w:tc>
          <w:tcPr>
            <w:tcW w:w="4980" w:type="dxa"/>
            <w:tcBorders>
              <w:top w:val="single" w:sz="4" w:space="0" w:color="auto"/>
              <w:left w:val="single" w:sz="4" w:space="0" w:color="auto"/>
              <w:bottom w:val="nil"/>
              <w:right w:val="single" w:sz="4" w:space="0" w:color="auto"/>
            </w:tcBorders>
            <w:shd w:val="clear" w:color="auto" w:fill="FFFFFF"/>
          </w:tcPr>
          <w:p w14:paraId="785C350B" w14:textId="77777777" w:rsidR="00CD45DB" w:rsidRPr="00F110C2" w:rsidRDefault="00CD45DB" w:rsidP="00254EC9">
            <w:pPr>
              <w:pStyle w:val="Tabletext"/>
              <w:jc w:val="center"/>
            </w:pPr>
            <w:r w:rsidRPr="00F110C2">
              <w:t>−65</w:t>
            </w:r>
          </w:p>
        </w:tc>
      </w:tr>
      <w:tr w:rsidR="00CD45DB" w:rsidRPr="00F110C2" w14:paraId="62EDB3E4" w14:textId="77777777" w:rsidTr="003F32BF">
        <w:trPr>
          <w:jc w:val="center"/>
        </w:trPr>
        <w:tc>
          <w:tcPr>
            <w:tcW w:w="4659" w:type="dxa"/>
            <w:tcBorders>
              <w:top w:val="single" w:sz="4" w:space="0" w:color="auto"/>
              <w:left w:val="single" w:sz="4" w:space="0" w:color="auto"/>
              <w:bottom w:val="nil"/>
              <w:right w:val="nil"/>
            </w:tcBorders>
            <w:shd w:val="clear" w:color="auto" w:fill="FFFFFF"/>
          </w:tcPr>
          <w:p w14:paraId="37B4622E" w14:textId="77777777" w:rsidR="00CD45DB" w:rsidRPr="00F110C2" w:rsidRDefault="00CD45DB" w:rsidP="00254EC9">
            <w:pPr>
              <w:pStyle w:val="Tabletext"/>
              <w:jc w:val="center"/>
            </w:pPr>
            <w:r w:rsidRPr="00F110C2">
              <w:t>140</w:t>
            </w:r>
          </w:p>
        </w:tc>
        <w:tc>
          <w:tcPr>
            <w:tcW w:w="4980" w:type="dxa"/>
            <w:tcBorders>
              <w:top w:val="single" w:sz="4" w:space="0" w:color="auto"/>
              <w:left w:val="single" w:sz="4" w:space="0" w:color="auto"/>
              <w:bottom w:val="nil"/>
              <w:right w:val="single" w:sz="4" w:space="0" w:color="auto"/>
            </w:tcBorders>
            <w:shd w:val="clear" w:color="auto" w:fill="FFFFFF"/>
          </w:tcPr>
          <w:p w14:paraId="1E2740CD" w14:textId="77777777" w:rsidR="00CD45DB" w:rsidRPr="00F110C2" w:rsidRDefault="00CD45DB" w:rsidP="00254EC9">
            <w:pPr>
              <w:pStyle w:val="Tabletext"/>
              <w:jc w:val="center"/>
            </w:pPr>
            <w:r w:rsidRPr="00F110C2">
              <w:t>−50</w:t>
            </w:r>
          </w:p>
        </w:tc>
      </w:tr>
      <w:tr w:rsidR="00CD45DB" w:rsidRPr="00F110C2" w14:paraId="6E09A4D6" w14:textId="77777777" w:rsidTr="003F32BF">
        <w:trPr>
          <w:jc w:val="center"/>
        </w:trPr>
        <w:tc>
          <w:tcPr>
            <w:tcW w:w="4659" w:type="dxa"/>
            <w:tcBorders>
              <w:top w:val="single" w:sz="4" w:space="0" w:color="auto"/>
              <w:left w:val="single" w:sz="4" w:space="0" w:color="auto"/>
              <w:bottom w:val="single" w:sz="4" w:space="0" w:color="auto"/>
              <w:right w:val="nil"/>
            </w:tcBorders>
            <w:shd w:val="clear" w:color="auto" w:fill="FFFFFF"/>
          </w:tcPr>
          <w:p w14:paraId="541B0D3D" w14:textId="77777777" w:rsidR="00CD45DB" w:rsidRPr="00F110C2" w:rsidRDefault="00CD45DB" w:rsidP="00254EC9">
            <w:pPr>
              <w:pStyle w:val="Tabletext"/>
              <w:jc w:val="center"/>
            </w:pPr>
            <w:r w:rsidRPr="00F110C2">
              <w:t>150</w:t>
            </w:r>
          </w:p>
        </w:tc>
        <w:tc>
          <w:tcPr>
            <w:tcW w:w="4980" w:type="dxa"/>
            <w:tcBorders>
              <w:top w:val="single" w:sz="4" w:space="0" w:color="auto"/>
              <w:left w:val="single" w:sz="4" w:space="0" w:color="auto"/>
              <w:bottom w:val="single" w:sz="4" w:space="0" w:color="auto"/>
              <w:right w:val="single" w:sz="4" w:space="0" w:color="auto"/>
            </w:tcBorders>
            <w:shd w:val="clear" w:color="auto" w:fill="FFFFFF"/>
          </w:tcPr>
          <w:p w14:paraId="2CD7CE14" w14:textId="77777777" w:rsidR="00CD45DB" w:rsidRPr="00F110C2" w:rsidRDefault="00CD45DB" w:rsidP="00254EC9">
            <w:pPr>
              <w:pStyle w:val="Tabletext"/>
              <w:jc w:val="center"/>
            </w:pPr>
            <w:r w:rsidRPr="00F110C2">
              <w:t>−20</w:t>
            </w:r>
          </w:p>
        </w:tc>
      </w:tr>
      <w:tr w:rsidR="00CD45DB" w:rsidRPr="00F110C2" w14:paraId="6097B338" w14:textId="77777777" w:rsidTr="003F32BF">
        <w:trPr>
          <w:jc w:val="center"/>
        </w:trPr>
        <w:tc>
          <w:tcPr>
            <w:tcW w:w="4659" w:type="dxa"/>
            <w:tcBorders>
              <w:top w:val="single" w:sz="4" w:space="0" w:color="auto"/>
              <w:left w:val="single" w:sz="4" w:space="0" w:color="auto"/>
              <w:bottom w:val="single" w:sz="4" w:space="0" w:color="auto"/>
              <w:right w:val="nil"/>
            </w:tcBorders>
            <w:shd w:val="clear" w:color="auto" w:fill="FFFFFF"/>
          </w:tcPr>
          <w:p w14:paraId="0305A234" w14:textId="77777777" w:rsidR="00CD45DB" w:rsidRPr="00F110C2" w:rsidRDefault="00CD45DB" w:rsidP="00254EC9">
            <w:pPr>
              <w:pStyle w:val="Tabletext"/>
              <w:jc w:val="center"/>
            </w:pPr>
            <w:r w:rsidRPr="00F110C2">
              <w:t>200</w:t>
            </w:r>
          </w:p>
        </w:tc>
        <w:tc>
          <w:tcPr>
            <w:tcW w:w="4980" w:type="dxa"/>
            <w:tcBorders>
              <w:top w:val="single" w:sz="4" w:space="0" w:color="auto"/>
              <w:left w:val="single" w:sz="4" w:space="0" w:color="auto"/>
              <w:bottom w:val="single" w:sz="4" w:space="0" w:color="auto"/>
              <w:right w:val="single" w:sz="4" w:space="0" w:color="auto"/>
            </w:tcBorders>
            <w:shd w:val="clear" w:color="auto" w:fill="FFFFFF"/>
          </w:tcPr>
          <w:p w14:paraId="0A2C4D21" w14:textId="77777777" w:rsidR="00CD45DB" w:rsidRPr="00F110C2" w:rsidRDefault="00CD45DB" w:rsidP="00254EC9">
            <w:pPr>
              <w:pStyle w:val="Tabletext"/>
              <w:jc w:val="center"/>
            </w:pPr>
            <w:r w:rsidRPr="00F110C2">
              <w:t>−20</w:t>
            </w:r>
          </w:p>
        </w:tc>
      </w:tr>
      <w:tr w:rsidR="003F32BF" w:rsidRPr="00F110C2" w14:paraId="498A9E18" w14:textId="77777777" w:rsidTr="003F32BF">
        <w:trPr>
          <w:jc w:val="center"/>
        </w:trPr>
        <w:tc>
          <w:tcPr>
            <w:tcW w:w="9639" w:type="dxa"/>
            <w:gridSpan w:val="2"/>
            <w:tcBorders>
              <w:bottom w:val="nil"/>
            </w:tcBorders>
            <w:shd w:val="clear" w:color="auto" w:fill="FFFFFF"/>
            <w:vAlign w:val="center"/>
          </w:tcPr>
          <w:p w14:paraId="1DBF28BD" w14:textId="60F80E7F" w:rsidR="003F32BF" w:rsidRPr="00F110C2" w:rsidRDefault="003F32BF" w:rsidP="00254EC9">
            <w:pPr>
              <w:pStyle w:val="TableNo"/>
            </w:pPr>
            <w:r w:rsidRPr="00F110C2">
              <w:lastRenderedPageBreak/>
              <w:t>TABLEAU 28</w:t>
            </w:r>
            <w:r w:rsidRPr="00F110C2">
              <w:t xml:space="preserve"> (</w:t>
            </w:r>
            <w:r w:rsidRPr="00F110C2">
              <w:rPr>
                <w:i/>
                <w:iCs/>
              </w:rPr>
              <w:t>fin</w:t>
            </w:r>
            <w:r w:rsidRPr="00F110C2">
              <w:t>)</w:t>
            </w:r>
          </w:p>
        </w:tc>
      </w:tr>
      <w:tr w:rsidR="003F32BF" w:rsidRPr="00F110C2" w14:paraId="71377ECD" w14:textId="77777777" w:rsidTr="003F32BF">
        <w:trPr>
          <w:jc w:val="center"/>
        </w:trPr>
        <w:tc>
          <w:tcPr>
            <w:tcW w:w="4659" w:type="dxa"/>
            <w:tcBorders>
              <w:top w:val="single" w:sz="4" w:space="0" w:color="auto"/>
              <w:left w:val="single" w:sz="4" w:space="0" w:color="auto"/>
              <w:bottom w:val="nil"/>
              <w:right w:val="nil"/>
            </w:tcBorders>
            <w:shd w:val="clear" w:color="auto" w:fill="FFFFFF"/>
            <w:vAlign w:val="center"/>
          </w:tcPr>
          <w:p w14:paraId="29CD6B3A" w14:textId="77777777" w:rsidR="003F32BF" w:rsidRPr="00F110C2" w:rsidRDefault="003F32BF" w:rsidP="00254EC9">
            <w:pPr>
              <w:pStyle w:val="Tablehead"/>
            </w:pPr>
            <w:r w:rsidRPr="00F110C2">
              <w:t>Écart de fréquence par rapport</w:t>
            </w:r>
            <w:r w:rsidRPr="00F110C2">
              <w:br/>
              <w:t>à</w:t>
            </w:r>
            <w:r w:rsidRPr="00F110C2">
              <w:rPr>
                <w:b w:val="0"/>
                <w:color w:val="000000"/>
                <w:sz w:val="24"/>
              </w:rPr>
              <w:t xml:space="preserve"> </w:t>
            </w:r>
            <w:r w:rsidRPr="00F110C2">
              <w:t>la fréquence centrale (kHz)</w:t>
            </w:r>
          </w:p>
        </w:tc>
        <w:tc>
          <w:tcPr>
            <w:tcW w:w="4980" w:type="dxa"/>
            <w:tcBorders>
              <w:top w:val="single" w:sz="4" w:space="0" w:color="auto"/>
              <w:left w:val="single" w:sz="4" w:space="0" w:color="auto"/>
              <w:bottom w:val="nil"/>
              <w:right w:val="single" w:sz="4" w:space="0" w:color="auto"/>
            </w:tcBorders>
            <w:shd w:val="clear" w:color="auto" w:fill="FFFFFF"/>
            <w:vAlign w:val="center"/>
          </w:tcPr>
          <w:p w14:paraId="489758D3" w14:textId="77777777" w:rsidR="003F32BF" w:rsidRPr="00F110C2" w:rsidRDefault="003F32BF" w:rsidP="00254EC9">
            <w:pPr>
              <w:pStyle w:val="Tablehead"/>
            </w:pPr>
            <w:r w:rsidRPr="00F110C2">
              <w:t>Niveau relatif (dB)</w:t>
            </w:r>
          </w:p>
        </w:tc>
      </w:tr>
      <w:tr w:rsidR="00CD45DB" w:rsidRPr="00F110C2" w14:paraId="1F3F2F57" w14:textId="77777777" w:rsidTr="003F32BF">
        <w:trPr>
          <w:jc w:val="center"/>
        </w:trPr>
        <w:tc>
          <w:tcPr>
            <w:tcW w:w="4659" w:type="dxa"/>
            <w:tcBorders>
              <w:top w:val="single" w:sz="4" w:space="0" w:color="auto"/>
              <w:left w:val="single" w:sz="4" w:space="0" w:color="auto"/>
              <w:bottom w:val="nil"/>
              <w:right w:val="nil"/>
            </w:tcBorders>
            <w:shd w:val="clear" w:color="auto" w:fill="FFFFFF"/>
          </w:tcPr>
          <w:p w14:paraId="36C36013" w14:textId="49A1A5F2" w:rsidR="00CD45DB" w:rsidRPr="00F110C2" w:rsidRDefault="00CD45DB" w:rsidP="00254EC9">
            <w:pPr>
              <w:pStyle w:val="Tabletext"/>
              <w:jc w:val="center"/>
            </w:pPr>
            <w:r w:rsidRPr="00F110C2">
              <w:t>210</w:t>
            </w:r>
          </w:p>
        </w:tc>
        <w:tc>
          <w:tcPr>
            <w:tcW w:w="4980" w:type="dxa"/>
            <w:tcBorders>
              <w:top w:val="single" w:sz="4" w:space="0" w:color="auto"/>
              <w:left w:val="single" w:sz="4" w:space="0" w:color="auto"/>
              <w:bottom w:val="nil"/>
              <w:right w:val="single" w:sz="4" w:space="0" w:color="auto"/>
            </w:tcBorders>
            <w:shd w:val="clear" w:color="auto" w:fill="FFFFFF"/>
          </w:tcPr>
          <w:p w14:paraId="0049834F" w14:textId="77777777" w:rsidR="00CD45DB" w:rsidRPr="00F110C2" w:rsidRDefault="00CD45DB" w:rsidP="00254EC9">
            <w:pPr>
              <w:pStyle w:val="Tabletext"/>
              <w:jc w:val="center"/>
            </w:pPr>
            <w:r w:rsidRPr="00F110C2">
              <w:t>−50</w:t>
            </w:r>
          </w:p>
        </w:tc>
      </w:tr>
      <w:tr w:rsidR="00CD45DB" w:rsidRPr="00F110C2" w14:paraId="29EA26F9" w14:textId="77777777" w:rsidTr="003F32BF">
        <w:trPr>
          <w:jc w:val="center"/>
        </w:trPr>
        <w:tc>
          <w:tcPr>
            <w:tcW w:w="4659" w:type="dxa"/>
            <w:tcBorders>
              <w:top w:val="single" w:sz="4" w:space="0" w:color="auto"/>
              <w:left w:val="single" w:sz="4" w:space="0" w:color="auto"/>
              <w:bottom w:val="nil"/>
              <w:right w:val="nil"/>
            </w:tcBorders>
            <w:shd w:val="clear" w:color="auto" w:fill="FFFFFF"/>
          </w:tcPr>
          <w:p w14:paraId="5607D494" w14:textId="77777777" w:rsidR="00CD45DB" w:rsidRPr="00F110C2" w:rsidRDefault="00CD45DB" w:rsidP="00254EC9">
            <w:pPr>
              <w:pStyle w:val="Tabletext"/>
              <w:jc w:val="center"/>
            </w:pPr>
            <w:r w:rsidRPr="00F110C2">
              <w:t>300</w:t>
            </w:r>
          </w:p>
        </w:tc>
        <w:tc>
          <w:tcPr>
            <w:tcW w:w="4980" w:type="dxa"/>
            <w:tcBorders>
              <w:top w:val="single" w:sz="4" w:space="0" w:color="auto"/>
              <w:left w:val="single" w:sz="4" w:space="0" w:color="auto"/>
              <w:bottom w:val="nil"/>
              <w:right w:val="single" w:sz="4" w:space="0" w:color="auto"/>
            </w:tcBorders>
            <w:shd w:val="clear" w:color="auto" w:fill="FFFFFF"/>
          </w:tcPr>
          <w:p w14:paraId="05730DEE" w14:textId="77777777" w:rsidR="00CD45DB" w:rsidRPr="00F110C2" w:rsidRDefault="00CD45DB" w:rsidP="00254EC9">
            <w:pPr>
              <w:pStyle w:val="Tabletext"/>
              <w:jc w:val="center"/>
            </w:pPr>
            <w:r w:rsidRPr="00F110C2">
              <w:t>−65</w:t>
            </w:r>
          </w:p>
        </w:tc>
      </w:tr>
      <w:tr w:rsidR="00CD45DB" w:rsidRPr="00F110C2" w14:paraId="734639AD" w14:textId="77777777" w:rsidTr="003F32BF">
        <w:trPr>
          <w:jc w:val="center"/>
        </w:trPr>
        <w:tc>
          <w:tcPr>
            <w:tcW w:w="4659" w:type="dxa"/>
            <w:tcBorders>
              <w:top w:val="single" w:sz="4" w:space="0" w:color="auto"/>
              <w:left w:val="single" w:sz="4" w:space="0" w:color="auto"/>
              <w:bottom w:val="single" w:sz="4" w:space="0" w:color="auto"/>
              <w:right w:val="nil"/>
            </w:tcBorders>
            <w:shd w:val="clear" w:color="auto" w:fill="FFFFFF"/>
          </w:tcPr>
          <w:p w14:paraId="16E5EB30" w14:textId="77777777" w:rsidR="00CD45DB" w:rsidRPr="00F110C2" w:rsidRDefault="00CD45DB" w:rsidP="00254EC9">
            <w:pPr>
              <w:pStyle w:val="Tabletext"/>
              <w:jc w:val="center"/>
            </w:pPr>
            <w:r w:rsidRPr="00F110C2">
              <w:t>350</w:t>
            </w:r>
          </w:p>
        </w:tc>
        <w:tc>
          <w:tcPr>
            <w:tcW w:w="4980" w:type="dxa"/>
            <w:tcBorders>
              <w:top w:val="single" w:sz="4" w:space="0" w:color="auto"/>
              <w:left w:val="single" w:sz="4" w:space="0" w:color="auto"/>
              <w:bottom w:val="single" w:sz="4" w:space="0" w:color="auto"/>
              <w:right w:val="single" w:sz="4" w:space="0" w:color="auto"/>
            </w:tcBorders>
            <w:shd w:val="clear" w:color="auto" w:fill="FFFFFF"/>
          </w:tcPr>
          <w:p w14:paraId="0D7C43EB" w14:textId="77777777" w:rsidR="00CD45DB" w:rsidRPr="00F110C2" w:rsidRDefault="00CD45DB" w:rsidP="00254EC9">
            <w:pPr>
              <w:pStyle w:val="Tabletext"/>
              <w:jc w:val="center"/>
            </w:pPr>
            <w:r w:rsidRPr="00F110C2">
              <w:t>−80</w:t>
            </w:r>
          </w:p>
        </w:tc>
      </w:tr>
    </w:tbl>
    <w:p w14:paraId="1709EE24" w14:textId="77777777" w:rsidR="00ED0290" w:rsidRPr="00F110C2" w:rsidRDefault="00ED0290" w:rsidP="00254EC9">
      <w:pPr>
        <w:pStyle w:val="Tablefin"/>
      </w:pPr>
    </w:p>
    <w:p w14:paraId="681FA199" w14:textId="100BF95D" w:rsidR="00CD45DB" w:rsidRPr="00F110C2" w:rsidRDefault="00CD45DB" w:rsidP="00254EC9">
      <w:pPr>
        <w:pStyle w:val="TableNo"/>
      </w:pPr>
      <w:r w:rsidRPr="00F110C2">
        <w:t>TABLEAU 29</w:t>
      </w:r>
    </w:p>
    <w:p w14:paraId="20875F3F" w14:textId="77777777" w:rsidR="00CD45DB" w:rsidRPr="00F110C2" w:rsidRDefault="00CD45DB" w:rsidP="00254EC9">
      <w:pPr>
        <w:pStyle w:val="Tabletitle"/>
      </w:pPr>
      <w:r w:rsidRPr="00F110C2">
        <w:t>Valeurs seuils du gabarit spectral lorsque la puissance dans la bande est définie</w:t>
      </w:r>
      <w:r w:rsidRPr="00F110C2">
        <w:br/>
        <w:t>comme étant égale à 0 dB (mode d'occupation spectrale D)</w:t>
      </w:r>
    </w:p>
    <w:tbl>
      <w:tblPr>
        <w:tblW w:w="9644" w:type="dxa"/>
        <w:jc w:val="center"/>
        <w:tblLayout w:type="fixed"/>
        <w:tblCellMar>
          <w:left w:w="0" w:type="dxa"/>
          <w:right w:w="0" w:type="dxa"/>
        </w:tblCellMar>
        <w:tblLook w:val="04A0" w:firstRow="1" w:lastRow="0" w:firstColumn="1" w:lastColumn="0" w:noHBand="0" w:noVBand="1"/>
      </w:tblPr>
      <w:tblGrid>
        <w:gridCol w:w="4658"/>
        <w:gridCol w:w="4986"/>
      </w:tblGrid>
      <w:tr w:rsidR="00CD45DB" w:rsidRPr="00F110C2" w14:paraId="38021A4D" w14:textId="77777777" w:rsidTr="00ED0290">
        <w:trPr>
          <w:jc w:val="center"/>
        </w:trPr>
        <w:tc>
          <w:tcPr>
            <w:tcW w:w="4658" w:type="dxa"/>
            <w:tcBorders>
              <w:top w:val="single" w:sz="4" w:space="0" w:color="auto"/>
              <w:left w:val="single" w:sz="4" w:space="0" w:color="auto"/>
              <w:bottom w:val="nil"/>
              <w:right w:val="nil"/>
            </w:tcBorders>
            <w:shd w:val="clear" w:color="auto" w:fill="FFFFFF"/>
            <w:vAlign w:val="center"/>
          </w:tcPr>
          <w:p w14:paraId="045DC69D" w14:textId="77777777" w:rsidR="00CD45DB" w:rsidRPr="00F110C2" w:rsidRDefault="00CD45DB" w:rsidP="00254EC9">
            <w:pPr>
              <w:pStyle w:val="Tablehead"/>
            </w:pPr>
            <w:r w:rsidRPr="00F110C2">
              <w:t>Écart de fréquence par rapport</w:t>
            </w:r>
            <w:r w:rsidRPr="00F110C2">
              <w:br/>
              <w:t>à</w:t>
            </w:r>
            <w:r w:rsidRPr="00F110C2">
              <w:rPr>
                <w:b w:val="0"/>
                <w:color w:val="000000"/>
                <w:sz w:val="24"/>
              </w:rPr>
              <w:t xml:space="preserve"> </w:t>
            </w:r>
            <w:r w:rsidRPr="00F110C2">
              <w:t>la fréquence centrale (kHz)</w:t>
            </w:r>
          </w:p>
        </w:tc>
        <w:tc>
          <w:tcPr>
            <w:tcW w:w="4986" w:type="dxa"/>
            <w:tcBorders>
              <w:top w:val="single" w:sz="4" w:space="0" w:color="auto"/>
              <w:left w:val="single" w:sz="4" w:space="0" w:color="auto"/>
              <w:bottom w:val="nil"/>
              <w:right w:val="single" w:sz="4" w:space="0" w:color="auto"/>
            </w:tcBorders>
            <w:shd w:val="clear" w:color="auto" w:fill="FFFFFF"/>
            <w:vAlign w:val="center"/>
          </w:tcPr>
          <w:p w14:paraId="1C991688" w14:textId="77777777" w:rsidR="00CD45DB" w:rsidRPr="00F110C2" w:rsidRDefault="00CD45DB" w:rsidP="00254EC9">
            <w:pPr>
              <w:pStyle w:val="Tablehead"/>
            </w:pPr>
            <w:r w:rsidRPr="00F110C2">
              <w:t>Niveau relatif (dB)</w:t>
            </w:r>
          </w:p>
        </w:tc>
      </w:tr>
      <w:tr w:rsidR="00CD45DB" w:rsidRPr="00F110C2" w14:paraId="7BC12E16" w14:textId="77777777" w:rsidTr="00ED0290">
        <w:trPr>
          <w:jc w:val="center"/>
        </w:trPr>
        <w:tc>
          <w:tcPr>
            <w:tcW w:w="4658" w:type="dxa"/>
            <w:tcBorders>
              <w:top w:val="single" w:sz="4" w:space="0" w:color="auto"/>
              <w:left w:val="single" w:sz="4" w:space="0" w:color="auto"/>
              <w:bottom w:val="nil"/>
              <w:right w:val="nil"/>
            </w:tcBorders>
            <w:shd w:val="clear" w:color="auto" w:fill="FFFFFF"/>
          </w:tcPr>
          <w:p w14:paraId="43B7CCF8" w14:textId="77777777" w:rsidR="00CD45DB" w:rsidRPr="00F110C2" w:rsidRDefault="00CD45DB" w:rsidP="00254EC9">
            <w:pPr>
              <w:pStyle w:val="Tabletext"/>
              <w:jc w:val="center"/>
            </w:pPr>
            <w:r w:rsidRPr="00F110C2">
              <w:t>0</w:t>
            </w:r>
          </w:p>
        </w:tc>
        <w:tc>
          <w:tcPr>
            <w:tcW w:w="4986" w:type="dxa"/>
            <w:tcBorders>
              <w:top w:val="single" w:sz="4" w:space="0" w:color="auto"/>
              <w:left w:val="single" w:sz="4" w:space="0" w:color="auto"/>
              <w:bottom w:val="nil"/>
              <w:right w:val="single" w:sz="4" w:space="0" w:color="auto"/>
            </w:tcBorders>
            <w:shd w:val="clear" w:color="auto" w:fill="FFFFFF"/>
          </w:tcPr>
          <w:p w14:paraId="7D3F2D7E" w14:textId="77777777" w:rsidR="00CD45DB" w:rsidRPr="00F110C2" w:rsidRDefault="00CD45DB" w:rsidP="00254EC9">
            <w:pPr>
              <w:pStyle w:val="Tabletext"/>
              <w:jc w:val="center"/>
            </w:pPr>
            <w:r w:rsidRPr="00F110C2">
              <w:t>−68</w:t>
            </w:r>
          </w:p>
        </w:tc>
      </w:tr>
      <w:tr w:rsidR="00CD45DB" w:rsidRPr="00F110C2" w14:paraId="4218195E" w14:textId="77777777" w:rsidTr="00ED0290">
        <w:trPr>
          <w:jc w:val="center"/>
        </w:trPr>
        <w:tc>
          <w:tcPr>
            <w:tcW w:w="4658" w:type="dxa"/>
            <w:tcBorders>
              <w:top w:val="single" w:sz="4" w:space="0" w:color="auto"/>
              <w:left w:val="single" w:sz="4" w:space="0" w:color="auto"/>
              <w:bottom w:val="single" w:sz="4" w:space="0" w:color="auto"/>
              <w:right w:val="nil"/>
            </w:tcBorders>
            <w:shd w:val="clear" w:color="auto" w:fill="FFFFFF"/>
          </w:tcPr>
          <w:p w14:paraId="3D11F0D0" w14:textId="77777777" w:rsidR="00CD45DB" w:rsidRPr="00F110C2" w:rsidRDefault="00CD45DB" w:rsidP="00254EC9">
            <w:pPr>
              <w:pStyle w:val="Tabletext"/>
              <w:jc w:val="center"/>
            </w:pPr>
            <w:r w:rsidRPr="00F110C2">
              <w:t>50</w:t>
            </w:r>
          </w:p>
        </w:tc>
        <w:tc>
          <w:tcPr>
            <w:tcW w:w="4986" w:type="dxa"/>
            <w:tcBorders>
              <w:top w:val="single" w:sz="4" w:space="0" w:color="auto"/>
              <w:left w:val="single" w:sz="4" w:space="0" w:color="auto"/>
              <w:bottom w:val="single" w:sz="4" w:space="0" w:color="auto"/>
              <w:right w:val="single" w:sz="4" w:space="0" w:color="auto"/>
            </w:tcBorders>
            <w:shd w:val="clear" w:color="auto" w:fill="FFFFFF"/>
          </w:tcPr>
          <w:p w14:paraId="745027E9" w14:textId="77777777" w:rsidR="00CD45DB" w:rsidRPr="00F110C2" w:rsidRDefault="00CD45DB" w:rsidP="00254EC9">
            <w:pPr>
              <w:pStyle w:val="Tabletext"/>
              <w:jc w:val="center"/>
            </w:pPr>
            <w:r w:rsidRPr="00F110C2">
              <w:t>−68</w:t>
            </w:r>
          </w:p>
        </w:tc>
      </w:tr>
      <w:tr w:rsidR="00CD45DB" w:rsidRPr="00F110C2" w14:paraId="1721BE27" w14:textId="77777777" w:rsidTr="00ED0290">
        <w:trPr>
          <w:jc w:val="center"/>
        </w:trPr>
        <w:tc>
          <w:tcPr>
            <w:tcW w:w="4658" w:type="dxa"/>
            <w:tcBorders>
              <w:top w:val="single" w:sz="4" w:space="0" w:color="auto"/>
              <w:left w:val="single" w:sz="4" w:space="0" w:color="auto"/>
              <w:bottom w:val="nil"/>
              <w:right w:val="nil"/>
            </w:tcBorders>
            <w:shd w:val="clear" w:color="auto" w:fill="FFFFFF"/>
          </w:tcPr>
          <w:p w14:paraId="31921194" w14:textId="77777777" w:rsidR="00CD45DB" w:rsidRPr="00F110C2" w:rsidRDefault="00CD45DB" w:rsidP="00254EC9">
            <w:pPr>
              <w:pStyle w:val="Tabletext"/>
              <w:jc w:val="center"/>
            </w:pPr>
            <w:r w:rsidRPr="00F110C2">
              <w:t>140</w:t>
            </w:r>
          </w:p>
        </w:tc>
        <w:tc>
          <w:tcPr>
            <w:tcW w:w="4986" w:type="dxa"/>
            <w:tcBorders>
              <w:top w:val="single" w:sz="4" w:space="0" w:color="auto"/>
              <w:left w:val="single" w:sz="4" w:space="0" w:color="auto"/>
              <w:bottom w:val="nil"/>
              <w:right w:val="single" w:sz="4" w:space="0" w:color="auto"/>
            </w:tcBorders>
            <w:shd w:val="clear" w:color="auto" w:fill="FFFFFF"/>
          </w:tcPr>
          <w:p w14:paraId="4BB919DB" w14:textId="77777777" w:rsidR="00CD45DB" w:rsidRPr="00F110C2" w:rsidRDefault="00CD45DB" w:rsidP="00254EC9">
            <w:pPr>
              <w:pStyle w:val="Tabletext"/>
              <w:jc w:val="center"/>
            </w:pPr>
            <w:r w:rsidRPr="00F110C2">
              <w:t>−53</w:t>
            </w:r>
          </w:p>
        </w:tc>
      </w:tr>
      <w:tr w:rsidR="00CD45DB" w:rsidRPr="00F110C2" w14:paraId="21464783" w14:textId="77777777" w:rsidTr="00ED0290">
        <w:trPr>
          <w:jc w:val="center"/>
        </w:trPr>
        <w:tc>
          <w:tcPr>
            <w:tcW w:w="4658" w:type="dxa"/>
            <w:tcBorders>
              <w:top w:val="single" w:sz="4" w:space="0" w:color="auto"/>
              <w:left w:val="single" w:sz="4" w:space="0" w:color="auto"/>
              <w:bottom w:val="single" w:sz="4" w:space="0" w:color="auto"/>
              <w:right w:val="nil"/>
            </w:tcBorders>
            <w:shd w:val="clear" w:color="auto" w:fill="FFFFFF"/>
          </w:tcPr>
          <w:p w14:paraId="04889E9C" w14:textId="77777777" w:rsidR="00CD45DB" w:rsidRPr="00F110C2" w:rsidRDefault="00CD45DB" w:rsidP="00254EC9">
            <w:pPr>
              <w:pStyle w:val="Tabletext"/>
              <w:jc w:val="center"/>
            </w:pPr>
            <w:r w:rsidRPr="00F110C2">
              <w:t>150</w:t>
            </w:r>
          </w:p>
        </w:tc>
        <w:tc>
          <w:tcPr>
            <w:tcW w:w="4986" w:type="dxa"/>
            <w:tcBorders>
              <w:top w:val="single" w:sz="4" w:space="0" w:color="auto"/>
              <w:left w:val="single" w:sz="4" w:space="0" w:color="auto"/>
              <w:bottom w:val="single" w:sz="4" w:space="0" w:color="auto"/>
              <w:right w:val="single" w:sz="4" w:space="0" w:color="auto"/>
            </w:tcBorders>
            <w:shd w:val="clear" w:color="auto" w:fill="FFFFFF"/>
          </w:tcPr>
          <w:p w14:paraId="0839823E" w14:textId="77777777" w:rsidR="00CD45DB" w:rsidRPr="00F110C2" w:rsidRDefault="00CD45DB" w:rsidP="00254EC9">
            <w:pPr>
              <w:pStyle w:val="Tabletext"/>
              <w:jc w:val="center"/>
            </w:pPr>
            <w:r w:rsidRPr="00F110C2">
              <w:t>−23</w:t>
            </w:r>
          </w:p>
        </w:tc>
      </w:tr>
      <w:tr w:rsidR="00CD45DB" w:rsidRPr="00F110C2" w14:paraId="2B012D93" w14:textId="77777777" w:rsidTr="00ED0290">
        <w:trPr>
          <w:jc w:val="center"/>
        </w:trPr>
        <w:tc>
          <w:tcPr>
            <w:tcW w:w="4658" w:type="dxa"/>
            <w:tcBorders>
              <w:top w:val="single" w:sz="4" w:space="0" w:color="auto"/>
              <w:left w:val="single" w:sz="4" w:space="0" w:color="auto"/>
              <w:bottom w:val="single" w:sz="4" w:space="0" w:color="auto"/>
              <w:right w:val="nil"/>
            </w:tcBorders>
            <w:shd w:val="clear" w:color="auto" w:fill="FFFFFF"/>
          </w:tcPr>
          <w:p w14:paraId="20322EE7" w14:textId="77777777" w:rsidR="00CD45DB" w:rsidRPr="00F110C2" w:rsidRDefault="00CD45DB" w:rsidP="00254EC9">
            <w:pPr>
              <w:pStyle w:val="Tabletext"/>
              <w:jc w:val="center"/>
            </w:pPr>
            <w:r w:rsidRPr="00F110C2">
              <w:t>250</w:t>
            </w:r>
          </w:p>
        </w:tc>
        <w:tc>
          <w:tcPr>
            <w:tcW w:w="4986" w:type="dxa"/>
            <w:tcBorders>
              <w:top w:val="single" w:sz="4" w:space="0" w:color="auto"/>
              <w:left w:val="single" w:sz="4" w:space="0" w:color="auto"/>
              <w:bottom w:val="single" w:sz="4" w:space="0" w:color="auto"/>
              <w:right w:val="single" w:sz="4" w:space="0" w:color="auto"/>
            </w:tcBorders>
            <w:shd w:val="clear" w:color="auto" w:fill="FFFFFF"/>
          </w:tcPr>
          <w:p w14:paraId="403E243E" w14:textId="77777777" w:rsidR="00CD45DB" w:rsidRPr="00F110C2" w:rsidRDefault="00CD45DB" w:rsidP="00254EC9">
            <w:pPr>
              <w:pStyle w:val="Tabletext"/>
              <w:jc w:val="center"/>
            </w:pPr>
            <w:r w:rsidRPr="00F110C2">
              <w:t>−23</w:t>
            </w:r>
          </w:p>
        </w:tc>
      </w:tr>
      <w:tr w:rsidR="00ED0290" w:rsidRPr="00F110C2" w14:paraId="16F5E039" w14:textId="77777777" w:rsidTr="00ED0290">
        <w:trPr>
          <w:jc w:val="center"/>
        </w:trPr>
        <w:tc>
          <w:tcPr>
            <w:tcW w:w="4658" w:type="dxa"/>
            <w:tcBorders>
              <w:top w:val="single" w:sz="4" w:space="0" w:color="auto"/>
              <w:left w:val="single" w:sz="4" w:space="0" w:color="auto"/>
              <w:bottom w:val="nil"/>
              <w:right w:val="nil"/>
            </w:tcBorders>
            <w:shd w:val="clear" w:color="auto" w:fill="FFFFFF"/>
          </w:tcPr>
          <w:p w14:paraId="673E2C14" w14:textId="419B475F" w:rsidR="00ED0290" w:rsidRPr="00F110C2" w:rsidRDefault="00ED0290" w:rsidP="00254EC9">
            <w:pPr>
              <w:pStyle w:val="Tabletext"/>
              <w:jc w:val="center"/>
            </w:pPr>
            <w:r w:rsidRPr="00F110C2">
              <w:t>260</w:t>
            </w:r>
          </w:p>
        </w:tc>
        <w:tc>
          <w:tcPr>
            <w:tcW w:w="4986" w:type="dxa"/>
            <w:tcBorders>
              <w:top w:val="single" w:sz="4" w:space="0" w:color="auto"/>
              <w:left w:val="single" w:sz="4" w:space="0" w:color="auto"/>
              <w:bottom w:val="nil"/>
              <w:right w:val="single" w:sz="4" w:space="0" w:color="auto"/>
            </w:tcBorders>
            <w:shd w:val="clear" w:color="auto" w:fill="FFFFFF"/>
          </w:tcPr>
          <w:p w14:paraId="572DE6A3" w14:textId="77777777" w:rsidR="00ED0290" w:rsidRPr="00F110C2" w:rsidRDefault="00ED0290" w:rsidP="00254EC9">
            <w:pPr>
              <w:pStyle w:val="Tabletext"/>
              <w:jc w:val="center"/>
            </w:pPr>
            <w:r w:rsidRPr="00F110C2">
              <w:t>−53</w:t>
            </w:r>
          </w:p>
        </w:tc>
      </w:tr>
      <w:tr w:rsidR="00ED0290" w:rsidRPr="00F110C2" w14:paraId="0562033D" w14:textId="77777777" w:rsidTr="00ED0290">
        <w:trPr>
          <w:jc w:val="center"/>
        </w:trPr>
        <w:tc>
          <w:tcPr>
            <w:tcW w:w="4658" w:type="dxa"/>
            <w:tcBorders>
              <w:top w:val="single" w:sz="4" w:space="0" w:color="auto"/>
              <w:left w:val="single" w:sz="4" w:space="0" w:color="auto"/>
              <w:bottom w:val="nil"/>
              <w:right w:val="nil"/>
            </w:tcBorders>
            <w:shd w:val="clear" w:color="auto" w:fill="FFFFFF"/>
          </w:tcPr>
          <w:p w14:paraId="71A7987C" w14:textId="77777777" w:rsidR="00ED0290" w:rsidRPr="00F110C2" w:rsidRDefault="00ED0290" w:rsidP="00254EC9">
            <w:pPr>
              <w:pStyle w:val="Tabletext"/>
              <w:jc w:val="center"/>
            </w:pPr>
            <w:r w:rsidRPr="00F110C2">
              <w:t>350</w:t>
            </w:r>
          </w:p>
        </w:tc>
        <w:tc>
          <w:tcPr>
            <w:tcW w:w="4986" w:type="dxa"/>
            <w:tcBorders>
              <w:top w:val="single" w:sz="4" w:space="0" w:color="auto"/>
              <w:left w:val="single" w:sz="4" w:space="0" w:color="auto"/>
              <w:bottom w:val="nil"/>
              <w:right w:val="single" w:sz="4" w:space="0" w:color="auto"/>
            </w:tcBorders>
            <w:shd w:val="clear" w:color="auto" w:fill="FFFFFF"/>
          </w:tcPr>
          <w:p w14:paraId="4591CC93" w14:textId="77777777" w:rsidR="00ED0290" w:rsidRPr="00F110C2" w:rsidRDefault="00ED0290" w:rsidP="00254EC9">
            <w:pPr>
              <w:pStyle w:val="Tabletext"/>
              <w:jc w:val="center"/>
            </w:pPr>
            <w:r w:rsidRPr="00F110C2">
              <w:t>−68</w:t>
            </w:r>
          </w:p>
        </w:tc>
      </w:tr>
      <w:tr w:rsidR="00ED0290" w:rsidRPr="00F110C2" w14:paraId="28E2AE09" w14:textId="77777777" w:rsidTr="00ED0290">
        <w:trPr>
          <w:jc w:val="center"/>
        </w:trPr>
        <w:tc>
          <w:tcPr>
            <w:tcW w:w="4658" w:type="dxa"/>
            <w:tcBorders>
              <w:top w:val="single" w:sz="4" w:space="0" w:color="auto"/>
              <w:left w:val="single" w:sz="4" w:space="0" w:color="auto"/>
              <w:bottom w:val="single" w:sz="4" w:space="0" w:color="auto"/>
              <w:right w:val="nil"/>
            </w:tcBorders>
            <w:shd w:val="clear" w:color="auto" w:fill="FFFFFF"/>
          </w:tcPr>
          <w:p w14:paraId="1C22FADA" w14:textId="77777777" w:rsidR="00ED0290" w:rsidRPr="00F110C2" w:rsidRDefault="00ED0290" w:rsidP="00254EC9">
            <w:pPr>
              <w:pStyle w:val="Tabletext"/>
              <w:jc w:val="center"/>
            </w:pPr>
            <w:r w:rsidRPr="00F110C2">
              <w:t>400</w:t>
            </w:r>
          </w:p>
        </w:tc>
        <w:tc>
          <w:tcPr>
            <w:tcW w:w="4986" w:type="dxa"/>
            <w:tcBorders>
              <w:top w:val="single" w:sz="4" w:space="0" w:color="auto"/>
              <w:left w:val="single" w:sz="4" w:space="0" w:color="auto"/>
              <w:bottom w:val="single" w:sz="4" w:space="0" w:color="auto"/>
              <w:right w:val="single" w:sz="4" w:space="0" w:color="auto"/>
            </w:tcBorders>
            <w:shd w:val="clear" w:color="auto" w:fill="FFFFFF"/>
          </w:tcPr>
          <w:p w14:paraId="04FE3FCF" w14:textId="77777777" w:rsidR="00ED0290" w:rsidRPr="00F110C2" w:rsidRDefault="00ED0290" w:rsidP="00254EC9">
            <w:pPr>
              <w:pStyle w:val="Tabletext"/>
              <w:jc w:val="center"/>
            </w:pPr>
            <w:r w:rsidRPr="00F110C2">
              <w:t>−83</w:t>
            </w:r>
          </w:p>
        </w:tc>
      </w:tr>
    </w:tbl>
    <w:p w14:paraId="42682696" w14:textId="77777777" w:rsidR="00ED0290" w:rsidRPr="00F110C2" w:rsidRDefault="00ED0290" w:rsidP="00254EC9">
      <w:pPr>
        <w:pStyle w:val="Tablefin"/>
      </w:pPr>
    </w:p>
    <w:p w14:paraId="1B3B4DD6" w14:textId="3ADCC96B" w:rsidR="00CD45DB" w:rsidRPr="00F110C2" w:rsidRDefault="00CD45DB" w:rsidP="00254EC9">
      <w:pPr>
        <w:pStyle w:val="TableNo"/>
      </w:pPr>
      <w:r w:rsidRPr="00F110C2">
        <w:t>TABLE</w:t>
      </w:r>
      <w:r w:rsidR="008C6F09" w:rsidRPr="00F110C2">
        <w:t>AU</w:t>
      </w:r>
      <w:r w:rsidRPr="00F110C2">
        <w:t xml:space="preserve"> 30</w:t>
      </w:r>
    </w:p>
    <w:p w14:paraId="4D25D7EB" w14:textId="77777777" w:rsidR="00CD45DB" w:rsidRPr="00F110C2" w:rsidRDefault="00CD45DB" w:rsidP="00254EC9">
      <w:pPr>
        <w:pStyle w:val="Tabletitle"/>
      </w:pPr>
      <w:r w:rsidRPr="00F110C2">
        <w:t>Valeurs seuils du gabarit spectral lorsque la puissance dans la bande est définie</w:t>
      </w:r>
      <w:r w:rsidRPr="00F110C2">
        <w:br/>
        <w:t>comme étant égale à 0 dB (mode d'occupation spectrale E)</w:t>
      </w:r>
    </w:p>
    <w:tbl>
      <w:tblPr>
        <w:tblW w:w="9639" w:type="dxa"/>
        <w:jc w:val="center"/>
        <w:tblLayout w:type="fixed"/>
        <w:tblCellMar>
          <w:left w:w="0" w:type="dxa"/>
          <w:right w:w="0" w:type="dxa"/>
        </w:tblCellMar>
        <w:tblLook w:val="04A0" w:firstRow="1" w:lastRow="0" w:firstColumn="1" w:lastColumn="0" w:noHBand="0" w:noVBand="1"/>
      </w:tblPr>
      <w:tblGrid>
        <w:gridCol w:w="4656"/>
        <w:gridCol w:w="4983"/>
      </w:tblGrid>
      <w:tr w:rsidR="00CD45DB" w:rsidRPr="00F110C2" w14:paraId="27ED283F" w14:textId="77777777" w:rsidTr="00311649">
        <w:trPr>
          <w:jc w:val="center"/>
        </w:trPr>
        <w:tc>
          <w:tcPr>
            <w:tcW w:w="4656" w:type="dxa"/>
            <w:tcBorders>
              <w:top w:val="single" w:sz="4" w:space="0" w:color="auto"/>
              <w:left w:val="single" w:sz="4" w:space="0" w:color="auto"/>
              <w:bottom w:val="nil"/>
              <w:right w:val="nil"/>
            </w:tcBorders>
            <w:shd w:val="clear" w:color="auto" w:fill="FFFFFF"/>
            <w:vAlign w:val="center"/>
          </w:tcPr>
          <w:p w14:paraId="3FD92FA8" w14:textId="77777777" w:rsidR="00CD45DB" w:rsidRPr="00F110C2" w:rsidRDefault="00CD45DB" w:rsidP="00254EC9">
            <w:pPr>
              <w:pStyle w:val="Tablehead"/>
              <w:spacing w:before="60" w:after="60"/>
            </w:pPr>
            <w:r w:rsidRPr="00F110C2">
              <w:t>Écart de fréquence par rapport</w:t>
            </w:r>
            <w:r w:rsidRPr="00F110C2">
              <w:br/>
              <w:t>à</w:t>
            </w:r>
            <w:r w:rsidRPr="00F110C2">
              <w:rPr>
                <w:b w:val="0"/>
                <w:color w:val="000000"/>
                <w:sz w:val="24"/>
              </w:rPr>
              <w:t xml:space="preserve"> </w:t>
            </w:r>
            <w:r w:rsidRPr="00F110C2">
              <w:t>la fréquence centrale (kHz)</w:t>
            </w:r>
          </w:p>
        </w:tc>
        <w:tc>
          <w:tcPr>
            <w:tcW w:w="4983" w:type="dxa"/>
            <w:tcBorders>
              <w:top w:val="single" w:sz="4" w:space="0" w:color="auto"/>
              <w:left w:val="single" w:sz="4" w:space="0" w:color="auto"/>
              <w:bottom w:val="nil"/>
              <w:right w:val="single" w:sz="4" w:space="0" w:color="auto"/>
            </w:tcBorders>
            <w:shd w:val="clear" w:color="auto" w:fill="FFFFFF"/>
            <w:vAlign w:val="center"/>
          </w:tcPr>
          <w:p w14:paraId="0A061F58" w14:textId="77777777" w:rsidR="00CD45DB" w:rsidRPr="00F110C2" w:rsidRDefault="00CD45DB" w:rsidP="00254EC9">
            <w:pPr>
              <w:pStyle w:val="Tablehead"/>
              <w:spacing w:before="60" w:after="60"/>
            </w:pPr>
            <w:r w:rsidRPr="00F110C2">
              <w:t>Niveau relatif (dB)</w:t>
            </w:r>
          </w:p>
        </w:tc>
      </w:tr>
      <w:tr w:rsidR="00CD45DB" w:rsidRPr="00F110C2" w14:paraId="3AF590B2" w14:textId="77777777" w:rsidTr="00311649">
        <w:trPr>
          <w:jc w:val="center"/>
        </w:trPr>
        <w:tc>
          <w:tcPr>
            <w:tcW w:w="4656" w:type="dxa"/>
            <w:tcBorders>
              <w:top w:val="single" w:sz="4" w:space="0" w:color="auto"/>
              <w:left w:val="single" w:sz="4" w:space="0" w:color="auto"/>
              <w:bottom w:val="nil"/>
              <w:right w:val="nil"/>
            </w:tcBorders>
            <w:shd w:val="clear" w:color="auto" w:fill="FFFFFF"/>
          </w:tcPr>
          <w:p w14:paraId="502DB1FB" w14:textId="77777777" w:rsidR="00CD45DB" w:rsidRPr="00F110C2" w:rsidRDefault="00CD45DB" w:rsidP="00254EC9">
            <w:pPr>
              <w:pStyle w:val="Tabletext"/>
              <w:jc w:val="center"/>
            </w:pPr>
            <w:r w:rsidRPr="00F110C2">
              <w:t>0</w:t>
            </w:r>
          </w:p>
        </w:tc>
        <w:tc>
          <w:tcPr>
            <w:tcW w:w="4983" w:type="dxa"/>
            <w:tcBorders>
              <w:top w:val="single" w:sz="4" w:space="0" w:color="auto"/>
              <w:left w:val="single" w:sz="4" w:space="0" w:color="auto"/>
              <w:bottom w:val="nil"/>
              <w:right w:val="single" w:sz="4" w:space="0" w:color="auto"/>
            </w:tcBorders>
            <w:shd w:val="clear" w:color="auto" w:fill="FFFFFF"/>
          </w:tcPr>
          <w:p w14:paraId="0411D3C3" w14:textId="77777777" w:rsidR="00CD45DB" w:rsidRPr="00F110C2" w:rsidRDefault="00CD45DB" w:rsidP="00254EC9">
            <w:pPr>
              <w:pStyle w:val="Tabletext"/>
              <w:jc w:val="center"/>
            </w:pPr>
            <w:r w:rsidRPr="00F110C2">
              <w:t>−65</w:t>
            </w:r>
          </w:p>
        </w:tc>
      </w:tr>
      <w:tr w:rsidR="00CD45DB" w:rsidRPr="00F110C2" w14:paraId="1C646D3D" w14:textId="77777777" w:rsidTr="00311649">
        <w:trPr>
          <w:jc w:val="center"/>
        </w:trPr>
        <w:tc>
          <w:tcPr>
            <w:tcW w:w="4656" w:type="dxa"/>
            <w:tcBorders>
              <w:top w:val="single" w:sz="4" w:space="0" w:color="auto"/>
              <w:left w:val="single" w:sz="4" w:space="0" w:color="auto"/>
              <w:bottom w:val="nil"/>
              <w:right w:val="nil"/>
            </w:tcBorders>
            <w:shd w:val="clear" w:color="auto" w:fill="FFFFFF"/>
          </w:tcPr>
          <w:p w14:paraId="79BCC09F" w14:textId="77777777" w:rsidR="00CD45DB" w:rsidRPr="00F110C2" w:rsidRDefault="00CD45DB" w:rsidP="00254EC9">
            <w:pPr>
              <w:pStyle w:val="Tabletext"/>
              <w:jc w:val="center"/>
            </w:pPr>
            <w:r w:rsidRPr="00F110C2">
              <w:t>90</w:t>
            </w:r>
          </w:p>
        </w:tc>
        <w:tc>
          <w:tcPr>
            <w:tcW w:w="4983" w:type="dxa"/>
            <w:tcBorders>
              <w:top w:val="single" w:sz="4" w:space="0" w:color="auto"/>
              <w:left w:val="single" w:sz="4" w:space="0" w:color="auto"/>
              <w:bottom w:val="nil"/>
              <w:right w:val="single" w:sz="4" w:space="0" w:color="auto"/>
            </w:tcBorders>
            <w:shd w:val="clear" w:color="auto" w:fill="FFFFFF"/>
          </w:tcPr>
          <w:p w14:paraId="59368A4C" w14:textId="77777777" w:rsidR="00CD45DB" w:rsidRPr="00F110C2" w:rsidRDefault="00CD45DB" w:rsidP="00254EC9">
            <w:pPr>
              <w:pStyle w:val="Tabletext"/>
              <w:jc w:val="center"/>
            </w:pPr>
            <w:r w:rsidRPr="00F110C2">
              <w:t>−50</w:t>
            </w:r>
          </w:p>
        </w:tc>
      </w:tr>
      <w:tr w:rsidR="00CD45DB" w:rsidRPr="00F110C2" w14:paraId="3D579628" w14:textId="77777777" w:rsidTr="00311649">
        <w:trPr>
          <w:jc w:val="center"/>
        </w:trPr>
        <w:tc>
          <w:tcPr>
            <w:tcW w:w="4656" w:type="dxa"/>
            <w:tcBorders>
              <w:top w:val="single" w:sz="4" w:space="0" w:color="auto"/>
              <w:left w:val="single" w:sz="4" w:space="0" w:color="auto"/>
              <w:bottom w:val="nil"/>
              <w:right w:val="nil"/>
            </w:tcBorders>
            <w:shd w:val="clear" w:color="auto" w:fill="FFFFFF"/>
          </w:tcPr>
          <w:p w14:paraId="53BF78A7" w14:textId="77777777" w:rsidR="00CD45DB" w:rsidRPr="00F110C2" w:rsidRDefault="00CD45DB" w:rsidP="00254EC9">
            <w:pPr>
              <w:pStyle w:val="Tabletext"/>
              <w:jc w:val="center"/>
            </w:pPr>
            <w:r w:rsidRPr="00F110C2">
              <w:t>100</w:t>
            </w:r>
          </w:p>
        </w:tc>
        <w:tc>
          <w:tcPr>
            <w:tcW w:w="4983" w:type="dxa"/>
            <w:tcBorders>
              <w:top w:val="single" w:sz="4" w:space="0" w:color="auto"/>
              <w:left w:val="single" w:sz="4" w:space="0" w:color="auto"/>
              <w:bottom w:val="nil"/>
              <w:right w:val="single" w:sz="4" w:space="0" w:color="auto"/>
            </w:tcBorders>
            <w:shd w:val="clear" w:color="auto" w:fill="FFFFFF"/>
          </w:tcPr>
          <w:p w14:paraId="7384810C" w14:textId="77777777" w:rsidR="00CD45DB" w:rsidRPr="00F110C2" w:rsidRDefault="00CD45DB" w:rsidP="00254EC9">
            <w:pPr>
              <w:pStyle w:val="Tabletext"/>
              <w:jc w:val="center"/>
            </w:pPr>
            <w:r w:rsidRPr="00F110C2">
              <w:t>−20</w:t>
            </w:r>
          </w:p>
        </w:tc>
      </w:tr>
      <w:tr w:rsidR="00CD45DB" w:rsidRPr="00F110C2" w14:paraId="30D6E6E6" w14:textId="77777777" w:rsidTr="00311649">
        <w:trPr>
          <w:jc w:val="center"/>
        </w:trPr>
        <w:tc>
          <w:tcPr>
            <w:tcW w:w="4656" w:type="dxa"/>
            <w:tcBorders>
              <w:top w:val="single" w:sz="4" w:space="0" w:color="auto"/>
              <w:left w:val="single" w:sz="4" w:space="0" w:color="auto"/>
              <w:bottom w:val="nil"/>
              <w:right w:val="nil"/>
            </w:tcBorders>
            <w:shd w:val="clear" w:color="auto" w:fill="FFFFFF"/>
          </w:tcPr>
          <w:p w14:paraId="64284C7A" w14:textId="77777777" w:rsidR="00CD45DB" w:rsidRPr="00F110C2" w:rsidRDefault="00CD45DB" w:rsidP="00254EC9">
            <w:pPr>
              <w:pStyle w:val="Tabletext"/>
              <w:jc w:val="center"/>
            </w:pPr>
            <w:r w:rsidRPr="00F110C2">
              <w:t>150</w:t>
            </w:r>
          </w:p>
        </w:tc>
        <w:tc>
          <w:tcPr>
            <w:tcW w:w="4983" w:type="dxa"/>
            <w:tcBorders>
              <w:top w:val="single" w:sz="4" w:space="0" w:color="auto"/>
              <w:left w:val="single" w:sz="4" w:space="0" w:color="auto"/>
              <w:bottom w:val="nil"/>
              <w:right w:val="single" w:sz="4" w:space="0" w:color="auto"/>
            </w:tcBorders>
            <w:shd w:val="clear" w:color="auto" w:fill="FFFFFF"/>
          </w:tcPr>
          <w:p w14:paraId="790ADD40" w14:textId="77777777" w:rsidR="00CD45DB" w:rsidRPr="00F110C2" w:rsidRDefault="00CD45DB" w:rsidP="00254EC9">
            <w:pPr>
              <w:pStyle w:val="Tabletext"/>
              <w:jc w:val="center"/>
            </w:pPr>
            <w:r w:rsidRPr="00F110C2">
              <w:t>−20</w:t>
            </w:r>
          </w:p>
        </w:tc>
      </w:tr>
      <w:tr w:rsidR="00CD45DB" w:rsidRPr="00F110C2" w14:paraId="233F9932" w14:textId="77777777" w:rsidTr="00311649">
        <w:trPr>
          <w:jc w:val="center"/>
        </w:trPr>
        <w:tc>
          <w:tcPr>
            <w:tcW w:w="4656" w:type="dxa"/>
            <w:tcBorders>
              <w:top w:val="single" w:sz="4" w:space="0" w:color="auto"/>
              <w:left w:val="single" w:sz="4" w:space="0" w:color="auto"/>
              <w:bottom w:val="nil"/>
              <w:right w:val="nil"/>
            </w:tcBorders>
            <w:shd w:val="clear" w:color="auto" w:fill="FFFFFF"/>
          </w:tcPr>
          <w:p w14:paraId="3F64C8C4" w14:textId="77777777" w:rsidR="00CD45DB" w:rsidRPr="00F110C2" w:rsidRDefault="00CD45DB" w:rsidP="00254EC9">
            <w:pPr>
              <w:pStyle w:val="Tabletext"/>
              <w:jc w:val="center"/>
            </w:pPr>
            <w:r w:rsidRPr="00F110C2">
              <w:t>160</w:t>
            </w:r>
          </w:p>
        </w:tc>
        <w:tc>
          <w:tcPr>
            <w:tcW w:w="4983" w:type="dxa"/>
            <w:tcBorders>
              <w:top w:val="single" w:sz="4" w:space="0" w:color="auto"/>
              <w:left w:val="single" w:sz="4" w:space="0" w:color="auto"/>
              <w:bottom w:val="nil"/>
              <w:right w:val="single" w:sz="4" w:space="0" w:color="auto"/>
            </w:tcBorders>
            <w:shd w:val="clear" w:color="auto" w:fill="FFFFFF"/>
          </w:tcPr>
          <w:p w14:paraId="1876DE6C" w14:textId="77777777" w:rsidR="00CD45DB" w:rsidRPr="00F110C2" w:rsidRDefault="00CD45DB" w:rsidP="00254EC9">
            <w:pPr>
              <w:pStyle w:val="Tabletext"/>
              <w:jc w:val="center"/>
            </w:pPr>
            <w:r w:rsidRPr="00F110C2">
              <w:t>−50</w:t>
            </w:r>
          </w:p>
        </w:tc>
      </w:tr>
      <w:tr w:rsidR="00CD45DB" w:rsidRPr="00F110C2" w14:paraId="34D003C4" w14:textId="77777777" w:rsidTr="00311649">
        <w:trPr>
          <w:jc w:val="center"/>
        </w:trPr>
        <w:tc>
          <w:tcPr>
            <w:tcW w:w="4656" w:type="dxa"/>
            <w:tcBorders>
              <w:top w:val="single" w:sz="4" w:space="0" w:color="auto"/>
              <w:left w:val="single" w:sz="4" w:space="0" w:color="auto"/>
              <w:bottom w:val="nil"/>
              <w:right w:val="nil"/>
            </w:tcBorders>
            <w:shd w:val="clear" w:color="auto" w:fill="FFFFFF"/>
          </w:tcPr>
          <w:p w14:paraId="59E4E356" w14:textId="77777777" w:rsidR="00CD45DB" w:rsidRPr="00F110C2" w:rsidRDefault="00CD45DB" w:rsidP="00254EC9">
            <w:pPr>
              <w:pStyle w:val="Tabletext"/>
              <w:jc w:val="center"/>
            </w:pPr>
            <w:r w:rsidRPr="00F110C2">
              <w:t>250</w:t>
            </w:r>
          </w:p>
        </w:tc>
        <w:tc>
          <w:tcPr>
            <w:tcW w:w="4983" w:type="dxa"/>
            <w:tcBorders>
              <w:top w:val="single" w:sz="4" w:space="0" w:color="auto"/>
              <w:left w:val="single" w:sz="4" w:space="0" w:color="auto"/>
              <w:bottom w:val="nil"/>
              <w:right w:val="single" w:sz="4" w:space="0" w:color="auto"/>
            </w:tcBorders>
            <w:shd w:val="clear" w:color="auto" w:fill="FFFFFF"/>
          </w:tcPr>
          <w:p w14:paraId="3CF241B8" w14:textId="77777777" w:rsidR="00CD45DB" w:rsidRPr="00F110C2" w:rsidRDefault="00CD45DB" w:rsidP="00254EC9">
            <w:pPr>
              <w:pStyle w:val="Tabletext"/>
              <w:jc w:val="center"/>
            </w:pPr>
            <w:r w:rsidRPr="00F110C2">
              <w:t>−65</w:t>
            </w:r>
          </w:p>
        </w:tc>
      </w:tr>
      <w:tr w:rsidR="00CD45DB" w:rsidRPr="00F110C2" w14:paraId="107E6401" w14:textId="77777777" w:rsidTr="00311649">
        <w:trPr>
          <w:jc w:val="center"/>
        </w:trPr>
        <w:tc>
          <w:tcPr>
            <w:tcW w:w="4656" w:type="dxa"/>
            <w:tcBorders>
              <w:top w:val="single" w:sz="4" w:space="0" w:color="auto"/>
              <w:left w:val="single" w:sz="4" w:space="0" w:color="auto"/>
              <w:bottom w:val="single" w:sz="4" w:space="0" w:color="auto"/>
              <w:right w:val="nil"/>
            </w:tcBorders>
            <w:shd w:val="clear" w:color="auto" w:fill="FFFFFF"/>
          </w:tcPr>
          <w:p w14:paraId="2B2D3A77" w14:textId="77777777" w:rsidR="00CD45DB" w:rsidRPr="00F110C2" w:rsidRDefault="00CD45DB" w:rsidP="00254EC9">
            <w:pPr>
              <w:pStyle w:val="Tabletext"/>
              <w:jc w:val="center"/>
            </w:pPr>
            <w:r w:rsidRPr="00F110C2">
              <w:t>300</w:t>
            </w:r>
          </w:p>
        </w:tc>
        <w:tc>
          <w:tcPr>
            <w:tcW w:w="4983" w:type="dxa"/>
            <w:tcBorders>
              <w:top w:val="single" w:sz="4" w:space="0" w:color="auto"/>
              <w:left w:val="single" w:sz="4" w:space="0" w:color="auto"/>
              <w:bottom w:val="single" w:sz="4" w:space="0" w:color="auto"/>
              <w:right w:val="single" w:sz="4" w:space="0" w:color="auto"/>
            </w:tcBorders>
            <w:shd w:val="clear" w:color="auto" w:fill="FFFFFF"/>
          </w:tcPr>
          <w:p w14:paraId="0128ACEB" w14:textId="77777777" w:rsidR="00CD45DB" w:rsidRPr="00F110C2" w:rsidRDefault="00CD45DB" w:rsidP="00254EC9">
            <w:pPr>
              <w:pStyle w:val="Tabletext"/>
              <w:jc w:val="center"/>
            </w:pPr>
            <w:r w:rsidRPr="00F110C2">
              <w:t>−80</w:t>
            </w:r>
          </w:p>
        </w:tc>
      </w:tr>
    </w:tbl>
    <w:p w14:paraId="007CB763" w14:textId="77777777" w:rsidR="00ED0290" w:rsidRPr="00F110C2" w:rsidRDefault="00ED0290" w:rsidP="00254EC9">
      <w:pPr>
        <w:pStyle w:val="Tablefin"/>
      </w:pPr>
      <w:bookmarkStart w:id="14" w:name="_Toc440293462"/>
    </w:p>
    <w:p w14:paraId="5BCF296B" w14:textId="52BF662B" w:rsidR="00CD45DB" w:rsidRPr="00F110C2" w:rsidRDefault="00CD45DB" w:rsidP="00254EC9">
      <w:pPr>
        <w:pStyle w:val="TableNo"/>
      </w:pPr>
      <w:r w:rsidRPr="00F110C2">
        <w:lastRenderedPageBreak/>
        <w:t>TABLEAU 31</w:t>
      </w:r>
    </w:p>
    <w:bookmarkEnd w:id="14"/>
    <w:p w14:paraId="3574D5E9" w14:textId="77777777" w:rsidR="00CD45DB" w:rsidRPr="00F110C2" w:rsidRDefault="00CD45DB" w:rsidP="00254EC9">
      <w:pPr>
        <w:pStyle w:val="Tabletitle"/>
      </w:pPr>
      <w:r w:rsidRPr="00F110C2">
        <w:t>Valeurs seuils du gabarit spectral lorsque la puissance dans la bande est définie</w:t>
      </w:r>
      <w:r w:rsidRPr="00F110C2">
        <w:br/>
        <w:t>comme étant égale à 0 dB (mode d'occupation spectrale F)</w:t>
      </w:r>
    </w:p>
    <w:tbl>
      <w:tblPr>
        <w:tblW w:w="9639" w:type="dxa"/>
        <w:jc w:val="center"/>
        <w:tblLayout w:type="fixed"/>
        <w:tblCellMar>
          <w:left w:w="0" w:type="dxa"/>
          <w:right w:w="0" w:type="dxa"/>
        </w:tblCellMar>
        <w:tblLook w:val="04A0" w:firstRow="1" w:lastRow="0" w:firstColumn="1" w:lastColumn="0" w:noHBand="0" w:noVBand="1"/>
      </w:tblPr>
      <w:tblGrid>
        <w:gridCol w:w="4656"/>
        <w:gridCol w:w="4983"/>
      </w:tblGrid>
      <w:tr w:rsidR="00CD45DB" w:rsidRPr="00F110C2" w14:paraId="289DE587" w14:textId="77777777" w:rsidTr="00311649">
        <w:trPr>
          <w:jc w:val="center"/>
        </w:trPr>
        <w:tc>
          <w:tcPr>
            <w:tcW w:w="4656" w:type="dxa"/>
            <w:tcBorders>
              <w:top w:val="single" w:sz="4" w:space="0" w:color="auto"/>
              <w:left w:val="single" w:sz="4" w:space="0" w:color="auto"/>
              <w:bottom w:val="nil"/>
              <w:right w:val="nil"/>
            </w:tcBorders>
            <w:shd w:val="clear" w:color="auto" w:fill="FFFFFF"/>
            <w:vAlign w:val="center"/>
          </w:tcPr>
          <w:p w14:paraId="5E3F1A51" w14:textId="77777777" w:rsidR="00CD45DB" w:rsidRPr="00F110C2" w:rsidRDefault="00CD45DB" w:rsidP="00254EC9">
            <w:pPr>
              <w:pStyle w:val="Tablehead"/>
              <w:spacing w:before="60" w:after="60"/>
            </w:pPr>
            <w:r w:rsidRPr="00F110C2">
              <w:t>Écart de fréquence par rapport</w:t>
            </w:r>
            <w:r w:rsidRPr="00F110C2">
              <w:br/>
              <w:t>à</w:t>
            </w:r>
            <w:r w:rsidRPr="00F110C2">
              <w:rPr>
                <w:b w:val="0"/>
                <w:color w:val="000000"/>
                <w:sz w:val="24"/>
              </w:rPr>
              <w:t xml:space="preserve"> </w:t>
            </w:r>
            <w:r w:rsidRPr="00F110C2">
              <w:t>la fréquence centrale (kHz)</w:t>
            </w:r>
          </w:p>
        </w:tc>
        <w:tc>
          <w:tcPr>
            <w:tcW w:w="4983" w:type="dxa"/>
            <w:tcBorders>
              <w:top w:val="single" w:sz="4" w:space="0" w:color="auto"/>
              <w:left w:val="single" w:sz="4" w:space="0" w:color="auto"/>
              <w:bottom w:val="nil"/>
              <w:right w:val="single" w:sz="4" w:space="0" w:color="auto"/>
            </w:tcBorders>
            <w:shd w:val="clear" w:color="auto" w:fill="FFFFFF"/>
            <w:vAlign w:val="center"/>
          </w:tcPr>
          <w:p w14:paraId="35E18AFD" w14:textId="77777777" w:rsidR="00CD45DB" w:rsidRPr="00F110C2" w:rsidRDefault="00CD45DB" w:rsidP="00254EC9">
            <w:pPr>
              <w:pStyle w:val="Tablehead"/>
              <w:spacing w:before="60" w:after="60"/>
            </w:pPr>
            <w:r w:rsidRPr="00F110C2">
              <w:t>Niveau relatif (dB)</w:t>
            </w:r>
          </w:p>
        </w:tc>
      </w:tr>
      <w:tr w:rsidR="00CD45DB" w:rsidRPr="00F110C2" w14:paraId="501BC7BE" w14:textId="77777777" w:rsidTr="00311649">
        <w:trPr>
          <w:jc w:val="center"/>
        </w:trPr>
        <w:tc>
          <w:tcPr>
            <w:tcW w:w="4656" w:type="dxa"/>
            <w:tcBorders>
              <w:top w:val="single" w:sz="4" w:space="0" w:color="auto"/>
              <w:left w:val="single" w:sz="4" w:space="0" w:color="auto"/>
              <w:bottom w:val="nil"/>
              <w:right w:val="nil"/>
            </w:tcBorders>
            <w:shd w:val="clear" w:color="auto" w:fill="FFFFFF"/>
          </w:tcPr>
          <w:p w14:paraId="4C7B28CF" w14:textId="77777777" w:rsidR="00CD45DB" w:rsidRPr="00F110C2" w:rsidRDefault="00CD45DB" w:rsidP="00254EC9">
            <w:pPr>
              <w:pStyle w:val="Tabletext"/>
              <w:jc w:val="center"/>
            </w:pPr>
            <w:r w:rsidRPr="00F110C2">
              <w:t>0</w:t>
            </w:r>
          </w:p>
        </w:tc>
        <w:tc>
          <w:tcPr>
            <w:tcW w:w="4983" w:type="dxa"/>
            <w:tcBorders>
              <w:top w:val="single" w:sz="4" w:space="0" w:color="auto"/>
              <w:left w:val="single" w:sz="4" w:space="0" w:color="auto"/>
              <w:bottom w:val="nil"/>
              <w:right w:val="single" w:sz="4" w:space="0" w:color="auto"/>
            </w:tcBorders>
            <w:shd w:val="clear" w:color="auto" w:fill="FFFFFF"/>
          </w:tcPr>
          <w:p w14:paraId="2BD972F4" w14:textId="77777777" w:rsidR="00CD45DB" w:rsidRPr="00F110C2" w:rsidRDefault="00CD45DB" w:rsidP="00254EC9">
            <w:pPr>
              <w:pStyle w:val="Tabletext"/>
              <w:jc w:val="center"/>
            </w:pPr>
            <w:r w:rsidRPr="00F110C2">
              <w:t>−68</w:t>
            </w:r>
          </w:p>
        </w:tc>
      </w:tr>
      <w:tr w:rsidR="00CD45DB" w:rsidRPr="00F110C2" w14:paraId="596C3788" w14:textId="77777777" w:rsidTr="00311649">
        <w:trPr>
          <w:jc w:val="center"/>
        </w:trPr>
        <w:tc>
          <w:tcPr>
            <w:tcW w:w="4656" w:type="dxa"/>
            <w:tcBorders>
              <w:top w:val="single" w:sz="4" w:space="0" w:color="auto"/>
              <w:left w:val="single" w:sz="4" w:space="0" w:color="auto"/>
              <w:bottom w:val="nil"/>
              <w:right w:val="nil"/>
            </w:tcBorders>
            <w:shd w:val="clear" w:color="auto" w:fill="FFFFFF"/>
          </w:tcPr>
          <w:p w14:paraId="54CA9A57" w14:textId="77777777" w:rsidR="00CD45DB" w:rsidRPr="00F110C2" w:rsidRDefault="00CD45DB" w:rsidP="00254EC9">
            <w:pPr>
              <w:pStyle w:val="Tabletext"/>
              <w:jc w:val="center"/>
            </w:pPr>
            <w:r w:rsidRPr="00F110C2">
              <w:t>90</w:t>
            </w:r>
          </w:p>
        </w:tc>
        <w:tc>
          <w:tcPr>
            <w:tcW w:w="4983" w:type="dxa"/>
            <w:tcBorders>
              <w:top w:val="single" w:sz="4" w:space="0" w:color="auto"/>
              <w:left w:val="single" w:sz="4" w:space="0" w:color="auto"/>
              <w:bottom w:val="nil"/>
              <w:right w:val="single" w:sz="4" w:space="0" w:color="auto"/>
            </w:tcBorders>
            <w:shd w:val="clear" w:color="auto" w:fill="FFFFFF"/>
          </w:tcPr>
          <w:p w14:paraId="7B8FDF08" w14:textId="77777777" w:rsidR="00CD45DB" w:rsidRPr="00F110C2" w:rsidRDefault="00CD45DB" w:rsidP="00254EC9">
            <w:pPr>
              <w:pStyle w:val="Tabletext"/>
              <w:jc w:val="center"/>
            </w:pPr>
            <w:r w:rsidRPr="00F110C2">
              <w:t>−53</w:t>
            </w:r>
          </w:p>
        </w:tc>
      </w:tr>
      <w:tr w:rsidR="00CD45DB" w:rsidRPr="00F110C2" w14:paraId="23DAF1C8" w14:textId="77777777" w:rsidTr="00311649">
        <w:trPr>
          <w:jc w:val="center"/>
        </w:trPr>
        <w:tc>
          <w:tcPr>
            <w:tcW w:w="4656" w:type="dxa"/>
            <w:tcBorders>
              <w:top w:val="single" w:sz="4" w:space="0" w:color="auto"/>
              <w:left w:val="single" w:sz="4" w:space="0" w:color="auto"/>
              <w:bottom w:val="nil"/>
              <w:right w:val="nil"/>
            </w:tcBorders>
            <w:shd w:val="clear" w:color="auto" w:fill="FFFFFF"/>
          </w:tcPr>
          <w:p w14:paraId="279B3F8A" w14:textId="77777777" w:rsidR="00CD45DB" w:rsidRPr="00F110C2" w:rsidRDefault="00CD45DB" w:rsidP="00254EC9">
            <w:pPr>
              <w:pStyle w:val="Tabletext"/>
              <w:jc w:val="center"/>
            </w:pPr>
            <w:r w:rsidRPr="00F110C2">
              <w:t>100</w:t>
            </w:r>
          </w:p>
        </w:tc>
        <w:tc>
          <w:tcPr>
            <w:tcW w:w="4983" w:type="dxa"/>
            <w:tcBorders>
              <w:top w:val="single" w:sz="4" w:space="0" w:color="auto"/>
              <w:left w:val="single" w:sz="4" w:space="0" w:color="auto"/>
              <w:bottom w:val="nil"/>
              <w:right w:val="single" w:sz="4" w:space="0" w:color="auto"/>
            </w:tcBorders>
            <w:shd w:val="clear" w:color="auto" w:fill="FFFFFF"/>
          </w:tcPr>
          <w:p w14:paraId="09E15087" w14:textId="77777777" w:rsidR="00CD45DB" w:rsidRPr="00F110C2" w:rsidRDefault="00CD45DB" w:rsidP="00254EC9">
            <w:pPr>
              <w:pStyle w:val="Tabletext"/>
              <w:jc w:val="center"/>
            </w:pPr>
            <w:r w:rsidRPr="00F110C2">
              <w:t>−23</w:t>
            </w:r>
          </w:p>
        </w:tc>
      </w:tr>
      <w:tr w:rsidR="00CD45DB" w:rsidRPr="00F110C2" w14:paraId="733DD9BA" w14:textId="77777777" w:rsidTr="00311649">
        <w:trPr>
          <w:jc w:val="center"/>
        </w:trPr>
        <w:tc>
          <w:tcPr>
            <w:tcW w:w="4656" w:type="dxa"/>
            <w:tcBorders>
              <w:top w:val="single" w:sz="4" w:space="0" w:color="auto"/>
              <w:left w:val="single" w:sz="4" w:space="0" w:color="auto"/>
              <w:bottom w:val="nil"/>
              <w:right w:val="nil"/>
            </w:tcBorders>
            <w:shd w:val="clear" w:color="auto" w:fill="FFFFFF"/>
          </w:tcPr>
          <w:p w14:paraId="217A5BFA" w14:textId="77777777" w:rsidR="00CD45DB" w:rsidRPr="00F110C2" w:rsidRDefault="00CD45DB" w:rsidP="00254EC9">
            <w:pPr>
              <w:pStyle w:val="Tabletext"/>
              <w:jc w:val="center"/>
            </w:pPr>
            <w:r w:rsidRPr="00F110C2">
              <w:t>200</w:t>
            </w:r>
          </w:p>
        </w:tc>
        <w:tc>
          <w:tcPr>
            <w:tcW w:w="4983" w:type="dxa"/>
            <w:tcBorders>
              <w:top w:val="single" w:sz="4" w:space="0" w:color="auto"/>
              <w:left w:val="single" w:sz="4" w:space="0" w:color="auto"/>
              <w:bottom w:val="nil"/>
              <w:right w:val="single" w:sz="4" w:space="0" w:color="auto"/>
            </w:tcBorders>
            <w:shd w:val="clear" w:color="auto" w:fill="FFFFFF"/>
          </w:tcPr>
          <w:p w14:paraId="6E2742E2" w14:textId="77777777" w:rsidR="00CD45DB" w:rsidRPr="00F110C2" w:rsidRDefault="00CD45DB" w:rsidP="00254EC9">
            <w:pPr>
              <w:pStyle w:val="Tabletext"/>
              <w:jc w:val="center"/>
            </w:pPr>
            <w:r w:rsidRPr="00F110C2">
              <w:t>−23</w:t>
            </w:r>
          </w:p>
        </w:tc>
      </w:tr>
      <w:tr w:rsidR="00CD45DB" w:rsidRPr="00F110C2" w14:paraId="72E30CA0" w14:textId="77777777" w:rsidTr="00311649">
        <w:trPr>
          <w:jc w:val="center"/>
        </w:trPr>
        <w:tc>
          <w:tcPr>
            <w:tcW w:w="4656" w:type="dxa"/>
            <w:tcBorders>
              <w:top w:val="single" w:sz="4" w:space="0" w:color="auto"/>
              <w:left w:val="single" w:sz="4" w:space="0" w:color="auto"/>
              <w:bottom w:val="nil"/>
              <w:right w:val="nil"/>
            </w:tcBorders>
            <w:shd w:val="clear" w:color="auto" w:fill="FFFFFF"/>
          </w:tcPr>
          <w:p w14:paraId="26D697B4" w14:textId="77777777" w:rsidR="00CD45DB" w:rsidRPr="00F110C2" w:rsidRDefault="00CD45DB" w:rsidP="00254EC9">
            <w:pPr>
              <w:pStyle w:val="Tabletext"/>
              <w:jc w:val="center"/>
            </w:pPr>
            <w:r w:rsidRPr="00F110C2">
              <w:t>210</w:t>
            </w:r>
          </w:p>
        </w:tc>
        <w:tc>
          <w:tcPr>
            <w:tcW w:w="4983" w:type="dxa"/>
            <w:tcBorders>
              <w:top w:val="single" w:sz="4" w:space="0" w:color="auto"/>
              <w:left w:val="single" w:sz="4" w:space="0" w:color="auto"/>
              <w:bottom w:val="nil"/>
              <w:right w:val="single" w:sz="4" w:space="0" w:color="auto"/>
            </w:tcBorders>
            <w:shd w:val="clear" w:color="auto" w:fill="FFFFFF"/>
          </w:tcPr>
          <w:p w14:paraId="118693DC" w14:textId="77777777" w:rsidR="00CD45DB" w:rsidRPr="00F110C2" w:rsidRDefault="00CD45DB" w:rsidP="00254EC9">
            <w:pPr>
              <w:pStyle w:val="Tabletext"/>
              <w:jc w:val="center"/>
            </w:pPr>
            <w:r w:rsidRPr="00F110C2">
              <w:t>−53</w:t>
            </w:r>
          </w:p>
        </w:tc>
      </w:tr>
      <w:tr w:rsidR="00CD45DB" w:rsidRPr="00F110C2" w14:paraId="6F1D07D9" w14:textId="77777777" w:rsidTr="00311649">
        <w:trPr>
          <w:jc w:val="center"/>
        </w:trPr>
        <w:tc>
          <w:tcPr>
            <w:tcW w:w="4656" w:type="dxa"/>
            <w:tcBorders>
              <w:top w:val="single" w:sz="4" w:space="0" w:color="auto"/>
              <w:left w:val="single" w:sz="4" w:space="0" w:color="auto"/>
              <w:bottom w:val="single" w:sz="4" w:space="0" w:color="auto"/>
              <w:right w:val="nil"/>
            </w:tcBorders>
            <w:shd w:val="clear" w:color="auto" w:fill="FFFFFF"/>
          </w:tcPr>
          <w:p w14:paraId="0B684EB0" w14:textId="77777777" w:rsidR="00CD45DB" w:rsidRPr="00F110C2" w:rsidRDefault="00CD45DB" w:rsidP="00254EC9">
            <w:pPr>
              <w:pStyle w:val="Tabletext"/>
              <w:jc w:val="center"/>
            </w:pPr>
            <w:r w:rsidRPr="00F110C2">
              <w:t>300</w:t>
            </w:r>
          </w:p>
        </w:tc>
        <w:tc>
          <w:tcPr>
            <w:tcW w:w="4983" w:type="dxa"/>
            <w:tcBorders>
              <w:top w:val="single" w:sz="4" w:space="0" w:color="auto"/>
              <w:left w:val="single" w:sz="4" w:space="0" w:color="auto"/>
              <w:bottom w:val="single" w:sz="4" w:space="0" w:color="auto"/>
              <w:right w:val="single" w:sz="4" w:space="0" w:color="auto"/>
            </w:tcBorders>
            <w:shd w:val="clear" w:color="auto" w:fill="FFFFFF"/>
          </w:tcPr>
          <w:p w14:paraId="3B9F7374" w14:textId="77777777" w:rsidR="00CD45DB" w:rsidRPr="00F110C2" w:rsidRDefault="00CD45DB" w:rsidP="00254EC9">
            <w:pPr>
              <w:pStyle w:val="Tabletext"/>
              <w:jc w:val="center"/>
            </w:pPr>
            <w:r w:rsidRPr="00F110C2">
              <w:t>−68</w:t>
            </w:r>
          </w:p>
        </w:tc>
      </w:tr>
      <w:tr w:rsidR="00CD45DB" w:rsidRPr="00F110C2" w14:paraId="3B569F8E" w14:textId="77777777" w:rsidTr="00311649">
        <w:trPr>
          <w:jc w:val="center"/>
        </w:trPr>
        <w:tc>
          <w:tcPr>
            <w:tcW w:w="4656" w:type="dxa"/>
            <w:tcBorders>
              <w:top w:val="single" w:sz="4" w:space="0" w:color="auto"/>
              <w:left w:val="single" w:sz="4" w:space="0" w:color="auto"/>
              <w:bottom w:val="single" w:sz="4" w:space="0" w:color="auto"/>
              <w:right w:val="nil"/>
            </w:tcBorders>
            <w:shd w:val="clear" w:color="auto" w:fill="FFFFFF"/>
          </w:tcPr>
          <w:p w14:paraId="47C30073" w14:textId="77777777" w:rsidR="00CD45DB" w:rsidRPr="00F110C2" w:rsidRDefault="00CD45DB" w:rsidP="00254EC9">
            <w:pPr>
              <w:pStyle w:val="Tabletext"/>
              <w:jc w:val="center"/>
            </w:pPr>
            <w:r w:rsidRPr="00F110C2">
              <w:t>350</w:t>
            </w:r>
          </w:p>
        </w:tc>
        <w:tc>
          <w:tcPr>
            <w:tcW w:w="4983" w:type="dxa"/>
            <w:tcBorders>
              <w:top w:val="single" w:sz="4" w:space="0" w:color="auto"/>
              <w:left w:val="single" w:sz="4" w:space="0" w:color="auto"/>
              <w:bottom w:val="single" w:sz="4" w:space="0" w:color="auto"/>
              <w:right w:val="single" w:sz="4" w:space="0" w:color="auto"/>
            </w:tcBorders>
            <w:shd w:val="clear" w:color="auto" w:fill="FFFFFF"/>
          </w:tcPr>
          <w:p w14:paraId="1EF515EB" w14:textId="77777777" w:rsidR="00CD45DB" w:rsidRPr="00F110C2" w:rsidRDefault="00CD45DB" w:rsidP="00254EC9">
            <w:pPr>
              <w:pStyle w:val="Tabletext"/>
              <w:jc w:val="center"/>
            </w:pPr>
            <w:r w:rsidRPr="00F110C2">
              <w:t>−83</w:t>
            </w:r>
          </w:p>
        </w:tc>
      </w:tr>
    </w:tbl>
    <w:p w14:paraId="4C60CFC9" w14:textId="77777777" w:rsidR="00ED0290" w:rsidRPr="00F110C2" w:rsidRDefault="00ED0290" w:rsidP="00254EC9">
      <w:pPr>
        <w:pStyle w:val="Tablefin"/>
      </w:pPr>
    </w:p>
    <w:p w14:paraId="0533D37F" w14:textId="77777777" w:rsidR="00CD45DB" w:rsidRPr="00F110C2" w:rsidRDefault="00CD45DB" w:rsidP="00254EC9"/>
    <w:p w14:paraId="30455880" w14:textId="77777777" w:rsidR="00CD45DB" w:rsidRPr="00F110C2" w:rsidRDefault="00CD45DB" w:rsidP="00254EC9"/>
    <w:p w14:paraId="6F60E42A" w14:textId="77777777" w:rsidR="00CD45DB" w:rsidRPr="00F110C2" w:rsidRDefault="00CD45DB" w:rsidP="00254EC9">
      <w:pPr>
        <w:pStyle w:val="AnnexNoTitle"/>
        <w:outlineLvl w:val="0"/>
      </w:pPr>
      <w:r w:rsidRPr="00F110C2">
        <w:t>Annexe 8</w:t>
      </w:r>
      <w:r w:rsidRPr="00F110C2">
        <w:br/>
      </w:r>
      <w:r w:rsidRPr="00F110C2">
        <w:br/>
        <w:t>Limites des émissions dans le domaine hors bande</w:t>
      </w:r>
      <w:r w:rsidRPr="00F110C2">
        <w:br/>
        <w:t>pour les systèmes radars primaires</w:t>
      </w:r>
    </w:p>
    <w:p w14:paraId="731E0BE7" w14:textId="77777777" w:rsidR="00CD45DB" w:rsidRPr="00F110C2" w:rsidRDefault="00CD45DB" w:rsidP="00254EC9">
      <w:pPr>
        <w:pStyle w:val="Heading1"/>
      </w:pPr>
      <w:r w:rsidRPr="00F110C2">
        <w:t>1</w:t>
      </w:r>
      <w:r w:rsidRPr="00F110C2">
        <w:tab/>
        <w:t>Introduction</w:t>
      </w:r>
    </w:p>
    <w:p w14:paraId="62BB8571" w14:textId="77777777" w:rsidR="00CD45DB" w:rsidRPr="00F110C2" w:rsidRDefault="00CD45DB" w:rsidP="00254EC9">
      <w:r w:rsidRPr="00F110C2">
        <w:t xml:space="preserve">Dans le RR, un «radar primaire» est défini comme étant un «Système de </w:t>
      </w:r>
      <w:r w:rsidRPr="00F110C2">
        <w:rPr>
          <w:i/>
          <w:iCs/>
        </w:rPr>
        <w:t>radiorepérage</w:t>
      </w:r>
      <w:r w:rsidRPr="00F110C2">
        <w:t xml:space="preserve"> fondé sur la comparaison entre des signaux de référence et des signaux radioélectriques réfléchis à partir de la position à déterminer».</w:t>
      </w:r>
    </w:p>
    <w:p w14:paraId="4EFB28E0" w14:textId="77777777" w:rsidR="00CD45DB" w:rsidRPr="00F110C2" w:rsidRDefault="00CD45DB" w:rsidP="00254EC9">
      <w:pPr>
        <w:widowControl w:val="0"/>
      </w:pPr>
      <w:r w:rsidRPr="00F110C2">
        <w:t>Les radars primaires de Terre fonctionnent dans le service de radionavigation (radars de surveillance de l'air et radars de navigation à bord d'aéronefs et de navires), dans le service des auxiliaires de la météorologie (radars météorologiques) et dans le service de radiolocalisation (la plupart des autres radars de Terre). Les radars spatiaux comprennent les satellites de détection active à distance fonctionnant dans le service de recherche spatiale (active) et dans le SETS (active) et d'autres radars fonctionnant dans le service de recherche spatiale.</w:t>
      </w:r>
    </w:p>
    <w:p w14:paraId="145BF7A3" w14:textId="77777777" w:rsidR="00CD45DB" w:rsidRPr="00F110C2" w:rsidRDefault="00CD45DB" w:rsidP="00254EC9">
      <w:r w:rsidRPr="00F110C2">
        <w:t>Les limites données plus loin ne sont pas applicables à l'intérieur des bandes attribuées en exclusivité au service de radiorepérage et/ou au SETS (active) et au service de recherche spatiale (active), mais elles s'appliquent au bord de ces bandes. Les limites des émissions des radars primaires dans ces bandes attribuées en exclusivité feront l'objet d'études ultérieures.</w:t>
      </w:r>
    </w:p>
    <w:p w14:paraId="2737EF06" w14:textId="77777777" w:rsidR="00CD45DB" w:rsidRPr="00F110C2" w:rsidRDefault="00CD45DB" w:rsidP="00254EC9">
      <w:r w:rsidRPr="00F110C2">
        <w:t>Plusieurs catégories de radars primaires ne sont pas prises en considération dans les limites des émissions dans le domaine hors bande définies dans la présente Annexe. Il s'agit des radars par impulsions avec puissance de crête nominale égale ou inférieure à 1 kW, des radars ne fonctionnant pas par impulsions et dont la puissance moyenne nominale est égale ou inférieure à 40 W, des radars fonctionnant au-dessus de 40 GHz, des radars portatifs et des radars non récupérables situés sur des missiles. Ces catégories de radars feront aussi l'objet d'études ultérieures afin d'établir les limites appropriées.</w:t>
      </w:r>
    </w:p>
    <w:p w14:paraId="27D9859C" w14:textId="672AB3A3" w:rsidR="00CD45DB" w:rsidRPr="00F110C2" w:rsidRDefault="00CD45DB" w:rsidP="00254EC9">
      <w:pPr>
        <w:rPr>
          <w:szCs w:val="24"/>
        </w:rPr>
      </w:pPr>
      <w:r w:rsidRPr="00F110C2">
        <w:rPr>
          <w:szCs w:val="24"/>
        </w:rPr>
        <w:lastRenderedPageBreak/>
        <w:t>Dans toutes les formules de la présente Annexe, la largeur de bande (</w:t>
      </w:r>
      <w:r w:rsidRPr="00F110C2">
        <w:rPr>
          <w:i/>
          <w:iCs/>
          <w:szCs w:val="24"/>
        </w:rPr>
        <w:t>B</w:t>
      </w:r>
      <w:r w:rsidRPr="00F110C2">
        <w:rPr>
          <w:i/>
          <w:iCs/>
          <w:szCs w:val="24"/>
          <w:vertAlign w:val="subscript"/>
        </w:rPr>
        <w:t>N</w:t>
      </w:r>
      <w:r w:rsidRPr="00F110C2">
        <w:rPr>
          <w:szCs w:val="24"/>
        </w:rPr>
        <w:t xml:space="preserve">, </w:t>
      </w:r>
      <w:r w:rsidRPr="00F110C2">
        <w:rPr>
          <w:i/>
          <w:iCs/>
          <w:szCs w:val="24"/>
        </w:rPr>
        <w:t>B</w:t>
      </w:r>
      <w:r w:rsidRPr="00F110C2">
        <w:rPr>
          <w:i/>
          <w:iCs/>
          <w:szCs w:val="24"/>
          <w:vertAlign w:val="subscript"/>
        </w:rPr>
        <w:t>c</w:t>
      </w:r>
      <w:r w:rsidRPr="00F110C2">
        <w:rPr>
          <w:szCs w:val="24"/>
        </w:rPr>
        <w:t xml:space="preserve">, </w:t>
      </w:r>
      <w:r w:rsidRPr="00F110C2">
        <w:rPr>
          <w:i/>
          <w:iCs/>
          <w:szCs w:val="24"/>
        </w:rPr>
        <w:t>B</w:t>
      </w:r>
      <w:r w:rsidRPr="00F110C2">
        <w:rPr>
          <w:i/>
          <w:iCs/>
          <w:szCs w:val="24"/>
          <w:vertAlign w:val="subscript"/>
        </w:rPr>
        <w:t>s</w:t>
      </w:r>
      <w:r w:rsidRPr="00F110C2">
        <w:rPr>
          <w:szCs w:val="24"/>
        </w:rPr>
        <w:t xml:space="preserve">, </w:t>
      </w:r>
      <w:r w:rsidRPr="00F110C2">
        <w:rPr>
          <w:i/>
          <w:iCs/>
          <w:szCs w:val="24"/>
        </w:rPr>
        <w:t>B</w:t>
      </w:r>
      <w:r w:rsidRPr="00F110C2">
        <w:rPr>
          <w:i/>
          <w:iCs/>
          <w:szCs w:val="24"/>
          <w:vertAlign w:val="subscript"/>
        </w:rPr>
        <w:t>d</w:t>
      </w:r>
      <w:r w:rsidRPr="00F110C2">
        <w:rPr>
          <w:szCs w:val="24"/>
        </w:rPr>
        <w:t xml:space="preserve">, </w:t>
      </w:r>
      <w:r w:rsidRPr="00F110C2">
        <w:rPr>
          <w:i/>
          <w:iCs/>
          <w:szCs w:val="24"/>
        </w:rPr>
        <w:t>B</w:t>
      </w:r>
      <w:r w:rsidR="00683612" w:rsidRPr="00F110C2">
        <w:rPr>
          <w:szCs w:val="24"/>
          <w:vertAlign w:val="subscript"/>
        </w:rPr>
        <w:t>−40</w:t>
      </w:r>
      <w:r w:rsidRPr="00F110C2">
        <w:rPr>
          <w:szCs w:val="24"/>
        </w:rPr>
        <w:t>,</w:t>
      </w:r>
      <w:r w:rsidRPr="00F110C2">
        <w:rPr>
          <w:iCs/>
          <w:szCs w:val="24"/>
        </w:rPr>
        <w:t xml:space="preserve"> </w:t>
      </w:r>
      <w:r w:rsidRPr="00F110C2">
        <w:rPr>
          <w:i/>
          <w:szCs w:val="24"/>
        </w:rPr>
        <w:t>B</w:t>
      </w:r>
      <w:r w:rsidRPr="00F110C2">
        <w:rPr>
          <w:i/>
          <w:szCs w:val="24"/>
          <w:vertAlign w:val="subscript"/>
        </w:rPr>
        <w:t>rise</w:t>
      </w:r>
      <w:r w:rsidRPr="00F110C2">
        <w:rPr>
          <w:szCs w:val="24"/>
        </w:rPr>
        <w:t xml:space="preserve">, </w:t>
      </w:r>
      <w:r w:rsidRPr="00F110C2">
        <w:rPr>
          <w:i/>
          <w:szCs w:val="24"/>
        </w:rPr>
        <w:t>B</w:t>
      </w:r>
      <w:r w:rsidRPr="00F110C2">
        <w:rPr>
          <w:i/>
          <w:szCs w:val="24"/>
          <w:vertAlign w:val="subscript"/>
        </w:rPr>
        <w:t>fall</w:t>
      </w:r>
      <w:r w:rsidRPr="00F110C2">
        <w:rPr>
          <w:szCs w:val="24"/>
        </w:rPr>
        <w:t xml:space="preserve">, </w:t>
      </w:r>
      <w:r w:rsidRPr="00F110C2">
        <w:rPr>
          <w:i/>
          <w:szCs w:val="24"/>
        </w:rPr>
        <w:t>B</w:t>
      </w:r>
      <w:r w:rsidRPr="00F110C2">
        <w:rPr>
          <w:i/>
          <w:szCs w:val="24"/>
          <w:vertAlign w:val="subscript"/>
        </w:rPr>
        <w:t>rise&amp;fal</w:t>
      </w:r>
      <w:r w:rsidRPr="00F110C2">
        <w:rPr>
          <w:i/>
          <w:iCs/>
          <w:szCs w:val="24"/>
          <w:vertAlign w:val="subscript"/>
        </w:rPr>
        <w:t>l</w:t>
      </w:r>
      <w:r w:rsidRPr="00F110C2">
        <w:rPr>
          <w:szCs w:val="24"/>
        </w:rPr>
        <w:t xml:space="preserve">, </w:t>
      </w:r>
      <w:r w:rsidRPr="00F110C2">
        <w:rPr>
          <w:i/>
          <w:iCs/>
          <w:szCs w:val="24"/>
        </w:rPr>
        <w:t>B</w:t>
      </w:r>
      <w:r w:rsidRPr="00F110C2">
        <w:rPr>
          <w:i/>
          <w:iCs/>
          <w:szCs w:val="24"/>
          <w:vertAlign w:val="subscript"/>
        </w:rPr>
        <w:t>R</w:t>
      </w:r>
      <w:r w:rsidRPr="00F110C2">
        <w:rPr>
          <w:szCs w:val="24"/>
        </w:rPr>
        <w:t>) est exprimée en Hertz tandis que la durée des impulsions et les temps de montée/descente sont exprimés en secondes, sauf indication contraire.</w:t>
      </w:r>
    </w:p>
    <w:p w14:paraId="5EE76FA3" w14:textId="77777777" w:rsidR="00CD45DB" w:rsidRPr="00F110C2" w:rsidRDefault="00CD45DB" w:rsidP="00254EC9">
      <w:pPr>
        <w:pStyle w:val="Heading1"/>
      </w:pPr>
      <w:r w:rsidRPr="00F110C2">
        <w:t>2</w:t>
      </w:r>
      <w:r w:rsidRPr="00F110C2">
        <w:tab/>
        <w:t>Largeur de bande nécessaire</w:t>
      </w:r>
    </w:p>
    <w:p w14:paraId="6FB2A25E" w14:textId="77777777" w:rsidR="00CD45DB" w:rsidRPr="00F110C2" w:rsidRDefault="00CD45DB" w:rsidP="00254EC9">
      <w:r w:rsidRPr="00F110C2">
        <w:t>Il faut connaître la largeur de bande nécessaire d'un émetteur radar pour pouvoir spécifier les limites des émissions dans le domaine hors bande ainsi que la frontière au-delà de laquelle les limites des rayonnements non essentiels s'appliquent.</w:t>
      </w:r>
    </w:p>
    <w:p w14:paraId="330BEE67" w14:textId="77777777" w:rsidR="00CD45DB" w:rsidRPr="00F110C2" w:rsidRDefault="00CD45DB" w:rsidP="00254EC9">
      <w:r w:rsidRPr="00F110C2">
        <w:t>La Recommandation UIT</w:t>
      </w:r>
      <w:r w:rsidRPr="00F110C2">
        <w:noBreakHyphen/>
        <w:t>R SM.1138, à laquelle le RR renvoie, contient des formules à utiliser pour calculer la largeur de bande nécessaire, lorsque celle</w:t>
      </w:r>
      <w:r w:rsidRPr="00F110C2">
        <w:noBreakHyphen/>
        <w:t>ci est requise par le RR. Toutefois, la seule formule applicable aux radars donne des résultats qui peuvent varier d'un facteur dix pour une constante donnée choisie par l'utilisateur. Dans la Recommandation UIT-R SM.853, on considère que les formules de la Recommandation UIT</w:t>
      </w:r>
      <w:r w:rsidRPr="00F110C2">
        <w:noBreakHyphen/>
        <w:t>R SM.1138 sont incomplètes et on recommande de nombreuses autres formules.</w:t>
      </w:r>
    </w:p>
    <w:p w14:paraId="6BC5C1CD" w14:textId="77777777" w:rsidR="00CD45DB" w:rsidRPr="00F110C2" w:rsidRDefault="00CD45DB" w:rsidP="00254EC9">
      <w:pPr>
        <w:pStyle w:val="Heading2"/>
      </w:pPr>
      <w:r w:rsidRPr="00F110C2">
        <w:t>2.1</w:t>
      </w:r>
      <w:r w:rsidRPr="00F110C2">
        <w:tab/>
        <w:t>Impulsions radars non modulées</w:t>
      </w:r>
    </w:p>
    <w:p w14:paraId="1CA8D441" w14:textId="77777777" w:rsidR="00CD45DB" w:rsidRPr="00F110C2" w:rsidRDefault="00CD45DB" w:rsidP="00254EC9">
      <w:pPr>
        <w:keepNext/>
        <w:keepLines/>
      </w:pPr>
      <w:r w:rsidRPr="00F110C2">
        <w:t xml:space="preserve">La Recommandation UIT-R SM.853 donne des indications pour déterminer la largeur de bande nécessaire (20 dB au-dessous de la valeur de crête de l'enveloppe) pour des impulsions rectangulaires et des impulsions trapézoïdales. Pour ces systèmes, la largeur de bande nécessaire </w:t>
      </w:r>
      <w:r w:rsidRPr="00F110C2">
        <w:rPr>
          <w:i/>
          <w:szCs w:val="24"/>
        </w:rPr>
        <w:t>B</w:t>
      </w:r>
      <w:r w:rsidRPr="00F110C2">
        <w:rPr>
          <w:i/>
          <w:position w:val="-4"/>
          <w:szCs w:val="24"/>
          <w:vertAlign w:val="subscript"/>
        </w:rPr>
        <w:t>N</w:t>
      </w:r>
      <w:r w:rsidRPr="00F110C2">
        <w:rPr>
          <w:i/>
        </w:rPr>
        <w:t xml:space="preserve"> </w:t>
      </w:r>
      <w:r w:rsidRPr="00F110C2">
        <w:t>est la plus petite des deux valeurs suivantes:</w:t>
      </w:r>
    </w:p>
    <w:p w14:paraId="13E381FB" w14:textId="77777777" w:rsidR="00CD45DB" w:rsidRPr="00F110C2" w:rsidRDefault="00CD45DB" w:rsidP="00254EC9">
      <w:pPr>
        <w:pStyle w:val="Equation"/>
      </w:pPr>
      <w:r w:rsidRPr="00F110C2">
        <w:rPr>
          <w:position w:val="-10"/>
        </w:rPr>
        <w:object w:dxaOrig="180" w:dyaOrig="340" w14:anchorId="12F89C8A">
          <v:shape id="_x0000_i1592" type="#_x0000_t75" style="width:9.1pt;height:17.45pt" o:ole="">
            <v:imagedata r:id="rId171" o:title=""/>
          </v:shape>
          <o:OLEObject Type="Embed" ProgID="Equation.3" ShapeID="_x0000_i1592" DrawAspect="Content" ObjectID="_1801482054" r:id="rId172"/>
        </w:object>
      </w:r>
      <w:r w:rsidRPr="00F110C2">
        <w:tab/>
      </w:r>
      <w:r w:rsidRPr="00F110C2">
        <w:tab/>
      </w:r>
      <w:r w:rsidRPr="00F110C2">
        <w:rPr>
          <w:position w:val="-36"/>
        </w:rPr>
        <w:object w:dxaOrig="2200" w:dyaOrig="740" w14:anchorId="669A17B9">
          <v:shape id="_x0000_i1593" type="#_x0000_t75" style="width:110.65pt;height:37.9pt" o:ole="">
            <v:imagedata r:id="rId173" o:title=""/>
          </v:shape>
          <o:OLEObject Type="Embed" ProgID="Equation.3" ShapeID="_x0000_i1593" DrawAspect="Content" ObjectID="_1801482055" r:id="rId174"/>
        </w:object>
      </w:r>
      <w:r w:rsidRPr="00F110C2">
        <w:tab/>
        <w:t>(35)</w:t>
      </w:r>
    </w:p>
    <w:p w14:paraId="19FE2EC9" w14:textId="77777777" w:rsidR="00CD45DB" w:rsidRPr="00F110C2" w:rsidRDefault="00CD45DB" w:rsidP="00254EC9">
      <w:r w:rsidRPr="00F110C2">
        <w:t xml:space="preserve">où </w:t>
      </w:r>
      <w:r w:rsidRPr="00F110C2">
        <w:rPr>
          <w:i/>
        </w:rPr>
        <w:t xml:space="preserve">t </w:t>
      </w:r>
      <w:r w:rsidRPr="00F110C2">
        <w:t>est la durée de l'impulsion (à mi</w:t>
      </w:r>
      <w:r w:rsidRPr="00F110C2">
        <w:noBreakHyphen/>
        <w:t xml:space="preserve">amplitude) et </w:t>
      </w:r>
      <w:r w:rsidRPr="00F110C2">
        <w:rPr>
          <w:position w:val="-10"/>
        </w:rPr>
        <w:object w:dxaOrig="220" w:dyaOrig="340" w14:anchorId="408CF9E3">
          <v:shape id="_x0000_i1594" type="#_x0000_t75" style="width:10.6pt;height:17.45pt" o:ole="">
            <v:imagedata r:id="rId175" o:title=""/>
          </v:shape>
          <o:OLEObject Type="Embed" ProgID="Equation.3" ShapeID="_x0000_i1594" DrawAspect="Content" ObjectID="_1801482056" r:id="rId176"/>
        </w:object>
      </w:r>
      <w:r w:rsidRPr="00F110C2">
        <w:rPr>
          <w:i/>
        </w:rPr>
        <w:t xml:space="preserve"> </w:t>
      </w:r>
      <w:r w:rsidRPr="00F110C2">
        <w:t>est le temps de montée, les deux étant exprimés en secondes</w:t>
      </w:r>
      <w:r w:rsidRPr="00F110C2">
        <w:rPr>
          <w:rStyle w:val="FootnoteReference"/>
        </w:rPr>
        <w:footnoteReference w:id="4"/>
      </w:r>
      <w:r w:rsidRPr="00F110C2">
        <w:t>.</w:t>
      </w:r>
    </w:p>
    <w:p w14:paraId="47559C20" w14:textId="77777777" w:rsidR="00CD45DB" w:rsidRPr="00F110C2" w:rsidRDefault="00CD45DB" w:rsidP="00254EC9">
      <w:pPr>
        <w:pStyle w:val="Heading2"/>
        <w:keepNext w:val="0"/>
        <w:keepLines w:val="0"/>
      </w:pPr>
      <w:r w:rsidRPr="00F110C2">
        <w:t>2.2</w:t>
      </w:r>
      <w:r w:rsidRPr="00F110C2">
        <w:tab/>
        <w:t>Autres modulations</w:t>
      </w:r>
    </w:p>
    <w:p w14:paraId="3A535FED" w14:textId="77777777" w:rsidR="00CD45DB" w:rsidRPr="00F110C2" w:rsidRDefault="00CD45DB" w:rsidP="00254EC9">
      <w:r w:rsidRPr="00F110C2">
        <w:t>Les formules donnant la largeur de bande nécessaire pour les radars par impulsions modulées en fréquence, les radars à saut de fréquence et les radars à onde entretenue, non modulée ou modulée en fréquence, sont présentées ci-dessous. Pour les radars par impulsions modulées en fréquence, la formule donnant la largeur de bande nécessaire (largeur de bande à 20 dB) donne un résultat qui est supérieur à celui obtenu dans le cas de l'impulsion trapézoïdale symétrique (équation 35) de deux fois l'excursion de fréquence </w:t>
      </w:r>
      <w:r w:rsidRPr="00F110C2">
        <w:rPr>
          <w:i/>
          <w:iCs/>
        </w:rPr>
        <w:t>B</w:t>
      </w:r>
      <w:r w:rsidRPr="00F110C2">
        <w:rPr>
          <w:i/>
          <w:iCs/>
          <w:position w:val="-4"/>
          <w:sz w:val="20"/>
        </w:rPr>
        <w:t>c</w:t>
      </w:r>
      <w:r w:rsidRPr="00F110C2">
        <w:rPr>
          <w:rStyle w:val="FootnoteReference"/>
        </w:rPr>
        <w:footnoteReference w:id="5"/>
      </w:r>
      <w:r w:rsidRPr="00F110C2">
        <w:t>:</w:t>
      </w:r>
    </w:p>
    <w:p w14:paraId="2B93DAF2" w14:textId="77777777" w:rsidR="00CD45DB" w:rsidRPr="00F110C2" w:rsidRDefault="00CD45DB" w:rsidP="00254EC9">
      <w:pPr>
        <w:pStyle w:val="Equation"/>
        <w:spacing w:before="0"/>
      </w:pPr>
      <w:r w:rsidRPr="00F110C2">
        <w:rPr>
          <w:position w:val="-10"/>
        </w:rPr>
        <w:tab/>
      </w:r>
      <w:r w:rsidRPr="00F110C2">
        <w:rPr>
          <w:position w:val="-10"/>
        </w:rPr>
        <w:tab/>
      </w:r>
      <w:r w:rsidRPr="00F110C2">
        <w:rPr>
          <w:position w:val="-36"/>
        </w:rPr>
        <w:object w:dxaOrig="1980" w:dyaOrig="740" w14:anchorId="7B5B3F98">
          <v:shape id="_x0000_i1595" type="#_x0000_t75" style="width:100.05pt;height:37.9pt" o:ole="">
            <v:imagedata r:id="rId177" o:title=""/>
          </v:shape>
          <o:OLEObject Type="Embed" ProgID="Equation.3" ShapeID="_x0000_i1595" DrawAspect="Content" ObjectID="_1801482057" r:id="rId178"/>
        </w:object>
      </w:r>
      <w:r w:rsidRPr="00F110C2">
        <w:tab/>
        <w:t>(36)</w:t>
      </w:r>
    </w:p>
    <w:p w14:paraId="4710420F" w14:textId="77777777" w:rsidR="00CD45DB" w:rsidRPr="00F110C2" w:rsidRDefault="00CD45DB" w:rsidP="00254EC9">
      <w:r w:rsidRPr="00F110C2">
        <w:lastRenderedPageBreak/>
        <w:t xml:space="preserve">La formule relative aux radars à saut de fréquence comporte un terme </w:t>
      </w:r>
      <w:r w:rsidRPr="00F110C2">
        <w:rPr>
          <w:szCs w:val="24"/>
        </w:rPr>
        <w:t>additionnel </w:t>
      </w:r>
      <w:r w:rsidRPr="00F110C2">
        <w:rPr>
          <w:i/>
          <w:szCs w:val="24"/>
        </w:rPr>
        <w:t>B</w:t>
      </w:r>
      <w:r w:rsidRPr="00F110C2">
        <w:rPr>
          <w:i/>
          <w:position w:val="-4"/>
          <w:szCs w:val="24"/>
          <w:vertAlign w:val="subscript"/>
        </w:rPr>
        <w:t>s</w:t>
      </w:r>
      <w:r w:rsidRPr="00F110C2">
        <w:rPr>
          <w:szCs w:val="24"/>
        </w:rPr>
        <w:t>, pl</w:t>
      </w:r>
      <w:r w:rsidRPr="00F110C2">
        <w:t>age maximale sur laquelle la fréquence de la porteuse sera décalée:</w:t>
      </w:r>
    </w:p>
    <w:p w14:paraId="374C351E" w14:textId="77777777" w:rsidR="00CD45DB" w:rsidRPr="00F110C2" w:rsidRDefault="00CD45DB" w:rsidP="00254EC9">
      <w:pPr>
        <w:pStyle w:val="Equation"/>
      </w:pPr>
      <w:r w:rsidRPr="00F110C2">
        <w:tab/>
      </w:r>
      <w:r w:rsidRPr="00F110C2">
        <w:tab/>
      </w:r>
      <w:r w:rsidRPr="00F110C2">
        <w:rPr>
          <w:position w:val="-36"/>
        </w:rPr>
        <w:object w:dxaOrig="2420" w:dyaOrig="740" w14:anchorId="76A3AB04">
          <v:shape id="_x0000_i1596" type="#_x0000_t75" style="width:122.8pt;height:37.9pt" o:ole="">
            <v:imagedata r:id="rId179" o:title=""/>
          </v:shape>
          <o:OLEObject Type="Embed" ProgID="Equation.3" ShapeID="_x0000_i1596" DrawAspect="Content" ObjectID="_1801482058" r:id="rId180"/>
        </w:object>
      </w:r>
      <w:r w:rsidRPr="00F110C2">
        <w:tab/>
        <w:t>(37)</w:t>
      </w:r>
    </w:p>
    <w:p w14:paraId="3A3AF354" w14:textId="77777777" w:rsidR="00CD45DB" w:rsidRPr="00F110C2" w:rsidRDefault="00CD45DB" w:rsidP="00254EC9">
      <w:r w:rsidRPr="00F110C2">
        <w:t xml:space="preserve">La Recommandation UIT-R SM.1138 ne donne pas de formule sous le titre «onde entretenue pure» (signifiant ici une porteuse sans modulation), mais pour obtenir une valeur réaliste de la largeur de bande nécessaire pour les radars à onde entretenue non modulée, il faudra tenir compte de la tolérance en fréquence et du bruit. Pour les radars à onde entretenue modulée en fréquence, la largeur de bande nécessaire vaut deux fois </w:t>
      </w:r>
      <w:r w:rsidRPr="00F110C2">
        <w:rPr>
          <w:i/>
        </w:rPr>
        <w:t>B</w:t>
      </w:r>
      <w:r w:rsidRPr="00F110C2">
        <w:rPr>
          <w:i/>
          <w:position w:val="-4"/>
          <w:sz w:val="20"/>
        </w:rPr>
        <w:t>d</w:t>
      </w:r>
      <w:r w:rsidRPr="00F110C2">
        <w:t>, excursion de fréquence maximale:</w:t>
      </w:r>
    </w:p>
    <w:p w14:paraId="423DF700" w14:textId="77777777" w:rsidR="00CD45DB" w:rsidRPr="00F110C2" w:rsidRDefault="00CD45DB" w:rsidP="00254EC9">
      <w:pPr>
        <w:pStyle w:val="Equation"/>
      </w:pPr>
      <w:r w:rsidRPr="00F110C2">
        <w:tab/>
      </w:r>
      <w:r w:rsidRPr="00F110C2">
        <w:tab/>
      </w:r>
      <w:r w:rsidRPr="00F110C2">
        <w:rPr>
          <w:position w:val="-12"/>
        </w:rPr>
        <w:object w:dxaOrig="1120" w:dyaOrig="360" w14:anchorId="7FE4C1F1">
          <v:shape id="_x0000_i1597" type="#_x0000_t75" style="width:54.55pt;height:20.45pt" o:ole="">
            <v:imagedata r:id="rId181" o:title=""/>
          </v:shape>
          <o:OLEObject Type="Embed" ProgID="Equation.3" ShapeID="_x0000_i1597" DrawAspect="Content" ObjectID="_1801482059" r:id="rId182"/>
        </w:object>
      </w:r>
      <w:r w:rsidRPr="00F110C2">
        <w:tab/>
        <w:t>(38)</w:t>
      </w:r>
    </w:p>
    <w:p w14:paraId="5E39900B" w14:textId="77777777" w:rsidR="00CD45DB" w:rsidRPr="00F110C2" w:rsidRDefault="00CD45DB" w:rsidP="00254EC9">
      <w:pPr>
        <w:pStyle w:val="Heading2"/>
      </w:pPr>
      <w:r w:rsidRPr="00F110C2">
        <w:t>2.3</w:t>
      </w:r>
      <w:r w:rsidRPr="00F110C2">
        <w:tab/>
        <w:t>Valeurs typiques de la largeur de bande nécessaire</w:t>
      </w:r>
    </w:p>
    <w:p w14:paraId="6157ED0E" w14:textId="77777777" w:rsidR="00CD45DB" w:rsidRPr="00F110C2" w:rsidRDefault="00CD45DB" w:rsidP="00254EC9">
      <w:r w:rsidRPr="00F110C2">
        <w:t>Le Tableau 32 donne des largeurs de bande nécessaires typiques, suivies par les plages de valeurs de la largeur de bande nécessaire, pour quatre types de radars.</w:t>
      </w:r>
    </w:p>
    <w:p w14:paraId="052E23FB" w14:textId="77777777" w:rsidR="00CD45DB" w:rsidRPr="00F110C2" w:rsidRDefault="00CD45DB" w:rsidP="00254EC9">
      <w:pPr>
        <w:pStyle w:val="TableNo"/>
      </w:pPr>
      <w:r w:rsidRPr="00F110C2">
        <w:t>TABLEAU 32</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6"/>
        <w:gridCol w:w="2748"/>
        <w:gridCol w:w="3205"/>
      </w:tblGrid>
      <w:tr w:rsidR="00CD45DB" w:rsidRPr="00F110C2" w14:paraId="5D8673A2" w14:textId="77777777" w:rsidTr="001B4F1B">
        <w:trPr>
          <w:jc w:val="center"/>
        </w:trPr>
        <w:tc>
          <w:tcPr>
            <w:tcW w:w="3395" w:type="dxa"/>
            <w:vAlign w:val="center"/>
          </w:tcPr>
          <w:p w14:paraId="56270B41" w14:textId="77777777" w:rsidR="00CD45DB" w:rsidRPr="00F110C2" w:rsidRDefault="00CD45DB" w:rsidP="00254EC9">
            <w:pPr>
              <w:pStyle w:val="Tablehead"/>
            </w:pPr>
            <w:r w:rsidRPr="00F110C2">
              <w:t>Type de radar</w:t>
            </w:r>
          </w:p>
        </w:tc>
        <w:tc>
          <w:tcPr>
            <w:tcW w:w="2531" w:type="dxa"/>
            <w:vAlign w:val="center"/>
          </w:tcPr>
          <w:p w14:paraId="32E7A9DC" w14:textId="77777777" w:rsidR="00CD45DB" w:rsidRPr="00F110C2" w:rsidRDefault="00CD45DB" w:rsidP="00254EC9">
            <w:pPr>
              <w:pStyle w:val="Tablehead"/>
            </w:pPr>
            <w:r w:rsidRPr="00F110C2">
              <w:rPr>
                <w:i/>
                <w:iCs/>
              </w:rPr>
              <w:t>B</w:t>
            </w:r>
            <w:r w:rsidRPr="00F110C2">
              <w:rPr>
                <w:i/>
                <w:iCs/>
                <w:vertAlign w:val="subscript"/>
              </w:rPr>
              <w:t>N</w:t>
            </w:r>
            <w:r w:rsidRPr="00F110C2">
              <w:t xml:space="preserve"> typique</w:t>
            </w:r>
            <w:r w:rsidRPr="00F110C2">
              <w:br/>
              <w:t>(MHz)</w:t>
            </w:r>
          </w:p>
        </w:tc>
        <w:tc>
          <w:tcPr>
            <w:tcW w:w="2952" w:type="dxa"/>
            <w:vAlign w:val="center"/>
          </w:tcPr>
          <w:p w14:paraId="7C6C3050" w14:textId="77777777" w:rsidR="00CD45DB" w:rsidRPr="00F110C2" w:rsidRDefault="00CD45DB" w:rsidP="00254EC9">
            <w:pPr>
              <w:pStyle w:val="Tablehead"/>
            </w:pPr>
            <w:r w:rsidRPr="00F110C2">
              <w:t xml:space="preserve">Plage de </w:t>
            </w:r>
            <w:r w:rsidRPr="00F110C2">
              <w:rPr>
                <w:i/>
                <w:iCs/>
              </w:rPr>
              <w:t>B</w:t>
            </w:r>
            <w:r w:rsidRPr="00F110C2">
              <w:rPr>
                <w:i/>
                <w:iCs/>
                <w:vertAlign w:val="subscript"/>
              </w:rPr>
              <w:t>N</w:t>
            </w:r>
          </w:p>
        </w:tc>
      </w:tr>
      <w:tr w:rsidR="00CD45DB" w:rsidRPr="00F110C2" w14:paraId="05DB23CE" w14:textId="77777777" w:rsidTr="001B4F1B">
        <w:trPr>
          <w:jc w:val="center"/>
        </w:trPr>
        <w:tc>
          <w:tcPr>
            <w:tcW w:w="3395" w:type="dxa"/>
          </w:tcPr>
          <w:p w14:paraId="0A0EF063" w14:textId="77777777" w:rsidR="00CD45DB" w:rsidRPr="00F110C2" w:rsidRDefault="00CD45DB" w:rsidP="00254EC9">
            <w:pPr>
              <w:pStyle w:val="Tabletext"/>
            </w:pPr>
            <w:r w:rsidRPr="00F110C2">
              <w:t>Radar de radiolocalisation fixe</w:t>
            </w:r>
          </w:p>
          <w:p w14:paraId="7A28B3F8" w14:textId="77777777" w:rsidR="00CD45DB" w:rsidRPr="00F110C2" w:rsidRDefault="00CD45DB" w:rsidP="00254EC9">
            <w:pPr>
              <w:pStyle w:val="Tabletext"/>
            </w:pPr>
            <w:r w:rsidRPr="00F110C2">
              <w:t>Radar de radiolocalisation mobile</w:t>
            </w:r>
          </w:p>
          <w:p w14:paraId="068D1F2B" w14:textId="77777777" w:rsidR="00CD45DB" w:rsidRPr="00F110C2" w:rsidRDefault="00CD45DB" w:rsidP="00254EC9">
            <w:pPr>
              <w:pStyle w:val="Tabletext"/>
            </w:pPr>
            <w:r w:rsidRPr="00F110C2">
              <w:t>Radar de surveillance d'aéroport</w:t>
            </w:r>
          </w:p>
          <w:p w14:paraId="6EF161A7" w14:textId="77777777" w:rsidR="00CD45DB" w:rsidRPr="00F110C2" w:rsidRDefault="00CD45DB" w:rsidP="00254EC9">
            <w:pPr>
              <w:pStyle w:val="Tabletext"/>
            </w:pPr>
            <w:r w:rsidRPr="00F110C2">
              <w:t>Radar météorologique</w:t>
            </w:r>
          </w:p>
        </w:tc>
        <w:tc>
          <w:tcPr>
            <w:tcW w:w="2531" w:type="dxa"/>
          </w:tcPr>
          <w:p w14:paraId="3D3C23E0" w14:textId="77777777" w:rsidR="00CD45DB" w:rsidRPr="00F110C2" w:rsidRDefault="00CD45DB" w:rsidP="00254EC9">
            <w:pPr>
              <w:pStyle w:val="Tabletext"/>
              <w:jc w:val="center"/>
            </w:pPr>
            <w:r w:rsidRPr="00F110C2">
              <w:t>6</w:t>
            </w:r>
          </w:p>
          <w:p w14:paraId="47392AE8" w14:textId="77777777" w:rsidR="00CD45DB" w:rsidRPr="00F110C2" w:rsidRDefault="00CD45DB" w:rsidP="00254EC9">
            <w:pPr>
              <w:pStyle w:val="Tabletext"/>
              <w:jc w:val="center"/>
            </w:pPr>
            <w:r w:rsidRPr="00F110C2">
              <w:t>5,75</w:t>
            </w:r>
          </w:p>
          <w:p w14:paraId="772FDAA6" w14:textId="77777777" w:rsidR="00CD45DB" w:rsidRPr="00F110C2" w:rsidRDefault="00CD45DB" w:rsidP="00254EC9">
            <w:pPr>
              <w:pStyle w:val="Tabletext"/>
              <w:jc w:val="center"/>
            </w:pPr>
            <w:r w:rsidRPr="00F110C2">
              <w:t>6</w:t>
            </w:r>
          </w:p>
          <w:p w14:paraId="01E40061" w14:textId="77777777" w:rsidR="00CD45DB" w:rsidRPr="00F110C2" w:rsidRDefault="00CD45DB" w:rsidP="00254EC9">
            <w:pPr>
              <w:pStyle w:val="Tabletext"/>
              <w:jc w:val="center"/>
            </w:pPr>
            <w:r w:rsidRPr="00F110C2">
              <w:t>1</w:t>
            </w:r>
          </w:p>
        </w:tc>
        <w:tc>
          <w:tcPr>
            <w:tcW w:w="2952" w:type="dxa"/>
          </w:tcPr>
          <w:p w14:paraId="22EF3646" w14:textId="77777777" w:rsidR="00CD45DB" w:rsidRPr="00F110C2" w:rsidRDefault="00CD45DB" w:rsidP="00254EC9">
            <w:pPr>
              <w:pStyle w:val="Tabletext"/>
              <w:jc w:val="center"/>
            </w:pPr>
            <w:r w:rsidRPr="00F110C2">
              <w:t>20 kHz à 1,3 GHz</w:t>
            </w:r>
          </w:p>
          <w:p w14:paraId="4E01D547" w14:textId="77777777" w:rsidR="00CD45DB" w:rsidRPr="00F110C2" w:rsidRDefault="00CD45DB" w:rsidP="00254EC9">
            <w:pPr>
              <w:pStyle w:val="Tabletext"/>
              <w:jc w:val="center"/>
            </w:pPr>
            <w:r w:rsidRPr="00F110C2">
              <w:t>250 kHz à 400 MHz</w:t>
            </w:r>
          </w:p>
          <w:p w14:paraId="375FD7F7" w14:textId="77777777" w:rsidR="00CD45DB" w:rsidRPr="00F110C2" w:rsidRDefault="00CD45DB" w:rsidP="00254EC9">
            <w:pPr>
              <w:pStyle w:val="Tabletext"/>
              <w:jc w:val="center"/>
            </w:pPr>
            <w:r w:rsidRPr="00F110C2">
              <w:t>2,8 MHz à 15 MHz</w:t>
            </w:r>
          </w:p>
          <w:p w14:paraId="72ECEA08" w14:textId="77777777" w:rsidR="00CD45DB" w:rsidRPr="00F110C2" w:rsidRDefault="00CD45DB" w:rsidP="00254EC9">
            <w:pPr>
              <w:pStyle w:val="Tabletext"/>
              <w:jc w:val="center"/>
            </w:pPr>
            <w:r w:rsidRPr="00F110C2">
              <w:t>250 kHz à 3,5 MHz</w:t>
            </w:r>
          </w:p>
        </w:tc>
      </w:tr>
    </w:tbl>
    <w:p w14:paraId="74D833B4" w14:textId="77777777" w:rsidR="001B4F1B" w:rsidRPr="00F110C2" w:rsidRDefault="001B4F1B" w:rsidP="00254EC9">
      <w:pPr>
        <w:pStyle w:val="Tablefin"/>
      </w:pPr>
    </w:p>
    <w:p w14:paraId="42F942B8" w14:textId="48014C48" w:rsidR="00CD45DB" w:rsidRPr="00F110C2" w:rsidRDefault="00CD45DB" w:rsidP="00254EC9">
      <w:pPr>
        <w:pStyle w:val="Heading1"/>
      </w:pPr>
      <w:r w:rsidRPr="00F110C2">
        <w:t>3</w:t>
      </w:r>
      <w:r w:rsidRPr="00F110C2">
        <w:tab/>
        <w:t>Limites des émissions dans le domaine hors bande pour les radars primaires</w:t>
      </w:r>
    </w:p>
    <w:p w14:paraId="6F815F1D" w14:textId="4013B5A8" w:rsidR="00CD45DB" w:rsidRPr="00F110C2" w:rsidRDefault="00CD45DB" w:rsidP="00254EC9">
      <w:r w:rsidRPr="00F110C2">
        <w:t xml:space="preserve">Une difficulté majeure rencontrée lors de l'établissement de limites générales des émissions hors bande pour les radars primaires est la diversité des systèmes et des formes d'onde transmises. Les limites des émissions dans le domaine hors bande pour les radars primaires sont fondées sur la largeur de bande à 40 dB </w:t>
      </w:r>
      <w:r w:rsidRPr="00F110C2">
        <w:rPr>
          <w:iCs/>
        </w:rPr>
        <w:t>(</w:t>
      </w:r>
      <w:r w:rsidRPr="00F110C2">
        <w:rPr>
          <w:i/>
          <w:iCs/>
        </w:rPr>
        <w:t>B</w:t>
      </w:r>
      <w:r w:rsidR="00683612" w:rsidRPr="00F110C2">
        <w:rPr>
          <w:szCs w:val="24"/>
          <w:vertAlign w:val="subscript"/>
        </w:rPr>
        <w:t>−40</w:t>
      </w:r>
      <w:r w:rsidRPr="00F110C2">
        <w:rPr>
          <w:iCs/>
        </w:rPr>
        <w:t>)</w:t>
      </w:r>
      <w:r w:rsidRPr="00F110C2">
        <w:t xml:space="preserve"> du spectre de la forme d'onde transmise.</w:t>
      </w:r>
    </w:p>
    <w:p w14:paraId="512AC64F" w14:textId="2118EA73" w:rsidR="00CD45DB" w:rsidRPr="00F110C2" w:rsidRDefault="00CD45DB" w:rsidP="00254EC9">
      <w:pPr>
        <w:pStyle w:val="Heading2"/>
      </w:pPr>
      <w:r w:rsidRPr="00F110C2">
        <w:t>3.1</w:t>
      </w:r>
      <w:r w:rsidRPr="00F110C2">
        <w:tab/>
        <w:t xml:space="preserve">Formules donnant la largeur de bande à </w:t>
      </w:r>
      <w:r w:rsidRPr="00F110C2">
        <w:rPr>
          <w:i/>
          <w:iCs/>
        </w:rPr>
        <w:t>B</w:t>
      </w:r>
      <w:r w:rsidR="00683612" w:rsidRPr="00F110C2">
        <w:rPr>
          <w:szCs w:val="24"/>
          <w:vertAlign w:val="subscript"/>
        </w:rPr>
        <w:t>−40</w:t>
      </w:r>
      <w:r w:rsidRPr="00F110C2">
        <w:t xml:space="preserve"> dB</w:t>
      </w:r>
    </w:p>
    <w:p w14:paraId="71069864" w14:textId="01101B38" w:rsidR="00CD45DB" w:rsidRPr="00F110C2" w:rsidRDefault="00CD45DB" w:rsidP="00254EC9">
      <w:r w:rsidRPr="00F110C2">
        <w:t xml:space="preserve">Comme le rapport entre la largeur de bande à </w:t>
      </w:r>
      <w:r w:rsidRPr="00F110C2">
        <w:rPr>
          <w:i/>
          <w:iCs/>
        </w:rPr>
        <w:t>B</w:t>
      </w:r>
      <w:r w:rsidR="00683612" w:rsidRPr="00F110C2">
        <w:rPr>
          <w:szCs w:val="24"/>
          <w:vertAlign w:val="subscript"/>
        </w:rPr>
        <w:t>−40</w:t>
      </w:r>
      <w:r w:rsidRPr="00F110C2">
        <w:t xml:space="preserve"> dB et la largeur de bande nécessaire n'est généralement pas constant, il faut une formule donnant la largeur de bande à </w:t>
      </w:r>
      <w:r w:rsidRPr="00F110C2">
        <w:rPr>
          <w:i/>
          <w:iCs/>
        </w:rPr>
        <w:t>B</w:t>
      </w:r>
      <w:r w:rsidR="00683612" w:rsidRPr="00F110C2">
        <w:rPr>
          <w:szCs w:val="24"/>
          <w:vertAlign w:val="subscript"/>
        </w:rPr>
        <w:t>−40</w:t>
      </w:r>
      <w:r w:rsidRPr="00F110C2">
        <w:t xml:space="preserve"> dB afin d'établir une relation entre le gabarit et la largeur de bande nécessaire. On a établi les formules qui suivent pour la largeur de bande à </w:t>
      </w:r>
      <w:r w:rsidRPr="00F110C2">
        <w:rPr>
          <w:i/>
          <w:iCs/>
        </w:rPr>
        <w:t>B</w:t>
      </w:r>
      <w:r w:rsidR="00683612" w:rsidRPr="00F110C2">
        <w:rPr>
          <w:szCs w:val="24"/>
          <w:vertAlign w:val="subscript"/>
        </w:rPr>
        <w:t>−40</w:t>
      </w:r>
      <w:r w:rsidRPr="00F110C2">
        <w:t> dB d'émetteurs radars primaires.</w:t>
      </w:r>
    </w:p>
    <w:p w14:paraId="25113069" w14:textId="77777777" w:rsidR="00CD45DB" w:rsidRPr="00F110C2" w:rsidRDefault="00CD45DB" w:rsidP="00254EC9">
      <w:r w:rsidRPr="00F110C2">
        <w:t>Pour les radars par impulsions non modulées en fréquence, y compris les radars par impulsions codées ou à étalement de spectre, la largeur de bande correspond à la plus petite des deux valeurs suivantes:</w:t>
      </w:r>
    </w:p>
    <w:p w14:paraId="48213AC8" w14:textId="77777777" w:rsidR="00D966AC" w:rsidRPr="00F110C2" w:rsidRDefault="00D966AC" w:rsidP="00254EC9">
      <w:pPr>
        <w:pStyle w:val="Blanc"/>
      </w:pPr>
    </w:p>
    <w:p w14:paraId="4C7673AB" w14:textId="77777777" w:rsidR="00CD45DB" w:rsidRPr="00F110C2" w:rsidRDefault="00CD45DB" w:rsidP="00254EC9">
      <w:pPr>
        <w:pStyle w:val="Equation"/>
      </w:pPr>
      <w:r w:rsidRPr="00F110C2">
        <w:tab/>
      </w:r>
      <w:r w:rsidRPr="00F110C2">
        <w:tab/>
      </w:r>
      <w:r w:rsidRPr="00F110C2">
        <w:rPr>
          <w:position w:val="-36"/>
        </w:rPr>
        <w:object w:dxaOrig="2140" w:dyaOrig="740" w14:anchorId="05F146BF">
          <v:shape id="_x0000_i1598" type="#_x0000_t75" style="width:107.6pt;height:37.9pt" o:ole="">
            <v:imagedata r:id="rId183" o:title=""/>
          </v:shape>
          <o:OLEObject Type="Embed" ProgID="Equation.3" ShapeID="_x0000_i1598" DrawAspect="Content" ObjectID="_1801482060" r:id="rId184"/>
        </w:object>
      </w:r>
      <w:r w:rsidRPr="00F110C2">
        <w:tab/>
        <w:t>(39)</w:t>
      </w:r>
    </w:p>
    <w:p w14:paraId="7740471A" w14:textId="77777777" w:rsidR="00CD45DB" w:rsidRPr="00F110C2" w:rsidRDefault="00CD45DB" w:rsidP="00254EC9">
      <w:pPr>
        <w:keepNext/>
        <w:keepLines/>
      </w:pPr>
      <w:r w:rsidRPr="00F110C2">
        <w:lastRenderedPageBreak/>
        <w:t>où le coefficient</w:t>
      </w:r>
      <w:r w:rsidRPr="00F110C2">
        <w:rPr>
          <w:i/>
        </w:rPr>
        <w:t xml:space="preserve"> K</w:t>
      </w:r>
      <w:r w:rsidRPr="00F110C2">
        <w:t xml:space="preserve"> vaut 6,2 pour les radars ayant une puissance de sortie supérieure à 100 kW et 7,6 pour les radars à plus faible puissance et les radars fonctionnant dans le service de radionavigation dans les bandes 2</w:t>
      </w:r>
      <w:r w:rsidRPr="00F110C2">
        <w:rPr>
          <w:rFonts w:ascii="Tms Rmn" w:hAnsi="Tms Rmn"/>
          <w:sz w:val="12"/>
        </w:rPr>
        <w:t> </w:t>
      </w:r>
      <w:r w:rsidRPr="00F110C2">
        <w:t>900-3</w:t>
      </w:r>
      <w:r w:rsidRPr="00F110C2">
        <w:rPr>
          <w:rFonts w:ascii="Tms Rmn" w:hAnsi="Tms Rmn"/>
          <w:sz w:val="12"/>
        </w:rPr>
        <w:t> </w:t>
      </w:r>
      <w:r w:rsidRPr="00F110C2">
        <w:t>100 MHz et 9</w:t>
      </w:r>
      <w:r w:rsidRPr="00F110C2">
        <w:rPr>
          <w:rFonts w:ascii="Tms Rmn" w:hAnsi="Tms Rmn"/>
          <w:sz w:val="12"/>
        </w:rPr>
        <w:t> </w:t>
      </w:r>
      <w:r w:rsidRPr="00F110C2">
        <w:t>200-9</w:t>
      </w:r>
      <w:r w:rsidRPr="00F110C2">
        <w:rPr>
          <w:rFonts w:ascii="Tms Rmn" w:hAnsi="Tms Rmn"/>
          <w:sz w:val="12"/>
        </w:rPr>
        <w:t> </w:t>
      </w:r>
      <w:r w:rsidRPr="00F110C2">
        <w:t>500 MHz</w:t>
      </w:r>
      <w:r w:rsidRPr="00F110C2">
        <w:rPr>
          <w:rStyle w:val="FootnoteReference"/>
        </w:rPr>
        <w:footnoteReference w:id="6"/>
      </w:r>
      <w:r w:rsidRPr="00F110C2">
        <w:t xml:space="preserve">. La seconde expression s'applique si le temps de montée </w:t>
      </w:r>
      <w:r w:rsidRPr="00F110C2">
        <w:rPr>
          <w:i/>
        </w:rPr>
        <w:t>t</w:t>
      </w:r>
      <w:r w:rsidRPr="00F110C2">
        <w:rPr>
          <w:i/>
          <w:position w:val="-4"/>
          <w:sz w:val="20"/>
        </w:rPr>
        <w:t>r</w:t>
      </w:r>
      <w:r w:rsidRPr="00F110C2">
        <w:t xml:space="preserve"> est inférieur à environ 0,0094</w:t>
      </w:r>
      <w:r w:rsidRPr="00F110C2">
        <w:rPr>
          <w:i/>
        </w:rPr>
        <w:t xml:space="preserve">t </w:t>
      </w:r>
      <w:r w:rsidRPr="00F110C2">
        <w:t xml:space="preserve">lorsque </w:t>
      </w:r>
      <w:r w:rsidRPr="00F110C2">
        <w:rPr>
          <w:i/>
        </w:rPr>
        <w:t>K</w:t>
      </w:r>
      <w:r w:rsidRPr="00F110C2">
        <w:t xml:space="preserve"> vaut 6,2 ou à environ 0,014</w:t>
      </w:r>
      <w:r w:rsidRPr="00F110C2">
        <w:rPr>
          <w:i/>
        </w:rPr>
        <w:t>t</w:t>
      </w:r>
      <w:r w:rsidRPr="00F110C2">
        <w:t xml:space="preserve"> lorsque </w:t>
      </w:r>
      <w:r w:rsidRPr="00F110C2">
        <w:rPr>
          <w:i/>
        </w:rPr>
        <w:t>K</w:t>
      </w:r>
      <w:r w:rsidRPr="00F110C2">
        <w:t xml:space="preserve"> vaut 7,6.</w:t>
      </w:r>
    </w:p>
    <w:p w14:paraId="77F4A46E" w14:textId="327A396A" w:rsidR="00CD45DB" w:rsidRPr="00F110C2" w:rsidRDefault="00CD45DB" w:rsidP="00254EC9">
      <w:r w:rsidRPr="00F110C2">
        <w:t xml:space="preserve">Pour les radars par impulsions modulées en fréquence, la largeur de bande à </w:t>
      </w:r>
      <w:r w:rsidRPr="00F110C2">
        <w:rPr>
          <w:i/>
          <w:iCs/>
          <w:szCs w:val="24"/>
        </w:rPr>
        <w:t>B</w:t>
      </w:r>
      <w:r w:rsidR="00683612" w:rsidRPr="00F110C2">
        <w:rPr>
          <w:szCs w:val="24"/>
          <w:vertAlign w:val="subscript"/>
        </w:rPr>
        <w:t>−40</w:t>
      </w:r>
      <w:r w:rsidRPr="00F110C2">
        <w:t xml:space="preserve"> est la suivante:</w:t>
      </w:r>
    </w:p>
    <w:p w14:paraId="7F55170E" w14:textId="77777777" w:rsidR="00CD45DB" w:rsidRPr="00F110C2" w:rsidRDefault="00CD45DB" w:rsidP="00254EC9">
      <w:pPr>
        <w:pStyle w:val="Blanc"/>
        <w:keepNext w:val="0"/>
        <w:keepLines w:val="0"/>
      </w:pPr>
    </w:p>
    <w:p w14:paraId="7E62611A" w14:textId="77777777" w:rsidR="00CD45DB" w:rsidRPr="00F110C2" w:rsidRDefault="00CD45DB" w:rsidP="00254EC9">
      <w:pPr>
        <w:pStyle w:val="Equation"/>
      </w:pPr>
      <w:r w:rsidRPr="00F110C2">
        <w:tab/>
      </w:r>
      <w:r w:rsidRPr="00F110C2">
        <w:rPr>
          <w:position w:val="-14"/>
        </w:rPr>
        <w:object w:dxaOrig="8960" w:dyaOrig="440" w14:anchorId="1433BB2C">
          <v:shape id="_x0000_i1599" type="#_x0000_t75" style="width:403.95pt;height:20.45pt" o:ole="">
            <v:imagedata r:id="rId185" o:title=""/>
          </v:shape>
          <o:OLEObject Type="Embed" ProgID="Equation.3" ShapeID="_x0000_i1599" DrawAspect="Content" ObjectID="_1801482061" r:id="rId186"/>
        </w:object>
      </w:r>
      <w:r w:rsidRPr="00F110C2">
        <w:tab/>
        <w:t>(40)</w:t>
      </w:r>
    </w:p>
    <w:p w14:paraId="1F342DBD" w14:textId="77777777" w:rsidR="00CD45DB" w:rsidRPr="00F110C2" w:rsidRDefault="00CD45DB" w:rsidP="00254EC9">
      <w:pPr>
        <w:pStyle w:val="Blanc"/>
        <w:keepNext w:val="0"/>
        <w:keepLines w:val="0"/>
      </w:pPr>
    </w:p>
    <w:p w14:paraId="2FCB78EA" w14:textId="77777777" w:rsidR="00CD45DB" w:rsidRPr="00F110C2" w:rsidRDefault="00CD45DB" w:rsidP="00254EC9">
      <w:r w:rsidRPr="00F110C2">
        <w:t>où:</w:t>
      </w:r>
    </w:p>
    <w:p w14:paraId="2BEA66E6" w14:textId="77777777" w:rsidR="00CD45DB" w:rsidRPr="00F110C2" w:rsidRDefault="00CD45DB" w:rsidP="00254EC9">
      <w:pPr>
        <w:pStyle w:val="Equation"/>
        <w:rPr>
          <w:lang w:eastAsia="zh-CN"/>
        </w:rPr>
      </w:pPr>
      <w:r w:rsidRPr="00F110C2">
        <w:rPr>
          <w:lang w:eastAsia="zh-CN"/>
        </w:rPr>
        <w:tab/>
      </w:r>
      <w:r w:rsidRPr="00F110C2">
        <w:rPr>
          <w:lang w:eastAsia="zh-CN"/>
        </w:rPr>
        <w:tab/>
      </w:r>
      <w:r w:rsidRPr="00F110C2">
        <w:rPr>
          <w:position w:val="-32"/>
        </w:rPr>
        <w:object w:dxaOrig="1400" w:dyaOrig="700" w14:anchorId="1FA039CA">
          <v:shape id="_x0000_i1600" type="#_x0000_t75" style="width:59.1pt;height:31.85pt" o:ole="">
            <v:imagedata r:id="rId187" o:title=""/>
          </v:shape>
          <o:OLEObject Type="Embed" ProgID="Equation.3" ShapeID="_x0000_i1600" DrawAspect="Content" ObjectID="_1801482062" r:id="rId188"/>
        </w:object>
      </w:r>
      <w:r w:rsidRPr="00F110C2">
        <w:rPr>
          <w:position w:val="-34"/>
        </w:rPr>
        <w:t>           </w:t>
      </w:r>
      <w:r w:rsidRPr="00F110C2">
        <w:t>pour tenir compte du temps de montée</w:t>
      </w:r>
      <w:r w:rsidRPr="00F110C2">
        <w:rPr>
          <w:lang w:eastAsia="zh-CN"/>
        </w:rPr>
        <w:tab/>
      </w:r>
      <w:r w:rsidRPr="00F110C2">
        <w:t>(41)</w:t>
      </w:r>
    </w:p>
    <w:p w14:paraId="5A7A60BE" w14:textId="77777777" w:rsidR="00CD45DB" w:rsidRPr="00F110C2" w:rsidRDefault="00CD45DB" w:rsidP="00254EC9">
      <w:pPr>
        <w:pStyle w:val="Equation"/>
        <w:rPr>
          <w:lang w:eastAsia="zh-CN"/>
        </w:rPr>
      </w:pPr>
      <w:r w:rsidRPr="00F110C2">
        <w:rPr>
          <w:lang w:eastAsia="zh-CN"/>
        </w:rPr>
        <w:tab/>
      </w:r>
      <w:r w:rsidRPr="00F110C2">
        <w:rPr>
          <w:lang w:eastAsia="zh-CN"/>
        </w:rPr>
        <w:tab/>
      </w:r>
      <w:r w:rsidRPr="00F110C2">
        <w:rPr>
          <w:position w:val="-36"/>
        </w:rPr>
        <w:object w:dxaOrig="1460" w:dyaOrig="740" w14:anchorId="60D5B3B4">
          <v:shape id="_x0000_i1601" type="#_x0000_t75" style="width:64.4pt;height:31.85pt" o:ole="">
            <v:imagedata r:id="rId189" o:title=""/>
          </v:shape>
          <o:OLEObject Type="Embed" ProgID="Equation.3" ShapeID="_x0000_i1601" DrawAspect="Content" ObjectID="_1801482063" r:id="rId190"/>
        </w:object>
      </w:r>
      <w:r w:rsidRPr="00F110C2">
        <w:t>           pour tenir compte du temps de descente</w:t>
      </w:r>
      <w:r w:rsidRPr="00F110C2">
        <w:rPr>
          <w:lang w:eastAsia="zh-CN"/>
        </w:rPr>
        <w:tab/>
      </w:r>
      <w:r w:rsidRPr="00F110C2">
        <w:t>(42)</w:t>
      </w:r>
    </w:p>
    <w:p w14:paraId="4BE0B97E" w14:textId="77777777" w:rsidR="00D966AC" w:rsidRPr="00F110C2" w:rsidRDefault="00D966AC" w:rsidP="00254EC9">
      <w:pPr>
        <w:pStyle w:val="Blanc"/>
      </w:pPr>
    </w:p>
    <w:p w14:paraId="23DE350A" w14:textId="77777777" w:rsidR="00CD45DB" w:rsidRPr="00F110C2" w:rsidRDefault="00CD45DB" w:rsidP="00254EC9">
      <w:pPr>
        <w:pStyle w:val="Equation"/>
      </w:pPr>
      <w:r w:rsidRPr="00F110C2">
        <w:rPr>
          <w:position w:val="-36"/>
        </w:rPr>
        <w:object w:dxaOrig="2180" w:dyaOrig="740" w14:anchorId="015BD883">
          <v:shape id="_x0000_i1602" type="#_x0000_t75" style="width:93.2pt;height:34.1pt" o:ole="">
            <v:imagedata r:id="rId191" o:title=""/>
          </v:shape>
          <o:OLEObject Type="Embed" ProgID="Equation.3" ShapeID="_x0000_i1602" DrawAspect="Content" ObjectID="_1801482064" r:id="rId192"/>
        </w:object>
      </w:r>
      <w:r w:rsidRPr="00F110C2">
        <w:t xml:space="preserve">     pour tenir compte du temps de montée et du temps de descente combinés</w:t>
      </w:r>
      <w:r w:rsidRPr="00F110C2">
        <w:rPr>
          <w:lang w:eastAsia="zh-CN"/>
        </w:rPr>
        <w:tab/>
      </w:r>
      <w:r w:rsidRPr="00F110C2">
        <w:t>(43)</w:t>
      </w:r>
    </w:p>
    <w:p w14:paraId="1EA57635" w14:textId="3692D40D" w:rsidR="00CD45DB" w:rsidRPr="00F110C2" w:rsidRDefault="00CD45DB" w:rsidP="00254EC9">
      <w:pPr>
        <w:pStyle w:val="Equationlegend"/>
        <w:rPr>
          <w:lang w:val="fr-FR" w:eastAsia="zh-CN"/>
        </w:rPr>
      </w:pPr>
      <w:r w:rsidRPr="00F110C2">
        <w:rPr>
          <w:i/>
          <w:iCs/>
          <w:szCs w:val="24"/>
          <w:lang w:val="fr-FR"/>
        </w:rPr>
        <w:tab/>
      </w:r>
      <w:r w:rsidRPr="00F110C2">
        <w:rPr>
          <w:szCs w:val="24"/>
          <w:lang w:val="fr-FR"/>
        </w:rPr>
        <w:sym w:font="Symbol" w:char="F074"/>
      </w:r>
      <w:r w:rsidR="001B4F1B" w:rsidRPr="00F110C2">
        <w:rPr>
          <w:szCs w:val="24"/>
          <w:lang w:val="fr-FR"/>
        </w:rPr>
        <w:t xml:space="preserve"> </w:t>
      </w:r>
      <w:r w:rsidRPr="00F110C2">
        <w:rPr>
          <w:szCs w:val="24"/>
          <w:lang w:val="fr-FR"/>
        </w:rPr>
        <w:t>:</w:t>
      </w:r>
      <w:r w:rsidRPr="00F110C2">
        <w:rPr>
          <w:i/>
          <w:iCs/>
          <w:szCs w:val="24"/>
          <w:lang w:val="fr-FR"/>
        </w:rPr>
        <w:tab/>
      </w:r>
      <w:r w:rsidRPr="00F110C2">
        <w:rPr>
          <w:lang w:val="fr-FR"/>
        </w:rPr>
        <w:t>durée de l'impulsion, y compris le temps de montée et le temps de descente</w:t>
      </w:r>
    </w:p>
    <w:p w14:paraId="4CB4A439" w14:textId="05C7EE19" w:rsidR="00CD45DB" w:rsidRPr="00F110C2" w:rsidRDefault="00CD45DB" w:rsidP="00254EC9">
      <w:pPr>
        <w:pStyle w:val="Equationlegend"/>
        <w:rPr>
          <w:lang w:val="fr-FR" w:eastAsia="zh-CN"/>
        </w:rPr>
      </w:pPr>
      <w:r w:rsidRPr="00F110C2">
        <w:rPr>
          <w:lang w:val="fr-FR" w:eastAsia="zh-CN"/>
        </w:rPr>
        <w:tab/>
      </w:r>
      <w:r w:rsidRPr="00F110C2">
        <w:rPr>
          <w:i/>
          <w:iCs/>
          <w:lang w:val="fr-FR"/>
        </w:rPr>
        <w:t>t</w:t>
      </w:r>
      <w:r w:rsidRPr="00F110C2">
        <w:rPr>
          <w:i/>
          <w:iCs/>
          <w:vertAlign w:val="subscript"/>
          <w:lang w:val="fr-FR"/>
        </w:rPr>
        <w:t>r</w:t>
      </w:r>
      <w:r w:rsidR="001B4F1B" w:rsidRPr="00F110C2">
        <w:rPr>
          <w:i/>
          <w:iCs/>
          <w:vertAlign w:val="subscript"/>
          <w:lang w:val="fr-FR"/>
        </w:rPr>
        <w:t xml:space="preserve"> </w:t>
      </w:r>
      <w:r w:rsidRPr="00F110C2">
        <w:rPr>
          <w:szCs w:val="24"/>
          <w:lang w:val="fr-FR"/>
        </w:rPr>
        <w:t>:</w:t>
      </w:r>
      <w:r w:rsidRPr="00F110C2">
        <w:rPr>
          <w:lang w:val="fr-FR" w:eastAsia="zh-CN"/>
        </w:rPr>
        <w:tab/>
      </w:r>
      <w:r w:rsidRPr="00F110C2">
        <w:rPr>
          <w:lang w:val="fr-FR"/>
        </w:rPr>
        <w:t>temps de montée de l'impulsion</w:t>
      </w:r>
    </w:p>
    <w:p w14:paraId="490CF7CC" w14:textId="2877EC91" w:rsidR="00CD45DB" w:rsidRPr="00F110C2" w:rsidRDefault="00CD45DB" w:rsidP="00254EC9">
      <w:pPr>
        <w:pStyle w:val="Equationlegend"/>
        <w:rPr>
          <w:lang w:val="fr-FR" w:eastAsia="zh-CN"/>
        </w:rPr>
      </w:pPr>
      <w:r w:rsidRPr="00F110C2">
        <w:rPr>
          <w:lang w:val="fr-FR" w:eastAsia="zh-CN"/>
        </w:rPr>
        <w:tab/>
      </w:r>
      <w:r w:rsidRPr="00F110C2">
        <w:rPr>
          <w:i/>
          <w:iCs/>
          <w:lang w:val="fr-FR"/>
        </w:rPr>
        <w:t>t</w:t>
      </w:r>
      <w:r w:rsidRPr="00F110C2">
        <w:rPr>
          <w:i/>
          <w:iCs/>
          <w:vertAlign w:val="subscript"/>
          <w:lang w:val="fr-FR"/>
        </w:rPr>
        <w:t>f</w:t>
      </w:r>
      <w:r w:rsidR="001B4F1B" w:rsidRPr="00F110C2">
        <w:rPr>
          <w:i/>
          <w:iCs/>
          <w:vertAlign w:val="subscript"/>
          <w:lang w:val="fr-FR"/>
        </w:rPr>
        <w:t xml:space="preserve"> </w:t>
      </w:r>
      <w:r w:rsidRPr="00F110C2">
        <w:rPr>
          <w:szCs w:val="24"/>
          <w:lang w:val="fr-FR"/>
        </w:rPr>
        <w:t>:</w:t>
      </w:r>
      <w:r w:rsidRPr="00F110C2">
        <w:rPr>
          <w:lang w:val="fr-FR" w:eastAsia="zh-CN"/>
        </w:rPr>
        <w:tab/>
      </w:r>
      <w:r w:rsidRPr="00F110C2">
        <w:rPr>
          <w:lang w:val="fr-FR"/>
        </w:rPr>
        <w:t>temps de descente de l'impulsion</w:t>
      </w:r>
    </w:p>
    <w:p w14:paraId="118B25D4" w14:textId="59EBB192" w:rsidR="00CD45DB" w:rsidRPr="00F110C2" w:rsidRDefault="00CD45DB" w:rsidP="00254EC9">
      <w:pPr>
        <w:pStyle w:val="Equationlegend"/>
        <w:rPr>
          <w:lang w:val="fr-FR"/>
        </w:rPr>
      </w:pPr>
      <w:r w:rsidRPr="00F110C2">
        <w:rPr>
          <w:lang w:val="fr-FR" w:eastAsia="zh-CN"/>
        </w:rPr>
        <w:tab/>
      </w:r>
      <w:r w:rsidRPr="00F110C2">
        <w:rPr>
          <w:i/>
          <w:iCs/>
          <w:lang w:val="fr-FR"/>
        </w:rPr>
        <w:t>B</w:t>
      </w:r>
      <w:r w:rsidRPr="00F110C2">
        <w:rPr>
          <w:i/>
          <w:iCs/>
          <w:vertAlign w:val="subscript"/>
          <w:lang w:val="fr-FR"/>
        </w:rPr>
        <w:t>c</w:t>
      </w:r>
      <w:r w:rsidR="001B4F1B" w:rsidRPr="00F110C2">
        <w:rPr>
          <w:i/>
          <w:iCs/>
          <w:vertAlign w:val="subscript"/>
          <w:lang w:val="fr-FR"/>
        </w:rPr>
        <w:t xml:space="preserve"> </w:t>
      </w:r>
      <w:r w:rsidRPr="00F110C2">
        <w:rPr>
          <w:szCs w:val="24"/>
          <w:lang w:val="fr-FR"/>
        </w:rPr>
        <w:t>:</w:t>
      </w:r>
      <w:r w:rsidRPr="00F110C2">
        <w:rPr>
          <w:lang w:val="fr-FR" w:eastAsia="zh-CN"/>
        </w:rPr>
        <w:tab/>
      </w:r>
      <w:r w:rsidRPr="00F110C2">
        <w:rPr>
          <w:lang w:val="fr-FR"/>
        </w:rPr>
        <w:t>largeur de bande de l'excursion de fréquence (déplacement total de fréquence pendant la production d'impulsions)</w:t>
      </w:r>
    </w:p>
    <w:p w14:paraId="2236EBE4" w14:textId="0BECF926" w:rsidR="00CD45DB" w:rsidRPr="00F110C2" w:rsidRDefault="00CD45DB" w:rsidP="00254EC9">
      <w:pPr>
        <w:pStyle w:val="Equationlegend"/>
        <w:rPr>
          <w:lang w:val="fr-FR" w:eastAsia="zh-CN"/>
        </w:rPr>
      </w:pPr>
      <w:r w:rsidRPr="00F110C2">
        <w:rPr>
          <w:lang w:val="fr-FR"/>
        </w:rPr>
        <w:tab/>
      </w:r>
      <w:r w:rsidRPr="00F110C2">
        <w:rPr>
          <w:i/>
          <w:iCs/>
          <w:lang w:val="fr-FR"/>
        </w:rPr>
        <w:t>B</w:t>
      </w:r>
      <w:r w:rsidR="00A91026" w:rsidRPr="00F110C2">
        <w:rPr>
          <w:i/>
          <w:iCs/>
          <w:vertAlign w:val="subscript"/>
          <w:lang w:val="fr-FR"/>
        </w:rPr>
        <w:t>s</w:t>
      </w:r>
      <w:r w:rsidR="001B4F1B" w:rsidRPr="00F110C2">
        <w:rPr>
          <w:i/>
          <w:iCs/>
          <w:vertAlign w:val="subscript"/>
          <w:lang w:val="fr-FR"/>
        </w:rPr>
        <w:t xml:space="preserve"> </w:t>
      </w:r>
      <w:r w:rsidRPr="00F110C2">
        <w:rPr>
          <w:szCs w:val="24"/>
          <w:lang w:val="fr-FR"/>
        </w:rPr>
        <w:t>:</w:t>
      </w:r>
      <w:r w:rsidRPr="00F110C2">
        <w:rPr>
          <w:lang w:val="fr-FR"/>
        </w:rPr>
        <w:tab/>
        <w:t xml:space="preserve">plage maximale sur laquelle la fréquence de la porteuse sera décalée, </w:t>
      </w:r>
      <w:r w:rsidRPr="00F110C2">
        <w:rPr>
          <w:i/>
          <w:iCs/>
          <w:lang w:val="fr-FR"/>
        </w:rPr>
        <w:t>B</w:t>
      </w:r>
      <w:r w:rsidRPr="00F110C2">
        <w:rPr>
          <w:i/>
          <w:iCs/>
          <w:vertAlign w:val="subscript"/>
          <w:lang w:val="fr-FR"/>
        </w:rPr>
        <w:t xml:space="preserve">s </w:t>
      </w:r>
      <w:r w:rsidRPr="00F110C2">
        <w:rPr>
          <w:lang w:val="fr-FR"/>
        </w:rPr>
        <w:t>est égal à zéro dans le cas de radars sans sauts de fréquence.</w:t>
      </w:r>
    </w:p>
    <w:p w14:paraId="3004544F" w14:textId="77777777" w:rsidR="00CD45DB" w:rsidRPr="00F110C2" w:rsidRDefault="00CD45DB" w:rsidP="00254EC9">
      <w:pPr>
        <w:keepNext/>
        <w:keepLines/>
      </w:pPr>
      <w:r w:rsidRPr="00F110C2">
        <w:lastRenderedPageBreak/>
        <w:t>La formule (40) est applicable uniquement lorsque les conditions suivantes sont respectées:</w:t>
      </w:r>
    </w:p>
    <w:p w14:paraId="3123234E" w14:textId="77777777" w:rsidR="00CD45DB" w:rsidRPr="00F110C2" w:rsidRDefault="00CD45DB" w:rsidP="00254EC9">
      <w:pPr>
        <w:pStyle w:val="enumlev1"/>
        <w:keepNext/>
        <w:keepLines/>
      </w:pPr>
      <w:r w:rsidRPr="00F110C2">
        <w:t>1)</w:t>
      </w:r>
      <w:r w:rsidRPr="00F110C2">
        <w:tab/>
        <w:t xml:space="preserve">le produit </w:t>
      </w:r>
      <w:r w:rsidRPr="00F110C2">
        <w:rPr>
          <w:position w:val="-14"/>
          <w:lang w:eastAsia="ja-JP"/>
        </w:rPr>
        <w:object w:dxaOrig="2180" w:dyaOrig="380" w14:anchorId="3B8DBE15">
          <v:shape id="_x0000_i1603" type="#_x0000_t75" style="width:108.4pt;height:19.7pt" o:ole="">
            <v:imagedata r:id="rId193" o:title=""/>
          </v:shape>
          <o:OLEObject Type="Embed" ProgID="Equation.3" ShapeID="_x0000_i1603" DrawAspect="Content" ObjectID="_1801482065" r:id="rId194"/>
        </w:object>
      </w:r>
      <w:r w:rsidRPr="00F110C2">
        <w:t xml:space="preserve"> est supérieur ou égal à 0,10; et </w:t>
      </w:r>
    </w:p>
    <w:p w14:paraId="2C0E418D" w14:textId="77777777" w:rsidR="00CD45DB" w:rsidRPr="00F110C2" w:rsidRDefault="00CD45DB" w:rsidP="00254EC9">
      <w:pPr>
        <w:pStyle w:val="enumlev1"/>
      </w:pPr>
      <w:r w:rsidRPr="00F110C2">
        <w:t>2)</w:t>
      </w:r>
      <w:r w:rsidRPr="00F110C2">
        <w:tab/>
        <w:t xml:space="preserve">le produit de </w:t>
      </w:r>
      <w:r w:rsidRPr="00F110C2">
        <w:rPr>
          <w:position w:val="-12"/>
        </w:rPr>
        <w:object w:dxaOrig="560" w:dyaOrig="360" w14:anchorId="47C1F0B7">
          <v:shape id="_x0000_i1604" type="#_x0000_t75" style="width:27.3pt;height:20.45pt" o:ole="">
            <v:imagedata r:id="rId195" o:title=""/>
          </v:shape>
          <o:OLEObject Type="Embed" ProgID="Equation.3" ShapeID="_x0000_i1604" DrawAspect="Content" ObjectID="_1801482066" r:id="rId196"/>
        </w:object>
      </w:r>
      <w:r w:rsidRPr="00F110C2">
        <w:t xml:space="preserve"> ou le taux de compression doit être supérieur à 10. </w:t>
      </w:r>
    </w:p>
    <w:p w14:paraId="39F58C60" w14:textId="77777777" w:rsidR="00CD45DB" w:rsidRPr="00F110C2" w:rsidRDefault="00CD45DB" w:rsidP="00254EC9">
      <w:pPr>
        <w:keepNext/>
        <w:keepLines/>
        <w:rPr>
          <w:lang w:eastAsia="ja-JP"/>
        </w:rPr>
      </w:pPr>
      <w:r w:rsidRPr="00F110C2">
        <w:t>Dans tous les autres cas, il convient d'appliquer les formules ci-après:</w:t>
      </w:r>
    </w:p>
    <w:p w14:paraId="1C1703A9" w14:textId="77777777" w:rsidR="00CD45DB" w:rsidRPr="00F110C2" w:rsidRDefault="00CD45DB" w:rsidP="00254EC9">
      <w:pPr>
        <w:pStyle w:val="Equation"/>
      </w:pPr>
      <w:r w:rsidRPr="00F110C2">
        <w:tab/>
      </w:r>
      <w:r w:rsidRPr="00F110C2">
        <w:tab/>
      </w:r>
      <w:r w:rsidRPr="00F110C2">
        <w:rPr>
          <w:position w:val="-32"/>
        </w:rPr>
        <w:object w:dxaOrig="2740" w:dyaOrig="760" w14:anchorId="763C6D8D">
          <v:shape id="_x0000_i1605" type="#_x0000_t75" style="width:136.4pt;height:35.6pt" o:ole="" fillcolor="window">
            <v:imagedata r:id="rId197" o:title=""/>
          </v:shape>
          <o:OLEObject Type="Embed" ProgID="Equation.3" ShapeID="_x0000_i1605" DrawAspect="Content" ObjectID="_1801482067" r:id="rId198"/>
        </w:object>
      </w:r>
      <w:r w:rsidRPr="00F110C2">
        <w:tab/>
        <w:t>(44)</w:t>
      </w:r>
    </w:p>
    <w:p w14:paraId="39F43A7E" w14:textId="77777777" w:rsidR="00CD45DB" w:rsidRPr="00F110C2" w:rsidRDefault="00CD45DB" w:rsidP="00254EC9">
      <w:r w:rsidRPr="00F110C2">
        <w:t xml:space="preserve">où </w:t>
      </w:r>
      <w:r w:rsidRPr="00F110C2">
        <w:rPr>
          <w:i/>
        </w:rPr>
        <w:t>A</w:t>
      </w:r>
      <w:r w:rsidRPr="00F110C2">
        <w:rPr>
          <w:rStyle w:val="FootnoteReference"/>
          <w:iCs/>
        </w:rPr>
        <w:footnoteReference w:id="7"/>
      </w:r>
      <w:r w:rsidRPr="00F110C2">
        <w:rPr>
          <w:iCs/>
        </w:rPr>
        <w:t xml:space="preserve"> </w:t>
      </w:r>
      <w:r w:rsidRPr="00F110C2">
        <w:t xml:space="preserve">vaut 0,105 lorsque </w:t>
      </w:r>
      <w:r w:rsidRPr="00F110C2">
        <w:rPr>
          <w:i/>
        </w:rPr>
        <w:t>K</w:t>
      </w:r>
      <w:r w:rsidRPr="00F110C2">
        <w:t xml:space="preserve"> = 6,2 et 0,065 lorsque </w:t>
      </w:r>
      <w:r w:rsidRPr="00F110C2">
        <w:rPr>
          <w:i/>
        </w:rPr>
        <w:t>K</w:t>
      </w:r>
      <w:r w:rsidRPr="00F110C2">
        <w:t> = 7,6.</w:t>
      </w:r>
    </w:p>
    <w:p w14:paraId="6974D447" w14:textId="429E29CB" w:rsidR="00CD45DB" w:rsidRPr="00F110C2" w:rsidRDefault="00CD45DB" w:rsidP="00254EC9">
      <w:r w:rsidRPr="00F110C2">
        <w:t xml:space="preserve">Pour les radars par impulsions modulées en fréquence avec saut de fréquence, la valeur de </w:t>
      </w:r>
      <w:r w:rsidRPr="00F110C2">
        <w:rPr>
          <w:i/>
          <w:iCs/>
        </w:rPr>
        <w:t>B</w:t>
      </w:r>
      <w:r w:rsidRPr="00F110C2">
        <w:rPr>
          <w:i/>
          <w:iCs/>
          <w:vertAlign w:val="subscript"/>
        </w:rPr>
        <w:t xml:space="preserve">s </w:t>
      </w:r>
      <w:r w:rsidRPr="00F110C2">
        <w:t xml:space="preserve">doit être ajoutée à celle de </w:t>
      </w:r>
      <w:r w:rsidRPr="00F110C2">
        <w:rPr>
          <w:i/>
          <w:iCs/>
        </w:rPr>
        <w:t>B</w:t>
      </w:r>
      <w:r w:rsidR="00683612" w:rsidRPr="00F110C2">
        <w:rPr>
          <w:szCs w:val="24"/>
          <w:vertAlign w:val="subscript"/>
        </w:rPr>
        <w:t>−40</w:t>
      </w:r>
      <w:r w:rsidRPr="00F110C2">
        <w:t xml:space="preserve"> (formule (40) ou (44)) pour la largeur de bande à </w:t>
      </w:r>
      <w:r w:rsidR="00683612" w:rsidRPr="00F110C2">
        <w:rPr>
          <w:i/>
          <w:iCs/>
        </w:rPr>
        <w:t>B</w:t>
      </w:r>
      <w:r w:rsidR="00683612" w:rsidRPr="00F110C2">
        <w:rPr>
          <w:szCs w:val="24"/>
          <w:vertAlign w:val="subscript"/>
        </w:rPr>
        <w:t>−40</w:t>
      </w:r>
      <w:r w:rsidR="00683612" w:rsidRPr="00F110C2">
        <w:t xml:space="preserve"> </w:t>
      </w:r>
      <w:r w:rsidRPr="00F110C2">
        <w:t>dB du radar à saut de fréquence</w:t>
      </w:r>
      <w:r w:rsidRPr="00F110C2">
        <w:rPr>
          <w:rStyle w:val="FootnoteReference"/>
        </w:rPr>
        <w:footnoteReference w:id="8"/>
      </w:r>
      <w:r w:rsidRPr="00F110C2">
        <w:t>:</w:t>
      </w:r>
    </w:p>
    <w:p w14:paraId="4200A632" w14:textId="01AC1A13" w:rsidR="00CD45DB" w:rsidRPr="00F110C2" w:rsidRDefault="00CD45DB" w:rsidP="00254EC9">
      <w:pPr>
        <w:keepNext/>
        <w:keepLines/>
      </w:pPr>
      <w:r w:rsidRPr="00F110C2">
        <w:t xml:space="preserve">Pour les radars à onde entretenue non modulée, la largeur de bande à </w:t>
      </w:r>
      <w:r w:rsidR="00683612" w:rsidRPr="00F110C2">
        <w:rPr>
          <w:i/>
          <w:iCs/>
        </w:rPr>
        <w:t>B</w:t>
      </w:r>
      <w:r w:rsidR="00683612" w:rsidRPr="00F110C2">
        <w:rPr>
          <w:szCs w:val="24"/>
          <w:vertAlign w:val="subscript"/>
        </w:rPr>
        <w:t>−40</w:t>
      </w:r>
      <w:r w:rsidRPr="00F110C2">
        <w:t xml:space="preserve"> dB vaut:</w:t>
      </w:r>
    </w:p>
    <w:p w14:paraId="2DF4B66A" w14:textId="77777777" w:rsidR="00CD45DB" w:rsidRPr="00F110C2" w:rsidRDefault="00CD45DB" w:rsidP="00254EC9">
      <w:pPr>
        <w:pStyle w:val="Equation"/>
        <w:ind w:left="4820" w:hanging="4820"/>
      </w:pPr>
      <w:r w:rsidRPr="00F110C2">
        <w:tab/>
      </w:r>
      <w:r w:rsidRPr="00F110C2">
        <w:tab/>
      </w:r>
      <w:r w:rsidRPr="00F110C2">
        <w:rPr>
          <w:position w:val="-12"/>
        </w:rPr>
        <w:object w:dxaOrig="1660" w:dyaOrig="360" w14:anchorId="0743A899">
          <v:shape id="_x0000_i1606" type="#_x0000_t75" style="width:84.9pt;height:17.45pt" o:ole="">
            <v:imagedata r:id="rId199" o:title=""/>
          </v:shape>
          <o:OLEObject Type="Embed" ProgID="Equation.3" ShapeID="_x0000_i1606" DrawAspect="Content" ObjectID="_1801482068" r:id="rId200"/>
        </w:object>
      </w:r>
      <w:r w:rsidRPr="00F110C2">
        <w:tab/>
        <w:t>(45)</w:t>
      </w:r>
    </w:p>
    <w:p w14:paraId="2006C9B7" w14:textId="5E25C2C0" w:rsidR="00CD45DB" w:rsidRPr="00F110C2" w:rsidRDefault="00CD45DB" w:rsidP="00254EC9">
      <w:pPr>
        <w:keepNext/>
        <w:keepLines/>
        <w:rPr>
          <w:position w:val="-12"/>
        </w:rPr>
      </w:pPr>
      <w:r w:rsidRPr="00F110C2">
        <w:rPr>
          <w:position w:val="-12"/>
        </w:rPr>
        <w:t xml:space="preserve">où </w:t>
      </w:r>
      <w:r w:rsidRPr="00F110C2">
        <w:rPr>
          <w:i/>
          <w:iCs/>
          <w:position w:val="-12"/>
        </w:rPr>
        <w:t>F</w:t>
      </w:r>
      <w:r w:rsidRPr="00F110C2">
        <w:rPr>
          <w:i/>
          <w:iCs/>
          <w:position w:val="-12"/>
          <w:vertAlign w:val="subscript"/>
        </w:rPr>
        <w:t>C</w:t>
      </w:r>
      <w:r w:rsidRPr="00F110C2">
        <w:rPr>
          <w:position w:val="-12"/>
        </w:rPr>
        <w:t xml:space="preserve"> est la fréquence de la porteuse.</w:t>
      </w:r>
    </w:p>
    <w:p w14:paraId="3F7536B7" w14:textId="7D84B82E" w:rsidR="00CD45DB" w:rsidRPr="00F110C2" w:rsidRDefault="00CD45DB" w:rsidP="00254EC9">
      <w:pPr>
        <w:keepNext/>
        <w:keepLines/>
      </w:pPr>
      <w:r w:rsidRPr="00F110C2">
        <w:t xml:space="preserve">Pour les radars utilisant une onde entretenue modulée en fréquence (FMCW, </w:t>
      </w:r>
      <w:r w:rsidRPr="00F110C2">
        <w:rPr>
          <w:i/>
          <w:iCs/>
        </w:rPr>
        <w:t>frequency modulated continuous wave</w:t>
      </w:r>
      <w:r w:rsidRPr="00F110C2">
        <w:t xml:space="preserve">), deux formules différentes sont appliquées pour la largeur de bande à </w:t>
      </w:r>
      <w:r w:rsidRPr="00F110C2">
        <w:rPr>
          <w:i/>
          <w:iCs/>
        </w:rPr>
        <w:t>B</w:t>
      </w:r>
      <w:r w:rsidR="00683612" w:rsidRPr="00F110C2">
        <w:rPr>
          <w:szCs w:val="24"/>
          <w:vertAlign w:val="subscript"/>
        </w:rPr>
        <w:t>−40</w:t>
      </w:r>
      <w:r w:rsidRPr="00F110C2">
        <w:t xml:space="preserve"> dB, à savoir une formule générale et une formule pour les radars à saut de fréquence.</w:t>
      </w:r>
    </w:p>
    <w:p w14:paraId="0EC0DE07" w14:textId="4D8E14F5" w:rsidR="00CD45DB" w:rsidRPr="00F110C2" w:rsidRDefault="00CD45DB" w:rsidP="00254EC9">
      <w:pPr>
        <w:keepNext/>
        <w:keepLines/>
      </w:pPr>
      <w:r w:rsidRPr="00F110C2">
        <w:t xml:space="preserve">La formule générale donnant la largeur de bande à </w:t>
      </w:r>
      <w:r w:rsidRPr="00F110C2">
        <w:rPr>
          <w:i/>
          <w:iCs/>
        </w:rPr>
        <w:t>B</w:t>
      </w:r>
      <w:r w:rsidR="00683612" w:rsidRPr="00F110C2">
        <w:rPr>
          <w:szCs w:val="24"/>
          <w:vertAlign w:val="subscript"/>
        </w:rPr>
        <w:t>−40</w:t>
      </w:r>
      <w:r w:rsidRPr="00F110C2">
        <w:t xml:space="preserve"> dB pour les radars utilisant des ondes FMCW est la suivante:</w:t>
      </w:r>
    </w:p>
    <w:p w14:paraId="18127A54" w14:textId="77777777" w:rsidR="00CD45DB" w:rsidRPr="00F110C2" w:rsidRDefault="00CD45DB" w:rsidP="00254EC9">
      <w:pPr>
        <w:pStyle w:val="Equation"/>
      </w:pPr>
      <w:r w:rsidRPr="00F110C2">
        <w:tab/>
      </w:r>
      <w:r w:rsidRPr="00F110C2">
        <w:tab/>
      </w:r>
      <w:r w:rsidRPr="00F110C2">
        <w:rPr>
          <w:position w:val="-34"/>
        </w:rPr>
        <w:object w:dxaOrig="2860" w:dyaOrig="920" w14:anchorId="49A79820">
          <v:shape id="_x0000_i1607" type="#_x0000_t75" style="width:137.95pt;height:44.7pt" o:ole="">
            <v:imagedata r:id="rId201" o:title=""/>
          </v:shape>
          <o:OLEObject Type="Embed" ProgID="Equation.3" ShapeID="_x0000_i1607" DrawAspect="Content" ObjectID="_1801482069" r:id="rId202"/>
        </w:object>
      </w:r>
      <w:r w:rsidRPr="00F110C2">
        <w:tab/>
        <w:t>(46)</w:t>
      </w:r>
    </w:p>
    <w:p w14:paraId="17EB9C72" w14:textId="77777777" w:rsidR="00CD45DB" w:rsidRPr="00F110C2" w:rsidRDefault="00CD45DB" w:rsidP="00254EC9">
      <w:pPr>
        <w:keepNext/>
        <w:keepLines/>
      </w:pPr>
      <w:r w:rsidRPr="00F110C2">
        <w:t xml:space="preserve">où </w:t>
      </w:r>
      <w:r w:rsidRPr="00F110C2">
        <w:rPr>
          <w:i/>
          <w:iCs/>
        </w:rPr>
        <w:t>B</w:t>
      </w:r>
      <w:r w:rsidRPr="00F110C2">
        <w:rPr>
          <w:i/>
          <w:iCs/>
          <w:vertAlign w:val="subscript"/>
        </w:rPr>
        <w:t>R</w:t>
      </w:r>
      <w:r w:rsidRPr="00F110C2">
        <w:t xml:space="preserve"> est l'excursion de fréquence totale et </w:t>
      </w:r>
      <w:r w:rsidRPr="00F110C2">
        <w:rPr>
          <w:i/>
          <w:iCs/>
        </w:rPr>
        <w:t>T</w:t>
      </w:r>
      <w:r w:rsidRPr="00F110C2">
        <w:t>, la période de compulsion des impulsions. Cette formule est fondée sur des radars utilisant des ondes FMCW linéaires et peut également être appliquée aux radars utilisant des ondes FMCW linéaires modulées en amplitude, des ondes FMCW avec retour de balayage et des ondes FMCW non linéaires.</w:t>
      </w:r>
    </w:p>
    <w:p w14:paraId="44DD702B" w14:textId="0CA45A20" w:rsidR="00CD45DB" w:rsidRPr="00F110C2" w:rsidRDefault="00CD45DB" w:rsidP="00254EC9">
      <w:r w:rsidRPr="00F110C2">
        <w:t xml:space="preserve">Pour les radars à saut de fréquence utilisant des ondes FMCW, la valeur de </w:t>
      </w:r>
      <w:r w:rsidRPr="00F110C2">
        <w:rPr>
          <w:i/>
          <w:iCs/>
        </w:rPr>
        <w:t>B</w:t>
      </w:r>
      <w:r w:rsidRPr="00F110C2">
        <w:rPr>
          <w:i/>
          <w:iCs/>
          <w:vertAlign w:val="subscript"/>
        </w:rPr>
        <w:t>s</w:t>
      </w:r>
      <w:r w:rsidRPr="00F110C2">
        <w:t xml:space="preserve"> doit être ajoutée à la formule donnant la largeur de bande à </w:t>
      </w:r>
      <w:r w:rsidRPr="00F110C2">
        <w:rPr>
          <w:i/>
          <w:iCs/>
        </w:rPr>
        <w:t>B</w:t>
      </w:r>
      <w:r w:rsidR="00683612" w:rsidRPr="00F110C2">
        <w:rPr>
          <w:szCs w:val="24"/>
          <w:vertAlign w:val="subscript"/>
        </w:rPr>
        <w:t>−40</w:t>
      </w:r>
      <w:r w:rsidRPr="00F110C2">
        <w:t xml:space="preserve"> dB, dans laquelle </w:t>
      </w:r>
      <w:r w:rsidRPr="00F110C2">
        <w:rPr>
          <w:i/>
          <w:iCs/>
        </w:rPr>
        <w:t>B</w:t>
      </w:r>
      <w:r w:rsidRPr="00F110C2">
        <w:rPr>
          <w:i/>
          <w:iCs/>
          <w:vertAlign w:val="subscript"/>
        </w:rPr>
        <w:t>s</w:t>
      </w:r>
      <w:r w:rsidRPr="00F110C2">
        <w:t xml:space="preserve"> constitue la plage maximale sur laquelle la fréquence de la porteuse sera décalée.</w:t>
      </w:r>
    </w:p>
    <w:p w14:paraId="7E2508A5" w14:textId="6263188A" w:rsidR="00CD45DB" w:rsidRPr="00F110C2" w:rsidRDefault="00CD45DB" w:rsidP="00254EC9">
      <w:r w:rsidRPr="00F110C2">
        <w:t xml:space="preserve">Pour les radars avec plusieurs formes d'onde d'impulsion, il faut calculer la largeur </w:t>
      </w:r>
      <w:r w:rsidRPr="00F110C2">
        <w:rPr>
          <w:szCs w:val="24"/>
        </w:rPr>
        <w:t xml:space="preserve">de bande </w:t>
      </w:r>
      <w:r w:rsidRPr="00F110C2">
        <w:rPr>
          <w:i/>
          <w:iCs/>
          <w:szCs w:val="24"/>
        </w:rPr>
        <w:t>B</w:t>
      </w:r>
      <w:r w:rsidR="00683612" w:rsidRPr="00F110C2">
        <w:rPr>
          <w:szCs w:val="24"/>
          <w:vertAlign w:val="subscript"/>
        </w:rPr>
        <w:t>−40</w:t>
      </w:r>
      <w:r w:rsidRPr="00F110C2">
        <w:rPr>
          <w:szCs w:val="24"/>
        </w:rPr>
        <w:t> dB</w:t>
      </w:r>
      <w:r w:rsidRPr="00F110C2">
        <w:t xml:space="preserve"> pour chaque type d'impulsion et il faut utiliser la largeur de bande </w:t>
      </w:r>
      <w:r w:rsidRPr="00F110C2">
        <w:rPr>
          <w:i/>
          <w:szCs w:val="24"/>
        </w:rPr>
        <w:t>B</w:t>
      </w:r>
      <w:r w:rsidR="00683612" w:rsidRPr="00F110C2">
        <w:rPr>
          <w:szCs w:val="24"/>
          <w:vertAlign w:val="subscript"/>
        </w:rPr>
        <w:t>−40</w:t>
      </w:r>
      <w:r w:rsidRPr="00F110C2">
        <w:rPr>
          <w:szCs w:val="24"/>
        </w:rPr>
        <w:t xml:space="preserve"> dB</w:t>
      </w:r>
      <w:r w:rsidRPr="00F110C2">
        <w:t xml:space="preserve"> maximale obtenue pour établir la forme du gabarit d'émission.</w:t>
      </w:r>
    </w:p>
    <w:p w14:paraId="6DC998C6" w14:textId="77777777" w:rsidR="00CD45DB" w:rsidRPr="00F110C2" w:rsidRDefault="00CD45DB" w:rsidP="00254EC9">
      <w:pPr>
        <w:pStyle w:val="Heading1"/>
      </w:pPr>
      <w:r w:rsidRPr="00F110C2">
        <w:lastRenderedPageBreak/>
        <w:t>4</w:t>
      </w:r>
      <w:r w:rsidRPr="00F110C2">
        <w:tab/>
        <w:t>Gabarit des émissions hors bande</w:t>
      </w:r>
    </w:p>
    <w:p w14:paraId="69F6E76D" w14:textId="5DB6A625" w:rsidR="00CD45DB" w:rsidRPr="00F110C2" w:rsidRDefault="00CD45DB" w:rsidP="00254EC9">
      <w:pPr>
        <w:keepNext/>
        <w:keepLines/>
      </w:pPr>
      <w:r w:rsidRPr="00F110C2">
        <w:t xml:space="preserve">Les figures ci-dessous représentent le gabarit des émissions hors bande pour les radars primaires, classé par type de forme d'onde, indiqué en termes de densité spectrale de puissance et exprimé en dBpp. Les gabarits diminuent à partir de la largeur de bande à </w:t>
      </w:r>
      <w:r w:rsidR="00683612" w:rsidRPr="00F110C2">
        <w:rPr>
          <w:i/>
          <w:iCs/>
        </w:rPr>
        <w:t>B</w:t>
      </w:r>
      <w:r w:rsidR="00683612" w:rsidRPr="00F110C2">
        <w:rPr>
          <w:szCs w:val="24"/>
          <w:vertAlign w:val="subscript"/>
        </w:rPr>
        <w:t>−40</w:t>
      </w:r>
      <w:r w:rsidRPr="00F110C2">
        <w:t> dB pour atteindre le niveau des rayonnements non essentiels spécifié dans l'Appendice </w:t>
      </w:r>
      <w:r w:rsidRPr="00F110C2">
        <w:rPr>
          <w:b/>
          <w:bCs/>
        </w:rPr>
        <w:t>3</w:t>
      </w:r>
      <w:r w:rsidRPr="00F110C2">
        <w:t xml:space="preserve"> du RR</w:t>
      </w:r>
      <w:r w:rsidRPr="00F110C2">
        <w:rPr>
          <w:rStyle w:val="FootnoteReference"/>
        </w:rPr>
        <w:footnoteReference w:id="9"/>
      </w:r>
      <w:r w:rsidRPr="00F110C2">
        <w:t>.</w:t>
      </w:r>
    </w:p>
    <w:p w14:paraId="40193869" w14:textId="1FA5C26F" w:rsidR="00CD45DB" w:rsidRPr="00F110C2" w:rsidRDefault="00CD45DB" w:rsidP="00254EC9">
      <w:r w:rsidRPr="00F110C2">
        <w:t xml:space="preserve">La largeur de bande </w:t>
      </w:r>
      <w:r w:rsidR="00683612" w:rsidRPr="00F110C2">
        <w:rPr>
          <w:i/>
          <w:iCs/>
        </w:rPr>
        <w:t>B</w:t>
      </w:r>
      <w:r w:rsidR="00683612" w:rsidRPr="00F110C2">
        <w:rPr>
          <w:szCs w:val="24"/>
          <w:vertAlign w:val="subscript"/>
        </w:rPr>
        <w:t>−40</w:t>
      </w:r>
      <w:r w:rsidRPr="00F110C2">
        <w:t> dB peut être décalée par rapport à la fréquence associée au niveau maximal des émissions, mais la largeur de bande nécessaire (numéro </w:t>
      </w:r>
      <w:r w:rsidRPr="00F110C2">
        <w:rPr>
          <w:b/>
          <w:bCs/>
        </w:rPr>
        <w:t>1.152</w:t>
      </w:r>
      <w:r w:rsidRPr="00F110C2">
        <w:t xml:space="preserve"> du RR) ou, de préférence, la largeur de bande occupée globale (numéro </w:t>
      </w:r>
      <w:r w:rsidRPr="00F110C2">
        <w:rPr>
          <w:b/>
          <w:bCs/>
        </w:rPr>
        <w:t>1.153</w:t>
      </w:r>
      <w:r w:rsidRPr="00F110C2">
        <w:t xml:space="preserve"> du RR), doit être contenue en totalité dans la bande attribuée.</w:t>
      </w:r>
    </w:p>
    <w:p w14:paraId="2295D8A2" w14:textId="50D4F2AD" w:rsidR="00CD45DB" w:rsidRPr="00F110C2" w:rsidRDefault="00CD45DB" w:rsidP="00254EC9">
      <w:r w:rsidRPr="00F110C2">
        <w:t xml:space="preserve">À titre d'information, la valeur calculée de la largeur de bande à </w:t>
      </w:r>
      <w:r w:rsidR="00683612" w:rsidRPr="00F110C2">
        <w:rPr>
          <w:i/>
          <w:iCs/>
        </w:rPr>
        <w:t>B</w:t>
      </w:r>
      <w:r w:rsidR="00683612" w:rsidRPr="00F110C2">
        <w:rPr>
          <w:szCs w:val="24"/>
          <w:vertAlign w:val="subscript"/>
        </w:rPr>
        <w:t>−40</w:t>
      </w:r>
      <w:r w:rsidR="00683612" w:rsidRPr="00F110C2">
        <w:t> </w:t>
      </w:r>
      <w:r w:rsidRPr="00F110C2">
        <w:t>dB doit se trouver entièrement à l'intérieur de la bande attribuée.</w:t>
      </w:r>
    </w:p>
    <w:p w14:paraId="69A47313" w14:textId="77777777" w:rsidR="00CD45DB" w:rsidRPr="00F110C2" w:rsidRDefault="00CD45DB" w:rsidP="00254EC9">
      <w:pPr>
        <w:pStyle w:val="Heading2"/>
      </w:pPr>
      <w:r w:rsidRPr="00F110C2">
        <w:t>4.1</w:t>
      </w:r>
      <w:r w:rsidRPr="00F110C2">
        <w:tab/>
        <w:t>Ensemble de formes d'onde énumérées au paragraphe 3</w:t>
      </w:r>
    </w:p>
    <w:p w14:paraId="64DF90E4" w14:textId="77777777" w:rsidR="00CD45DB" w:rsidRPr="00F110C2" w:rsidRDefault="00CD45DB" w:rsidP="00254EC9">
      <w:r w:rsidRPr="00F110C2">
        <w:t>Pour toutes les formes d'onde énumérées au paragraphe 3, mis à part celles indiquées au § 4.2, la décroissance est de 30 dB par décade, comme indiqué sur la Fig. 38.</w:t>
      </w:r>
    </w:p>
    <w:p w14:paraId="6FC677BB" w14:textId="77777777" w:rsidR="00CD45DB" w:rsidRPr="00F110C2" w:rsidRDefault="00CD45DB" w:rsidP="00254EC9">
      <w:pPr>
        <w:pStyle w:val="FigureNo"/>
      </w:pPr>
      <w:r w:rsidRPr="00F110C2">
        <w:t>figure 38</w:t>
      </w:r>
    </w:p>
    <w:p w14:paraId="2BEC3945" w14:textId="77777777" w:rsidR="00CD45DB" w:rsidRPr="00F110C2" w:rsidRDefault="00CD45DB" w:rsidP="00254EC9">
      <w:pPr>
        <w:pStyle w:val="Figuretitle"/>
      </w:pPr>
      <w:r w:rsidRPr="00F110C2">
        <w:t xml:space="preserve">Gabarit des émissions hors bande pour toutes les formes d'onde </w:t>
      </w:r>
      <w:r w:rsidRPr="00F110C2">
        <w:br/>
        <w:t>de radars non exclues indiquées au paragraphe 3</w:t>
      </w:r>
    </w:p>
    <w:p w14:paraId="205DDB1E" w14:textId="77777777" w:rsidR="00CD45DB" w:rsidRPr="00F110C2" w:rsidRDefault="00CD45DB" w:rsidP="00254EC9">
      <w:pPr>
        <w:pStyle w:val="Figure"/>
      </w:pPr>
      <w:r w:rsidRPr="00F110C2">
        <w:drawing>
          <wp:inline distT="0" distB="0" distL="0" distR="0" wp14:anchorId="17850F00" wp14:editId="669D3D8D">
            <wp:extent cx="3869055" cy="2843453"/>
            <wp:effectExtent l="0" t="0" r="0" b="0"/>
            <wp:docPr id="196731214" name="Picture 23" descr="A graph showing the loss of a b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1214" name="Picture 23" descr="A graph showing the loss of a band&#10;&#10;AI-generated content may be incorrect."/>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t="2633"/>
                    <a:stretch/>
                  </pic:blipFill>
                  <pic:spPr bwMode="auto">
                    <a:xfrm>
                      <a:off x="0" y="0"/>
                      <a:ext cx="3869055" cy="2843453"/>
                    </a:xfrm>
                    <a:prstGeom prst="rect">
                      <a:avLst/>
                    </a:prstGeom>
                    <a:noFill/>
                    <a:ln>
                      <a:noFill/>
                    </a:ln>
                    <a:extLst>
                      <a:ext uri="{53640926-AAD7-44D8-BBD7-CCE9431645EC}">
                        <a14:shadowObscured xmlns:a14="http://schemas.microsoft.com/office/drawing/2010/main"/>
                      </a:ext>
                    </a:extLst>
                  </pic:spPr>
                </pic:pic>
              </a:graphicData>
            </a:graphic>
          </wp:inline>
        </w:drawing>
      </w:r>
    </w:p>
    <w:p w14:paraId="4BABD993" w14:textId="77777777" w:rsidR="00CD45DB" w:rsidRPr="00F110C2" w:rsidRDefault="00CD45DB" w:rsidP="00254EC9">
      <w:pPr>
        <w:pStyle w:val="Heading2"/>
      </w:pPr>
      <w:r w:rsidRPr="00F110C2">
        <w:t>4.2</w:t>
      </w:r>
      <w:r w:rsidRPr="00F110C2">
        <w:tab/>
        <w:t>Formes d'onde exclues</w:t>
      </w:r>
    </w:p>
    <w:p w14:paraId="1AC6C7C7" w14:textId="77777777" w:rsidR="00CD45DB" w:rsidRPr="00F110C2" w:rsidRDefault="00CD45DB" w:rsidP="00254EC9">
      <w:pPr>
        <w:rPr>
          <w:lang w:bidi="ar-EG"/>
        </w:rPr>
      </w:pPr>
      <w:r w:rsidRPr="00F110C2">
        <w:rPr>
          <w:lang w:bidi="ar-EG"/>
        </w:rPr>
        <w:t>Les formes d'onde entretenues, les formes d'onde FMCW et les formes d'onde de signaux codés en phase sont exclues du champ d'application du § 4.1. Leur taux de décroissance est de 20 dB par décade, comme indiqué sur la Fig. 39.</w:t>
      </w:r>
    </w:p>
    <w:p w14:paraId="56EADBEF" w14:textId="77777777" w:rsidR="00CD45DB" w:rsidRPr="00F110C2" w:rsidRDefault="00CD45DB" w:rsidP="00254EC9">
      <w:pPr>
        <w:jc w:val="left"/>
        <w:rPr>
          <w:lang w:bidi="ar-EG"/>
        </w:rPr>
      </w:pPr>
      <w:r w:rsidRPr="00F110C2">
        <w:t>L'</w:t>
      </w:r>
      <w:r w:rsidRPr="00F110C2">
        <w:rPr>
          <w:lang w:bidi="ar-EG"/>
        </w:rPr>
        <w:t>exclusion de ces formes d'onde devrait être examinée pendant la période d'études qui s'écoulera jusqu'à l'Assemblée des radiocommunications de 2016.</w:t>
      </w:r>
    </w:p>
    <w:p w14:paraId="0B0433F9" w14:textId="77777777" w:rsidR="00CD45DB" w:rsidRPr="00F110C2" w:rsidRDefault="00CD45DB" w:rsidP="00254EC9">
      <w:pPr>
        <w:pStyle w:val="Heading1"/>
      </w:pPr>
      <w:r w:rsidRPr="00F110C2">
        <w:lastRenderedPageBreak/>
        <w:t>5</w:t>
      </w:r>
      <w:r w:rsidRPr="00F110C2">
        <w:tab/>
        <w:t>Frontière entre le domaine des émissions hors bande et le domaine des rayonnements non essentiels</w:t>
      </w:r>
    </w:p>
    <w:p w14:paraId="3B4A8A42" w14:textId="77777777" w:rsidR="00CD45DB" w:rsidRPr="00F110C2" w:rsidRDefault="00CD45DB" w:rsidP="00254EC9">
      <w:r w:rsidRPr="00F110C2">
        <w:t xml:space="preserve">Conformément au point 2.2 du </w:t>
      </w:r>
      <w:r w:rsidRPr="00F110C2">
        <w:rPr>
          <w:i/>
        </w:rPr>
        <w:t>recommande</w:t>
      </w:r>
      <w:r w:rsidRPr="00F110C2">
        <w:t xml:space="preserve"> de la présente Recommandation et à l'Appendice </w:t>
      </w:r>
      <w:r w:rsidRPr="00F110C2">
        <w:rPr>
          <w:b/>
          <w:bCs/>
        </w:rPr>
        <w:t>3</w:t>
      </w:r>
      <w:r w:rsidRPr="00F110C2">
        <w:t xml:space="preserve"> du RR, le domaine des rayonnements non essentiels commence généralement pour un espacement de fréquence égal à 250% de la largeur de bande nécessaire, avec des exceptions pour certains types de systèmes, y compris les systèmes à modulation numérique ou à modulation par impulsions. Toutefois, il est difficile d'appliquer le concept général de frontière à 250% de la largeur de bande nécessaire aux stations radars primaires fonctionnant dans le service de radiorepérage ou dans d'autres services tels que le service des auxiliaires de la météorologie, le service de recherche spatiale, le SETS.</w:t>
      </w:r>
    </w:p>
    <w:p w14:paraId="35A6E5A9" w14:textId="77777777" w:rsidR="00CD45DB" w:rsidRPr="00F110C2" w:rsidRDefault="00CD45DB" w:rsidP="00254EC9">
      <w:r w:rsidRPr="00F110C2">
        <w:t>En ce qui concerne les stations radars primaires, la frontière entre le domaine des émissions hors bande et le domaine des rayonnements non essentiels est définie comme étant la fréquence à laquelle les limites des émissions dans le domaine hors bande définies ici sont égales à la limite des rayonnements non essentiels définie au Tableau II de l'Appendice </w:t>
      </w:r>
      <w:r w:rsidRPr="00F110C2">
        <w:rPr>
          <w:b/>
          <w:bCs/>
        </w:rPr>
        <w:t>3</w:t>
      </w:r>
      <w:r w:rsidRPr="00F110C2">
        <w:t xml:space="preserve"> du RR.</w:t>
      </w:r>
    </w:p>
    <w:p w14:paraId="5EC55C82" w14:textId="77777777" w:rsidR="00CD45DB" w:rsidRPr="00F110C2" w:rsidRDefault="00CD45DB" w:rsidP="00254EC9">
      <w:r w:rsidRPr="00F110C2">
        <w:t xml:space="preserve">Dans le cas des radars primaires fonctionnant dans le service de radiorepérage ou dans d'autres services appropriés, la frontière entre le domaine des émissions hors bande et le domaine des rayonnements non essentiels peut être définie comme étant espacée par rapport à la fréquence assignée de 2,5 </w:t>
      </w:r>
      <w:r w:rsidRPr="00F110C2">
        <w:rPr>
          <w:iCs/>
        </w:rPr>
        <w:sym w:font="Symbol" w:char="F061"/>
      </w:r>
      <w:r w:rsidRPr="00F110C2">
        <w:rPr>
          <w:iCs/>
        </w:rPr>
        <w:t xml:space="preserve"> </w:t>
      </w:r>
      <w:r w:rsidRPr="00F110C2">
        <w:rPr>
          <w:i/>
          <w:szCs w:val="24"/>
        </w:rPr>
        <w:t>B</w:t>
      </w:r>
      <w:r w:rsidRPr="00F110C2">
        <w:rPr>
          <w:i/>
          <w:position w:val="-4"/>
          <w:szCs w:val="24"/>
          <w:vertAlign w:val="subscript"/>
        </w:rPr>
        <w:t>N</w:t>
      </w:r>
      <w:r w:rsidRPr="00F110C2">
        <w:t xml:space="preserve">, où </w:t>
      </w:r>
      <w:r w:rsidRPr="00F110C2">
        <w:rPr>
          <w:iCs/>
        </w:rPr>
        <w:sym w:font="Symbol" w:char="F061"/>
      </w:r>
      <w:r w:rsidRPr="00F110C2">
        <w:t xml:space="preserve"> est un facteur de correction de frontière dépendant de la configuration du système total, notamment de la forme d'onde de modulation et de la technique de modulation, du dispositif de sortie du radar, des composantes du guide d'onde ainsi que du type d'antenne et de ses caractéristiques dépendantes de la fréquence. La valeur de </w:t>
      </w:r>
      <w:r w:rsidRPr="00F110C2">
        <w:rPr>
          <w:iCs/>
        </w:rPr>
        <w:sym w:font="Symbol" w:char="F061"/>
      </w:r>
      <w:r w:rsidRPr="00F110C2">
        <w:t xml:space="preserve"> dépendra aussi de la façon dont la largeur de bande nécessaire est évaluée.</w:t>
      </w:r>
    </w:p>
    <w:p w14:paraId="547AD871" w14:textId="77777777" w:rsidR="00CD45DB" w:rsidRPr="00F110C2" w:rsidRDefault="00CD45DB" w:rsidP="00254EC9">
      <w:pPr>
        <w:pStyle w:val="FigureNo"/>
      </w:pPr>
      <w:r w:rsidRPr="00F110C2">
        <w:t>FIGURE 39</w:t>
      </w:r>
    </w:p>
    <w:p w14:paraId="07CE5280" w14:textId="77777777" w:rsidR="00CD45DB" w:rsidRPr="00F110C2" w:rsidRDefault="00CD45DB" w:rsidP="00254EC9">
      <w:pPr>
        <w:pStyle w:val="Figuretitle"/>
      </w:pPr>
      <w:r w:rsidRPr="00F110C2">
        <w:t xml:space="preserve">Gabarit des émissions hors bande pour des radars utilisant des formes d'onde </w:t>
      </w:r>
      <w:r w:rsidRPr="00F110C2">
        <w:br/>
        <w:t>entretenues, des formes d'ondes FMCW et des signaux codés en phase</w:t>
      </w:r>
    </w:p>
    <w:p w14:paraId="113FBE1D" w14:textId="77777777" w:rsidR="00CD45DB" w:rsidRPr="00F110C2" w:rsidRDefault="00CD45DB" w:rsidP="00254EC9">
      <w:pPr>
        <w:pStyle w:val="Figure"/>
      </w:pPr>
      <w:r w:rsidRPr="00F110C2">
        <w:drawing>
          <wp:inline distT="0" distB="0" distL="0" distR="0" wp14:anchorId="394F4029" wp14:editId="305D3AFD">
            <wp:extent cx="4660900" cy="2900045"/>
            <wp:effectExtent l="0" t="0" r="6350" b="0"/>
            <wp:docPr id="1110878146" name="Picture 24"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78146" name="Picture 24" descr="A graph with a line&#10;&#10;AI-generated content may be incorrect."/>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660900" cy="2900045"/>
                    </a:xfrm>
                    <a:prstGeom prst="rect">
                      <a:avLst/>
                    </a:prstGeom>
                    <a:noFill/>
                    <a:ln>
                      <a:noFill/>
                    </a:ln>
                  </pic:spPr>
                </pic:pic>
              </a:graphicData>
            </a:graphic>
          </wp:inline>
        </w:drawing>
      </w:r>
    </w:p>
    <w:p w14:paraId="556D0832" w14:textId="77777777" w:rsidR="00CD45DB" w:rsidRPr="00F110C2" w:rsidRDefault="00CD45DB" w:rsidP="00254EC9">
      <w:pPr>
        <w:pStyle w:val="Normalaftertitle"/>
      </w:pPr>
      <w:r w:rsidRPr="00F110C2">
        <w:t xml:space="preserve">On peut déterminer les valeurs de </w:t>
      </w:r>
      <w:r w:rsidRPr="00F110C2">
        <w:sym w:font="Symbol" w:char="F061"/>
      </w:r>
      <w:r w:rsidRPr="00F110C2">
        <w:t xml:space="preserve"> correspondant au gabarit de la Fig. 39 en partant de l'hypothèse que le point à 60 dB se situe à 2,5 </w:t>
      </w:r>
      <w:r w:rsidRPr="00F110C2">
        <w:rPr>
          <w:iCs/>
        </w:rPr>
        <w:sym w:font="Symbol" w:char="F061"/>
      </w:r>
      <w:r w:rsidRPr="00F110C2">
        <w:rPr>
          <w:iCs/>
        </w:rPr>
        <w:t xml:space="preserve"> </w:t>
      </w:r>
      <w:r w:rsidRPr="00F110C2">
        <w:rPr>
          <w:i/>
        </w:rPr>
        <w:t>B</w:t>
      </w:r>
      <w:r w:rsidRPr="00F110C2">
        <w:rPr>
          <w:i/>
          <w:position w:val="-4"/>
          <w:szCs w:val="24"/>
          <w:vertAlign w:val="subscript"/>
        </w:rPr>
        <w:t>N</w:t>
      </w:r>
      <w:r w:rsidRPr="00F110C2">
        <w:t>. Dans l'hypothèse d'une décroissance de 20 dB par décade:</w:t>
      </w:r>
    </w:p>
    <w:p w14:paraId="52E03FB4" w14:textId="77777777" w:rsidR="00CD45DB" w:rsidRPr="00F110C2" w:rsidRDefault="00CD45DB" w:rsidP="00254EC9">
      <w:pPr>
        <w:pStyle w:val="Equation"/>
      </w:pPr>
      <w:r w:rsidRPr="00F110C2">
        <w:tab/>
      </w:r>
      <w:r w:rsidRPr="00F110C2">
        <w:tab/>
      </w:r>
      <w:r w:rsidRPr="00F110C2">
        <w:rPr>
          <w:position w:val="-30"/>
        </w:rPr>
        <w:object w:dxaOrig="3320" w:dyaOrig="680" w14:anchorId="3D83D359">
          <v:shape id="_x0000_i1608" type="#_x0000_t75" style="width:164.45pt;height:33.35pt" o:ole="">
            <v:imagedata r:id="rId205" o:title=""/>
          </v:shape>
          <o:OLEObject Type="Embed" ProgID="Equation.3" ShapeID="_x0000_i1608" DrawAspect="Content" ObjectID="_1801482070" r:id="rId206"/>
        </w:object>
      </w:r>
      <w:r w:rsidRPr="00F110C2">
        <w:tab/>
        <w:t>(47)</w:t>
      </w:r>
    </w:p>
    <w:p w14:paraId="7FF8B88D" w14:textId="77777777" w:rsidR="00CD45DB" w:rsidRPr="00F110C2" w:rsidRDefault="00CD45DB" w:rsidP="00254EC9">
      <w:r w:rsidRPr="00F110C2">
        <w:lastRenderedPageBreak/>
        <w:t xml:space="preserve">Si on utilise les exemples ci-dessus, </w:t>
      </w:r>
      <w:r w:rsidRPr="00F110C2">
        <w:rPr>
          <w:iCs/>
        </w:rPr>
        <w:sym w:font="Symbol" w:char="F061"/>
      </w:r>
      <w:r w:rsidRPr="00F110C2">
        <w:t xml:space="preserve"> vaudrait environ 2,0 pour le radar par impulsions modulées en fréquence linéaire et environ 8,5 pour le radar par impulsions non modulées en fréquence. Cette formule ne s'applique pas au cas du radar à saut de fréquence.</w:t>
      </w:r>
    </w:p>
    <w:p w14:paraId="03CCE31A" w14:textId="77777777" w:rsidR="00CD45DB" w:rsidRPr="00F110C2" w:rsidRDefault="00CD45DB" w:rsidP="00254EC9">
      <w:r w:rsidRPr="00F110C2">
        <w:t xml:space="preserve">Dans l'hypothèse où la largeur de bande nécessaire est évaluée comme correspondant à la largeur de bande à 20 dB, les informations techniques actuellement disponibles indiquent que, pour des radars primaires existants ou en projet, la valeur de </w:t>
      </w:r>
      <w:r w:rsidRPr="00F110C2">
        <w:sym w:font="Symbol" w:char="F061"/>
      </w:r>
      <w:r w:rsidRPr="00F110C2">
        <w:t xml:space="preserve"> serait comprise entre 1 et 10, voire plus.</w:t>
      </w:r>
    </w:p>
    <w:p w14:paraId="663102E2" w14:textId="77777777" w:rsidR="00CD45DB" w:rsidRPr="00F110C2" w:rsidRDefault="00CD45DB" w:rsidP="00254EC9">
      <w:r w:rsidRPr="00F110C2">
        <w:t>Du point de vue de l'utilisation efficace du spectre, on peut se demander:</w:t>
      </w:r>
    </w:p>
    <w:p w14:paraId="014878EA" w14:textId="530E367F" w:rsidR="00CD45DB" w:rsidRPr="00F110C2" w:rsidRDefault="00932E82" w:rsidP="00254EC9">
      <w:pPr>
        <w:pStyle w:val="enumlev1"/>
      </w:pPr>
      <w:r>
        <w:rPr>
          <w:lang w:val="en-GB"/>
        </w:rPr>
        <w:t>–</w:t>
      </w:r>
      <w:r w:rsidR="00CD45DB" w:rsidRPr="00F110C2">
        <w:tab/>
        <w:t xml:space="preserve">si les futurs radars primaires pourront respecter une valeur de </w:t>
      </w:r>
      <w:r w:rsidR="00CD45DB" w:rsidRPr="00F110C2">
        <w:sym w:font="Symbol" w:char="F061"/>
      </w:r>
      <w:r w:rsidR="00CD45DB" w:rsidRPr="00F110C2">
        <w:t xml:space="preserve"> plus proche de 1 ou pas;</w:t>
      </w:r>
    </w:p>
    <w:p w14:paraId="54535032" w14:textId="516CBE27" w:rsidR="00CD45DB" w:rsidRPr="00F110C2" w:rsidRDefault="00932E82" w:rsidP="00254EC9">
      <w:pPr>
        <w:pStyle w:val="enumlev1"/>
      </w:pPr>
      <w:r>
        <w:rPr>
          <w:lang w:val="en-GB"/>
        </w:rPr>
        <w:t>–</w:t>
      </w:r>
      <w:r w:rsidR="00CD45DB" w:rsidRPr="00F110C2">
        <w:tab/>
        <w:t xml:space="preserve">si </w:t>
      </w:r>
      <w:r w:rsidR="00CD45DB" w:rsidRPr="00F110C2">
        <w:rPr>
          <w:iCs/>
        </w:rPr>
        <w:sym w:font="Symbol" w:char="F061"/>
      </w:r>
      <w:r w:rsidR="00CD45DB" w:rsidRPr="00F110C2">
        <w:t xml:space="preserve"> doit être différent suivant si la frontière entre le domaine des émissions hors bande et le domaine des rayonnements non essentiels se trouve à l'intérieur, à l'extérieur ou proche d'une bande attribuée à un radar primaire.</w:t>
      </w:r>
    </w:p>
    <w:p w14:paraId="1B3867EF" w14:textId="77777777" w:rsidR="00CD45DB" w:rsidRPr="00F110C2" w:rsidRDefault="00CD45DB" w:rsidP="00254EC9">
      <w:r w:rsidRPr="00F110C2">
        <w:t>Il faut que l'UIT</w:t>
      </w:r>
      <w:r w:rsidRPr="00F110C2">
        <w:noBreakHyphen/>
        <w:t xml:space="preserve">R procède à d'autres études pour définir la largeur de bande nécessaire à utiliser pour calculer la frontière et pour définir les valeurs de </w:t>
      </w:r>
      <w:r w:rsidRPr="00F110C2">
        <w:sym w:font="Symbol" w:char="F061"/>
      </w:r>
      <w:r w:rsidRPr="00F110C2">
        <w:t xml:space="preserve"> pour les différents types de radar, de missions et de plates-formes.</w:t>
      </w:r>
    </w:p>
    <w:p w14:paraId="5DF7EBA1" w14:textId="77777777" w:rsidR="00CD45DB" w:rsidRPr="00F110C2" w:rsidRDefault="00CD45DB" w:rsidP="00254EC9">
      <w:r w:rsidRPr="00F110C2">
        <w:t xml:space="preserve">En ce qui concerne les radars par impulsions non modulées en fréquence, dans quelques cas exceptionnels où l'architecture du système permet l'utilisation de filtres et où des compromis inhabituels en matière de qualité de fonctionnement sont tolérables, la valeur de </w:t>
      </w:r>
      <w:r w:rsidRPr="00F110C2">
        <w:rPr>
          <w:iCs/>
        </w:rPr>
        <w:sym w:font="Symbol" w:char="F061"/>
      </w:r>
      <w:r w:rsidRPr="00F110C2">
        <w:rPr>
          <w:i/>
        </w:rPr>
        <w:t xml:space="preserve"> </w:t>
      </w:r>
      <w:r w:rsidRPr="00F110C2">
        <w:t xml:space="preserve">peut se rapprocher de 1. Par ailleurs, en ce qui concerne les radars à large bande agiles en fréquence, la valeur de </w:t>
      </w:r>
      <w:r w:rsidRPr="00F110C2">
        <w:rPr>
          <w:iCs/>
        </w:rPr>
        <w:sym w:font="Symbol" w:char="F061"/>
      </w:r>
      <w:r w:rsidRPr="00F110C2">
        <w:rPr>
          <w:i/>
        </w:rPr>
        <w:t xml:space="preserve"> </w:t>
      </w:r>
      <w:r w:rsidRPr="00F110C2">
        <w:t>peut être proche de 1,5.</w:t>
      </w:r>
    </w:p>
    <w:p w14:paraId="0B1754FC" w14:textId="77777777" w:rsidR="00CD45DB" w:rsidRPr="00F110C2" w:rsidRDefault="00CD45DB" w:rsidP="00254EC9">
      <w:pPr>
        <w:pStyle w:val="Heading1"/>
      </w:pPr>
      <w:r w:rsidRPr="00F110C2">
        <w:t>6</w:t>
      </w:r>
      <w:r w:rsidRPr="00F110C2">
        <w:tab/>
        <w:t>Objectif de conception</w:t>
      </w:r>
    </w:p>
    <w:p w14:paraId="192404B1" w14:textId="77777777" w:rsidR="00CD45DB" w:rsidRPr="00F110C2" w:rsidRDefault="00CD45DB" w:rsidP="00254EC9">
      <w:r w:rsidRPr="00F110C2">
        <w:t>Les paragraphes précédents de la présente Annexe sont fondés sur le principe du filet de sécurité pour les limites des émissions dans le domaine hors bande. Or, il est évident qu'il est souhaitable de réduire les niveaux des rayonnements non désirés afin d'améliorer leur compatibilité avec d'autres systèmes.</w:t>
      </w:r>
    </w:p>
    <w:p w14:paraId="15D4B62C" w14:textId="64A2DE02" w:rsidR="00CD45DB" w:rsidRPr="00F110C2" w:rsidRDefault="00CD45DB" w:rsidP="00254EC9">
      <w:r w:rsidRPr="00F110C2">
        <w:t xml:space="preserve">Le gabarit donné sur la Fig. 40 constitue l'objectif pour la conception des systèmes radars. Le gabarit décroît de 40 dB par décade à partir de la largeur de bande à </w:t>
      </w:r>
      <w:r w:rsidR="00683612" w:rsidRPr="00F110C2">
        <w:rPr>
          <w:i/>
          <w:iCs/>
        </w:rPr>
        <w:t>B</w:t>
      </w:r>
      <w:r w:rsidR="00683612" w:rsidRPr="00F110C2">
        <w:rPr>
          <w:szCs w:val="24"/>
          <w:vertAlign w:val="subscript"/>
        </w:rPr>
        <w:t>−40</w:t>
      </w:r>
      <w:r w:rsidR="00683612" w:rsidRPr="00F110C2">
        <w:t> </w:t>
      </w:r>
      <w:r w:rsidRPr="00F110C2">
        <w:t>dB pour atteindre le niveau des rayonnements non essentiels spécifié dans l'Appendice </w:t>
      </w:r>
      <w:r w:rsidRPr="00F110C2">
        <w:rPr>
          <w:b/>
        </w:rPr>
        <w:t>3</w:t>
      </w:r>
      <w:r w:rsidRPr="00F110C2">
        <w:t xml:space="preserve"> du RR.</w:t>
      </w:r>
    </w:p>
    <w:p w14:paraId="1C5D6E7C" w14:textId="77777777" w:rsidR="00CD45DB" w:rsidRPr="00F110C2" w:rsidRDefault="00CD45DB" w:rsidP="00254EC9">
      <w:r w:rsidRPr="00F110C2">
        <w:t>Les radars devraient être conçus de manière à être conforme à l'objectif défini pour le gabarit de conception. Les radars devraient si possible être conçus afin d'éviter l'utilisation de techniques qui ne leur permettent pas de satisfaire à l'objectif de conception.</w:t>
      </w:r>
    </w:p>
    <w:p w14:paraId="47643CE0" w14:textId="77777777" w:rsidR="00CD45DB" w:rsidRPr="00F110C2" w:rsidRDefault="00CD45DB" w:rsidP="00254EC9">
      <w:pPr>
        <w:pStyle w:val="FigureNo"/>
      </w:pPr>
      <w:r w:rsidRPr="00F110C2">
        <w:lastRenderedPageBreak/>
        <w:t>FIGURE 40</w:t>
      </w:r>
    </w:p>
    <w:p w14:paraId="6B802F32" w14:textId="77777777" w:rsidR="00CD45DB" w:rsidRPr="00F110C2" w:rsidRDefault="00CD45DB" w:rsidP="00254EC9">
      <w:pPr>
        <w:pStyle w:val="Figuretitle"/>
      </w:pPr>
      <w:r w:rsidRPr="00F110C2">
        <w:t>Objectif de conception pour les systèmes radars</w:t>
      </w:r>
    </w:p>
    <w:p w14:paraId="2F9F787E" w14:textId="77777777" w:rsidR="00CD45DB" w:rsidRPr="00F110C2" w:rsidRDefault="00CD45DB" w:rsidP="00254EC9">
      <w:pPr>
        <w:pStyle w:val="Figure"/>
      </w:pPr>
      <w:r w:rsidRPr="00F110C2">
        <w:drawing>
          <wp:inline distT="0" distB="0" distL="0" distR="0" wp14:anchorId="03ACCA70" wp14:editId="02606DA3">
            <wp:extent cx="4483100" cy="2770505"/>
            <wp:effectExtent l="0" t="0" r="2540" b="635"/>
            <wp:docPr id="392108122" name="Picture 25"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08122" name="Picture 25" descr="A graph with a line going up&#10;&#10;AI-generated content may be incorrect."/>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483100" cy="2770505"/>
                    </a:xfrm>
                    <a:prstGeom prst="rect">
                      <a:avLst/>
                    </a:prstGeom>
                    <a:noFill/>
                    <a:ln>
                      <a:noFill/>
                    </a:ln>
                  </pic:spPr>
                </pic:pic>
              </a:graphicData>
            </a:graphic>
          </wp:inline>
        </w:drawing>
      </w:r>
    </w:p>
    <w:p w14:paraId="13DE3FD6" w14:textId="304B76B4" w:rsidR="00CD45DB" w:rsidRPr="00F110C2" w:rsidRDefault="00CD45DB" w:rsidP="00254EC9">
      <w:pPr>
        <w:pStyle w:val="Note"/>
        <w:keepNext/>
        <w:keepLines/>
      </w:pPr>
      <w:r w:rsidRPr="00F110C2">
        <w:t>NOTE 1 </w:t>
      </w:r>
      <w:r w:rsidR="0023743D" w:rsidRPr="00F110C2">
        <w:t>–</w:t>
      </w:r>
      <w:r w:rsidRPr="00F110C2">
        <w:t> Au cours des études futures, l'UIT</w:t>
      </w:r>
      <w:r w:rsidRPr="00F110C2">
        <w:noBreakHyphen/>
        <w:t>R devra étudier la possibilité de mettre en œuvre ce gabarit, compte tenu de l'expérience pratique acquise concernant son application à certains types de systèmes radars et des progrès techniques réalisés en matière de technique des radars. Les contributions aux travaux de l'UIT (pendant les périodes d'études 2003-2007 et 2007-2011) ont démontré que certains types de radars respectaient l'objectif de conception, notamment ceux utilisant des klystrons et ceux utilisant comme dispositif de sortie des magnétrons à ailettes jumelées en-dessous de 100 kW.</w:t>
      </w:r>
    </w:p>
    <w:p w14:paraId="5043A1D9" w14:textId="1C07024B" w:rsidR="00CD45DB" w:rsidRPr="00F110C2" w:rsidRDefault="00CD45DB" w:rsidP="00254EC9">
      <w:pPr>
        <w:pStyle w:val="Note"/>
      </w:pPr>
      <w:r w:rsidRPr="00F110C2">
        <w:t>NOTE 2 </w:t>
      </w:r>
      <w:r w:rsidR="0023743D" w:rsidRPr="00F110C2">
        <w:t>–</w:t>
      </w:r>
      <w:r w:rsidRPr="00F110C2">
        <w:t> Les limites des émissions dans le domaine hors bande applicables aux bandes attribuées en exclusivité au service de radiorepérage doivent faire l'objet d'études ultérieures, qui pourront conduire à la définition d'un gabarit différent à l'intérieur de ces bandes comme objectif de conception.</w:t>
      </w:r>
    </w:p>
    <w:p w14:paraId="4DA4E902" w14:textId="668DC62A" w:rsidR="00CD45DB" w:rsidRPr="00F110C2" w:rsidRDefault="00CD45DB" w:rsidP="00254EC9">
      <w:pPr>
        <w:pStyle w:val="Note"/>
      </w:pPr>
      <w:r w:rsidRPr="00F110C2">
        <w:t>NOTE 3 </w:t>
      </w:r>
      <w:r w:rsidR="0023743D" w:rsidRPr="00F110C2">
        <w:t>–</w:t>
      </w:r>
      <w:r w:rsidRPr="00F110C2">
        <w:t> Il se peut que certains systèmes futurs ne puissent pas respecter l'objectif de conception, compte tenu de facteurs tels que:</w:t>
      </w:r>
    </w:p>
    <w:p w14:paraId="4A8BD023" w14:textId="4C6996FF" w:rsidR="00CD45DB" w:rsidRPr="00F110C2" w:rsidRDefault="0023743D" w:rsidP="00254EC9">
      <w:pPr>
        <w:pStyle w:val="Note"/>
      </w:pPr>
      <w:r w:rsidRPr="00F110C2">
        <w:t>–</w:t>
      </w:r>
      <w:r w:rsidR="00CD45DB" w:rsidRPr="00F110C2">
        <w:tab/>
        <w:t>la mission du radar (sécurité de la vie humaine, taille de la cible à détecter, etc.);</w:t>
      </w:r>
    </w:p>
    <w:p w14:paraId="70BCA375" w14:textId="23CA3B3E" w:rsidR="00CD45DB" w:rsidRPr="00F110C2" w:rsidRDefault="0023743D" w:rsidP="00254EC9">
      <w:pPr>
        <w:pStyle w:val="Note"/>
      </w:pPr>
      <w:r w:rsidRPr="00F110C2">
        <w:t>–</w:t>
      </w:r>
      <w:r w:rsidR="00CD45DB" w:rsidRPr="00F110C2">
        <w:tab/>
        <w:t>le type et la taille de la plate-forme (par exemple fixe, mobile, à bord d'un navire, aéroportée, etc.);</w:t>
      </w:r>
    </w:p>
    <w:p w14:paraId="0FD7AA0E" w14:textId="46C9B36C" w:rsidR="00CD45DB" w:rsidRPr="00F110C2" w:rsidRDefault="0023743D" w:rsidP="00254EC9">
      <w:pPr>
        <w:pStyle w:val="Note"/>
      </w:pPr>
      <w:r w:rsidRPr="00F110C2">
        <w:t>–</w:t>
      </w:r>
      <w:r w:rsidR="00CD45DB" w:rsidRPr="00F110C2">
        <w:tab/>
        <w:t>les techniques disponibles et leur évolution;</w:t>
      </w:r>
    </w:p>
    <w:p w14:paraId="5FA399F3" w14:textId="2C96A59D" w:rsidR="00CD45DB" w:rsidRPr="00F110C2" w:rsidRDefault="0023743D" w:rsidP="00254EC9">
      <w:pPr>
        <w:pStyle w:val="Note"/>
      </w:pPr>
      <w:r w:rsidRPr="00F110C2">
        <w:t>–</w:t>
      </w:r>
      <w:r w:rsidR="00CD45DB" w:rsidRPr="00F110C2">
        <w:tab/>
        <w:t>l'accessibilité financière.</w:t>
      </w:r>
    </w:p>
    <w:p w14:paraId="2255E854" w14:textId="09A78D4E" w:rsidR="00CD45DB" w:rsidRPr="00F110C2" w:rsidRDefault="00CD45DB" w:rsidP="00254EC9">
      <w:pPr>
        <w:pStyle w:val="Note"/>
      </w:pPr>
      <w:r w:rsidRPr="00F110C2">
        <w:t xml:space="preserve">NOTE 4 </w:t>
      </w:r>
      <w:r w:rsidR="0023743D" w:rsidRPr="00F110C2">
        <w:t>–</w:t>
      </w:r>
      <w:r w:rsidRPr="00F110C2">
        <w:t xml:space="preserve"> L'objectif est que les études en question aboutissent à la révision de la présente Recommandation, afin de remplacer les gabarits des émissions hors bande figurant dans les paragraphes précédents par le gabarit défini comme objectif de conception, ou d'inclure d'autres dispositions appropriées en fonction de la forme d'onde du radar, d'ici à la tenue de l'Assemblée des radiocommunications en 2016.</w:t>
      </w:r>
    </w:p>
    <w:p w14:paraId="54BEAB51" w14:textId="77777777" w:rsidR="00CD45DB" w:rsidRPr="00F110C2" w:rsidRDefault="00CD45DB" w:rsidP="00254EC9">
      <w:pPr>
        <w:pStyle w:val="Heading1"/>
      </w:pPr>
      <w:r w:rsidRPr="00F110C2">
        <w:t>7</w:t>
      </w:r>
      <w:r w:rsidRPr="00F110C2">
        <w:tab/>
        <w:t>Techniques de mesure</w:t>
      </w:r>
    </w:p>
    <w:p w14:paraId="31BF233C" w14:textId="77777777" w:rsidR="00CD45DB" w:rsidRPr="00F110C2" w:rsidRDefault="00CD45DB" w:rsidP="00254EC9">
      <w:r w:rsidRPr="00F110C2">
        <w:t>La version la plus récente de la Recommandation UIT-R M.1177 donne des indications concernant les méthodes à appliquer pour mesurer les émissions dans le domaine des émissions hors bande provenant de systèmes radars.</w:t>
      </w:r>
    </w:p>
    <w:p w14:paraId="0CB7825A" w14:textId="77777777" w:rsidR="00CD45DB" w:rsidRPr="00F110C2" w:rsidRDefault="00CD45DB" w:rsidP="00254EC9"/>
    <w:p w14:paraId="77106A18" w14:textId="77777777" w:rsidR="00CD45DB" w:rsidRPr="00F110C2" w:rsidRDefault="00CD45DB" w:rsidP="00254EC9"/>
    <w:p w14:paraId="4BC30BC9" w14:textId="77777777" w:rsidR="00CD45DB" w:rsidRPr="00F110C2" w:rsidRDefault="00CD45DB" w:rsidP="00254EC9">
      <w:pPr>
        <w:pStyle w:val="AnnexNoTitle"/>
        <w:outlineLvl w:val="0"/>
      </w:pPr>
      <w:r w:rsidRPr="00F110C2">
        <w:lastRenderedPageBreak/>
        <w:t>Annexe 9</w:t>
      </w:r>
      <w:r w:rsidRPr="00F110C2">
        <w:br/>
      </w:r>
      <w:r w:rsidRPr="00F110C2">
        <w:br/>
        <w:t>Limites des émissions dans le domaine des émissions</w:t>
      </w:r>
      <w:r w:rsidRPr="00F110C2">
        <w:br/>
        <w:t>hors bande pour les services d'amateur</w:t>
      </w:r>
    </w:p>
    <w:p w14:paraId="14A7FB9C" w14:textId="77777777" w:rsidR="00CD45DB" w:rsidRPr="00F110C2" w:rsidRDefault="00CD45DB" w:rsidP="00254EC9">
      <w:pPr>
        <w:pStyle w:val="Normalaftertitle"/>
      </w:pPr>
      <w:r w:rsidRPr="00F110C2">
        <w:t>Les stations fonctionnant dans le service d'amateur et dans le service d'amateur par satellite doivent respecter les limites contenues dans les gabarits spectraux suivants:</w:t>
      </w:r>
    </w:p>
    <w:p w14:paraId="0B6C3E22" w14:textId="77777777" w:rsidR="00CD45DB" w:rsidRPr="00F110C2" w:rsidRDefault="00CD45DB" w:rsidP="00254EC9">
      <w:pPr>
        <w:pStyle w:val="FigureNo"/>
      </w:pPr>
      <w:r w:rsidRPr="00F110C2">
        <w:t>figure 41</w:t>
      </w:r>
    </w:p>
    <w:p w14:paraId="52984324" w14:textId="77777777" w:rsidR="00CD45DB" w:rsidRPr="00F110C2" w:rsidRDefault="00CD45DB" w:rsidP="00254EC9">
      <w:pPr>
        <w:pStyle w:val="Figuretitle"/>
      </w:pPr>
      <w:r w:rsidRPr="00F110C2">
        <w:t>Stations fonctionnant au-dessous de 30 MHz dans le cas normal ou dans le cas</w:t>
      </w:r>
      <w:r w:rsidRPr="00F110C2">
        <w:br/>
        <w:t>à bande étroite de la Recommandation UIT-R SM.1539</w:t>
      </w:r>
    </w:p>
    <w:p w14:paraId="36549D09" w14:textId="77777777" w:rsidR="00CD45DB" w:rsidRPr="00F110C2" w:rsidRDefault="00CD45DB" w:rsidP="00254EC9">
      <w:pPr>
        <w:pStyle w:val="Figure"/>
      </w:pPr>
      <w:r w:rsidRPr="00F110C2">
        <w:drawing>
          <wp:inline distT="0" distB="0" distL="0" distR="0" wp14:anchorId="010EAB23" wp14:editId="2AC819BC">
            <wp:extent cx="5342890" cy="3002280"/>
            <wp:effectExtent l="0" t="0" r="0" b="7620"/>
            <wp:docPr id="1261814813" name="Picture 26" descr="A diagram of a radio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14813" name="Picture 26" descr="A diagram of a radio frequency&#10;&#10;AI-generated content may be incorrect."/>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342890" cy="3002280"/>
                    </a:xfrm>
                    <a:prstGeom prst="rect">
                      <a:avLst/>
                    </a:prstGeom>
                    <a:noFill/>
                    <a:ln>
                      <a:noFill/>
                    </a:ln>
                  </pic:spPr>
                </pic:pic>
              </a:graphicData>
            </a:graphic>
          </wp:inline>
        </w:drawing>
      </w:r>
    </w:p>
    <w:p w14:paraId="67193DC1" w14:textId="74B7C43B" w:rsidR="00CD45DB" w:rsidRPr="00F110C2" w:rsidRDefault="00CD45DB" w:rsidP="00254EC9">
      <w:pPr>
        <w:pStyle w:val="Normalaftertitle"/>
        <w:rPr>
          <w:szCs w:val="24"/>
        </w:rPr>
      </w:pPr>
      <w:r w:rsidRPr="00F110C2">
        <w:rPr>
          <w:szCs w:val="24"/>
        </w:rPr>
        <w:t xml:space="preserve">lorsque </w:t>
      </w:r>
      <w:r w:rsidRPr="00F110C2">
        <w:rPr>
          <w:i/>
          <w:iCs/>
          <w:szCs w:val="24"/>
        </w:rPr>
        <w:t>B</w:t>
      </w:r>
      <w:r w:rsidRPr="00F110C2">
        <w:rPr>
          <w:i/>
          <w:iCs/>
          <w:position w:val="-4"/>
          <w:szCs w:val="24"/>
          <w:vertAlign w:val="subscript"/>
        </w:rPr>
        <w:t>N</w:t>
      </w:r>
      <w:r w:rsidRPr="00F110C2">
        <w:rPr>
          <w:szCs w:val="24"/>
        </w:rPr>
        <w:t xml:space="preserve"> &lt; 4 kHz, il faut utiliser la valeur de </w:t>
      </w:r>
      <w:r w:rsidRPr="00F110C2">
        <w:rPr>
          <w:i/>
          <w:iCs/>
          <w:szCs w:val="24"/>
        </w:rPr>
        <w:t>B</w:t>
      </w:r>
      <w:r w:rsidRPr="00F110C2">
        <w:rPr>
          <w:i/>
          <w:iCs/>
          <w:position w:val="-4"/>
          <w:szCs w:val="24"/>
          <w:vertAlign w:val="subscript"/>
        </w:rPr>
        <w:t>L</w:t>
      </w:r>
      <w:r w:rsidRPr="00F110C2">
        <w:rPr>
          <w:szCs w:val="24"/>
        </w:rPr>
        <w:t xml:space="preserve"> tirée de la Recommandation UIT-R</w:t>
      </w:r>
      <w:r w:rsidRPr="00F110C2">
        <w:rPr>
          <w:b/>
          <w:szCs w:val="24"/>
        </w:rPr>
        <w:t xml:space="preserve"> </w:t>
      </w:r>
      <w:r w:rsidRPr="00F110C2">
        <w:rPr>
          <w:szCs w:val="24"/>
        </w:rPr>
        <w:t xml:space="preserve">SM.1539 au lieu de </w:t>
      </w:r>
      <w:r w:rsidRPr="00F110C2">
        <w:rPr>
          <w:i/>
          <w:iCs/>
          <w:szCs w:val="24"/>
        </w:rPr>
        <w:t>B</w:t>
      </w:r>
      <w:r w:rsidRPr="00F110C2">
        <w:rPr>
          <w:i/>
          <w:iCs/>
          <w:position w:val="-4"/>
          <w:szCs w:val="24"/>
          <w:vertAlign w:val="subscript"/>
        </w:rPr>
        <w:t>N</w:t>
      </w:r>
      <w:r w:rsidR="00A91026" w:rsidRPr="00F110C2">
        <w:rPr>
          <w:szCs w:val="24"/>
        </w:rPr>
        <w:t>.</w:t>
      </w:r>
    </w:p>
    <w:p w14:paraId="4E630CFF" w14:textId="77777777" w:rsidR="00CD45DB" w:rsidRPr="00F110C2" w:rsidRDefault="00CD45DB" w:rsidP="00254EC9">
      <w:pPr>
        <w:pStyle w:val="FigureNo"/>
      </w:pPr>
      <w:r w:rsidRPr="00F110C2">
        <w:lastRenderedPageBreak/>
        <w:t>figure 42</w:t>
      </w:r>
    </w:p>
    <w:p w14:paraId="48F68474" w14:textId="77777777" w:rsidR="00CD45DB" w:rsidRPr="00F110C2" w:rsidRDefault="00CD45DB" w:rsidP="00254EC9">
      <w:pPr>
        <w:pStyle w:val="Figuretitle"/>
      </w:pPr>
      <w:r w:rsidRPr="00F110C2">
        <w:t>Stations fonctionnant au-dessous de 30 MHz dans le cas à large bande</w:t>
      </w:r>
      <w:r w:rsidRPr="00F110C2">
        <w:br/>
        <w:t>de la Recommandation UIT-R SM.1539</w:t>
      </w:r>
    </w:p>
    <w:p w14:paraId="34442C9C" w14:textId="77777777" w:rsidR="00CD45DB" w:rsidRPr="00F110C2" w:rsidRDefault="00CD45DB" w:rsidP="00254EC9">
      <w:pPr>
        <w:pStyle w:val="Figure"/>
      </w:pPr>
      <w:r w:rsidRPr="00F110C2">
        <w:drawing>
          <wp:inline distT="0" distB="0" distL="0" distR="0" wp14:anchorId="599007BB" wp14:editId="14B65AD1">
            <wp:extent cx="5220335" cy="2954655"/>
            <wp:effectExtent l="0" t="0" r="4445" b="0"/>
            <wp:docPr id="1034311932" name="Picture 27" descr="A diagram of a radio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11932" name="Picture 27" descr="A diagram of a radio frequency&#10;&#10;AI-generated content may be incorrect."/>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220335" cy="2954655"/>
                    </a:xfrm>
                    <a:prstGeom prst="rect">
                      <a:avLst/>
                    </a:prstGeom>
                    <a:noFill/>
                    <a:ln>
                      <a:noFill/>
                    </a:ln>
                  </pic:spPr>
                </pic:pic>
              </a:graphicData>
            </a:graphic>
          </wp:inline>
        </w:drawing>
      </w:r>
    </w:p>
    <w:p w14:paraId="07AEEADF" w14:textId="77777777" w:rsidR="00CD45DB" w:rsidRPr="00F110C2" w:rsidRDefault="00CD45DB" w:rsidP="00254EC9">
      <w:pPr>
        <w:pStyle w:val="FigureNo"/>
      </w:pPr>
      <w:r w:rsidRPr="00F110C2">
        <w:t>figure 43</w:t>
      </w:r>
    </w:p>
    <w:p w14:paraId="5C752A60" w14:textId="77777777" w:rsidR="00CD45DB" w:rsidRPr="00F110C2" w:rsidRDefault="00CD45DB" w:rsidP="00254EC9">
      <w:pPr>
        <w:pStyle w:val="Figuretitle"/>
      </w:pPr>
      <w:r w:rsidRPr="00F110C2">
        <w:t xml:space="preserve">Stations fonctionnant au-dessus de 30 MHz dans le cas normal ou dans le cas </w:t>
      </w:r>
      <w:r w:rsidRPr="00F110C2">
        <w:br/>
        <w:t>à bande étroite de la Recommandation UIT-R SM.1539</w:t>
      </w:r>
    </w:p>
    <w:p w14:paraId="15E79C04" w14:textId="77777777" w:rsidR="00CD45DB" w:rsidRPr="00F110C2" w:rsidRDefault="00CD45DB" w:rsidP="00254EC9">
      <w:pPr>
        <w:pStyle w:val="Figure"/>
      </w:pPr>
      <w:r w:rsidRPr="00F110C2">
        <w:drawing>
          <wp:inline distT="0" distB="0" distL="0" distR="0" wp14:anchorId="6A9BCCDB" wp14:editId="760EE4EB">
            <wp:extent cx="5145405" cy="3814445"/>
            <wp:effectExtent l="0" t="0" r="0" b="0"/>
            <wp:docPr id="1168651186" name="Picture 28" descr="A diagram of a radio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51186" name="Picture 28" descr="A diagram of a radio frequency&#10;&#10;AI-generated content may be incorrect."/>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145405" cy="3814445"/>
                    </a:xfrm>
                    <a:prstGeom prst="rect">
                      <a:avLst/>
                    </a:prstGeom>
                    <a:noFill/>
                    <a:ln>
                      <a:noFill/>
                    </a:ln>
                  </pic:spPr>
                </pic:pic>
              </a:graphicData>
            </a:graphic>
          </wp:inline>
        </w:drawing>
      </w:r>
    </w:p>
    <w:p w14:paraId="7158F195" w14:textId="4947D36B" w:rsidR="00CD45DB" w:rsidRPr="00F110C2" w:rsidRDefault="00CD45DB" w:rsidP="00254EC9">
      <w:pPr>
        <w:pStyle w:val="Normalaftertitle"/>
      </w:pPr>
      <w:r w:rsidRPr="00F110C2">
        <w:t>Dans le cas à bande étroite, il faut utiliser la valeur de BL tirée de la Recommandation</w:t>
      </w:r>
      <w:r w:rsidR="008C6F09" w:rsidRPr="00F110C2">
        <w:t> </w:t>
      </w:r>
      <w:r w:rsidRPr="00F110C2">
        <w:t>UIT</w:t>
      </w:r>
      <w:r w:rsidRPr="00F110C2">
        <w:noBreakHyphen/>
        <w:t xml:space="preserve">R SM.1539 au lieu de </w:t>
      </w:r>
      <w:r w:rsidRPr="00F110C2">
        <w:rPr>
          <w:i/>
          <w:iCs/>
        </w:rPr>
        <w:t>B</w:t>
      </w:r>
      <w:r w:rsidRPr="00F110C2">
        <w:rPr>
          <w:i/>
          <w:iCs/>
          <w:vertAlign w:val="subscript"/>
        </w:rPr>
        <w:t>N</w:t>
      </w:r>
      <w:r w:rsidRPr="00F110C2">
        <w:t>.</w:t>
      </w:r>
    </w:p>
    <w:p w14:paraId="7C38E0CE" w14:textId="77777777" w:rsidR="00CD45DB" w:rsidRPr="00F110C2" w:rsidRDefault="00CD45DB" w:rsidP="00254EC9">
      <w:pPr>
        <w:pStyle w:val="FigureNo"/>
      </w:pPr>
      <w:r w:rsidRPr="00F110C2">
        <w:lastRenderedPageBreak/>
        <w:t>figure 44</w:t>
      </w:r>
    </w:p>
    <w:p w14:paraId="2D152C75" w14:textId="77777777" w:rsidR="00CD45DB" w:rsidRPr="00F110C2" w:rsidRDefault="00CD45DB" w:rsidP="00254EC9">
      <w:pPr>
        <w:pStyle w:val="Figuretitle"/>
      </w:pPr>
      <w:r w:rsidRPr="00F110C2">
        <w:t xml:space="preserve">Stations fonctionnant au-dessus de 30 MHz dans le cas à large </w:t>
      </w:r>
      <w:r w:rsidRPr="00F110C2">
        <w:br/>
        <w:t>bande de la Recommandation UIT-R SM.1539</w:t>
      </w:r>
    </w:p>
    <w:p w14:paraId="20575474" w14:textId="77777777" w:rsidR="00CD45DB" w:rsidRPr="00F110C2" w:rsidRDefault="00CD45DB" w:rsidP="00254EC9">
      <w:pPr>
        <w:pStyle w:val="Figure"/>
      </w:pPr>
      <w:r w:rsidRPr="00F110C2">
        <w:drawing>
          <wp:inline distT="0" distB="0" distL="0" distR="0" wp14:anchorId="3470F2C6" wp14:editId="7F6FF4A7">
            <wp:extent cx="5182602" cy="4860000"/>
            <wp:effectExtent l="0" t="0" r="0" b="0"/>
            <wp:docPr id="1250635960" name="Picture 1250635960"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35960" name="Picture 1250635960" descr="A graph with lines and numbers&#10;&#10;AI-generated content may be incorrect."/>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182602" cy="4860000"/>
                    </a:xfrm>
                    <a:prstGeom prst="rect">
                      <a:avLst/>
                    </a:prstGeom>
                    <a:noFill/>
                    <a:ln>
                      <a:noFill/>
                    </a:ln>
                  </pic:spPr>
                </pic:pic>
              </a:graphicData>
            </a:graphic>
          </wp:inline>
        </w:drawing>
      </w:r>
    </w:p>
    <w:p w14:paraId="514FB8B6" w14:textId="1FD334DD" w:rsidR="00CD45DB" w:rsidRPr="00F110C2" w:rsidRDefault="00CD45DB" w:rsidP="00254EC9">
      <w:pPr>
        <w:pStyle w:val="Note"/>
      </w:pPr>
      <w:r w:rsidRPr="00F110C2">
        <w:t>NOTE 1 </w:t>
      </w:r>
      <w:r w:rsidR="0023743D" w:rsidRPr="00F110C2">
        <w:t>–</w:t>
      </w:r>
      <w:r w:rsidRPr="00F110C2">
        <w:t> Toutes les classes d'émission utilisant la bande latérale unique (BLU) sont incluses dans la catégorie BLU.</w:t>
      </w:r>
    </w:p>
    <w:p w14:paraId="7A6DFE66" w14:textId="77777777" w:rsidR="00CD45DB" w:rsidRPr="00F110C2" w:rsidRDefault="00CD45DB" w:rsidP="00254EC9">
      <w:pPr>
        <w:pStyle w:val="Note"/>
      </w:pPr>
      <w:r w:rsidRPr="00F110C2">
        <w:t>Lorsque cela s'applique pour la modulation utilisée pour les tests, on emploie des tonalités de fréquence audio de 1 100 et 1 700 Hz pour les émissions BLU, avec 1 kHz pour les émissions avec porteuse ou, dans les autres cas, avec une modulation représentative de l'utilisation normale.</w:t>
      </w:r>
    </w:p>
    <w:p w14:paraId="68C5788D" w14:textId="6773D24C" w:rsidR="00CD45DB" w:rsidRPr="00F110C2" w:rsidRDefault="00CD45DB" w:rsidP="00254EC9">
      <w:pPr>
        <w:pStyle w:val="Note"/>
      </w:pPr>
      <w:r w:rsidRPr="00F110C2">
        <w:t>NOTE 2 </w:t>
      </w:r>
      <w:r w:rsidR="0023743D" w:rsidRPr="00F110C2">
        <w:t>–</w:t>
      </w:r>
      <w:r w:rsidRPr="00F110C2">
        <w:t> Pour les stations utilisant l'accès multiple par répartition en fréquence (AMRF) à large bande (par exemple les stations spatiales fonctionnant dans le service d'amateur par satellite), on doit considérer que la largeur de bande nécessaire correspond à la largeur de bande à 3 dB de l'amplificateur final de l'émetteur.</w:t>
      </w:r>
    </w:p>
    <w:p w14:paraId="399AB43E" w14:textId="77777777" w:rsidR="00A91026" w:rsidRPr="00F110C2" w:rsidRDefault="00A91026" w:rsidP="00254EC9"/>
    <w:p w14:paraId="6F72B18D" w14:textId="77777777" w:rsidR="00A91026" w:rsidRPr="00F110C2" w:rsidRDefault="00A91026" w:rsidP="00254EC9"/>
    <w:p w14:paraId="1A9C6CD3" w14:textId="77777777" w:rsidR="00CD45DB" w:rsidRPr="00F110C2" w:rsidRDefault="00CD45DB" w:rsidP="00254EC9">
      <w:pPr>
        <w:pStyle w:val="AnnexNoTitle"/>
        <w:outlineLvl w:val="0"/>
      </w:pPr>
      <w:r w:rsidRPr="00F110C2">
        <w:lastRenderedPageBreak/>
        <w:t>Annexe 10</w:t>
      </w:r>
      <w:r w:rsidRPr="00F110C2">
        <w:br/>
      </w:r>
      <w:r w:rsidRPr="00F110C2">
        <w:br/>
        <w:t xml:space="preserve">Limites des émissions dans le domaine des émissions hors bande pour </w:t>
      </w:r>
      <w:r w:rsidRPr="00F110C2">
        <w:br/>
        <w:t>les services de radiocommunication mobiles terrestres</w:t>
      </w:r>
    </w:p>
    <w:p w14:paraId="7E07AA99" w14:textId="77777777" w:rsidR="00CD45DB" w:rsidRPr="00F110C2" w:rsidRDefault="00CD45DB" w:rsidP="00254EC9">
      <w:pPr>
        <w:pStyle w:val="Normalaftertitle"/>
        <w:keepNext/>
        <w:keepLines/>
      </w:pPr>
      <w:r w:rsidRPr="00F110C2">
        <w:t>Les gabarits contenus dans la présente Annexe sont des exemples de gabarits des émissions hors bande utilisés pour le service mobile terrestre. Des études complémentaires sont nécessaires pour définir un gabarit générique concernant tous les systèmes du service mobile terrestre. Dans le cadre de ce service, on préfère utiliser des limites de rapport de puissance dans la bande adjacente (ou dans le canal adjacent) plutôt que des courbes limites car la coordination des fréquences et la planification des systèmes s'en trouvent facilitées. La Pièce jointe 1 à l'Annexe 1 indique comment obtenir une limite de puissance dans une bande à partir d'un gabarit d'émission.</w:t>
      </w:r>
    </w:p>
    <w:p w14:paraId="0728A885" w14:textId="77777777" w:rsidR="00CD45DB" w:rsidRPr="00F110C2" w:rsidRDefault="00CD45DB" w:rsidP="00254EC9">
      <w:r w:rsidRPr="00F110C2">
        <w:t>Le Tableau 33 donne les points de rupture correspondant au graphe représenté sur la Fig. 45, pour les systèmes mobiles terrestres à largeur de bande de canal de 12,5 kHz.</w:t>
      </w:r>
    </w:p>
    <w:p w14:paraId="3DD5B063" w14:textId="77777777" w:rsidR="00CD45DB" w:rsidRPr="00F110C2" w:rsidRDefault="00CD45DB" w:rsidP="00254EC9">
      <w:pPr>
        <w:pStyle w:val="FigureNo"/>
      </w:pPr>
      <w:r w:rsidRPr="00F110C2">
        <w:t>figure 45</w:t>
      </w:r>
    </w:p>
    <w:p w14:paraId="49DC9709" w14:textId="77777777" w:rsidR="00CD45DB" w:rsidRPr="00F110C2" w:rsidRDefault="00CD45DB" w:rsidP="00254EC9">
      <w:pPr>
        <w:pStyle w:val="Figuretitle"/>
      </w:pPr>
      <w:r w:rsidRPr="00F110C2">
        <w:t xml:space="preserve">Gabarit des émissions hors bande pour les systèmes mobiles </w:t>
      </w:r>
      <w:r w:rsidRPr="00F110C2">
        <w:br/>
        <w:t>terrestres à largeur de bande de canal de 12,5 kHz</w:t>
      </w:r>
    </w:p>
    <w:p w14:paraId="2E9B22A4" w14:textId="77777777" w:rsidR="00CD45DB" w:rsidRPr="00F110C2" w:rsidRDefault="00CD45DB" w:rsidP="00254EC9">
      <w:pPr>
        <w:pStyle w:val="Figure"/>
      </w:pPr>
      <w:r w:rsidRPr="00F110C2">
        <w:drawing>
          <wp:inline distT="0" distB="0" distL="0" distR="0" wp14:anchorId="64C4407B" wp14:editId="57EA9A81">
            <wp:extent cx="4476750" cy="1815465"/>
            <wp:effectExtent l="0" t="0" r="0" b="0"/>
            <wp:docPr id="1731869445" name="Picture 3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69445" name="Picture 31" descr="A graph with numbers and lines&#10;&#10;AI-generated content may be incorrect."/>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476750" cy="1815465"/>
                    </a:xfrm>
                    <a:prstGeom prst="rect">
                      <a:avLst/>
                    </a:prstGeom>
                    <a:noFill/>
                    <a:ln>
                      <a:noFill/>
                    </a:ln>
                  </pic:spPr>
                </pic:pic>
              </a:graphicData>
            </a:graphic>
          </wp:inline>
        </w:drawing>
      </w:r>
    </w:p>
    <w:p w14:paraId="108CB669" w14:textId="77777777" w:rsidR="00CD45DB" w:rsidRPr="00F110C2" w:rsidRDefault="00CD45DB" w:rsidP="00254EC9">
      <w:pPr>
        <w:pStyle w:val="TableNo"/>
      </w:pPr>
      <w:r w:rsidRPr="00F110C2">
        <w:t>TABLEAU 33</w:t>
      </w:r>
    </w:p>
    <w:p w14:paraId="013EA2E7" w14:textId="77777777" w:rsidR="00CD45DB" w:rsidRPr="00F110C2" w:rsidRDefault="00CD45DB" w:rsidP="00254EC9">
      <w:pPr>
        <w:pStyle w:val="Tabletitle"/>
      </w:pPr>
      <w:r w:rsidRPr="00F110C2">
        <w:t>Points de rupture</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255"/>
        <w:gridCol w:w="3384"/>
      </w:tblGrid>
      <w:tr w:rsidR="00CD45DB" w:rsidRPr="00F110C2" w14:paraId="11C03CC2" w14:textId="77777777" w:rsidTr="00A91026">
        <w:trPr>
          <w:jc w:val="center"/>
        </w:trPr>
        <w:tc>
          <w:tcPr>
            <w:tcW w:w="4536" w:type="dxa"/>
            <w:vAlign w:val="center"/>
          </w:tcPr>
          <w:p w14:paraId="5AFC39B4" w14:textId="6133821D" w:rsidR="00CD45DB" w:rsidRPr="00F110C2" w:rsidRDefault="00CD45DB" w:rsidP="00254EC9">
            <w:pPr>
              <w:pStyle w:val="Tablehead"/>
            </w:pPr>
            <w:r w:rsidRPr="00F110C2">
              <w:t xml:space="preserve">Décalage de fréquence par rapport à la </w:t>
            </w:r>
            <w:r w:rsidR="00A91026" w:rsidRPr="00F110C2">
              <w:br/>
            </w:r>
            <w:r w:rsidRPr="00F110C2">
              <w:t xml:space="preserve">fréquence centrale (pourcentage de </w:t>
            </w:r>
            <w:r w:rsidR="00A91026" w:rsidRPr="00F110C2">
              <w:br/>
            </w:r>
            <w:r w:rsidRPr="00F110C2">
              <w:t>la largeur de bande de canal)</w:t>
            </w:r>
          </w:p>
        </w:tc>
        <w:tc>
          <w:tcPr>
            <w:tcW w:w="2454" w:type="dxa"/>
            <w:vAlign w:val="center"/>
          </w:tcPr>
          <w:p w14:paraId="193E9AAA" w14:textId="77777777" w:rsidR="00CD45DB" w:rsidRPr="00F110C2" w:rsidRDefault="00CD45DB" w:rsidP="00254EC9">
            <w:pPr>
              <w:pStyle w:val="Tablehead"/>
            </w:pPr>
            <w:r w:rsidRPr="00F110C2">
              <w:t>Affaiblissement</w:t>
            </w:r>
            <w:r w:rsidRPr="00F110C2">
              <w:br/>
              <w:t>(dBsd)</w:t>
            </w:r>
          </w:p>
        </w:tc>
      </w:tr>
      <w:tr w:rsidR="00CD45DB" w:rsidRPr="00F110C2" w14:paraId="693C27A9" w14:textId="77777777" w:rsidTr="00A91026">
        <w:trPr>
          <w:jc w:val="center"/>
        </w:trPr>
        <w:tc>
          <w:tcPr>
            <w:tcW w:w="4536" w:type="dxa"/>
          </w:tcPr>
          <w:p w14:paraId="16E79F84" w14:textId="77777777" w:rsidR="00CD45DB" w:rsidRPr="00F110C2" w:rsidRDefault="00CD45DB" w:rsidP="00254EC9">
            <w:pPr>
              <w:pStyle w:val="Tabletext"/>
              <w:jc w:val="center"/>
            </w:pPr>
            <w:r w:rsidRPr="00F110C2">
              <w:t>50</w:t>
            </w:r>
          </w:p>
        </w:tc>
        <w:tc>
          <w:tcPr>
            <w:tcW w:w="2454" w:type="dxa"/>
          </w:tcPr>
          <w:p w14:paraId="4EDF57E7" w14:textId="77777777" w:rsidR="00CD45DB" w:rsidRPr="00F110C2" w:rsidRDefault="00CD45DB" w:rsidP="00254EC9">
            <w:pPr>
              <w:pStyle w:val="Tabletext"/>
              <w:jc w:val="center"/>
            </w:pPr>
            <w:r w:rsidRPr="00F110C2">
              <w:t>3,5</w:t>
            </w:r>
          </w:p>
        </w:tc>
      </w:tr>
      <w:tr w:rsidR="00CD45DB" w:rsidRPr="00F110C2" w14:paraId="791291F5" w14:textId="77777777" w:rsidTr="00A91026">
        <w:trPr>
          <w:jc w:val="center"/>
        </w:trPr>
        <w:tc>
          <w:tcPr>
            <w:tcW w:w="4536" w:type="dxa"/>
          </w:tcPr>
          <w:p w14:paraId="43CA6A11" w14:textId="77777777" w:rsidR="00CD45DB" w:rsidRPr="00F110C2" w:rsidRDefault="00CD45DB" w:rsidP="00254EC9">
            <w:pPr>
              <w:pStyle w:val="Tabletext"/>
              <w:jc w:val="center"/>
            </w:pPr>
            <w:r w:rsidRPr="00F110C2">
              <w:t>78</w:t>
            </w:r>
          </w:p>
        </w:tc>
        <w:tc>
          <w:tcPr>
            <w:tcW w:w="2454" w:type="dxa"/>
          </w:tcPr>
          <w:p w14:paraId="4753E8B0" w14:textId="77777777" w:rsidR="00CD45DB" w:rsidRPr="00F110C2" w:rsidRDefault="00CD45DB" w:rsidP="00254EC9">
            <w:pPr>
              <w:pStyle w:val="Tabletext"/>
              <w:jc w:val="center"/>
            </w:pPr>
            <w:r w:rsidRPr="00F110C2">
              <w:t>29</w:t>
            </w:r>
          </w:p>
        </w:tc>
      </w:tr>
      <w:tr w:rsidR="00CD45DB" w:rsidRPr="00F110C2" w14:paraId="3C5BA807" w14:textId="77777777" w:rsidTr="00A91026">
        <w:trPr>
          <w:jc w:val="center"/>
        </w:trPr>
        <w:tc>
          <w:tcPr>
            <w:tcW w:w="4536" w:type="dxa"/>
          </w:tcPr>
          <w:p w14:paraId="58766507" w14:textId="77777777" w:rsidR="00CD45DB" w:rsidRPr="00F110C2" w:rsidRDefault="00CD45DB" w:rsidP="00254EC9">
            <w:pPr>
              <w:pStyle w:val="Tabletext"/>
              <w:jc w:val="center"/>
            </w:pPr>
            <w:r w:rsidRPr="00F110C2">
              <w:t>250</w:t>
            </w:r>
          </w:p>
        </w:tc>
        <w:tc>
          <w:tcPr>
            <w:tcW w:w="2454" w:type="dxa"/>
          </w:tcPr>
          <w:p w14:paraId="510EB5A7" w14:textId="77777777" w:rsidR="00CD45DB" w:rsidRPr="00F110C2" w:rsidRDefault="00CD45DB" w:rsidP="00254EC9">
            <w:pPr>
              <w:pStyle w:val="Tabletext"/>
              <w:jc w:val="center"/>
            </w:pPr>
            <w:r w:rsidRPr="00F110C2">
              <w:t>29</w:t>
            </w:r>
          </w:p>
        </w:tc>
      </w:tr>
    </w:tbl>
    <w:p w14:paraId="2349DEA6" w14:textId="77777777" w:rsidR="00CD45DB" w:rsidRPr="00F110C2" w:rsidRDefault="00CD45DB" w:rsidP="00254EC9">
      <w:pPr>
        <w:pStyle w:val="Tablefin"/>
      </w:pPr>
    </w:p>
    <w:p w14:paraId="63EF526E" w14:textId="77777777" w:rsidR="00CD45DB" w:rsidRPr="00F110C2" w:rsidRDefault="00CD45DB" w:rsidP="00254EC9">
      <w:r w:rsidRPr="00F110C2">
        <w:t>Le Tableau 34 donne les points de rupture correspondant au graphe représenté sur la Fig. 46, pour les systèmes à BLU avec compression-extension d'amplitude et à largeur de bande de canal de 5 kHz.</w:t>
      </w:r>
    </w:p>
    <w:p w14:paraId="6F3A34C7" w14:textId="77777777" w:rsidR="00CD45DB" w:rsidRPr="00F110C2" w:rsidRDefault="00CD45DB" w:rsidP="00254EC9">
      <w:pPr>
        <w:pStyle w:val="FigureNo"/>
      </w:pPr>
      <w:r w:rsidRPr="00F110C2">
        <w:lastRenderedPageBreak/>
        <w:t>figure 46</w:t>
      </w:r>
    </w:p>
    <w:p w14:paraId="2707A8EF" w14:textId="77777777" w:rsidR="00CD45DB" w:rsidRPr="00F110C2" w:rsidRDefault="00CD45DB" w:rsidP="00254EC9">
      <w:pPr>
        <w:pStyle w:val="Figuretitle"/>
        <w:rPr>
          <w:caps/>
        </w:rPr>
      </w:pPr>
      <w:r w:rsidRPr="00F110C2">
        <w:t>Gabarit des émissions hors bande pour les systèmes à BLU avec compression-extension</w:t>
      </w:r>
      <w:r w:rsidRPr="00F110C2">
        <w:rPr>
          <w:caps/>
        </w:rPr>
        <w:br/>
      </w:r>
      <w:r w:rsidRPr="00F110C2">
        <w:t>d'amplitude et à largeur de bande de canal de 5 kHz</w:t>
      </w:r>
    </w:p>
    <w:p w14:paraId="6BE8AF5D" w14:textId="77777777" w:rsidR="00CD45DB" w:rsidRPr="00F110C2" w:rsidRDefault="00CD45DB" w:rsidP="00254EC9">
      <w:pPr>
        <w:pStyle w:val="Figure"/>
      </w:pPr>
      <w:r w:rsidRPr="00F110C2">
        <w:drawing>
          <wp:inline distT="0" distB="0" distL="0" distR="0" wp14:anchorId="5E362F50" wp14:editId="5FC1F1D8">
            <wp:extent cx="4032885" cy="1910715"/>
            <wp:effectExtent l="0" t="0" r="5715" b="0"/>
            <wp:docPr id="1095667642" name="Picture 32"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67642" name="Picture 32" descr="A graph with a line&#10;&#10;AI-generated content may be incorrect."/>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032885" cy="1910715"/>
                    </a:xfrm>
                    <a:prstGeom prst="rect">
                      <a:avLst/>
                    </a:prstGeom>
                    <a:noFill/>
                    <a:ln>
                      <a:noFill/>
                    </a:ln>
                  </pic:spPr>
                </pic:pic>
              </a:graphicData>
            </a:graphic>
          </wp:inline>
        </w:drawing>
      </w:r>
    </w:p>
    <w:p w14:paraId="589C7B1E" w14:textId="77777777" w:rsidR="00CD45DB" w:rsidRPr="00F110C2" w:rsidRDefault="00CD45DB" w:rsidP="00254EC9">
      <w:pPr>
        <w:pStyle w:val="TableNo"/>
      </w:pPr>
      <w:r w:rsidRPr="00F110C2">
        <w:t>TABLEAU 34</w:t>
      </w:r>
    </w:p>
    <w:p w14:paraId="062C2351" w14:textId="77777777" w:rsidR="00CD45DB" w:rsidRPr="00F110C2" w:rsidRDefault="00CD45DB" w:rsidP="00254EC9">
      <w:pPr>
        <w:pStyle w:val="Tabletitle"/>
      </w:pPr>
      <w:r w:rsidRPr="00F110C2">
        <w:t>Points de rupture</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255"/>
        <w:gridCol w:w="3384"/>
      </w:tblGrid>
      <w:tr w:rsidR="00CD45DB" w:rsidRPr="00F110C2" w14:paraId="558F54E9" w14:textId="77777777" w:rsidTr="00A91026">
        <w:trPr>
          <w:jc w:val="center"/>
        </w:trPr>
        <w:tc>
          <w:tcPr>
            <w:tcW w:w="4536" w:type="dxa"/>
            <w:vAlign w:val="center"/>
          </w:tcPr>
          <w:p w14:paraId="66537FBD" w14:textId="77777777" w:rsidR="00CD45DB" w:rsidRPr="00F110C2" w:rsidRDefault="00CD45DB" w:rsidP="00254EC9">
            <w:pPr>
              <w:pStyle w:val="Tablehead"/>
            </w:pPr>
            <w:r w:rsidRPr="00F110C2">
              <w:t xml:space="preserve">Décalage de fréquence par rapport à la </w:t>
            </w:r>
            <w:r w:rsidRPr="00F110C2">
              <w:br/>
              <w:t xml:space="preserve">fréquence centrale (pourcentage de </w:t>
            </w:r>
            <w:r w:rsidRPr="00F110C2">
              <w:br/>
              <w:t>la largeur de bande de canal)</w:t>
            </w:r>
          </w:p>
        </w:tc>
        <w:tc>
          <w:tcPr>
            <w:tcW w:w="2454" w:type="dxa"/>
            <w:vAlign w:val="center"/>
          </w:tcPr>
          <w:p w14:paraId="2C586109" w14:textId="77777777" w:rsidR="00CD45DB" w:rsidRPr="00F110C2" w:rsidRDefault="00CD45DB" w:rsidP="00254EC9">
            <w:pPr>
              <w:pStyle w:val="Tablehead"/>
            </w:pPr>
            <w:r w:rsidRPr="00F110C2">
              <w:t>Affaiblissement</w:t>
            </w:r>
            <w:r w:rsidRPr="00F110C2">
              <w:br/>
              <w:t>(dBc)</w:t>
            </w:r>
          </w:p>
        </w:tc>
      </w:tr>
      <w:tr w:rsidR="00CD45DB" w:rsidRPr="00F110C2" w14:paraId="1B6E92B2" w14:textId="77777777" w:rsidTr="00A91026">
        <w:trPr>
          <w:jc w:val="center"/>
        </w:trPr>
        <w:tc>
          <w:tcPr>
            <w:tcW w:w="4536" w:type="dxa"/>
          </w:tcPr>
          <w:p w14:paraId="76B942C9" w14:textId="77777777" w:rsidR="00CD45DB" w:rsidRPr="00F110C2" w:rsidRDefault="00CD45DB" w:rsidP="00254EC9">
            <w:pPr>
              <w:pStyle w:val="Tabletext"/>
              <w:jc w:val="center"/>
            </w:pPr>
            <w:r w:rsidRPr="00F110C2">
              <w:t>50</w:t>
            </w:r>
          </w:p>
        </w:tc>
        <w:tc>
          <w:tcPr>
            <w:tcW w:w="2454" w:type="dxa"/>
          </w:tcPr>
          <w:p w14:paraId="3C44188C" w14:textId="77777777" w:rsidR="00CD45DB" w:rsidRPr="00F110C2" w:rsidRDefault="00CD45DB" w:rsidP="00254EC9">
            <w:pPr>
              <w:pStyle w:val="Tabletext"/>
              <w:jc w:val="center"/>
            </w:pPr>
            <w:r w:rsidRPr="00F110C2">
              <w:t>40</w:t>
            </w:r>
          </w:p>
        </w:tc>
      </w:tr>
      <w:tr w:rsidR="00CD45DB" w:rsidRPr="00F110C2" w14:paraId="20A3E365" w14:textId="77777777" w:rsidTr="00A91026">
        <w:trPr>
          <w:jc w:val="center"/>
        </w:trPr>
        <w:tc>
          <w:tcPr>
            <w:tcW w:w="4536" w:type="dxa"/>
          </w:tcPr>
          <w:p w14:paraId="7BFE765A" w14:textId="77777777" w:rsidR="00CD45DB" w:rsidRPr="00F110C2" w:rsidRDefault="00CD45DB" w:rsidP="00254EC9">
            <w:pPr>
              <w:pStyle w:val="Tabletext"/>
              <w:jc w:val="center"/>
            </w:pPr>
            <w:r w:rsidRPr="00F110C2">
              <w:t>75</w:t>
            </w:r>
          </w:p>
        </w:tc>
        <w:tc>
          <w:tcPr>
            <w:tcW w:w="2454" w:type="dxa"/>
          </w:tcPr>
          <w:p w14:paraId="6C0F43AB" w14:textId="77777777" w:rsidR="00CD45DB" w:rsidRPr="00F110C2" w:rsidRDefault="00CD45DB" w:rsidP="00254EC9">
            <w:pPr>
              <w:pStyle w:val="Tabletext"/>
              <w:jc w:val="center"/>
            </w:pPr>
            <w:r w:rsidRPr="00F110C2">
              <w:t>65</w:t>
            </w:r>
          </w:p>
        </w:tc>
      </w:tr>
      <w:tr w:rsidR="00CD45DB" w:rsidRPr="00F110C2" w14:paraId="50FDFC2D" w14:textId="77777777" w:rsidTr="00A91026">
        <w:trPr>
          <w:jc w:val="center"/>
        </w:trPr>
        <w:tc>
          <w:tcPr>
            <w:tcW w:w="4536" w:type="dxa"/>
          </w:tcPr>
          <w:p w14:paraId="4A575F4D" w14:textId="77777777" w:rsidR="00CD45DB" w:rsidRPr="00F110C2" w:rsidRDefault="00CD45DB" w:rsidP="00254EC9">
            <w:pPr>
              <w:pStyle w:val="Tabletext"/>
              <w:jc w:val="center"/>
            </w:pPr>
            <w:r w:rsidRPr="00F110C2">
              <w:t>250</w:t>
            </w:r>
          </w:p>
        </w:tc>
        <w:tc>
          <w:tcPr>
            <w:tcW w:w="2454" w:type="dxa"/>
          </w:tcPr>
          <w:p w14:paraId="14EFDD00" w14:textId="77777777" w:rsidR="00CD45DB" w:rsidRPr="00F110C2" w:rsidRDefault="00CD45DB" w:rsidP="00254EC9">
            <w:pPr>
              <w:pStyle w:val="Tabletext"/>
              <w:jc w:val="center"/>
            </w:pPr>
            <w:r w:rsidRPr="00F110C2">
              <w:t>65</w:t>
            </w:r>
          </w:p>
        </w:tc>
      </w:tr>
    </w:tbl>
    <w:p w14:paraId="3AC02683" w14:textId="77777777" w:rsidR="00CD45DB" w:rsidRPr="00F110C2" w:rsidRDefault="00CD45DB" w:rsidP="00254EC9">
      <w:pPr>
        <w:pStyle w:val="Tablefin"/>
      </w:pPr>
    </w:p>
    <w:p w14:paraId="78923319" w14:textId="77777777" w:rsidR="00CD45DB" w:rsidRPr="00F110C2" w:rsidRDefault="00CD45DB" w:rsidP="00254EC9">
      <w:r w:rsidRPr="00F110C2">
        <w:t>Le Tableau 35 donne les points de rupture correspondant au graphe représenté sur la Fig. 47, pour les systèmes mobiles terrestres à largeur de bande de canal de 6,5 kHz.</w:t>
      </w:r>
    </w:p>
    <w:p w14:paraId="1BBF392D" w14:textId="77777777" w:rsidR="00CD45DB" w:rsidRPr="00F110C2" w:rsidRDefault="00CD45DB" w:rsidP="00254EC9">
      <w:pPr>
        <w:pStyle w:val="FigureNo"/>
      </w:pPr>
      <w:r w:rsidRPr="00F110C2">
        <w:t>figure 47</w:t>
      </w:r>
    </w:p>
    <w:p w14:paraId="120126D4" w14:textId="77777777" w:rsidR="00CD45DB" w:rsidRPr="00F110C2" w:rsidRDefault="00CD45DB" w:rsidP="00254EC9">
      <w:pPr>
        <w:pStyle w:val="Figuretitle"/>
      </w:pPr>
      <w:r w:rsidRPr="00F110C2">
        <w:t>Gabarit des émissions hors bande pour les systèmes mobiles terrestres</w:t>
      </w:r>
      <w:r w:rsidRPr="00F110C2">
        <w:br/>
        <w:t>à largeur de bande de canal de 6,5 kHz</w:t>
      </w:r>
    </w:p>
    <w:p w14:paraId="513B3E53" w14:textId="77777777" w:rsidR="00CD45DB" w:rsidRPr="00F110C2" w:rsidRDefault="00CD45DB" w:rsidP="00254EC9">
      <w:pPr>
        <w:pStyle w:val="Figure"/>
      </w:pPr>
      <w:r w:rsidRPr="00F110C2">
        <w:drawing>
          <wp:inline distT="0" distB="0" distL="0" distR="0" wp14:anchorId="2E67C6E2" wp14:editId="5E4596A7">
            <wp:extent cx="4053205" cy="2163445"/>
            <wp:effectExtent l="0" t="0" r="4445" b="8255"/>
            <wp:docPr id="313132606" name="Picture 33"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32606" name="Picture 33" descr="A graph with a line&#10;&#10;AI-generated content may be incorrect."/>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053205" cy="2163445"/>
                    </a:xfrm>
                    <a:prstGeom prst="rect">
                      <a:avLst/>
                    </a:prstGeom>
                    <a:noFill/>
                    <a:ln>
                      <a:noFill/>
                    </a:ln>
                  </pic:spPr>
                </pic:pic>
              </a:graphicData>
            </a:graphic>
          </wp:inline>
        </w:drawing>
      </w:r>
    </w:p>
    <w:p w14:paraId="68D2CF8A" w14:textId="77777777" w:rsidR="00CD45DB" w:rsidRPr="00F110C2" w:rsidRDefault="00CD45DB" w:rsidP="00254EC9">
      <w:pPr>
        <w:pStyle w:val="TableNo"/>
      </w:pPr>
      <w:r w:rsidRPr="00F110C2">
        <w:lastRenderedPageBreak/>
        <w:t>TABLEAU 35</w:t>
      </w:r>
    </w:p>
    <w:p w14:paraId="7A70D5B8" w14:textId="77777777" w:rsidR="00CD45DB" w:rsidRPr="00F110C2" w:rsidRDefault="00CD45DB" w:rsidP="00254EC9">
      <w:pPr>
        <w:pStyle w:val="Tabletitle"/>
      </w:pPr>
      <w:r w:rsidRPr="00F110C2">
        <w:t>Points de rupture</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255"/>
        <w:gridCol w:w="3384"/>
      </w:tblGrid>
      <w:tr w:rsidR="00CD45DB" w:rsidRPr="00F110C2" w14:paraId="2D1D22B9" w14:textId="77777777" w:rsidTr="00A91026">
        <w:trPr>
          <w:jc w:val="center"/>
        </w:trPr>
        <w:tc>
          <w:tcPr>
            <w:tcW w:w="4536" w:type="dxa"/>
            <w:vAlign w:val="center"/>
          </w:tcPr>
          <w:p w14:paraId="55C3E5F5" w14:textId="77777777" w:rsidR="00CD45DB" w:rsidRPr="00F110C2" w:rsidRDefault="00CD45DB" w:rsidP="00254EC9">
            <w:pPr>
              <w:pStyle w:val="Tablehead"/>
            </w:pPr>
            <w:r w:rsidRPr="00F110C2">
              <w:t>Décalage de fréquence par rapport à la</w:t>
            </w:r>
            <w:r w:rsidRPr="00F110C2">
              <w:br/>
              <w:t xml:space="preserve">fréquence centrale (pourcentage de </w:t>
            </w:r>
            <w:r w:rsidRPr="00F110C2">
              <w:br/>
              <w:t>la largeur de bande de canal)</w:t>
            </w:r>
          </w:p>
        </w:tc>
        <w:tc>
          <w:tcPr>
            <w:tcW w:w="2454" w:type="dxa"/>
            <w:vAlign w:val="center"/>
          </w:tcPr>
          <w:p w14:paraId="5759DA6B" w14:textId="77777777" w:rsidR="00CD45DB" w:rsidRPr="00F110C2" w:rsidRDefault="00CD45DB" w:rsidP="00254EC9">
            <w:pPr>
              <w:pStyle w:val="Tablehead"/>
            </w:pPr>
            <w:r w:rsidRPr="00F110C2">
              <w:t>Affaiblissement</w:t>
            </w:r>
            <w:r w:rsidRPr="00F110C2">
              <w:br/>
              <w:t>(dBsd)</w:t>
            </w:r>
          </w:p>
        </w:tc>
      </w:tr>
      <w:tr w:rsidR="00CD45DB" w:rsidRPr="00F110C2" w14:paraId="72AD6912" w14:textId="77777777" w:rsidTr="00A91026">
        <w:trPr>
          <w:jc w:val="center"/>
        </w:trPr>
        <w:tc>
          <w:tcPr>
            <w:tcW w:w="4536" w:type="dxa"/>
          </w:tcPr>
          <w:p w14:paraId="51C9E39B" w14:textId="77777777" w:rsidR="00CD45DB" w:rsidRPr="00F110C2" w:rsidRDefault="00CD45DB" w:rsidP="00254EC9">
            <w:pPr>
              <w:pStyle w:val="Tabletext"/>
              <w:jc w:val="center"/>
            </w:pPr>
            <w:r w:rsidRPr="00F110C2">
              <w:t>50</w:t>
            </w:r>
          </w:p>
        </w:tc>
        <w:tc>
          <w:tcPr>
            <w:tcW w:w="2454" w:type="dxa"/>
          </w:tcPr>
          <w:p w14:paraId="492D8753" w14:textId="77777777" w:rsidR="00CD45DB" w:rsidRPr="00F110C2" w:rsidRDefault="00CD45DB" w:rsidP="00254EC9">
            <w:pPr>
              <w:pStyle w:val="Tabletext"/>
              <w:jc w:val="center"/>
            </w:pPr>
            <w:r w:rsidRPr="00F110C2">
              <w:t>14</w:t>
            </w:r>
          </w:p>
        </w:tc>
      </w:tr>
      <w:tr w:rsidR="00CD45DB" w:rsidRPr="00F110C2" w14:paraId="673A0AA5" w14:textId="77777777" w:rsidTr="00A91026">
        <w:trPr>
          <w:jc w:val="center"/>
        </w:trPr>
        <w:tc>
          <w:tcPr>
            <w:tcW w:w="4536" w:type="dxa"/>
          </w:tcPr>
          <w:p w14:paraId="01A4C34A" w14:textId="77777777" w:rsidR="00CD45DB" w:rsidRPr="00F110C2" w:rsidRDefault="00CD45DB" w:rsidP="00254EC9">
            <w:pPr>
              <w:pStyle w:val="Tabletext"/>
              <w:jc w:val="center"/>
            </w:pPr>
            <w:r w:rsidRPr="00F110C2">
              <w:t>72</w:t>
            </w:r>
          </w:p>
        </w:tc>
        <w:tc>
          <w:tcPr>
            <w:tcW w:w="2454" w:type="dxa"/>
          </w:tcPr>
          <w:p w14:paraId="28E4A927" w14:textId="77777777" w:rsidR="00CD45DB" w:rsidRPr="00F110C2" w:rsidRDefault="00CD45DB" w:rsidP="00254EC9">
            <w:pPr>
              <w:pStyle w:val="Tabletext"/>
              <w:jc w:val="center"/>
            </w:pPr>
            <w:r w:rsidRPr="00F110C2">
              <w:t>37</w:t>
            </w:r>
          </w:p>
        </w:tc>
      </w:tr>
      <w:tr w:rsidR="00CD45DB" w:rsidRPr="00F110C2" w14:paraId="49F97B56" w14:textId="77777777" w:rsidTr="00A91026">
        <w:trPr>
          <w:jc w:val="center"/>
        </w:trPr>
        <w:tc>
          <w:tcPr>
            <w:tcW w:w="4536" w:type="dxa"/>
          </w:tcPr>
          <w:p w14:paraId="38B73A3D" w14:textId="77777777" w:rsidR="00CD45DB" w:rsidRPr="00F110C2" w:rsidRDefault="00CD45DB" w:rsidP="00254EC9">
            <w:pPr>
              <w:pStyle w:val="Tabletext"/>
              <w:jc w:val="center"/>
            </w:pPr>
            <w:r w:rsidRPr="00F110C2">
              <w:t>250</w:t>
            </w:r>
          </w:p>
        </w:tc>
        <w:tc>
          <w:tcPr>
            <w:tcW w:w="2454" w:type="dxa"/>
          </w:tcPr>
          <w:p w14:paraId="684213AB" w14:textId="77777777" w:rsidR="00CD45DB" w:rsidRPr="00F110C2" w:rsidRDefault="00CD45DB" w:rsidP="00254EC9">
            <w:pPr>
              <w:pStyle w:val="Tabletext"/>
              <w:jc w:val="center"/>
            </w:pPr>
            <w:r w:rsidRPr="00F110C2">
              <w:t>37</w:t>
            </w:r>
          </w:p>
        </w:tc>
      </w:tr>
    </w:tbl>
    <w:p w14:paraId="02FD6185" w14:textId="77777777" w:rsidR="00CD45DB" w:rsidRPr="00F110C2" w:rsidRDefault="00CD45DB" w:rsidP="00254EC9">
      <w:pPr>
        <w:pStyle w:val="Tablefin"/>
      </w:pPr>
    </w:p>
    <w:p w14:paraId="4D92E589" w14:textId="77777777" w:rsidR="00CD45DB" w:rsidRPr="00F110C2" w:rsidRDefault="00CD45DB" w:rsidP="00254EC9">
      <w:r w:rsidRPr="00F110C2">
        <w:t>Le Tableau 36 donne les points de rupture correspondant au graphe représenté sur la Fig. 48, pour les systèmes cellulaires analogiques à largeur de bande de canal de 30 kHz.</w:t>
      </w:r>
    </w:p>
    <w:p w14:paraId="177C97C9" w14:textId="77777777" w:rsidR="00CD45DB" w:rsidRPr="00F110C2" w:rsidRDefault="00CD45DB" w:rsidP="00254EC9">
      <w:pPr>
        <w:pStyle w:val="FigureNo"/>
      </w:pPr>
      <w:r w:rsidRPr="00F110C2">
        <w:t>figure 48</w:t>
      </w:r>
    </w:p>
    <w:p w14:paraId="21D7AA6D" w14:textId="77777777" w:rsidR="00CD45DB" w:rsidRPr="00F110C2" w:rsidRDefault="00CD45DB" w:rsidP="00254EC9">
      <w:pPr>
        <w:pStyle w:val="Figuretitle"/>
      </w:pPr>
      <w:r w:rsidRPr="00F110C2">
        <w:t>Gabarit des émissions hors bande pour les systèmes cellulaires</w:t>
      </w:r>
      <w:r w:rsidRPr="00F110C2">
        <w:br/>
        <w:t>analogiques à largeur de bande de canal de 30 kHz</w:t>
      </w:r>
    </w:p>
    <w:p w14:paraId="69B1D81C" w14:textId="77777777" w:rsidR="00CD45DB" w:rsidRPr="00F110C2" w:rsidRDefault="00CD45DB" w:rsidP="00254EC9">
      <w:pPr>
        <w:pStyle w:val="Figure"/>
      </w:pPr>
      <w:r w:rsidRPr="00F110C2">
        <w:drawing>
          <wp:inline distT="0" distB="0" distL="0" distR="0" wp14:anchorId="2EB17A9B" wp14:editId="69B96266">
            <wp:extent cx="4101465" cy="1617345"/>
            <wp:effectExtent l="0" t="0" r="0" b="1905"/>
            <wp:docPr id="1603894817" name="Picture 34"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94817" name="Picture 34" descr="A graph with a line&#10;&#10;AI-generated content may be incorrect."/>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101465" cy="1617345"/>
                    </a:xfrm>
                    <a:prstGeom prst="rect">
                      <a:avLst/>
                    </a:prstGeom>
                    <a:noFill/>
                    <a:ln>
                      <a:noFill/>
                    </a:ln>
                  </pic:spPr>
                </pic:pic>
              </a:graphicData>
            </a:graphic>
          </wp:inline>
        </w:drawing>
      </w:r>
    </w:p>
    <w:p w14:paraId="6B62FEC4" w14:textId="77777777" w:rsidR="00CD45DB" w:rsidRPr="00F110C2" w:rsidRDefault="00CD45DB" w:rsidP="00254EC9">
      <w:pPr>
        <w:pStyle w:val="TableNo"/>
      </w:pPr>
      <w:r w:rsidRPr="00F110C2">
        <w:t>TABLEAU 36</w:t>
      </w:r>
    </w:p>
    <w:p w14:paraId="4FD48E41" w14:textId="77777777" w:rsidR="00CD45DB" w:rsidRPr="00F110C2" w:rsidRDefault="00CD45DB" w:rsidP="00254EC9">
      <w:pPr>
        <w:pStyle w:val="Tabletitle"/>
      </w:pPr>
      <w:r w:rsidRPr="00F110C2">
        <w:t>Points de rupture</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255"/>
        <w:gridCol w:w="3384"/>
      </w:tblGrid>
      <w:tr w:rsidR="00CD45DB" w:rsidRPr="00F110C2" w14:paraId="1CB5BBC3" w14:textId="77777777" w:rsidTr="00A91026">
        <w:trPr>
          <w:jc w:val="center"/>
        </w:trPr>
        <w:tc>
          <w:tcPr>
            <w:tcW w:w="4536" w:type="dxa"/>
            <w:vAlign w:val="center"/>
          </w:tcPr>
          <w:p w14:paraId="28622091" w14:textId="4C63E166" w:rsidR="00CD45DB" w:rsidRPr="00F110C2" w:rsidRDefault="00CD45DB" w:rsidP="00254EC9">
            <w:pPr>
              <w:pStyle w:val="Tablehead"/>
            </w:pPr>
            <w:r w:rsidRPr="00F110C2">
              <w:t xml:space="preserve">Décalage de fréquence par rapport à la </w:t>
            </w:r>
            <w:r w:rsidR="00623888" w:rsidRPr="00F110C2">
              <w:br/>
            </w:r>
            <w:r w:rsidRPr="00F110C2">
              <w:t xml:space="preserve">fréquence centrale (pourcentage de </w:t>
            </w:r>
            <w:r w:rsidR="00623888" w:rsidRPr="00F110C2">
              <w:br/>
            </w:r>
            <w:r w:rsidRPr="00F110C2">
              <w:t>la largeur de bande de canal)</w:t>
            </w:r>
          </w:p>
        </w:tc>
        <w:tc>
          <w:tcPr>
            <w:tcW w:w="2454" w:type="dxa"/>
            <w:vAlign w:val="center"/>
          </w:tcPr>
          <w:p w14:paraId="5788230E" w14:textId="77777777" w:rsidR="00CD45DB" w:rsidRPr="00F110C2" w:rsidRDefault="00CD45DB" w:rsidP="00254EC9">
            <w:pPr>
              <w:pStyle w:val="Tablehead"/>
            </w:pPr>
            <w:r w:rsidRPr="00F110C2">
              <w:t>Affaiblissement</w:t>
            </w:r>
            <w:r w:rsidRPr="00F110C2">
              <w:br/>
              <w:t>(dBc)</w:t>
            </w:r>
          </w:p>
        </w:tc>
      </w:tr>
      <w:tr w:rsidR="00CD45DB" w:rsidRPr="00F110C2" w14:paraId="0DC4457E" w14:textId="77777777" w:rsidTr="00A91026">
        <w:trPr>
          <w:jc w:val="center"/>
        </w:trPr>
        <w:tc>
          <w:tcPr>
            <w:tcW w:w="4536" w:type="dxa"/>
          </w:tcPr>
          <w:p w14:paraId="02F0DBFE" w14:textId="77777777" w:rsidR="00CD45DB" w:rsidRPr="00F110C2" w:rsidRDefault="00CD45DB" w:rsidP="00254EC9">
            <w:pPr>
              <w:pStyle w:val="Tabletext"/>
              <w:jc w:val="center"/>
            </w:pPr>
            <w:r w:rsidRPr="00F110C2">
              <w:t>67</w:t>
            </w:r>
          </w:p>
        </w:tc>
        <w:tc>
          <w:tcPr>
            <w:tcW w:w="2454" w:type="dxa"/>
          </w:tcPr>
          <w:p w14:paraId="6D3462EE" w14:textId="77777777" w:rsidR="00CD45DB" w:rsidRPr="00F110C2" w:rsidRDefault="00CD45DB" w:rsidP="00254EC9">
            <w:pPr>
              <w:pStyle w:val="Tabletext"/>
              <w:jc w:val="center"/>
            </w:pPr>
            <w:r w:rsidRPr="00F110C2">
              <w:t>26</w:t>
            </w:r>
          </w:p>
        </w:tc>
      </w:tr>
      <w:tr w:rsidR="00CD45DB" w:rsidRPr="00F110C2" w14:paraId="51C43B79" w14:textId="77777777" w:rsidTr="00A91026">
        <w:trPr>
          <w:jc w:val="center"/>
        </w:trPr>
        <w:tc>
          <w:tcPr>
            <w:tcW w:w="4536" w:type="dxa"/>
          </w:tcPr>
          <w:p w14:paraId="3DAAB516" w14:textId="77777777" w:rsidR="00CD45DB" w:rsidRPr="00F110C2" w:rsidRDefault="00CD45DB" w:rsidP="00254EC9">
            <w:pPr>
              <w:pStyle w:val="Tabletext"/>
              <w:jc w:val="center"/>
            </w:pPr>
            <w:r w:rsidRPr="00F110C2">
              <w:t>150</w:t>
            </w:r>
          </w:p>
        </w:tc>
        <w:tc>
          <w:tcPr>
            <w:tcW w:w="2454" w:type="dxa"/>
          </w:tcPr>
          <w:p w14:paraId="58F1DD50" w14:textId="77777777" w:rsidR="00CD45DB" w:rsidRPr="00F110C2" w:rsidRDefault="00CD45DB" w:rsidP="00254EC9">
            <w:pPr>
              <w:pStyle w:val="Tabletext"/>
              <w:jc w:val="center"/>
            </w:pPr>
            <w:r w:rsidRPr="00F110C2">
              <w:t>26</w:t>
            </w:r>
          </w:p>
        </w:tc>
      </w:tr>
      <w:tr w:rsidR="00CD45DB" w:rsidRPr="00F110C2" w14:paraId="05069DCF" w14:textId="77777777" w:rsidTr="00A91026">
        <w:trPr>
          <w:jc w:val="center"/>
        </w:trPr>
        <w:tc>
          <w:tcPr>
            <w:tcW w:w="4536" w:type="dxa"/>
          </w:tcPr>
          <w:p w14:paraId="702A82FF" w14:textId="77777777" w:rsidR="00CD45DB" w:rsidRPr="00F110C2" w:rsidRDefault="00CD45DB" w:rsidP="00254EC9">
            <w:pPr>
              <w:pStyle w:val="Tabletext"/>
              <w:jc w:val="center"/>
            </w:pPr>
            <w:r w:rsidRPr="00F110C2">
              <w:t>150</w:t>
            </w:r>
          </w:p>
        </w:tc>
        <w:tc>
          <w:tcPr>
            <w:tcW w:w="2454" w:type="dxa"/>
          </w:tcPr>
          <w:p w14:paraId="29F05C03" w14:textId="77777777" w:rsidR="00CD45DB" w:rsidRPr="00F110C2" w:rsidRDefault="00CD45DB" w:rsidP="00254EC9">
            <w:pPr>
              <w:pStyle w:val="Tabletext"/>
              <w:jc w:val="center"/>
            </w:pPr>
            <w:r w:rsidRPr="00F110C2">
              <w:t>41</w:t>
            </w:r>
          </w:p>
        </w:tc>
      </w:tr>
      <w:tr w:rsidR="00CD45DB" w:rsidRPr="00F110C2" w14:paraId="1A095EDA" w14:textId="77777777" w:rsidTr="00A91026">
        <w:trPr>
          <w:jc w:val="center"/>
        </w:trPr>
        <w:tc>
          <w:tcPr>
            <w:tcW w:w="4536" w:type="dxa"/>
          </w:tcPr>
          <w:p w14:paraId="69E0C2F2" w14:textId="77777777" w:rsidR="00CD45DB" w:rsidRPr="00F110C2" w:rsidRDefault="00CD45DB" w:rsidP="00254EC9">
            <w:pPr>
              <w:pStyle w:val="Tabletext"/>
              <w:jc w:val="center"/>
            </w:pPr>
            <w:r w:rsidRPr="00F110C2">
              <w:t>250</w:t>
            </w:r>
          </w:p>
        </w:tc>
        <w:tc>
          <w:tcPr>
            <w:tcW w:w="2454" w:type="dxa"/>
          </w:tcPr>
          <w:p w14:paraId="6EA3B952" w14:textId="77777777" w:rsidR="00CD45DB" w:rsidRPr="00F110C2" w:rsidRDefault="00CD45DB" w:rsidP="00254EC9">
            <w:pPr>
              <w:pStyle w:val="Tabletext"/>
              <w:jc w:val="center"/>
            </w:pPr>
            <w:r w:rsidRPr="00F110C2">
              <w:t>41</w:t>
            </w:r>
          </w:p>
        </w:tc>
      </w:tr>
    </w:tbl>
    <w:p w14:paraId="74887F93" w14:textId="6FD602D5" w:rsidR="00CD45DB" w:rsidRPr="00F110C2" w:rsidRDefault="00CD45DB" w:rsidP="00254EC9">
      <w:pPr>
        <w:pStyle w:val="Tablefin"/>
      </w:pPr>
    </w:p>
    <w:p w14:paraId="2219E32F" w14:textId="77777777" w:rsidR="00A91026" w:rsidRPr="00F110C2" w:rsidRDefault="00A91026" w:rsidP="00254EC9"/>
    <w:p w14:paraId="6C485910" w14:textId="77777777" w:rsidR="00A91026" w:rsidRPr="00F110C2" w:rsidRDefault="00A91026" w:rsidP="00254EC9"/>
    <w:p w14:paraId="339314F4" w14:textId="77777777" w:rsidR="00CD45DB" w:rsidRPr="00F110C2" w:rsidRDefault="00CD45DB" w:rsidP="00254EC9">
      <w:pPr>
        <w:pStyle w:val="AnnexNoTitle"/>
        <w:outlineLvl w:val="0"/>
      </w:pPr>
      <w:r w:rsidRPr="00F110C2">
        <w:lastRenderedPageBreak/>
        <w:t>Annexe 11</w:t>
      </w:r>
      <w:r w:rsidRPr="00F110C2">
        <w:br/>
      </w:r>
      <w:r w:rsidRPr="00F110C2">
        <w:br/>
        <w:t xml:space="preserve">Limites des émissions dans le domaine hors bande pour les </w:t>
      </w:r>
      <w:r w:rsidRPr="00F110C2">
        <w:br/>
        <w:t>services mobile aéronautique et mobile maritime</w:t>
      </w:r>
    </w:p>
    <w:p w14:paraId="2C979382" w14:textId="77777777" w:rsidR="00CD45DB" w:rsidRPr="00F110C2" w:rsidRDefault="00CD45DB" w:rsidP="00254EC9">
      <w:pPr>
        <w:pStyle w:val="Normalaftertitle"/>
        <w:keepNext/>
        <w:keepLines/>
      </w:pPr>
      <w:r w:rsidRPr="00F110C2">
        <w:t>Les gabarits d'émission sont spécifiés en termes de puissance dans une RBW par rapport à la puissance totale de la porteuse (dBc). Les émissions dans le domaine des émissions hors bande sont spécifiées dans une largeur de bande de 4 kHz, sauf pour celles qui proviennent d'émetteurs à BLU ou d'émetteurs aéronautiques. Les émissions à BLU sont spécifiées dans une largeur de bande plus étroite et les émissions associées à la télémesure aéronautique sont spécifiées en fonction du réglage suivant des analyseurs de spectre: largeur de bande de résolution de 10 kHz, largeur de bande vidéo de 1 kHz et maintien maximal. Pour ces gabarits d'émission, la frontière entre le domaine des émissions hors bande et le domaine des rayonnements non essentiels est située à 250% de la largeur de bande nécessaire, conformément à l'Appendice </w:t>
      </w:r>
      <w:r w:rsidRPr="00F110C2">
        <w:rPr>
          <w:b/>
          <w:bCs/>
        </w:rPr>
        <w:t>3</w:t>
      </w:r>
      <w:r w:rsidRPr="00F110C2">
        <w:t xml:space="preserve"> du RR.</w:t>
      </w:r>
    </w:p>
    <w:p w14:paraId="4E02A4EA" w14:textId="77777777" w:rsidR="00CD45DB" w:rsidRPr="00F110C2" w:rsidRDefault="00CD45DB" w:rsidP="00254EC9">
      <w:pPr>
        <w:pStyle w:val="Heading1"/>
      </w:pPr>
      <w:r w:rsidRPr="00F110C2">
        <w:t>1</w:t>
      </w:r>
      <w:r w:rsidRPr="00F110C2">
        <w:tab/>
        <w:t>Télémesure aéronautique</w:t>
      </w:r>
    </w:p>
    <w:p w14:paraId="567D71CF" w14:textId="77777777" w:rsidR="00CD45DB" w:rsidRPr="00F110C2" w:rsidRDefault="00CD45DB" w:rsidP="00254EC9">
      <w:r w:rsidRPr="00F110C2">
        <w:t>En ce qui concerne les émetteurs utilisés pour la télémesure aéronautique, la limite de toute émission dans le domaine des émissions hors bande (50%-250%), par rapport à la puissance moyenne de l'émetteur, est donnée par:</w:t>
      </w:r>
    </w:p>
    <w:p w14:paraId="2583F302" w14:textId="74325459" w:rsidR="00CD45DB" w:rsidRPr="00F110C2" w:rsidRDefault="00CD45DB" w:rsidP="00254EC9">
      <w:pPr>
        <w:pStyle w:val="Equation"/>
      </w:pPr>
      <w:r w:rsidRPr="00F110C2">
        <w:tab/>
      </w:r>
      <w:r w:rsidRPr="00F110C2">
        <w:tab/>
      </w:r>
      <w:r w:rsidR="009615D1" w:rsidRPr="00F110C2">
        <w:t>−</w:t>
      </w:r>
      <w:r w:rsidRPr="00F110C2">
        <w:t> (55 + 10 log </w:t>
      </w:r>
      <w:r w:rsidRPr="00F110C2">
        <w:rPr>
          <w:i/>
        </w:rPr>
        <w:t>P</w:t>
      </w:r>
      <w:r w:rsidRPr="00F110C2">
        <w:rPr>
          <w:iCs/>
        </w:rPr>
        <w:t>)</w:t>
      </w:r>
    </w:p>
    <w:p w14:paraId="520E6147" w14:textId="77777777" w:rsidR="00CD45DB" w:rsidRPr="00F110C2" w:rsidRDefault="00CD45DB" w:rsidP="00254EC9">
      <w:r w:rsidRPr="00F110C2">
        <w:t>ou</w:t>
      </w:r>
    </w:p>
    <w:p w14:paraId="0CB6BA8F" w14:textId="77777777" w:rsidR="00CD45DB" w:rsidRPr="00F110C2" w:rsidRDefault="00CD45DB" w:rsidP="00254EC9">
      <w:pPr>
        <w:pStyle w:val="Equation"/>
      </w:pPr>
      <w:r w:rsidRPr="00F110C2">
        <w:tab/>
      </w:r>
      <w:r w:rsidRPr="00F110C2">
        <w:tab/>
      </w:r>
      <w:r w:rsidRPr="00F110C2">
        <w:rPr>
          <w:position w:val="-24"/>
        </w:rPr>
        <w:object w:dxaOrig="5720" w:dyaOrig="620" w14:anchorId="054FE15D">
          <v:shape id="_x0000_i1609" type="#_x0000_t75" style="width:286.5pt;height:31.85pt" o:ole="" fillcolor="window">
            <v:imagedata r:id="rId216" o:title=""/>
          </v:shape>
          <o:OLEObject Type="Embed" ProgID="Equation.3" ShapeID="_x0000_i1609" DrawAspect="Content" ObjectID="_1801482071" r:id="rId217"/>
        </w:object>
      </w:r>
    </w:p>
    <w:p w14:paraId="591FCAA7" w14:textId="77777777" w:rsidR="00CD45DB" w:rsidRPr="00F110C2" w:rsidRDefault="00CD45DB" w:rsidP="00254EC9">
      <w:r w:rsidRPr="00F110C2">
        <w:t>où:</w:t>
      </w:r>
    </w:p>
    <w:p w14:paraId="33AE462E" w14:textId="6AC8197B" w:rsidR="00CD45DB" w:rsidRPr="00F110C2" w:rsidRDefault="00CD45DB" w:rsidP="00254EC9">
      <w:pPr>
        <w:pStyle w:val="Equationlegend"/>
        <w:rPr>
          <w:lang w:val="fr-FR"/>
        </w:rPr>
      </w:pPr>
      <w:r w:rsidRPr="00F110C2">
        <w:rPr>
          <w:lang w:val="fr-FR"/>
        </w:rPr>
        <w:tab/>
      </w:r>
      <w:r w:rsidRPr="00F110C2">
        <w:rPr>
          <w:i/>
          <w:iCs/>
          <w:lang w:val="fr-FR"/>
        </w:rPr>
        <w:t>K </w:t>
      </w:r>
      <w:r w:rsidRPr="00F110C2">
        <w:rPr>
          <w:lang w:val="fr-FR"/>
        </w:rPr>
        <w:t>=</w:t>
      </w:r>
      <w:r w:rsidRPr="00F110C2">
        <w:rPr>
          <w:lang w:val="fr-FR"/>
        </w:rPr>
        <w:tab/>
      </w:r>
      <w:r w:rsidR="009615D1" w:rsidRPr="00F110C2">
        <w:rPr>
          <w:lang w:val="fr-FR"/>
        </w:rPr>
        <w:t>−</w:t>
      </w:r>
      <w:r w:rsidRPr="00F110C2">
        <w:rPr>
          <w:lang w:val="fr-FR"/>
        </w:rPr>
        <w:t>20 pour les signaux analogiques</w:t>
      </w:r>
    </w:p>
    <w:p w14:paraId="3FC72090" w14:textId="572E1C6B" w:rsidR="00CD45DB" w:rsidRPr="00F110C2" w:rsidRDefault="00CD45DB" w:rsidP="00254EC9">
      <w:pPr>
        <w:pStyle w:val="Equationlegend"/>
        <w:rPr>
          <w:lang w:val="fr-FR"/>
        </w:rPr>
      </w:pPr>
      <w:r w:rsidRPr="00F110C2">
        <w:rPr>
          <w:lang w:val="fr-FR"/>
        </w:rPr>
        <w:tab/>
      </w:r>
      <w:r w:rsidRPr="00F110C2">
        <w:rPr>
          <w:i/>
          <w:iCs/>
          <w:lang w:val="fr-FR"/>
        </w:rPr>
        <w:t>K </w:t>
      </w:r>
      <w:r w:rsidRPr="00F110C2">
        <w:rPr>
          <w:lang w:val="fr-FR"/>
        </w:rPr>
        <w:t>=</w:t>
      </w:r>
      <w:r w:rsidRPr="00F110C2">
        <w:rPr>
          <w:lang w:val="fr-FR"/>
        </w:rPr>
        <w:tab/>
      </w:r>
      <w:r w:rsidR="009615D1" w:rsidRPr="00F110C2">
        <w:rPr>
          <w:lang w:val="fr-FR"/>
        </w:rPr>
        <w:t>−</w:t>
      </w:r>
      <w:r w:rsidRPr="00F110C2">
        <w:rPr>
          <w:lang w:val="fr-FR"/>
        </w:rPr>
        <w:t>28 pour les signaux binaires</w:t>
      </w:r>
    </w:p>
    <w:p w14:paraId="55390396" w14:textId="1F9C5318" w:rsidR="00CD45DB" w:rsidRPr="00F110C2" w:rsidRDefault="00CD45DB" w:rsidP="00254EC9">
      <w:pPr>
        <w:pStyle w:val="Equationlegend"/>
        <w:rPr>
          <w:lang w:val="fr-FR"/>
        </w:rPr>
      </w:pPr>
      <w:r w:rsidRPr="00F110C2">
        <w:rPr>
          <w:lang w:val="fr-FR"/>
        </w:rPr>
        <w:tab/>
      </w:r>
      <w:r w:rsidRPr="00F110C2">
        <w:rPr>
          <w:i/>
          <w:iCs/>
          <w:lang w:val="fr-FR"/>
        </w:rPr>
        <w:t>K </w:t>
      </w:r>
      <w:r w:rsidRPr="00F110C2">
        <w:rPr>
          <w:lang w:val="fr-FR"/>
        </w:rPr>
        <w:t>=</w:t>
      </w:r>
      <w:r w:rsidRPr="00F110C2">
        <w:rPr>
          <w:lang w:val="fr-FR"/>
        </w:rPr>
        <w:tab/>
      </w:r>
      <w:r w:rsidR="009615D1" w:rsidRPr="00F110C2">
        <w:rPr>
          <w:lang w:val="fr-FR"/>
        </w:rPr>
        <w:t>−</w:t>
      </w:r>
      <w:r w:rsidRPr="00F110C2">
        <w:rPr>
          <w:lang w:val="fr-FR"/>
        </w:rPr>
        <w:t>63 pour les signaux quaternaires (par exemple MDP-4-F-B)</w:t>
      </w:r>
    </w:p>
    <w:p w14:paraId="074B7214" w14:textId="10853EC2" w:rsidR="00CD45DB" w:rsidRPr="00F110C2" w:rsidRDefault="00CD45DB" w:rsidP="00254EC9">
      <w:pPr>
        <w:pStyle w:val="Equationlegend"/>
        <w:rPr>
          <w:lang w:val="fr-FR"/>
        </w:rPr>
      </w:pPr>
      <w:r w:rsidRPr="00F110C2">
        <w:rPr>
          <w:i/>
          <w:lang w:val="fr-FR"/>
        </w:rPr>
        <w:tab/>
      </w:r>
      <w:r w:rsidR="00D859FD" w:rsidRPr="00F110C2">
        <w:rPr>
          <w:i/>
          <w:position w:val="-4"/>
          <w:szCs w:val="24"/>
          <w:lang w:val="fr-FR"/>
        </w:rPr>
        <w:t>f</w:t>
      </w:r>
      <w:r w:rsidRPr="00F110C2">
        <w:rPr>
          <w:i/>
          <w:position w:val="-4"/>
          <w:szCs w:val="24"/>
          <w:vertAlign w:val="subscript"/>
          <w:lang w:val="fr-FR"/>
        </w:rPr>
        <w:t>c</w:t>
      </w:r>
      <w:r w:rsidR="00D859FD" w:rsidRPr="00F110C2">
        <w:rPr>
          <w:szCs w:val="24"/>
          <w:lang w:val="fr-FR"/>
        </w:rPr>
        <w:t xml:space="preserve"> </w:t>
      </w:r>
      <w:r w:rsidRPr="00F110C2">
        <w:rPr>
          <w:szCs w:val="24"/>
          <w:lang w:val="fr-FR"/>
        </w:rPr>
        <w:t>:</w:t>
      </w:r>
      <w:r w:rsidRPr="00F110C2">
        <w:rPr>
          <w:szCs w:val="24"/>
          <w:lang w:val="fr-FR"/>
        </w:rPr>
        <w:tab/>
      </w:r>
      <w:r w:rsidRPr="00F110C2">
        <w:rPr>
          <w:lang w:val="fr-FR"/>
        </w:rPr>
        <w:t>fréquence centrale de l'émetteur (MHz)</w:t>
      </w:r>
    </w:p>
    <w:p w14:paraId="746421E9" w14:textId="322E340F" w:rsidR="00CD45DB" w:rsidRPr="00F110C2" w:rsidRDefault="00CD45DB" w:rsidP="00254EC9">
      <w:pPr>
        <w:pStyle w:val="Equationlegend"/>
        <w:rPr>
          <w:lang w:val="fr-FR"/>
        </w:rPr>
      </w:pPr>
      <w:r w:rsidRPr="00F110C2">
        <w:rPr>
          <w:i/>
          <w:lang w:val="fr-FR"/>
        </w:rPr>
        <w:tab/>
      </w:r>
      <w:r w:rsidRPr="00F110C2">
        <w:rPr>
          <w:i/>
          <w:iCs/>
          <w:lang w:val="fr-FR"/>
        </w:rPr>
        <w:t>R</w:t>
      </w:r>
      <w:r w:rsidR="00D859FD" w:rsidRPr="00F110C2">
        <w:rPr>
          <w:i/>
          <w:iCs/>
          <w:lang w:val="fr-FR"/>
        </w:rPr>
        <w:t xml:space="preserve"> </w:t>
      </w:r>
      <w:r w:rsidRPr="00F110C2">
        <w:rPr>
          <w:lang w:val="fr-FR"/>
        </w:rPr>
        <w:t>:</w:t>
      </w:r>
      <w:r w:rsidRPr="00F110C2">
        <w:rPr>
          <w:lang w:val="fr-FR"/>
        </w:rPr>
        <w:tab/>
        <w:t xml:space="preserve">débit (Mbit/s) pour les signaux numériques ou </w:t>
      </w:r>
      <w:r w:rsidRPr="00F110C2">
        <w:rPr>
          <w:position w:val="-12"/>
          <w:lang w:val="fr-FR"/>
        </w:rPr>
        <w:object w:dxaOrig="1219" w:dyaOrig="360" w14:anchorId="64857311">
          <v:shape id="_x0000_i1610" type="#_x0000_t75" style="width:61.4pt;height:20.45pt" o:ole="" fillcolor="window">
            <v:imagedata r:id="rId218" o:title=""/>
          </v:shape>
          <o:OLEObject Type="Embed" ProgID="Equation.3" ShapeID="_x0000_i1610" DrawAspect="Content" ObjectID="_1801482072" r:id="rId219"/>
        </w:object>
      </w:r>
      <w:r w:rsidRPr="00F110C2">
        <w:rPr>
          <w:lang w:val="fr-FR"/>
        </w:rPr>
        <w:t>(MHz) pour les signaux modulées en fréquence analogiques</w:t>
      </w:r>
    </w:p>
    <w:p w14:paraId="4075CDC6" w14:textId="667A33B9" w:rsidR="00CD45DB" w:rsidRPr="00F110C2" w:rsidRDefault="00CD45DB" w:rsidP="00254EC9">
      <w:pPr>
        <w:pStyle w:val="Equationlegend"/>
        <w:rPr>
          <w:lang w:val="fr-FR"/>
        </w:rPr>
      </w:pPr>
      <w:r w:rsidRPr="00F110C2">
        <w:rPr>
          <w:lang w:val="fr-FR"/>
        </w:rPr>
        <w:tab/>
      </w:r>
      <w:r w:rsidR="00D859FD" w:rsidRPr="00F110C2">
        <w:rPr>
          <w:i/>
          <w:iCs/>
          <w:lang w:val="fr-FR"/>
        </w:rPr>
        <w:t xml:space="preserve">m </w:t>
      </w:r>
      <w:r w:rsidRPr="00F110C2">
        <w:rPr>
          <w:lang w:val="fr-FR"/>
        </w:rPr>
        <w:t>:</w:t>
      </w:r>
      <w:r w:rsidRPr="00F110C2">
        <w:rPr>
          <w:lang w:val="fr-FR"/>
        </w:rPr>
        <w:tab/>
        <w:t>nombre d'états du signal modulant</w:t>
      </w:r>
    </w:p>
    <w:p w14:paraId="0263EE97" w14:textId="77777777" w:rsidR="00CD45DB" w:rsidRPr="00F110C2" w:rsidRDefault="00CD45DB" w:rsidP="00254EC9">
      <w:pPr>
        <w:pStyle w:val="Equationlegend"/>
        <w:rPr>
          <w:lang w:val="fr-FR"/>
        </w:rPr>
      </w:pPr>
      <w:r w:rsidRPr="00F110C2">
        <w:rPr>
          <w:lang w:val="fr-FR"/>
        </w:rPr>
        <w:tab/>
      </w:r>
      <w:r w:rsidRPr="00F110C2">
        <w:rPr>
          <w:lang w:val="fr-FR"/>
        </w:rPr>
        <w:tab/>
      </w:r>
      <w:r w:rsidRPr="00F110C2">
        <w:rPr>
          <w:i/>
          <w:iCs/>
          <w:lang w:val="fr-FR"/>
        </w:rPr>
        <w:t>m</w:t>
      </w:r>
      <w:r w:rsidRPr="00F110C2">
        <w:rPr>
          <w:lang w:val="fr-FR"/>
        </w:rPr>
        <w:t xml:space="preserve"> = 2 pour les signaux binaires</w:t>
      </w:r>
    </w:p>
    <w:p w14:paraId="4EC4B92C" w14:textId="77777777" w:rsidR="00CD45DB" w:rsidRPr="00F110C2" w:rsidRDefault="00CD45DB" w:rsidP="00254EC9">
      <w:pPr>
        <w:pStyle w:val="Equationlegend"/>
        <w:rPr>
          <w:lang w:val="fr-FR"/>
        </w:rPr>
      </w:pPr>
      <w:r w:rsidRPr="00F110C2">
        <w:rPr>
          <w:lang w:val="fr-FR"/>
        </w:rPr>
        <w:tab/>
      </w:r>
      <w:r w:rsidRPr="00F110C2">
        <w:rPr>
          <w:lang w:val="fr-FR"/>
        </w:rPr>
        <w:tab/>
      </w:r>
      <w:r w:rsidRPr="00F110C2">
        <w:rPr>
          <w:i/>
          <w:iCs/>
          <w:lang w:val="fr-FR"/>
        </w:rPr>
        <w:t>m</w:t>
      </w:r>
      <w:r w:rsidRPr="00F110C2">
        <w:rPr>
          <w:lang w:val="fr-FR"/>
        </w:rPr>
        <w:t xml:space="preserve"> = 4 pour les signaux quaternaires et les signaux analogiques</w:t>
      </w:r>
    </w:p>
    <w:p w14:paraId="6C00AE2B" w14:textId="5510F96C" w:rsidR="00CD45DB" w:rsidRPr="00F110C2" w:rsidRDefault="00CD45DB" w:rsidP="00254EC9">
      <w:pPr>
        <w:pStyle w:val="Equationlegend"/>
        <w:rPr>
          <w:lang w:val="fr-FR"/>
        </w:rPr>
      </w:pPr>
      <w:r w:rsidRPr="00F110C2">
        <w:rPr>
          <w:lang w:val="fr-FR"/>
        </w:rPr>
        <w:tab/>
      </w:r>
      <w:r w:rsidRPr="00F110C2">
        <w:rPr>
          <w:position w:val="-4"/>
          <w:lang w:val="fr-FR"/>
        </w:rPr>
        <w:object w:dxaOrig="220" w:dyaOrig="260" w14:anchorId="6E9C3B8C">
          <v:shape id="_x0000_i1611" type="#_x0000_t75" style="width:10.6pt;height:13.65pt" o:ole="">
            <v:imagedata r:id="rId220" o:title=""/>
          </v:shape>
          <o:OLEObject Type="Embed" ProgID="Equation.3" ShapeID="_x0000_i1611" DrawAspect="Content" ObjectID="_1801482073" r:id="rId221"/>
        </w:object>
      </w:r>
      <w:r w:rsidRPr="00F110C2">
        <w:rPr>
          <w:i/>
          <w:iCs/>
          <w:lang w:val="fr-FR"/>
        </w:rPr>
        <w:t>f</w:t>
      </w:r>
      <w:r w:rsidR="00D859FD" w:rsidRPr="00F110C2">
        <w:rPr>
          <w:i/>
          <w:iCs/>
          <w:lang w:val="fr-FR"/>
        </w:rPr>
        <w:t xml:space="preserve"> </w:t>
      </w:r>
      <w:r w:rsidRPr="00F110C2">
        <w:rPr>
          <w:lang w:val="fr-FR"/>
        </w:rPr>
        <w:t>:</w:t>
      </w:r>
      <w:r w:rsidRPr="00F110C2">
        <w:rPr>
          <w:lang w:val="fr-FR"/>
        </w:rPr>
        <w:tab/>
        <w:t>excursion de crête</w:t>
      </w:r>
    </w:p>
    <w:p w14:paraId="712688A7" w14:textId="3A1C291A" w:rsidR="00CD45DB" w:rsidRPr="00F110C2" w:rsidRDefault="00CD45DB" w:rsidP="00254EC9">
      <w:pPr>
        <w:pStyle w:val="Equationlegend"/>
        <w:rPr>
          <w:lang w:val="fr-FR"/>
        </w:rPr>
      </w:pPr>
      <w:r w:rsidRPr="00F110C2">
        <w:rPr>
          <w:lang w:val="fr-FR"/>
        </w:rPr>
        <w:tab/>
      </w:r>
      <w:r w:rsidR="00D859FD" w:rsidRPr="00F110C2">
        <w:rPr>
          <w:i/>
          <w:iCs/>
          <w:szCs w:val="24"/>
          <w:lang w:val="fr-FR"/>
        </w:rPr>
        <w:t>f</w:t>
      </w:r>
      <w:r w:rsidRPr="00F110C2">
        <w:rPr>
          <w:i/>
          <w:iCs/>
          <w:position w:val="-4"/>
          <w:szCs w:val="24"/>
          <w:vertAlign w:val="subscript"/>
          <w:lang w:val="fr-FR"/>
        </w:rPr>
        <w:t>max</w:t>
      </w:r>
      <w:r w:rsidR="00D859FD" w:rsidRPr="00F110C2">
        <w:rPr>
          <w:i/>
          <w:iCs/>
          <w:position w:val="-4"/>
          <w:szCs w:val="24"/>
          <w:lang w:val="fr-FR"/>
        </w:rPr>
        <w:t xml:space="preserve"> </w:t>
      </w:r>
      <w:r w:rsidRPr="00F110C2">
        <w:rPr>
          <w:szCs w:val="24"/>
          <w:lang w:val="fr-FR"/>
        </w:rPr>
        <w:t>:</w:t>
      </w:r>
      <w:r w:rsidRPr="00F110C2">
        <w:rPr>
          <w:lang w:val="fr-FR"/>
        </w:rPr>
        <w:tab/>
        <w:t xml:space="preserve">fréquence maximale de modulation </w:t>
      </w:r>
    </w:p>
    <w:p w14:paraId="6E555132" w14:textId="77777777" w:rsidR="00CD45DB" w:rsidRPr="00F110C2" w:rsidRDefault="00CD45DB" w:rsidP="00254EC9">
      <w:r w:rsidRPr="00F110C2">
        <w:t>la valeur la moins restrictive étant celle qui est retenue.</w:t>
      </w:r>
    </w:p>
    <w:p w14:paraId="5A18E5F8" w14:textId="20701992" w:rsidR="00CD45DB" w:rsidRPr="00F110C2" w:rsidRDefault="00CD45DB" w:rsidP="00254EC9">
      <w:r w:rsidRPr="00F110C2">
        <w:t>La Fig</w:t>
      </w:r>
      <w:r w:rsidR="00D859FD" w:rsidRPr="00F110C2">
        <w:t>ure</w:t>
      </w:r>
      <w:r w:rsidRPr="00F110C2">
        <w:t> 49 montre des exemples de gabarits des émissions hors bande pour la télémesure aéronautique, spécifiés en termes de dBc. Les largeurs de bande occupées qui ont été utilisées pour générer la Fig. 49 étaient de 1,16 fois le débit binaire pour les signaux binaires et de 0,78 fois le débit binaire pour les signaux quaternaires. On a utilisé d'autres paramètres sur la Fig. 49: une puissance,</w:t>
      </w:r>
      <w:r w:rsidR="00D859FD" w:rsidRPr="00F110C2">
        <w:t> </w:t>
      </w:r>
      <w:r w:rsidRPr="00F110C2">
        <w:rPr>
          <w:i/>
          <w:iCs/>
        </w:rPr>
        <w:t>P</w:t>
      </w:r>
      <w:r w:rsidRPr="00F110C2">
        <w:t xml:space="preserve">, de 10 W et un débit, </w:t>
      </w:r>
      <w:r w:rsidRPr="00F110C2">
        <w:rPr>
          <w:i/>
          <w:iCs/>
        </w:rPr>
        <w:t>R</w:t>
      </w:r>
      <w:r w:rsidRPr="00F110C2">
        <w:t>, de 5 Mbit/s. Ces valeurs varient d'un système à l'autre et les gabarits d'émission résultants varient conformément à la formule présentée plus haut. Les gabarits d'émission décroissent de 100 dB/décade.</w:t>
      </w:r>
    </w:p>
    <w:p w14:paraId="083B5036" w14:textId="77777777" w:rsidR="00CD45DB" w:rsidRPr="00F110C2" w:rsidRDefault="00CD45DB" w:rsidP="00254EC9">
      <w:pPr>
        <w:pStyle w:val="FigureNo"/>
      </w:pPr>
      <w:r w:rsidRPr="00F110C2">
        <w:lastRenderedPageBreak/>
        <w:t>figure 49</w:t>
      </w:r>
    </w:p>
    <w:p w14:paraId="6680D76B" w14:textId="77777777" w:rsidR="00CD45DB" w:rsidRPr="00F110C2" w:rsidRDefault="00CD45DB" w:rsidP="00254EC9">
      <w:pPr>
        <w:pStyle w:val="Figuretitle"/>
      </w:pPr>
      <w:r w:rsidRPr="00F110C2">
        <w:t>Exemples de gabarits des hors bande pour la télémesure aéronautique</w:t>
      </w:r>
    </w:p>
    <w:p w14:paraId="77D51FB9" w14:textId="77777777" w:rsidR="00CD45DB" w:rsidRPr="00F110C2" w:rsidRDefault="00CD45DB" w:rsidP="00254EC9">
      <w:pPr>
        <w:pStyle w:val="Figure"/>
      </w:pPr>
      <w:r w:rsidRPr="00F110C2">
        <w:drawing>
          <wp:inline distT="0" distB="0" distL="0" distR="0" wp14:anchorId="0800D7F2" wp14:editId="6D6E7E51">
            <wp:extent cx="3541395" cy="1978660"/>
            <wp:effectExtent l="0" t="0" r="1905" b="2540"/>
            <wp:docPr id="6073677" name="Picture 35" descr="A graph showing the number of sign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677" name="Picture 35" descr="A graph showing the number of signals&#10;&#10;AI-generated content may be incorrect."/>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541395" cy="1978660"/>
                    </a:xfrm>
                    <a:prstGeom prst="rect">
                      <a:avLst/>
                    </a:prstGeom>
                    <a:noFill/>
                    <a:ln>
                      <a:noFill/>
                    </a:ln>
                  </pic:spPr>
                </pic:pic>
              </a:graphicData>
            </a:graphic>
          </wp:inline>
        </w:drawing>
      </w:r>
    </w:p>
    <w:p w14:paraId="462F0613" w14:textId="77777777" w:rsidR="00CD45DB" w:rsidRPr="00F110C2" w:rsidRDefault="00CD45DB" w:rsidP="00254EC9">
      <w:pPr>
        <w:pStyle w:val="Heading1"/>
      </w:pPr>
      <w:r w:rsidRPr="00F110C2">
        <w:t>2</w:t>
      </w:r>
      <w:r w:rsidRPr="00F110C2">
        <w:tab/>
        <w:t>Autres émetteurs des services mobile aéronautique et mobile maritime</w:t>
      </w:r>
    </w:p>
    <w:p w14:paraId="1508E923" w14:textId="77777777" w:rsidR="00CD45DB" w:rsidRPr="00F110C2" w:rsidRDefault="00CD45DB" w:rsidP="00254EC9">
      <w:r w:rsidRPr="00F110C2">
        <w:t>En ce qui concerne les émetteurs des services mobile aéronautique et mobile maritime autres que les systèmes de télémesure aéronautique et les systèmes exemptés, l'affaiblissement requis de la puissance moyenne de toute émission dans le domaine des émissions hors bande, par rapport à la puissance moyenne de l'émetteur, est le suivant:</w:t>
      </w:r>
    </w:p>
    <w:p w14:paraId="11E49C37" w14:textId="77777777" w:rsidR="00CD45DB" w:rsidRPr="00F110C2" w:rsidRDefault="00CD45DB" w:rsidP="00254EC9">
      <w:pPr>
        <w:tabs>
          <w:tab w:val="clear" w:pos="794"/>
          <w:tab w:val="clear" w:pos="1191"/>
          <w:tab w:val="clear" w:pos="1588"/>
          <w:tab w:val="clear" w:pos="1985"/>
          <w:tab w:val="left" w:pos="1701"/>
        </w:tabs>
        <w:jc w:val="center"/>
      </w:pPr>
      <w:r w:rsidRPr="00F110C2">
        <w:t>50-150%</w:t>
      </w:r>
      <w:r w:rsidRPr="00F110C2">
        <w:tab/>
        <w:t>25 dBc</w:t>
      </w:r>
    </w:p>
    <w:p w14:paraId="0A499BD0" w14:textId="77777777" w:rsidR="00CD45DB" w:rsidRPr="00F110C2" w:rsidRDefault="00CD45DB" w:rsidP="00254EC9">
      <w:pPr>
        <w:tabs>
          <w:tab w:val="clear" w:pos="794"/>
          <w:tab w:val="clear" w:pos="1191"/>
          <w:tab w:val="clear" w:pos="1588"/>
          <w:tab w:val="clear" w:pos="1985"/>
          <w:tab w:val="left" w:pos="1701"/>
        </w:tabs>
        <w:jc w:val="center"/>
      </w:pPr>
      <w:r w:rsidRPr="00F110C2">
        <w:t>150-250%</w:t>
      </w:r>
      <w:r w:rsidRPr="00F110C2">
        <w:tab/>
        <w:t>35 dBc</w:t>
      </w:r>
    </w:p>
    <w:p w14:paraId="44EB2605" w14:textId="77777777" w:rsidR="00CD45DB" w:rsidRPr="00F110C2" w:rsidRDefault="00CD45DB" w:rsidP="00254EC9">
      <w:pPr>
        <w:pStyle w:val="FigureNo"/>
      </w:pPr>
      <w:r w:rsidRPr="00F110C2">
        <w:t>figure 50</w:t>
      </w:r>
    </w:p>
    <w:p w14:paraId="0C1E7525" w14:textId="77777777" w:rsidR="00CD45DB" w:rsidRPr="00F110C2" w:rsidRDefault="00CD45DB" w:rsidP="00254EC9">
      <w:pPr>
        <w:pStyle w:val="Figuretitle"/>
      </w:pPr>
      <w:r w:rsidRPr="00F110C2">
        <w:t>Gabarit des émissions hors bande pour les services mobile</w:t>
      </w:r>
      <w:r w:rsidRPr="00F110C2">
        <w:br/>
        <w:t>aéronautique et mobile maritime</w:t>
      </w:r>
    </w:p>
    <w:p w14:paraId="0780D26E" w14:textId="77777777" w:rsidR="00CD45DB" w:rsidRPr="00F110C2" w:rsidRDefault="00CD45DB" w:rsidP="00254EC9">
      <w:pPr>
        <w:pStyle w:val="Figure"/>
      </w:pPr>
      <w:r w:rsidRPr="00F110C2">
        <w:drawing>
          <wp:inline distT="0" distB="0" distL="0" distR="0" wp14:anchorId="13044035" wp14:editId="251FED46">
            <wp:extent cx="4101465" cy="2265680"/>
            <wp:effectExtent l="0" t="0" r="0" b="1270"/>
            <wp:docPr id="785745916" name="Picture 36" descr="A graph with a lin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45916" name="Picture 36" descr="A graph with a line in the middle&#10;&#10;AI-generated content may be incorrect."/>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101465" cy="2265680"/>
                    </a:xfrm>
                    <a:prstGeom prst="rect">
                      <a:avLst/>
                    </a:prstGeom>
                    <a:noFill/>
                    <a:ln>
                      <a:noFill/>
                    </a:ln>
                  </pic:spPr>
                </pic:pic>
              </a:graphicData>
            </a:graphic>
          </wp:inline>
        </w:drawing>
      </w:r>
    </w:p>
    <w:p w14:paraId="5FC5E1F3" w14:textId="77777777" w:rsidR="00D859FD" w:rsidRPr="00F110C2" w:rsidRDefault="00D859FD" w:rsidP="00254EC9"/>
    <w:p w14:paraId="350054D7" w14:textId="77777777" w:rsidR="00D859FD" w:rsidRPr="00F110C2" w:rsidRDefault="00D859FD" w:rsidP="00254EC9"/>
    <w:p w14:paraId="74E0E660" w14:textId="0D0C896A" w:rsidR="00CD45DB" w:rsidRPr="00F110C2" w:rsidRDefault="00CD45DB" w:rsidP="00254EC9">
      <w:pPr>
        <w:pStyle w:val="AnnexNoTitle"/>
        <w:outlineLvl w:val="0"/>
      </w:pPr>
      <w:r w:rsidRPr="00F110C2">
        <w:lastRenderedPageBreak/>
        <w:t>Annexe 12</w:t>
      </w:r>
      <w:r w:rsidRPr="00F110C2">
        <w:br/>
      </w:r>
      <w:r w:rsidRPr="00F110C2">
        <w:br/>
        <w:t>Limites des émissions dans le domaine hors bande pour le service fixe</w:t>
      </w:r>
    </w:p>
    <w:p w14:paraId="72F2F545" w14:textId="77777777" w:rsidR="00CD45DB" w:rsidRPr="00F110C2" w:rsidRDefault="00CD45DB" w:rsidP="00254EC9">
      <w:pPr>
        <w:pStyle w:val="Normalaftertitle"/>
      </w:pPr>
      <w:r w:rsidRPr="00F110C2">
        <w:t>Dans le cadre de la Recommandation UIT</w:t>
      </w:r>
      <w:r w:rsidRPr="00F110C2">
        <w:noBreakHyphen/>
        <w:t>R F.1191, on exige que, pour les faisceaux hertziens numériques fonctionnant avec une disposition particulière des canaux radiofréquence, la frontière entre le domaine des rayonnements non essentiels et le domaine des émissions hors bande se situe à </w:t>
      </w:r>
      <w:r w:rsidRPr="00F110C2">
        <w:sym w:font="Symbol" w:char="F0B1"/>
      </w:r>
      <w:r w:rsidRPr="00F110C2">
        <w:t>250% de l'espacement approprié des canaux. Par conséquent, dans le cadre de la présente Recommandation, les limites des émissions dans le domaine hors bande pour les systèmes analogiques ou numériques du service fixe sont définies, chaque fois que cela s'applique, jusqu'à </w:t>
      </w:r>
      <w:r w:rsidRPr="00F110C2">
        <w:sym w:font="Symbol" w:char="F0B1"/>
      </w:r>
      <w:r w:rsidRPr="00F110C2">
        <w:t>250% de l'espacement approprié des canaux défini pour la disposition des canaux radiofréquence associée au système considéré.</w:t>
      </w:r>
    </w:p>
    <w:p w14:paraId="6DB856C5" w14:textId="77777777" w:rsidR="00CD45DB" w:rsidRPr="00F110C2" w:rsidRDefault="00CD45DB" w:rsidP="00254EC9">
      <w:r w:rsidRPr="00F110C2">
        <w:t>Conformément à la Recommandation UIT</w:t>
      </w:r>
      <w:r w:rsidRPr="00F110C2">
        <w:noBreakHyphen/>
        <w:t>R F.1191, on suppose que l'espacement des canaux vaut </w:t>
      </w:r>
      <w:r w:rsidRPr="00F110C2">
        <w:rPr>
          <w:i/>
        </w:rPr>
        <w:t>XS</w:t>
      </w:r>
      <w:r w:rsidRPr="00F110C2">
        <w:t xml:space="preserve">/2 pour les dispositions avec canaux alternés et </w:t>
      </w:r>
      <w:r w:rsidRPr="00F110C2">
        <w:rPr>
          <w:i/>
        </w:rPr>
        <w:t>XS</w:t>
      </w:r>
      <w:r w:rsidRPr="00F110C2">
        <w:t xml:space="preserve"> pour les dispositions du type cocanal ou avec canaux intercalés, comme défini dans la Recommandation UIT</w:t>
      </w:r>
      <w:r w:rsidRPr="00F110C2">
        <w:noBreakHyphen/>
        <w:t>R F.746.</w:t>
      </w:r>
    </w:p>
    <w:p w14:paraId="53E5A366" w14:textId="77777777" w:rsidR="00CD45DB" w:rsidRPr="00F110C2" w:rsidRDefault="00CD45DB" w:rsidP="00254EC9">
      <w:r w:rsidRPr="00F110C2">
        <w:t>Dans le cas d'une assignation de bloc à titre exclusif (voir la Note 1), les émetteurs fonctionnant dans des sous-canaux définis par l'opérateur titulaire de la licence peuvent, en principe, être exemptés, dans le bloc, de la limite des rayonnements non désirés qu'il faut respecter à l'extérieur du bloc; toutefois, aux frontières des pays, un accord entre les administrations concernées est nécessaire car un autre type de licence a pu être octroyé dans la bande concernée.</w:t>
      </w:r>
    </w:p>
    <w:p w14:paraId="2BBA662F" w14:textId="77777777" w:rsidR="00CD45DB" w:rsidRPr="00F110C2" w:rsidRDefault="00CD45DB" w:rsidP="00254EC9">
      <w:r w:rsidRPr="00F110C2">
        <w:t>Les gabarits spectraux spécifiés dans la présente Annexe sont censés contenir des limites génériques. Celles-ci correspondent généralement aux limites des émissions dans le domaine hors bande les moins restrictives fixées dans des réglementations nationales ou régionales et utilisées avec succès. On parle parfois de limites de type filet de sécurité. Ces limites sont destinées à être utilisées dans des bandes où il n'est pas nécessaire d'imposer des gabarits plus stricts pour assurer la protection d'applications particulières.</w:t>
      </w:r>
    </w:p>
    <w:p w14:paraId="28EEE2A8" w14:textId="77777777" w:rsidR="00CD45DB" w:rsidRPr="00F110C2" w:rsidRDefault="00CD45DB" w:rsidP="00254EC9">
      <w:pPr>
        <w:rPr>
          <w:spacing w:val="-3"/>
        </w:rPr>
      </w:pPr>
      <w:r w:rsidRPr="00F110C2">
        <w:t xml:space="preserve">Ces gabarits constituent une limite maximale composite pour toute application et toute bande de fréquences pour une mise en œuvre dans une zone climatique quelconque; toutefois, les gabarits spectraux effectifs sont généralement conçus de façon plus stricte conformément au rejet des brouillages dans le canal adjacent qui est requis par l'application particulière (par exemple bande de fréquences, sensibilité au format de modulation et qualité de service requise) dans des conditions géoclimatiques données (facteur </w:t>
      </w:r>
      <w:r w:rsidRPr="00F110C2">
        <w:rPr>
          <w:i/>
          <w:iCs/>
        </w:rPr>
        <w:t>K</w:t>
      </w:r>
      <w:r w:rsidRPr="00F110C2">
        <w:t xml:space="preserve"> tel que défini dans la Recommandation UIT</w:t>
      </w:r>
      <w:r w:rsidRPr="00F110C2">
        <w:noBreakHyphen/>
        <w:t>R P.530).</w:t>
      </w:r>
    </w:p>
    <w:p w14:paraId="6F7A08BE" w14:textId="458C4074" w:rsidR="00CD45DB" w:rsidRPr="00F110C2" w:rsidRDefault="00CD45DB" w:rsidP="00254EC9">
      <w:pPr>
        <w:pStyle w:val="Note"/>
      </w:pPr>
      <w:r w:rsidRPr="00F110C2">
        <w:t>NOTE 1 </w:t>
      </w:r>
      <w:r w:rsidR="0023743D" w:rsidRPr="00F110C2">
        <w:t>–</w:t>
      </w:r>
      <w:r w:rsidRPr="00F110C2">
        <w:t> Une assignation de bloc (voir la définition figurant dans la Recommandation UIT</w:t>
      </w:r>
      <w:r w:rsidRPr="00F110C2">
        <w:noBreakHyphen/>
        <w:t>R F.1399) correspond à l'assignation d'un bloc de fréquences à une ou plusieurs stations d'un opérateur dans le cadre d'une licence exclusive (voir les exemples figurant dans les Recommandations UIT-R F.1488, UIT-R F.748 et UIT</w:t>
      </w:r>
      <w:r w:rsidRPr="00F110C2">
        <w:noBreakHyphen/>
        <w:t>R F.749). À l'intérieur d'une assignation de bloc donnée, l'opérateur peut, en général, subdiviser le bloc en sous-blocs ou sous-canaux plus petits appropriés afin de mettre en place un réseau radioélectrique dans la zone géographique où l'assignation a été faite.</w:t>
      </w:r>
    </w:p>
    <w:p w14:paraId="37AE4654" w14:textId="77777777" w:rsidR="00CD45DB" w:rsidRPr="00F110C2" w:rsidRDefault="00CD45DB" w:rsidP="00254EC9">
      <w:pPr>
        <w:pStyle w:val="Heading1"/>
      </w:pPr>
      <w:r w:rsidRPr="00F110C2">
        <w:t>1</w:t>
      </w:r>
      <w:r w:rsidRPr="00F110C2">
        <w:tab/>
        <w:t>Service fixe numérique: gabarits spectraux d'émission</w:t>
      </w:r>
    </w:p>
    <w:p w14:paraId="33CCCE2C" w14:textId="77777777" w:rsidR="00CD45DB" w:rsidRPr="00F110C2" w:rsidRDefault="00CD45DB" w:rsidP="00254EC9">
      <w:pPr>
        <w:pStyle w:val="Heading2"/>
      </w:pPr>
      <w:r w:rsidRPr="00F110C2">
        <w:t>1.1</w:t>
      </w:r>
      <w:r w:rsidRPr="00F110C2">
        <w:tab/>
        <w:t>Systèmes fonctionnant au-dessus de 30 MHz</w:t>
      </w:r>
    </w:p>
    <w:p w14:paraId="530E36AA" w14:textId="77777777" w:rsidR="00CD45DB" w:rsidRPr="00F110C2" w:rsidRDefault="00CD45DB" w:rsidP="00254EC9">
      <w:r w:rsidRPr="00F110C2">
        <w:t>Les gabarits spectraux donnant l'affaiblissement sont représentés sur la Fig. 51.</w:t>
      </w:r>
    </w:p>
    <w:p w14:paraId="6353F8F0" w14:textId="77777777" w:rsidR="00CD45DB" w:rsidRPr="00F110C2" w:rsidRDefault="00CD45DB" w:rsidP="00254EC9">
      <w:r w:rsidRPr="00F110C2">
        <w:t>On suppose que le niveau de référence 0 dBsd correspond à la valeur maximale de la densité spectrale de puissance à l'intérieur de la largeur de bande occupée.</w:t>
      </w:r>
    </w:p>
    <w:p w14:paraId="2781FF95" w14:textId="77777777" w:rsidR="00CD45DB" w:rsidRPr="00F110C2" w:rsidRDefault="00CD45DB" w:rsidP="00254EC9">
      <w:r w:rsidRPr="00F110C2">
        <w:t>Pour les mesures, on doit utiliser une largeur de bande de résolution égale à environ 1% de la largeur de bande occupée.</w:t>
      </w:r>
    </w:p>
    <w:p w14:paraId="4136BC4A" w14:textId="77777777" w:rsidR="00CD45DB" w:rsidRPr="00F110C2" w:rsidRDefault="00CD45DB" w:rsidP="00254EC9">
      <w:pPr>
        <w:pStyle w:val="FigureNo"/>
      </w:pPr>
      <w:r w:rsidRPr="00F110C2">
        <w:lastRenderedPageBreak/>
        <w:t>figure 51</w:t>
      </w:r>
    </w:p>
    <w:p w14:paraId="6BE22F75" w14:textId="47889915" w:rsidR="00CD45DB" w:rsidRPr="00F110C2" w:rsidRDefault="00CD45DB" w:rsidP="00254EC9">
      <w:pPr>
        <w:pStyle w:val="Figuretitle"/>
      </w:pPr>
      <w:r w:rsidRPr="00F110C2">
        <w:t>Gabarits spectraux génériques pour le service fixe numérique fonctionnant au-dessus de 30 MHz</w:t>
      </w:r>
      <w:r w:rsidRPr="00F110C2">
        <w:br/>
      </w:r>
      <w:r w:rsidRPr="00F110C2">
        <w:rPr>
          <w:rFonts w:ascii="Times New Roman"/>
          <w:b w:val="0"/>
        </w:rPr>
        <w:t>(voir le Tableau 37)</w:t>
      </w:r>
    </w:p>
    <w:p w14:paraId="5F438DC5" w14:textId="77777777" w:rsidR="00CD45DB" w:rsidRPr="00F110C2" w:rsidRDefault="00CD45DB" w:rsidP="00254EC9">
      <w:pPr>
        <w:pStyle w:val="Figure"/>
      </w:pPr>
      <w:r w:rsidRPr="00F110C2">
        <w:drawing>
          <wp:inline distT="0" distB="0" distL="0" distR="0" wp14:anchorId="54DE5CDD" wp14:editId="719D5A3B">
            <wp:extent cx="4286885" cy="5201285"/>
            <wp:effectExtent l="0" t="0" r="0" b="0"/>
            <wp:docPr id="1330246623" name="Picture 38" descr="A graph with a li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46623" name="Picture 38" descr="A graph with a line and a point&#10;&#10;AI-generated content may be incorrect."/>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286885" cy="5201285"/>
                    </a:xfrm>
                    <a:prstGeom prst="rect">
                      <a:avLst/>
                    </a:prstGeom>
                    <a:noFill/>
                    <a:ln>
                      <a:noFill/>
                    </a:ln>
                  </pic:spPr>
                </pic:pic>
              </a:graphicData>
            </a:graphic>
          </wp:inline>
        </w:drawing>
      </w:r>
    </w:p>
    <w:p w14:paraId="3DA2988E" w14:textId="54A405A1" w:rsidR="00CD45DB" w:rsidRPr="00F110C2" w:rsidRDefault="00D859FD" w:rsidP="00254EC9">
      <w:pPr>
        <w:pStyle w:val="Note"/>
      </w:pPr>
      <w:r w:rsidRPr="00F110C2">
        <w:t xml:space="preserve">NOTE </w:t>
      </w:r>
      <w:r w:rsidR="0023743D" w:rsidRPr="00F110C2">
        <w:t>–</w:t>
      </w:r>
      <w:r w:rsidR="00CD45DB" w:rsidRPr="00F110C2">
        <w:t xml:space="preserve"> </w:t>
      </w:r>
      <w:r w:rsidRPr="00F110C2">
        <w:t>L</w:t>
      </w:r>
      <w:r w:rsidR="00CD45DB" w:rsidRPr="00F110C2">
        <w:t>es gabarits spécifiés sont exprimés en fonction d'un pourcentage d'espacement des canaux; toutefois, pour les systèmes fonctionnant dans des bandes de fréquences où aucune disposition des canaux radioélectriques n'est établie, le pourcentage de la largeur de bande nécessaire sera utilisé ou, si cela s'applique, le «seuil inférieur de la largeur de bande nécessaire», comme défini dans la Recommandation UIT-R SM.1539. Sauf spécification dans d'autres Recommandations UIT-R, la largeur de bande nécessaire doit être déduite de la Recommandation UIT-R F.1191.</w:t>
      </w:r>
    </w:p>
    <w:p w14:paraId="5F27D24F" w14:textId="77777777" w:rsidR="00CD45DB" w:rsidRPr="00F110C2" w:rsidRDefault="00CD45DB" w:rsidP="00254EC9">
      <w:pPr>
        <w:pStyle w:val="TableNo"/>
      </w:pPr>
      <w:r w:rsidRPr="00F110C2">
        <w:t>TABLEAU 37</w:t>
      </w:r>
    </w:p>
    <w:p w14:paraId="15BC160A" w14:textId="77777777" w:rsidR="00CD45DB" w:rsidRPr="00F110C2" w:rsidRDefault="00CD45DB" w:rsidP="00254EC9">
      <w:pPr>
        <w:pStyle w:val="Tabletitle"/>
        <w:rPr>
          <w:b w:val="0"/>
          <w:bCs/>
        </w:rPr>
      </w:pPr>
      <w:r w:rsidRPr="00F110C2">
        <w:t>Service fixe numérique fonctionnant au-dessus de 30 MHz</w:t>
      </w:r>
      <w:r w:rsidRPr="00F110C2">
        <w:br/>
      </w:r>
      <w:r w:rsidRPr="00F110C2">
        <w:rPr>
          <w:b w:val="0"/>
          <w:bCs/>
        </w:rPr>
        <w:t>(voir la Fig. 51)</w:t>
      </w:r>
    </w:p>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746"/>
        <w:gridCol w:w="1855"/>
        <w:gridCol w:w="3201"/>
        <w:gridCol w:w="1840"/>
      </w:tblGrid>
      <w:tr w:rsidR="00CD45DB" w:rsidRPr="00F110C2" w14:paraId="50B9EAB6" w14:textId="77777777" w:rsidTr="00D859FD">
        <w:trPr>
          <w:cantSplit/>
          <w:jc w:val="center"/>
        </w:trPr>
        <w:tc>
          <w:tcPr>
            <w:tcW w:w="4600" w:type="dxa"/>
            <w:gridSpan w:val="2"/>
            <w:vAlign w:val="center"/>
          </w:tcPr>
          <w:p w14:paraId="6BA64257" w14:textId="77777777" w:rsidR="00CD45DB" w:rsidRPr="00F110C2" w:rsidRDefault="00CD45DB" w:rsidP="00254EC9">
            <w:pPr>
              <w:pStyle w:val="Tablehead"/>
              <w:rPr>
                <w:sz w:val="20"/>
              </w:rPr>
            </w:pPr>
            <w:r w:rsidRPr="00F110C2">
              <w:rPr>
                <w:sz w:val="20"/>
              </w:rPr>
              <w:t>Tous les systèmes (systèmes AMRF exclus)</w:t>
            </w:r>
          </w:p>
        </w:tc>
        <w:tc>
          <w:tcPr>
            <w:tcW w:w="5039" w:type="dxa"/>
            <w:gridSpan w:val="2"/>
            <w:vAlign w:val="center"/>
          </w:tcPr>
          <w:p w14:paraId="644BF319" w14:textId="77777777" w:rsidR="00CD45DB" w:rsidRPr="00F110C2" w:rsidRDefault="00CD45DB" w:rsidP="00254EC9">
            <w:pPr>
              <w:pStyle w:val="Tablehead"/>
              <w:rPr>
                <w:sz w:val="20"/>
              </w:rPr>
            </w:pPr>
            <w:r w:rsidRPr="00F110C2">
              <w:rPr>
                <w:sz w:val="20"/>
              </w:rPr>
              <w:t>Systèmes AMRF uniquement</w:t>
            </w:r>
          </w:p>
        </w:tc>
      </w:tr>
      <w:tr w:rsidR="00CD45DB" w:rsidRPr="00F110C2" w14:paraId="71CF3504" w14:textId="77777777" w:rsidTr="00D859FD">
        <w:trPr>
          <w:cantSplit/>
          <w:jc w:val="center"/>
        </w:trPr>
        <w:tc>
          <w:tcPr>
            <w:tcW w:w="2746" w:type="dxa"/>
            <w:vAlign w:val="center"/>
          </w:tcPr>
          <w:p w14:paraId="076E1FC9" w14:textId="77777777" w:rsidR="00CD45DB" w:rsidRPr="00F110C2" w:rsidRDefault="00CD45DB" w:rsidP="00254EC9">
            <w:pPr>
              <w:pStyle w:val="Tablehead"/>
              <w:rPr>
                <w:sz w:val="20"/>
              </w:rPr>
            </w:pPr>
            <w:r w:rsidRPr="00F110C2">
              <w:rPr>
                <w:sz w:val="20"/>
              </w:rPr>
              <w:t>Décalage de fréquence (% de l'espacement des canaux)</w:t>
            </w:r>
          </w:p>
        </w:tc>
        <w:tc>
          <w:tcPr>
            <w:tcW w:w="1854" w:type="dxa"/>
            <w:vAlign w:val="center"/>
          </w:tcPr>
          <w:p w14:paraId="26C6296E" w14:textId="77777777" w:rsidR="00CD45DB" w:rsidRPr="00F110C2" w:rsidRDefault="00CD45DB" w:rsidP="00254EC9">
            <w:pPr>
              <w:pStyle w:val="Tablehead"/>
              <w:rPr>
                <w:sz w:val="20"/>
              </w:rPr>
            </w:pPr>
            <w:r w:rsidRPr="00F110C2">
              <w:rPr>
                <w:sz w:val="20"/>
              </w:rPr>
              <w:t>Affaiblissement</w:t>
            </w:r>
            <w:r w:rsidRPr="00F110C2">
              <w:rPr>
                <w:sz w:val="20"/>
              </w:rPr>
              <w:br/>
              <w:t>(dBsd)</w:t>
            </w:r>
          </w:p>
        </w:tc>
        <w:tc>
          <w:tcPr>
            <w:tcW w:w="3200" w:type="dxa"/>
            <w:vAlign w:val="center"/>
          </w:tcPr>
          <w:p w14:paraId="1B301869" w14:textId="77777777" w:rsidR="00CD45DB" w:rsidRPr="00F110C2" w:rsidRDefault="00CD45DB" w:rsidP="00254EC9">
            <w:pPr>
              <w:pStyle w:val="Tablehead"/>
              <w:rPr>
                <w:sz w:val="20"/>
              </w:rPr>
            </w:pPr>
            <w:r w:rsidRPr="00F110C2">
              <w:rPr>
                <w:sz w:val="20"/>
              </w:rPr>
              <w:t>Décalage de fréquence (% de l'espacement des canaux)</w:t>
            </w:r>
          </w:p>
        </w:tc>
        <w:tc>
          <w:tcPr>
            <w:tcW w:w="1839" w:type="dxa"/>
            <w:vAlign w:val="center"/>
          </w:tcPr>
          <w:p w14:paraId="1F253782" w14:textId="77777777" w:rsidR="00CD45DB" w:rsidRPr="00F110C2" w:rsidRDefault="00CD45DB" w:rsidP="00254EC9">
            <w:pPr>
              <w:pStyle w:val="Tablehead"/>
              <w:rPr>
                <w:sz w:val="20"/>
              </w:rPr>
            </w:pPr>
            <w:r w:rsidRPr="00F110C2">
              <w:rPr>
                <w:sz w:val="20"/>
              </w:rPr>
              <w:t xml:space="preserve">Affaiblissement </w:t>
            </w:r>
            <w:r w:rsidRPr="00F110C2">
              <w:rPr>
                <w:sz w:val="20"/>
              </w:rPr>
              <w:br/>
              <w:t>(dBsd)</w:t>
            </w:r>
          </w:p>
        </w:tc>
      </w:tr>
      <w:tr w:rsidR="00CD45DB" w:rsidRPr="00F110C2" w14:paraId="20BB87B9" w14:textId="77777777" w:rsidTr="00D859FD">
        <w:trPr>
          <w:cantSplit/>
          <w:jc w:val="center"/>
        </w:trPr>
        <w:tc>
          <w:tcPr>
            <w:tcW w:w="2746" w:type="dxa"/>
          </w:tcPr>
          <w:p w14:paraId="3531BC89" w14:textId="77777777" w:rsidR="00CD45DB" w:rsidRPr="00F110C2" w:rsidRDefault="00CD45DB" w:rsidP="00254EC9">
            <w:pPr>
              <w:pStyle w:val="Tabletext"/>
              <w:jc w:val="center"/>
              <w:rPr>
                <w:sz w:val="20"/>
              </w:rPr>
            </w:pPr>
            <w:r w:rsidRPr="00F110C2">
              <w:rPr>
                <w:sz w:val="20"/>
              </w:rPr>
              <w:t>0</w:t>
            </w:r>
          </w:p>
        </w:tc>
        <w:tc>
          <w:tcPr>
            <w:tcW w:w="1854" w:type="dxa"/>
          </w:tcPr>
          <w:p w14:paraId="501AA4C4" w14:textId="77777777" w:rsidR="00CD45DB" w:rsidRPr="00F110C2" w:rsidRDefault="00CD45DB" w:rsidP="00254EC9">
            <w:pPr>
              <w:pStyle w:val="Tabletext"/>
              <w:jc w:val="center"/>
              <w:rPr>
                <w:sz w:val="20"/>
              </w:rPr>
            </w:pPr>
            <w:r w:rsidRPr="00F110C2">
              <w:rPr>
                <w:sz w:val="20"/>
              </w:rPr>
              <w:t>0</w:t>
            </w:r>
          </w:p>
        </w:tc>
        <w:tc>
          <w:tcPr>
            <w:tcW w:w="3200" w:type="dxa"/>
          </w:tcPr>
          <w:p w14:paraId="292FDA9B" w14:textId="77777777" w:rsidR="00CD45DB" w:rsidRPr="00F110C2" w:rsidRDefault="00CD45DB" w:rsidP="00254EC9">
            <w:pPr>
              <w:pStyle w:val="Tabletext"/>
              <w:jc w:val="center"/>
              <w:rPr>
                <w:sz w:val="20"/>
              </w:rPr>
            </w:pPr>
            <w:r w:rsidRPr="00F110C2">
              <w:rPr>
                <w:sz w:val="20"/>
              </w:rPr>
              <w:t>0</w:t>
            </w:r>
          </w:p>
        </w:tc>
        <w:tc>
          <w:tcPr>
            <w:tcW w:w="1839" w:type="dxa"/>
          </w:tcPr>
          <w:p w14:paraId="2BE23943" w14:textId="77777777" w:rsidR="00CD45DB" w:rsidRPr="00F110C2" w:rsidRDefault="00CD45DB" w:rsidP="00254EC9">
            <w:pPr>
              <w:pStyle w:val="Tabletext"/>
              <w:jc w:val="center"/>
              <w:rPr>
                <w:sz w:val="20"/>
              </w:rPr>
            </w:pPr>
            <w:r w:rsidRPr="00F110C2">
              <w:rPr>
                <w:sz w:val="20"/>
              </w:rPr>
              <w:t>0</w:t>
            </w:r>
          </w:p>
        </w:tc>
      </w:tr>
      <w:tr w:rsidR="00CD45DB" w:rsidRPr="00F110C2" w14:paraId="55B7A78A" w14:textId="77777777" w:rsidTr="00D859FD">
        <w:trPr>
          <w:cantSplit/>
          <w:jc w:val="center"/>
        </w:trPr>
        <w:tc>
          <w:tcPr>
            <w:tcW w:w="2746" w:type="dxa"/>
          </w:tcPr>
          <w:p w14:paraId="55528984" w14:textId="77777777" w:rsidR="00CD45DB" w:rsidRPr="00F110C2" w:rsidRDefault="00CD45DB" w:rsidP="00254EC9">
            <w:pPr>
              <w:pStyle w:val="Tabletext"/>
              <w:jc w:val="center"/>
              <w:rPr>
                <w:sz w:val="20"/>
              </w:rPr>
            </w:pPr>
            <w:r w:rsidRPr="00F110C2">
              <w:rPr>
                <w:sz w:val="20"/>
              </w:rPr>
              <w:t>55</w:t>
            </w:r>
          </w:p>
        </w:tc>
        <w:tc>
          <w:tcPr>
            <w:tcW w:w="1854" w:type="dxa"/>
          </w:tcPr>
          <w:p w14:paraId="5A726777" w14:textId="77777777" w:rsidR="00CD45DB" w:rsidRPr="00F110C2" w:rsidRDefault="00CD45DB" w:rsidP="00254EC9">
            <w:pPr>
              <w:pStyle w:val="Tabletext"/>
              <w:jc w:val="center"/>
              <w:rPr>
                <w:sz w:val="20"/>
              </w:rPr>
            </w:pPr>
            <w:r w:rsidRPr="00F110C2">
              <w:rPr>
                <w:sz w:val="20"/>
              </w:rPr>
              <w:t>0</w:t>
            </w:r>
          </w:p>
        </w:tc>
        <w:tc>
          <w:tcPr>
            <w:tcW w:w="3200" w:type="dxa"/>
          </w:tcPr>
          <w:p w14:paraId="71F82A40" w14:textId="77777777" w:rsidR="00CD45DB" w:rsidRPr="00F110C2" w:rsidRDefault="00CD45DB" w:rsidP="00254EC9">
            <w:pPr>
              <w:pStyle w:val="Tabletext"/>
              <w:jc w:val="center"/>
              <w:rPr>
                <w:sz w:val="20"/>
              </w:rPr>
            </w:pPr>
            <w:r w:rsidRPr="00F110C2">
              <w:rPr>
                <w:sz w:val="20"/>
              </w:rPr>
              <w:t>50</w:t>
            </w:r>
          </w:p>
        </w:tc>
        <w:tc>
          <w:tcPr>
            <w:tcW w:w="1839" w:type="dxa"/>
          </w:tcPr>
          <w:p w14:paraId="5879DA46" w14:textId="77777777" w:rsidR="00CD45DB" w:rsidRPr="00F110C2" w:rsidRDefault="00CD45DB" w:rsidP="00254EC9">
            <w:pPr>
              <w:pStyle w:val="Tabletext"/>
              <w:jc w:val="center"/>
              <w:rPr>
                <w:sz w:val="20"/>
              </w:rPr>
            </w:pPr>
            <w:r w:rsidRPr="00F110C2">
              <w:rPr>
                <w:sz w:val="20"/>
              </w:rPr>
              <w:t>0</w:t>
            </w:r>
          </w:p>
        </w:tc>
      </w:tr>
      <w:tr w:rsidR="00CD45DB" w:rsidRPr="00F110C2" w14:paraId="1616F83F" w14:textId="77777777" w:rsidTr="00D859FD">
        <w:trPr>
          <w:cantSplit/>
          <w:jc w:val="center"/>
        </w:trPr>
        <w:tc>
          <w:tcPr>
            <w:tcW w:w="2746" w:type="dxa"/>
          </w:tcPr>
          <w:p w14:paraId="01A3397F" w14:textId="77777777" w:rsidR="00CD45DB" w:rsidRPr="00F110C2" w:rsidRDefault="00CD45DB" w:rsidP="00254EC9">
            <w:pPr>
              <w:pStyle w:val="Tabletext"/>
              <w:jc w:val="center"/>
              <w:rPr>
                <w:sz w:val="20"/>
              </w:rPr>
            </w:pPr>
            <w:r w:rsidRPr="00F110C2">
              <w:rPr>
                <w:sz w:val="20"/>
              </w:rPr>
              <w:t>120</w:t>
            </w:r>
          </w:p>
        </w:tc>
        <w:tc>
          <w:tcPr>
            <w:tcW w:w="1854" w:type="dxa"/>
          </w:tcPr>
          <w:p w14:paraId="6DE160E0" w14:textId="77777777" w:rsidR="00CD45DB" w:rsidRPr="00F110C2" w:rsidRDefault="00CD45DB" w:rsidP="00254EC9">
            <w:pPr>
              <w:pStyle w:val="Tabletext"/>
              <w:jc w:val="center"/>
              <w:rPr>
                <w:sz w:val="20"/>
              </w:rPr>
            </w:pPr>
            <w:r w:rsidRPr="00F110C2">
              <w:rPr>
                <w:sz w:val="20"/>
              </w:rPr>
              <w:t>25</w:t>
            </w:r>
          </w:p>
        </w:tc>
        <w:tc>
          <w:tcPr>
            <w:tcW w:w="3200" w:type="dxa"/>
          </w:tcPr>
          <w:p w14:paraId="7A4E63DD" w14:textId="77777777" w:rsidR="00CD45DB" w:rsidRPr="00F110C2" w:rsidRDefault="00CD45DB" w:rsidP="00254EC9">
            <w:pPr>
              <w:pStyle w:val="Tabletext"/>
              <w:jc w:val="center"/>
              <w:rPr>
                <w:sz w:val="20"/>
              </w:rPr>
            </w:pPr>
            <w:r w:rsidRPr="00F110C2">
              <w:rPr>
                <w:sz w:val="20"/>
              </w:rPr>
              <w:t>65</w:t>
            </w:r>
          </w:p>
        </w:tc>
        <w:tc>
          <w:tcPr>
            <w:tcW w:w="1839" w:type="dxa"/>
          </w:tcPr>
          <w:p w14:paraId="2C5A0FA5" w14:textId="77777777" w:rsidR="00CD45DB" w:rsidRPr="00F110C2" w:rsidRDefault="00CD45DB" w:rsidP="00254EC9">
            <w:pPr>
              <w:pStyle w:val="Tabletext"/>
              <w:jc w:val="center"/>
              <w:rPr>
                <w:sz w:val="20"/>
              </w:rPr>
            </w:pPr>
            <w:r w:rsidRPr="00F110C2">
              <w:rPr>
                <w:sz w:val="20"/>
              </w:rPr>
              <w:t>25</w:t>
            </w:r>
          </w:p>
        </w:tc>
      </w:tr>
      <w:tr w:rsidR="00D859FD" w:rsidRPr="00F110C2" w14:paraId="5E8C98AB" w14:textId="77777777" w:rsidTr="00D859FD">
        <w:trPr>
          <w:cantSplit/>
          <w:jc w:val="center"/>
        </w:trPr>
        <w:tc>
          <w:tcPr>
            <w:tcW w:w="9639" w:type="dxa"/>
            <w:gridSpan w:val="4"/>
            <w:tcBorders>
              <w:top w:val="nil"/>
              <w:left w:val="nil"/>
              <w:right w:val="nil"/>
            </w:tcBorders>
            <w:vAlign w:val="center"/>
          </w:tcPr>
          <w:p w14:paraId="1A1CD10D" w14:textId="63B1D9C3" w:rsidR="00D859FD" w:rsidRPr="00F110C2" w:rsidRDefault="00D859FD" w:rsidP="00254EC9">
            <w:pPr>
              <w:pStyle w:val="TableNo"/>
            </w:pPr>
            <w:r w:rsidRPr="00F110C2">
              <w:lastRenderedPageBreak/>
              <w:t>TABLEAU 37 (</w:t>
            </w:r>
            <w:r w:rsidRPr="00F110C2">
              <w:rPr>
                <w:i/>
                <w:iCs/>
              </w:rPr>
              <w:t>fin</w:t>
            </w:r>
            <w:r w:rsidRPr="00F110C2">
              <w:t>)</w:t>
            </w:r>
          </w:p>
        </w:tc>
      </w:tr>
      <w:tr w:rsidR="00D859FD" w:rsidRPr="00F110C2" w14:paraId="72A30214" w14:textId="77777777" w:rsidTr="00D859FD">
        <w:trPr>
          <w:cantSplit/>
          <w:jc w:val="center"/>
        </w:trPr>
        <w:tc>
          <w:tcPr>
            <w:tcW w:w="4600" w:type="dxa"/>
            <w:gridSpan w:val="2"/>
            <w:vAlign w:val="center"/>
          </w:tcPr>
          <w:p w14:paraId="63B5C5E6" w14:textId="409F3E86" w:rsidR="00D859FD" w:rsidRPr="00F110C2" w:rsidRDefault="00D859FD" w:rsidP="00254EC9">
            <w:pPr>
              <w:pStyle w:val="Tablehead"/>
              <w:rPr>
                <w:sz w:val="20"/>
              </w:rPr>
            </w:pPr>
            <w:r w:rsidRPr="00F110C2">
              <w:rPr>
                <w:sz w:val="20"/>
              </w:rPr>
              <w:t>Tous les systèmes (systèmes AMRF exclus)</w:t>
            </w:r>
          </w:p>
        </w:tc>
        <w:tc>
          <w:tcPr>
            <w:tcW w:w="5039" w:type="dxa"/>
            <w:gridSpan w:val="2"/>
            <w:vAlign w:val="center"/>
          </w:tcPr>
          <w:p w14:paraId="7897CD11" w14:textId="382E6981" w:rsidR="00D859FD" w:rsidRPr="00F110C2" w:rsidRDefault="00D859FD" w:rsidP="00254EC9">
            <w:pPr>
              <w:pStyle w:val="Tablehead"/>
              <w:rPr>
                <w:sz w:val="20"/>
              </w:rPr>
            </w:pPr>
            <w:r w:rsidRPr="00F110C2">
              <w:rPr>
                <w:sz w:val="20"/>
              </w:rPr>
              <w:t>Systèmes AMRF uniquement</w:t>
            </w:r>
          </w:p>
        </w:tc>
      </w:tr>
      <w:tr w:rsidR="00D859FD" w:rsidRPr="00F110C2" w14:paraId="05C93D63" w14:textId="77777777" w:rsidTr="00D859FD">
        <w:trPr>
          <w:cantSplit/>
          <w:jc w:val="center"/>
        </w:trPr>
        <w:tc>
          <w:tcPr>
            <w:tcW w:w="2746" w:type="dxa"/>
            <w:vAlign w:val="center"/>
          </w:tcPr>
          <w:p w14:paraId="7293B1AC" w14:textId="4E634CB0" w:rsidR="00D859FD" w:rsidRPr="00F110C2" w:rsidRDefault="00D859FD" w:rsidP="00254EC9">
            <w:pPr>
              <w:pStyle w:val="Tablehead"/>
              <w:rPr>
                <w:sz w:val="20"/>
              </w:rPr>
            </w:pPr>
            <w:r w:rsidRPr="00F110C2">
              <w:rPr>
                <w:sz w:val="20"/>
              </w:rPr>
              <w:t>Décalage de fréquence (% de l'espacement des canaux)</w:t>
            </w:r>
          </w:p>
        </w:tc>
        <w:tc>
          <w:tcPr>
            <w:tcW w:w="1854" w:type="dxa"/>
            <w:vAlign w:val="center"/>
          </w:tcPr>
          <w:p w14:paraId="27140FCB" w14:textId="5281CF68" w:rsidR="00D859FD" w:rsidRPr="00F110C2" w:rsidRDefault="00D859FD" w:rsidP="00254EC9">
            <w:pPr>
              <w:pStyle w:val="Tablehead"/>
              <w:rPr>
                <w:sz w:val="20"/>
              </w:rPr>
            </w:pPr>
            <w:r w:rsidRPr="00F110C2">
              <w:rPr>
                <w:sz w:val="20"/>
              </w:rPr>
              <w:t>Affaiblissement</w:t>
            </w:r>
            <w:r w:rsidRPr="00F110C2">
              <w:rPr>
                <w:sz w:val="20"/>
              </w:rPr>
              <w:br/>
              <w:t>(dBsd)</w:t>
            </w:r>
          </w:p>
        </w:tc>
        <w:tc>
          <w:tcPr>
            <w:tcW w:w="3200" w:type="dxa"/>
            <w:vAlign w:val="center"/>
          </w:tcPr>
          <w:p w14:paraId="47AE9F69" w14:textId="58FEAFF5" w:rsidR="00D859FD" w:rsidRPr="00F110C2" w:rsidRDefault="00D859FD" w:rsidP="00254EC9">
            <w:pPr>
              <w:pStyle w:val="Tablehead"/>
              <w:rPr>
                <w:sz w:val="20"/>
              </w:rPr>
            </w:pPr>
            <w:r w:rsidRPr="00F110C2">
              <w:rPr>
                <w:sz w:val="20"/>
              </w:rPr>
              <w:t>Décalage de fréquence (% de l'espacement des canaux)</w:t>
            </w:r>
          </w:p>
        </w:tc>
        <w:tc>
          <w:tcPr>
            <w:tcW w:w="1839" w:type="dxa"/>
            <w:vAlign w:val="center"/>
          </w:tcPr>
          <w:p w14:paraId="11264F9F" w14:textId="3DB1286A" w:rsidR="00D859FD" w:rsidRPr="00F110C2" w:rsidRDefault="00D859FD" w:rsidP="00254EC9">
            <w:pPr>
              <w:pStyle w:val="Tablehead"/>
              <w:rPr>
                <w:sz w:val="20"/>
              </w:rPr>
            </w:pPr>
            <w:r w:rsidRPr="00F110C2">
              <w:rPr>
                <w:sz w:val="20"/>
              </w:rPr>
              <w:t xml:space="preserve">Affaiblissement </w:t>
            </w:r>
            <w:r w:rsidRPr="00F110C2">
              <w:rPr>
                <w:sz w:val="20"/>
              </w:rPr>
              <w:br/>
              <w:t>(dBsd)</w:t>
            </w:r>
          </w:p>
        </w:tc>
      </w:tr>
      <w:tr w:rsidR="00D859FD" w:rsidRPr="00F110C2" w14:paraId="40196850" w14:textId="77777777" w:rsidTr="00D859FD">
        <w:trPr>
          <w:cantSplit/>
          <w:jc w:val="center"/>
        </w:trPr>
        <w:tc>
          <w:tcPr>
            <w:tcW w:w="2746" w:type="dxa"/>
          </w:tcPr>
          <w:p w14:paraId="0A3E516C" w14:textId="1F392981" w:rsidR="00D859FD" w:rsidRPr="00F110C2" w:rsidRDefault="00D859FD" w:rsidP="00254EC9">
            <w:pPr>
              <w:pStyle w:val="Tabletext"/>
              <w:jc w:val="center"/>
              <w:rPr>
                <w:sz w:val="20"/>
              </w:rPr>
            </w:pPr>
            <w:r w:rsidRPr="00F110C2">
              <w:rPr>
                <w:sz w:val="20"/>
              </w:rPr>
              <w:t>180</w:t>
            </w:r>
          </w:p>
        </w:tc>
        <w:tc>
          <w:tcPr>
            <w:tcW w:w="1854" w:type="dxa"/>
          </w:tcPr>
          <w:p w14:paraId="13C6491F" w14:textId="77777777" w:rsidR="00D859FD" w:rsidRPr="00F110C2" w:rsidRDefault="00D859FD" w:rsidP="00254EC9">
            <w:pPr>
              <w:pStyle w:val="Tabletext"/>
              <w:jc w:val="center"/>
              <w:rPr>
                <w:sz w:val="20"/>
              </w:rPr>
            </w:pPr>
            <w:r w:rsidRPr="00F110C2">
              <w:rPr>
                <w:sz w:val="20"/>
              </w:rPr>
              <w:t>40</w:t>
            </w:r>
          </w:p>
        </w:tc>
        <w:tc>
          <w:tcPr>
            <w:tcW w:w="3200" w:type="dxa"/>
          </w:tcPr>
          <w:p w14:paraId="38EFD62C" w14:textId="77777777" w:rsidR="00D859FD" w:rsidRPr="00F110C2" w:rsidRDefault="00D859FD" w:rsidP="00254EC9">
            <w:pPr>
              <w:pStyle w:val="Tabletext"/>
              <w:jc w:val="center"/>
              <w:rPr>
                <w:sz w:val="20"/>
              </w:rPr>
            </w:pPr>
            <w:r w:rsidRPr="00F110C2">
              <w:rPr>
                <w:sz w:val="20"/>
              </w:rPr>
              <w:t>150</w:t>
            </w:r>
          </w:p>
        </w:tc>
        <w:tc>
          <w:tcPr>
            <w:tcW w:w="1839" w:type="dxa"/>
          </w:tcPr>
          <w:p w14:paraId="63F81A64" w14:textId="77777777" w:rsidR="00D859FD" w:rsidRPr="00F110C2" w:rsidRDefault="00D859FD" w:rsidP="00254EC9">
            <w:pPr>
              <w:pStyle w:val="Tabletext"/>
              <w:jc w:val="center"/>
              <w:rPr>
                <w:sz w:val="20"/>
              </w:rPr>
            </w:pPr>
            <w:r w:rsidRPr="00F110C2">
              <w:rPr>
                <w:sz w:val="20"/>
              </w:rPr>
              <w:t>25</w:t>
            </w:r>
          </w:p>
        </w:tc>
      </w:tr>
      <w:tr w:rsidR="00D859FD" w:rsidRPr="00F110C2" w14:paraId="115B77AE" w14:textId="77777777" w:rsidTr="00D859FD">
        <w:trPr>
          <w:cantSplit/>
          <w:jc w:val="center"/>
        </w:trPr>
        <w:tc>
          <w:tcPr>
            <w:tcW w:w="2746" w:type="dxa"/>
          </w:tcPr>
          <w:p w14:paraId="29C393D0" w14:textId="77777777" w:rsidR="00D859FD" w:rsidRPr="00F110C2" w:rsidRDefault="00D859FD" w:rsidP="00254EC9">
            <w:pPr>
              <w:pStyle w:val="Tabletext"/>
              <w:jc w:val="center"/>
              <w:rPr>
                <w:sz w:val="20"/>
              </w:rPr>
            </w:pPr>
            <w:r w:rsidRPr="00F110C2">
              <w:rPr>
                <w:sz w:val="20"/>
              </w:rPr>
              <w:t>250</w:t>
            </w:r>
          </w:p>
        </w:tc>
        <w:tc>
          <w:tcPr>
            <w:tcW w:w="1854" w:type="dxa"/>
          </w:tcPr>
          <w:p w14:paraId="4F0A68BB" w14:textId="77777777" w:rsidR="00D859FD" w:rsidRPr="00F110C2" w:rsidRDefault="00D859FD" w:rsidP="00254EC9">
            <w:pPr>
              <w:pStyle w:val="Tabletext"/>
              <w:jc w:val="center"/>
              <w:rPr>
                <w:sz w:val="20"/>
              </w:rPr>
            </w:pPr>
            <w:r w:rsidRPr="00F110C2">
              <w:rPr>
                <w:sz w:val="20"/>
              </w:rPr>
              <w:t>40</w:t>
            </w:r>
          </w:p>
        </w:tc>
        <w:tc>
          <w:tcPr>
            <w:tcW w:w="3200" w:type="dxa"/>
          </w:tcPr>
          <w:p w14:paraId="5D60A36D" w14:textId="77777777" w:rsidR="00D859FD" w:rsidRPr="00F110C2" w:rsidRDefault="00D859FD" w:rsidP="00254EC9">
            <w:pPr>
              <w:pStyle w:val="Tabletext"/>
              <w:jc w:val="center"/>
              <w:rPr>
                <w:sz w:val="20"/>
              </w:rPr>
            </w:pPr>
            <w:r w:rsidRPr="00F110C2">
              <w:rPr>
                <w:sz w:val="20"/>
              </w:rPr>
              <w:t>150</w:t>
            </w:r>
          </w:p>
        </w:tc>
        <w:tc>
          <w:tcPr>
            <w:tcW w:w="1839" w:type="dxa"/>
          </w:tcPr>
          <w:p w14:paraId="5F6A701A" w14:textId="77777777" w:rsidR="00D859FD" w:rsidRPr="00F110C2" w:rsidRDefault="00D859FD" w:rsidP="00254EC9">
            <w:pPr>
              <w:pStyle w:val="Tabletext"/>
              <w:jc w:val="center"/>
              <w:rPr>
                <w:sz w:val="20"/>
              </w:rPr>
            </w:pPr>
            <w:r w:rsidRPr="00F110C2">
              <w:rPr>
                <w:sz w:val="20"/>
              </w:rPr>
              <w:t>40</w:t>
            </w:r>
          </w:p>
        </w:tc>
      </w:tr>
      <w:tr w:rsidR="00D859FD" w:rsidRPr="00F110C2" w14:paraId="5C5D46FF" w14:textId="77777777" w:rsidTr="00D859FD">
        <w:trPr>
          <w:cantSplit/>
          <w:jc w:val="center"/>
        </w:trPr>
        <w:tc>
          <w:tcPr>
            <w:tcW w:w="2746" w:type="dxa"/>
          </w:tcPr>
          <w:p w14:paraId="7D0B06B4" w14:textId="77777777" w:rsidR="00D859FD" w:rsidRPr="00F110C2" w:rsidRDefault="00D859FD" w:rsidP="00254EC9">
            <w:pPr>
              <w:pStyle w:val="Tabletext"/>
              <w:jc w:val="center"/>
              <w:rPr>
                <w:sz w:val="20"/>
              </w:rPr>
            </w:pPr>
          </w:p>
        </w:tc>
        <w:tc>
          <w:tcPr>
            <w:tcW w:w="1854" w:type="dxa"/>
          </w:tcPr>
          <w:p w14:paraId="2B0D25F2" w14:textId="77777777" w:rsidR="00D859FD" w:rsidRPr="00F110C2" w:rsidRDefault="00D859FD" w:rsidP="00254EC9">
            <w:pPr>
              <w:pStyle w:val="Tabletext"/>
              <w:jc w:val="center"/>
              <w:rPr>
                <w:sz w:val="20"/>
              </w:rPr>
            </w:pPr>
          </w:p>
        </w:tc>
        <w:tc>
          <w:tcPr>
            <w:tcW w:w="3200" w:type="dxa"/>
          </w:tcPr>
          <w:p w14:paraId="327586D0" w14:textId="77777777" w:rsidR="00D859FD" w:rsidRPr="00F110C2" w:rsidRDefault="00D859FD" w:rsidP="00254EC9">
            <w:pPr>
              <w:pStyle w:val="Tabletext"/>
              <w:jc w:val="center"/>
              <w:rPr>
                <w:sz w:val="20"/>
              </w:rPr>
            </w:pPr>
            <w:r w:rsidRPr="00F110C2">
              <w:rPr>
                <w:sz w:val="20"/>
              </w:rPr>
              <w:t>250</w:t>
            </w:r>
          </w:p>
        </w:tc>
        <w:tc>
          <w:tcPr>
            <w:tcW w:w="1839" w:type="dxa"/>
          </w:tcPr>
          <w:p w14:paraId="61C1A17E" w14:textId="77777777" w:rsidR="00D859FD" w:rsidRPr="00F110C2" w:rsidRDefault="00D859FD" w:rsidP="00254EC9">
            <w:pPr>
              <w:pStyle w:val="Tabletext"/>
              <w:jc w:val="center"/>
              <w:rPr>
                <w:sz w:val="20"/>
              </w:rPr>
            </w:pPr>
            <w:r w:rsidRPr="00F110C2">
              <w:rPr>
                <w:sz w:val="20"/>
              </w:rPr>
              <w:t>40</w:t>
            </w:r>
          </w:p>
        </w:tc>
      </w:tr>
    </w:tbl>
    <w:p w14:paraId="309ED294" w14:textId="77777777" w:rsidR="00D859FD" w:rsidRPr="00F110C2" w:rsidRDefault="00D859FD" w:rsidP="00254EC9">
      <w:pPr>
        <w:pStyle w:val="Tablefin"/>
      </w:pPr>
    </w:p>
    <w:p w14:paraId="017997E1" w14:textId="353AECE5" w:rsidR="00CD45DB" w:rsidRPr="00F110C2" w:rsidRDefault="00CD45DB" w:rsidP="00254EC9">
      <w:pPr>
        <w:pStyle w:val="Heading2"/>
      </w:pPr>
      <w:r w:rsidRPr="00F110C2">
        <w:t>1.2</w:t>
      </w:r>
      <w:r w:rsidRPr="00F110C2">
        <w:tab/>
        <w:t>Systèmes fonctionnant au-dessous de 30 MHz</w:t>
      </w:r>
    </w:p>
    <w:p w14:paraId="30C45427" w14:textId="77777777" w:rsidR="00CD45DB" w:rsidRPr="00F110C2" w:rsidRDefault="00CD45DB" w:rsidP="00254EC9">
      <w:r w:rsidRPr="00F110C2">
        <w:t>Les gabarits spectraux donnant l'affaiblissement sont représentés sur la Fig. 52.</w:t>
      </w:r>
    </w:p>
    <w:p w14:paraId="76DD2599" w14:textId="77777777" w:rsidR="00CD45DB" w:rsidRPr="00F110C2" w:rsidRDefault="00CD45DB" w:rsidP="00254EC9">
      <w:r w:rsidRPr="00F110C2">
        <w:t>On suppose que le niveau de référence 0 dBsd correspond à la valeur maximale de la densité spectrale de puissance à l'intérieur de la largeur de bande occupée.</w:t>
      </w:r>
    </w:p>
    <w:p w14:paraId="1CF8443A" w14:textId="77777777" w:rsidR="00CD45DB" w:rsidRPr="00F110C2" w:rsidRDefault="00CD45DB" w:rsidP="00254EC9">
      <w:pPr>
        <w:pStyle w:val="FigureNo"/>
        <w:keepNext w:val="0"/>
        <w:keepLines w:val="0"/>
        <w:widowControl w:val="0"/>
      </w:pPr>
      <w:r w:rsidRPr="00F110C2">
        <w:t>figure 52</w:t>
      </w:r>
    </w:p>
    <w:p w14:paraId="7B5E14A6" w14:textId="77777777" w:rsidR="00CD45DB" w:rsidRPr="00F110C2" w:rsidRDefault="00CD45DB" w:rsidP="00254EC9">
      <w:pPr>
        <w:pStyle w:val="Figuretitle"/>
        <w:keepNext w:val="0"/>
        <w:widowControl w:val="0"/>
      </w:pPr>
      <w:r w:rsidRPr="00F110C2">
        <w:t>Gabarits spectraux génériques pour le service fixe numérique</w:t>
      </w:r>
      <w:r w:rsidRPr="00F110C2">
        <w:br/>
        <w:t>fonctionnant au-dessous de 30 MHz</w:t>
      </w:r>
      <w:r w:rsidRPr="00F110C2">
        <w:br/>
      </w:r>
      <w:r w:rsidRPr="00F110C2">
        <w:rPr>
          <w:rFonts w:ascii="Times New Roman"/>
          <w:b w:val="0"/>
        </w:rPr>
        <w:t>(voir le Tableau 38)</w:t>
      </w:r>
    </w:p>
    <w:p w14:paraId="634B0B41" w14:textId="77777777" w:rsidR="00CD45DB" w:rsidRPr="00F110C2" w:rsidRDefault="00CD45DB" w:rsidP="00254EC9">
      <w:pPr>
        <w:pStyle w:val="Figure"/>
        <w:keepLines w:val="0"/>
        <w:widowControl w:val="0"/>
      </w:pPr>
      <w:r w:rsidRPr="00F110C2">
        <w:drawing>
          <wp:inline distT="0" distB="0" distL="0" distR="0" wp14:anchorId="3C9B825E" wp14:editId="34E53095">
            <wp:extent cx="4257675" cy="4635063"/>
            <wp:effectExtent l="0" t="0" r="0" b="0"/>
            <wp:docPr id="1340861103" name="Picture 1"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61103" name="Picture 1" descr="A graph with lines and numbers&#10;&#10;AI-generated content may be incorrect."/>
                    <pic:cNvPicPr>
                      <a:picLocks noChangeAspect="1" noChangeArrowheads="1"/>
                    </pic:cNvPicPr>
                  </pic:nvPicPr>
                  <pic:blipFill rotWithShape="1">
                    <a:blip r:embed="rId225" cstate="print">
                      <a:extLst>
                        <a:ext uri="{28A0092B-C50C-407E-A947-70E740481C1C}">
                          <a14:useLocalDpi xmlns:a14="http://schemas.microsoft.com/office/drawing/2010/main" val="0"/>
                        </a:ext>
                      </a:extLst>
                    </a:blip>
                    <a:srcRect b="4145"/>
                    <a:stretch/>
                  </pic:blipFill>
                  <pic:spPr bwMode="auto">
                    <a:xfrm>
                      <a:off x="0" y="0"/>
                      <a:ext cx="4257675" cy="4635063"/>
                    </a:xfrm>
                    <a:prstGeom prst="rect">
                      <a:avLst/>
                    </a:prstGeom>
                    <a:noFill/>
                    <a:ln>
                      <a:noFill/>
                    </a:ln>
                    <a:extLst>
                      <a:ext uri="{53640926-AAD7-44D8-BBD7-CCE9431645EC}">
                        <a14:shadowObscured xmlns:a14="http://schemas.microsoft.com/office/drawing/2010/main"/>
                      </a:ext>
                    </a:extLst>
                  </pic:spPr>
                </pic:pic>
              </a:graphicData>
            </a:graphic>
          </wp:inline>
        </w:drawing>
      </w:r>
    </w:p>
    <w:p w14:paraId="50FBACA1" w14:textId="6475DE2D" w:rsidR="00CD45DB" w:rsidRPr="00F110C2" w:rsidRDefault="00D859FD" w:rsidP="00254EC9">
      <w:pPr>
        <w:pStyle w:val="Note"/>
        <w:keepNext/>
        <w:keepLines/>
      </w:pPr>
      <w:r w:rsidRPr="00F110C2">
        <w:lastRenderedPageBreak/>
        <w:t>NOTE</w:t>
      </w:r>
      <w:r w:rsidR="00CD45DB" w:rsidRPr="00F110C2">
        <w:t xml:space="preserve"> à la Fig. 52</w:t>
      </w:r>
      <w:r w:rsidRPr="00F110C2">
        <w:t xml:space="preserve"> </w:t>
      </w:r>
      <w:r w:rsidR="0023743D" w:rsidRPr="00F110C2">
        <w:t>–</w:t>
      </w:r>
      <w:r w:rsidR="00CD45DB" w:rsidRPr="00F110C2">
        <w:t xml:space="preserve"> </w:t>
      </w:r>
      <w:r w:rsidR="0023743D" w:rsidRPr="00F110C2">
        <w:t>L</w:t>
      </w:r>
      <w:r w:rsidR="00CD45DB" w:rsidRPr="00F110C2">
        <w:t>orsque cela s'applique; il faut utiliser la seuil inférieur de la largeur de bande nécessaire, comme défini dans la Recommandation UIT-R SM.1539. Sauf spécification dans d'autres Recommandations</w:t>
      </w:r>
      <w:r w:rsidRPr="00F110C2">
        <w:t> </w:t>
      </w:r>
      <w:r w:rsidR="00CD45DB" w:rsidRPr="00F110C2">
        <w:t>UIT</w:t>
      </w:r>
      <w:r w:rsidR="00CD45DB" w:rsidRPr="00F110C2">
        <w:noBreakHyphen/>
        <w:t>R, la largeur de bande nécessaire peut être déduite de la Recommandation</w:t>
      </w:r>
      <w:r w:rsidR="00A42563" w:rsidRPr="00F110C2">
        <w:t> </w:t>
      </w:r>
      <w:r w:rsidR="00CD45DB" w:rsidRPr="00F110C2">
        <w:t>UIT</w:t>
      </w:r>
      <w:r w:rsidRPr="00F110C2">
        <w:noBreakHyphen/>
      </w:r>
      <w:r w:rsidR="00CD45DB" w:rsidRPr="00F110C2">
        <w:t>R</w:t>
      </w:r>
      <w:r w:rsidRPr="00F110C2">
        <w:t> </w:t>
      </w:r>
      <w:r w:rsidR="00CD45DB" w:rsidRPr="00F110C2">
        <w:t>F.1191.</w:t>
      </w:r>
    </w:p>
    <w:p w14:paraId="621A8B88" w14:textId="77777777" w:rsidR="00CD45DB" w:rsidRPr="00F110C2" w:rsidRDefault="00CD45DB" w:rsidP="00254EC9">
      <w:pPr>
        <w:pStyle w:val="TableNo"/>
      </w:pPr>
      <w:r w:rsidRPr="00F110C2">
        <w:t>TABLEAU 38</w:t>
      </w:r>
    </w:p>
    <w:p w14:paraId="2F67C197" w14:textId="77777777" w:rsidR="00CD45DB" w:rsidRPr="00F110C2" w:rsidRDefault="00CD45DB" w:rsidP="00254EC9">
      <w:pPr>
        <w:pStyle w:val="Tabletitle"/>
        <w:rPr>
          <w:b w:val="0"/>
          <w:bCs/>
        </w:rPr>
      </w:pPr>
      <w:r w:rsidRPr="00F110C2">
        <w:t>Service fixe numérique fonctionnant au</w:t>
      </w:r>
      <w:r w:rsidRPr="00F110C2">
        <w:noBreakHyphen/>
        <w:t>dessous de 30 MHz</w:t>
      </w:r>
      <w:r w:rsidRPr="00F110C2">
        <w:br/>
      </w:r>
      <w:r w:rsidRPr="00F110C2">
        <w:rPr>
          <w:b w:val="0"/>
          <w:bCs/>
        </w:rPr>
        <w:t>(voir la Fig. 52)</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819"/>
        <w:gridCol w:w="4820"/>
      </w:tblGrid>
      <w:tr w:rsidR="00CD45DB" w:rsidRPr="00F110C2" w14:paraId="09BBD4A1" w14:textId="77777777" w:rsidTr="00D859FD">
        <w:trPr>
          <w:cantSplit/>
          <w:jc w:val="center"/>
        </w:trPr>
        <w:tc>
          <w:tcPr>
            <w:tcW w:w="3192" w:type="dxa"/>
            <w:gridSpan w:val="2"/>
            <w:vAlign w:val="center"/>
          </w:tcPr>
          <w:p w14:paraId="3A7A87E3" w14:textId="77777777" w:rsidR="00CD45DB" w:rsidRPr="00F110C2" w:rsidRDefault="00CD45DB" w:rsidP="00254EC9">
            <w:pPr>
              <w:pStyle w:val="Tablehead"/>
            </w:pPr>
            <w:r w:rsidRPr="00F110C2">
              <w:t>Tous les systèmes</w:t>
            </w:r>
          </w:p>
        </w:tc>
      </w:tr>
      <w:tr w:rsidR="00CD45DB" w:rsidRPr="00F110C2" w14:paraId="3A214229" w14:textId="77777777" w:rsidTr="00D859FD">
        <w:trPr>
          <w:cantSplit/>
          <w:jc w:val="center"/>
        </w:trPr>
        <w:tc>
          <w:tcPr>
            <w:tcW w:w="3119" w:type="dxa"/>
            <w:vAlign w:val="center"/>
          </w:tcPr>
          <w:p w14:paraId="05D8CAB5" w14:textId="57E7D6B8" w:rsidR="00CD45DB" w:rsidRPr="00F110C2" w:rsidRDefault="00CD45DB" w:rsidP="00254EC9">
            <w:pPr>
              <w:pStyle w:val="Tablehead"/>
            </w:pPr>
            <w:r w:rsidRPr="00F110C2">
              <w:t xml:space="preserve">Décalage de fréquence </w:t>
            </w:r>
            <w:r w:rsidR="00D859FD" w:rsidRPr="00F110C2">
              <w:br/>
            </w:r>
            <w:r w:rsidRPr="00F110C2">
              <w:t>(% de l'espacement des canaux)</w:t>
            </w:r>
          </w:p>
        </w:tc>
        <w:tc>
          <w:tcPr>
            <w:tcW w:w="3119" w:type="dxa"/>
            <w:vAlign w:val="center"/>
          </w:tcPr>
          <w:p w14:paraId="68E5274A" w14:textId="77777777" w:rsidR="00CD45DB" w:rsidRPr="00F110C2" w:rsidRDefault="00CD45DB" w:rsidP="00254EC9">
            <w:pPr>
              <w:pStyle w:val="Tablehead"/>
            </w:pPr>
            <w:r w:rsidRPr="00F110C2">
              <w:t>Affaiblissement</w:t>
            </w:r>
            <w:r w:rsidRPr="00F110C2">
              <w:br/>
              <w:t>(dBsd)</w:t>
            </w:r>
          </w:p>
        </w:tc>
      </w:tr>
      <w:tr w:rsidR="00CD45DB" w:rsidRPr="00F110C2" w14:paraId="77E3063B" w14:textId="77777777" w:rsidTr="00D859FD">
        <w:trPr>
          <w:cantSplit/>
          <w:jc w:val="center"/>
        </w:trPr>
        <w:tc>
          <w:tcPr>
            <w:tcW w:w="3119" w:type="dxa"/>
          </w:tcPr>
          <w:p w14:paraId="28F3F789" w14:textId="77777777" w:rsidR="00CD45DB" w:rsidRPr="00F110C2" w:rsidRDefault="00CD45DB" w:rsidP="00254EC9">
            <w:pPr>
              <w:pStyle w:val="Tabletext"/>
              <w:jc w:val="center"/>
            </w:pPr>
            <w:r w:rsidRPr="00F110C2">
              <w:t>0</w:t>
            </w:r>
          </w:p>
        </w:tc>
        <w:tc>
          <w:tcPr>
            <w:tcW w:w="3119" w:type="dxa"/>
          </w:tcPr>
          <w:p w14:paraId="326C180A" w14:textId="77777777" w:rsidR="00CD45DB" w:rsidRPr="00F110C2" w:rsidRDefault="00CD45DB" w:rsidP="00254EC9">
            <w:pPr>
              <w:pStyle w:val="Tabletext"/>
              <w:jc w:val="center"/>
            </w:pPr>
            <w:r w:rsidRPr="00F110C2">
              <w:t>0</w:t>
            </w:r>
          </w:p>
        </w:tc>
      </w:tr>
      <w:tr w:rsidR="00CD45DB" w:rsidRPr="00F110C2" w14:paraId="37471C8D" w14:textId="77777777" w:rsidTr="00D859FD">
        <w:trPr>
          <w:cantSplit/>
          <w:jc w:val="center"/>
        </w:trPr>
        <w:tc>
          <w:tcPr>
            <w:tcW w:w="3119" w:type="dxa"/>
          </w:tcPr>
          <w:p w14:paraId="5B72F407" w14:textId="77777777" w:rsidR="00CD45DB" w:rsidRPr="00F110C2" w:rsidRDefault="00CD45DB" w:rsidP="00254EC9">
            <w:pPr>
              <w:pStyle w:val="Tabletext"/>
              <w:jc w:val="center"/>
            </w:pPr>
            <w:r w:rsidRPr="00F110C2">
              <w:t>55</w:t>
            </w:r>
          </w:p>
        </w:tc>
        <w:tc>
          <w:tcPr>
            <w:tcW w:w="3119" w:type="dxa"/>
          </w:tcPr>
          <w:p w14:paraId="64088E47" w14:textId="77777777" w:rsidR="00CD45DB" w:rsidRPr="00F110C2" w:rsidRDefault="00CD45DB" w:rsidP="00254EC9">
            <w:pPr>
              <w:pStyle w:val="Tabletext"/>
              <w:jc w:val="center"/>
            </w:pPr>
            <w:r w:rsidRPr="00F110C2">
              <w:t>0</w:t>
            </w:r>
          </w:p>
        </w:tc>
      </w:tr>
      <w:tr w:rsidR="00CD45DB" w:rsidRPr="00F110C2" w14:paraId="40E675E5" w14:textId="77777777" w:rsidTr="00D859FD">
        <w:trPr>
          <w:cantSplit/>
          <w:jc w:val="center"/>
        </w:trPr>
        <w:tc>
          <w:tcPr>
            <w:tcW w:w="3119" w:type="dxa"/>
          </w:tcPr>
          <w:p w14:paraId="3E1F1022" w14:textId="77777777" w:rsidR="00CD45DB" w:rsidRPr="00F110C2" w:rsidRDefault="00CD45DB" w:rsidP="00254EC9">
            <w:pPr>
              <w:pStyle w:val="Tabletext"/>
              <w:jc w:val="center"/>
            </w:pPr>
            <w:r w:rsidRPr="00F110C2">
              <w:t>120</w:t>
            </w:r>
          </w:p>
        </w:tc>
        <w:tc>
          <w:tcPr>
            <w:tcW w:w="3119" w:type="dxa"/>
          </w:tcPr>
          <w:p w14:paraId="48BACA0F" w14:textId="77777777" w:rsidR="00CD45DB" w:rsidRPr="00F110C2" w:rsidRDefault="00CD45DB" w:rsidP="00254EC9">
            <w:pPr>
              <w:pStyle w:val="Tabletext"/>
              <w:jc w:val="center"/>
            </w:pPr>
            <w:r w:rsidRPr="00F110C2">
              <w:t>25</w:t>
            </w:r>
          </w:p>
        </w:tc>
      </w:tr>
      <w:tr w:rsidR="00CD45DB" w:rsidRPr="00F110C2" w14:paraId="5386E572" w14:textId="77777777" w:rsidTr="00D859FD">
        <w:trPr>
          <w:cantSplit/>
          <w:jc w:val="center"/>
        </w:trPr>
        <w:tc>
          <w:tcPr>
            <w:tcW w:w="3119" w:type="dxa"/>
          </w:tcPr>
          <w:p w14:paraId="6445A0DD" w14:textId="77777777" w:rsidR="00CD45DB" w:rsidRPr="00F110C2" w:rsidRDefault="00CD45DB" w:rsidP="00254EC9">
            <w:pPr>
              <w:pStyle w:val="Tabletext"/>
              <w:jc w:val="center"/>
            </w:pPr>
            <w:r w:rsidRPr="00F110C2">
              <w:t>180</w:t>
            </w:r>
          </w:p>
        </w:tc>
        <w:tc>
          <w:tcPr>
            <w:tcW w:w="3119" w:type="dxa"/>
          </w:tcPr>
          <w:p w14:paraId="5E3933D9" w14:textId="77777777" w:rsidR="00CD45DB" w:rsidRPr="00F110C2" w:rsidRDefault="00CD45DB" w:rsidP="00254EC9">
            <w:pPr>
              <w:pStyle w:val="Tabletext"/>
              <w:jc w:val="center"/>
            </w:pPr>
            <w:r w:rsidRPr="00F110C2">
              <w:t>40</w:t>
            </w:r>
          </w:p>
        </w:tc>
      </w:tr>
      <w:tr w:rsidR="00CD45DB" w:rsidRPr="00F110C2" w14:paraId="2E1D2781" w14:textId="77777777" w:rsidTr="00D859FD">
        <w:trPr>
          <w:cantSplit/>
          <w:jc w:val="center"/>
        </w:trPr>
        <w:tc>
          <w:tcPr>
            <w:tcW w:w="3119" w:type="dxa"/>
          </w:tcPr>
          <w:p w14:paraId="791D298B" w14:textId="77777777" w:rsidR="00CD45DB" w:rsidRPr="00F110C2" w:rsidRDefault="00CD45DB" w:rsidP="00254EC9">
            <w:pPr>
              <w:pStyle w:val="Tabletext"/>
              <w:jc w:val="center"/>
            </w:pPr>
            <w:r w:rsidRPr="00F110C2">
              <w:t>250</w:t>
            </w:r>
          </w:p>
        </w:tc>
        <w:tc>
          <w:tcPr>
            <w:tcW w:w="3119" w:type="dxa"/>
          </w:tcPr>
          <w:p w14:paraId="6ECF9F3F" w14:textId="77777777" w:rsidR="00CD45DB" w:rsidRPr="00F110C2" w:rsidRDefault="00CD45DB" w:rsidP="00254EC9">
            <w:pPr>
              <w:pStyle w:val="Tabletext"/>
              <w:jc w:val="center"/>
            </w:pPr>
            <w:r w:rsidRPr="00F110C2">
              <w:t>48</w:t>
            </w:r>
          </w:p>
        </w:tc>
      </w:tr>
    </w:tbl>
    <w:p w14:paraId="2F813DD5" w14:textId="77777777" w:rsidR="00CD45DB" w:rsidRPr="00F110C2" w:rsidRDefault="00CD45DB" w:rsidP="00254EC9">
      <w:pPr>
        <w:pStyle w:val="Tablefin"/>
      </w:pPr>
      <w:bookmarkStart w:id="15" w:name="_Toc358617648"/>
      <w:bookmarkStart w:id="16" w:name="_Toc364824744"/>
      <w:bookmarkStart w:id="17" w:name="_Toc375295571"/>
    </w:p>
    <w:p w14:paraId="0C2DD02D" w14:textId="77777777" w:rsidR="00CD45DB" w:rsidRPr="00F110C2" w:rsidRDefault="00CD45DB" w:rsidP="00254EC9">
      <w:pPr>
        <w:pStyle w:val="Heading1"/>
      </w:pPr>
      <w:r w:rsidRPr="00F110C2">
        <w:t>2</w:t>
      </w:r>
      <w:r w:rsidRPr="00F110C2">
        <w:tab/>
        <w:t>Service fixe numérique: raies spectrales discrètes à l'intérieur des frontières des émissions hors bande</w:t>
      </w:r>
      <w:bookmarkEnd w:id="15"/>
      <w:bookmarkEnd w:id="16"/>
      <w:bookmarkEnd w:id="17"/>
    </w:p>
    <w:p w14:paraId="5497FFE0" w14:textId="77777777" w:rsidR="00CD45DB" w:rsidRPr="00F110C2" w:rsidRDefault="00CD45DB" w:rsidP="00254EC9">
      <w:r w:rsidRPr="00F110C2">
        <w:t>Les raies spectrales discrètes ne sont pas prises en considération dans les gabarits de densité spectrale mais elles doivent être limitées comme suit afin de ne pas dégrader la puissance des rayonnements non désirés produite par le spectre proprement dit:</w:t>
      </w:r>
    </w:p>
    <w:p w14:paraId="664010AF" w14:textId="77777777" w:rsidR="00CD45DB" w:rsidRPr="00F110C2" w:rsidRDefault="00CD45DB" w:rsidP="00254EC9">
      <w:pPr>
        <w:pStyle w:val="Heading2"/>
      </w:pPr>
      <w:r w:rsidRPr="00F110C2">
        <w:t>2.1</w:t>
      </w:r>
      <w:r w:rsidRPr="00F110C2">
        <w:tab/>
        <w:t>Systèmes fonctionnant au-dessus de 30 MHz</w:t>
      </w:r>
    </w:p>
    <w:p w14:paraId="42CD0162" w14:textId="0ACFDB2B" w:rsidR="00CD45DB" w:rsidRPr="00F110C2" w:rsidRDefault="0023743D" w:rsidP="00254EC9">
      <w:pPr>
        <w:pStyle w:val="enumlev1"/>
      </w:pPr>
      <w:r w:rsidRPr="00F110C2">
        <w:t>–</w:t>
      </w:r>
      <w:r w:rsidR="00CD45DB" w:rsidRPr="00F110C2">
        <w:tab/>
        <w:t xml:space="preserve">Raies spectrales comprises dans </w:t>
      </w:r>
      <w:r w:rsidR="00CD45DB" w:rsidRPr="00F110C2">
        <w:sym w:font="Symbol" w:char="F0B1"/>
      </w:r>
      <w:r w:rsidR="00CD45DB" w:rsidRPr="00F110C2">
        <w:t>50% de l'espacement des canaux: aucune limite des émissions dans le domaine hors bande n'est applicable.</w:t>
      </w:r>
    </w:p>
    <w:p w14:paraId="4DBAF773" w14:textId="34FEE0B7" w:rsidR="00CD45DB" w:rsidRPr="00F110C2" w:rsidRDefault="0023743D" w:rsidP="00254EC9">
      <w:pPr>
        <w:pStyle w:val="enumlev1"/>
      </w:pPr>
      <w:r w:rsidRPr="00F110C2">
        <w:t>–</w:t>
      </w:r>
      <w:r w:rsidR="00CD45DB" w:rsidRPr="00F110C2">
        <w:tab/>
        <w:t xml:space="preserve">Puissance moyenne totale de toutes les raies spectrales comprises entre +50% et +150% ou comprises entre </w:t>
      </w:r>
      <w:r w:rsidR="009615D1" w:rsidRPr="00F110C2">
        <w:t>−</w:t>
      </w:r>
      <w:r w:rsidR="00CD45DB" w:rsidRPr="00F110C2">
        <w:t>50% et l'espacement des canaux: 23 dBc.</w:t>
      </w:r>
    </w:p>
    <w:p w14:paraId="18B3D15E" w14:textId="44C95015" w:rsidR="00CD45DB" w:rsidRPr="00F110C2" w:rsidRDefault="0023743D" w:rsidP="00254EC9">
      <w:pPr>
        <w:pStyle w:val="enumlev1"/>
      </w:pPr>
      <w:r w:rsidRPr="00F110C2">
        <w:t>–</w:t>
      </w:r>
      <w:r w:rsidR="00CD45DB" w:rsidRPr="00F110C2">
        <w:tab/>
        <w:t xml:space="preserve">Puissance moyenne totale de toutes les raies spectrales comprises entre +150% et +250% ou entre </w:t>
      </w:r>
      <w:r w:rsidR="009615D1" w:rsidRPr="00F110C2">
        <w:t>−</w:t>
      </w:r>
      <w:r w:rsidR="00CD45DB" w:rsidRPr="00F110C2">
        <w:t xml:space="preserve">150% et </w:t>
      </w:r>
      <w:r w:rsidR="009615D1" w:rsidRPr="00F110C2">
        <w:t>−</w:t>
      </w:r>
      <w:r w:rsidR="00CD45DB" w:rsidRPr="00F110C2">
        <w:t>250% de l'espacement des canaux: 45 dBc.</w:t>
      </w:r>
    </w:p>
    <w:p w14:paraId="4573CDC7" w14:textId="53F95B0C" w:rsidR="00CD45DB" w:rsidRPr="00F110C2" w:rsidRDefault="00CD45DB" w:rsidP="00254EC9">
      <w:pPr>
        <w:pStyle w:val="Note"/>
      </w:pPr>
      <w:r w:rsidRPr="00F110C2">
        <w:t>NOTE 1 </w:t>
      </w:r>
      <w:r w:rsidR="0023743D" w:rsidRPr="00F110C2">
        <w:t>–</w:t>
      </w:r>
      <w:r w:rsidRPr="00F110C2">
        <w:t> Lorsqu'aucun espacement des canaux n'est défini, on peut utiliser la largeur de bande nécessaire.</w:t>
      </w:r>
    </w:p>
    <w:p w14:paraId="06AA21D7" w14:textId="77777777" w:rsidR="00CD45DB" w:rsidRPr="00F110C2" w:rsidRDefault="00CD45DB" w:rsidP="00254EC9">
      <w:pPr>
        <w:pStyle w:val="Heading2"/>
      </w:pPr>
      <w:r w:rsidRPr="00F110C2">
        <w:t>2.2</w:t>
      </w:r>
      <w:r w:rsidRPr="00F110C2">
        <w:tab/>
        <w:t>Systèmes fonctionnant au-dessous de 30 MHz</w:t>
      </w:r>
    </w:p>
    <w:p w14:paraId="47E0E0B7" w14:textId="023754C4" w:rsidR="00CD45DB" w:rsidRPr="00F110C2" w:rsidRDefault="00CD45DB" w:rsidP="00254EC9">
      <w:r w:rsidRPr="00F110C2">
        <w:t>Les raies spectrales se trouvant dans le domaine des émissions hors bande, entre +50% et +250% ou entre </w:t>
      </w:r>
      <w:r w:rsidR="009615D1" w:rsidRPr="00F110C2">
        <w:t>−</w:t>
      </w:r>
      <w:r w:rsidRPr="00F110C2">
        <w:t>50% et </w:t>
      </w:r>
      <w:r w:rsidR="009615D1" w:rsidRPr="00F110C2">
        <w:t>−</w:t>
      </w:r>
      <w:r w:rsidRPr="00F110C2">
        <w:t>250% de la largeur de bande nécessaire, doivent respecter la limite des rayonnements non essentiels telle que définie dans la Recommandation </w:t>
      </w:r>
      <w:hyperlink r:id="rId226" w:history="1">
        <w:r w:rsidRPr="00F110C2">
          <w:t>UIT</w:t>
        </w:r>
        <w:r w:rsidRPr="00F110C2">
          <w:noBreakHyphen/>
          <w:t>R SM.329</w:t>
        </w:r>
      </w:hyperlink>
      <w:r w:rsidRPr="00F110C2">
        <w:t>.</w:t>
      </w:r>
    </w:p>
    <w:p w14:paraId="19199B62" w14:textId="77777777" w:rsidR="00CD45DB" w:rsidRPr="00F110C2" w:rsidRDefault="00CD45DB" w:rsidP="00254EC9">
      <w:pPr>
        <w:pStyle w:val="Heading1"/>
      </w:pPr>
      <w:r w:rsidRPr="00F110C2">
        <w:t>3</w:t>
      </w:r>
      <w:r w:rsidRPr="00F110C2">
        <w:tab/>
        <w:t>Service fixe analogique</w:t>
      </w:r>
    </w:p>
    <w:p w14:paraId="066ABC59" w14:textId="1D17508E" w:rsidR="00CD45DB" w:rsidRPr="00F110C2" w:rsidRDefault="00CD45DB" w:rsidP="00254EC9">
      <w:r w:rsidRPr="00F110C2">
        <w:t>La Commission d'études 9 des radiocommunications </w:t>
      </w:r>
      <w:r w:rsidR="00932E82">
        <w:rPr>
          <w:lang w:val="en-GB"/>
        </w:rPr>
        <w:t>–</w:t>
      </w:r>
      <w:r w:rsidRPr="00F110C2">
        <w:t> Service fixe a décidé en 1991 de ne plus être partisane de la poursuite de l'élaboration de Recommandations sur les systèmes analogiques.</w:t>
      </w:r>
    </w:p>
    <w:p w14:paraId="47C84938" w14:textId="77777777" w:rsidR="00CD45DB" w:rsidRPr="00F110C2" w:rsidRDefault="00CD45DB" w:rsidP="00254EC9">
      <w:r w:rsidRPr="00F110C2">
        <w:t>Même si des systèmes analogiques sont toujours en fonctionnement, il est peu probable que de nouveaux soient mis au point; aucun gabarit de type filet de sécurité n'est donc nécessaire dans la présente Recommandation.</w:t>
      </w:r>
    </w:p>
    <w:p w14:paraId="69ADCD98" w14:textId="5EA3E116" w:rsidR="00CD45DB" w:rsidRPr="00F110C2" w:rsidRDefault="00CD45DB" w:rsidP="00254EC9">
      <w:pPr>
        <w:pStyle w:val="AnnexNoTitle"/>
        <w:outlineLvl w:val="0"/>
      </w:pPr>
      <w:r w:rsidRPr="00F110C2">
        <w:lastRenderedPageBreak/>
        <w:t>Annexe 13</w:t>
      </w:r>
      <w:r w:rsidRPr="00F110C2">
        <w:br/>
      </w:r>
      <w:r w:rsidRPr="00F110C2">
        <w:br/>
        <w:t xml:space="preserve">Mesure des émissions dans le domaine </w:t>
      </w:r>
      <w:r w:rsidR="00144F11" w:rsidRPr="00F110C2">
        <w:br/>
      </w:r>
      <w:r w:rsidRPr="00F110C2">
        <w:t>des émissions hors bande</w:t>
      </w:r>
    </w:p>
    <w:p w14:paraId="4BB541C5" w14:textId="77777777" w:rsidR="00CD45DB" w:rsidRPr="00F110C2" w:rsidRDefault="00CD45DB" w:rsidP="00254EC9">
      <w:pPr>
        <w:pStyle w:val="Heading1"/>
      </w:pPr>
      <w:r w:rsidRPr="00F110C2">
        <w:t>1</w:t>
      </w:r>
      <w:r w:rsidRPr="00F110C2">
        <w:tab/>
        <w:t>Équipements de mesure</w:t>
      </w:r>
    </w:p>
    <w:p w14:paraId="03A8FE95" w14:textId="77777777" w:rsidR="00CD45DB" w:rsidRPr="00F110C2" w:rsidRDefault="00CD45DB" w:rsidP="00254EC9">
      <w:pPr>
        <w:pStyle w:val="Heading2"/>
      </w:pPr>
      <w:r w:rsidRPr="00F110C2">
        <w:t>1.1</w:t>
      </w:r>
      <w:r w:rsidRPr="00F110C2">
        <w:tab/>
        <w:t>Récepteur de mesure sélectif</w:t>
      </w:r>
    </w:p>
    <w:p w14:paraId="053B4FB5" w14:textId="77777777" w:rsidR="00CD45DB" w:rsidRPr="00F110C2" w:rsidRDefault="00CD45DB" w:rsidP="00254EC9">
      <w:r w:rsidRPr="00F110C2">
        <w:t>Pour mesurer la puissance fournie à l'antenne, il faut utiliser un analyseur de spectre ou un autre équipement approprié avec une plage dynamique d'amplitude suffisante pour pouvoir effectuer des mesures précises sur la plage d'affaiblissement spécifiée pour la méthode choisie. Si la plage dynamique est insuffisante pour les mesures requises, on pourra éventuellement appliquer des techniques de filtrage (par exemple filtre de présélection ou filtre coupe-bande) pour pouvoir mesurer les émissions dans le domaine des émissions hors bande.</w:t>
      </w:r>
    </w:p>
    <w:p w14:paraId="4F6D815C" w14:textId="77777777" w:rsidR="00CD45DB" w:rsidRPr="00F110C2" w:rsidRDefault="00CD45DB" w:rsidP="00254EC9">
      <w:r w:rsidRPr="00F110C2">
        <w:t>Il existe principalement deux façons de spécifier les limites des émissions dans le domaine des émissions hors bande, a) la méthode fondée sur le gabarit spectral et b) la méthode consistant à spécifier la puissance dans le canal adjacent et celle dans le canal deuxième adjacent.</w:t>
      </w:r>
    </w:p>
    <w:p w14:paraId="37087F83" w14:textId="77777777" w:rsidR="00CD45DB" w:rsidRPr="00F110C2" w:rsidRDefault="00CD45DB" w:rsidP="00254EC9">
      <w:pPr>
        <w:pStyle w:val="enumlev1"/>
      </w:pPr>
      <w:r w:rsidRPr="00F110C2">
        <w:t>a)</w:t>
      </w:r>
      <w:r w:rsidRPr="00F110C2">
        <w:tab/>
        <w:t>Dans le cas de la méthode fondée sur le gabarit des émissions hors bande (voir l'Annexe 1), le récepteur effectuant la mesure doit pouvoir afficher simultanément la courbe limite et la densité spectrale de puissance de l'émission. Il doit aussi pouvoir saisir les segments de droite nécessaires pour décrire et enregistrer les divers segments des courbes limites, une équation algébrique étant parfois nécessaire.</w:t>
      </w:r>
    </w:p>
    <w:p w14:paraId="5C109D4E" w14:textId="77777777" w:rsidR="00CD45DB" w:rsidRPr="00F110C2" w:rsidRDefault="00CD45DB" w:rsidP="00254EC9">
      <w:pPr>
        <w:pStyle w:val="enumlev1"/>
      </w:pPr>
      <w:r w:rsidRPr="00F110C2">
        <w:t>b)</w:t>
      </w:r>
      <w:r w:rsidRPr="00F110C2">
        <w:tab/>
        <w:t>Dans le cas de la méthode fondée sur la puissance dans le canal adjacent et dans le canal deuxième adjacent (voir l'Annexe 1), le récepteur effectuant la mesure doit pouvoir calculer la puissance dans une largeur de bande spécifiée en procédant à la sommation numérique d'un ensemble de mesures faites dans des sous-bandes plus petites. Une autre solution consiste à utiliser des filtres de canal afin de mesurer directement la puissance dans le canal adjacent ou dans le canal deuxième adjacent. Le récepteur doit par ailleurs pouvoir saisir, enregistrer et afficher les bords de canal.</w:t>
      </w:r>
    </w:p>
    <w:p w14:paraId="046F9594" w14:textId="77777777" w:rsidR="00CD45DB" w:rsidRPr="00F110C2" w:rsidRDefault="00CD45DB" w:rsidP="00254EC9">
      <w:pPr>
        <w:pStyle w:val="Heading3"/>
      </w:pPr>
      <w:r w:rsidRPr="00F110C2">
        <w:t>1.1.1</w:t>
      </w:r>
      <w:r w:rsidRPr="00F110C2">
        <w:tab/>
        <w:t>Détecteurs des équipements de mesure</w:t>
      </w:r>
    </w:p>
    <w:p w14:paraId="47C9F2E2" w14:textId="77777777" w:rsidR="00CD45DB" w:rsidRPr="00F110C2" w:rsidRDefault="00CD45DB" w:rsidP="00254EC9">
      <w:r w:rsidRPr="00F110C2">
        <w:t>Le récepteur de mesure peut comprendre un détecteur de valeur quadratique moyenne, un détecteur de valeur d'échantillon et un détecteur de valeur de crête. Il est important de noter que la valeur signalée par ces détecteurs variera généralement en fonction des caractéristiques du signal analysé, de sorte qu'il est important de corriger les lectures faites par le détecteur (traitement du signal) pour une mesure donnée, si un seul des détecteurs est présent.</w:t>
      </w:r>
    </w:p>
    <w:p w14:paraId="297790B5" w14:textId="680C4471" w:rsidR="00CD45DB" w:rsidRPr="00F110C2" w:rsidRDefault="00CD45DB" w:rsidP="00254EC9">
      <w:r w:rsidRPr="00F110C2">
        <w:t xml:space="preserve">De nombreux analyseurs utilisent la fonction de détection classique consistant à faire passer le signal dans un amplificateur logarithmique, puis dans un détecteur d'enveloppe. Il en résulte une erreur de traitement de signal pour les signaux qui ne sont pas à onde entretenue car la moyenne de la valeur logarithmique ne sera pas égale au logarithme de la valeur moyenne. Lors de la mesure du bruit gaussien, il en résulte que la valeur logarithmique moyenne signalée est réduite de 1,45 dB et il faut par ailleurs ajouter 1,05 dB afin de compenser la différence entre la valeur linéaire moyenne et la puissance moyenne de cette caractéristique de signal. Ainsi, si on mesure la valeur linéaire moyenne du bruit gaussien et non la valeur quadratique moyenne, on aura une erreur systématique de </w:t>
      </w:r>
      <w:r w:rsidR="00F91EA9" w:rsidRPr="00F110C2">
        <w:t>−</w:t>
      </w:r>
      <w:r w:rsidRPr="00F110C2">
        <w:t>2,5 dB.</w:t>
      </w:r>
    </w:p>
    <w:p w14:paraId="6AF749F7" w14:textId="77777777" w:rsidR="00CD45DB" w:rsidRPr="00F110C2" w:rsidRDefault="00CD45DB" w:rsidP="00254EC9">
      <w:pPr>
        <w:keepNext/>
        <w:keepLines/>
      </w:pPr>
      <w:r w:rsidRPr="00F110C2">
        <w:lastRenderedPageBreak/>
        <w:t>En ce qui concerne les analyseurs dotés d'une capacité de traitement des signaux numériques, ces corrections ne sont pas nécessaires car ces analyseurs assurent une fonction de mesure de la puissance moyenne vraie en numérisant d'abord le signal entrant et en convertissant la puissance numériquement.</w:t>
      </w:r>
    </w:p>
    <w:p w14:paraId="2BDD7D3F" w14:textId="3196636C" w:rsidR="00CD45DB" w:rsidRPr="00F110C2" w:rsidRDefault="00CD45DB" w:rsidP="00254EC9">
      <w:r w:rsidRPr="00F110C2">
        <w:t>Il est possible de minimiser voire d'éliminer les erreurs de ce type en mesurant un rapport de puissance et non une puissance absolue, si les réglages restent constants. Cette condition est généralement vérifiée pour les analyseurs dotés d'une capacité de rapport de puissance dans le canal adjacent. Toutefois, cela s'applique uniquement lorsque les statistiques de signal dans le canal occupé et dans le canal adjacent sont les mêmes (par exemple gaussiennes). La Fig</w:t>
      </w:r>
      <w:r w:rsidR="00144F11" w:rsidRPr="00F110C2">
        <w:t>ure</w:t>
      </w:r>
      <w:r w:rsidRPr="00F110C2">
        <w:t> 53 donne un exemple pour lequel ce n'est pas le cas.</w:t>
      </w:r>
    </w:p>
    <w:p w14:paraId="6B1A9EBE" w14:textId="77777777" w:rsidR="00CD45DB" w:rsidRPr="00F110C2" w:rsidRDefault="00CD45DB" w:rsidP="00254EC9">
      <w:pPr>
        <w:pStyle w:val="FigureNo"/>
      </w:pPr>
      <w:r w:rsidRPr="00F110C2">
        <w:t>figure 53</w:t>
      </w:r>
    </w:p>
    <w:p w14:paraId="7748DC73" w14:textId="77777777" w:rsidR="00CD45DB" w:rsidRPr="00F110C2" w:rsidRDefault="00CD45DB" w:rsidP="00254EC9">
      <w:pPr>
        <w:pStyle w:val="Figuretitle"/>
      </w:pPr>
      <w:r w:rsidRPr="00F110C2">
        <w:t>Spectre d'une émission à accès multiple par répartition en code (IS95) sur la liaison montante</w:t>
      </w:r>
      <w:r w:rsidRPr="00F110C2">
        <w:br/>
        <w:t>déterminé à partir de la fonction de mesure de la puissance moyenne vraie (partie</w:t>
      </w:r>
      <w:r w:rsidRPr="00F110C2">
        <w:br/>
        <w:t>supérieure) et à partir du calcul de la moyenne de la trace (partie inférieure)</w:t>
      </w:r>
    </w:p>
    <w:p w14:paraId="413E2AAD" w14:textId="77777777" w:rsidR="00CD45DB" w:rsidRPr="00F110C2" w:rsidRDefault="00CD45DB" w:rsidP="00254EC9">
      <w:pPr>
        <w:pStyle w:val="Figure"/>
      </w:pPr>
      <w:r w:rsidRPr="00F110C2">
        <w:drawing>
          <wp:inline distT="0" distB="0" distL="0" distR="0" wp14:anchorId="57859533" wp14:editId="3AB9B3E6">
            <wp:extent cx="4608585" cy="6120396"/>
            <wp:effectExtent l="0" t="0" r="1905" b="0"/>
            <wp:docPr id="409310936" name="Picture 13" descr="A graph with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10936" name="Picture 13" descr="A graph with lines and text&#10;&#10;Description automatically generated"/>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4608585" cy="6120396"/>
                    </a:xfrm>
                    <a:prstGeom prst="rect">
                      <a:avLst/>
                    </a:prstGeom>
                  </pic:spPr>
                </pic:pic>
              </a:graphicData>
            </a:graphic>
          </wp:inline>
        </w:drawing>
      </w:r>
    </w:p>
    <w:p w14:paraId="08F81547" w14:textId="77777777" w:rsidR="00CD45DB" w:rsidRPr="00F110C2" w:rsidRDefault="00CD45DB" w:rsidP="00254EC9">
      <w:pPr>
        <w:pStyle w:val="Normalaftertitle"/>
      </w:pPr>
      <w:r w:rsidRPr="00F110C2">
        <w:lastRenderedPageBreak/>
        <w:t>Les différences de niveau ne sont pas les mêmes entre le canal occupé et le canal adjacent.</w:t>
      </w:r>
    </w:p>
    <w:p w14:paraId="305503E2" w14:textId="77777777" w:rsidR="00CD45DB" w:rsidRPr="00F110C2" w:rsidRDefault="00CD45DB" w:rsidP="00254EC9">
      <w:pPr>
        <w:pStyle w:val="Heading3"/>
      </w:pPr>
      <w:r w:rsidRPr="00F110C2">
        <w:t>1.1.2</w:t>
      </w:r>
      <w:r w:rsidRPr="00F110C2">
        <w:tab/>
        <w:t>Largeurs de bande de résolution</w:t>
      </w:r>
    </w:p>
    <w:p w14:paraId="4882CCB1" w14:textId="77777777" w:rsidR="00CD45DB" w:rsidRPr="00F110C2" w:rsidRDefault="00CD45DB" w:rsidP="00254EC9">
      <w:r w:rsidRPr="00F110C2">
        <w:t>Idéalement, la largeur de bande de résolution devrait être la valeur recommandée de la largeur de bande de référence. Pour la densité spectrale de puissance et la puissance moyenne (dBc), la largeur de bande doit être la même pour les mesures dans la bande et celles en dehors de la bande. Toutefois, la valeur effective de la largeur de bande de résolution du filtre de fréquence intermédiaire utilisé dans un analyseur peut ne pas être égale à celle spécifiée même s'il est possible que les paramètres correspondent. Une correction d'erreur sera alors nécessaire, ne dépassant généralement pas 1,5 dB, afin d'améliorer la précision lors de la mesure de la densité spectrale de puissance d'un signal dans la largeur de bande du filtre.</w:t>
      </w:r>
    </w:p>
    <w:p w14:paraId="5CF3891A" w14:textId="77777777" w:rsidR="00CD45DB" w:rsidRPr="00F110C2" w:rsidRDefault="00CD45DB" w:rsidP="00254EC9">
      <w:r w:rsidRPr="00F110C2">
        <w:t>Comme les analyseurs dotés de fonctions de traitement des signaux numériques sont aussi dotés d'un filtrage numérique, la mise en œuvre de la largeur de bande de filtre de ces analyseurs est généralement plus précise. Par ailleurs, toute correction nécessaire peut être prise en compte dans l'algorithme de traitement numérique; par exemple, la correction de la largeur de bande de bruit effective pour le type de filtre employé dans l'analyseur qui est importante pour la mesure d'émissions de type bruit provenant de transmissions modulées numériquement.</w:t>
      </w:r>
    </w:p>
    <w:p w14:paraId="05DF8C61" w14:textId="77777777" w:rsidR="00CD45DB" w:rsidRPr="00F110C2" w:rsidRDefault="00CD45DB" w:rsidP="00254EC9">
      <w:r w:rsidRPr="00F110C2">
        <w:t>Il est possible de minimiser voire d'éliminer les erreurs de ce type en mesurant un rapport de puissance et non une puissance absolue, si les réglages restent constants. Cette condition est généralement vérifiée pour les analyseurs de signal dotés d'une capacité de rapport de puissance dans le canal adjacent. Toutefois, cela s'applique uniquement lorsque les statistiques de signal dans le canal occupé et dans le canal adjacent sont les mêmes (par exemple gaussiennes).</w:t>
      </w:r>
    </w:p>
    <w:p w14:paraId="6C192839" w14:textId="77777777" w:rsidR="00CD45DB" w:rsidRPr="00F110C2" w:rsidRDefault="00CD45DB" w:rsidP="00254EC9">
      <w:r w:rsidRPr="00F110C2">
        <w:t>En ce qui concerne la méthode fondée sur la puissance dans le canal adjacent et dans le canal deuxième adjacent, on peut utiliser des filtres de canal à forte sélectivité pour la mesure de la puissance dans le canal adjacent.</w:t>
      </w:r>
    </w:p>
    <w:p w14:paraId="1C28FB62" w14:textId="0BE0D03A" w:rsidR="00CD45DB" w:rsidRPr="00F110C2" w:rsidRDefault="00CD45DB" w:rsidP="00254EC9">
      <w:pPr>
        <w:pStyle w:val="Note"/>
      </w:pPr>
      <w:r w:rsidRPr="00F110C2">
        <w:t>NOTE 1 </w:t>
      </w:r>
      <w:r w:rsidR="0023743D" w:rsidRPr="00F110C2">
        <w:t>–</w:t>
      </w:r>
      <w:r w:rsidRPr="00F110C2">
        <w:t> Si la largeur de bande de mesure est différente de la largeur de bande de référence, une méthode est nécessaire pour convertir les résultats dans la largeur de bande de référence.</w:t>
      </w:r>
    </w:p>
    <w:p w14:paraId="6B40AEFF" w14:textId="7737E57F" w:rsidR="00CD45DB" w:rsidRPr="00F110C2" w:rsidRDefault="00CD45DB" w:rsidP="00254EC9">
      <w:pPr>
        <w:pStyle w:val="Note"/>
      </w:pPr>
      <w:r w:rsidRPr="00F110C2">
        <w:t>NOTE 2 </w:t>
      </w:r>
      <w:r w:rsidR="0023743D" w:rsidRPr="00F110C2">
        <w:t>–</w:t>
      </w:r>
      <w:r w:rsidRPr="00F110C2">
        <w:t xml:space="preserve"> Lorsqu'on utilise une largeur de bande de mesure de l'ordre de </w:t>
      </w:r>
      <w:r w:rsidRPr="00F110C2">
        <w:rPr>
          <w:i/>
          <w:iCs/>
        </w:rPr>
        <w:t>n</w:t>
      </w:r>
      <w:r w:rsidRPr="00F110C2">
        <w:t>% de la largeur de bande occupée, on doit tenir compte d'un facteur de surcharge qui dépend du type de signal à mesurer. Ce facteur de surcharge sera approximativement égal à (10 log (100/</w:t>
      </w:r>
      <w:r w:rsidRPr="00F110C2">
        <w:rPr>
          <w:i/>
          <w:iCs/>
        </w:rPr>
        <w:t>n</w:t>
      </w:r>
      <w:r w:rsidRPr="00F110C2">
        <w:t>) + 14) dB pour les émissions de type bruit et peut atteindre 20</w:t>
      </w:r>
      <w:r w:rsidR="00144F11" w:rsidRPr="00F110C2">
        <w:t> </w:t>
      </w:r>
      <w:r w:rsidRPr="00F110C2">
        <w:t>log</w:t>
      </w:r>
      <w:r w:rsidR="00144F11" w:rsidRPr="00F110C2">
        <w:t> </w:t>
      </w:r>
      <w:r w:rsidRPr="00F110C2">
        <w:t>(100/</w:t>
      </w:r>
      <w:r w:rsidRPr="00F110C2">
        <w:rPr>
          <w:i/>
          <w:iCs/>
        </w:rPr>
        <w:t>n</w:t>
      </w:r>
      <w:r w:rsidRPr="00F110C2">
        <w:t>) dB pour les émissions par impulsions (par exemple pour les radars).</w:t>
      </w:r>
    </w:p>
    <w:p w14:paraId="2B866905" w14:textId="77777777" w:rsidR="00CD45DB" w:rsidRPr="00F110C2" w:rsidRDefault="00CD45DB" w:rsidP="00254EC9">
      <w:pPr>
        <w:pStyle w:val="Heading3"/>
      </w:pPr>
      <w:r w:rsidRPr="00F110C2">
        <w:t>1.1.3</w:t>
      </w:r>
      <w:r w:rsidRPr="00F110C2">
        <w:tab/>
        <w:t>Largeur de bande vidéo</w:t>
      </w:r>
    </w:p>
    <w:p w14:paraId="5E77AC5F" w14:textId="77777777" w:rsidR="00CD45DB" w:rsidRPr="00F110C2" w:rsidRDefault="00CD45DB" w:rsidP="00254EC9">
      <w:r w:rsidRPr="00F110C2">
        <w:t>Pour la mesure de la puissance de crête, il faut que la largeur de bande vidéo soit au moins égale à la largeur de bande de résolution et qu'elle soit de préférence de trois à cinq fois supérieure. Pour la mesure de la puissance de crête dans le canal adjacent et dans le canal deuxième adjacent, on peut utiliser une combinaison de filtres de canal très sélectifs et de détecteurs de valeur de crête.</w:t>
      </w:r>
    </w:p>
    <w:p w14:paraId="301CA443" w14:textId="77777777" w:rsidR="00CD45DB" w:rsidRPr="00F110C2" w:rsidRDefault="00CD45DB" w:rsidP="00254EC9">
      <w:pPr>
        <w:rPr>
          <w:b/>
          <w:i/>
        </w:rPr>
      </w:pPr>
      <w:r w:rsidRPr="00F110C2">
        <w:t>Pour la mesure de la puissance moyenne, l'utilisation d'un filtre à bande étroite (par exemple 10 Hz) fait intervenir un calcul de moyenne logarithmique. Cela signifie que la puissance moyenne résultante est inférieure à la puissance effective, l'amplitude de l'erreur étant fonction des statistiques de signal. Ce type d'erreur est évité dans les analyseurs dotés de la fonction de mesure de la puissance moyenne vraie. En ce qui concerne la méthode fondée sur la puissance dans le canal adjacent et dans le canal deuxième adjacent, on peut éviter ce type d'erreur en utilisant des filtres de canal très sélectifs ou une approche par intégration.</w:t>
      </w:r>
    </w:p>
    <w:p w14:paraId="55D65975" w14:textId="77777777" w:rsidR="00CD45DB" w:rsidRPr="00F110C2" w:rsidRDefault="00CD45DB" w:rsidP="00254EC9">
      <w:pPr>
        <w:pStyle w:val="Heading3"/>
      </w:pPr>
      <w:r w:rsidRPr="00F110C2">
        <w:lastRenderedPageBreak/>
        <w:t>1.1.4</w:t>
      </w:r>
      <w:r w:rsidRPr="00F110C2">
        <w:tab/>
        <w:t>Durée de balayage</w:t>
      </w:r>
    </w:p>
    <w:p w14:paraId="1B32C369" w14:textId="77777777" w:rsidR="00CD45DB" w:rsidRPr="00F110C2" w:rsidRDefault="00CD45DB" w:rsidP="00254EC9">
      <w:pPr>
        <w:keepNext/>
        <w:keepLines/>
        <w:rPr>
          <w:szCs w:val="24"/>
        </w:rPr>
      </w:pPr>
      <w:r w:rsidRPr="00F110C2">
        <w:rPr>
          <w:szCs w:val="24"/>
        </w:rPr>
        <w:t>Lorsqu'on utilise des filtres à largeur de bande de résolution étroite, le balayage est lent. En outre, la pondération quadratique moyenne destinée à moyenner les signaux de type bruit et la détection de valeur de crête destinée à détecter la crête la plus élevée à chaque fréquence prennent du temps, ce qui est susceptible d'augmenter la durée de balayage requise par un facteur 10 ou supérieur.</w:t>
      </w:r>
    </w:p>
    <w:p w14:paraId="057F47D3" w14:textId="77777777" w:rsidR="00CD45DB" w:rsidRPr="00F110C2" w:rsidRDefault="00CD45DB" w:rsidP="00254EC9">
      <w:pPr>
        <w:rPr>
          <w:szCs w:val="24"/>
        </w:rPr>
      </w:pPr>
      <w:r w:rsidRPr="00F110C2">
        <w:rPr>
          <w:szCs w:val="24"/>
        </w:rPr>
        <w:t xml:space="preserve">Dans l'hypothèse d'une largeur de bande de résolution </w:t>
      </w:r>
      <w:r w:rsidRPr="00F110C2">
        <w:rPr>
          <w:i/>
          <w:iCs/>
          <w:szCs w:val="24"/>
        </w:rPr>
        <w:t>B</w:t>
      </w:r>
      <w:r w:rsidRPr="00F110C2">
        <w:rPr>
          <w:i/>
          <w:iCs/>
          <w:position w:val="-4"/>
          <w:szCs w:val="24"/>
          <w:vertAlign w:val="subscript"/>
        </w:rPr>
        <w:t>res</w:t>
      </w:r>
      <w:r w:rsidRPr="00F110C2">
        <w:rPr>
          <w:szCs w:val="24"/>
        </w:rPr>
        <w:t xml:space="preserve"> de 1% et d'un intervalle de 500% de la largeur de bande occupée, la durée de balayage minimale </w:t>
      </w:r>
      <w:r w:rsidRPr="00F110C2">
        <w:rPr>
          <w:i/>
          <w:iCs/>
          <w:szCs w:val="24"/>
        </w:rPr>
        <w:t>T</w:t>
      </w:r>
      <w:r w:rsidRPr="00F110C2">
        <w:rPr>
          <w:i/>
          <w:iCs/>
          <w:position w:val="-4"/>
          <w:szCs w:val="24"/>
          <w:vertAlign w:val="subscript"/>
        </w:rPr>
        <w:t>smin</w:t>
      </w:r>
      <w:r w:rsidRPr="00F110C2">
        <w:rPr>
          <w:szCs w:val="24"/>
        </w:rPr>
        <w:t xml:space="preserve"> vaudra approximativement:</w:t>
      </w:r>
    </w:p>
    <w:p w14:paraId="74E92575" w14:textId="77777777" w:rsidR="00987AA5" w:rsidRPr="00F110C2" w:rsidRDefault="00987AA5" w:rsidP="00254EC9">
      <w:pPr>
        <w:pStyle w:val="Equation"/>
      </w:pPr>
      <w:r w:rsidRPr="00F110C2">
        <w:tab/>
      </w:r>
      <w:r w:rsidRPr="00F110C2">
        <w:tab/>
      </w:r>
      <w:r w:rsidRPr="00F110C2">
        <w:rPr>
          <w:i/>
          <w:iCs/>
        </w:rPr>
        <w:t>T</w:t>
      </w:r>
      <w:r w:rsidRPr="00F110C2">
        <w:rPr>
          <w:i/>
          <w:iCs/>
          <w:vertAlign w:val="subscript"/>
        </w:rPr>
        <w:t>smin</w:t>
      </w:r>
      <w:r w:rsidRPr="00F110C2">
        <w:t> = 1</w:t>
      </w:r>
      <w:r w:rsidRPr="00F110C2">
        <w:rPr>
          <w:rFonts w:ascii="Tms Rmn" w:hAnsi="Tms Rmn"/>
          <w:sz w:val="12"/>
        </w:rPr>
        <w:t> </w:t>
      </w:r>
      <w:r w:rsidRPr="00F110C2">
        <w:t>000 (1/</w:t>
      </w:r>
      <w:r w:rsidRPr="00F110C2">
        <w:rPr>
          <w:i/>
          <w:iCs/>
        </w:rPr>
        <w:t>B</w:t>
      </w:r>
      <w:r w:rsidRPr="00F110C2">
        <w:rPr>
          <w:i/>
          <w:iCs/>
          <w:vertAlign w:val="subscript"/>
        </w:rPr>
        <w:t>res</w:t>
      </w:r>
      <w:r w:rsidRPr="00F110C2">
        <w:t>)</w:t>
      </w:r>
    </w:p>
    <w:p w14:paraId="4DEE00F7" w14:textId="77777777" w:rsidR="00CD45DB" w:rsidRPr="00F110C2" w:rsidRDefault="00CD45DB" w:rsidP="00254EC9">
      <w:pPr>
        <w:rPr>
          <w:szCs w:val="24"/>
        </w:rPr>
      </w:pPr>
      <w:r w:rsidRPr="00F110C2">
        <w:rPr>
          <w:szCs w:val="24"/>
        </w:rPr>
        <w:t xml:space="preserve">Par exemple, pour une largeur de bande occupée de 10 kHz, une largeur de bande de résolution de 100 Hz sera égale à la largeur de bande de référence. En conséquence, la durée de balayage minimale sera </w:t>
      </w:r>
      <w:r w:rsidRPr="00F110C2">
        <w:rPr>
          <w:i/>
          <w:iCs/>
          <w:szCs w:val="24"/>
        </w:rPr>
        <w:t>T</w:t>
      </w:r>
      <w:r w:rsidRPr="00F110C2">
        <w:rPr>
          <w:i/>
          <w:iCs/>
          <w:position w:val="-4"/>
          <w:szCs w:val="24"/>
          <w:vertAlign w:val="subscript"/>
        </w:rPr>
        <w:t>smin</w:t>
      </w:r>
      <w:r w:rsidRPr="00F110C2">
        <w:rPr>
          <w:szCs w:val="24"/>
        </w:rPr>
        <w:t xml:space="preserve"> = 10 s.</w:t>
      </w:r>
    </w:p>
    <w:p w14:paraId="3EA7D806" w14:textId="77777777" w:rsidR="00CD45DB" w:rsidRPr="00F110C2" w:rsidRDefault="00CD45DB" w:rsidP="00254EC9">
      <w:pPr>
        <w:keepLines/>
        <w:rPr>
          <w:szCs w:val="24"/>
        </w:rPr>
      </w:pPr>
      <w:r w:rsidRPr="00F110C2">
        <w:rPr>
          <w:szCs w:val="24"/>
        </w:rPr>
        <w:t>La durée de balayage et la durée pour calculer la moyenne peuvent être considérablement réduites si on utilise des techniques à transformée de Fourier rapide, notamment pour les signaux à bande étroite, et si on utilise des filtres de canal pour la mesure directe de la puissance dans le canal adjacent ou dans le canal deuxième adjacent.</w:t>
      </w:r>
    </w:p>
    <w:p w14:paraId="48174548" w14:textId="77777777" w:rsidR="00CD45DB" w:rsidRPr="00F110C2" w:rsidRDefault="00CD45DB" w:rsidP="00254EC9">
      <w:pPr>
        <w:rPr>
          <w:szCs w:val="24"/>
        </w:rPr>
      </w:pPr>
      <w:r w:rsidRPr="00F110C2">
        <w:rPr>
          <w:szCs w:val="24"/>
        </w:rPr>
        <w:t xml:space="preserve">En ce qui concerne les impulsions déterministes (par exemple pour les radars), il faut prendre au moins la durée d'un cycle </w:t>
      </w:r>
      <w:r w:rsidRPr="00F110C2">
        <w:rPr>
          <w:i/>
          <w:iCs/>
          <w:szCs w:val="24"/>
        </w:rPr>
        <w:t>T</w:t>
      </w:r>
      <w:r w:rsidRPr="00F110C2">
        <w:rPr>
          <w:i/>
          <w:iCs/>
          <w:position w:val="-4"/>
          <w:szCs w:val="24"/>
          <w:vertAlign w:val="subscript"/>
        </w:rPr>
        <w:t>c</w:t>
      </w:r>
      <w:r w:rsidRPr="00F110C2">
        <w:rPr>
          <w:szCs w:val="24"/>
        </w:rPr>
        <w:t xml:space="preserve"> par mesure en cas de synchronisation entre la mesure et les impulsions radars. Dans l'hypothèse de 500 mesures, la durée de balayage minimale </w:t>
      </w:r>
      <w:r w:rsidRPr="00F110C2">
        <w:rPr>
          <w:i/>
          <w:iCs/>
          <w:szCs w:val="24"/>
        </w:rPr>
        <w:t>T</w:t>
      </w:r>
      <w:r w:rsidRPr="00F110C2">
        <w:rPr>
          <w:i/>
          <w:iCs/>
          <w:position w:val="-4"/>
          <w:szCs w:val="24"/>
          <w:vertAlign w:val="subscript"/>
        </w:rPr>
        <w:t>smin</w:t>
      </w:r>
      <w:r w:rsidRPr="00F110C2">
        <w:rPr>
          <w:szCs w:val="24"/>
        </w:rPr>
        <w:t xml:space="preserve"> est égale à 500 </w:t>
      </w:r>
      <w:r w:rsidRPr="00F110C2">
        <w:rPr>
          <w:i/>
          <w:iCs/>
          <w:szCs w:val="24"/>
        </w:rPr>
        <w:t>T</w:t>
      </w:r>
      <w:r w:rsidRPr="00F110C2">
        <w:rPr>
          <w:i/>
          <w:iCs/>
          <w:position w:val="-4"/>
          <w:szCs w:val="24"/>
          <w:vertAlign w:val="subscript"/>
        </w:rPr>
        <w:t>c</w:t>
      </w:r>
      <w:r w:rsidRPr="00F110C2">
        <w:rPr>
          <w:szCs w:val="24"/>
        </w:rPr>
        <w:t>. En l'absence de synchronisation, il faudra multiplier par 2 la durée de balayage minimale.</w:t>
      </w:r>
    </w:p>
    <w:p w14:paraId="3FC9B299" w14:textId="77777777" w:rsidR="00CD45DB" w:rsidRPr="00F110C2" w:rsidRDefault="00CD45DB" w:rsidP="00254EC9">
      <w:pPr>
        <w:pStyle w:val="Heading2"/>
      </w:pPr>
      <w:r w:rsidRPr="00F110C2">
        <w:t>1.2</w:t>
      </w:r>
      <w:r w:rsidRPr="00F110C2">
        <w:tab/>
        <w:t>Coupleur</w:t>
      </w:r>
    </w:p>
    <w:p w14:paraId="37D57073" w14:textId="77777777" w:rsidR="00CD45DB" w:rsidRPr="00F110C2" w:rsidRDefault="00CD45DB" w:rsidP="00254EC9">
      <w:r w:rsidRPr="00F110C2">
        <w:t>Les mesures sont faites au moyen d'un coupleur directif pouvant supporter la puissance de l'émission à la fréquence fondamentale (voir la Fig. 54). Pour faire en sorte que le résultat de mesure acquis soit correct, il est nécessaire que ce coupleur présente l'impédance correcte requise pour les deux états lors de la commutation entre le générateur de signal et l'émetteur sous test.</w:t>
      </w:r>
    </w:p>
    <w:p w14:paraId="1247AF97" w14:textId="77777777" w:rsidR="00CD45DB" w:rsidRPr="00F110C2" w:rsidRDefault="00CD45DB" w:rsidP="00254EC9">
      <w:pPr>
        <w:pStyle w:val="Heading2"/>
      </w:pPr>
      <w:r w:rsidRPr="00F110C2">
        <w:t>1.3</w:t>
      </w:r>
      <w:r w:rsidRPr="00F110C2">
        <w:tab/>
        <w:t>Charge terminale</w:t>
      </w:r>
    </w:p>
    <w:p w14:paraId="6327F617" w14:textId="77777777" w:rsidR="00CD45DB" w:rsidRPr="00F110C2" w:rsidRDefault="00CD45DB" w:rsidP="00254EC9">
      <w:r w:rsidRPr="00F110C2">
        <w:t>Pour mesurer la puissance des émissions dans le domaine des émissions hors bande au moyen de la Méthode de mesure 1 (voir le § 3), l'émetteur doit être raccordé à une charge de test ou à une charge terminale. Le niveau des émissions dans le domaine des rayonnements non essentiels dépend de l'adaptation d'impédance entre l'émetteur, la ligne de transmission et la charge de test.</w:t>
      </w:r>
    </w:p>
    <w:p w14:paraId="0F18C014" w14:textId="77777777" w:rsidR="00CD45DB" w:rsidRPr="00F110C2" w:rsidRDefault="00CD45DB" w:rsidP="00254EC9">
      <w:pPr>
        <w:pStyle w:val="Heading2"/>
      </w:pPr>
      <w:r w:rsidRPr="00F110C2">
        <w:t>1.4</w:t>
      </w:r>
      <w:r w:rsidRPr="00F110C2">
        <w:tab/>
        <w:t>Antenne de mesure</w:t>
      </w:r>
    </w:p>
    <w:p w14:paraId="438D6C13" w14:textId="77777777" w:rsidR="00CD45DB" w:rsidRPr="00F110C2" w:rsidRDefault="00CD45DB" w:rsidP="00254EC9">
      <w:r w:rsidRPr="00F110C2">
        <w:t>Les mesures au moyen de la Méthode 2 sont faites avec une antenne doublet accordée ou une antenne de référence dont le gain est connu par rapport à une antenne isotrope.</w:t>
      </w:r>
    </w:p>
    <w:p w14:paraId="2377E035" w14:textId="77777777" w:rsidR="00CD45DB" w:rsidRPr="00F110C2" w:rsidRDefault="00CD45DB" w:rsidP="00254EC9">
      <w:pPr>
        <w:pStyle w:val="Heading2"/>
      </w:pPr>
      <w:r w:rsidRPr="00F110C2">
        <w:t>1.5</w:t>
      </w:r>
      <w:r w:rsidRPr="00F110C2">
        <w:tab/>
        <w:t>Conditions de modulation</w:t>
      </w:r>
    </w:p>
    <w:p w14:paraId="48E119C9" w14:textId="77777777" w:rsidR="00CD45DB" w:rsidRPr="00F110C2" w:rsidRDefault="00CD45DB" w:rsidP="00254EC9">
      <w:r w:rsidRPr="00F110C2">
        <w:t>Les conditions de modulation peuvent être critiques pour l'évaluation de la qualité de fonctionnement des équipements et elles doivent être les mêmes pour les mesures de puissance dans la bande et les mesures de puissance en dehors de la bande. Chaque fois que c'est possible, les mesures sont faites avec la modulation nominale maximale dans les conditions normales de fonctionnement. Quelques exemples sont donnés ci-après.</w:t>
      </w:r>
    </w:p>
    <w:p w14:paraId="7EA70743" w14:textId="77777777" w:rsidR="00CD45DB" w:rsidRPr="00F110C2" w:rsidRDefault="00CD45DB" w:rsidP="00254EC9">
      <w:pPr>
        <w:pStyle w:val="Heading3"/>
      </w:pPr>
      <w:r w:rsidRPr="00F110C2">
        <w:lastRenderedPageBreak/>
        <w:t>1.5.1</w:t>
      </w:r>
      <w:r w:rsidRPr="00F110C2">
        <w:tab/>
        <w:t>Modulation vocale analogique (par exemple désignateurs d'émission A3E, F3E et J3E)</w:t>
      </w:r>
    </w:p>
    <w:p w14:paraId="68CE8DF9" w14:textId="77777777" w:rsidR="00CD45DB" w:rsidRPr="00F110C2" w:rsidRDefault="00CD45DB" w:rsidP="00254EC9">
      <w:pPr>
        <w:pStyle w:val="Heading4"/>
      </w:pPr>
      <w:r w:rsidRPr="00F110C2">
        <w:t>1.5.1.1</w:t>
      </w:r>
      <w:r w:rsidRPr="00F110C2">
        <w:tab/>
        <w:t>Modulation de l'amplitude des signaux vocaux (désignateurs d'émission A3E, B8E, H3E, J3E et R3E)</w:t>
      </w:r>
    </w:p>
    <w:p w14:paraId="57297461" w14:textId="77777777" w:rsidR="00CD45DB" w:rsidRPr="00F110C2" w:rsidRDefault="00CD45DB" w:rsidP="00254EC9">
      <w:r w:rsidRPr="00F110C2">
        <w:t>On peut employer des signaux de test de type bruit gaussien coloré conformément à l'Annexe 1 de la Recommandation UIT</w:t>
      </w:r>
      <w:r w:rsidRPr="00F110C2">
        <w:noBreakHyphen/>
        <w:t>R SM.328. On trouvera quelques autres suggestions concernant l'ajustement du niveau des signaux d'entrée dans les Annexes 2 et 5 de la même Recommandation.</w:t>
      </w:r>
    </w:p>
    <w:p w14:paraId="6C628ECB" w14:textId="77777777" w:rsidR="00CD45DB" w:rsidRPr="00F110C2" w:rsidRDefault="00CD45DB" w:rsidP="00254EC9">
      <w:r w:rsidRPr="00F110C2">
        <w:t>Toutefois, dans le cadre d'un certain nombre de normes internationales en vigueur (par exemple ETS 300 373 de l'Institut européen des normes de télécommunication (ETSI), on utilise plusieurs tonalités pour les tests, comme c'est le cas dans le cadre de l'Annexe 9 (limites des émissions dans le domaine des émissions hors bande pour les services d'amateur) de la présente Recommandation en ce qui concerne les limites des émissions dans le domaine hors bande.</w:t>
      </w:r>
    </w:p>
    <w:p w14:paraId="1C0CEE9F" w14:textId="77777777" w:rsidR="00CD45DB" w:rsidRPr="00F110C2" w:rsidRDefault="00CD45DB" w:rsidP="00254EC9">
      <w:pPr>
        <w:pStyle w:val="Heading4"/>
      </w:pPr>
      <w:r w:rsidRPr="00F110C2">
        <w:t>1.5.1.2</w:t>
      </w:r>
      <w:r w:rsidRPr="00F110C2">
        <w:tab/>
        <w:t>Modulation de la fréquence des signaux vocaux (désignateurs d'émission F3E et P3E)</w:t>
      </w:r>
    </w:p>
    <w:p w14:paraId="372AFA64" w14:textId="77777777" w:rsidR="00CD45DB" w:rsidRPr="00F110C2" w:rsidRDefault="00CD45DB" w:rsidP="00254EC9">
      <w:r w:rsidRPr="00F110C2">
        <w:t>En ce qui concerne les émetteurs utilisant la modulation de fréquence ou de phase à bande étroite, on peut utiliser une seule fréquence de modulation, par exemple de 1 kHz.</w:t>
      </w:r>
    </w:p>
    <w:p w14:paraId="06D4A3C0" w14:textId="77777777" w:rsidR="00CD45DB" w:rsidRPr="00F110C2" w:rsidRDefault="00CD45DB" w:rsidP="00254EC9">
      <w:pPr>
        <w:pStyle w:val="Heading3"/>
      </w:pPr>
      <w:r w:rsidRPr="00F110C2">
        <w:t>1.5.2</w:t>
      </w:r>
      <w:r w:rsidRPr="00F110C2">
        <w:tab/>
        <w:t>Modulation numérique (par exemple désignateurs d'émission F1E, F7W, F9W, G1E, G7W et D7W)</w:t>
      </w:r>
    </w:p>
    <w:p w14:paraId="269AB2ED" w14:textId="4D5D5DB6" w:rsidR="00CD45DB" w:rsidRPr="00F110C2" w:rsidRDefault="00CD45DB" w:rsidP="00254EC9">
      <w:r w:rsidRPr="00F110C2">
        <w:t>Il convient d'employer un signal pseudo aléatoire tel que celui qui est décrit dans la Recommandation</w:t>
      </w:r>
      <w:r w:rsidR="00144F11" w:rsidRPr="00F110C2">
        <w:t> </w:t>
      </w:r>
      <w:r w:rsidRPr="00F110C2">
        <w:t>UIT</w:t>
      </w:r>
      <w:r w:rsidRPr="00F110C2">
        <w:noBreakHyphen/>
        <w:t>T O.153 au niveau de modulation maximal. Pour cela, il faudra peut-être employer simultanément un ensemble de plusieurs codes Walsh particuliers pour les émetteurs à accès multiple par répartition en code.</w:t>
      </w:r>
    </w:p>
    <w:p w14:paraId="17CEEE17" w14:textId="77777777" w:rsidR="00CD45DB" w:rsidRPr="00F110C2" w:rsidRDefault="00CD45DB" w:rsidP="00254EC9">
      <w:pPr>
        <w:pStyle w:val="Heading3"/>
      </w:pPr>
      <w:r w:rsidRPr="00F110C2">
        <w:t>1.5.3</w:t>
      </w:r>
      <w:r w:rsidRPr="00F110C2">
        <w:tab/>
        <w:t>Autres modulations</w:t>
      </w:r>
    </w:p>
    <w:p w14:paraId="7890A079" w14:textId="77777777" w:rsidR="00CD45DB" w:rsidRPr="00F110C2" w:rsidRDefault="00CD45DB" w:rsidP="00254EC9">
      <w:r w:rsidRPr="00F110C2">
        <w:t>Ce sujet est actuellement à l'étude.</w:t>
      </w:r>
    </w:p>
    <w:p w14:paraId="5F694408" w14:textId="77777777" w:rsidR="00CD45DB" w:rsidRPr="00F110C2" w:rsidRDefault="00CD45DB" w:rsidP="00254EC9">
      <w:pPr>
        <w:pStyle w:val="Heading3"/>
      </w:pPr>
      <w:r w:rsidRPr="00F110C2">
        <w:t>1.5.4</w:t>
      </w:r>
      <w:r w:rsidRPr="00F110C2">
        <w:tab/>
        <w:t>Signaux d'entrée de test utilisés pour les canaux multiporteuse</w:t>
      </w:r>
    </w:p>
    <w:p w14:paraId="6463CD55" w14:textId="77777777" w:rsidR="00CD45DB" w:rsidRPr="00F110C2" w:rsidRDefault="00CD45DB" w:rsidP="00254EC9">
      <w:r w:rsidRPr="00F110C2">
        <w:t>Dans les cas où un amplificateur est utilisé pour transmettre plusieurs porteuses, il faut veiller à utiliser des signaux d'entrée dans le système testé qui permettent de caractériser convenablement la qualité de fonctionnement hors bande. Pour évaluer cette qualité de fonctionnement, on peut alors se placer dans le cas où on utilise deux tonalités non modulées à l'entrée de l'émetteur, comme cas de test le plus défavorable. On doit fixer le niveau de puissance des deux tonalités à 6 dB au</w:t>
      </w:r>
      <w:r w:rsidRPr="00F110C2">
        <w:noBreakHyphen/>
        <w:t>dessous de la puissance de crête de l'enveloppe de l'émetteur. On peut utiliser d'autres signaux d'entrée si on le juge utile.</w:t>
      </w:r>
    </w:p>
    <w:p w14:paraId="63C91B54" w14:textId="77777777" w:rsidR="00CD45DB" w:rsidRPr="00F110C2" w:rsidRDefault="00CD45DB" w:rsidP="00254EC9">
      <w:pPr>
        <w:pStyle w:val="Heading1"/>
      </w:pPr>
      <w:r w:rsidRPr="00F110C2">
        <w:t>2</w:t>
      </w:r>
      <w:r w:rsidRPr="00F110C2">
        <w:tab/>
        <w:t>Limites associées aux mesures</w:t>
      </w:r>
    </w:p>
    <w:p w14:paraId="352A6379" w14:textId="77777777" w:rsidR="00CD45DB" w:rsidRPr="00F110C2" w:rsidRDefault="00CD45DB" w:rsidP="00254EC9">
      <w:pPr>
        <w:pStyle w:val="Heading2"/>
      </w:pPr>
      <w:r w:rsidRPr="00F110C2">
        <w:t>2.1</w:t>
      </w:r>
      <w:r w:rsidRPr="00F110C2">
        <w:tab/>
        <w:t>Limites temporelles</w:t>
      </w:r>
    </w:p>
    <w:p w14:paraId="3636D965" w14:textId="77777777" w:rsidR="00CD45DB" w:rsidRPr="00F110C2" w:rsidRDefault="00CD45DB" w:rsidP="00254EC9">
      <w:r w:rsidRPr="00F110C2">
        <w:t>Pour tout signal utile, lorsque la densité spectrale de puissance varie en fonction du temps (par exemple en cas de modulation à enveloppe non constante), il convient d'utiliser dix mesures moyennées ou davantage pour obtenir des résultats homogènes.</w:t>
      </w:r>
    </w:p>
    <w:p w14:paraId="713ED99F" w14:textId="77777777" w:rsidR="00CD45DB" w:rsidRPr="00F110C2" w:rsidRDefault="00CD45DB" w:rsidP="00254EC9">
      <w:pPr>
        <w:pStyle w:val="Heading2"/>
      </w:pPr>
      <w:r w:rsidRPr="00F110C2">
        <w:lastRenderedPageBreak/>
        <w:t>2.2</w:t>
      </w:r>
      <w:r w:rsidRPr="00F110C2">
        <w:tab/>
        <w:t>Signaux d'une émission à accès multiple à répartition dans le temps</w:t>
      </w:r>
    </w:p>
    <w:p w14:paraId="132F921D" w14:textId="77777777" w:rsidR="00CD45DB" w:rsidRPr="00F110C2" w:rsidRDefault="00CD45DB" w:rsidP="00254EC9">
      <w:pPr>
        <w:keepNext/>
        <w:keepLines/>
      </w:pPr>
      <w:r w:rsidRPr="00F110C2">
        <w:t>En ce qui concerne les signaux d'une émission à accès multiple à répartition dans le temps, il faudra mesurer la puissance dans le canal adjacent pendant plusieurs intervalles de temps, en procédant à des mesures avec fenêtre. Il faudra faire une distinction entre:</w:t>
      </w:r>
    </w:p>
    <w:p w14:paraId="23052500" w14:textId="3BFD5C55" w:rsidR="00CD45DB" w:rsidRPr="00F110C2" w:rsidRDefault="00932E82" w:rsidP="00254EC9">
      <w:pPr>
        <w:pStyle w:val="enumlev1"/>
        <w:keepNext/>
        <w:keepLines/>
      </w:pPr>
      <w:r>
        <w:rPr>
          <w:lang w:val="en-GB"/>
        </w:rPr>
        <w:t>–</w:t>
      </w:r>
      <w:r w:rsidR="00CD45DB" w:rsidRPr="00F110C2">
        <w:tab/>
        <w:t xml:space="preserve">les spectres de modulation continue et le bruit à large bande, pour lesquels il faut généralement faire une moyenne sur </w:t>
      </w:r>
      <w:proofErr w:type="gramStart"/>
      <w:r w:rsidR="00CD45DB" w:rsidRPr="00F110C2">
        <w:t>un certain</w:t>
      </w:r>
      <w:proofErr w:type="gramEnd"/>
      <w:r w:rsidR="00CD45DB" w:rsidRPr="00F110C2">
        <w:t xml:space="preserve"> nombre d'intervalles de temps; et</w:t>
      </w:r>
    </w:p>
    <w:p w14:paraId="176928E6" w14:textId="2FAB1431" w:rsidR="00CD45DB" w:rsidRPr="00F110C2" w:rsidRDefault="00932E82" w:rsidP="00254EC9">
      <w:pPr>
        <w:pStyle w:val="enumlev1"/>
      </w:pPr>
      <w:r>
        <w:rPr>
          <w:lang w:val="en-GB"/>
        </w:rPr>
        <w:t>–</w:t>
      </w:r>
      <w:r w:rsidR="00CD45DB" w:rsidRPr="00F110C2">
        <w:tab/>
        <w:t>les spectres de transitoires de commutation, pour lesquels une retenue de crête sera nécessaire (voir par exemple la norme EN 301 087v8.2.1 de l'ETSI).</w:t>
      </w:r>
    </w:p>
    <w:p w14:paraId="3852C65D" w14:textId="77777777" w:rsidR="00CD45DB" w:rsidRPr="00F110C2" w:rsidRDefault="00CD45DB" w:rsidP="00254EC9">
      <w:pPr>
        <w:pStyle w:val="Heading1"/>
      </w:pPr>
      <w:r w:rsidRPr="00F110C2">
        <w:t>3</w:t>
      </w:r>
      <w:r w:rsidRPr="00F110C2">
        <w:tab/>
        <w:t>Méthodes de mesure</w:t>
      </w:r>
    </w:p>
    <w:p w14:paraId="5A90AA36" w14:textId="77777777" w:rsidR="00CD45DB" w:rsidRPr="00F110C2" w:rsidRDefault="00CD45DB" w:rsidP="00254EC9">
      <w:pPr>
        <w:pStyle w:val="Heading2"/>
      </w:pPr>
      <w:r w:rsidRPr="00F110C2">
        <w:t>3.1</w:t>
      </w:r>
      <w:r w:rsidRPr="00F110C2">
        <w:tab/>
        <w:t>Introduction</w:t>
      </w:r>
    </w:p>
    <w:p w14:paraId="7ADEBDF1" w14:textId="77777777" w:rsidR="00CD45DB" w:rsidRPr="00F110C2" w:rsidRDefault="00CD45DB" w:rsidP="00254EC9">
      <w:r w:rsidRPr="00F110C2">
        <w:t>Deux méthodes de mesure des émissions dans la bande et des émissions hors bande sont décrites dans la présente Annexe. La Méthode 2 est décrite dans la Publication 16-2 du Comité international spécial des perturbations radioélectriques (CISPR). En ce qui concerne les Méthodes 1 et 2, il faut veiller à ce que les émissions du test ne causent pas de brouillage aux systèmes environnants et à ce qu'elles ne reçoivent pas de brouillage de l'environnement afin de ne pas affecter les résultats du test et il faut en outre veiller à utiliser la fonction de pondération appropriée (voir le § 1.1.1 ci-dessus).</w:t>
      </w:r>
    </w:p>
    <w:p w14:paraId="4E29CF12" w14:textId="0CF8DD59" w:rsidR="00CD45DB" w:rsidRPr="00F110C2" w:rsidRDefault="00932E82" w:rsidP="00254EC9">
      <w:pPr>
        <w:pStyle w:val="enumlev1"/>
      </w:pPr>
      <w:r>
        <w:rPr>
          <w:lang w:val="en-GB"/>
        </w:rPr>
        <w:t>–</w:t>
      </w:r>
      <w:r w:rsidR="00CD45DB" w:rsidRPr="00F110C2">
        <w:tab/>
        <w:t>La Méthode 1 consiste à mesurer la puissance d'émission fournie au port antenne de l'équipement testé. Cette méthode doit être utilisée chaque fois qu'elle s'avère être pratique et appropriée.</w:t>
      </w:r>
    </w:p>
    <w:p w14:paraId="34F9BD95" w14:textId="39B91F18" w:rsidR="00CD45DB" w:rsidRPr="00F110C2" w:rsidRDefault="00932E82" w:rsidP="00254EC9">
      <w:pPr>
        <w:pStyle w:val="enumlev1"/>
      </w:pPr>
      <w:r>
        <w:rPr>
          <w:lang w:val="en-GB"/>
        </w:rPr>
        <w:t>–</w:t>
      </w:r>
      <w:r w:rsidR="00CD45DB" w:rsidRPr="00F110C2">
        <w:tab/>
        <w:t xml:space="preserve">La Méthode 2 consiste à mesurer la puissance isotrope rayonnée équivalente (p.i.r.e.), en utilisant un site de test approprié. </w:t>
      </w:r>
    </w:p>
    <w:p w14:paraId="6BEAC103" w14:textId="0276E3F8" w:rsidR="00CD45DB" w:rsidRPr="00F110C2" w:rsidRDefault="00CD45DB" w:rsidP="00254EC9">
      <w:pPr>
        <w:pStyle w:val="enumlev1"/>
        <w:ind w:firstLine="0"/>
        <w:rPr>
          <w:sz w:val="22"/>
          <w:szCs w:val="22"/>
        </w:rPr>
      </w:pPr>
      <w:r w:rsidRPr="00F110C2">
        <w:rPr>
          <w:sz w:val="22"/>
          <w:szCs w:val="22"/>
        </w:rPr>
        <w:t>NOTE 1 </w:t>
      </w:r>
      <w:r w:rsidR="0023743D" w:rsidRPr="00F110C2">
        <w:t>–</w:t>
      </w:r>
      <w:r w:rsidRPr="00F110C2">
        <w:rPr>
          <w:sz w:val="22"/>
          <w:szCs w:val="22"/>
        </w:rPr>
        <w:t> La Publication 16</w:t>
      </w:r>
      <w:r w:rsidRPr="00F110C2">
        <w:rPr>
          <w:sz w:val="22"/>
          <w:szCs w:val="22"/>
        </w:rPr>
        <w:noBreakHyphen/>
        <w:t>2 du CISPR décrit la mesure de la puissance apparente reformée (p.a.r.) entre 30 MHz et 18 GHz. Étant donné que, pour la p.a.r., on utilise un doublet demi-onde accordé comme antenne de référence au lieu de l'antenne isotrope, la p.a.r. est inférieure de 2,1 dB à la p.i.r.e.</w:t>
      </w:r>
    </w:p>
    <w:p w14:paraId="27FB7FA9" w14:textId="77777777" w:rsidR="00CD45DB" w:rsidRPr="00F110C2" w:rsidRDefault="00CD45DB" w:rsidP="00254EC9">
      <w:pPr>
        <w:pStyle w:val="enumlev1"/>
      </w:pPr>
      <w:r w:rsidRPr="00F110C2">
        <w:tab/>
        <w:t>Dans la plupart des cas, on peut simplifier les mesures des émissions hors bande rayonnées en mesures relatives, pour lesquelles il n'est pas nécessaire d'utiliser des antennes de réception étalonnées ni de déterminer la p.i.r.e. Il faut toutefois être vigilant lorsqu'on envisage d'utiliser des antennes de réception actives, car des harmoniques ou des produits d'intermodulation sont susceptibles d'être générés pour des intensités de champ élevées.</w:t>
      </w:r>
    </w:p>
    <w:p w14:paraId="765D3BB3" w14:textId="77777777" w:rsidR="00CD45DB" w:rsidRPr="00F110C2" w:rsidRDefault="00CD45DB" w:rsidP="00254EC9">
      <w:pPr>
        <w:pStyle w:val="enumlev1"/>
      </w:pPr>
      <w:r w:rsidRPr="00F110C2">
        <w:tab/>
        <w:t>Pour les émetteurs en ondes myriamétriques ou kilométriques, on doit utiliser la Méthode de mesure 2 car la frontière entre l'émetteur, le câble d'alimentation et l'antenne n'est pas toujours clairement définie.</w:t>
      </w:r>
    </w:p>
    <w:p w14:paraId="71C842E7" w14:textId="77777777" w:rsidR="00CD45DB" w:rsidRPr="00F110C2" w:rsidRDefault="00CD45DB" w:rsidP="00254EC9">
      <w:pPr>
        <w:pStyle w:val="enumlev1"/>
      </w:pPr>
      <w:r w:rsidRPr="00F110C2">
        <w:tab/>
        <w:t>On ne peut normalement pas appliquer la Méthode 2 pour mesurer la p.i.r.e. au-dessous de 30 MHz, car il n'existe pas d'antenne de substitution (comme les doublets demi</w:t>
      </w:r>
      <w:r w:rsidRPr="00F110C2">
        <w:noBreakHyphen/>
        <w:t xml:space="preserve">onde accordés). Dans la plupart des cas, les mesures des émissions dans le domaine des émissions hors bande sont des mesures relatives, elles peuvent être faites en champ proche. En outre, aucune mesure de champ </w:t>
      </w:r>
      <w:r w:rsidRPr="00F110C2">
        <w:rPr>
          <w:iCs/>
        </w:rPr>
        <w:t>in situ</w:t>
      </w:r>
      <w:r w:rsidRPr="00F110C2">
        <w:t xml:space="preserve"> n'est nécessaire pour les systèmes fonctionnant au-dessous de 30 MHz, car les émetteurs et les systèmes d'antenne proviennent fréquemment de fabricants différents. Les mesures au niveau du port antenne sont généralement acceptables et permettent aux fabricants d'émetteurs de respecter les limites des émissions dans le domaine hors bande.</w:t>
      </w:r>
    </w:p>
    <w:p w14:paraId="2ABB81F1" w14:textId="3DA165D2" w:rsidR="00CD45DB" w:rsidRPr="00F110C2" w:rsidRDefault="00CD45DB" w:rsidP="00254EC9">
      <w:pPr>
        <w:pStyle w:val="Heading2"/>
      </w:pPr>
      <w:r w:rsidRPr="00F110C2">
        <w:lastRenderedPageBreak/>
        <w:t>3.2</w:t>
      </w:r>
      <w:r w:rsidRPr="00F110C2">
        <w:tab/>
        <w:t>Méthode 1 </w:t>
      </w:r>
      <w:r w:rsidR="00932E82">
        <w:rPr>
          <w:lang w:val="en-GB"/>
        </w:rPr>
        <w:t>–</w:t>
      </w:r>
      <w:r w:rsidRPr="00F110C2">
        <w:t xml:space="preserve"> Mesure de la puissance des émissions dans la bande et des émissions hors bande fournie au port antenne </w:t>
      </w:r>
    </w:p>
    <w:p w14:paraId="7674D549" w14:textId="13AF35C7" w:rsidR="00CD45DB" w:rsidRPr="00F110C2" w:rsidRDefault="00CD45DB" w:rsidP="00254EC9">
      <w:r w:rsidRPr="00F110C2">
        <w:t>Cette méthode ne nécessite aucun site de test particulier ni aucune chambre anéchoïde particulière et les perturbations électromagnétiques ne doivent pas affecter les résultats des tests. Chaque fois que c'est possible, la mesure doit inclure le câble d'alimentation. Dans cette Méthode, il n'est pas tenu compte de l'affaiblissement dû au défaut d'adaptation de l'antenne et à l'inefficacité des émissions dans le domaine des émissions hors bande ni de la production active d'émissions dans le domaine des émissions hors bande par l'antenne proprement dite. La Fig</w:t>
      </w:r>
      <w:r w:rsidR="008B4DEB" w:rsidRPr="00F110C2">
        <w:t>ure</w:t>
      </w:r>
      <w:r w:rsidRPr="00F110C2">
        <w:t> 54 représente le schéma du montage servant à mesurer la puissance des émissions dans le domaine des émissions hors bande au niveau du port antenne.</w:t>
      </w:r>
    </w:p>
    <w:p w14:paraId="7B275072" w14:textId="77777777" w:rsidR="00CD45DB" w:rsidRPr="00F110C2" w:rsidRDefault="00CD45DB" w:rsidP="00254EC9">
      <w:pPr>
        <w:pStyle w:val="FigureNo"/>
      </w:pPr>
      <w:r w:rsidRPr="00F110C2">
        <w:t>figure 54</w:t>
      </w:r>
    </w:p>
    <w:p w14:paraId="2E461A3B" w14:textId="77777777" w:rsidR="00CD45DB" w:rsidRPr="00F110C2" w:rsidRDefault="00CD45DB" w:rsidP="00254EC9">
      <w:pPr>
        <w:pStyle w:val="Figuretitle"/>
      </w:pPr>
      <w:r w:rsidRPr="00F110C2">
        <w:t>Montage simplifié pour la mesure de la puissance des émissions dans la bande</w:t>
      </w:r>
      <w:r w:rsidRPr="00F110C2">
        <w:br/>
        <w:t>et des émissions hors bande au niveau du port antenne</w:t>
      </w:r>
    </w:p>
    <w:p w14:paraId="526903CD" w14:textId="77777777" w:rsidR="00CD45DB" w:rsidRPr="00F110C2" w:rsidRDefault="00CD45DB" w:rsidP="00254EC9">
      <w:pPr>
        <w:pStyle w:val="Figure"/>
      </w:pPr>
      <w:r w:rsidRPr="00F110C2">
        <w:drawing>
          <wp:inline distT="0" distB="0" distL="0" distR="0" wp14:anchorId="01374764" wp14:editId="40BA69B8">
            <wp:extent cx="4637837" cy="3327858"/>
            <wp:effectExtent l="0" t="0" r="0" b="6350"/>
            <wp:docPr id="1579201884" name="Picture 40"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01884" name="Picture 40" descr="A diagram of a company&#10;&#10;AI-generated content may be incorrect."/>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641110" cy="3330206"/>
                    </a:xfrm>
                    <a:prstGeom prst="rect">
                      <a:avLst/>
                    </a:prstGeom>
                    <a:noFill/>
                    <a:ln>
                      <a:noFill/>
                    </a:ln>
                  </pic:spPr>
                </pic:pic>
              </a:graphicData>
            </a:graphic>
          </wp:inline>
        </w:drawing>
      </w:r>
    </w:p>
    <w:p w14:paraId="21C3BC6C" w14:textId="77777777" w:rsidR="00CD45DB" w:rsidRPr="00F110C2" w:rsidRDefault="00CD45DB" w:rsidP="00254EC9">
      <w:pPr>
        <w:pStyle w:val="Heading3"/>
      </w:pPr>
      <w:r w:rsidRPr="00F110C2">
        <w:t>3.2.1</w:t>
      </w:r>
      <w:r w:rsidRPr="00F110C2">
        <w:tab/>
        <w:t>Approche directe</w:t>
      </w:r>
    </w:p>
    <w:p w14:paraId="6D2032C1" w14:textId="77777777" w:rsidR="00CD45DB" w:rsidRPr="00F110C2" w:rsidRDefault="00CD45DB" w:rsidP="00254EC9">
      <w:r w:rsidRPr="00F110C2">
        <w:t xml:space="preserve">Dans cette approche, il faut étalonner chacun des composants utilisés pour la mesure (filtre(s), coupleur, câbles) ou étalonner l'ensemble de ces dispositifs de connexion. Dans l'un ou l'autre cas, on utilise, pour l'étalonnage, un générateur de niveau réglable étalonné à l'entrée du récepteur de mesure. À chaque fréquence, </w:t>
      </w:r>
      <w:r w:rsidRPr="00F110C2">
        <w:rPr>
          <w:i/>
          <w:iCs/>
        </w:rPr>
        <w:t>f</w:t>
      </w:r>
      <w:r w:rsidRPr="00F110C2">
        <w:t xml:space="preserve">, on détermine alors le facteur d'étalonnage, </w:t>
      </w:r>
      <w:r w:rsidRPr="00F110C2">
        <w:rPr>
          <w:i/>
          <w:iCs/>
        </w:rPr>
        <w:t>k</w:t>
      </w:r>
      <w:r w:rsidRPr="00F110C2">
        <w:rPr>
          <w:i/>
          <w:iCs/>
          <w:position w:val="-4"/>
          <w:sz w:val="20"/>
        </w:rPr>
        <w:t>f</w:t>
      </w:r>
      <w:r w:rsidRPr="00F110C2">
        <w:t xml:space="preserve">, comme suit: </w:t>
      </w:r>
    </w:p>
    <w:p w14:paraId="074806CF" w14:textId="77777777" w:rsidR="00CD45DB" w:rsidRPr="00F110C2" w:rsidRDefault="00CD45DB" w:rsidP="00254EC9">
      <w:pPr>
        <w:pStyle w:val="Equation"/>
      </w:pPr>
      <w:r w:rsidRPr="00F110C2">
        <w:tab/>
      </w:r>
      <w:r w:rsidRPr="00F110C2">
        <w:tab/>
      </w:r>
      <w:r w:rsidRPr="00F110C2">
        <w:rPr>
          <w:position w:val="-16"/>
          <w:sz w:val="20"/>
        </w:rPr>
        <w:object w:dxaOrig="1400" w:dyaOrig="400" w14:anchorId="7AA56B08">
          <v:shape id="_x0000_i1612" type="#_x0000_t75" style="width:71.25pt;height:20.45pt" o:ole="" fillcolor="window">
            <v:imagedata r:id="rId229" o:title=""/>
          </v:shape>
          <o:OLEObject Type="Embed" ProgID="Equation.3" ShapeID="_x0000_i1612" DrawAspect="Content" ObjectID="_1801482074" r:id="rId230"/>
        </w:object>
      </w:r>
    </w:p>
    <w:p w14:paraId="7139EDDE" w14:textId="77777777" w:rsidR="00CD45DB" w:rsidRPr="00F110C2" w:rsidRDefault="00CD45DB" w:rsidP="00254EC9">
      <w:r w:rsidRPr="00F110C2">
        <w:t>où:</w:t>
      </w:r>
    </w:p>
    <w:p w14:paraId="5667401A" w14:textId="31C84918" w:rsidR="00CD45DB" w:rsidRPr="00F110C2" w:rsidRDefault="00CD45DB" w:rsidP="00254EC9">
      <w:pPr>
        <w:pStyle w:val="Equationlegend"/>
        <w:rPr>
          <w:lang w:val="fr-FR"/>
        </w:rPr>
      </w:pPr>
      <w:r w:rsidRPr="00F110C2">
        <w:rPr>
          <w:lang w:val="fr-FR"/>
        </w:rPr>
        <w:tab/>
      </w:r>
      <w:r w:rsidRPr="00F110C2">
        <w:rPr>
          <w:i/>
          <w:iCs/>
          <w:lang w:val="fr-FR"/>
        </w:rPr>
        <w:t>k</w:t>
      </w:r>
      <w:r w:rsidRPr="00F110C2">
        <w:rPr>
          <w:i/>
          <w:iCs/>
          <w:position w:val="-4"/>
          <w:szCs w:val="24"/>
          <w:vertAlign w:val="subscript"/>
          <w:lang w:val="fr-FR"/>
        </w:rPr>
        <w:t>f</w:t>
      </w:r>
      <w:r w:rsidR="00512A73" w:rsidRPr="00F110C2">
        <w:rPr>
          <w:lang w:val="fr-FR"/>
        </w:rPr>
        <w:t xml:space="preserve"> </w:t>
      </w:r>
      <w:r w:rsidRPr="00F110C2">
        <w:rPr>
          <w:lang w:val="fr-FR"/>
        </w:rPr>
        <w:t>:</w:t>
      </w:r>
      <w:r w:rsidRPr="00F110C2">
        <w:rPr>
          <w:lang w:val="fr-FR"/>
        </w:rPr>
        <w:tab/>
        <w:t xml:space="preserve">facteur d'étalonnage à la fréquence </w:t>
      </w:r>
      <w:r w:rsidRPr="00F110C2">
        <w:rPr>
          <w:i/>
          <w:iCs/>
          <w:lang w:val="fr-FR"/>
        </w:rPr>
        <w:t>f</w:t>
      </w:r>
      <w:r w:rsidRPr="00F110C2">
        <w:rPr>
          <w:lang w:val="fr-FR"/>
        </w:rPr>
        <w:t xml:space="preserve"> (dB)</w:t>
      </w:r>
    </w:p>
    <w:p w14:paraId="5213195C" w14:textId="07CB4A11" w:rsidR="00CD45DB" w:rsidRPr="00F110C2" w:rsidRDefault="00CD45DB" w:rsidP="00254EC9">
      <w:pPr>
        <w:pStyle w:val="Equationlegend"/>
        <w:rPr>
          <w:lang w:val="fr-FR"/>
        </w:rPr>
      </w:pPr>
      <w:r w:rsidRPr="00F110C2">
        <w:rPr>
          <w:lang w:val="fr-FR"/>
        </w:rPr>
        <w:tab/>
      </w:r>
      <w:r w:rsidRPr="00F110C2">
        <w:rPr>
          <w:i/>
          <w:iCs/>
          <w:lang w:val="fr-FR"/>
        </w:rPr>
        <w:t>I</w:t>
      </w:r>
      <w:r w:rsidR="0032407B" w:rsidRPr="00F110C2">
        <w:rPr>
          <w:i/>
          <w:iCs/>
          <w:position w:val="-4"/>
          <w:szCs w:val="24"/>
          <w:vertAlign w:val="subscript"/>
          <w:lang w:val="fr-FR"/>
        </w:rPr>
        <w:t>f</w:t>
      </w:r>
      <w:r w:rsidR="00512A73" w:rsidRPr="00F110C2">
        <w:rPr>
          <w:i/>
          <w:iCs/>
          <w:position w:val="-4"/>
          <w:sz w:val="20"/>
          <w:lang w:val="fr-FR"/>
        </w:rPr>
        <w:t xml:space="preserve"> </w:t>
      </w:r>
      <w:r w:rsidRPr="00F110C2">
        <w:rPr>
          <w:lang w:val="fr-FR"/>
        </w:rPr>
        <w:t>:</w:t>
      </w:r>
      <w:r w:rsidRPr="00F110C2">
        <w:rPr>
          <w:lang w:val="fr-FR"/>
        </w:rPr>
        <w:tab/>
        <w:t xml:space="preserve">puissance d'entrée (délivrée par le générateur étalonné) à la fréquence </w:t>
      </w:r>
      <w:r w:rsidRPr="00F110C2">
        <w:rPr>
          <w:i/>
          <w:iCs/>
          <w:lang w:val="fr-FR"/>
        </w:rPr>
        <w:t>f</w:t>
      </w:r>
      <w:r w:rsidRPr="00F110C2">
        <w:rPr>
          <w:lang w:val="fr-FR"/>
        </w:rPr>
        <w:t xml:space="preserve"> (dBW ou dBm)</w:t>
      </w:r>
    </w:p>
    <w:p w14:paraId="41C0B830" w14:textId="0DF6B592" w:rsidR="00CD45DB" w:rsidRPr="00F110C2" w:rsidRDefault="00CD45DB" w:rsidP="00254EC9">
      <w:pPr>
        <w:pStyle w:val="Equationlegend"/>
        <w:rPr>
          <w:lang w:val="fr-FR"/>
        </w:rPr>
      </w:pPr>
      <w:r w:rsidRPr="00F110C2">
        <w:rPr>
          <w:lang w:val="fr-FR"/>
        </w:rPr>
        <w:tab/>
      </w:r>
      <w:r w:rsidRPr="00F110C2">
        <w:rPr>
          <w:i/>
          <w:iCs/>
          <w:lang w:val="fr-FR"/>
        </w:rPr>
        <w:t>O</w:t>
      </w:r>
      <w:r w:rsidR="0032407B" w:rsidRPr="00F110C2">
        <w:rPr>
          <w:i/>
          <w:iCs/>
          <w:position w:val="-4"/>
          <w:szCs w:val="24"/>
          <w:vertAlign w:val="subscript"/>
          <w:lang w:val="fr-FR"/>
        </w:rPr>
        <w:t>f</w:t>
      </w:r>
      <w:r w:rsidR="00512A73" w:rsidRPr="00F110C2">
        <w:rPr>
          <w:lang w:val="fr-FR"/>
        </w:rPr>
        <w:t xml:space="preserve"> </w:t>
      </w:r>
      <w:r w:rsidRPr="00F110C2">
        <w:rPr>
          <w:lang w:val="fr-FR"/>
        </w:rPr>
        <w:t>:</w:t>
      </w:r>
      <w:r w:rsidRPr="00F110C2">
        <w:rPr>
          <w:lang w:val="fr-FR"/>
        </w:rPr>
        <w:tab/>
        <w:t xml:space="preserve">puissance de sortie (déterminée par le récepteur de mesure) à la fréquence </w:t>
      </w:r>
      <w:r w:rsidRPr="00F110C2">
        <w:rPr>
          <w:i/>
          <w:iCs/>
          <w:lang w:val="fr-FR"/>
        </w:rPr>
        <w:t xml:space="preserve">f </w:t>
      </w:r>
      <w:r w:rsidRPr="00F110C2">
        <w:rPr>
          <w:lang w:val="fr-FR"/>
        </w:rPr>
        <w:t>(dBW ou dBm).</w:t>
      </w:r>
    </w:p>
    <w:p w14:paraId="1966D425" w14:textId="77777777" w:rsidR="00CD45DB" w:rsidRPr="00F110C2" w:rsidRDefault="00CD45DB" w:rsidP="00254EC9">
      <w:r w:rsidRPr="00F110C2">
        <w:lastRenderedPageBreak/>
        <w:t>Ce facteur d'étalonnage représente l'affaiblissement total d'insertion associé à tous les dispositifs raccordés entre le générateur et le récepteur de mesure.</w:t>
      </w:r>
    </w:p>
    <w:p w14:paraId="18E54697" w14:textId="77777777" w:rsidR="00CD45DB" w:rsidRPr="00F110C2" w:rsidRDefault="00CD45DB" w:rsidP="00254EC9">
      <w:r w:rsidRPr="00F110C2">
        <w:t>Si on étalonne chacun des dispositifs, le facteur d'étalonnage de l'ensemble du montage de mesure est donné par la formule suivante:</w:t>
      </w:r>
    </w:p>
    <w:p w14:paraId="2ED1DCB5" w14:textId="77777777" w:rsidR="00CD45DB" w:rsidRPr="00F110C2" w:rsidRDefault="00CD45DB" w:rsidP="00254EC9">
      <w:pPr>
        <w:pStyle w:val="Equation"/>
      </w:pPr>
      <w:r w:rsidRPr="00F110C2">
        <w:tab/>
      </w:r>
      <w:r w:rsidRPr="00F110C2">
        <w:tab/>
      </w:r>
      <w:r w:rsidRPr="00F110C2">
        <w:rPr>
          <w:position w:val="-40"/>
          <w:sz w:val="20"/>
        </w:rPr>
        <w:object w:dxaOrig="1640" w:dyaOrig="700" w14:anchorId="370817CE">
          <v:shape id="_x0000_i1613" type="#_x0000_t75" style="width:92.45pt;height:37.9pt" o:ole="" fillcolor="window">
            <v:imagedata r:id="rId231" o:title=""/>
          </v:shape>
          <o:OLEObject Type="Embed" ProgID="Equation.3" ShapeID="_x0000_i1613" DrawAspect="Content" ObjectID="_1801482075" r:id="rId232"/>
        </w:object>
      </w:r>
    </w:p>
    <w:p w14:paraId="440CDB07" w14:textId="77777777" w:rsidR="00CD45DB" w:rsidRPr="00F110C2" w:rsidRDefault="00CD45DB" w:rsidP="00254EC9">
      <w:r w:rsidRPr="00F110C2">
        <w:t>où:</w:t>
      </w:r>
    </w:p>
    <w:p w14:paraId="3C3B7C20" w14:textId="4211D4B1" w:rsidR="00CD45DB" w:rsidRPr="00F110C2" w:rsidRDefault="00CD45DB" w:rsidP="00254EC9">
      <w:pPr>
        <w:pStyle w:val="Equationlegend"/>
        <w:rPr>
          <w:lang w:val="fr-FR"/>
        </w:rPr>
      </w:pPr>
      <w:r w:rsidRPr="00F110C2">
        <w:rPr>
          <w:lang w:val="fr-FR"/>
        </w:rPr>
        <w:tab/>
      </w:r>
      <w:r w:rsidRPr="00F110C2">
        <w:rPr>
          <w:i/>
          <w:iCs/>
          <w:lang w:val="fr-FR"/>
        </w:rPr>
        <w:t>k</w:t>
      </w:r>
      <w:r w:rsidRPr="00F110C2">
        <w:rPr>
          <w:i/>
          <w:iCs/>
          <w:position w:val="-4"/>
          <w:sz w:val="20"/>
          <w:lang w:val="fr-FR"/>
        </w:rPr>
        <w:t>ms,</w:t>
      </w:r>
      <w:r w:rsidRPr="00F110C2">
        <w:rPr>
          <w:rFonts w:ascii="Tms Rmn" w:hAnsi="Tms Rmn"/>
          <w:i/>
          <w:iCs/>
          <w:position w:val="-4"/>
          <w:sz w:val="12"/>
          <w:lang w:val="fr-FR"/>
        </w:rPr>
        <w:t> </w:t>
      </w:r>
      <w:r w:rsidRPr="00F110C2">
        <w:rPr>
          <w:i/>
          <w:iCs/>
          <w:position w:val="-4"/>
          <w:sz w:val="20"/>
          <w:lang w:val="fr-FR"/>
        </w:rPr>
        <w:t>f</w:t>
      </w:r>
      <w:r w:rsidR="00512A73" w:rsidRPr="00F110C2">
        <w:rPr>
          <w:lang w:val="fr-FR"/>
        </w:rPr>
        <w:t xml:space="preserve"> </w:t>
      </w:r>
      <w:r w:rsidRPr="00F110C2">
        <w:rPr>
          <w:lang w:val="fr-FR"/>
        </w:rPr>
        <w:t>:</w:t>
      </w:r>
      <w:r w:rsidRPr="00F110C2">
        <w:rPr>
          <w:lang w:val="fr-FR"/>
        </w:rPr>
        <w:tab/>
        <w:t xml:space="preserve">facteur d'étalonnage du montage de mesure à la fréquence </w:t>
      </w:r>
      <w:r w:rsidRPr="00F110C2">
        <w:rPr>
          <w:i/>
          <w:iCs/>
          <w:lang w:val="fr-FR"/>
        </w:rPr>
        <w:t>f</w:t>
      </w:r>
      <w:r w:rsidRPr="00F110C2">
        <w:rPr>
          <w:lang w:val="fr-FR"/>
        </w:rPr>
        <w:t xml:space="preserve"> (dB)</w:t>
      </w:r>
    </w:p>
    <w:p w14:paraId="5115B6A2" w14:textId="47195C95" w:rsidR="00CD45DB" w:rsidRPr="00F110C2" w:rsidRDefault="00CD45DB" w:rsidP="00254EC9">
      <w:pPr>
        <w:pStyle w:val="Equationlegend"/>
        <w:rPr>
          <w:lang w:val="fr-FR"/>
        </w:rPr>
      </w:pPr>
      <w:r w:rsidRPr="00F110C2">
        <w:rPr>
          <w:lang w:val="fr-FR"/>
        </w:rPr>
        <w:tab/>
      </w:r>
      <w:r w:rsidRPr="00F110C2">
        <w:rPr>
          <w:i/>
          <w:iCs/>
          <w:lang w:val="fr-FR"/>
        </w:rPr>
        <w:t>k</w:t>
      </w:r>
      <w:r w:rsidRPr="00F110C2">
        <w:rPr>
          <w:i/>
          <w:iCs/>
          <w:position w:val="-4"/>
          <w:sz w:val="20"/>
          <w:lang w:val="fr-FR"/>
        </w:rPr>
        <w:t>i,</w:t>
      </w:r>
      <w:r w:rsidRPr="00F110C2">
        <w:rPr>
          <w:rFonts w:ascii="Tms Rmn" w:hAnsi="Tms Rmn"/>
          <w:i/>
          <w:iCs/>
          <w:position w:val="-4"/>
          <w:sz w:val="12"/>
          <w:lang w:val="fr-FR"/>
        </w:rPr>
        <w:t> </w:t>
      </w:r>
      <w:r w:rsidRPr="00F110C2">
        <w:rPr>
          <w:i/>
          <w:iCs/>
          <w:position w:val="-4"/>
          <w:sz w:val="20"/>
          <w:lang w:val="fr-FR"/>
        </w:rPr>
        <w:t>f</w:t>
      </w:r>
      <w:r w:rsidR="00512A73" w:rsidRPr="00F110C2">
        <w:rPr>
          <w:i/>
          <w:iCs/>
          <w:position w:val="-4"/>
          <w:sz w:val="20"/>
          <w:lang w:val="fr-FR"/>
        </w:rPr>
        <w:t xml:space="preserve"> </w:t>
      </w:r>
      <w:r w:rsidRPr="00F110C2">
        <w:rPr>
          <w:lang w:val="fr-FR"/>
        </w:rPr>
        <w:t>:</w:t>
      </w:r>
      <w:r w:rsidRPr="00F110C2">
        <w:rPr>
          <w:lang w:val="fr-FR"/>
        </w:rPr>
        <w:tab/>
        <w:t>facteur d'étalonnage de chacun des dispositifs de la chaîne de mesure à la fréquence </w:t>
      </w:r>
      <w:r w:rsidRPr="00F110C2">
        <w:rPr>
          <w:i/>
          <w:iCs/>
          <w:lang w:val="fr-FR"/>
        </w:rPr>
        <w:t>f</w:t>
      </w:r>
      <w:r w:rsidRPr="00F110C2">
        <w:rPr>
          <w:lang w:val="fr-FR"/>
        </w:rPr>
        <w:t> (dB).</w:t>
      </w:r>
    </w:p>
    <w:p w14:paraId="490C4AFB" w14:textId="77777777" w:rsidR="00CD45DB" w:rsidRPr="00F110C2" w:rsidRDefault="00CD45DB" w:rsidP="00254EC9">
      <w:r w:rsidRPr="00F110C2">
        <w:t xml:space="preserve">Si lors de la mesure des niveaux de puissance effectifs, on désigne par </w:t>
      </w:r>
      <w:r w:rsidRPr="00F110C2">
        <w:rPr>
          <w:i/>
          <w:iCs/>
        </w:rPr>
        <w:t>P</w:t>
      </w:r>
      <w:r w:rsidRPr="00F110C2">
        <w:rPr>
          <w:i/>
          <w:iCs/>
          <w:position w:val="-4"/>
          <w:sz w:val="20"/>
        </w:rPr>
        <w:t>r,</w:t>
      </w:r>
      <w:r w:rsidRPr="00F110C2">
        <w:rPr>
          <w:rFonts w:ascii="Tms Rmn" w:hAnsi="Tms Rmn"/>
          <w:i/>
          <w:iCs/>
          <w:position w:val="-4"/>
          <w:sz w:val="12"/>
        </w:rPr>
        <w:t> </w:t>
      </w:r>
      <w:r w:rsidRPr="00F110C2">
        <w:rPr>
          <w:i/>
          <w:iCs/>
          <w:position w:val="-4"/>
          <w:sz w:val="20"/>
        </w:rPr>
        <w:t>f</w:t>
      </w:r>
      <w:r w:rsidRPr="00F110C2">
        <w:t> (dBW ou dBm) la puissance (lue sur le récepteur de mesure) des émissions dans le domaine des émissions hors bande à la fréquence </w:t>
      </w:r>
      <w:r w:rsidRPr="00F110C2">
        <w:rPr>
          <w:i/>
          <w:iCs/>
        </w:rPr>
        <w:t>f</w:t>
      </w:r>
      <w:r w:rsidRPr="00F110C2">
        <w:t xml:space="preserve">, la puissance des émissions dans le domaine des émissions hors bande </w:t>
      </w:r>
      <w:r w:rsidRPr="00F110C2">
        <w:rPr>
          <w:i/>
          <w:iCs/>
        </w:rPr>
        <w:t>P</w:t>
      </w:r>
      <w:r w:rsidRPr="00F110C2">
        <w:rPr>
          <w:i/>
          <w:iCs/>
          <w:position w:val="-4"/>
          <w:sz w:val="20"/>
        </w:rPr>
        <w:t>s,</w:t>
      </w:r>
      <w:r w:rsidRPr="00F110C2">
        <w:rPr>
          <w:rFonts w:ascii="Tms Rmn" w:hAnsi="Tms Rmn"/>
          <w:i/>
          <w:iCs/>
          <w:position w:val="-4"/>
          <w:sz w:val="12"/>
        </w:rPr>
        <w:t> </w:t>
      </w:r>
      <w:r w:rsidRPr="00F110C2">
        <w:rPr>
          <w:i/>
          <w:iCs/>
          <w:position w:val="-4"/>
          <w:sz w:val="20"/>
        </w:rPr>
        <w:t>f</w:t>
      </w:r>
      <w:r w:rsidRPr="00F110C2">
        <w:rPr>
          <w:i/>
          <w:iCs/>
          <w:sz w:val="28"/>
          <w:vertAlign w:val="subscript"/>
        </w:rPr>
        <w:t> </w:t>
      </w:r>
      <w:r w:rsidRPr="00F110C2">
        <w:t xml:space="preserve">(même unité que </w:t>
      </w:r>
      <w:r w:rsidRPr="00F110C2">
        <w:rPr>
          <w:i/>
          <w:iCs/>
        </w:rPr>
        <w:t>P</w:t>
      </w:r>
      <w:r w:rsidRPr="00F110C2">
        <w:rPr>
          <w:i/>
          <w:iCs/>
          <w:position w:val="-4"/>
          <w:sz w:val="20"/>
        </w:rPr>
        <w:t>r,</w:t>
      </w:r>
      <w:r w:rsidRPr="00F110C2">
        <w:rPr>
          <w:rFonts w:ascii="Tms Rmn" w:hAnsi="Tms Rmn"/>
          <w:i/>
          <w:iCs/>
          <w:position w:val="-4"/>
          <w:sz w:val="12"/>
        </w:rPr>
        <w:t> </w:t>
      </w:r>
      <w:r w:rsidRPr="00F110C2">
        <w:rPr>
          <w:i/>
          <w:iCs/>
          <w:position w:val="-4"/>
          <w:sz w:val="20"/>
        </w:rPr>
        <w:t>f</w:t>
      </w:r>
      <w:r w:rsidRPr="00F110C2">
        <w:t>) à la fréquence </w:t>
      </w:r>
      <w:r w:rsidRPr="00F110C2">
        <w:rPr>
          <w:i/>
          <w:iCs/>
        </w:rPr>
        <w:t>f</w:t>
      </w:r>
      <w:r w:rsidRPr="00F110C2">
        <w:t xml:space="preserve"> est donnée par la formule suivante:</w:t>
      </w:r>
    </w:p>
    <w:p w14:paraId="77A548C3" w14:textId="77777777" w:rsidR="00CD45DB" w:rsidRPr="00F110C2" w:rsidRDefault="00CD45DB" w:rsidP="00254EC9">
      <w:pPr>
        <w:pStyle w:val="Equation"/>
      </w:pPr>
      <w:r w:rsidRPr="00F110C2">
        <w:tab/>
      </w:r>
      <w:r w:rsidRPr="00F110C2">
        <w:tab/>
      </w:r>
      <w:r w:rsidRPr="00F110C2">
        <w:rPr>
          <w:position w:val="-16"/>
        </w:rPr>
        <w:object w:dxaOrig="2020" w:dyaOrig="400" w14:anchorId="4C860417">
          <v:shape id="_x0000_i1614" type="#_x0000_t75" style="width:100.05pt;height:20.45pt" o:ole="">
            <v:imagedata r:id="rId233" o:title=""/>
          </v:shape>
          <o:OLEObject Type="Embed" ProgID="Equation.3" ShapeID="_x0000_i1614" DrawAspect="Content" ObjectID="_1801482076" r:id="rId234"/>
        </w:object>
      </w:r>
    </w:p>
    <w:p w14:paraId="1AE548EB" w14:textId="77777777" w:rsidR="00CD45DB" w:rsidRPr="00F110C2" w:rsidRDefault="00CD45DB" w:rsidP="00254EC9">
      <w:pPr>
        <w:pStyle w:val="Heading3"/>
      </w:pPr>
      <w:r w:rsidRPr="00F110C2">
        <w:t>3.2.2</w:t>
      </w:r>
      <w:r w:rsidRPr="00F110C2">
        <w:tab/>
        <w:t>Approche par substitution</w:t>
      </w:r>
    </w:p>
    <w:p w14:paraId="692B1E62" w14:textId="77777777" w:rsidR="00CD45DB" w:rsidRPr="00F110C2" w:rsidRDefault="00CD45DB" w:rsidP="00254EC9">
      <w:r w:rsidRPr="00F110C2">
        <w:t>Cette approche ne nécessite pas l'étalonnage de tous les composants de mesure. La puissance de sortie est lue sur le récepteur de mesure. Puis on remplace l'équipement testé par un générateur étalonné dont on règle le niveau de puissance afin d'obtenir la même valeur qu'avec l'équipement testé. La puissance délivrée par le générateur est alors égale à la puissance des émissions dans le domaine des émissions hors bande.</w:t>
      </w:r>
    </w:p>
    <w:p w14:paraId="36398C97" w14:textId="77777777" w:rsidR="00CD45DB" w:rsidRPr="00F110C2" w:rsidRDefault="00CD45DB" w:rsidP="00254EC9">
      <w:pPr>
        <w:pStyle w:val="Heading3"/>
      </w:pPr>
      <w:r w:rsidRPr="00F110C2">
        <w:t>3.2.3</w:t>
      </w:r>
      <w:r w:rsidRPr="00F110C2">
        <w:tab/>
        <w:t>Mesures spécifiques</w:t>
      </w:r>
    </w:p>
    <w:p w14:paraId="58D3416A" w14:textId="77777777" w:rsidR="00CD45DB" w:rsidRPr="00F110C2" w:rsidRDefault="00CD45DB" w:rsidP="00254EC9">
      <w:r w:rsidRPr="00F110C2">
        <w:t>On donne ci-après un algorithme pour les émissions provenant d'une modulation ou d'une intermodulation.</w:t>
      </w:r>
    </w:p>
    <w:p w14:paraId="3B816111" w14:textId="77777777" w:rsidR="00CD45DB" w:rsidRPr="00F110C2" w:rsidRDefault="00CD45DB" w:rsidP="00254EC9">
      <w:pPr>
        <w:pStyle w:val="Heading4"/>
      </w:pPr>
      <w:r w:rsidRPr="00F110C2">
        <w:t>3.2.3.1</w:t>
      </w:r>
      <w:r w:rsidRPr="00F110C2">
        <w:tab/>
        <w:t>Largeur de bande occupée</w:t>
      </w:r>
    </w:p>
    <w:p w14:paraId="6D758FAE" w14:textId="021311C6" w:rsidR="00CD45DB" w:rsidRPr="00F110C2" w:rsidRDefault="0023743D" w:rsidP="00254EC9">
      <w:pPr>
        <w:pStyle w:val="enumlev1"/>
      </w:pPr>
      <w:r w:rsidRPr="00F110C2">
        <w:t>–</w:t>
      </w:r>
      <w:r w:rsidR="00CD45DB" w:rsidRPr="00F110C2">
        <w:tab/>
        <w:t>Activer l'émetteur avec une charge adaptée en utilisant la condition de modulation appropriée (voir le § 1.5).</w:t>
      </w:r>
    </w:p>
    <w:p w14:paraId="5216037E" w14:textId="75500793" w:rsidR="00CD45DB" w:rsidRPr="00F110C2" w:rsidRDefault="0023743D" w:rsidP="00254EC9">
      <w:pPr>
        <w:pStyle w:val="enumlev1"/>
      </w:pPr>
      <w:r w:rsidRPr="00F110C2">
        <w:t>–</w:t>
      </w:r>
      <w:r w:rsidR="00CD45DB" w:rsidRPr="00F110C2">
        <w:tab/>
        <w:t xml:space="preserve">En utilisant un analyseur de spectre couplé pour mesurer la puissance de la charge, afficher les caractéristiques de densité spectrale de puissance de l'émission pour une plage égale à 500% de la largeur de bande nécessaire de l'émission. Dans cette largeur de bande, intégrer la puissance totale de l'émission sur l'ensemble de la plage de fréquences et désigner le résultat par </w:t>
      </w:r>
      <w:r w:rsidR="00CD45DB" w:rsidRPr="00F110C2">
        <w:rPr>
          <w:i/>
          <w:iCs/>
        </w:rPr>
        <w:t>P</w:t>
      </w:r>
      <w:r w:rsidR="00CD45DB" w:rsidRPr="00F110C2">
        <w:rPr>
          <w:i/>
          <w:iCs/>
          <w:position w:val="-4"/>
          <w:szCs w:val="24"/>
          <w:vertAlign w:val="subscript"/>
        </w:rPr>
        <w:t>REF</w:t>
      </w:r>
      <w:r w:rsidR="00CD45DB" w:rsidRPr="00F110C2">
        <w:t>.</w:t>
      </w:r>
    </w:p>
    <w:p w14:paraId="3190C739" w14:textId="3C19EC3C" w:rsidR="00CD45DB" w:rsidRPr="00F110C2" w:rsidRDefault="00CD45DB" w:rsidP="00254EC9">
      <w:pPr>
        <w:pStyle w:val="Note"/>
        <w:ind w:left="794"/>
      </w:pPr>
      <w:r w:rsidRPr="00F110C2">
        <w:t>NOTE 1 </w:t>
      </w:r>
      <w:r w:rsidR="0023743D" w:rsidRPr="00F110C2">
        <w:t>–</w:t>
      </w:r>
      <w:r w:rsidRPr="00F110C2">
        <w:t> La largeur de bande de résolution doit être aussi proche que possible de la largeur de bande de référence, mais, dans tous les cas, elle doit être inférieure à 5% de la largeur de bande occupée si la mesure doit être utilisée pour vérifier un désignateur d'émission.</w:t>
      </w:r>
    </w:p>
    <w:p w14:paraId="1A37B65E" w14:textId="5E4A0E6F" w:rsidR="00CD45DB" w:rsidRPr="00F110C2" w:rsidRDefault="0023743D" w:rsidP="00254EC9">
      <w:pPr>
        <w:pStyle w:val="enumlev1"/>
      </w:pPr>
      <w:r w:rsidRPr="00F110C2">
        <w:t>–</w:t>
      </w:r>
      <w:r w:rsidR="00CD45DB" w:rsidRPr="00F110C2">
        <w:tab/>
        <w:t xml:space="preserve">Noter la fréquence au-dessus de la fréquence centrale de l'émission pour laquelle la puissance totale au-dessus de cette fréquence est généralement égale à 0,5% de </w:t>
      </w:r>
      <w:r w:rsidR="00CD45DB" w:rsidRPr="00F110C2">
        <w:rPr>
          <w:i/>
          <w:iCs/>
        </w:rPr>
        <w:t>P</w:t>
      </w:r>
      <w:r w:rsidR="00CD45DB" w:rsidRPr="00F110C2">
        <w:rPr>
          <w:i/>
          <w:iCs/>
          <w:position w:val="-4"/>
          <w:szCs w:val="24"/>
          <w:vertAlign w:val="subscript"/>
        </w:rPr>
        <w:t>REF</w:t>
      </w:r>
      <w:r w:rsidR="00CD45DB" w:rsidRPr="00F110C2">
        <w:t>.</w:t>
      </w:r>
    </w:p>
    <w:p w14:paraId="665BF3C3" w14:textId="3F21812E" w:rsidR="00CD45DB" w:rsidRPr="00F110C2" w:rsidRDefault="0023743D" w:rsidP="00254EC9">
      <w:pPr>
        <w:pStyle w:val="enumlev1"/>
      </w:pPr>
      <w:r w:rsidRPr="00F110C2">
        <w:t>–</w:t>
      </w:r>
      <w:r w:rsidR="00CD45DB" w:rsidRPr="00F110C2">
        <w:tab/>
        <w:t xml:space="preserve">Noter la fréquence au-dessous de la fréquence centrale de l'émission pour laquelle la puissance totale au-dessous de cette fréquence est généralement égale à 0,5% de </w:t>
      </w:r>
      <w:r w:rsidR="00CD45DB" w:rsidRPr="00F110C2">
        <w:rPr>
          <w:i/>
          <w:iCs/>
        </w:rPr>
        <w:t>P</w:t>
      </w:r>
      <w:r w:rsidR="00CD45DB" w:rsidRPr="00F110C2">
        <w:rPr>
          <w:i/>
          <w:iCs/>
          <w:position w:val="-4"/>
          <w:szCs w:val="24"/>
          <w:vertAlign w:val="subscript"/>
        </w:rPr>
        <w:t>REF</w:t>
      </w:r>
      <w:r w:rsidR="00CD45DB" w:rsidRPr="00F110C2">
        <w:t>.</w:t>
      </w:r>
    </w:p>
    <w:p w14:paraId="70A361D8" w14:textId="77777777" w:rsidR="00CD45DB" w:rsidRPr="00F110C2" w:rsidRDefault="00CD45DB" w:rsidP="00254EC9">
      <w:r w:rsidRPr="00F110C2">
        <w:t>La différence entre ces fréquences correspond à la largeur de bande occupée qui est mesurée pour cette émission.</w:t>
      </w:r>
    </w:p>
    <w:p w14:paraId="46ED8BC9" w14:textId="77777777" w:rsidR="00CD45DB" w:rsidRPr="00F110C2" w:rsidRDefault="00CD45DB" w:rsidP="00254EC9">
      <w:pPr>
        <w:pStyle w:val="Heading4"/>
      </w:pPr>
      <w:r w:rsidRPr="00F110C2">
        <w:lastRenderedPageBreak/>
        <w:t>3.2.3.2</w:t>
      </w:r>
      <w:r w:rsidRPr="00F110C2">
        <w:tab/>
        <w:t>Émissions hors bande dues à une modulation</w:t>
      </w:r>
    </w:p>
    <w:p w14:paraId="221882A6" w14:textId="77777777" w:rsidR="00CD45DB" w:rsidRPr="00F110C2" w:rsidRDefault="00CD45DB" w:rsidP="00254EC9">
      <w:pPr>
        <w:pStyle w:val="FigureNo"/>
      </w:pPr>
      <w:r w:rsidRPr="00F110C2">
        <w:t>figure 55</w:t>
      </w:r>
    </w:p>
    <w:p w14:paraId="2158F1F9" w14:textId="77777777" w:rsidR="00CD45DB" w:rsidRPr="00F110C2" w:rsidRDefault="00CD45DB" w:rsidP="00254EC9">
      <w:pPr>
        <w:pStyle w:val="Figuretitle"/>
      </w:pPr>
      <w:r w:rsidRPr="00F110C2">
        <w:t>Schéma de la méthode de mesure simplifiée</w:t>
      </w:r>
    </w:p>
    <w:p w14:paraId="6C47A4DC" w14:textId="77777777" w:rsidR="00CD45DB" w:rsidRPr="00F110C2" w:rsidRDefault="00CD45DB" w:rsidP="00254EC9">
      <w:pPr>
        <w:pStyle w:val="Figure"/>
      </w:pPr>
      <w:r w:rsidRPr="00F110C2">
        <w:drawing>
          <wp:inline distT="0" distB="0" distL="0" distR="0" wp14:anchorId="4A769FFF" wp14:editId="43E4CB02">
            <wp:extent cx="5069205" cy="914400"/>
            <wp:effectExtent l="0" t="0" r="0" b="0"/>
            <wp:docPr id="1070438252" name="Picture 4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38252" name="Picture 41" descr="A diagram of a diagram&#10;&#10;AI-generated content may be incorrect."/>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069205" cy="914400"/>
                    </a:xfrm>
                    <a:prstGeom prst="rect">
                      <a:avLst/>
                    </a:prstGeom>
                    <a:noFill/>
                    <a:ln>
                      <a:noFill/>
                    </a:ln>
                  </pic:spPr>
                </pic:pic>
              </a:graphicData>
            </a:graphic>
          </wp:inline>
        </w:drawing>
      </w:r>
    </w:p>
    <w:p w14:paraId="138C9019" w14:textId="77777777" w:rsidR="00CD45DB" w:rsidRPr="00F110C2" w:rsidRDefault="00CD45DB" w:rsidP="00254EC9">
      <w:pPr>
        <w:pStyle w:val="enumlev1"/>
        <w:keepNext/>
      </w:pPr>
      <w:r w:rsidRPr="00F110C2">
        <w:t>a)</w:t>
      </w:r>
      <w:r w:rsidRPr="00F110C2">
        <w:tab/>
        <w:t>Raccorder les équipements comme illustré dans la Fig. 55. L'émetteur est réglé pour fonctionner à la fréquence assignée nominale.</w:t>
      </w:r>
    </w:p>
    <w:p w14:paraId="1280D272" w14:textId="77777777" w:rsidR="00CD45DB" w:rsidRPr="00F110C2" w:rsidRDefault="00CD45DB" w:rsidP="00254EC9">
      <w:pPr>
        <w:pStyle w:val="enumlev1"/>
      </w:pPr>
      <w:r w:rsidRPr="00F110C2">
        <w:t>b)</w:t>
      </w:r>
      <w:r w:rsidRPr="00F110C2">
        <w:tab/>
        <w:t>Les réglages associés à la largeur de bande de mesure et les marqueurs de l'analyseur doivent être centrés sur la fréquence de fonctionnement de l'émetteur et, simultanément, sur des fréquences des bandes adjacentes supérieure et inférieure. Pour fixer la largeur de bande de résolution et la largeur de bande vidéo, il faut tenir compte de la largeur de bande de la modulation.</w:t>
      </w:r>
    </w:p>
    <w:p w14:paraId="73161E34" w14:textId="77777777" w:rsidR="00CD45DB" w:rsidRPr="00F110C2" w:rsidRDefault="00CD45DB" w:rsidP="00254EC9">
      <w:pPr>
        <w:pStyle w:val="enumlev1"/>
      </w:pPr>
      <w:r w:rsidRPr="00F110C2">
        <w:t>c)</w:t>
      </w:r>
      <w:r w:rsidRPr="00F110C2">
        <w:tab/>
        <w:t>Activer l'émetteur avec une charge adaptée en utilisant la condition de modulation appropriée (voir le § 1.5).</w:t>
      </w:r>
    </w:p>
    <w:p w14:paraId="329192F9" w14:textId="77777777" w:rsidR="00CD45DB" w:rsidRPr="00F110C2" w:rsidRDefault="00CD45DB" w:rsidP="00254EC9">
      <w:pPr>
        <w:pStyle w:val="enumlev1"/>
      </w:pPr>
      <w:r w:rsidRPr="00F110C2">
        <w:t>d)</w:t>
      </w:r>
      <w:r w:rsidRPr="00F110C2">
        <w:tab/>
        <w:t xml:space="preserve">Mesurer, sur l'analyseur de puissance dans la bande adjacente, la puissance dans la largeur de bande autorisée de l'émetteur et l'enregistrer dans </w:t>
      </w:r>
      <w:r w:rsidRPr="00F110C2">
        <w:rPr>
          <w:i/>
          <w:iCs/>
        </w:rPr>
        <w:t>P</w:t>
      </w:r>
      <w:r w:rsidRPr="00F110C2">
        <w:rPr>
          <w:i/>
          <w:iCs/>
          <w:vertAlign w:val="subscript"/>
        </w:rPr>
        <w:t>REF</w:t>
      </w:r>
      <w:r w:rsidRPr="00F110C2">
        <w:t>.</w:t>
      </w:r>
    </w:p>
    <w:p w14:paraId="15C02B75" w14:textId="77777777" w:rsidR="00CD45DB" w:rsidRPr="00F110C2" w:rsidRDefault="00CD45DB" w:rsidP="00254EC9">
      <w:pPr>
        <w:pStyle w:val="enumlev1"/>
      </w:pPr>
      <w:r w:rsidRPr="00F110C2">
        <w:t>e)</w:t>
      </w:r>
      <w:r w:rsidRPr="00F110C2">
        <w:tab/>
        <w:t xml:space="preserve">Mesurer, sur l'analyseur de puissance dans la bande adjacente, la puissance dans la largeur de bande de mesure spécifiée centrée sur les fréquences des bandes adjacentes supérieure et inférieure. Enregistrer la valeur associée à la fréquence inférieure dans </w:t>
      </w:r>
      <w:r w:rsidRPr="00F110C2">
        <w:rPr>
          <w:i/>
          <w:iCs/>
        </w:rPr>
        <w:t>P</w:t>
      </w:r>
      <w:r w:rsidRPr="00F110C2">
        <w:rPr>
          <w:i/>
          <w:iCs/>
          <w:vertAlign w:val="subscript"/>
        </w:rPr>
        <w:t>ADJL</w:t>
      </w:r>
      <w:r w:rsidRPr="00F110C2">
        <w:t xml:space="preserve"> et la valeur associée à la fréquence supérieure dans </w:t>
      </w:r>
      <w:r w:rsidRPr="00F110C2">
        <w:rPr>
          <w:i/>
          <w:iCs/>
        </w:rPr>
        <w:t>P</w:t>
      </w:r>
      <w:r w:rsidRPr="00F110C2">
        <w:rPr>
          <w:i/>
          <w:iCs/>
          <w:vertAlign w:val="subscript"/>
        </w:rPr>
        <w:t>ADJU</w:t>
      </w:r>
      <w:r w:rsidRPr="00F110C2">
        <w:t>.</w:t>
      </w:r>
    </w:p>
    <w:p w14:paraId="084FE88C" w14:textId="77777777" w:rsidR="00CD45DB" w:rsidRPr="00F110C2" w:rsidRDefault="00CD45DB" w:rsidP="00254EC9">
      <w:pPr>
        <w:pStyle w:val="enumlev1"/>
      </w:pPr>
      <w:r w:rsidRPr="00F110C2">
        <w:t>f)</w:t>
      </w:r>
      <w:r w:rsidRPr="00F110C2">
        <w:tab/>
        <w:t xml:space="preserve">Calculer le rapport de puissance dans la bande adjacente inférieure, </w:t>
      </w:r>
      <w:r w:rsidRPr="00F110C2">
        <w:rPr>
          <w:i/>
          <w:iCs/>
        </w:rPr>
        <w:t>ABPR</w:t>
      </w:r>
      <w:r w:rsidRPr="00F110C2">
        <w:rPr>
          <w:i/>
          <w:iCs/>
          <w:vertAlign w:val="subscript"/>
        </w:rPr>
        <w:t>L</w:t>
      </w:r>
      <w:r w:rsidRPr="00F110C2">
        <w:t>, comme suit:</w:t>
      </w:r>
    </w:p>
    <w:p w14:paraId="7C98E972" w14:textId="5FE6C547" w:rsidR="00CD45DB" w:rsidRPr="00F110C2" w:rsidRDefault="00CD45DB" w:rsidP="00254EC9">
      <w:pPr>
        <w:pStyle w:val="Equation"/>
      </w:pPr>
      <w:r w:rsidRPr="00F110C2">
        <w:tab/>
      </w:r>
      <w:r w:rsidRPr="00F110C2">
        <w:tab/>
      </w:r>
      <w:r w:rsidRPr="00F110C2">
        <w:rPr>
          <w:i/>
          <w:iCs/>
        </w:rPr>
        <w:t>ABPR</w:t>
      </w:r>
      <w:r w:rsidRPr="00F110C2">
        <w:rPr>
          <w:i/>
          <w:iCs/>
          <w:vertAlign w:val="subscript"/>
        </w:rPr>
        <w:t>L</w:t>
      </w:r>
      <w:r w:rsidRPr="00F110C2">
        <w:t> = </w:t>
      </w:r>
      <w:r w:rsidRPr="00F110C2">
        <w:rPr>
          <w:i/>
          <w:iCs/>
        </w:rPr>
        <w:t>P</w:t>
      </w:r>
      <w:r w:rsidRPr="00F110C2">
        <w:rPr>
          <w:i/>
          <w:iCs/>
          <w:vertAlign w:val="subscript"/>
        </w:rPr>
        <w:t>REF</w:t>
      </w:r>
      <w:r w:rsidRPr="00F110C2">
        <w:t> </w:t>
      </w:r>
      <w:r w:rsidR="009615D1" w:rsidRPr="00F110C2">
        <w:t>−</w:t>
      </w:r>
      <w:r w:rsidRPr="00F110C2">
        <w:t> </w:t>
      </w:r>
      <w:r w:rsidRPr="00F110C2">
        <w:rPr>
          <w:i/>
          <w:iCs/>
        </w:rPr>
        <w:t>P</w:t>
      </w:r>
      <w:r w:rsidRPr="00F110C2">
        <w:rPr>
          <w:i/>
          <w:iCs/>
          <w:vertAlign w:val="subscript"/>
        </w:rPr>
        <w:t>ADJL</w:t>
      </w:r>
    </w:p>
    <w:p w14:paraId="1140A929" w14:textId="77777777" w:rsidR="00CD45DB" w:rsidRPr="00F110C2" w:rsidRDefault="00CD45DB" w:rsidP="00254EC9">
      <w:pPr>
        <w:pStyle w:val="enumlev1"/>
      </w:pPr>
      <w:r w:rsidRPr="00F110C2">
        <w:t>g)</w:t>
      </w:r>
      <w:r w:rsidRPr="00F110C2">
        <w:tab/>
        <w:t xml:space="preserve">Calculer le rapport de puissance dans le canal adjacent supérieur, </w:t>
      </w:r>
      <w:r w:rsidRPr="00F110C2">
        <w:rPr>
          <w:i/>
          <w:iCs/>
        </w:rPr>
        <w:t>ABPR</w:t>
      </w:r>
      <w:r w:rsidRPr="00F110C2">
        <w:rPr>
          <w:i/>
          <w:iCs/>
          <w:vertAlign w:val="subscript"/>
        </w:rPr>
        <w:t>U</w:t>
      </w:r>
      <w:r w:rsidRPr="00F110C2">
        <w:t>, comme suit:</w:t>
      </w:r>
    </w:p>
    <w:p w14:paraId="78A64F5A" w14:textId="190AA9ED" w:rsidR="00CD45DB" w:rsidRPr="00F110C2" w:rsidRDefault="00CD45DB" w:rsidP="00254EC9">
      <w:pPr>
        <w:pStyle w:val="Equation"/>
      </w:pPr>
      <w:r w:rsidRPr="00F110C2">
        <w:tab/>
      </w:r>
      <w:r w:rsidRPr="00F110C2">
        <w:tab/>
      </w:r>
      <w:r w:rsidRPr="00F110C2">
        <w:rPr>
          <w:i/>
          <w:iCs/>
        </w:rPr>
        <w:t>ABPR</w:t>
      </w:r>
      <w:r w:rsidRPr="00F110C2">
        <w:rPr>
          <w:i/>
          <w:iCs/>
          <w:vertAlign w:val="subscript"/>
        </w:rPr>
        <w:t>U</w:t>
      </w:r>
      <w:r w:rsidRPr="00F110C2">
        <w:t> = </w:t>
      </w:r>
      <w:r w:rsidRPr="00F110C2">
        <w:rPr>
          <w:i/>
          <w:iCs/>
        </w:rPr>
        <w:t>P</w:t>
      </w:r>
      <w:r w:rsidRPr="00F110C2">
        <w:rPr>
          <w:i/>
          <w:iCs/>
          <w:vertAlign w:val="subscript"/>
        </w:rPr>
        <w:t>REF</w:t>
      </w:r>
      <w:r w:rsidRPr="00F110C2">
        <w:t> </w:t>
      </w:r>
      <w:r w:rsidR="009615D1" w:rsidRPr="00F110C2">
        <w:t>−</w:t>
      </w:r>
      <w:r w:rsidRPr="00F110C2">
        <w:t> </w:t>
      </w:r>
      <w:r w:rsidRPr="00F110C2">
        <w:rPr>
          <w:i/>
          <w:iCs/>
        </w:rPr>
        <w:t>P</w:t>
      </w:r>
      <w:r w:rsidRPr="00F110C2">
        <w:rPr>
          <w:i/>
          <w:iCs/>
          <w:vertAlign w:val="subscript"/>
        </w:rPr>
        <w:t>ADJU</w:t>
      </w:r>
    </w:p>
    <w:p w14:paraId="1F3F1826" w14:textId="77777777" w:rsidR="00CD45DB" w:rsidRPr="00F110C2" w:rsidRDefault="00CD45DB" w:rsidP="00254EC9">
      <w:pPr>
        <w:pStyle w:val="enumlev1"/>
      </w:pPr>
      <w:r w:rsidRPr="00F110C2">
        <w:t>h)</w:t>
      </w:r>
      <w:r w:rsidRPr="00F110C2">
        <w:tab/>
        <w:t xml:space="preserve">Le rapport de puissance dans la bande adjacente </w:t>
      </w:r>
      <w:r w:rsidRPr="00F110C2">
        <w:rPr>
          <w:i/>
          <w:iCs/>
        </w:rPr>
        <w:t>ABPR</w:t>
      </w:r>
      <w:r w:rsidRPr="00F110C2">
        <w:rPr>
          <w:vertAlign w:val="subscript"/>
        </w:rPr>
        <w:t>1</w:t>
      </w:r>
      <w:r w:rsidRPr="00F110C2">
        <w:t xml:space="preserve"> correspond à la plus petite des valeurs de </w:t>
      </w:r>
      <w:r w:rsidRPr="00F110C2">
        <w:rPr>
          <w:i/>
          <w:iCs/>
        </w:rPr>
        <w:t>ABPR</w:t>
      </w:r>
      <w:r w:rsidRPr="00F110C2">
        <w:rPr>
          <w:i/>
          <w:iCs/>
          <w:vertAlign w:val="subscript"/>
        </w:rPr>
        <w:t>L</w:t>
      </w:r>
      <w:r w:rsidRPr="00F110C2">
        <w:t xml:space="preserve"> et de </w:t>
      </w:r>
      <w:r w:rsidRPr="00F110C2">
        <w:rPr>
          <w:i/>
          <w:iCs/>
        </w:rPr>
        <w:t>ABPR</w:t>
      </w:r>
      <w:r w:rsidRPr="00F110C2">
        <w:rPr>
          <w:i/>
          <w:iCs/>
          <w:vertAlign w:val="subscript"/>
        </w:rPr>
        <w:t>U</w:t>
      </w:r>
      <w:r w:rsidRPr="00F110C2">
        <w:t>.</w:t>
      </w:r>
    </w:p>
    <w:p w14:paraId="528E255F" w14:textId="77777777" w:rsidR="00CD45DB" w:rsidRPr="00F110C2" w:rsidRDefault="00CD45DB" w:rsidP="00254EC9">
      <w:pPr>
        <w:pStyle w:val="enumlev1"/>
      </w:pPr>
      <w:r w:rsidRPr="00F110C2">
        <w:t>i)</w:t>
      </w:r>
      <w:r w:rsidRPr="00F110C2">
        <w:tab/>
        <w:t xml:space="preserve">Répéter les étapes ci-dessus pour la </w:t>
      </w:r>
      <w:r w:rsidRPr="00F110C2">
        <w:rPr>
          <w:i/>
          <w:iCs/>
        </w:rPr>
        <w:t>N</w:t>
      </w:r>
      <w:r w:rsidRPr="00F110C2">
        <w:t>ème bande adjacente.</w:t>
      </w:r>
    </w:p>
    <w:p w14:paraId="323C96DD" w14:textId="77777777" w:rsidR="00CD45DB" w:rsidRPr="00F110C2" w:rsidRDefault="00CD45DB" w:rsidP="00254EC9">
      <w:pPr>
        <w:pStyle w:val="Heading4"/>
      </w:pPr>
      <w:r w:rsidRPr="00F110C2">
        <w:t>3.2.3.3</w:t>
      </w:r>
      <w:r w:rsidRPr="00F110C2">
        <w:tab/>
        <w:t>Mesure de la densité spectrale de puissance</w:t>
      </w:r>
    </w:p>
    <w:p w14:paraId="59745E98" w14:textId="77777777" w:rsidR="00CD45DB" w:rsidRPr="00F110C2" w:rsidRDefault="00CD45DB" w:rsidP="00254EC9">
      <w:r w:rsidRPr="00F110C2">
        <w:t>Pour cette mesure, on emploie un analyseur de spectre pour comparer simultanément la densité spectrale de puissance d'une émission avec un ensemble de segments de droite limites afin de vérifier que l'émission ne dépasse aucune limite à n'importe quelle fréquence donnée dans la plage de fréquences de mesure.</w:t>
      </w:r>
    </w:p>
    <w:p w14:paraId="605DE3E7" w14:textId="2E2C4550" w:rsidR="00CD45DB" w:rsidRPr="00F110C2" w:rsidRDefault="00CD45DB" w:rsidP="00254EC9">
      <w:pPr>
        <w:pStyle w:val="Heading2"/>
      </w:pPr>
      <w:r w:rsidRPr="00F110C2">
        <w:t>3.3</w:t>
      </w:r>
      <w:r w:rsidRPr="00F110C2">
        <w:tab/>
        <w:t>Méthode 2 </w:t>
      </w:r>
      <w:r w:rsidR="00932E82">
        <w:rPr>
          <w:lang w:val="en-GB"/>
        </w:rPr>
        <w:t>–</w:t>
      </w:r>
      <w:r w:rsidRPr="00F110C2">
        <w:t> Mesure de la p.i.r.e. des émissions dans la bande et des émissions hors bande</w:t>
      </w:r>
    </w:p>
    <w:p w14:paraId="0CFD0A56" w14:textId="77777777" w:rsidR="00CD45DB" w:rsidRPr="00F110C2" w:rsidRDefault="00CD45DB" w:rsidP="00254EC9">
      <w:r w:rsidRPr="00F110C2">
        <w:t>Le schéma du montage servant à mesurer la p.i.r.e. des émissions hors bande est représenté sur la Fig. 56.</w:t>
      </w:r>
    </w:p>
    <w:p w14:paraId="62822A8E" w14:textId="77777777" w:rsidR="00CD45DB" w:rsidRPr="00F110C2" w:rsidRDefault="00CD45DB" w:rsidP="00254EC9">
      <w:pPr>
        <w:pStyle w:val="FigureNo"/>
      </w:pPr>
      <w:r w:rsidRPr="00F110C2">
        <w:lastRenderedPageBreak/>
        <w:t>figure 56</w:t>
      </w:r>
    </w:p>
    <w:p w14:paraId="36A774F6" w14:textId="77777777" w:rsidR="00CD45DB" w:rsidRPr="00F110C2" w:rsidRDefault="00CD45DB" w:rsidP="00254EC9">
      <w:pPr>
        <w:pStyle w:val="Figuretitle"/>
      </w:pPr>
      <w:r w:rsidRPr="00F110C2">
        <w:t>Montage simplifié pour la mesure de la p.i.r.e. des émissions</w:t>
      </w:r>
      <w:r w:rsidRPr="00F110C2">
        <w:br/>
        <w:t>dans le domaine des émissions hors bande</w:t>
      </w:r>
    </w:p>
    <w:p w14:paraId="513EC002" w14:textId="77777777" w:rsidR="00CD45DB" w:rsidRPr="00F110C2" w:rsidRDefault="00CD45DB" w:rsidP="00254EC9">
      <w:pPr>
        <w:pStyle w:val="Figure"/>
      </w:pPr>
      <w:r w:rsidRPr="00F110C2">
        <w:drawing>
          <wp:inline distT="0" distB="0" distL="0" distR="0" wp14:anchorId="3B4CEF9B" wp14:editId="1190EC05">
            <wp:extent cx="4893945" cy="2589530"/>
            <wp:effectExtent l="0" t="0" r="1905" b="1270"/>
            <wp:docPr id="1682392752" name="Picture 42" descr="A diagram of 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92752" name="Picture 42" descr="A diagram of a diagram of a computer&#10;&#10;AI-generated content may be incorrect."/>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893945" cy="2589530"/>
                    </a:xfrm>
                    <a:prstGeom prst="rect">
                      <a:avLst/>
                    </a:prstGeom>
                    <a:noFill/>
                    <a:ln>
                      <a:noFill/>
                    </a:ln>
                  </pic:spPr>
                </pic:pic>
              </a:graphicData>
            </a:graphic>
          </wp:inline>
        </w:drawing>
      </w:r>
    </w:p>
    <w:p w14:paraId="6F58E0DE" w14:textId="77777777" w:rsidR="00CD45DB" w:rsidRPr="00F110C2" w:rsidRDefault="00CD45DB" w:rsidP="00254EC9">
      <w:pPr>
        <w:pStyle w:val="Normalaftertitle"/>
      </w:pPr>
      <w:r w:rsidRPr="00F110C2">
        <w:t>Les mesures des émissions dans le domaine des émissions hors bande peuvent être faites en champ lointain, mais aussi en champ proche, parce que, dans des bandes relativement étroites, les conditions de rayonnement ne varient pas beaucoup et parce que seules des mesures relatives doivent être effectuées. Les mesures de la p.i.r.e. des émissions dans le domaine des émissions hors bande dans une direction quelconque, dans deux polarisations et pour toutes les fréquences peuvent être très longues à effectuer, même si des techniques permettant de vérifier la conformité au moyen de mesures relatives peuvent permettre de réduire la charge de travail. En ce qui concerne l'utilisation de cette méthode de mesure pour des radars, on se reportera à la Recommandation UIT</w:t>
      </w:r>
      <w:r w:rsidRPr="00F110C2">
        <w:noBreakHyphen/>
        <w:t>R M.1177.</w:t>
      </w:r>
    </w:p>
    <w:p w14:paraId="3FB7A42D" w14:textId="77777777" w:rsidR="00CD45DB" w:rsidRPr="00F110C2" w:rsidRDefault="00CD45DB" w:rsidP="00254EC9">
      <w:pPr>
        <w:pStyle w:val="Heading3"/>
      </w:pPr>
      <w:r w:rsidRPr="00F110C2">
        <w:t>3.3.1</w:t>
      </w:r>
      <w:r w:rsidRPr="00F110C2">
        <w:tab/>
        <w:t>Sites de test pour les mesures des émissions rayonnées</w:t>
      </w:r>
    </w:p>
    <w:p w14:paraId="0322322F" w14:textId="77777777" w:rsidR="00CD45DB" w:rsidRPr="00F110C2" w:rsidRDefault="00CD45DB" w:rsidP="00254EC9">
      <w:pPr>
        <w:pStyle w:val="Heading4"/>
      </w:pPr>
      <w:r w:rsidRPr="00F110C2">
        <w:t>3.3.1.1</w:t>
      </w:r>
      <w:r w:rsidRPr="00F110C2">
        <w:tab/>
        <w:t>Site de test au-dessous de 30 MHz</w:t>
      </w:r>
    </w:p>
    <w:p w14:paraId="51EBF4C3" w14:textId="77777777" w:rsidR="00CD45DB" w:rsidRPr="00F110C2" w:rsidRDefault="00CD45DB" w:rsidP="00254EC9">
      <w:r w:rsidRPr="00F110C2">
        <w:t xml:space="preserve">Au-dessous d'environ 30 MHz, on procède généralement à des mesures </w:t>
      </w:r>
      <w:r w:rsidRPr="00F110C2">
        <w:rPr>
          <w:i/>
          <w:iCs/>
        </w:rPr>
        <w:t xml:space="preserve">in situ </w:t>
      </w:r>
      <w:r w:rsidRPr="00F110C2">
        <w:t>plutôt qu'à des mesures sur un site de test.</w:t>
      </w:r>
    </w:p>
    <w:p w14:paraId="6419C5D1" w14:textId="77777777" w:rsidR="00CD45DB" w:rsidRPr="00F110C2" w:rsidRDefault="00CD45DB" w:rsidP="00254EC9">
      <w:pPr>
        <w:pStyle w:val="Heading4"/>
      </w:pPr>
      <w:r w:rsidRPr="00F110C2">
        <w:t>3.3.1.2</w:t>
      </w:r>
      <w:r w:rsidRPr="00F110C2">
        <w:tab/>
        <w:t>Site de test entre 30 et 1 000 MHz</w:t>
      </w:r>
    </w:p>
    <w:p w14:paraId="4BC6BFC3" w14:textId="77777777" w:rsidR="00CD45DB" w:rsidRPr="00F110C2" w:rsidRDefault="00CD45DB" w:rsidP="00254EC9">
      <w:r w:rsidRPr="00F110C2">
        <w:t>Il faut valider le site de test en faisant des mesures d'affaiblissement sur le site pour les champs à polarisation horizontale et à polarisation verticale, comme décrit dans la Publication 16-1:1999</w:t>
      </w:r>
      <w:r w:rsidRPr="00F110C2">
        <w:noBreakHyphen/>
        <w:t xml:space="preserve">10 du CISPR. On doit considérer un site de mesure comme acceptable si les affaiblissements mesurés sur le site dans le plan horizontal et dans le plan vertical sont compris dans l'intervalle </w:t>
      </w:r>
      <w:r w:rsidRPr="00F110C2">
        <w:sym w:font="Symbol" w:char="F0B1"/>
      </w:r>
      <w:r w:rsidRPr="00F110C2">
        <w:t>4 dB de l'affaiblissement théorique sur le site.</w:t>
      </w:r>
    </w:p>
    <w:p w14:paraId="22B777B4" w14:textId="77777777" w:rsidR="00CD45DB" w:rsidRPr="00F110C2" w:rsidRDefault="00CD45DB" w:rsidP="00254EC9">
      <w:r w:rsidRPr="00F110C2">
        <w:t>Le site de test doit être plat, ne comporter ni structures réfléchissantes proches ni câbles aériens et être suffisamment vaste pour permettre de placer l'antenne à la distance spécifiée et pour assurer un espacement approprié entre l'antenne, l'équipement testé et les structures réfléchissantes. Les structures réfléchissantes sont définies comme étant des structures dont les matériaux sont essentiellement conducteurs. Le site de test doit être doté d'un plan de sol horizontal métallique. Étant donné que pour les émissions dans le domaine des émissions hors bande, seules des mesures relatives sont effectuées, la tâche de mesure est considérablement allégée.</w:t>
      </w:r>
    </w:p>
    <w:p w14:paraId="73780263" w14:textId="77777777" w:rsidR="00CD45DB" w:rsidRPr="00F110C2" w:rsidRDefault="00CD45DB" w:rsidP="00254EC9">
      <w:pPr>
        <w:keepNext/>
        <w:keepLines/>
        <w:rPr>
          <w:i/>
          <w:iCs/>
        </w:rPr>
      </w:pPr>
      <w:r w:rsidRPr="00F110C2">
        <w:lastRenderedPageBreak/>
        <w:t xml:space="preserve">On peut aussi faire les tests dans une salle blindée absorbante. Dans ce cas, les murs et le plafond de la salle blindée sont recouverts de matériaux absorbants qui garantissent de faibles réflexions de puissance. Il importe d'effectuer des mesures de validation de ces chambres anéchoïdes pour faire en sorte que l'affaiblissement mesuré sur le site respecte le critère des </w:t>
      </w:r>
      <w:r w:rsidRPr="00F110C2">
        <w:sym w:font="Symbol" w:char="F0B1"/>
      </w:r>
      <w:r w:rsidRPr="00F110C2">
        <w:t>4 dB (voir aussi les Publications 16</w:t>
      </w:r>
      <w:r w:rsidRPr="00F110C2">
        <w:noBreakHyphen/>
        <w:t>1 et 22 du CISPR de la Commission Électrotechnique Internationale (CEI)).</w:t>
      </w:r>
    </w:p>
    <w:p w14:paraId="5E00938A" w14:textId="77777777" w:rsidR="00CD45DB" w:rsidRPr="00F110C2" w:rsidRDefault="00CD45DB" w:rsidP="00254EC9">
      <w:r w:rsidRPr="00F110C2">
        <w:t>Un plan de sol conducteur doit s'étendre au moins à 1 m au-delà de la périphérie de l'équipement testé et de l'antenne de mesure la plus grande et doit couvrir toute la zone comprise entre l'équipement testé et l'antenne. Il doit être en métal sans trou ni interstice, et ses dimensions doivent être supérieures au dixième de la longueur d'onde correspondant à la fréquence de mesure la plus élevée. Un plan de sol conducteur de plus grandes dimensions peut être nécessaire si l'affaiblissement requis sur le site de test n'est pas respecté. Cet affaiblissement requis s'applique aussi dans le cas des chambres semi-anéchoïdes.</w:t>
      </w:r>
    </w:p>
    <w:p w14:paraId="5728ED79" w14:textId="77777777" w:rsidR="00CD45DB" w:rsidRPr="00F110C2" w:rsidRDefault="00CD45DB" w:rsidP="00254EC9">
      <w:r w:rsidRPr="00F110C2">
        <w:t xml:space="preserve">On disposera bientôt d'autres équipements, qui serviront de sites de mesure des émissions dans le domaine des rayonnements non essentiels. Il s'agit de diverses chambres, telles que les chambres entièrement anéchoïdes, les chambres à agitateur (SMC, </w:t>
      </w:r>
      <w:r w:rsidRPr="00F110C2">
        <w:rPr>
          <w:i/>
          <w:iCs/>
        </w:rPr>
        <w:t>stirred mode chambers</w:t>
      </w:r>
      <w:r w:rsidRPr="00F110C2">
        <w:t xml:space="preserve">) et les systèmes à ondes électromagnétiques transverses (TEM, </w:t>
      </w:r>
      <w:r w:rsidRPr="00F110C2">
        <w:rPr>
          <w:i/>
          <w:iCs/>
        </w:rPr>
        <w:t>transverse electromagnetic</w:t>
      </w:r>
      <w:r w:rsidRPr="00F110C2">
        <w:t>) ou les systèmes TEM en gigahertz (GTEM). La chambre SMC est décrite dans la Publication 16-1 du CISPR de la CEI. Des projets de normes CEI 61000</w:t>
      </w:r>
      <w:r w:rsidRPr="00F110C2">
        <w:noBreakHyphen/>
        <w:t>4</w:t>
      </w:r>
      <w:r w:rsidRPr="00F110C2">
        <w:noBreakHyphen/>
        <w:t>20 (TEM) et CEI 61000-4-21 (SMC) ont été publiés (à l'automne 2000).</w:t>
      </w:r>
    </w:p>
    <w:p w14:paraId="582B1AB7" w14:textId="77777777" w:rsidR="00CD45DB" w:rsidRPr="00F110C2" w:rsidRDefault="00CD45DB" w:rsidP="00254EC9">
      <w:pPr>
        <w:pStyle w:val="Heading4"/>
      </w:pPr>
      <w:r w:rsidRPr="00F110C2">
        <w:t>3.3.1.3</w:t>
      </w:r>
      <w:r w:rsidRPr="00F110C2">
        <w:tab/>
        <w:t>Site de test au-dessus de 1 GHz</w:t>
      </w:r>
    </w:p>
    <w:p w14:paraId="08ACBD91" w14:textId="77777777" w:rsidR="00CD45DB" w:rsidRPr="00F110C2" w:rsidRDefault="00CD45DB" w:rsidP="00254EC9">
      <w:r w:rsidRPr="00F110C2">
        <w:t>(Voir la Publication 16-1:1999-10 du CISPR, les prescriptions en matière de validation sont à l'étude.)</w:t>
      </w:r>
    </w:p>
    <w:p w14:paraId="65F12A68" w14:textId="77777777" w:rsidR="00CD45DB" w:rsidRPr="00F110C2" w:rsidRDefault="00CD45DB" w:rsidP="00254EC9">
      <w:r w:rsidRPr="00F110C2">
        <w:t>Les tests peuvent être faits dans une chambre entièrement anéchoïde. Des chambres avec réverbération seront en outre bientôt disponibles.</w:t>
      </w:r>
    </w:p>
    <w:p w14:paraId="6FF4C39A" w14:textId="77777777" w:rsidR="00CD45DB" w:rsidRPr="00F110C2" w:rsidRDefault="00CD45DB" w:rsidP="00254EC9">
      <w:pPr>
        <w:pStyle w:val="Heading3"/>
      </w:pPr>
      <w:r w:rsidRPr="00F110C2">
        <w:t>3.3.2</w:t>
      </w:r>
      <w:r w:rsidRPr="00F110C2">
        <w:tab/>
        <w:t>Approche directe</w:t>
      </w:r>
    </w:p>
    <w:p w14:paraId="1C00D366" w14:textId="26965D60" w:rsidR="00CD45DB" w:rsidRPr="00F110C2" w:rsidRDefault="00CD45DB" w:rsidP="00254EC9">
      <w:r w:rsidRPr="00F110C2">
        <w:t>Dans cette approche, il faut étalonner chacun des composants utilisés pour la mesure (filtre(s), câbles) ou étalonner l'ensemble du montage de mesure. On se reportera au § 3.2.1</w:t>
      </w:r>
      <w:r w:rsidR="00512A73" w:rsidRPr="00F110C2">
        <w:t>,</w:t>
      </w:r>
      <w:r w:rsidRPr="00F110C2">
        <w:t xml:space="preserve"> Approche directe</w:t>
      </w:r>
      <w:r w:rsidR="00512A73" w:rsidRPr="00F110C2">
        <w:t>,</w:t>
      </w:r>
      <w:r w:rsidRPr="00F110C2">
        <w:t xml:space="preserve"> pour ce qui est de la détermination du facteur d'étalonnage du montage de mesure à la fréquence </w:t>
      </w:r>
      <w:r w:rsidRPr="00F110C2">
        <w:rPr>
          <w:i/>
        </w:rPr>
        <w:t>f</w:t>
      </w:r>
      <w:r w:rsidRPr="00F110C2">
        <w:t>.</w:t>
      </w:r>
    </w:p>
    <w:p w14:paraId="66BAAB9F" w14:textId="77777777" w:rsidR="00CD45DB" w:rsidRPr="00F110C2" w:rsidRDefault="00CD45DB" w:rsidP="00254EC9">
      <w:r w:rsidRPr="00F110C2">
        <w:t xml:space="preserve">La p.i.r.e. des émissions dans le domaine des émissions hors bande, </w:t>
      </w:r>
      <w:r w:rsidRPr="00F110C2">
        <w:rPr>
          <w:i/>
          <w:iCs/>
        </w:rPr>
        <w:t>P</w:t>
      </w:r>
      <w:r w:rsidRPr="00F110C2">
        <w:rPr>
          <w:i/>
          <w:iCs/>
          <w:position w:val="-4"/>
          <w:sz w:val="20"/>
        </w:rPr>
        <w:t>s,</w:t>
      </w:r>
      <w:r w:rsidRPr="00F110C2">
        <w:rPr>
          <w:rFonts w:ascii="Tms Rmn" w:hAnsi="Tms Rmn"/>
          <w:i/>
          <w:iCs/>
          <w:position w:val="-4"/>
          <w:sz w:val="12"/>
        </w:rPr>
        <w:t> </w:t>
      </w:r>
      <w:r w:rsidRPr="00F110C2">
        <w:rPr>
          <w:i/>
          <w:iCs/>
          <w:position w:val="-4"/>
          <w:sz w:val="20"/>
        </w:rPr>
        <w:t>f</w:t>
      </w:r>
      <w:r w:rsidRPr="00F110C2">
        <w:rPr>
          <w:rFonts w:ascii="Tms Rmn" w:hAnsi="Tms Rmn"/>
          <w:i/>
          <w:iCs/>
          <w:position w:val="-4"/>
          <w:sz w:val="12"/>
        </w:rPr>
        <w:t> </w:t>
      </w:r>
      <w:r w:rsidRPr="00F110C2">
        <w:t>, à la fréquence </w:t>
      </w:r>
      <w:r w:rsidRPr="00F110C2">
        <w:rPr>
          <w:i/>
        </w:rPr>
        <w:t>f</w:t>
      </w:r>
      <w:r w:rsidRPr="00F110C2">
        <w:t>, est donnée pour les conditions d'espace libre, par la formule suivante:</w:t>
      </w:r>
    </w:p>
    <w:p w14:paraId="2256DC1D" w14:textId="77777777" w:rsidR="00CD45DB" w:rsidRPr="00F110C2" w:rsidRDefault="00CD45DB" w:rsidP="00254EC9">
      <w:pPr>
        <w:pStyle w:val="Equation"/>
      </w:pPr>
      <w:r w:rsidRPr="00F110C2">
        <w:tab/>
      </w:r>
      <w:r w:rsidRPr="00F110C2">
        <w:tab/>
      </w:r>
      <w:r w:rsidRPr="00F110C2">
        <w:rPr>
          <w:position w:val="-16"/>
          <w:sz w:val="20"/>
        </w:rPr>
        <w:object w:dxaOrig="5280" w:dyaOrig="400" w14:anchorId="4C57C06B">
          <v:shape id="_x0000_i1615" type="#_x0000_t75" style="width:263pt;height:20.45pt" o:ole="" fillcolor="window">
            <v:imagedata r:id="rId237" o:title=""/>
          </v:shape>
          <o:OLEObject Type="Embed" ProgID="Equation.3" ShapeID="_x0000_i1615" DrawAspect="Content" ObjectID="_1801482077" r:id="rId238"/>
        </w:object>
      </w:r>
    </w:p>
    <w:p w14:paraId="794706D8" w14:textId="77777777" w:rsidR="00CD45DB" w:rsidRPr="00F110C2" w:rsidRDefault="00CD45DB" w:rsidP="00254EC9">
      <w:r w:rsidRPr="00F110C2">
        <w:t xml:space="preserve">où: </w:t>
      </w:r>
    </w:p>
    <w:p w14:paraId="34DE8328" w14:textId="1548C905" w:rsidR="00CD45DB" w:rsidRPr="00F110C2" w:rsidRDefault="00CD45DB" w:rsidP="00254EC9">
      <w:pPr>
        <w:pStyle w:val="Equationlegend"/>
        <w:rPr>
          <w:lang w:val="fr-FR"/>
        </w:rPr>
      </w:pPr>
      <w:r w:rsidRPr="00F110C2">
        <w:rPr>
          <w:lang w:val="fr-FR"/>
        </w:rPr>
        <w:tab/>
      </w:r>
      <w:r w:rsidRPr="00F110C2">
        <w:rPr>
          <w:i/>
          <w:iCs/>
          <w:lang w:val="fr-FR"/>
        </w:rPr>
        <w:t>P</w:t>
      </w:r>
      <w:r w:rsidRPr="00F110C2">
        <w:rPr>
          <w:i/>
          <w:iCs/>
          <w:position w:val="-4"/>
          <w:sz w:val="20"/>
          <w:lang w:val="fr-FR"/>
        </w:rPr>
        <w:t>r,</w:t>
      </w:r>
      <w:r w:rsidRPr="00F110C2">
        <w:rPr>
          <w:rFonts w:ascii="Tms Rmn" w:hAnsi="Tms Rmn"/>
          <w:i/>
          <w:iCs/>
          <w:position w:val="-4"/>
          <w:sz w:val="12"/>
          <w:lang w:val="fr-FR"/>
        </w:rPr>
        <w:t> </w:t>
      </w:r>
      <w:r w:rsidRPr="00F110C2">
        <w:rPr>
          <w:i/>
          <w:iCs/>
          <w:position w:val="-4"/>
          <w:sz w:val="20"/>
          <w:lang w:val="fr-FR"/>
        </w:rPr>
        <w:t>f</w:t>
      </w:r>
      <w:r w:rsidR="00512A73" w:rsidRPr="00F110C2">
        <w:rPr>
          <w:lang w:val="fr-FR"/>
        </w:rPr>
        <w:t xml:space="preserve"> </w:t>
      </w:r>
      <w:r w:rsidRPr="00F110C2">
        <w:rPr>
          <w:lang w:val="fr-FR"/>
        </w:rPr>
        <w:t>:</w:t>
      </w:r>
      <w:r w:rsidRPr="00F110C2">
        <w:rPr>
          <w:lang w:val="fr-FR"/>
        </w:rPr>
        <w:tab/>
        <w:t>puissance des émissions dans le domaine des émissions hors bande, lue sur le récepteur de mesure, à la fréquence </w:t>
      </w:r>
      <w:r w:rsidRPr="00F110C2">
        <w:rPr>
          <w:i/>
          <w:lang w:val="fr-FR"/>
        </w:rPr>
        <w:t xml:space="preserve">f </w:t>
      </w:r>
      <w:r w:rsidRPr="00F110C2">
        <w:rPr>
          <w:lang w:val="fr-FR"/>
        </w:rPr>
        <w:t xml:space="preserve">(dBW ou dBm, même unité que </w:t>
      </w:r>
      <w:r w:rsidRPr="00F110C2">
        <w:rPr>
          <w:i/>
          <w:iCs/>
          <w:lang w:val="fr-FR"/>
        </w:rPr>
        <w:t>P</w:t>
      </w:r>
      <w:r w:rsidRPr="00F110C2">
        <w:rPr>
          <w:i/>
          <w:iCs/>
          <w:position w:val="-4"/>
          <w:sz w:val="20"/>
          <w:lang w:val="fr-FR"/>
        </w:rPr>
        <w:t>s,</w:t>
      </w:r>
      <w:r w:rsidRPr="00F110C2">
        <w:rPr>
          <w:rFonts w:ascii="Tms Rmn" w:hAnsi="Tms Rmn"/>
          <w:i/>
          <w:iCs/>
          <w:position w:val="-4"/>
          <w:sz w:val="12"/>
          <w:lang w:val="fr-FR"/>
        </w:rPr>
        <w:t> </w:t>
      </w:r>
      <w:r w:rsidRPr="00F110C2">
        <w:rPr>
          <w:i/>
          <w:iCs/>
          <w:position w:val="-4"/>
          <w:sz w:val="20"/>
          <w:lang w:val="fr-FR"/>
        </w:rPr>
        <w:t>f</w:t>
      </w:r>
      <w:r w:rsidRPr="00F110C2">
        <w:rPr>
          <w:lang w:val="fr-FR"/>
        </w:rPr>
        <w:t>)</w:t>
      </w:r>
    </w:p>
    <w:p w14:paraId="575A6494" w14:textId="51B06A4E" w:rsidR="00CD45DB" w:rsidRPr="00F110C2" w:rsidRDefault="00CD45DB" w:rsidP="00254EC9">
      <w:pPr>
        <w:pStyle w:val="Equationlegend"/>
        <w:rPr>
          <w:lang w:val="fr-FR"/>
        </w:rPr>
      </w:pPr>
      <w:r w:rsidRPr="00F110C2">
        <w:rPr>
          <w:lang w:val="fr-FR"/>
        </w:rPr>
        <w:tab/>
      </w:r>
      <w:r w:rsidRPr="00F110C2">
        <w:rPr>
          <w:i/>
          <w:iCs/>
          <w:lang w:val="fr-FR"/>
        </w:rPr>
        <w:t>k</w:t>
      </w:r>
      <w:r w:rsidRPr="00F110C2">
        <w:rPr>
          <w:i/>
          <w:iCs/>
          <w:position w:val="-4"/>
          <w:sz w:val="20"/>
          <w:lang w:val="fr-FR"/>
        </w:rPr>
        <w:t>ms,</w:t>
      </w:r>
      <w:r w:rsidRPr="00F110C2">
        <w:rPr>
          <w:rFonts w:ascii="Tms Rmn" w:hAnsi="Tms Rmn"/>
          <w:i/>
          <w:iCs/>
          <w:position w:val="-4"/>
          <w:sz w:val="12"/>
          <w:lang w:val="fr-FR"/>
        </w:rPr>
        <w:t> </w:t>
      </w:r>
      <w:r w:rsidRPr="00F110C2">
        <w:rPr>
          <w:i/>
          <w:iCs/>
          <w:position w:val="-4"/>
          <w:sz w:val="20"/>
          <w:lang w:val="fr-FR"/>
        </w:rPr>
        <w:t>f</w:t>
      </w:r>
      <w:r w:rsidR="00512A73" w:rsidRPr="00F110C2">
        <w:rPr>
          <w:i/>
          <w:iCs/>
          <w:position w:val="-4"/>
          <w:sz w:val="20"/>
          <w:lang w:val="fr-FR"/>
        </w:rPr>
        <w:t xml:space="preserve"> </w:t>
      </w:r>
      <w:r w:rsidRPr="00F110C2">
        <w:rPr>
          <w:lang w:val="fr-FR"/>
        </w:rPr>
        <w:t>:</w:t>
      </w:r>
      <w:r w:rsidRPr="00F110C2">
        <w:rPr>
          <w:lang w:val="fr-FR"/>
        </w:rPr>
        <w:tab/>
        <w:t>facteur d'étalonnage du montage de mesure à la fréquence </w:t>
      </w:r>
      <w:r w:rsidRPr="00F110C2">
        <w:rPr>
          <w:i/>
          <w:lang w:val="fr-FR"/>
        </w:rPr>
        <w:t>f</w:t>
      </w:r>
      <w:r w:rsidRPr="00F110C2">
        <w:rPr>
          <w:lang w:val="fr-FR"/>
        </w:rPr>
        <w:t xml:space="preserve"> (dB)</w:t>
      </w:r>
    </w:p>
    <w:p w14:paraId="41D173CF" w14:textId="79AD19E5" w:rsidR="00CD45DB" w:rsidRPr="00F110C2" w:rsidRDefault="00CD45DB" w:rsidP="00254EC9">
      <w:pPr>
        <w:pStyle w:val="Equationlegend"/>
        <w:rPr>
          <w:lang w:val="fr-FR"/>
        </w:rPr>
      </w:pPr>
      <w:r w:rsidRPr="00F110C2">
        <w:rPr>
          <w:lang w:val="fr-FR"/>
        </w:rPr>
        <w:tab/>
      </w:r>
      <w:r w:rsidRPr="00F110C2">
        <w:rPr>
          <w:i/>
          <w:iCs/>
          <w:lang w:val="fr-FR"/>
        </w:rPr>
        <w:t>G</w:t>
      </w:r>
      <w:r w:rsidRPr="00F110C2">
        <w:rPr>
          <w:i/>
          <w:iCs/>
          <w:position w:val="-4"/>
          <w:sz w:val="20"/>
          <w:lang w:val="fr-FR"/>
        </w:rPr>
        <w:t>f</w:t>
      </w:r>
      <w:r w:rsidR="00512A73" w:rsidRPr="00F110C2">
        <w:rPr>
          <w:i/>
          <w:iCs/>
          <w:position w:val="-4"/>
          <w:sz w:val="20"/>
          <w:lang w:val="fr-FR"/>
        </w:rPr>
        <w:t xml:space="preserve"> </w:t>
      </w:r>
      <w:r w:rsidRPr="00F110C2">
        <w:rPr>
          <w:lang w:val="fr-FR"/>
        </w:rPr>
        <w:t>:</w:t>
      </w:r>
      <w:r w:rsidRPr="00F110C2">
        <w:rPr>
          <w:lang w:val="fr-FR"/>
        </w:rPr>
        <w:tab/>
        <w:t>gain de l'antenne de mesure étalonnée à la fréquence </w:t>
      </w:r>
      <w:r w:rsidRPr="00F110C2">
        <w:rPr>
          <w:i/>
          <w:lang w:val="fr-FR"/>
        </w:rPr>
        <w:t>f</w:t>
      </w:r>
      <w:r w:rsidRPr="00F110C2">
        <w:rPr>
          <w:lang w:val="fr-FR"/>
        </w:rPr>
        <w:t xml:space="preserve"> (dBi)</w:t>
      </w:r>
    </w:p>
    <w:p w14:paraId="1B549136" w14:textId="2BE156F8" w:rsidR="00CD45DB" w:rsidRPr="00F110C2" w:rsidRDefault="00CD45DB" w:rsidP="00254EC9">
      <w:pPr>
        <w:pStyle w:val="Equationlegend"/>
        <w:rPr>
          <w:lang w:val="fr-FR"/>
        </w:rPr>
      </w:pPr>
      <w:r w:rsidRPr="00F110C2">
        <w:rPr>
          <w:i/>
          <w:lang w:val="fr-FR"/>
        </w:rPr>
        <w:tab/>
      </w:r>
      <w:r w:rsidR="00512A73" w:rsidRPr="00F110C2">
        <w:rPr>
          <w:i/>
          <w:lang w:val="fr-FR"/>
        </w:rPr>
        <w:t xml:space="preserve">f </w:t>
      </w:r>
      <w:r w:rsidRPr="00F110C2">
        <w:rPr>
          <w:lang w:val="fr-FR"/>
        </w:rPr>
        <w:t>:</w:t>
      </w:r>
      <w:r w:rsidRPr="00F110C2">
        <w:rPr>
          <w:lang w:val="fr-FR"/>
        </w:rPr>
        <w:tab/>
        <w:t>fréquence des émissions dans le domaine des émissions hors bande (MHz)</w:t>
      </w:r>
    </w:p>
    <w:p w14:paraId="16538343" w14:textId="19D97C6E" w:rsidR="00CD45DB" w:rsidRPr="00F110C2" w:rsidRDefault="00CD45DB" w:rsidP="00254EC9">
      <w:pPr>
        <w:pStyle w:val="Equationlegend"/>
        <w:rPr>
          <w:lang w:val="fr-FR"/>
        </w:rPr>
      </w:pPr>
      <w:r w:rsidRPr="00F110C2">
        <w:rPr>
          <w:lang w:val="fr-FR"/>
        </w:rPr>
        <w:tab/>
      </w:r>
      <w:r w:rsidRPr="00F110C2">
        <w:rPr>
          <w:i/>
          <w:iCs/>
          <w:lang w:val="fr-FR"/>
        </w:rPr>
        <w:t>d</w:t>
      </w:r>
      <w:r w:rsidR="00512A73" w:rsidRPr="00F110C2">
        <w:rPr>
          <w:i/>
          <w:iCs/>
          <w:lang w:val="fr-FR"/>
        </w:rPr>
        <w:t xml:space="preserve"> </w:t>
      </w:r>
      <w:r w:rsidRPr="00F110C2">
        <w:rPr>
          <w:lang w:val="fr-FR"/>
        </w:rPr>
        <w:t>:</w:t>
      </w:r>
      <w:r w:rsidRPr="00F110C2">
        <w:rPr>
          <w:lang w:val="fr-FR"/>
        </w:rPr>
        <w:tab/>
        <w:t>distance (m) entre l'antenne émettrice et l'antenne de mesure étalonnée.</w:t>
      </w:r>
    </w:p>
    <w:p w14:paraId="1CDF4F20" w14:textId="77777777" w:rsidR="00CD45DB" w:rsidRPr="00F110C2" w:rsidRDefault="00CD45DB" w:rsidP="00254EC9">
      <w:pPr>
        <w:pStyle w:val="Heading3"/>
      </w:pPr>
      <w:r w:rsidRPr="00F110C2">
        <w:t>3.3.3</w:t>
      </w:r>
      <w:r w:rsidRPr="00F110C2">
        <w:tab/>
        <w:t>Approche par substitution</w:t>
      </w:r>
    </w:p>
    <w:p w14:paraId="2BDDD393" w14:textId="5BA67E6E" w:rsidR="0032407B" w:rsidRPr="00F110C2" w:rsidRDefault="00CD45DB" w:rsidP="00254EC9">
      <w:r w:rsidRPr="00F110C2">
        <w:t>Dans cette approche, on utilise une antenne de substitution étalonnée et un générateur étalonné, la source de test étant réglée pour obtenir le même signal hors bande reçu (voir la Publication 16</w:t>
      </w:r>
      <w:r w:rsidRPr="00F110C2">
        <w:noBreakHyphen/>
        <w:t>2:1996</w:t>
      </w:r>
      <w:r w:rsidR="00512A73" w:rsidRPr="00F110C2">
        <w:noBreakHyphen/>
      </w:r>
      <w:r w:rsidRPr="00F110C2">
        <w:t>11 du CISPR pour plus de détails).</w:t>
      </w:r>
    </w:p>
    <w:p w14:paraId="02D40249" w14:textId="1B67D09D" w:rsidR="00CD45DB" w:rsidRPr="00F110C2" w:rsidRDefault="00CD45DB" w:rsidP="00254EC9">
      <w:pPr>
        <w:pStyle w:val="AnnexNoTitle"/>
        <w:outlineLvl w:val="0"/>
      </w:pPr>
      <w:r w:rsidRPr="00F110C2">
        <w:lastRenderedPageBreak/>
        <w:t>Annexe 14</w:t>
      </w:r>
      <w:r w:rsidRPr="00F110C2">
        <w:br/>
      </w:r>
      <w:r w:rsidRPr="00F110C2">
        <w:br/>
        <w:t>Application des Recommandations UIT-R SM.1541</w:t>
      </w:r>
      <w:r w:rsidR="00512A73" w:rsidRPr="00F110C2">
        <w:t xml:space="preserve"> </w:t>
      </w:r>
      <w:r w:rsidRPr="00F110C2">
        <w:t>et UIT-R SM.1540</w:t>
      </w:r>
    </w:p>
    <w:p w14:paraId="1A685C46" w14:textId="77777777" w:rsidR="00CD45DB" w:rsidRPr="00F110C2" w:rsidRDefault="00CD45DB" w:rsidP="00254EC9">
      <w:pPr>
        <w:pStyle w:val="Normalaftertitle"/>
      </w:pPr>
      <w:r w:rsidRPr="00F110C2">
        <w:t>Ces gabarits génériques des émissions hors bande sont destinés à être appliqués:</w:t>
      </w:r>
    </w:p>
    <w:p w14:paraId="30A8B449" w14:textId="3CC8769E" w:rsidR="00CD45DB" w:rsidRPr="00F110C2" w:rsidRDefault="00932E82" w:rsidP="00254EC9">
      <w:pPr>
        <w:pStyle w:val="enumlev1"/>
      </w:pPr>
      <w:r>
        <w:rPr>
          <w:lang w:val="en-GB"/>
        </w:rPr>
        <w:t>–</w:t>
      </w:r>
      <w:r w:rsidR="00CD45DB" w:rsidRPr="00F110C2">
        <w:tab/>
        <w:t>en dehors de la bande assignée au système dont on prend en considération les émissions dans le domaine des émissions hors bande, mais à l'intérieur de la bande attribuée au service dans lequel le système en question fonctionne; et</w:t>
      </w:r>
    </w:p>
    <w:p w14:paraId="5319309B" w14:textId="4953F829" w:rsidR="00CD45DB" w:rsidRPr="00F110C2" w:rsidRDefault="00932E82" w:rsidP="00254EC9">
      <w:pPr>
        <w:pStyle w:val="enumlev1"/>
      </w:pPr>
      <w:r>
        <w:rPr>
          <w:lang w:val="en-GB"/>
        </w:rPr>
        <w:t>–</w:t>
      </w:r>
      <w:r w:rsidR="00CD45DB" w:rsidRPr="00F110C2">
        <w:tab/>
        <w:t>à l'intérieur des bandes attribuées adjacentes. La Recommandation UIT-R SM.1540 donne des indications dans le cas d'émissions qui sont très proches des bords de la bande assignée totale et qui comportent des émissions dans le domaine des émissions hors bande se situant dans une bande adjacente attribuée à un autre service.</w:t>
      </w:r>
    </w:p>
    <w:p w14:paraId="086A8D38" w14:textId="76BB4963" w:rsidR="00CD45DB" w:rsidRPr="00F110C2" w:rsidRDefault="00CD45DB" w:rsidP="00254EC9">
      <w:r w:rsidRPr="00F110C2">
        <w:t>La Fig</w:t>
      </w:r>
      <w:r w:rsidR="00512A73" w:rsidRPr="00F110C2">
        <w:t>ure</w:t>
      </w:r>
      <w:r w:rsidRPr="00F110C2">
        <w:t> 57 donne une récapitulation:</w:t>
      </w:r>
    </w:p>
    <w:p w14:paraId="7AB847D3" w14:textId="77777777" w:rsidR="00CD45DB" w:rsidRPr="00F110C2" w:rsidRDefault="00CD45DB" w:rsidP="00254EC9">
      <w:pPr>
        <w:pStyle w:val="FigureNo"/>
      </w:pPr>
      <w:r w:rsidRPr="00F110C2">
        <w:t>figure 57</w:t>
      </w:r>
    </w:p>
    <w:p w14:paraId="0AA8697C" w14:textId="77777777" w:rsidR="00CD45DB" w:rsidRPr="00F110C2" w:rsidRDefault="00CD45DB" w:rsidP="00254EC9">
      <w:pPr>
        <w:pStyle w:val="Figuretitle"/>
      </w:pPr>
      <w:r w:rsidRPr="00F110C2">
        <w:t>Plage de fréquences dans laquelle les gabarits génériques</w:t>
      </w:r>
      <w:r w:rsidRPr="00F110C2">
        <w:br/>
        <w:t>des émissions hors bande peuvent s'appliquer</w:t>
      </w:r>
    </w:p>
    <w:p w14:paraId="79E36906" w14:textId="77777777" w:rsidR="00CD45DB" w:rsidRPr="00F110C2" w:rsidRDefault="00CD45DB" w:rsidP="00254EC9">
      <w:pPr>
        <w:pStyle w:val="Figure"/>
      </w:pPr>
      <w:r w:rsidRPr="00F110C2">
        <w:drawing>
          <wp:inline distT="0" distB="0" distL="0" distR="0" wp14:anchorId="7FBB4611" wp14:editId="4E7BFA9A">
            <wp:extent cx="5976620" cy="2231390"/>
            <wp:effectExtent l="0" t="0" r="5080" b="0"/>
            <wp:docPr id="1074218945" name="Picture 2"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18945" name="Picture 2" descr="A black and white text&#10;&#10;AI-generated content may be incorrect."/>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976620" cy="2231390"/>
                    </a:xfrm>
                    <a:prstGeom prst="rect">
                      <a:avLst/>
                    </a:prstGeom>
                    <a:noFill/>
                    <a:ln>
                      <a:noFill/>
                    </a:ln>
                  </pic:spPr>
                </pic:pic>
              </a:graphicData>
            </a:graphic>
          </wp:inline>
        </w:drawing>
      </w:r>
    </w:p>
    <w:p w14:paraId="2441071D" w14:textId="248BB60E" w:rsidR="00CD45DB" w:rsidRPr="00F110C2" w:rsidRDefault="00512A73" w:rsidP="00254EC9">
      <w:pPr>
        <w:pStyle w:val="Note"/>
      </w:pPr>
      <w:r w:rsidRPr="00F110C2">
        <w:t xml:space="preserve">NOTE </w:t>
      </w:r>
      <w:r w:rsidR="0023743D" w:rsidRPr="00F110C2">
        <w:t>–</w:t>
      </w:r>
      <w:r w:rsidR="0023743D" w:rsidRPr="00F110C2">
        <w:t xml:space="preserve"> </w:t>
      </w:r>
      <w:r w:rsidRPr="00F110C2">
        <w:t>La</w:t>
      </w:r>
      <w:r w:rsidR="00CD45DB" w:rsidRPr="00F110C2">
        <w:t xml:space="preserve"> présente Recommandation sur les émissions dans le domaine des émissions hors bande s'applique à la bande assignée totale jusqu'au début du domaine des rayonnements non essentiels.</w:t>
      </w:r>
    </w:p>
    <w:bookmarkEnd w:id="5"/>
    <w:p w14:paraId="03EF564B" w14:textId="77777777" w:rsidR="00EB30DF" w:rsidRPr="00F110C2" w:rsidRDefault="00EB30DF" w:rsidP="00254EC9">
      <w:pPr>
        <w:pStyle w:val="Line"/>
      </w:pPr>
    </w:p>
    <w:sectPr w:rsidR="00EB30DF" w:rsidRPr="00F110C2" w:rsidSect="00A17180">
      <w:headerReference w:type="even" r:id="rId240"/>
      <w:headerReference w:type="default" r:id="rId241"/>
      <w:footerReference w:type="default" r:id="rId2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39632" w14:textId="77777777" w:rsidR="00EB30DF" w:rsidRDefault="00EB30DF">
      <w:r>
        <w:separator/>
      </w:r>
    </w:p>
  </w:endnote>
  <w:endnote w:type="continuationSeparator" w:id="0">
    <w:p w14:paraId="503442DB" w14:textId="77777777" w:rsidR="00EB30DF" w:rsidRDefault="00EB3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egoe UI">
    <w:altName w:val="Sylfaen"/>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Helvetica">
    <w:panose1 w:val="020B0604020202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48CC8" w14:textId="77777777" w:rsidR="00EB30DF" w:rsidRDefault="00EB30DF">
    <w:pPr>
      <w:pStyle w:val="Footer"/>
    </w:pPr>
    <w:r>
      <w:drawing>
        <wp:anchor distT="0" distB="0" distL="0" distR="0" simplePos="0" relativeHeight="251659264" behindDoc="0" locked="0" layoutInCell="1" allowOverlap="1" wp14:anchorId="42A05A75" wp14:editId="1CBB00DD">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12387" w14:textId="0291CA53" w:rsidR="00A17180" w:rsidRDefault="00A171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9364B" w14:textId="77777777" w:rsidR="00EB30DF" w:rsidRDefault="00EB30DF">
      <w:r>
        <w:separator/>
      </w:r>
    </w:p>
  </w:footnote>
  <w:footnote w:type="continuationSeparator" w:id="0">
    <w:p w14:paraId="46DBDC8A" w14:textId="77777777" w:rsidR="00EB30DF" w:rsidRDefault="00EB30DF">
      <w:r>
        <w:continuationSeparator/>
      </w:r>
    </w:p>
  </w:footnote>
  <w:footnote w:id="1">
    <w:p w14:paraId="7F6BF939" w14:textId="76BA5E63" w:rsidR="00CD45DB" w:rsidRPr="0000181C" w:rsidRDefault="00CD45DB" w:rsidP="00CD45DB">
      <w:pPr>
        <w:pStyle w:val="FootnoteText"/>
      </w:pPr>
      <w:r w:rsidRPr="00765804">
        <w:rPr>
          <w:rStyle w:val="FootnoteReference"/>
        </w:rPr>
        <w:t>*</w:t>
      </w:r>
      <w:r w:rsidRPr="00765804">
        <w:tab/>
        <w:t>La présente Recommandation doit être portée à l</w:t>
      </w:r>
      <w:r w:rsidR="00254EC9">
        <w:t>'</w:t>
      </w:r>
      <w:r w:rsidRPr="00765804">
        <w:t>attention des Commissions d</w:t>
      </w:r>
      <w:r w:rsidR="00254EC9">
        <w:t>'</w:t>
      </w:r>
      <w:r w:rsidRPr="00765804">
        <w:t>études 4, 5, 6 et 7 des radiocommunications.</w:t>
      </w:r>
    </w:p>
  </w:footnote>
  <w:footnote w:id="2">
    <w:p w14:paraId="0A99ABE3" w14:textId="09123F56" w:rsidR="00CD45DB" w:rsidRPr="0000181C" w:rsidRDefault="00CD45DB" w:rsidP="00CD45DB">
      <w:pPr>
        <w:pStyle w:val="FootnoteText"/>
      </w:pPr>
      <w:r w:rsidRPr="0000181C">
        <w:rPr>
          <w:rStyle w:val="FootnoteReference"/>
        </w:rPr>
        <w:t>**</w:t>
      </w:r>
      <w:r w:rsidRPr="0000181C">
        <w:tab/>
        <w:t>Dans le domaine des émissions hors bande, bien que les émissions hors bande soient prédominantes en règle générale, il se produit aussi des rayonnements non essentiels. Il importe de noter que, dans la présente Recommandation, les limites s</w:t>
      </w:r>
      <w:r w:rsidR="00254EC9">
        <w:t>'</w:t>
      </w:r>
      <w:r w:rsidRPr="0000181C">
        <w:t>appliquent à tous les rayonnements non désirés dans le domaine des émissions hors bande</w:t>
      </w:r>
      <w:r>
        <w:t>.</w:t>
      </w:r>
    </w:p>
  </w:footnote>
  <w:footnote w:id="3">
    <w:p w14:paraId="4463E57A" w14:textId="67776D1C" w:rsidR="00CD45DB" w:rsidRPr="004A4F28" w:rsidRDefault="00CD45DB" w:rsidP="00CD45DB">
      <w:pPr>
        <w:pStyle w:val="FootnoteText"/>
      </w:pPr>
      <w:r>
        <w:rPr>
          <w:rStyle w:val="FootnoteReference"/>
        </w:rPr>
        <w:footnoteRef/>
      </w:r>
      <w:r w:rsidRPr="004A4F28">
        <w:tab/>
        <w:t>Les limites des émissions dans le domaine hors bande s</w:t>
      </w:r>
      <w:r w:rsidR="00254EC9">
        <w:t>'</w:t>
      </w:r>
      <w:r w:rsidRPr="004A4F28">
        <w:t>appliquent aux rayonnements non désirés (émissions hors bande et rayonnements non essentiels) dans le domaine des émissions hors bande.</w:t>
      </w:r>
    </w:p>
  </w:footnote>
  <w:footnote w:id="4">
    <w:p w14:paraId="47675422" w14:textId="3F76C5D7" w:rsidR="00CD45DB" w:rsidRPr="005538FA" w:rsidRDefault="00CD45DB" w:rsidP="00CD45DB">
      <w:pPr>
        <w:pStyle w:val="FootnoteText"/>
        <w:rPr>
          <w:lang w:val="fr-CH"/>
        </w:rPr>
      </w:pPr>
      <w:r>
        <w:rPr>
          <w:rStyle w:val="FootnoteReference"/>
        </w:rPr>
        <w:footnoteRef/>
      </w:r>
      <w:r w:rsidRPr="005538FA">
        <w:rPr>
          <w:lang w:val="fr-CH"/>
        </w:rPr>
        <w:tab/>
      </w:r>
      <w:r>
        <w:rPr>
          <w:lang w:val="fr-CH"/>
        </w:rPr>
        <w:t>La durée de l</w:t>
      </w:r>
      <w:r w:rsidR="00254EC9">
        <w:rPr>
          <w:lang w:val="fr-CH"/>
        </w:rPr>
        <w:t>'</w:t>
      </w:r>
      <w:r>
        <w:rPr>
          <w:lang w:val="fr-CH"/>
        </w:rPr>
        <w:t>impulsion est la durée, en secondes, entre les points d</w:t>
      </w:r>
      <w:r w:rsidR="00254EC9">
        <w:rPr>
          <w:lang w:val="fr-CH"/>
        </w:rPr>
        <w:t>'</w:t>
      </w:r>
      <w:r>
        <w:rPr>
          <w:lang w:val="fr-CH"/>
        </w:rPr>
        <w:t>amplitude 50% (tension). Pour les impulsions codées, la durée de l</w:t>
      </w:r>
      <w:r w:rsidR="00254EC9">
        <w:rPr>
          <w:lang w:val="fr-CH"/>
        </w:rPr>
        <w:t>'</w:t>
      </w:r>
      <w:r>
        <w:rPr>
          <w:lang w:val="fr-CH"/>
        </w:rPr>
        <w:t>impulsion est l</w:t>
      </w:r>
      <w:r w:rsidR="00254EC9">
        <w:rPr>
          <w:lang w:val="fr-CH"/>
        </w:rPr>
        <w:t>'</w:t>
      </w:r>
      <w:r>
        <w:rPr>
          <w:lang w:val="fr-CH"/>
        </w:rPr>
        <w:t>intervalle entre les points d</w:t>
      </w:r>
      <w:r w:rsidR="00254EC9">
        <w:rPr>
          <w:lang w:val="fr-CH"/>
        </w:rPr>
        <w:t>'</w:t>
      </w:r>
      <w:r>
        <w:rPr>
          <w:lang w:val="fr-CH"/>
        </w:rPr>
        <w:t>amplitude 50% d</w:t>
      </w:r>
      <w:r w:rsidR="00254EC9">
        <w:rPr>
          <w:lang w:val="fr-CH"/>
        </w:rPr>
        <w:t>'</w:t>
      </w:r>
      <w:r>
        <w:rPr>
          <w:lang w:val="fr-CH"/>
        </w:rPr>
        <w:t>une sous</w:t>
      </w:r>
      <w:r>
        <w:rPr>
          <w:lang w:val="fr-CH"/>
        </w:rPr>
        <w:noBreakHyphen/>
        <w:t>impulsion. Le temps de montée est le temps (s) mis par le front avant de l</w:t>
      </w:r>
      <w:r w:rsidR="00254EC9">
        <w:rPr>
          <w:lang w:val="fr-CH"/>
        </w:rPr>
        <w:t>'</w:t>
      </w:r>
      <w:r>
        <w:rPr>
          <w:lang w:val="fr-CH"/>
        </w:rPr>
        <w:t>impulsion pour passer de 10% à 90% de son amplitude maximale. Pour les impulsions codées, il s</w:t>
      </w:r>
      <w:r w:rsidR="00254EC9">
        <w:rPr>
          <w:lang w:val="fr-CH"/>
        </w:rPr>
        <w:t>'</w:t>
      </w:r>
      <w:r>
        <w:rPr>
          <w:lang w:val="fr-CH"/>
        </w:rPr>
        <w:t>agit du temps de montée d</w:t>
      </w:r>
      <w:r w:rsidR="00254EC9">
        <w:rPr>
          <w:lang w:val="fr-CH"/>
        </w:rPr>
        <w:t>'</w:t>
      </w:r>
      <w:r>
        <w:rPr>
          <w:lang w:val="fr-CH"/>
        </w:rPr>
        <w:t>une sous</w:t>
      </w:r>
      <w:r>
        <w:rPr>
          <w:lang w:val="fr-CH"/>
        </w:rPr>
        <w:noBreakHyphen/>
        <w:t>impulsion; si ce temps n</w:t>
      </w:r>
      <w:r w:rsidR="00254EC9">
        <w:rPr>
          <w:lang w:val="fr-CH"/>
        </w:rPr>
        <w:t>'</w:t>
      </w:r>
      <w:r>
        <w:rPr>
          <w:lang w:val="fr-CH"/>
        </w:rPr>
        <w:t>est pas discernable, on suppose qu</w:t>
      </w:r>
      <w:r w:rsidR="00254EC9">
        <w:rPr>
          <w:lang w:val="fr-CH"/>
        </w:rPr>
        <w:t>'</w:t>
      </w:r>
      <w:r>
        <w:rPr>
          <w:lang w:val="fr-CH"/>
        </w:rPr>
        <w:t>il correspond à 40% du temps mis pour commuter d</w:t>
      </w:r>
      <w:r w:rsidR="00254EC9">
        <w:rPr>
          <w:lang w:val="fr-CH"/>
        </w:rPr>
        <w:t>'</w:t>
      </w:r>
      <w:r>
        <w:rPr>
          <w:lang w:val="fr-CH"/>
        </w:rPr>
        <w:t>une phase ou d</w:t>
      </w:r>
      <w:r w:rsidR="00254EC9">
        <w:rPr>
          <w:lang w:val="fr-CH"/>
        </w:rPr>
        <w:t>'</w:t>
      </w:r>
      <w:r>
        <w:rPr>
          <w:lang w:val="fr-CH"/>
        </w:rPr>
        <w:t>une sous</w:t>
      </w:r>
      <w:r>
        <w:rPr>
          <w:lang w:val="fr-CH"/>
        </w:rPr>
        <w:noBreakHyphen/>
        <w:t>impulsion à la suivante. Lorsque le temps de descente du radar est inférieur au temps de montée, il doit être utilisé à la place du temps de montée dans ces formules. L</w:t>
      </w:r>
      <w:r w:rsidR="00254EC9">
        <w:rPr>
          <w:lang w:val="fr-CH"/>
        </w:rPr>
        <w:t>'</w:t>
      </w:r>
      <w:r>
        <w:rPr>
          <w:lang w:val="fr-CH"/>
        </w:rPr>
        <w:t>utilisation de l</w:t>
      </w:r>
      <w:r w:rsidR="00254EC9">
        <w:rPr>
          <w:lang w:val="fr-CH"/>
        </w:rPr>
        <w:t>'</w:t>
      </w:r>
      <w:r>
        <w:rPr>
          <w:lang w:val="fr-CH"/>
        </w:rPr>
        <w:t>expression de la formule (35) donnant la plus petite valeur permet d</w:t>
      </w:r>
      <w:r w:rsidR="00254EC9">
        <w:rPr>
          <w:lang w:val="fr-CH"/>
        </w:rPr>
        <w:t>'</w:t>
      </w:r>
      <w:r>
        <w:rPr>
          <w:lang w:val="fr-CH"/>
        </w:rPr>
        <w:t>éviter de calculer une largeur de bande nécessaire excessivement grande lorsque le temps de montée est très court.</w:t>
      </w:r>
    </w:p>
  </w:footnote>
  <w:footnote w:id="5">
    <w:p w14:paraId="62137BE2" w14:textId="281BA2DB" w:rsidR="00CD45DB" w:rsidRPr="005538FA" w:rsidRDefault="00CD45DB" w:rsidP="00CD45DB">
      <w:pPr>
        <w:pStyle w:val="FootnoteText"/>
        <w:rPr>
          <w:lang w:val="fr-CH"/>
        </w:rPr>
      </w:pPr>
      <w:r>
        <w:rPr>
          <w:rStyle w:val="FootnoteReference"/>
        </w:rPr>
        <w:footnoteRef/>
      </w:r>
      <w:r w:rsidRPr="005538FA">
        <w:rPr>
          <w:lang w:val="fr-CH"/>
        </w:rPr>
        <w:tab/>
      </w:r>
      <w:r>
        <w:rPr>
          <w:lang w:val="fr-CH"/>
        </w:rPr>
        <w:t>Cette valeur correspond au déplacement total de fréquence pendant la durée de l</w:t>
      </w:r>
      <w:r w:rsidR="00254EC9">
        <w:rPr>
          <w:lang w:val="fr-CH"/>
        </w:rPr>
        <w:t>'</w:t>
      </w:r>
      <w:r>
        <w:rPr>
          <w:lang w:val="fr-CH"/>
        </w:rPr>
        <w:t>impulsion.</w:t>
      </w:r>
    </w:p>
  </w:footnote>
  <w:footnote w:id="6">
    <w:p w14:paraId="1AAFBD12" w14:textId="453588AC" w:rsidR="001B4F1B" w:rsidRDefault="00CD45DB" w:rsidP="001B4F1B">
      <w:pPr>
        <w:pStyle w:val="FootnoteText"/>
        <w:rPr>
          <w:lang w:val="fr-CH"/>
        </w:rPr>
      </w:pPr>
      <w:r>
        <w:rPr>
          <w:rStyle w:val="FootnoteReference"/>
        </w:rPr>
        <w:footnoteRef/>
      </w:r>
      <w:r w:rsidRPr="0026364D">
        <w:tab/>
      </w:r>
      <w:r>
        <w:rPr>
          <w:lang w:val="fr-CH"/>
        </w:rPr>
        <w:t xml:space="preserve">Ces coefficients, </w:t>
      </w:r>
      <w:r>
        <w:rPr>
          <w:i/>
          <w:iCs/>
          <w:lang w:val="fr-CH"/>
        </w:rPr>
        <w:t>K</w:t>
      </w:r>
      <w:r>
        <w:rPr>
          <w:lang w:val="fr-CH"/>
        </w:rPr>
        <w:t> </w:t>
      </w:r>
      <w:r w:rsidRPr="0026364D">
        <w:t>=</w:t>
      </w:r>
      <w:r>
        <w:rPr>
          <w:lang w:val="fr-CH"/>
        </w:rPr>
        <w:t> 6,2 ou 7,6 et 64, sont liés à des valeurs théoriques qui s</w:t>
      </w:r>
      <w:r w:rsidR="00254EC9">
        <w:rPr>
          <w:lang w:val="fr-CH"/>
        </w:rPr>
        <w:t>'</w:t>
      </w:r>
      <w:r>
        <w:rPr>
          <w:lang w:val="fr-CH"/>
        </w:rPr>
        <w:t>appliqueraient respectivement dans le cas d</w:t>
      </w:r>
      <w:r w:rsidR="00254EC9">
        <w:rPr>
          <w:lang w:val="fr-CH"/>
        </w:rPr>
        <w:t>'</w:t>
      </w:r>
      <w:r>
        <w:rPr>
          <w:lang w:val="fr-CH"/>
        </w:rPr>
        <w:t>impulsions trapézoïdales et d</w:t>
      </w:r>
      <w:r w:rsidR="00254EC9">
        <w:rPr>
          <w:lang w:val="fr-CH"/>
        </w:rPr>
        <w:t>'</w:t>
      </w:r>
      <w:r>
        <w:rPr>
          <w:lang w:val="fr-CH"/>
        </w:rPr>
        <w:t xml:space="preserve">impulsions rectangulaires à fréquence constante. En outre, dans le cas des impulsions trapézoïdales, le coefficient </w:t>
      </w:r>
      <w:r>
        <w:rPr>
          <w:i/>
          <w:iCs/>
          <w:lang w:val="fr-CH"/>
        </w:rPr>
        <w:t>K</w:t>
      </w:r>
      <w:r>
        <w:rPr>
          <w:lang w:val="fr-CH"/>
        </w:rPr>
        <w:t xml:space="preserve"> a été quelque peu augmenté afin de pouvoir mettre en œuvre certaines caractéristiques de dispositifs de sortie. Pour les impulsions rectangulaires idéales, le spectre décroît de 20 dB par décade, se traduisant par une largeur de bande à 20 dB de 6,4/</w:t>
      </w:r>
      <w:r>
        <w:rPr>
          <w:i/>
          <w:iCs/>
          <w:lang w:val="fr-CH"/>
        </w:rPr>
        <w:t>t</w:t>
      </w:r>
      <w:r>
        <w:rPr>
          <w:lang w:val="fr-CH"/>
        </w:rPr>
        <w:t xml:space="preserve"> et une largeur de bande à 40 dB dix fois plus grande, à savoir 64/</w:t>
      </w:r>
      <w:r>
        <w:rPr>
          <w:i/>
          <w:iCs/>
          <w:lang w:val="fr-CH"/>
        </w:rPr>
        <w:t>t</w:t>
      </w:r>
      <w:r>
        <w:rPr>
          <w:lang w:val="fr-CH"/>
        </w:rPr>
        <w:t>. Afin de dissuader tout un chacun d</w:t>
      </w:r>
      <w:r w:rsidR="00254EC9">
        <w:rPr>
          <w:lang w:val="fr-CH"/>
        </w:rPr>
        <w:t>'</w:t>
      </w:r>
      <w:r>
        <w:rPr>
          <w:lang w:val="fr-CH"/>
        </w:rPr>
        <w:t>utiliser des impulsions ayant des temps de montée et de descente très courts, aucune marge n</w:t>
      </w:r>
      <w:r w:rsidR="00254EC9">
        <w:rPr>
          <w:lang w:val="fr-CH"/>
        </w:rPr>
        <w:t>'</w:t>
      </w:r>
      <w:r>
        <w:rPr>
          <w:lang w:val="fr-CH"/>
        </w:rPr>
        <w:t>est autorisée. Le spectre des impulsions trapézoïdales décroît d</w:t>
      </w:r>
      <w:r w:rsidR="00254EC9">
        <w:rPr>
          <w:lang w:val="fr-CH"/>
        </w:rPr>
        <w:t>'</w:t>
      </w:r>
      <w:r>
        <w:rPr>
          <w:lang w:val="fr-CH"/>
        </w:rPr>
        <w:t>abord de 20 dB par décade puis de 40 dB par décade à la fin. Si le rapport entre le temps de montée et la largeur de l</w:t>
      </w:r>
      <w:r w:rsidR="00254EC9">
        <w:rPr>
          <w:lang w:val="fr-CH"/>
        </w:rPr>
        <w:t>'</w:t>
      </w:r>
      <w:r>
        <w:rPr>
          <w:lang w:val="fr-CH"/>
        </w:rPr>
        <w:t xml:space="preserve">impulsion dépasse 0,008, les points à 40 dB se situeront sur la pente de 40 dB par décade, auquel cas la largeur de bande </w:t>
      </w:r>
      <w:r>
        <w:rPr>
          <w:i/>
          <w:iCs/>
          <w:lang w:val="fr-CH"/>
        </w:rPr>
        <w:t>B</w:t>
      </w:r>
      <w:r>
        <w:rPr>
          <w:position w:val="-4"/>
          <w:sz w:val="18"/>
          <w:lang w:val="fr-CH"/>
        </w:rPr>
        <w:t>–40</w:t>
      </w:r>
      <w:r>
        <w:rPr>
          <w:lang w:val="fr-CH"/>
        </w:rPr>
        <w:t xml:space="preserve"> vaudrait:</w:t>
      </w:r>
    </w:p>
    <w:p w14:paraId="15D4F60A" w14:textId="0549E08C" w:rsidR="00CD45DB" w:rsidRDefault="00CD45DB" w:rsidP="00D966AC">
      <w:pPr>
        <w:pStyle w:val="Equation"/>
        <w:rPr>
          <w:lang w:val="fr-CH"/>
        </w:rPr>
      </w:pPr>
      <w:r>
        <w:rPr>
          <w:lang w:val="fr-CH"/>
        </w:rPr>
        <w:tab/>
      </w:r>
      <w:r>
        <w:rPr>
          <w:lang w:val="fr-CH"/>
        </w:rPr>
        <w:tab/>
      </w:r>
      <w:r>
        <w:rPr>
          <w:position w:val="-32"/>
          <w:lang w:val="fr-CH"/>
        </w:rPr>
        <w:object w:dxaOrig="639" w:dyaOrig="680" w14:anchorId="0549CCAD">
          <v:shape id="_x0000_i1616" type="#_x0000_t75" style="width:31.85pt;height:33.35pt" o:ole="" fillcolor="window">
            <v:imagedata r:id="rId1" o:title=""/>
          </v:shape>
          <o:OLEObject Type="Embed" ProgID="Equation.3" ShapeID="_x0000_i1616" DrawAspect="Content" ObjectID="_1801482078" r:id="rId2"/>
        </w:object>
      </w:r>
    </w:p>
    <w:p w14:paraId="25EFA1F8" w14:textId="078AD2C0" w:rsidR="00CD45DB" w:rsidRDefault="00CD45DB" w:rsidP="00D966AC">
      <w:pPr>
        <w:pStyle w:val="FootnoteText"/>
        <w:keepNext/>
        <w:rPr>
          <w:lang w:val="fr-CH"/>
        </w:rPr>
      </w:pPr>
      <w:r>
        <w:rPr>
          <w:sz w:val="20"/>
          <w:lang w:val="fr-CH"/>
        </w:rPr>
        <w:tab/>
      </w:r>
      <w:r>
        <w:rPr>
          <w:lang w:val="fr-CH"/>
        </w:rPr>
        <w:t>La tolérance pour les imperfections inévitables lors de la mise en œuvre nécessite que le gabarit soit fondé sur des valeurs d</w:t>
      </w:r>
      <w:r w:rsidR="00254EC9">
        <w:rPr>
          <w:lang w:val="fr-CH"/>
        </w:rPr>
        <w:t>'</w:t>
      </w:r>
      <w:r>
        <w:rPr>
          <w:lang w:val="fr-CH"/>
        </w:rPr>
        <w:t>au moins:</w:t>
      </w:r>
    </w:p>
    <w:p w14:paraId="752573BE" w14:textId="77777777" w:rsidR="00CD45DB" w:rsidRDefault="00CD45DB" w:rsidP="00D966AC">
      <w:pPr>
        <w:jc w:val="center"/>
        <w:rPr>
          <w:lang w:val="fr-CH"/>
        </w:rPr>
      </w:pPr>
      <w:r>
        <w:rPr>
          <w:lang w:val="fr-CH"/>
        </w:rPr>
        <w:object w:dxaOrig="1600" w:dyaOrig="680" w14:anchorId="7B3DBD72">
          <v:shape id="_x0000_i1617" type="#_x0000_t75" style="width:81.1pt;height:33.35pt" o:ole="" fillcolor="window">
            <v:imagedata r:id="rId3" o:title=""/>
          </v:shape>
          <o:OLEObject Type="Embed" ProgID="Equation.3" ShapeID="_x0000_i1617" DrawAspect="Content" ObjectID="_1801482079" r:id="rId4"/>
        </w:object>
      </w:r>
    </w:p>
    <w:p w14:paraId="38D63942" w14:textId="77777777" w:rsidR="00CD45DB" w:rsidRPr="0026364D" w:rsidRDefault="00CD45DB" w:rsidP="00D966AC">
      <w:pPr>
        <w:pStyle w:val="FootnoteText"/>
      </w:pPr>
      <w:r>
        <w:rPr>
          <w:sz w:val="20"/>
          <w:lang w:val="fr-CH"/>
        </w:rPr>
        <w:tab/>
      </w:r>
      <w:r>
        <w:rPr>
          <w:lang w:val="fr-CH"/>
        </w:rPr>
        <w:t>suivant la catégorie du radar.</w:t>
      </w:r>
    </w:p>
  </w:footnote>
  <w:footnote w:id="7">
    <w:p w14:paraId="0D5F6EEC" w14:textId="3A729F3B" w:rsidR="00CD45DB" w:rsidRPr="00E53983" w:rsidRDefault="00CD45DB" w:rsidP="00CD45DB">
      <w:pPr>
        <w:pStyle w:val="FootnoteText"/>
        <w:rPr>
          <w:lang w:val="fr-CH"/>
        </w:rPr>
      </w:pPr>
      <w:r>
        <w:rPr>
          <w:rStyle w:val="FootnoteReference"/>
        </w:rPr>
        <w:footnoteRef/>
      </w:r>
      <w:r w:rsidRPr="0026364D">
        <w:tab/>
      </w:r>
      <w:r>
        <w:rPr>
          <w:lang w:val="fr-CH"/>
        </w:rPr>
        <w:t>Le terme</w:t>
      </w:r>
      <w:r>
        <w:rPr>
          <w:i/>
          <w:lang w:val="fr-CH"/>
        </w:rPr>
        <w:t xml:space="preserve"> A</w:t>
      </w:r>
      <w:r>
        <w:rPr>
          <w:iCs/>
          <w:lang w:val="fr-CH"/>
        </w:rPr>
        <w:t>/</w:t>
      </w:r>
      <w:r>
        <w:rPr>
          <w:i/>
          <w:lang w:val="fr-CH"/>
        </w:rPr>
        <w:t>t</w:t>
      </w:r>
      <w:r>
        <w:rPr>
          <w:i/>
          <w:position w:val="-4"/>
          <w:sz w:val="18"/>
          <w:lang w:val="fr-CH"/>
        </w:rPr>
        <w:t>r</w:t>
      </w:r>
      <w:r>
        <w:rPr>
          <w:lang w:val="fr-CH"/>
        </w:rPr>
        <w:t xml:space="preserve"> constitue un ajustement de la valeur de </w:t>
      </w:r>
      <w:r w:rsidRPr="00683612">
        <w:rPr>
          <w:i/>
          <w:iCs/>
          <w:lang w:val="fr-CH"/>
        </w:rPr>
        <w:t>B</w:t>
      </w:r>
      <w:r w:rsidRPr="00683612">
        <w:rPr>
          <w:vertAlign w:val="subscript"/>
          <w:lang w:val="fr-CH"/>
        </w:rPr>
        <w:t>–40</w:t>
      </w:r>
      <w:r>
        <w:rPr>
          <w:i/>
          <w:lang w:val="fr-CH"/>
        </w:rPr>
        <w:t xml:space="preserve"> </w:t>
      </w:r>
      <w:r>
        <w:rPr>
          <w:lang w:val="fr-CH"/>
        </w:rPr>
        <w:t>permettant de tenir compte de l</w:t>
      </w:r>
      <w:r w:rsidR="00254EC9">
        <w:rPr>
          <w:lang w:val="fr-CH"/>
        </w:rPr>
        <w:t>'</w:t>
      </w:r>
      <w:r>
        <w:rPr>
          <w:lang w:val="fr-CH"/>
        </w:rPr>
        <w:t xml:space="preserve">influence du temps de montée, qui est importante lorsque le produit </w:t>
      </w:r>
      <w:r>
        <w:rPr>
          <w:i/>
          <w:lang w:val="fr-CH"/>
        </w:rPr>
        <w:t>B</w:t>
      </w:r>
      <w:r>
        <w:rPr>
          <w:i/>
          <w:position w:val="-4"/>
          <w:sz w:val="18"/>
          <w:lang w:val="fr-CH"/>
        </w:rPr>
        <w:t>c</w:t>
      </w:r>
      <w:r>
        <w:rPr>
          <w:i/>
          <w:lang w:val="fr-CH"/>
        </w:rPr>
        <w:t>t</w:t>
      </w:r>
      <w:r>
        <w:rPr>
          <w:lang w:val="fr-CH"/>
        </w:rPr>
        <w:t xml:space="preserve"> est petit ou modéré et que le temps de montée est court.</w:t>
      </w:r>
    </w:p>
  </w:footnote>
  <w:footnote w:id="8">
    <w:p w14:paraId="212F1453" w14:textId="4E72752C" w:rsidR="00CD45DB" w:rsidRPr="00683612" w:rsidRDefault="00CD45DB" w:rsidP="00CD45DB">
      <w:pPr>
        <w:pStyle w:val="FootnoteText"/>
        <w:rPr>
          <w:szCs w:val="22"/>
          <w:lang w:val="fr-CH"/>
        </w:rPr>
      </w:pPr>
      <w:r>
        <w:rPr>
          <w:rStyle w:val="FootnoteReference"/>
        </w:rPr>
        <w:footnoteRef/>
      </w:r>
      <w:r w:rsidRPr="00E53983">
        <w:rPr>
          <w:lang w:val="fr-CH"/>
        </w:rPr>
        <w:tab/>
        <w:t xml:space="preserve">Ces formules donnent la largeur </w:t>
      </w:r>
      <w:r w:rsidRPr="00683612">
        <w:rPr>
          <w:szCs w:val="22"/>
          <w:lang w:val="fr-CH"/>
        </w:rPr>
        <w:t xml:space="preserve">de bande </w:t>
      </w:r>
      <w:r w:rsidRPr="00683612">
        <w:rPr>
          <w:i/>
          <w:szCs w:val="22"/>
          <w:lang w:val="fr-CH"/>
        </w:rPr>
        <w:t>B</w:t>
      </w:r>
      <w:r w:rsidRPr="00683612">
        <w:rPr>
          <w:iCs/>
          <w:position w:val="-4"/>
          <w:szCs w:val="22"/>
          <w:vertAlign w:val="subscript"/>
          <w:lang w:val="fr-CH"/>
        </w:rPr>
        <w:t>–40</w:t>
      </w:r>
      <w:r w:rsidRPr="00683612">
        <w:rPr>
          <w:iCs/>
          <w:position w:val="-4"/>
          <w:szCs w:val="22"/>
          <w:lang w:val="fr-CH"/>
        </w:rPr>
        <w:t xml:space="preserve"> </w:t>
      </w:r>
      <w:r w:rsidRPr="00683612">
        <w:rPr>
          <w:szCs w:val="22"/>
          <w:lang w:val="fr-CH"/>
        </w:rPr>
        <w:t>totale</w:t>
      </w:r>
      <w:r>
        <w:rPr>
          <w:lang w:val="fr-CH"/>
        </w:rPr>
        <w:t xml:space="preserve"> composite d</w:t>
      </w:r>
      <w:r w:rsidR="00254EC9">
        <w:rPr>
          <w:lang w:val="fr-CH"/>
        </w:rPr>
        <w:t>'</w:t>
      </w:r>
      <w:r>
        <w:rPr>
          <w:lang w:val="fr-CH"/>
        </w:rPr>
        <w:t xml:space="preserve">un radar à saut de fréquence correspondant au cas où tous les canaux inclus dans </w:t>
      </w:r>
      <w:r w:rsidRPr="00E53983">
        <w:rPr>
          <w:i/>
          <w:szCs w:val="24"/>
          <w:lang w:val="fr-CH"/>
        </w:rPr>
        <w:t>B</w:t>
      </w:r>
      <w:r w:rsidRPr="00E53983">
        <w:rPr>
          <w:i/>
          <w:iCs/>
          <w:vertAlign w:val="subscript"/>
          <w:lang w:val="fr-CH"/>
        </w:rPr>
        <w:t>s</w:t>
      </w:r>
      <w:r w:rsidRPr="00E53983">
        <w:rPr>
          <w:i/>
          <w:szCs w:val="24"/>
          <w:lang w:val="fr-CH"/>
        </w:rPr>
        <w:t xml:space="preserve"> </w:t>
      </w:r>
      <w:r>
        <w:rPr>
          <w:szCs w:val="24"/>
          <w:lang w:val="fr-CH"/>
        </w:rPr>
        <w:t xml:space="preserve">fonctionnent simultanément. Pour les radars à saut de fréquence, le gabarit des émissions hors bande décroît à partir du bord de la largeur de </w:t>
      </w:r>
      <w:r w:rsidRPr="00683612">
        <w:rPr>
          <w:szCs w:val="22"/>
          <w:lang w:val="fr-CH"/>
        </w:rPr>
        <w:t xml:space="preserve">bande à </w:t>
      </w:r>
      <w:r w:rsidR="00683612" w:rsidRPr="00683612">
        <w:rPr>
          <w:i/>
          <w:iCs/>
          <w:szCs w:val="22"/>
        </w:rPr>
        <w:t>B</w:t>
      </w:r>
      <w:r w:rsidR="00683612" w:rsidRPr="00683612">
        <w:rPr>
          <w:szCs w:val="24"/>
          <w:vertAlign w:val="subscript"/>
        </w:rPr>
        <w:t>−40</w:t>
      </w:r>
      <w:r w:rsidR="00683612" w:rsidRPr="00683612">
        <w:rPr>
          <w:szCs w:val="22"/>
        </w:rPr>
        <w:t> </w:t>
      </w:r>
      <w:r w:rsidRPr="00683612">
        <w:rPr>
          <w:szCs w:val="22"/>
          <w:lang w:val="fr-CH"/>
        </w:rPr>
        <w:t>dB comme si le radar était un radar à fréquence unique réglé sur le bord de la plage associée au saut de fréquence.</w:t>
      </w:r>
    </w:p>
  </w:footnote>
  <w:footnote w:id="9">
    <w:p w14:paraId="262B7DA9" w14:textId="0D31D34F" w:rsidR="00CD45DB" w:rsidRPr="00F42625" w:rsidRDefault="00CD45DB" w:rsidP="00CD45DB">
      <w:pPr>
        <w:pStyle w:val="FootnoteText"/>
        <w:rPr>
          <w:lang w:val="fr-CH"/>
        </w:rPr>
      </w:pPr>
      <w:r>
        <w:rPr>
          <w:rStyle w:val="FootnoteReference"/>
        </w:rPr>
        <w:footnoteRef/>
      </w:r>
      <w:r>
        <w:rPr>
          <w:lang w:val="fr-CH"/>
        </w:rPr>
        <w:tab/>
      </w:r>
      <w:r w:rsidRPr="00F42625">
        <w:rPr>
          <w:szCs w:val="22"/>
          <w:lang w:val="fr-CH"/>
        </w:rPr>
        <w:t>L</w:t>
      </w:r>
      <w:r w:rsidR="00254EC9">
        <w:rPr>
          <w:szCs w:val="22"/>
          <w:lang w:val="fr-CH"/>
        </w:rPr>
        <w:t>'</w:t>
      </w:r>
      <w:r>
        <w:rPr>
          <w:lang w:val="fr-CH"/>
        </w:rPr>
        <w:t>Appendice</w:t>
      </w:r>
      <w:r>
        <w:rPr>
          <w:bCs/>
          <w:lang w:val="fr-CH"/>
        </w:rPr>
        <w:t> 3 du RR</w:t>
      </w:r>
      <w:r>
        <w:rPr>
          <w:lang w:val="fr-CH"/>
        </w:rPr>
        <w:t xml:space="preserve"> indique un affaiblissement des rayonnements non essentiels de 43 + 10 log</w:t>
      </w:r>
      <w:r>
        <w:rPr>
          <w:i/>
          <w:lang w:val="fr-CH"/>
        </w:rPr>
        <w:t> </w:t>
      </w:r>
      <w:r>
        <w:rPr>
          <w:lang w:val="fr-CH"/>
        </w:rPr>
        <w:t>(</w:t>
      </w:r>
      <w:r>
        <w:rPr>
          <w:i/>
          <w:lang w:val="fr-CH"/>
        </w:rPr>
        <w:t>PEP</w:t>
      </w:r>
      <w:r>
        <w:rPr>
          <w:lang w:val="fr-CH"/>
        </w:rPr>
        <w:t>) ou de 60 dB, si cette dernière valeur est moins stricte</w:t>
      </w:r>
      <w:r w:rsidR="00A91026">
        <w:rPr>
          <w:lang w:val="fr-CH"/>
        </w:rPr>
        <w:t xml:space="preserve"> </w:t>
      </w:r>
      <w:r>
        <w:rPr>
          <w:lang w:val="fr-CH"/>
        </w:rPr>
        <w:t>(PEP, puissance de crête de l</w:t>
      </w:r>
      <w:r w:rsidR="00254EC9">
        <w:rPr>
          <w:lang w:val="fr-CH"/>
        </w:rPr>
        <w:t>'</w:t>
      </w:r>
      <w:r>
        <w:rPr>
          <w:lang w:val="fr-CH"/>
        </w:rPr>
        <w:t xml:space="preserve">enveloppe, </w:t>
      </w:r>
      <w:r>
        <w:rPr>
          <w:i/>
          <w:iCs/>
          <w:lang w:val="fr-CH"/>
        </w:rPr>
        <w:t>peak envelope power</w:t>
      </w:r>
      <w:r>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E1CD1" w14:textId="77777777" w:rsidR="00EB30DF" w:rsidRDefault="00EB30D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EB30DF" w:rsidRPr="00A239D1" w14:paraId="57F1915C" w14:textId="77777777" w:rsidTr="0019307B">
      <w:tc>
        <w:tcPr>
          <w:tcW w:w="4634" w:type="dxa"/>
          <w:vAlign w:val="center"/>
        </w:tcPr>
        <w:p w14:paraId="7C7FF542" w14:textId="77777777" w:rsidR="00EB30DF" w:rsidRPr="005B0371" w:rsidRDefault="00EB30DF"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3F0CCE7" w14:textId="77777777" w:rsidR="00EB30DF" w:rsidRPr="00260B24" w:rsidRDefault="00EB30DF"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i</w:t>
          </w:r>
          <w:r w:rsidRPr="00260B24">
            <w:rPr>
              <w:rFonts w:asciiTheme="minorBidi" w:hAnsiTheme="minorBidi"/>
              <w:b/>
              <w:spacing w:val="4"/>
              <w:szCs w:val="24"/>
            </w:rPr>
            <w:t>nternational</w:t>
          </w:r>
          <w:r>
            <w:rPr>
              <w:rFonts w:asciiTheme="minorBidi" w:hAnsiTheme="minorBidi"/>
              <w:b/>
              <w:spacing w:val="4"/>
              <w:szCs w:val="24"/>
            </w:rPr>
            <w:t>e</w:t>
          </w:r>
          <w:r w:rsidRPr="00260B24">
            <w:rPr>
              <w:rFonts w:asciiTheme="minorBidi" w:hAnsiTheme="minorBidi"/>
              <w:b/>
              <w:spacing w:val="4"/>
              <w:szCs w:val="24"/>
            </w:rPr>
            <w:t xml:space="preserve"> </w:t>
          </w:r>
          <w:r>
            <w:rPr>
              <w:rFonts w:asciiTheme="minorBidi" w:hAnsiTheme="minorBidi"/>
              <w:b/>
              <w:spacing w:val="4"/>
              <w:szCs w:val="24"/>
            </w:rPr>
            <w:t>des 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
      </w:tc>
    </w:tr>
    <w:tr w:rsidR="00EB30DF" w:rsidRPr="00A239D1" w14:paraId="40B0A7E7" w14:textId="77777777" w:rsidTr="0019307B">
      <w:tc>
        <w:tcPr>
          <w:tcW w:w="4634" w:type="dxa"/>
          <w:vAlign w:val="center"/>
        </w:tcPr>
        <w:p w14:paraId="69624F49" w14:textId="77777777" w:rsidR="00EB30DF" w:rsidRPr="00260B24" w:rsidRDefault="00EB30DF"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
      </w:tc>
      <w:tc>
        <w:tcPr>
          <w:tcW w:w="5998" w:type="dxa"/>
          <w:vAlign w:val="center"/>
        </w:tcPr>
        <w:p w14:paraId="7B888DB1" w14:textId="72327FC7" w:rsidR="00EB30DF" w:rsidRPr="00260B24" w:rsidRDefault="00EB30DF"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00512A73">
            <w:rPr>
              <w:rFonts w:asciiTheme="minorBidi" w:hAnsiTheme="minorBidi"/>
              <w:spacing w:val="4"/>
              <w:szCs w:val="24"/>
            </w:rPr>
            <w:t>r</w:t>
          </w:r>
          <w:r w:rsidRPr="00260B24">
            <w:rPr>
              <w:rFonts w:asciiTheme="minorBidi" w:hAnsiTheme="minorBidi"/>
              <w:spacing w:val="4"/>
              <w:szCs w:val="24"/>
            </w:rPr>
            <w:t>adiocommunication</w:t>
          </w:r>
          <w:r>
            <w:rPr>
              <w:rFonts w:asciiTheme="minorBidi" w:hAnsiTheme="minorBidi"/>
              <w:spacing w:val="4"/>
              <w:szCs w:val="24"/>
            </w:rPr>
            <w:t>s</w:t>
          </w:r>
        </w:p>
      </w:tc>
    </w:tr>
  </w:tbl>
  <w:p w14:paraId="54261246" w14:textId="77777777" w:rsidR="00EB30DF" w:rsidRDefault="00EB30DF"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48992EB4" wp14:editId="37A18542">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4A8214F6" wp14:editId="7B6AEEFD">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D0E2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397DA99" w14:textId="77777777" w:rsidR="00EB30DF" w:rsidRDefault="00EB30DF"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505F6701" wp14:editId="76FF7E62">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B8257"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B1B30" w14:textId="4B8DB065" w:rsidR="00EB30DF" w:rsidRPr="00D72623" w:rsidRDefault="00EB30DF"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F9091B">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F9091B">
      <w:rPr>
        <w:b/>
        <w:bCs/>
        <w:noProof/>
        <w:lang w:val="en-US"/>
      </w:rPr>
      <w:t>UIT-R  SM.1541-7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24A4F" w14:textId="66CD5550" w:rsidR="00EB30DF" w:rsidRDefault="00EB30DF">
    <w:pPr>
      <w:pStyle w:val="Header"/>
    </w:pPr>
    <w:r>
      <w:tab/>
    </w:r>
    <w:r>
      <w:rPr>
        <w:b/>
        <w:bCs/>
      </w:rPr>
      <w:fldChar w:fldCharType="begin"/>
    </w:r>
    <w:r>
      <w:rPr>
        <w:b/>
        <w:bCs/>
      </w:rPr>
      <w:instrText xml:space="preserve"> DOCPROPERTY "Header" \* MERGEFORMAT </w:instrText>
    </w:r>
    <w:r>
      <w:rPr>
        <w:b/>
        <w:bCs/>
      </w:rPr>
      <w:fldChar w:fldCharType="separate"/>
    </w:r>
    <w:r w:rsidR="00F9091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9091B">
      <w:rPr>
        <w:b/>
        <w:bCs/>
        <w:noProof/>
      </w:rPr>
      <w:t>UIT-R  SM.1541-7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C192E" w14:textId="27C666BF"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9091B" w:rsidRPr="00F9091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B65F5">
      <w:rPr>
        <w:b/>
        <w:bCs/>
        <w:noProof/>
        <w:lang w:val="en-US"/>
      </w:rPr>
      <w:t>UIT-R  SM.1541-7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85140" w14:textId="6CC0C9CE" w:rsidR="00607D68" w:rsidRDefault="00607D68">
    <w:pPr>
      <w:pStyle w:val="Header"/>
    </w:pPr>
    <w:r>
      <w:tab/>
    </w:r>
    <w:fldSimple w:instr=" DOCPROPERTY &quot;Header&quot; \* MERGEFORMAT ">
      <w:r w:rsidR="00F9091B" w:rsidRPr="00F9091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B65F5">
      <w:rPr>
        <w:b/>
        <w:bCs/>
        <w:noProof/>
      </w:rPr>
      <w:t>UIT-R  SM.1541-7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A645F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1E6C5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66C5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88FE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CC20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48ECA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82EAC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B6E80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5DA3D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EAA88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2"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16cid:durableId="1449083564">
    <w:abstractNumId w:val="10"/>
  </w:num>
  <w:num w:numId="2" w16cid:durableId="162480201">
    <w:abstractNumId w:val="12"/>
  </w:num>
  <w:num w:numId="3" w16cid:durableId="1297222342">
    <w:abstractNumId w:val="11"/>
  </w:num>
  <w:num w:numId="4" w16cid:durableId="1195465088">
    <w:abstractNumId w:val="9"/>
  </w:num>
  <w:num w:numId="5" w16cid:durableId="1644239155">
    <w:abstractNumId w:val="7"/>
  </w:num>
  <w:num w:numId="6" w16cid:durableId="19550335">
    <w:abstractNumId w:val="6"/>
  </w:num>
  <w:num w:numId="7" w16cid:durableId="1551531213">
    <w:abstractNumId w:val="5"/>
  </w:num>
  <w:num w:numId="8" w16cid:durableId="165705410">
    <w:abstractNumId w:val="4"/>
  </w:num>
  <w:num w:numId="9" w16cid:durableId="324935702">
    <w:abstractNumId w:val="8"/>
  </w:num>
  <w:num w:numId="10" w16cid:durableId="1826235575">
    <w:abstractNumId w:val="3"/>
  </w:num>
  <w:num w:numId="11" w16cid:durableId="1881821014">
    <w:abstractNumId w:val="2"/>
  </w:num>
  <w:num w:numId="12" w16cid:durableId="1972204070">
    <w:abstractNumId w:val="1"/>
  </w:num>
  <w:num w:numId="13" w16cid:durableId="1565023539">
    <w:abstractNumId w:val="0"/>
  </w:num>
  <w:num w:numId="14" w16cid:durableId="2019648751">
    <w:abstractNumId w:val="8"/>
  </w:num>
  <w:num w:numId="15" w16cid:durableId="1526291903">
    <w:abstractNumId w:val="3"/>
  </w:num>
  <w:num w:numId="16" w16cid:durableId="38941205">
    <w:abstractNumId w:val="2"/>
  </w:num>
  <w:num w:numId="17" w16cid:durableId="1198153763">
    <w:abstractNumId w:val="1"/>
  </w:num>
  <w:num w:numId="18" w16cid:durableId="180902898">
    <w:abstractNumId w:val="0"/>
  </w:num>
  <w:num w:numId="19" w16cid:durableId="182479113">
    <w:abstractNumId w:val="8"/>
  </w:num>
  <w:num w:numId="20" w16cid:durableId="1437797560">
    <w:abstractNumId w:val="3"/>
  </w:num>
  <w:num w:numId="21" w16cid:durableId="1353646329">
    <w:abstractNumId w:val="2"/>
  </w:num>
  <w:num w:numId="22" w16cid:durableId="407852697">
    <w:abstractNumId w:val="1"/>
  </w:num>
  <w:num w:numId="23" w16cid:durableId="1816527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0DF"/>
    <w:rsid w:val="00093488"/>
    <w:rsid w:val="00096852"/>
    <w:rsid w:val="000F747A"/>
    <w:rsid w:val="00104AFE"/>
    <w:rsid w:val="00106EAD"/>
    <w:rsid w:val="00144F11"/>
    <w:rsid w:val="00181532"/>
    <w:rsid w:val="001B4F1B"/>
    <w:rsid w:val="001D4341"/>
    <w:rsid w:val="00217EBF"/>
    <w:rsid w:val="0023743D"/>
    <w:rsid w:val="00242AEE"/>
    <w:rsid w:val="00254EC9"/>
    <w:rsid w:val="002B27AD"/>
    <w:rsid w:val="002D289E"/>
    <w:rsid w:val="002D76C4"/>
    <w:rsid w:val="002E0241"/>
    <w:rsid w:val="0032407B"/>
    <w:rsid w:val="00337C9A"/>
    <w:rsid w:val="003431EE"/>
    <w:rsid w:val="003534DB"/>
    <w:rsid w:val="003C1C18"/>
    <w:rsid w:val="003F32BF"/>
    <w:rsid w:val="00421C57"/>
    <w:rsid w:val="004252C6"/>
    <w:rsid w:val="004401E0"/>
    <w:rsid w:val="004521E0"/>
    <w:rsid w:val="0046261C"/>
    <w:rsid w:val="004E3A50"/>
    <w:rsid w:val="00512A73"/>
    <w:rsid w:val="0051743A"/>
    <w:rsid w:val="0052529D"/>
    <w:rsid w:val="00581734"/>
    <w:rsid w:val="00593824"/>
    <w:rsid w:val="00594DE4"/>
    <w:rsid w:val="005B0232"/>
    <w:rsid w:val="005B65F5"/>
    <w:rsid w:val="005C0F57"/>
    <w:rsid w:val="005D6717"/>
    <w:rsid w:val="00602C47"/>
    <w:rsid w:val="00607D68"/>
    <w:rsid w:val="0061253B"/>
    <w:rsid w:val="00623888"/>
    <w:rsid w:val="006350D4"/>
    <w:rsid w:val="00654AE1"/>
    <w:rsid w:val="00683612"/>
    <w:rsid w:val="00684270"/>
    <w:rsid w:val="006A325D"/>
    <w:rsid w:val="0072259C"/>
    <w:rsid w:val="007312BA"/>
    <w:rsid w:val="00735F35"/>
    <w:rsid w:val="007468DA"/>
    <w:rsid w:val="007D5168"/>
    <w:rsid w:val="008845EB"/>
    <w:rsid w:val="00894513"/>
    <w:rsid w:val="008B0A83"/>
    <w:rsid w:val="008B4DEB"/>
    <w:rsid w:val="008C4601"/>
    <w:rsid w:val="008C6F09"/>
    <w:rsid w:val="009020B9"/>
    <w:rsid w:val="00932E82"/>
    <w:rsid w:val="009615D1"/>
    <w:rsid w:val="00987AA5"/>
    <w:rsid w:val="009E00A8"/>
    <w:rsid w:val="00A14713"/>
    <w:rsid w:val="00A17180"/>
    <w:rsid w:val="00A21F86"/>
    <w:rsid w:val="00A40027"/>
    <w:rsid w:val="00A42563"/>
    <w:rsid w:val="00A6617B"/>
    <w:rsid w:val="00A91026"/>
    <w:rsid w:val="00AB0DC8"/>
    <w:rsid w:val="00AC3785"/>
    <w:rsid w:val="00B41FF1"/>
    <w:rsid w:val="00B44E24"/>
    <w:rsid w:val="00B577DD"/>
    <w:rsid w:val="00BE6BD2"/>
    <w:rsid w:val="00C05C97"/>
    <w:rsid w:val="00C15172"/>
    <w:rsid w:val="00C4009E"/>
    <w:rsid w:val="00C43494"/>
    <w:rsid w:val="00CA3FDC"/>
    <w:rsid w:val="00CA4771"/>
    <w:rsid w:val="00CD45DB"/>
    <w:rsid w:val="00CE1966"/>
    <w:rsid w:val="00D71AC2"/>
    <w:rsid w:val="00D8103E"/>
    <w:rsid w:val="00D859FD"/>
    <w:rsid w:val="00D966AC"/>
    <w:rsid w:val="00DC2B47"/>
    <w:rsid w:val="00DF4176"/>
    <w:rsid w:val="00E14387"/>
    <w:rsid w:val="00E34F6E"/>
    <w:rsid w:val="00E545D1"/>
    <w:rsid w:val="00EB30DF"/>
    <w:rsid w:val="00ED0221"/>
    <w:rsid w:val="00ED0290"/>
    <w:rsid w:val="00F110C2"/>
    <w:rsid w:val="00F9091B"/>
    <w:rsid w:val="00F91EA9"/>
    <w:rsid w:val="00FB5A39"/>
    <w:rsid w:val="00FB63F2"/>
    <w:rsid w:val="00FE3C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6019AE8"/>
  <w15:docId w15:val="{54336C7E-9EB4-45DA-AFB7-3EF44D92C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30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link w:val="HeadingiChar"/>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link w:val="enumlev2Char"/>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aliases w:val="超级链接,ECC Hyperlink"/>
    <w:basedOn w:val="DefaultParagraphFont"/>
    <w:rsid w:val="00EB30DF"/>
    <w:rPr>
      <w:color w:val="0000FF"/>
      <w:u w:val="single"/>
    </w:rPr>
  </w:style>
  <w:style w:type="character" w:customStyle="1" w:styleId="HeaderChar">
    <w:name w:val="Header Char"/>
    <w:basedOn w:val="DefaultParagraphFont"/>
    <w:link w:val="Header"/>
    <w:rsid w:val="00EB30DF"/>
    <w:rPr>
      <w:sz w:val="24"/>
      <w:lang w:val="en-GB" w:eastAsia="en-US"/>
    </w:rPr>
  </w:style>
  <w:style w:type="table" w:styleId="TableGrid">
    <w:name w:val="Table Grid"/>
    <w:basedOn w:val="TableNormal"/>
    <w:uiPriority w:val="59"/>
    <w:qFormat/>
    <w:rsid w:val="00EB30DF"/>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EB30DF"/>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EB30DF"/>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EB30DF"/>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EB30DF"/>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UnresolvedMention">
    <w:name w:val="Unresolved Mention"/>
    <w:basedOn w:val="DefaultParagraphFont"/>
    <w:uiPriority w:val="99"/>
    <w:semiHidden/>
    <w:unhideWhenUsed/>
    <w:rsid w:val="00A17180"/>
    <w:rPr>
      <w:color w:val="605E5C"/>
      <w:shd w:val="clear" w:color="auto" w:fill="E1DFDD"/>
    </w:rPr>
  </w:style>
  <w:style w:type="character" w:customStyle="1" w:styleId="Heading3Char">
    <w:name w:val="Heading 3 Char"/>
    <w:basedOn w:val="DefaultParagraphFont"/>
    <w:link w:val="Heading3"/>
    <w:locked/>
    <w:rsid w:val="00CD45DB"/>
    <w:rPr>
      <w:b/>
      <w:sz w:val="24"/>
      <w:lang w:val="fr-FR" w:eastAsia="en-US"/>
    </w:rPr>
  </w:style>
  <w:style w:type="character" w:customStyle="1" w:styleId="Heading1Char">
    <w:name w:val="Heading 1 Char"/>
    <w:basedOn w:val="DefaultParagraphFont"/>
    <w:link w:val="Heading1"/>
    <w:rsid w:val="00CD45DB"/>
    <w:rPr>
      <w:b/>
      <w:sz w:val="24"/>
      <w:lang w:val="fr-FR" w:eastAsia="en-US"/>
    </w:rPr>
  </w:style>
  <w:style w:type="character" w:customStyle="1" w:styleId="FooterChar">
    <w:name w:val="Footer Char"/>
    <w:basedOn w:val="DefaultParagraphFont"/>
    <w:link w:val="Footer"/>
    <w:qFormat/>
    <w:rsid w:val="00CD45DB"/>
    <w:rPr>
      <w:noProof/>
      <w:sz w:val="18"/>
      <w:lang w:val="fr-FR" w:eastAsia="en-US"/>
    </w:rPr>
  </w:style>
  <w:style w:type="paragraph" w:customStyle="1" w:styleId="DateCover">
    <w:name w:val="Date Cover"/>
    <w:basedOn w:val="Normal"/>
    <w:qFormat/>
    <w:rsid w:val="00CD45DB"/>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TitleCover">
    <w:name w:val="Title Cover"/>
    <w:basedOn w:val="Normal"/>
    <w:qFormat/>
    <w:rsid w:val="00CD45DB"/>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CD45DB"/>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D45DB"/>
    <w:rPr>
      <w:vertAlign w:val="superscript"/>
    </w:rPr>
  </w:style>
  <w:style w:type="paragraph" w:customStyle="1" w:styleId="Figurewithouttitle">
    <w:name w:val="Figure_without_title"/>
    <w:basedOn w:val="FigureNo"/>
    <w:next w:val="Normal"/>
    <w:rsid w:val="00CD45D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CD45D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CD45D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FooterSpecial">
    <w:name w:val="Footer Special"/>
    <w:basedOn w:val="Footer"/>
    <w:rsid w:val="00CD45D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D45D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CD45DB"/>
    <w:pPr>
      <w:tabs>
        <w:tab w:val="left" w:pos="567"/>
        <w:tab w:val="left" w:pos="1701"/>
        <w:tab w:val="left" w:pos="2835"/>
      </w:tabs>
      <w:spacing w:before="240"/>
    </w:pPr>
    <w:rPr>
      <w:b w:val="0"/>
      <w:caps/>
    </w:rPr>
  </w:style>
  <w:style w:type="paragraph" w:customStyle="1" w:styleId="Title2">
    <w:name w:val="Title 2"/>
    <w:basedOn w:val="Source"/>
    <w:next w:val="Normal"/>
    <w:rsid w:val="00CD45DB"/>
    <w:pPr>
      <w:overflowPunct/>
      <w:autoSpaceDE/>
      <w:autoSpaceDN/>
      <w:adjustRightInd/>
      <w:spacing w:before="480"/>
      <w:textAlignment w:val="auto"/>
    </w:pPr>
    <w:rPr>
      <w:b w:val="0"/>
      <w:caps/>
    </w:rPr>
  </w:style>
  <w:style w:type="paragraph" w:customStyle="1" w:styleId="Title3">
    <w:name w:val="Title 3"/>
    <w:basedOn w:val="Title2"/>
    <w:next w:val="Normal"/>
    <w:rsid w:val="00CD45DB"/>
    <w:pPr>
      <w:spacing w:before="240"/>
    </w:pPr>
    <w:rPr>
      <w:caps w:val="0"/>
    </w:rPr>
  </w:style>
  <w:style w:type="paragraph" w:customStyle="1" w:styleId="Title4">
    <w:name w:val="Title 4"/>
    <w:basedOn w:val="Title3"/>
    <w:next w:val="Heading1"/>
    <w:rsid w:val="00CD45DB"/>
    <w:rPr>
      <w:b/>
    </w:rPr>
  </w:style>
  <w:style w:type="character" w:customStyle="1" w:styleId="Appdef">
    <w:name w:val="App_def"/>
    <w:basedOn w:val="DefaultParagraphFont"/>
    <w:rsid w:val="00CD45DB"/>
    <w:rPr>
      <w:rFonts w:ascii="Times New Roman" w:hAnsi="Times New Roman"/>
      <w:b/>
    </w:rPr>
  </w:style>
  <w:style w:type="character" w:customStyle="1" w:styleId="Appref">
    <w:name w:val="App_ref"/>
    <w:basedOn w:val="DefaultParagraphFont"/>
    <w:rsid w:val="00CD45DB"/>
  </w:style>
  <w:style w:type="character" w:customStyle="1" w:styleId="Artdef">
    <w:name w:val="Art_def"/>
    <w:basedOn w:val="DefaultParagraphFont"/>
    <w:rsid w:val="00CD45DB"/>
    <w:rPr>
      <w:rFonts w:ascii="Times New Roman" w:hAnsi="Times New Roman"/>
      <w:b/>
    </w:rPr>
  </w:style>
  <w:style w:type="character" w:customStyle="1" w:styleId="Artref">
    <w:name w:val="Art_ref"/>
    <w:basedOn w:val="DefaultParagraphFont"/>
    <w:rsid w:val="00CD45DB"/>
  </w:style>
  <w:style w:type="character" w:customStyle="1" w:styleId="Tablefreq">
    <w:name w:val="Table_freq"/>
    <w:basedOn w:val="DefaultParagraphFont"/>
    <w:rsid w:val="00CD45DB"/>
    <w:rPr>
      <w:b/>
      <w:color w:val="auto"/>
      <w:sz w:val="20"/>
    </w:rPr>
  </w:style>
  <w:style w:type="paragraph" w:customStyle="1" w:styleId="Formal">
    <w:name w:val="Formal"/>
    <w:basedOn w:val="ASN1"/>
    <w:rsid w:val="00CD45DB"/>
    <w:pPr>
      <w:tabs>
        <w:tab w:val="left" w:pos="1871"/>
      </w:tabs>
      <w:jc w:val="left"/>
    </w:pPr>
    <w:rPr>
      <w:rFonts w:ascii="Times New Roman Bold" w:hAnsi="Times New Roman Bold"/>
      <w:b w:val="0"/>
      <w:lang w:val="en-GB"/>
    </w:rPr>
  </w:style>
  <w:style w:type="paragraph" w:customStyle="1" w:styleId="Section1">
    <w:name w:val="Section_1"/>
    <w:basedOn w:val="Normal"/>
    <w:rsid w:val="00CD45D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D45DB"/>
    <w:rPr>
      <w:b w:val="0"/>
      <w:i/>
    </w:rPr>
  </w:style>
  <w:style w:type="paragraph" w:customStyle="1" w:styleId="AnnexNo">
    <w:name w:val="Annex_No"/>
    <w:basedOn w:val="Normal"/>
    <w:next w:val="Normal"/>
    <w:link w:val="AnnexNoChar"/>
    <w:rsid w:val="00CD45D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D45D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D45DB"/>
  </w:style>
  <w:style w:type="paragraph" w:customStyle="1" w:styleId="Appendixtitle">
    <w:name w:val="Appendix_title"/>
    <w:basedOn w:val="Annextitle"/>
    <w:next w:val="Normal"/>
    <w:rsid w:val="00CD45DB"/>
  </w:style>
  <w:style w:type="paragraph" w:customStyle="1" w:styleId="Border">
    <w:name w:val="Border"/>
    <w:basedOn w:val="Normal"/>
    <w:rsid w:val="00CD45D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D45D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D45D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D45D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D45D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D45DB"/>
  </w:style>
  <w:style w:type="paragraph" w:customStyle="1" w:styleId="Normalaftertitle0">
    <w:name w:val="Normal after title"/>
    <w:basedOn w:val="Normal"/>
    <w:next w:val="Normal"/>
    <w:rsid w:val="00CD45D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D45DB"/>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D45DB"/>
    <w:pPr>
      <w:tabs>
        <w:tab w:val="clear" w:pos="794"/>
        <w:tab w:val="clear" w:pos="1191"/>
        <w:tab w:val="left" w:pos="1134"/>
      </w:tabs>
      <w:jc w:val="left"/>
    </w:pPr>
    <w:rPr>
      <w:lang w:val="en-GB"/>
    </w:rPr>
  </w:style>
  <w:style w:type="paragraph" w:customStyle="1" w:styleId="Section3">
    <w:name w:val="Section_3"/>
    <w:basedOn w:val="Section1"/>
    <w:rsid w:val="00CD45DB"/>
    <w:rPr>
      <w:b w:val="0"/>
    </w:rPr>
  </w:style>
  <w:style w:type="paragraph" w:customStyle="1" w:styleId="TableTextS5">
    <w:name w:val="Table_TextS5"/>
    <w:basedOn w:val="Normal"/>
    <w:rsid w:val="00CD45DB"/>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CD45D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CD45DB"/>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D45DB"/>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D45DB"/>
  </w:style>
  <w:style w:type="paragraph" w:customStyle="1" w:styleId="Committee">
    <w:name w:val="Committee"/>
    <w:basedOn w:val="Normal"/>
    <w:qFormat/>
    <w:rsid w:val="00CD45D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basedOn w:val="DefaultParagraphFont"/>
    <w:link w:val="FootnoteText"/>
    <w:qFormat/>
    <w:rsid w:val="00CD45DB"/>
    <w:rPr>
      <w:sz w:val="22"/>
      <w:lang w:val="fr-FR" w:eastAsia="en-US"/>
    </w:rPr>
  </w:style>
  <w:style w:type="paragraph" w:customStyle="1" w:styleId="Normalend">
    <w:name w:val="Normal_end"/>
    <w:basedOn w:val="Normal"/>
    <w:next w:val="Normal"/>
    <w:qFormat/>
    <w:rsid w:val="00CD45D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D45DB"/>
    <w:pPr>
      <w:keepNext/>
      <w:keepLines/>
    </w:pPr>
  </w:style>
  <w:style w:type="paragraph" w:customStyle="1" w:styleId="Subsection1">
    <w:name w:val="Subsection_1"/>
    <w:basedOn w:val="Section1"/>
    <w:next w:val="Normalaftertitle0"/>
    <w:qFormat/>
    <w:rsid w:val="00CD45DB"/>
  </w:style>
  <w:style w:type="paragraph" w:customStyle="1" w:styleId="Volumetitle">
    <w:name w:val="Volume_title"/>
    <w:basedOn w:val="Normal"/>
    <w:qFormat/>
    <w:rsid w:val="00CD45DB"/>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CD45DB"/>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D45DB"/>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D45DB"/>
    <w:rPr>
      <w:rFonts w:ascii="Times New Roman" w:hAnsi="Times New Roman"/>
      <w:b w:val="0"/>
    </w:rPr>
  </w:style>
  <w:style w:type="paragraph" w:customStyle="1" w:styleId="Tablesplit">
    <w:name w:val="Table_split"/>
    <w:basedOn w:val="Tabletext"/>
    <w:qFormat/>
    <w:rsid w:val="00CD45D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CD45DB"/>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CD45DB"/>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CD45DB"/>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CD45DB"/>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CD45DB"/>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CD45DB"/>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CD45DB"/>
    <w:rPr>
      <w:rFonts w:ascii="Times New Roman Bold" w:hAnsi="Times New Roman Bold"/>
      <w:b/>
      <w:sz w:val="18"/>
      <w:lang w:val="fr-FR" w:eastAsia="en-US"/>
    </w:rPr>
  </w:style>
  <w:style w:type="paragraph" w:customStyle="1" w:styleId="Figurewithlegend">
    <w:name w:val="Figure_with_legend"/>
    <w:basedOn w:val="Figure"/>
    <w:rsid w:val="00CD45DB"/>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CD45DB"/>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CD45DB"/>
    <w:rPr>
      <w:sz w:val="24"/>
      <w:lang w:val="en-GB" w:eastAsia="en-US"/>
    </w:rPr>
  </w:style>
  <w:style w:type="character" w:customStyle="1" w:styleId="Heading4Char">
    <w:name w:val="Heading 4 Char"/>
    <w:basedOn w:val="DefaultParagraphFont"/>
    <w:link w:val="Heading4"/>
    <w:locked/>
    <w:rsid w:val="00CD45DB"/>
    <w:rPr>
      <w:b/>
      <w:sz w:val="24"/>
      <w:lang w:val="fr-FR" w:eastAsia="en-US"/>
    </w:rPr>
  </w:style>
  <w:style w:type="paragraph" w:customStyle="1" w:styleId="FooterSpecial0">
    <w:name w:val="Footer Special_0"/>
    <w:basedOn w:val="Footer"/>
    <w:rsid w:val="00CD45DB"/>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SourceChar">
    <w:name w:val="Source Char"/>
    <w:basedOn w:val="DefaultParagraphFont"/>
    <w:link w:val="Source"/>
    <w:locked/>
    <w:rsid w:val="00CD45DB"/>
    <w:rPr>
      <w:b/>
      <w:sz w:val="28"/>
      <w:lang w:val="en-GB" w:eastAsia="en-US"/>
    </w:rPr>
  </w:style>
  <w:style w:type="character" w:customStyle="1" w:styleId="Title1Char">
    <w:name w:val="Title 1 Char"/>
    <w:basedOn w:val="SourceChar"/>
    <w:link w:val="Title1"/>
    <w:locked/>
    <w:rsid w:val="00CD45DB"/>
    <w:rPr>
      <w:b w:val="0"/>
      <w:caps/>
      <w:sz w:val="28"/>
      <w:lang w:val="en-GB" w:eastAsia="en-US"/>
    </w:rPr>
  </w:style>
  <w:style w:type="character" w:customStyle="1" w:styleId="HeadingbChar">
    <w:name w:val="Heading_b Char"/>
    <w:basedOn w:val="DefaultParagraphFont"/>
    <w:link w:val="Headingb"/>
    <w:qFormat/>
    <w:locked/>
    <w:rsid w:val="00CD45DB"/>
    <w:rPr>
      <w:b/>
      <w:sz w:val="24"/>
      <w:lang w:val="fr-FR" w:eastAsia="en-US"/>
    </w:rPr>
  </w:style>
  <w:style w:type="character" w:customStyle="1" w:styleId="enumlev1Char">
    <w:name w:val="enumlev1 Char"/>
    <w:basedOn w:val="DefaultParagraphFont"/>
    <w:link w:val="enumlev1"/>
    <w:locked/>
    <w:rsid w:val="00CD45DB"/>
    <w:rPr>
      <w:sz w:val="24"/>
      <w:lang w:val="fr-FR" w:eastAsia="en-US"/>
    </w:rPr>
  </w:style>
  <w:style w:type="character" w:customStyle="1" w:styleId="NormalaftertitleChar">
    <w:name w:val="Normal_after_title Char"/>
    <w:basedOn w:val="DefaultParagraphFont"/>
    <w:link w:val="Normalaftertitle"/>
    <w:locked/>
    <w:rsid w:val="00CD45DB"/>
    <w:rPr>
      <w:sz w:val="24"/>
      <w:lang w:val="fr-FR" w:eastAsia="en-US"/>
    </w:rPr>
  </w:style>
  <w:style w:type="character" w:customStyle="1" w:styleId="MentionUnresolved">
    <w:name w:val="Mention Unresolved"/>
    <w:basedOn w:val="DefaultParagraphFont"/>
    <w:uiPriority w:val="99"/>
    <w:semiHidden/>
    <w:unhideWhenUsed/>
    <w:rsid w:val="00CD45DB"/>
    <w:rPr>
      <w:color w:val="605E5C"/>
      <w:shd w:val="clear" w:color="auto" w:fill="E1DFDD"/>
    </w:rPr>
  </w:style>
  <w:style w:type="character" w:customStyle="1" w:styleId="RectitleChar">
    <w:name w:val="Rec_title Char"/>
    <w:link w:val="Rectitle"/>
    <w:locked/>
    <w:rsid w:val="00CD45DB"/>
    <w:rPr>
      <w:b/>
      <w:sz w:val="28"/>
      <w:lang w:val="fr-FR" w:eastAsia="en-US"/>
    </w:rPr>
  </w:style>
  <w:style w:type="character" w:customStyle="1" w:styleId="Heading2Char">
    <w:name w:val="Heading 2 Char"/>
    <w:basedOn w:val="DefaultParagraphFont"/>
    <w:link w:val="Heading2"/>
    <w:rsid w:val="00CD45DB"/>
    <w:rPr>
      <w:b/>
      <w:sz w:val="24"/>
      <w:lang w:val="fr-FR" w:eastAsia="en-US"/>
    </w:rPr>
  </w:style>
  <w:style w:type="character" w:customStyle="1" w:styleId="UnresolvedMention1">
    <w:name w:val="Unresolved Mention1"/>
    <w:basedOn w:val="DefaultParagraphFont"/>
    <w:uiPriority w:val="99"/>
    <w:semiHidden/>
    <w:unhideWhenUsed/>
    <w:rsid w:val="00CD45DB"/>
    <w:rPr>
      <w:color w:val="605E5C"/>
      <w:shd w:val="clear" w:color="auto" w:fill="E1DFDD"/>
    </w:rPr>
  </w:style>
  <w:style w:type="character" w:customStyle="1" w:styleId="Recdef">
    <w:name w:val="Rec_def"/>
    <w:basedOn w:val="DefaultParagraphFont"/>
    <w:rsid w:val="00CD45DB"/>
    <w:rPr>
      <w:b/>
    </w:rPr>
  </w:style>
  <w:style w:type="character" w:customStyle="1" w:styleId="Resdef">
    <w:name w:val="Res_def"/>
    <w:basedOn w:val="DefaultParagraphFont"/>
    <w:rsid w:val="00CD45DB"/>
    <w:rPr>
      <w:rFonts w:ascii="Times New Roman" w:hAnsi="Times New Roman"/>
      <w:b/>
    </w:rPr>
  </w:style>
  <w:style w:type="paragraph" w:styleId="Caption">
    <w:name w:val="caption"/>
    <w:aliases w:val="cap,cap1,cap2,cap11,Caption Char,Caption Char1 Char,cap Char Char1,Caption Char Char1 Char,cap Char2"/>
    <w:basedOn w:val="Normal"/>
    <w:next w:val="Normal"/>
    <w:link w:val="CaptionChar1"/>
    <w:unhideWhenUsed/>
    <w:qFormat/>
    <w:rsid w:val="00CD45DB"/>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lang w:val="en-GB"/>
    </w:rPr>
  </w:style>
  <w:style w:type="character" w:customStyle="1" w:styleId="BalloonTextChar">
    <w:name w:val="Balloon Text Char"/>
    <w:basedOn w:val="DefaultParagraphFont"/>
    <w:link w:val="BalloonText"/>
    <w:rsid w:val="00CD45DB"/>
    <w:rPr>
      <w:rFonts w:ascii="Segoe UI" w:hAnsi="Segoe UI" w:cs="Segoe UI"/>
      <w:sz w:val="18"/>
      <w:szCs w:val="18"/>
      <w:lang w:val="en-GB" w:eastAsia="en-US"/>
    </w:rPr>
  </w:style>
  <w:style w:type="paragraph" w:styleId="BalloonText">
    <w:name w:val="Balloon Text"/>
    <w:basedOn w:val="Normal"/>
    <w:link w:val="BalloonTextChar"/>
    <w:unhideWhenUsed/>
    <w:rsid w:val="00CD45DB"/>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1">
    <w:name w:val="Balloon Text Char1"/>
    <w:basedOn w:val="DefaultParagraphFont"/>
    <w:rsid w:val="00CD45DB"/>
    <w:rPr>
      <w:rFonts w:ascii="Segoe UI" w:hAnsi="Segoe UI" w:cs="Segoe UI"/>
      <w:sz w:val="18"/>
      <w:szCs w:val="18"/>
      <w:lang w:val="fr-FR" w:eastAsia="en-US"/>
    </w:rPr>
  </w:style>
  <w:style w:type="paragraph" w:styleId="NormalWeb">
    <w:name w:val="Normal (Web)"/>
    <w:basedOn w:val="Normal"/>
    <w:uiPriority w:val="99"/>
    <w:unhideWhenUsed/>
    <w:qFormat/>
    <w:rsid w:val="00CD45D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en-GB"/>
    </w:rPr>
  </w:style>
  <w:style w:type="character" w:customStyle="1" w:styleId="normal0020tablechar">
    <w:name w:val="normal_0020table__char"/>
    <w:basedOn w:val="DefaultParagraphFont"/>
    <w:rsid w:val="00CD45DB"/>
  </w:style>
  <w:style w:type="paragraph" w:customStyle="1" w:styleId="at">
    <w:name w:val="at"/>
    <w:rsid w:val="00CD45DB"/>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rsid w:val="00CD45DB"/>
    <w:rPr>
      <w:sz w:val="24"/>
      <w:lang w:val="en-GB" w:eastAsia="en-US"/>
    </w:rPr>
  </w:style>
  <w:style w:type="character" w:styleId="FollowedHyperlink">
    <w:name w:val="FollowedHyperlink"/>
    <w:basedOn w:val="DefaultParagraphFont"/>
    <w:unhideWhenUsed/>
    <w:rsid w:val="00CD45DB"/>
    <w:rPr>
      <w:color w:val="800080" w:themeColor="followedHyperlink"/>
      <w:u w:val="single"/>
    </w:rPr>
  </w:style>
  <w:style w:type="character" w:styleId="PlaceholderText">
    <w:name w:val="Placeholder Text"/>
    <w:basedOn w:val="DefaultParagraphFont"/>
    <w:uiPriority w:val="99"/>
    <w:rsid w:val="00CD45DB"/>
    <w:rPr>
      <w:color w:val="808080"/>
    </w:rPr>
  </w:style>
  <w:style w:type="character" w:styleId="CommentReference">
    <w:name w:val="annotation reference"/>
    <w:basedOn w:val="DefaultParagraphFont"/>
    <w:unhideWhenUsed/>
    <w:rsid w:val="00CD45DB"/>
    <w:rPr>
      <w:sz w:val="16"/>
      <w:szCs w:val="16"/>
    </w:rPr>
  </w:style>
  <w:style w:type="paragraph" w:styleId="CommentText">
    <w:name w:val="annotation text"/>
    <w:basedOn w:val="Normal"/>
    <w:link w:val="CommentTextChar"/>
    <w:unhideWhenUsed/>
    <w:rsid w:val="00CD45DB"/>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CD45DB"/>
    <w:rPr>
      <w:lang w:val="en-GB" w:eastAsia="en-US"/>
    </w:rPr>
  </w:style>
  <w:style w:type="paragraph" w:styleId="CommentSubject">
    <w:name w:val="annotation subject"/>
    <w:basedOn w:val="CommentText"/>
    <w:next w:val="CommentText"/>
    <w:link w:val="CommentSubjectChar"/>
    <w:unhideWhenUsed/>
    <w:rsid w:val="00CD45DB"/>
    <w:rPr>
      <w:b/>
      <w:bCs/>
    </w:rPr>
  </w:style>
  <w:style w:type="character" w:customStyle="1" w:styleId="CommentSubjectChar">
    <w:name w:val="Comment Subject Char"/>
    <w:basedOn w:val="CommentTextChar"/>
    <w:link w:val="CommentSubject"/>
    <w:rsid w:val="00CD45DB"/>
    <w:rPr>
      <w:b/>
      <w:bCs/>
      <w:lang w:val="en-GB" w:eastAsia="en-US"/>
    </w:rPr>
  </w:style>
  <w:style w:type="character" w:customStyle="1" w:styleId="MentionUnresolved0">
    <w:name w:val="Mention Unresolved_0"/>
    <w:basedOn w:val="DefaultParagraphFont"/>
    <w:uiPriority w:val="99"/>
    <w:semiHidden/>
    <w:unhideWhenUsed/>
    <w:rsid w:val="00CD45DB"/>
    <w:rPr>
      <w:color w:val="605E5C"/>
      <w:shd w:val="clear" w:color="auto" w:fill="E1DFDD"/>
    </w:rPr>
  </w:style>
  <w:style w:type="character" w:styleId="Emphasis">
    <w:name w:val="Emphasis"/>
    <w:basedOn w:val="DefaultParagraphFont"/>
    <w:qFormat/>
    <w:rsid w:val="00CD45DB"/>
    <w:rPr>
      <w:i/>
      <w:iCs/>
    </w:rPr>
  </w:style>
  <w:style w:type="paragraph" w:styleId="ListParagraph">
    <w:name w:val="List Paragraph"/>
    <w:basedOn w:val="Normal"/>
    <w:link w:val="ListParagraphChar"/>
    <w:uiPriority w:val="34"/>
    <w:qFormat/>
    <w:rsid w:val="00CD45DB"/>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Mentionnonrsolue1">
    <w:name w:val="Mention non résolue1"/>
    <w:basedOn w:val="DefaultParagraphFont"/>
    <w:uiPriority w:val="99"/>
    <w:semiHidden/>
    <w:unhideWhenUsed/>
    <w:rsid w:val="00CD45DB"/>
    <w:rPr>
      <w:color w:val="605E5C"/>
      <w:shd w:val="clear" w:color="auto" w:fill="E1DFDD"/>
    </w:rPr>
  </w:style>
  <w:style w:type="character" w:customStyle="1" w:styleId="Heading5Char">
    <w:name w:val="Heading 5 Char"/>
    <w:basedOn w:val="DefaultParagraphFont"/>
    <w:link w:val="Heading5"/>
    <w:locked/>
    <w:rsid w:val="00CD45DB"/>
    <w:rPr>
      <w:b/>
      <w:sz w:val="24"/>
      <w:lang w:val="fr-FR" w:eastAsia="en-US"/>
    </w:rPr>
  </w:style>
  <w:style w:type="character" w:customStyle="1" w:styleId="Heading6Char">
    <w:name w:val="Heading 6 Char"/>
    <w:basedOn w:val="DefaultParagraphFont"/>
    <w:link w:val="Heading6"/>
    <w:locked/>
    <w:rsid w:val="00CD45DB"/>
    <w:rPr>
      <w:b/>
      <w:sz w:val="24"/>
      <w:lang w:val="fr-FR" w:eastAsia="en-US"/>
    </w:rPr>
  </w:style>
  <w:style w:type="character" w:customStyle="1" w:styleId="Heading7Char">
    <w:name w:val="Heading 7 Char"/>
    <w:basedOn w:val="DefaultParagraphFont"/>
    <w:link w:val="Heading7"/>
    <w:locked/>
    <w:rsid w:val="00CD45DB"/>
    <w:rPr>
      <w:b/>
      <w:sz w:val="24"/>
      <w:lang w:val="fr-FR" w:eastAsia="en-US"/>
    </w:rPr>
  </w:style>
  <w:style w:type="character" w:customStyle="1" w:styleId="Heading8Char">
    <w:name w:val="Heading 8 Char"/>
    <w:basedOn w:val="DefaultParagraphFont"/>
    <w:link w:val="Heading8"/>
    <w:locked/>
    <w:rsid w:val="00CD45DB"/>
    <w:rPr>
      <w:b/>
      <w:sz w:val="24"/>
      <w:lang w:val="fr-FR" w:eastAsia="en-US"/>
    </w:rPr>
  </w:style>
  <w:style w:type="character" w:customStyle="1" w:styleId="Heading9Char">
    <w:name w:val="Heading 9 Char"/>
    <w:basedOn w:val="DefaultParagraphFont"/>
    <w:link w:val="Heading9"/>
    <w:locked/>
    <w:rsid w:val="00CD45DB"/>
    <w:rPr>
      <w:b/>
      <w:sz w:val="24"/>
      <w:lang w:val="fr-FR" w:eastAsia="en-US"/>
    </w:rPr>
  </w:style>
  <w:style w:type="character" w:customStyle="1" w:styleId="BalloonTextChar11">
    <w:name w:val="Balloon Text Char11"/>
    <w:basedOn w:val="DefaultParagraphFont"/>
    <w:rsid w:val="00CD45DB"/>
    <w:rPr>
      <w:rFonts w:ascii="Segoe UI" w:hAnsi="Segoe UI" w:cs="Segoe UI"/>
      <w:sz w:val="18"/>
      <w:szCs w:val="18"/>
      <w:lang w:val="en-GB" w:eastAsia="en-US"/>
    </w:rPr>
  </w:style>
  <w:style w:type="character" w:customStyle="1" w:styleId="NoteChar">
    <w:name w:val="Note Char"/>
    <w:basedOn w:val="DefaultParagraphFont"/>
    <w:link w:val="Note"/>
    <w:locked/>
    <w:rsid w:val="00CD45DB"/>
    <w:rPr>
      <w:sz w:val="22"/>
      <w:lang w:val="fr-FR" w:eastAsia="en-US"/>
    </w:rPr>
  </w:style>
  <w:style w:type="character" w:customStyle="1" w:styleId="CallChar">
    <w:name w:val="Call Char"/>
    <w:link w:val="Call"/>
    <w:locked/>
    <w:rsid w:val="00CD45DB"/>
    <w:rPr>
      <w:i/>
      <w:sz w:val="24"/>
      <w:lang w:val="fr-FR" w:eastAsia="en-US"/>
    </w:rPr>
  </w:style>
  <w:style w:type="character" w:customStyle="1" w:styleId="RecNoChar">
    <w:name w:val="Rec_No Char"/>
    <w:link w:val="RecNo"/>
    <w:locked/>
    <w:rsid w:val="00CD45DB"/>
    <w:rPr>
      <w:sz w:val="28"/>
      <w:lang w:val="fr-FR" w:eastAsia="en-US"/>
    </w:rPr>
  </w:style>
  <w:style w:type="paragraph" w:customStyle="1" w:styleId="Before">
    <w:name w:val="Before"/>
    <w:basedOn w:val="RecNo"/>
    <w:rsid w:val="00CD45DB"/>
    <w:pPr>
      <w:spacing w:before="0"/>
    </w:pPr>
  </w:style>
  <w:style w:type="paragraph" w:customStyle="1" w:styleId="SpecialFooter">
    <w:name w:val="Special Footer"/>
    <w:basedOn w:val="Footer"/>
    <w:rsid w:val="00CD45DB"/>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character" w:customStyle="1" w:styleId="TableheadChar">
    <w:name w:val="Table_head Char"/>
    <w:link w:val="Tablehead"/>
    <w:locked/>
    <w:rsid w:val="00CD45DB"/>
    <w:rPr>
      <w:b/>
      <w:sz w:val="22"/>
      <w:lang w:val="fr-FR" w:eastAsia="en-US"/>
    </w:rPr>
  </w:style>
  <w:style w:type="character" w:customStyle="1" w:styleId="TableNoChar">
    <w:name w:val="Table_No Char"/>
    <w:link w:val="TableNo"/>
    <w:rsid w:val="00CD45DB"/>
    <w:rPr>
      <w:sz w:val="24"/>
      <w:lang w:val="fr-FR" w:eastAsia="en-US"/>
    </w:rPr>
  </w:style>
  <w:style w:type="character" w:customStyle="1" w:styleId="TabletextChar">
    <w:name w:val="Table_text Char"/>
    <w:link w:val="Tabletext"/>
    <w:locked/>
    <w:rsid w:val="00CD45DB"/>
    <w:rPr>
      <w:sz w:val="22"/>
      <w:lang w:val="fr-FR" w:eastAsia="en-US"/>
    </w:rPr>
  </w:style>
  <w:style w:type="character" w:customStyle="1" w:styleId="TabletitleChar">
    <w:name w:val="Table_title Char"/>
    <w:link w:val="Tabletitle"/>
    <w:qFormat/>
    <w:rsid w:val="00CD45DB"/>
    <w:rPr>
      <w:b/>
      <w:sz w:val="24"/>
      <w:lang w:val="fr-FR" w:eastAsia="en-US"/>
    </w:rPr>
  </w:style>
  <w:style w:type="character" w:customStyle="1" w:styleId="FigureChar">
    <w:name w:val="Figure Char"/>
    <w:aliases w:val="fig Char"/>
    <w:link w:val="Figure"/>
    <w:rsid w:val="00CD45DB"/>
    <w:rPr>
      <w:caps/>
      <w:sz w:val="18"/>
      <w:lang w:val="fr-FR" w:eastAsia="en-US"/>
    </w:rPr>
  </w:style>
  <w:style w:type="character" w:customStyle="1" w:styleId="FigureNo0">
    <w:name w:val="Figure_No (文字)"/>
    <w:link w:val="FigureNo"/>
    <w:rsid w:val="00CD45DB"/>
    <w:rPr>
      <w:caps/>
      <w:sz w:val="18"/>
      <w:lang w:val="fr-FR" w:eastAsia="en-US"/>
    </w:rPr>
  </w:style>
  <w:style w:type="character" w:customStyle="1" w:styleId="TablelegendChar">
    <w:name w:val="Table_legend Char"/>
    <w:link w:val="Tablelegend"/>
    <w:locked/>
    <w:rsid w:val="00CD45DB"/>
    <w:rPr>
      <w:sz w:val="22"/>
      <w:lang w:val="fr-FR" w:eastAsia="en-US"/>
    </w:rPr>
  </w:style>
  <w:style w:type="paragraph" w:styleId="Title">
    <w:name w:val="Title"/>
    <w:basedOn w:val="Normal"/>
    <w:link w:val="TitleChar"/>
    <w:uiPriority w:val="99"/>
    <w:qFormat/>
    <w:rsid w:val="00CD45DB"/>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CD45DB"/>
    <w:rPr>
      <w:rFonts w:eastAsia="MS Mincho"/>
      <w:b/>
      <w:bCs/>
      <w:sz w:val="24"/>
      <w:szCs w:val="24"/>
      <w:lang w:eastAsia="en-US"/>
    </w:rPr>
  </w:style>
  <w:style w:type="paragraph" w:styleId="BodyText">
    <w:name w:val="Body Text"/>
    <w:basedOn w:val="Normal"/>
    <w:link w:val="BodyTextChar"/>
    <w:qFormat/>
    <w:rsid w:val="00CD45DB"/>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rsid w:val="00CD45DB"/>
    <w:rPr>
      <w:rFonts w:eastAsia="MS Mincho"/>
      <w:b/>
      <w:bCs/>
      <w:sz w:val="24"/>
      <w:szCs w:val="24"/>
      <w:lang w:eastAsia="en-US"/>
    </w:rPr>
  </w:style>
  <w:style w:type="paragraph" w:styleId="Subtitle">
    <w:name w:val="Subtitle"/>
    <w:basedOn w:val="Normal"/>
    <w:link w:val="SubtitleChar"/>
    <w:uiPriority w:val="99"/>
    <w:qFormat/>
    <w:rsid w:val="00CD45DB"/>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CD45DB"/>
    <w:rPr>
      <w:rFonts w:eastAsia="MS Mincho"/>
      <w:sz w:val="24"/>
      <w:szCs w:val="24"/>
      <w:u w:val="single"/>
      <w:lang w:eastAsia="en-US"/>
    </w:rPr>
  </w:style>
  <w:style w:type="paragraph" w:styleId="BlockText">
    <w:name w:val="Block Text"/>
    <w:basedOn w:val="Normal"/>
    <w:uiPriority w:val="99"/>
    <w:rsid w:val="00CD45DB"/>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rsid w:val="00CD45DB"/>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rsid w:val="00CD45DB"/>
    <w:rPr>
      <w:rFonts w:ascii="Arial" w:eastAsia="MS Mincho" w:hAnsi="Arial" w:cs="Arial"/>
      <w:sz w:val="22"/>
      <w:szCs w:val="24"/>
      <w:lang w:eastAsia="en-US"/>
    </w:rPr>
  </w:style>
  <w:style w:type="paragraph" w:styleId="BodyText3">
    <w:name w:val="Body Text 3"/>
    <w:basedOn w:val="Normal"/>
    <w:link w:val="BodyText3Char"/>
    <w:rsid w:val="00CD45DB"/>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rsid w:val="00CD45DB"/>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CD45DB"/>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CD45DB"/>
    <w:rPr>
      <w:rFonts w:ascii="Arial" w:eastAsia="MS Mincho" w:hAnsi="Arial" w:cs="Arial"/>
      <w:sz w:val="22"/>
      <w:szCs w:val="24"/>
      <w:lang w:eastAsia="en-US"/>
    </w:rPr>
  </w:style>
  <w:style w:type="paragraph" w:styleId="BodyTextIndent2">
    <w:name w:val="Body Text Indent 2"/>
    <w:basedOn w:val="Normal"/>
    <w:link w:val="BodyTextIndent2Char"/>
    <w:uiPriority w:val="99"/>
    <w:rsid w:val="00CD45DB"/>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CD45DB"/>
    <w:rPr>
      <w:rFonts w:eastAsia="MS Mincho"/>
      <w:sz w:val="24"/>
      <w:szCs w:val="24"/>
      <w:lang w:eastAsia="en-US"/>
    </w:rPr>
  </w:style>
  <w:style w:type="paragraph" w:customStyle="1" w:styleId="TableTitle0">
    <w:name w:val="Table_Title"/>
    <w:basedOn w:val="Normal"/>
    <w:next w:val="Normal"/>
    <w:uiPriority w:val="99"/>
    <w:rsid w:val="00CD45DB"/>
    <w:pPr>
      <w:keepNext/>
      <w:tabs>
        <w:tab w:val="clear" w:pos="794"/>
        <w:tab w:val="clear" w:pos="1191"/>
        <w:tab w:val="clear" w:pos="1588"/>
        <w:tab w:val="clear" w:pos="1985"/>
      </w:tabs>
      <w:spacing w:before="0" w:after="113"/>
      <w:jc w:val="center"/>
    </w:pPr>
    <w:rPr>
      <w:rFonts w:eastAsia="MS Mincho"/>
      <w:b/>
      <w:sz w:val="18"/>
      <w:lang w:val="en-GB"/>
    </w:rPr>
  </w:style>
  <w:style w:type="paragraph" w:styleId="BodyTextIndent3">
    <w:name w:val="Body Text Indent 3"/>
    <w:basedOn w:val="Normal"/>
    <w:link w:val="BodyTextIndent3Char"/>
    <w:uiPriority w:val="99"/>
    <w:rsid w:val="00CD45DB"/>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CD45DB"/>
    <w:rPr>
      <w:rFonts w:ascii="Century" w:eastAsia="MS Mincho" w:hAnsi="Century"/>
      <w:kern w:val="2"/>
      <w:sz w:val="21"/>
      <w:szCs w:val="24"/>
      <w:lang w:eastAsia="ja-JP"/>
    </w:rPr>
  </w:style>
  <w:style w:type="paragraph" w:styleId="PlainText">
    <w:name w:val="Plain Text"/>
    <w:basedOn w:val="Normal"/>
    <w:link w:val="PlainTextChar"/>
    <w:uiPriority w:val="99"/>
    <w:rsid w:val="00CD45DB"/>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CD45DB"/>
    <w:rPr>
      <w:rFonts w:ascii="Courier New" w:eastAsia="MS Mincho" w:hAnsi="Courier New"/>
      <w:lang w:eastAsia="en-US"/>
    </w:rPr>
  </w:style>
  <w:style w:type="character" w:styleId="Strong">
    <w:name w:val="Strong"/>
    <w:qFormat/>
    <w:rsid w:val="00CD45DB"/>
    <w:rPr>
      <w:rFonts w:cs="Times New Roman"/>
      <w:b/>
      <w:bCs/>
    </w:rPr>
  </w:style>
  <w:style w:type="paragraph" w:styleId="Date">
    <w:name w:val="Date"/>
    <w:basedOn w:val="Normal"/>
    <w:next w:val="Normal"/>
    <w:link w:val="DateChar"/>
    <w:uiPriority w:val="99"/>
    <w:rsid w:val="00CD45DB"/>
    <w:pPr>
      <w:jc w:val="left"/>
    </w:pPr>
    <w:rPr>
      <w:rFonts w:eastAsia="MS Mincho"/>
      <w:lang w:val="en-GB"/>
    </w:rPr>
  </w:style>
  <w:style w:type="character" w:customStyle="1" w:styleId="DateChar">
    <w:name w:val="Date Char"/>
    <w:basedOn w:val="DefaultParagraphFont"/>
    <w:link w:val="Date"/>
    <w:uiPriority w:val="99"/>
    <w:rsid w:val="00CD45DB"/>
    <w:rPr>
      <w:rFonts w:eastAsia="MS Mincho"/>
      <w:sz w:val="24"/>
      <w:lang w:val="en-GB" w:eastAsia="en-US"/>
    </w:rPr>
  </w:style>
  <w:style w:type="paragraph" w:styleId="HTMLPreformatted">
    <w:name w:val="HTML Preformatted"/>
    <w:basedOn w:val="Normal"/>
    <w:link w:val="HTMLPreformattedChar"/>
    <w:uiPriority w:val="99"/>
    <w:rsid w:val="00CD45DB"/>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CD45DB"/>
    <w:rPr>
      <w:rFonts w:ascii="MS Gothic" w:eastAsia="MS Gothic" w:hAnsi="MS Gothic" w:cs="MS Gothic"/>
      <w:sz w:val="24"/>
      <w:szCs w:val="24"/>
      <w:lang w:eastAsia="ja-JP"/>
    </w:rPr>
  </w:style>
  <w:style w:type="paragraph" w:styleId="TOC9">
    <w:name w:val="toc 9"/>
    <w:basedOn w:val="Normal"/>
    <w:next w:val="Normal"/>
    <w:uiPriority w:val="99"/>
    <w:rsid w:val="00CD45DB"/>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CD45DB"/>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CD45DB"/>
    <w:rPr>
      <w:rFonts w:ascii="Tahoma" w:eastAsia="MS Mincho" w:hAnsi="Tahoma" w:cs="Tahoma"/>
      <w:shd w:val="clear" w:color="auto" w:fill="000080"/>
      <w:lang w:eastAsia="en-US"/>
    </w:rPr>
  </w:style>
  <w:style w:type="paragraph" w:customStyle="1" w:styleId="Revision1">
    <w:name w:val="Revision1"/>
    <w:hidden/>
    <w:uiPriority w:val="99"/>
    <w:semiHidden/>
    <w:rsid w:val="00CD45DB"/>
    <w:rPr>
      <w:rFonts w:ascii="Times" w:eastAsia="MS Mincho" w:hAnsi="Times"/>
      <w:lang w:eastAsia="en-US"/>
    </w:rPr>
  </w:style>
  <w:style w:type="paragraph" w:styleId="EndnoteText">
    <w:name w:val="endnote text"/>
    <w:basedOn w:val="Normal"/>
    <w:link w:val="EndnoteTextChar"/>
    <w:rsid w:val="00CD45D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CD45DB"/>
    <w:rPr>
      <w:rFonts w:ascii="Times" w:eastAsia="MS Mincho" w:hAnsi="Times"/>
      <w:lang w:eastAsia="en-US"/>
    </w:rPr>
  </w:style>
  <w:style w:type="paragraph" w:styleId="List">
    <w:name w:val="List"/>
    <w:basedOn w:val="Normal"/>
    <w:rsid w:val="00CD45DB"/>
    <w:pPr>
      <w:ind w:left="283" w:hanging="283"/>
      <w:jc w:val="left"/>
    </w:pPr>
    <w:rPr>
      <w:rFonts w:eastAsia="MS Mincho"/>
      <w:lang w:val="en-GB"/>
    </w:rPr>
  </w:style>
  <w:style w:type="character" w:customStyle="1" w:styleId="AnnexNoChar">
    <w:name w:val="Annex_No Char"/>
    <w:link w:val="AnnexNo"/>
    <w:locked/>
    <w:rsid w:val="00CD45DB"/>
    <w:rPr>
      <w:caps/>
      <w:sz w:val="28"/>
      <w:lang w:val="en-GB" w:eastAsia="en-US"/>
    </w:rPr>
  </w:style>
  <w:style w:type="numbering" w:styleId="111111">
    <w:name w:val="Outline List 2"/>
    <w:basedOn w:val="NoList"/>
    <w:uiPriority w:val="99"/>
    <w:unhideWhenUsed/>
    <w:rsid w:val="00CD45DB"/>
    <w:pPr>
      <w:numPr>
        <w:numId w:val="1"/>
      </w:numPr>
    </w:pPr>
  </w:style>
  <w:style w:type="character" w:customStyle="1" w:styleId="CaptionChar1">
    <w:name w:val="Caption Char1"/>
    <w:aliases w:val="cap Char,cap1 Char,cap2 Char,cap11 Char,Caption Char Char,Caption Char1 Char Char,cap Char Char1 Char,Caption Char Char1 Char Char,cap Char2 Char"/>
    <w:link w:val="Caption"/>
    <w:rsid w:val="00CD45DB"/>
    <w:rPr>
      <w:i/>
      <w:iCs/>
      <w:color w:val="1F497D" w:themeColor="text2"/>
      <w:sz w:val="18"/>
      <w:szCs w:val="18"/>
      <w:lang w:val="en-GB" w:eastAsia="en-US"/>
    </w:rPr>
  </w:style>
  <w:style w:type="character" w:customStyle="1" w:styleId="HeadingiChar">
    <w:name w:val="Heading_i Char"/>
    <w:basedOn w:val="DefaultParagraphFont"/>
    <w:link w:val="Headingi"/>
    <w:locked/>
    <w:rsid w:val="00CD45DB"/>
    <w:rPr>
      <w:i/>
      <w:sz w:val="24"/>
      <w:lang w:val="fr-FR" w:eastAsia="en-US"/>
    </w:rPr>
  </w:style>
  <w:style w:type="character" w:customStyle="1" w:styleId="ArttitleChar">
    <w:name w:val="Art_title Char"/>
    <w:basedOn w:val="DefaultParagraphFont"/>
    <w:link w:val="Arttitle"/>
    <w:locked/>
    <w:rsid w:val="00CD45DB"/>
    <w:rPr>
      <w:b/>
      <w:sz w:val="28"/>
      <w:lang w:val="fr-FR" w:eastAsia="en-US"/>
    </w:rPr>
  </w:style>
  <w:style w:type="character" w:customStyle="1" w:styleId="RestitleChar">
    <w:name w:val="Res_title Char"/>
    <w:basedOn w:val="DefaultParagraphFont"/>
    <w:link w:val="Restitle"/>
    <w:locked/>
    <w:rsid w:val="00CD45DB"/>
    <w:rPr>
      <w:b/>
      <w:sz w:val="28"/>
      <w:lang w:val="fr-FR" w:eastAsia="en-US"/>
    </w:rPr>
  </w:style>
  <w:style w:type="paragraph" w:customStyle="1" w:styleId="1">
    <w:name w:val="変更箇所1"/>
    <w:hidden/>
    <w:semiHidden/>
    <w:rsid w:val="00CD45DB"/>
    <w:rPr>
      <w:rFonts w:eastAsia="SimSun"/>
      <w:sz w:val="24"/>
      <w:lang w:val="en-GB" w:eastAsia="en-US"/>
    </w:rPr>
  </w:style>
  <w:style w:type="character" w:customStyle="1" w:styleId="NormalIndentChar">
    <w:name w:val="Normal Indent Char"/>
    <w:basedOn w:val="DefaultParagraphFont"/>
    <w:link w:val="NormalIndent"/>
    <w:rsid w:val="00CD45DB"/>
    <w:rPr>
      <w:sz w:val="24"/>
      <w:lang w:val="fr-FR" w:eastAsia="en-US"/>
    </w:rPr>
  </w:style>
  <w:style w:type="character" w:customStyle="1" w:styleId="ListParagraphChar">
    <w:name w:val="List Paragraph Char"/>
    <w:basedOn w:val="DefaultParagraphFont"/>
    <w:link w:val="ListParagraph"/>
    <w:uiPriority w:val="34"/>
    <w:rsid w:val="00CD45DB"/>
    <w:rPr>
      <w:sz w:val="24"/>
      <w:lang w:val="en-GB" w:eastAsia="en-US"/>
    </w:rPr>
  </w:style>
  <w:style w:type="paragraph" w:styleId="BodyTextFirstIndent">
    <w:name w:val="Body Text First Indent"/>
    <w:basedOn w:val="BodyText"/>
    <w:link w:val="BodyTextFirstIndentChar"/>
    <w:rsid w:val="00CD45DB"/>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CD45DB"/>
    <w:rPr>
      <w:rFonts w:eastAsiaTheme="minorEastAsia"/>
      <w:b w:val="0"/>
      <w:bCs w:val="0"/>
      <w:sz w:val="24"/>
      <w:szCs w:val="24"/>
      <w:lang w:val="en-GB" w:eastAsia="en-US"/>
    </w:rPr>
  </w:style>
  <w:style w:type="paragraph" w:styleId="TOCHeading">
    <w:name w:val="TOC Heading"/>
    <w:basedOn w:val="Heading1"/>
    <w:next w:val="Normal"/>
    <w:uiPriority w:val="39"/>
    <w:semiHidden/>
    <w:unhideWhenUsed/>
    <w:qFormat/>
    <w:rsid w:val="00CD45DB"/>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numlev2Char">
    <w:name w:val="enumlev2 Char"/>
    <w:basedOn w:val="DefaultParagraphFont"/>
    <w:link w:val="enumlev2"/>
    <w:locked/>
    <w:rsid w:val="00CD45DB"/>
    <w:rPr>
      <w:sz w:val="24"/>
      <w:lang w:val="fr-FR" w:eastAsia="en-US"/>
    </w:rPr>
  </w:style>
  <w:style w:type="character" w:customStyle="1" w:styleId="EquationlegendChar">
    <w:name w:val="Equation_legend Char"/>
    <w:basedOn w:val="DefaultParagraphFont"/>
    <w:link w:val="Equationlegend"/>
    <w:locked/>
    <w:rsid w:val="00CD45DB"/>
    <w:rPr>
      <w:sz w:val="24"/>
      <w:lang w:eastAsia="en-US"/>
    </w:rPr>
  </w:style>
  <w:style w:type="character" w:customStyle="1" w:styleId="EquationChar">
    <w:name w:val="Equation Char"/>
    <w:link w:val="Equation"/>
    <w:locked/>
    <w:rsid w:val="00CD45DB"/>
    <w:rPr>
      <w:sz w:val="24"/>
      <w:lang w:val="fr-FR" w:eastAsia="en-US"/>
    </w:rPr>
  </w:style>
  <w:style w:type="character" w:customStyle="1" w:styleId="BlancChar">
    <w:name w:val="Blanc Char"/>
    <w:basedOn w:val="DefaultParagraphFont"/>
    <w:link w:val="Blanc"/>
    <w:rsid w:val="00CD45DB"/>
    <w:rPr>
      <w:sz w:val="16"/>
      <w:lang w:val="fr-FR" w:eastAsia="en-US"/>
    </w:rPr>
  </w:style>
  <w:style w:type="character" w:customStyle="1" w:styleId="FigureNoChar">
    <w:name w:val="Figure_No Char"/>
    <w:locked/>
    <w:rsid w:val="00CD45DB"/>
    <w:rPr>
      <w:caps/>
      <w:sz w:val="18"/>
      <w:lang w:val="fr-FR" w:eastAsia="en-US"/>
    </w:rPr>
  </w:style>
  <w:style w:type="character" w:customStyle="1" w:styleId="CommentSubjectChar1">
    <w:name w:val="Comment Subject Char1"/>
    <w:basedOn w:val="CommentTextChar"/>
    <w:rsid w:val="00CD45DB"/>
    <w:rPr>
      <w:rFonts w:ascii="Times New Roman" w:eastAsia="MS Mincho" w:hAnsi="Times New Roman"/>
      <w:b/>
      <w:bCs/>
      <w:lang w:val="en-GB" w:eastAsia="en-US"/>
    </w:rPr>
  </w:style>
  <w:style w:type="character" w:customStyle="1" w:styleId="PlainTextChar1">
    <w:name w:val="Plain Text Char1"/>
    <w:basedOn w:val="DefaultParagraphFont"/>
    <w:uiPriority w:val="99"/>
    <w:rsid w:val="00CD45DB"/>
    <w:rPr>
      <w:rFonts w:ascii="Courier New" w:eastAsia="MS Mincho" w:hAnsi="Courier New"/>
      <w:lang w:eastAsia="en-US"/>
    </w:rPr>
  </w:style>
  <w:style w:type="table" w:customStyle="1" w:styleId="TableGrid1">
    <w:name w:val="Table Grid1"/>
    <w:basedOn w:val="TableNormal"/>
    <w:next w:val="TableGrid"/>
    <w:uiPriority w:val="99"/>
    <w:rsid w:val="00CD45D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uiPriority w:val="99"/>
    <w:rsid w:val="00CD45DB"/>
    <w:rPr>
      <w:rFonts w:ascii="Times New Roman" w:eastAsia="MS Mincho" w:hAnsi="Times New Roman"/>
      <w:sz w:val="24"/>
      <w:lang w:val="en-GB" w:eastAsia="en-US"/>
    </w:rPr>
  </w:style>
  <w:style w:type="character" w:customStyle="1" w:styleId="HTMLPreformattedChar1">
    <w:name w:val="HTML Preformatted Char1"/>
    <w:basedOn w:val="DefaultParagraphFont"/>
    <w:uiPriority w:val="99"/>
    <w:rsid w:val="00CD45DB"/>
    <w:rPr>
      <w:rFonts w:ascii="MS Gothic" w:eastAsia="MS Gothic" w:hAnsi="MS Gothic" w:cs="MS Gothic"/>
      <w:sz w:val="24"/>
      <w:szCs w:val="24"/>
      <w:lang w:eastAsia="ja-JP"/>
    </w:rPr>
  </w:style>
  <w:style w:type="character" w:customStyle="1" w:styleId="DocumentMapChar1">
    <w:name w:val="Document Map Char1"/>
    <w:basedOn w:val="DefaultParagraphFont"/>
    <w:uiPriority w:val="99"/>
    <w:rsid w:val="00CD45DB"/>
    <w:rPr>
      <w:rFonts w:ascii="Tahoma" w:eastAsia="MS Mincho" w:hAnsi="Tahoma" w:cs="Tahoma"/>
      <w:shd w:val="clear" w:color="auto" w:fill="000080"/>
      <w:lang w:eastAsia="en-US"/>
    </w:rPr>
  </w:style>
  <w:style w:type="paragraph" w:styleId="TableofFigures">
    <w:name w:val="table of figures"/>
    <w:basedOn w:val="Normal"/>
    <w:next w:val="Normal"/>
    <w:uiPriority w:val="99"/>
    <w:rsid w:val="00CD45DB"/>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CD45DB"/>
    <w:rPr>
      <w:rFonts w:ascii="Times" w:eastAsia="MS Mincho" w:hAnsi="Times"/>
      <w:lang w:eastAsia="en-US"/>
    </w:rPr>
  </w:style>
  <w:style w:type="table" w:styleId="LightShading-Accent1">
    <w:name w:val="Light Shading Accent 1"/>
    <w:basedOn w:val="TableNormal"/>
    <w:uiPriority w:val="60"/>
    <w:rsid w:val="00CD45DB"/>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0">
    <w:name w:val="未解決のメンション1"/>
    <w:basedOn w:val="DefaultParagraphFont"/>
    <w:uiPriority w:val="99"/>
    <w:semiHidden/>
    <w:unhideWhenUsed/>
    <w:rsid w:val="00CD45DB"/>
    <w:rPr>
      <w:color w:val="605E5C"/>
      <w:shd w:val="clear" w:color="auto" w:fill="E1DFDD"/>
    </w:rPr>
  </w:style>
  <w:style w:type="character" w:customStyle="1" w:styleId="AnnexNoTitleChar">
    <w:name w:val="Annex_NoTitle Char"/>
    <w:basedOn w:val="DefaultParagraphFont"/>
    <w:link w:val="AnnexNoTitle"/>
    <w:locked/>
    <w:rsid w:val="00CD45DB"/>
    <w:rPr>
      <w:b/>
      <w:sz w:val="28"/>
      <w:lang w:val="fr-FR" w:eastAsia="en-US"/>
    </w:rPr>
  </w:style>
  <w:style w:type="character" w:customStyle="1" w:styleId="TableNo0">
    <w:name w:val="Table_No Знак"/>
    <w:locked/>
    <w:rsid w:val="00CD45DB"/>
    <w:rPr>
      <w:rFonts w:ascii="Times New Roman" w:hAnsi="Times New Roman"/>
      <w:caps/>
      <w:lang w:val="en-GB" w:eastAsia="en-US"/>
    </w:rPr>
  </w:style>
  <w:style w:type="character" w:customStyle="1" w:styleId="Tabletitle1">
    <w:name w:val="Table_title Знак"/>
    <w:locked/>
    <w:rsid w:val="00CD45DB"/>
    <w:rPr>
      <w:rFonts w:ascii="Times New Roman Bold" w:hAnsi="Times New Roman Bold"/>
      <w:b/>
      <w:lang w:val="en-GB" w:eastAsia="en-US"/>
    </w:rPr>
  </w:style>
  <w:style w:type="paragraph" w:customStyle="1" w:styleId="text">
    <w:name w:val="text"/>
    <w:basedOn w:val="Normal"/>
    <w:rsid w:val="00CD45DB"/>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CD45DB"/>
    <w:rPr>
      <w:sz w:val="24"/>
      <w:lang w:val="en-GB" w:eastAsia="en-US"/>
    </w:rPr>
  </w:style>
  <w:style w:type="paragraph" w:customStyle="1" w:styleId="MTDisplayEquation">
    <w:name w:val="MTDisplayEquation"/>
    <w:basedOn w:val="Normal"/>
    <w:next w:val="Normal"/>
    <w:link w:val="MTDisplayEquationChar"/>
    <w:rsid w:val="00CD45DB"/>
    <w:pPr>
      <w:tabs>
        <w:tab w:val="clear" w:pos="794"/>
        <w:tab w:val="clear" w:pos="1191"/>
        <w:tab w:val="clear" w:pos="1588"/>
        <w:tab w:val="clear" w:pos="1985"/>
        <w:tab w:val="center" w:pos="4820"/>
        <w:tab w:val="right" w:pos="9640"/>
      </w:tabs>
      <w:jc w:val="left"/>
      <w:textAlignment w:val="auto"/>
    </w:pPr>
    <w:rPr>
      <w:lang w:val="en-GB"/>
    </w:rPr>
  </w:style>
  <w:style w:type="paragraph" w:customStyle="1" w:styleId="Text0">
    <w:name w:val="Text"/>
    <w:basedOn w:val="Normal"/>
    <w:uiPriority w:val="99"/>
    <w:rsid w:val="00CD45DB"/>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CD45DB"/>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rsid w:val="00CD45DB"/>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CD45DB"/>
    <w:rPr>
      <w:rFonts w:ascii="Times New Roman" w:hAnsi="Times New Roman"/>
      <w:b/>
      <w:sz w:val="28"/>
      <w:lang w:val="en-GB" w:eastAsia="en-US"/>
    </w:rPr>
  </w:style>
  <w:style w:type="paragraph" w:customStyle="1" w:styleId="xl24">
    <w:name w:val="xl24"/>
    <w:basedOn w:val="Normal"/>
    <w:uiPriority w:val="99"/>
    <w:rsid w:val="00CD45D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CD45D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CD45D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CD45D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CD45D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CD45D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CD45DB"/>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CD45D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CD45D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CD45D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CD45DB"/>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CD45D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CD45D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CD45D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CD45D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CD45D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CD45DB"/>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CD45DB"/>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CD45DB"/>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CD45DB"/>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CD45D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CD45D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CD45D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CD45D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CD45DB"/>
    <w:rPr>
      <w:rFonts w:cs="Times New Roman"/>
      <w:lang w:val="en-US" w:eastAsia="en-US" w:bidi="ar-SA"/>
    </w:rPr>
  </w:style>
  <w:style w:type="paragraph" w:customStyle="1" w:styleId="Style0">
    <w:name w:val="Style0"/>
    <w:uiPriority w:val="99"/>
    <w:rsid w:val="00CD45DB"/>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CD45D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CD45DB"/>
    <w:pPr>
      <w:keepNext/>
      <w:tabs>
        <w:tab w:val="clear" w:pos="794"/>
        <w:tab w:val="clear" w:pos="1191"/>
        <w:tab w:val="clear" w:pos="1588"/>
        <w:tab w:val="clear" w:pos="1985"/>
      </w:tabs>
      <w:spacing w:before="567" w:after="113"/>
      <w:jc w:val="center"/>
    </w:pPr>
    <w:rPr>
      <w:rFonts w:eastAsia="MS Mincho"/>
      <w:sz w:val="18"/>
      <w:lang w:val="en-GB"/>
    </w:rPr>
  </w:style>
  <w:style w:type="paragraph" w:customStyle="1" w:styleId="TableText0">
    <w:name w:val="Table_Text"/>
    <w:basedOn w:val="TableLegend0"/>
    <w:rsid w:val="00CD45DB"/>
    <w:pPr>
      <w:spacing w:before="100" w:after="100" w:line="190" w:lineRule="exact"/>
      <w:ind w:left="0" w:right="0"/>
    </w:pPr>
  </w:style>
  <w:style w:type="paragraph" w:customStyle="1" w:styleId="TableLegend0">
    <w:name w:val="Table_Legend"/>
    <w:basedOn w:val="Normal"/>
    <w:next w:val="Normal"/>
    <w:uiPriority w:val="99"/>
    <w:rsid w:val="00CD45DB"/>
    <w:pPr>
      <w:keepNext/>
      <w:spacing w:before="86" w:line="199" w:lineRule="exact"/>
      <w:ind w:left="-85" w:right="-85"/>
    </w:pPr>
    <w:rPr>
      <w:rFonts w:eastAsia="MS Mincho"/>
      <w:sz w:val="18"/>
      <w:lang w:val="en-GB"/>
    </w:rPr>
  </w:style>
  <w:style w:type="paragraph" w:customStyle="1" w:styleId="headingb0">
    <w:name w:val="heading_b"/>
    <w:basedOn w:val="Heading3"/>
    <w:next w:val="Normal"/>
    <w:uiPriority w:val="99"/>
    <w:rsid w:val="00CD45D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lang w:val="en-GB"/>
    </w:rPr>
  </w:style>
  <w:style w:type="paragraph" w:customStyle="1" w:styleId="RecNoBR">
    <w:name w:val="Rec_No_BR"/>
    <w:basedOn w:val="Normal"/>
    <w:next w:val="Normal"/>
    <w:rsid w:val="00CD45DB"/>
    <w:pPr>
      <w:keepNext/>
      <w:keepLines/>
      <w:spacing w:before="480"/>
      <w:jc w:val="center"/>
    </w:pPr>
    <w:rPr>
      <w:rFonts w:eastAsia="MS Mincho"/>
      <w:caps/>
      <w:sz w:val="28"/>
      <w:lang w:val="en-GB"/>
    </w:rPr>
  </w:style>
  <w:style w:type="character" w:customStyle="1" w:styleId="Title1Carattere">
    <w:name w:val="Title 1 Carattere"/>
    <w:basedOn w:val="SourceCarattere"/>
    <w:locked/>
    <w:rsid w:val="00CD45DB"/>
    <w:rPr>
      <w:rFonts w:ascii="Times New Roman" w:hAnsi="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CD45DB"/>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CD45DB"/>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CD45DB"/>
    <w:rPr>
      <w:rFonts w:ascii="Times New Roman" w:hAnsi="Times New Roman" w:cs="Times New Roman"/>
      <w:b/>
      <w:sz w:val="24"/>
      <w:lang w:val="en-GB" w:eastAsia="en-US"/>
    </w:rPr>
  </w:style>
  <w:style w:type="character" w:customStyle="1" w:styleId="Heading7Char1">
    <w:name w:val="Heading 7 Char1"/>
    <w:uiPriority w:val="99"/>
    <w:locked/>
    <w:rsid w:val="00CD45DB"/>
    <w:rPr>
      <w:rFonts w:ascii="Times New Roman" w:hAnsi="Times New Roman" w:cs="Times New Roman"/>
      <w:b/>
      <w:sz w:val="24"/>
      <w:lang w:val="en-GB" w:eastAsia="en-US"/>
    </w:rPr>
  </w:style>
  <w:style w:type="character" w:customStyle="1" w:styleId="Heading8Char1">
    <w:name w:val="Heading 8 Char1"/>
    <w:uiPriority w:val="99"/>
    <w:locked/>
    <w:rsid w:val="00CD45DB"/>
    <w:rPr>
      <w:rFonts w:ascii="Times New Roman" w:hAnsi="Times New Roman" w:cs="Times New Roman"/>
      <w:b/>
      <w:sz w:val="24"/>
      <w:lang w:val="en-GB" w:eastAsia="en-US"/>
    </w:rPr>
  </w:style>
  <w:style w:type="character" w:customStyle="1" w:styleId="Heading9Char1">
    <w:name w:val="Heading 9 Char1"/>
    <w:uiPriority w:val="99"/>
    <w:locked/>
    <w:rsid w:val="00CD45DB"/>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CD45DB"/>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CD45DB"/>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CD45DB"/>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CD45DB"/>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CD45DB"/>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CD45DB"/>
    <w:pPr>
      <w:jc w:val="left"/>
    </w:pPr>
  </w:style>
  <w:style w:type="paragraph" w:customStyle="1" w:styleId="FigureRemark">
    <w:name w:val="Figure_Remark"/>
    <w:basedOn w:val="TableLegend0"/>
    <w:uiPriority w:val="99"/>
    <w:rsid w:val="00CD45DB"/>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CD45DB"/>
  </w:style>
  <w:style w:type="paragraph" w:customStyle="1" w:styleId="FigureTitle0">
    <w:name w:val="Figure_Title"/>
    <w:basedOn w:val="TableTitle0"/>
    <w:next w:val="FigureLegend0"/>
    <w:uiPriority w:val="99"/>
    <w:rsid w:val="00CD45DB"/>
    <w:pPr>
      <w:spacing w:after="240"/>
    </w:pPr>
  </w:style>
  <w:style w:type="paragraph" w:customStyle="1" w:styleId="Annex">
    <w:name w:val="Annex_#"/>
    <w:basedOn w:val="Normal"/>
    <w:next w:val="AnnexRef0"/>
    <w:uiPriority w:val="99"/>
    <w:rsid w:val="00CD45DB"/>
    <w:pPr>
      <w:tabs>
        <w:tab w:val="clear" w:pos="794"/>
        <w:tab w:val="clear" w:pos="1191"/>
        <w:tab w:val="clear" w:pos="1588"/>
        <w:tab w:val="clear" w:pos="1985"/>
        <w:tab w:val="center" w:pos="4849"/>
        <w:tab w:val="right" w:pos="9696"/>
      </w:tabs>
      <w:spacing w:before="720" w:after="68"/>
      <w:jc w:val="center"/>
    </w:pPr>
    <w:rPr>
      <w:rFonts w:eastAsia="MS Mincho"/>
      <w:sz w:val="20"/>
      <w:lang w:val="en-GB"/>
    </w:rPr>
  </w:style>
  <w:style w:type="paragraph" w:customStyle="1" w:styleId="AnnexRef0">
    <w:name w:val="Annex_Ref"/>
    <w:basedOn w:val="Normal"/>
    <w:next w:val="AnnexTitle0"/>
    <w:uiPriority w:val="99"/>
    <w:rsid w:val="00CD45DB"/>
    <w:pPr>
      <w:tabs>
        <w:tab w:val="clear" w:pos="794"/>
        <w:tab w:val="clear" w:pos="1191"/>
        <w:tab w:val="clear" w:pos="1588"/>
        <w:tab w:val="clear" w:pos="1985"/>
        <w:tab w:val="center" w:pos="4849"/>
        <w:tab w:val="right" w:pos="9696"/>
      </w:tabs>
      <w:spacing w:before="0"/>
      <w:jc w:val="center"/>
    </w:pPr>
    <w:rPr>
      <w:rFonts w:eastAsia="MS Mincho"/>
      <w:sz w:val="20"/>
      <w:lang w:val="en-GB"/>
    </w:rPr>
  </w:style>
  <w:style w:type="paragraph" w:customStyle="1" w:styleId="AnnexTitle0">
    <w:name w:val="Annex_Title"/>
    <w:basedOn w:val="Normal"/>
    <w:next w:val="Normalaftertitle0"/>
    <w:uiPriority w:val="99"/>
    <w:rsid w:val="00CD45DB"/>
    <w:pPr>
      <w:tabs>
        <w:tab w:val="clear" w:pos="794"/>
        <w:tab w:val="clear" w:pos="1191"/>
        <w:tab w:val="clear" w:pos="1588"/>
        <w:tab w:val="clear" w:pos="1985"/>
        <w:tab w:val="left" w:pos="4849"/>
        <w:tab w:val="right" w:pos="9696"/>
      </w:tabs>
      <w:spacing w:before="136" w:after="200"/>
      <w:jc w:val="center"/>
    </w:pPr>
    <w:rPr>
      <w:rFonts w:eastAsia="MS Mincho"/>
      <w:b/>
      <w:lang w:val="en-GB"/>
    </w:rPr>
  </w:style>
  <w:style w:type="paragraph" w:customStyle="1" w:styleId="Appendix">
    <w:name w:val="Appendix_#"/>
    <w:basedOn w:val="Annex"/>
    <w:next w:val="AppendixRef0"/>
    <w:uiPriority w:val="99"/>
    <w:rsid w:val="00CD45DB"/>
  </w:style>
  <w:style w:type="paragraph" w:customStyle="1" w:styleId="AppendixRef0">
    <w:name w:val="Appendix_Ref"/>
    <w:basedOn w:val="AnnexRef0"/>
    <w:next w:val="AppendixTitle0"/>
    <w:uiPriority w:val="99"/>
    <w:rsid w:val="00CD45DB"/>
  </w:style>
  <w:style w:type="paragraph" w:customStyle="1" w:styleId="AppendixTitle0">
    <w:name w:val="Appendix_Title"/>
    <w:basedOn w:val="AnnexTitle0"/>
    <w:next w:val="Normal"/>
    <w:uiPriority w:val="99"/>
    <w:rsid w:val="00CD45DB"/>
  </w:style>
  <w:style w:type="paragraph" w:customStyle="1" w:styleId="RefTitle0">
    <w:name w:val="Ref_Title"/>
    <w:basedOn w:val="Normal"/>
    <w:next w:val="RefText0"/>
    <w:uiPriority w:val="99"/>
    <w:rsid w:val="00CD45DB"/>
    <w:pPr>
      <w:keepNext/>
      <w:keepLines/>
      <w:tabs>
        <w:tab w:val="clear" w:pos="794"/>
        <w:tab w:val="clear" w:pos="1191"/>
        <w:tab w:val="clear" w:pos="1588"/>
        <w:tab w:val="clear" w:pos="1985"/>
      </w:tabs>
      <w:spacing w:before="600"/>
      <w:jc w:val="center"/>
    </w:pPr>
    <w:rPr>
      <w:rFonts w:eastAsia="MS Mincho"/>
      <w:sz w:val="18"/>
      <w:lang w:val="en-GB"/>
    </w:rPr>
  </w:style>
  <w:style w:type="paragraph" w:customStyle="1" w:styleId="RefText0">
    <w:name w:val="Ref_Text"/>
    <w:basedOn w:val="Normal"/>
    <w:uiPriority w:val="99"/>
    <w:rsid w:val="00CD45DB"/>
    <w:pPr>
      <w:spacing w:before="136"/>
      <w:ind w:left="567" w:hanging="567"/>
    </w:pPr>
    <w:rPr>
      <w:rFonts w:eastAsia="MS Mincho"/>
      <w:sz w:val="18"/>
      <w:lang w:val="en-GB"/>
    </w:rPr>
  </w:style>
  <w:style w:type="paragraph" w:customStyle="1" w:styleId="listitem">
    <w:name w:val="listitem"/>
    <w:basedOn w:val="Normal"/>
    <w:uiPriority w:val="99"/>
    <w:rsid w:val="00CD45DB"/>
    <w:pPr>
      <w:keepLines/>
      <w:spacing w:before="0"/>
      <w:jc w:val="left"/>
    </w:pPr>
    <w:rPr>
      <w:rFonts w:eastAsia="MS Mincho"/>
      <w:sz w:val="20"/>
      <w:lang w:val="en-GB"/>
    </w:rPr>
  </w:style>
  <w:style w:type="paragraph" w:customStyle="1" w:styleId="Rec">
    <w:name w:val="Rec_#"/>
    <w:basedOn w:val="Normal"/>
    <w:next w:val="RecTitle0"/>
    <w:uiPriority w:val="99"/>
    <w:rsid w:val="00CD45DB"/>
    <w:pPr>
      <w:keepNext/>
      <w:keepLines/>
      <w:tabs>
        <w:tab w:val="clear" w:pos="794"/>
        <w:tab w:val="clear" w:pos="1191"/>
        <w:tab w:val="clear" w:pos="1588"/>
        <w:tab w:val="clear" w:pos="1985"/>
        <w:tab w:val="center" w:pos="4849"/>
        <w:tab w:val="right" w:pos="9696"/>
      </w:tabs>
      <w:spacing w:before="720"/>
      <w:jc w:val="center"/>
    </w:pPr>
    <w:rPr>
      <w:rFonts w:eastAsia="MS Mincho"/>
      <w:sz w:val="20"/>
      <w:lang w:val="en-GB"/>
    </w:rPr>
  </w:style>
  <w:style w:type="paragraph" w:customStyle="1" w:styleId="RecTitle0">
    <w:name w:val="Rec_Title"/>
    <w:basedOn w:val="Rec"/>
    <w:next w:val="RecTitleRef"/>
    <w:rsid w:val="00CD45D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CD45DB"/>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rsid w:val="00CD45DB"/>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rsid w:val="00CD45DB"/>
    <w:pPr>
      <w:tabs>
        <w:tab w:val="clear" w:pos="794"/>
        <w:tab w:val="clear" w:pos="1191"/>
        <w:tab w:val="clear" w:pos="1588"/>
        <w:tab w:val="clear" w:pos="1985"/>
      </w:tabs>
      <w:spacing w:before="0"/>
    </w:pPr>
    <w:rPr>
      <w:rFonts w:eastAsia="MS Mincho"/>
      <w:b/>
      <w:color w:val="FFFFFF"/>
      <w:sz w:val="8"/>
      <w:lang w:val="en-GB"/>
    </w:rPr>
  </w:style>
  <w:style w:type="paragraph" w:customStyle="1" w:styleId="call0">
    <w:name w:val="call"/>
    <w:basedOn w:val="Normal"/>
    <w:next w:val="Normal"/>
    <w:rsid w:val="00CD45DB"/>
    <w:pPr>
      <w:keepNext/>
      <w:keepLines/>
      <w:tabs>
        <w:tab w:val="clear" w:pos="1191"/>
        <w:tab w:val="clear" w:pos="1588"/>
        <w:tab w:val="clear" w:pos="1985"/>
      </w:tabs>
      <w:spacing w:before="227"/>
      <w:ind w:left="794"/>
      <w:jc w:val="left"/>
    </w:pPr>
    <w:rPr>
      <w:rFonts w:eastAsia="MS Mincho"/>
      <w:i/>
      <w:sz w:val="20"/>
      <w:lang w:val="en-GB"/>
    </w:rPr>
  </w:style>
  <w:style w:type="paragraph" w:customStyle="1" w:styleId="deftitle">
    <w:name w:val="def title"/>
    <w:basedOn w:val="Heading2"/>
    <w:next w:val="deftexte"/>
    <w:uiPriority w:val="99"/>
    <w:rsid w:val="00CD45DB"/>
    <w:pPr>
      <w:tabs>
        <w:tab w:val="clear" w:pos="1191"/>
        <w:tab w:val="clear" w:pos="1588"/>
        <w:tab w:val="clear" w:pos="1985"/>
      </w:tabs>
      <w:spacing w:before="313"/>
      <w:outlineLvl w:val="9"/>
    </w:pPr>
    <w:rPr>
      <w:rFonts w:eastAsia="MS Mincho"/>
      <w:sz w:val="22"/>
      <w:lang w:val="en-GB"/>
    </w:rPr>
  </w:style>
  <w:style w:type="paragraph" w:customStyle="1" w:styleId="deftexte">
    <w:name w:val="def texte"/>
    <w:basedOn w:val="Normal"/>
    <w:uiPriority w:val="99"/>
    <w:rsid w:val="00CD45DB"/>
    <w:pPr>
      <w:spacing w:before="136"/>
    </w:pPr>
    <w:rPr>
      <w:rFonts w:eastAsia="MS Mincho"/>
      <w:sz w:val="20"/>
      <w:lang w:val="en-GB"/>
    </w:rPr>
  </w:style>
  <w:style w:type="paragraph" w:customStyle="1" w:styleId="Section">
    <w:name w:val="Section #"/>
    <w:basedOn w:val="Normal"/>
    <w:next w:val="Sectiontitle0"/>
    <w:uiPriority w:val="99"/>
    <w:rsid w:val="00CD45DB"/>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lang w:val="en-GB"/>
    </w:rPr>
  </w:style>
  <w:style w:type="paragraph" w:customStyle="1" w:styleId="Sectiontitle0">
    <w:name w:val="Section title"/>
    <w:basedOn w:val="Section"/>
    <w:next w:val="Rec"/>
    <w:uiPriority w:val="99"/>
    <w:rsid w:val="00CD45DB"/>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CD45DB"/>
    <w:pPr>
      <w:tabs>
        <w:tab w:val="clear" w:pos="1985"/>
      </w:tabs>
      <w:spacing w:before="313"/>
      <w:outlineLvl w:val="9"/>
    </w:pPr>
    <w:rPr>
      <w:rFonts w:eastAsia="MS Mincho"/>
      <w:sz w:val="22"/>
      <w:lang w:val="en-GB"/>
    </w:rPr>
  </w:style>
  <w:style w:type="paragraph" w:customStyle="1" w:styleId="Line1">
    <w:name w:val="Line_1"/>
    <w:basedOn w:val="Normal"/>
    <w:next w:val="Normal"/>
    <w:uiPriority w:val="99"/>
    <w:rsid w:val="00CD45DB"/>
    <w:pPr>
      <w:pBdr>
        <w:top w:val="dashed" w:sz="6" w:space="1" w:color="auto"/>
      </w:pBdr>
      <w:tabs>
        <w:tab w:val="clear" w:pos="794"/>
        <w:tab w:val="clear" w:pos="1191"/>
        <w:tab w:val="clear" w:pos="1588"/>
        <w:tab w:val="clear" w:pos="1985"/>
      </w:tabs>
      <w:spacing w:before="240"/>
      <w:ind w:left="3997" w:right="3997"/>
      <w:jc w:val="center"/>
    </w:pPr>
    <w:rPr>
      <w:rFonts w:eastAsia="MS Mincho"/>
      <w:sz w:val="20"/>
      <w:lang w:val="en-GB"/>
    </w:rPr>
  </w:style>
  <w:style w:type="paragraph" w:customStyle="1" w:styleId="Part">
    <w:name w:val="Part_#"/>
    <w:basedOn w:val="Annex"/>
    <w:next w:val="PartRef0"/>
    <w:uiPriority w:val="99"/>
    <w:rsid w:val="00CD45DB"/>
  </w:style>
  <w:style w:type="paragraph" w:customStyle="1" w:styleId="PartRef0">
    <w:name w:val="Part_Ref"/>
    <w:basedOn w:val="AnnexRef0"/>
    <w:uiPriority w:val="99"/>
    <w:rsid w:val="00CD45DB"/>
  </w:style>
  <w:style w:type="paragraph" w:customStyle="1" w:styleId="PartTitle0">
    <w:name w:val="Part_Title"/>
    <w:basedOn w:val="AnnexTitle0"/>
    <w:next w:val="Normalaftertitle0"/>
    <w:uiPriority w:val="99"/>
    <w:rsid w:val="00CD45DB"/>
  </w:style>
  <w:style w:type="paragraph" w:customStyle="1" w:styleId="Rep">
    <w:name w:val="Rep_#"/>
    <w:basedOn w:val="Rec"/>
    <w:next w:val="RepTitle0"/>
    <w:uiPriority w:val="99"/>
    <w:rsid w:val="00CD45D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CD45DB"/>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CD45D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CD45DB"/>
  </w:style>
  <w:style w:type="paragraph" w:customStyle="1" w:styleId="RefDoc">
    <w:name w:val="Ref_Doc"/>
    <w:basedOn w:val="RefText0"/>
    <w:next w:val="RefText0"/>
    <w:uiPriority w:val="99"/>
    <w:rsid w:val="00CD45DB"/>
    <w:pPr>
      <w:spacing w:before="227"/>
    </w:pPr>
    <w:rPr>
      <w:i/>
    </w:rPr>
  </w:style>
  <w:style w:type="paragraph" w:customStyle="1" w:styleId="Question">
    <w:name w:val="Question_#"/>
    <w:basedOn w:val="Rec"/>
    <w:next w:val="QuestionTitle0"/>
    <w:uiPriority w:val="99"/>
    <w:rsid w:val="00CD45D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CD45DB"/>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CD45D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CD45DB"/>
  </w:style>
  <w:style w:type="paragraph" w:customStyle="1" w:styleId="Res">
    <w:name w:val="Res_#"/>
    <w:basedOn w:val="Rec"/>
    <w:next w:val="ResTitle0"/>
    <w:uiPriority w:val="99"/>
    <w:rsid w:val="00CD45D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CD45DB"/>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CD45D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CD45DB"/>
  </w:style>
  <w:style w:type="paragraph" w:customStyle="1" w:styleId="Style">
    <w:name w:val="Style"/>
    <w:basedOn w:val="Normal"/>
    <w:uiPriority w:val="99"/>
    <w:rsid w:val="00CD45DB"/>
    <w:pPr>
      <w:tabs>
        <w:tab w:val="center" w:pos="4196"/>
        <w:tab w:val="left" w:pos="9242"/>
        <w:tab w:val="center" w:pos="12587"/>
      </w:tabs>
      <w:spacing w:before="340" w:line="318" w:lineRule="atLeast"/>
      <w:ind w:right="618"/>
    </w:pPr>
    <w:rPr>
      <w:rFonts w:eastAsia="MS Mincho"/>
      <w:i/>
      <w:sz w:val="28"/>
      <w:lang w:val="en-GB"/>
    </w:rPr>
  </w:style>
  <w:style w:type="paragraph" w:customStyle="1" w:styleId="Sectionsous">
    <w:name w:val="Section_sous"/>
    <w:basedOn w:val="Section"/>
    <w:next w:val="Rec"/>
    <w:uiPriority w:val="99"/>
    <w:rsid w:val="00CD45DB"/>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CD45DB"/>
    <w:pPr>
      <w:keepNext/>
      <w:keepLines/>
      <w:tabs>
        <w:tab w:val="clear" w:pos="794"/>
        <w:tab w:val="clear" w:pos="1191"/>
        <w:tab w:val="clear" w:pos="1588"/>
        <w:tab w:val="clear" w:pos="1985"/>
      </w:tabs>
      <w:spacing w:before="199"/>
    </w:pPr>
    <w:rPr>
      <w:rFonts w:eastAsia="MS Mincho"/>
      <w:sz w:val="20"/>
      <w:lang w:val="en-GB"/>
    </w:rPr>
  </w:style>
  <w:style w:type="paragraph" w:customStyle="1" w:styleId="Fig">
    <w:name w:val="Fig"/>
    <w:basedOn w:val="Figure"/>
    <w:next w:val="Fig0"/>
    <w:uiPriority w:val="99"/>
    <w:rsid w:val="00CD45DB"/>
    <w:pPr>
      <w:keepLines w:val="0"/>
      <w:spacing w:before="136" w:after="0"/>
    </w:pPr>
    <w:rPr>
      <w:rFonts w:eastAsia="MS Mincho"/>
      <w:caps w:val="0"/>
      <w:sz w:val="20"/>
      <w:lang w:val="en-US"/>
    </w:rPr>
  </w:style>
  <w:style w:type="paragraph" w:customStyle="1" w:styleId="Fig0">
    <w:name w:val="Fig_#"/>
    <w:basedOn w:val="Fig"/>
    <w:next w:val="Normal"/>
    <w:uiPriority w:val="99"/>
    <w:rsid w:val="00CD45DB"/>
    <w:pPr>
      <w:jc w:val="left"/>
    </w:pPr>
    <w:rPr>
      <w:color w:val="FFFFFF"/>
    </w:rPr>
  </w:style>
  <w:style w:type="paragraph" w:customStyle="1" w:styleId="heading13">
    <w:name w:val="heading 13"/>
    <w:basedOn w:val="Heading3"/>
    <w:uiPriority w:val="99"/>
    <w:rsid w:val="00CD45DB"/>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lang w:val="en-GB"/>
    </w:rPr>
  </w:style>
  <w:style w:type="paragraph" w:customStyle="1" w:styleId="Head">
    <w:name w:val="Head"/>
    <w:basedOn w:val="Normal"/>
    <w:uiPriority w:val="99"/>
    <w:rsid w:val="00CD45DB"/>
    <w:pPr>
      <w:tabs>
        <w:tab w:val="clear" w:pos="794"/>
        <w:tab w:val="clear" w:pos="1191"/>
        <w:tab w:val="clear" w:pos="1588"/>
        <w:tab w:val="clear" w:pos="1985"/>
        <w:tab w:val="left" w:pos="6663"/>
      </w:tabs>
      <w:spacing w:before="0"/>
      <w:jc w:val="left"/>
    </w:pPr>
    <w:rPr>
      <w:rFonts w:eastAsia="MS Mincho"/>
      <w:b/>
      <w:color w:val="FFFFFF"/>
      <w:sz w:val="8"/>
      <w:lang w:val="en-GB"/>
    </w:rPr>
  </w:style>
  <w:style w:type="paragraph" w:customStyle="1" w:styleId="meeting">
    <w:name w:val="meeting"/>
    <w:basedOn w:val="Head"/>
    <w:next w:val="Head"/>
    <w:uiPriority w:val="99"/>
    <w:rsid w:val="00CD45DB"/>
    <w:pPr>
      <w:tabs>
        <w:tab w:val="left" w:pos="7371"/>
      </w:tabs>
      <w:spacing w:after="560"/>
    </w:pPr>
  </w:style>
  <w:style w:type="paragraph" w:customStyle="1" w:styleId="foot">
    <w:name w:val="foot"/>
    <w:basedOn w:val="headfoot"/>
    <w:uiPriority w:val="99"/>
    <w:rsid w:val="00CD45DB"/>
    <w:rPr>
      <w:lang w:val="fr-FR"/>
    </w:rPr>
  </w:style>
  <w:style w:type="paragraph" w:customStyle="1" w:styleId="TableHead0">
    <w:name w:val="Table_Head"/>
    <w:basedOn w:val="TableText0"/>
    <w:uiPriority w:val="99"/>
    <w:rsid w:val="00CD45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CD45DB"/>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CD45DB"/>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CD45DB"/>
    <w:pPr>
      <w:tabs>
        <w:tab w:val="clear" w:pos="794"/>
        <w:tab w:val="clear" w:pos="1191"/>
        <w:tab w:val="clear" w:pos="1588"/>
        <w:tab w:val="clear" w:pos="1985"/>
        <w:tab w:val="left" w:pos="1418"/>
      </w:tabs>
      <w:spacing w:before="0"/>
      <w:ind w:left="1418" w:hanging="1418"/>
      <w:jc w:val="left"/>
    </w:pPr>
    <w:rPr>
      <w:rFonts w:eastAsia="MS Mincho"/>
    </w:rPr>
  </w:style>
  <w:style w:type="paragraph" w:customStyle="1" w:styleId="Keywords">
    <w:name w:val="Keywords"/>
    <w:basedOn w:val="Normal"/>
    <w:uiPriority w:val="99"/>
    <w:rsid w:val="00CD45DB"/>
    <w:pPr>
      <w:tabs>
        <w:tab w:val="clear" w:pos="1191"/>
        <w:tab w:val="clear" w:pos="1588"/>
      </w:tabs>
      <w:ind w:left="794" w:hanging="794"/>
      <w:jc w:val="left"/>
    </w:pPr>
    <w:rPr>
      <w:rFonts w:eastAsia="MS Mincho"/>
    </w:rPr>
  </w:style>
  <w:style w:type="paragraph" w:customStyle="1" w:styleId="WP">
    <w:name w:val="WP"/>
    <w:next w:val="Normal"/>
    <w:uiPriority w:val="99"/>
    <w:rsid w:val="00CD45DB"/>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CD45DB"/>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CD45DB"/>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CD45DB"/>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CD45DB"/>
    <w:rPr>
      <w:rFonts w:ascii="Times New Roman" w:eastAsia="MS Mincho" w:hAnsi="Times New Roman"/>
      <w:caps/>
      <w:lang w:val="en-GB" w:eastAsia="en-US"/>
    </w:rPr>
  </w:style>
  <w:style w:type="character" w:customStyle="1" w:styleId="NormalaftertitleCharChar">
    <w:name w:val="Normal_after_title Char Char"/>
    <w:uiPriority w:val="99"/>
    <w:locked/>
    <w:rsid w:val="00CD45DB"/>
    <w:rPr>
      <w:rFonts w:cs="Times New Roman"/>
      <w:sz w:val="24"/>
      <w:lang w:val="en-GB" w:eastAsia="en-US" w:bidi="ar-SA"/>
    </w:rPr>
  </w:style>
  <w:style w:type="character" w:customStyle="1" w:styleId="enumlev1CharChar">
    <w:name w:val="enumlev1 Char Char"/>
    <w:uiPriority w:val="99"/>
    <w:locked/>
    <w:rsid w:val="00CD45DB"/>
    <w:rPr>
      <w:rFonts w:cs="Times New Roman"/>
      <w:sz w:val="24"/>
      <w:lang w:val="en-GB" w:eastAsia="en-US" w:bidi="ar-SA"/>
    </w:rPr>
  </w:style>
  <w:style w:type="character" w:customStyle="1" w:styleId="CommentTextChar1">
    <w:name w:val="Comment Text Char1"/>
    <w:locked/>
    <w:rsid w:val="00CD45DB"/>
    <w:rPr>
      <w:rFonts w:ascii="Times New Roman" w:hAnsi="Times New Roman" w:cs="Times New Roman"/>
      <w:lang w:val="en-GB" w:eastAsia="en-US"/>
    </w:rPr>
  </w:style>
  <w:style w:type="paragraph" w:customStyle="1" w:styleId="1CharChar">
    <w:name w:val="(文字) (文字)1 Char Char"/>
    <w:basedOn w:val="Normal"/>
    <w:uiPriority w:val="99"/>
    <w:rsid w:val="00CD45D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CD45DB"/>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CD45DB"/>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CD45DB"/>
    <w:rPr>
      <w:rFonts w:ascii="Century" w:hAnsi="Century" w:cs="Times New Roman"/>
      <w:kern w:val="2"/>
      <w:sz w:val="24"/>
      <w:szCs w:val="24"/>
      <w:lang w:eastAsia="ja-JP"/>
    </w:rPr>
  </w:style>
  <w:style w:type="character" w:customStyle="1" w:styleId="FootnoteCharacters">
    <w:name w:val="Footnote Characters"/>
    <w:uiPriority w:val="99"/>
    <w:rsid w:val="00CD45DB"/>
    <w:rPr>
      <w:vertAlign w:val="superscript"/>
    </w:rPr>
  </w:style>
  <w:style w:type="paragraph" w:customStyle="1" w:styleId="MEP">
    <w:name w:val="MEP"/>
    <w:basedOn w:val="Normal"/>
    <w:uiPriority w:val="99"/>
    <w:rsid w:val="00CD45DB"/>
    <w:pPr>
      <w:tabs>
        <w:tab w:val="clear" w:pos="794"/>
        <w:tab w:val="clear" w:pos="1191"/>
        <w:tab w:val="clear" w:pos="1588"/>
        <w:tab w:val="clear" w:pos="1985"/>
        <w:tab w:val="left" w:pos="1134"/>
        <w:tab w:val="left" w:pos="1871"/>
        <w:tab w:val="left" w:pos="2268"/>
      </w:tabs>
      <w:spacing w:before="240"/>
    </w:pPr>
    <w:rPr>
      <w:rFonts w:eastAsia="MS Mincho"/>
    </w:rPr>
  </w:style>
  <w:style w:type="character" w:customStyle="1" w:styleId="BodyText2Char1">
    <w:name w:val="Body Text 2 Char1"/>
    <w:uiPriority w:val="99"/>
    <w:locked/>
    <w:rsid w:val="00CD45DB"/>
    <w:rPr>
      <w:rFonts w:ascii="Arial" w:hAnsi="Arial" w:cs="Times New Roman"/>
      <w:color w:val="000000"/>
      <w:sz w:val="16"/>
      <w:lang w:eastAsia="en-US"/>
    </w:rPr>
  </w:style>
  <w:style w:type="character" w:customStyle="1" w:styleId="BodyText3Char1">
    <w:name w:val="Body Text 3 Char1"/>
    <w:uiPriority w:val="99"/>
    <w:locked/>
    <w:rsid w:val="00CD45DB"/>
    <w:rPr>
      <w:rFonts w:ascii="Times New Roman" w:hAnsi="Times New Roman" w:cs="Times New Roman"/>
      <w:sz w:val="16"/>
      <w:szCs w:val="16"/>
      <w:lang w:val="en-GB" w:eastAsia="en-US"/>
    </w:rPr>
  </w:style>
  <w:style w:type="paragraph" w:customStyle="1" w:styleId="headingi0">
    <w:name w:val="heading_i"/>
    <w:basedOn w:val="Heading3"/>
    <w:next w:val="Normal"/>
    <w:uiPriority w:val="99"/>
    <w:rsid w:val="00CD45D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CD45DB"/>
    <w:pPr>
      <w:keepNext/>
      <w:keepLines/>
      <w:spacing w:before="480"/>
      <w:jc w:val="center"/>
    </w:pPr>
    <w:rPr>
      <w:rFonts w:eastAsia="MS Mincho"/>
      <w:b/>
      <w:sz w:val="28"/>
      <w:lang w:val="en-GB"/>
    </w:rPr>
  </w:style>
  <w:style w:type="paragraph" w:customStyle="1" w:styleId="1CarCar">
    <w:name w:val="(文字) (文字)1 Car Car (文字) (文字)"/>
    <w:basedOn w:val="Normal"/>
    <w:uiPriority w:val="99"/>
    <w:rsid w:val="00CD45D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CD45DB"/>
    <w:pPr>
      <w:autoSpaceDE w:val="0"/>
      <w:autoSpaceDN w:val="0"/>
      <w:adjustRightInd w:val="0"/>
    </w:pPr>
    <w:rPr>
      <w:rFonts w:eastAsia="SimSun"/>
      <w:color w:val="000000"/>
      <w:sz w:val="24"/>
      <w:szCs w:val="24"/>
    </w:rPr>
  </w:style>
  <w:style w:type="character" w:customStyle="1" w:styleId="2">
    <w:name w:val="(文字) (文字)2"/>
    <w:uiPriority w:val="99"/>
    <w:rsid w:val="00CD45DB"/>
    <w:rPr>
      <w:rFonts w:cs="Times New Roman"/>
      <w:b/>
      <w:sz w:val="24"/>
      <w:lang w:val="en-GB" w:eastAsia="en-US" w:bidi="ar-SA"/>
    </w:rPr>
  </w:style>
  <w:style w:type="paragraph" w:customStyle="1" w:styleId="CharChar3">
    <w:name w:val="Char Char3"/>
    <w:basedOn w:val="Normal"/>
    <w:uiPriority w:val="99"/>
    <w:rsid w:val="00CD45D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CD45D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CD45DB"/>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CD45DB"/>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CD45DB"/>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CD45DB"/>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CD45DB"/>
    <w:pPr>
      <w:tabs>
        <w:tab w:val="clear" w:pos="2347"/>
        <w:tab w:val="num" w:pos="2880"/>
      </w:tabs>
      <w:ind w:left="2880" w:hanging="533"/>
      <w:outlineLvl w:val="4"/>
    </w:pPr>
  </w:style>
  <w:style w:type="paragraph" w:customStyle="1" w:styleId="CharChar3Char">
    <w:name w:val="Char Char3 Char"/>
    <w:basedOn w:val="Normal"/>
    <w:uiPriority w:val="99"/>
    <w:rsid w:val="00CD45D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CD45DB"/>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CD45DB"/>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CD45DB"/>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CD45DB"/>
    <w:pPr>
      <w:keepNext/>
      <w:keepLines/>
      <w:suppressAutoHyphens/>
      <w:autoSpaceDN/>
      <w:adjustRightInd/>
      <w:spacing w:before="480"/>
      <w:jc w:val="center"/>
    </w:pPr>
    <w:rPr>
      <w:rFonts w:eastAsia="MS Mincho"/>
      <w:caps/>
      <w:kern w:val="1"/>
      <w:sz w:val="28"/>
      <w:szCs w:val="28"/>
      <w:lang w:val="en-GB" w:eastAsia="ar-SA"/>
    </w:rPr>
  </w:style>
  <w:style w:type="character" w:customStyle="1" w:styleId="Hyperlink1">
    <w:name w:val="Hyperlink1"/>
    <w:uiPriority w:val="99"/>
    <w:rsid w:val="00CD45DB"/>
    <w:rPr>
      <w:color w:val="0000FF"/>
    </w:rPr>
  </w:style>
  <w:style w:type="character" w:customStyle="1" w:styleId="TitleChar1">
    <w:name w:val="Title Char1"/>
    <w:uiPriority w:val="99"/>
    <w:locked/>
    <w:rsid w:val="00CD45DB"/>
    <w:rPr>
      <w:rFonts w:ascii="Arial" w:hAnsi="Arial" w:cs="Times New Roman"/>
      <w:b/>
      <w:bCs/>
      <w:sz w:val="22"/>
      <w:lang w:eastAsia="en-US"/>
    </w:rPr>
  </w:style>
  <w:style w:type="paragraph" w:customStyle="1" w:styleId="covertext">
    <w:name w:val="cover text"/>
    <w:basedOn w:val="Normal"/>
    <w:uiPriority w:val="99"/>
    <w:rsid w:val="00CD45DB"/>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CD45DB"/>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CD45DB"/>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CD45DB"/>
    <w:rPr>
      <w:rFonts w:ascii="Arial" w:hAnsi="Arial" w:cs="Times New Roman"/>
      <w:b/>
      <w:bCs/>
      <w:i/>
      <w:iCs/>
      <w:sz w:val="28"/>
    </w:rPr>
  </w:style>
  <w:style w:type="paragraph" w:customStyle="1" w:styleId="picture">
    <w:name w:val="picture"/>
    <w:basedOn w:val="Normal"/>
    <w:uiPriority w:val="99"/>
    <w:rsid w:val="00CD45DB"/>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CD45DB"/>
    <w:pPr>
      <w:spacing w:after="120"/>
      <w:ind w:firstLine="720"/>
      <w:jc w:val="both"/>
    </w:pPr>
    <w:rPr>
      <w:i/>
      <w:lang w:val="ru-RU" w:eastAsia="ru-RU"/>
    </w:rPr>
  </w:style>
  <w:style w:type="character" w:customStyle="1" w:styleId="BodyTextItalicChar">
    <w:name w:val="Body Text Italic Char"/>
    <w:uiPriority w:val="99"/>
    <w:rsid w:val="00CD45DB"/>
    <w:rPr>
      <w:rFonts w:cs="Times New Roman"/>
      <w:b/>
      <w:bCs/>
      <w:i/>
      <w:sz w:val="24"/>
      <w:szCs w:val="24"/>
      <w:lang w:val="ru-RU" w:eastAsia="ru-RU" w:bidi="ar-SA"/>
    </w:rPr>
  </w:style>
  <w:style w:type="paragraph" w:customStyle="1" w:styleId="BodyTextNoIndent">
    <w:name w:val="Body Text No Indent"/>
    <w:basedOn w:val="BodyText"/>
    <w:uiPriority w:val="99"/>
    <w:rsid w:val="00CD45DB"/>
    <w:pPr>
      <w:spacing w:after="120"/>
      <w:jc w:val="both"/>
    </w:pPr>
    <w:rPr>
      <w:b w:val="0"/>
      <w:bCs w:val="0"/>
    </w:rPr>
  </w:style>
  <w:style w:type="paragraph" w:customStyle="1" w:styleId="equation0">
    <w:name w:val="equation"/>
    <w:basedOn w:val="BodyText"/>
    <w:uiPriority w:val="99"/>
    <w:rsid w:val="00CD45DB"/>
    <w:pPr>
      <w:tabs>
        <w:tab w:val="center" w:pos="4680"/>
        <w:tab w:val="right" w:pos="9360"/>
      </w:tabs>
      <w:spacing w:before="120" w:after="120"/>
    </w:pPr>
    <w:rPr>
      <w:lang w:val="ru-RU" w:eastAsia="ru-RU"/>
    </w:rPr>
  </w:style>
  <w:style w:type="character" w:customStyle="1" w:styleId="equationChar0">
    <w:name w:val="equation Char"/>
    <w:uiPriority w:val="99"/>
    <w:rsid w:val="00CD45DB"/>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CD45DB"/>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CD45DB"/>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CD45DB"/>
    <w:pPr>
      <w:spacing w:before="120" w:after="240"/>
      <w:jc w:val="both"/>
    </w:pPr>
    <w:rPr>
      <w:rFonts w:ascii="Arial" w:hAnsi="Arial"/>
      <w:b w:val="0"/>
      <w:bCs w:val="0"/>
      <w:sz w:val="20"/>
    </w:rPr>
  </w:style>
  <w:style w:type="character" w:customStyle="1" w:styleId="FigurecaptionChar">
    <w:name w:val="Figure caption Char"/>
    <w:uiPriority w:val="99"/>
    <w:rsid w:val="00CD45DB"/>
    <w:rPr>
      <w:rFonts w:ascii="Arial" w:hAnsi="Arial" w:cs="Times New Roman"/>
      <w:b/>
      <w:bCs/>
      <w:sz w:val="24"/>
      <w:szCs w:val="24"/>
      <w:lang w:val="en-US" w:eastAsia="en-US" w:bidi="ar-SA"/>
    </w:rPr>
  </w:style>
  <w:style w:type="paragraph" w:customStyle="1" w:styleId="ReferencesText">
    <w:name w:val="References Text"/>
    <w:basedOn w:val="BodyText"/>
    <w:uiPriority w:val="99"/>
    <w:rsid w:val="00CD45DB"/>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CD45DB"/>
    <w:pPr>
      <w:jc w:val="center"/>
    </w:pPr>
    <w:rPr>
      <w:rFonts w:ascii="Arial" w:hAnsi="Arial" w:cs="Arial"/>
    </w:rPr>
  </w:style>
  <w:style w:type="paragraph" w:customStyle="1" w:styleId="Char">
    <w:name w:val="Char"/>
    <w:basedOn w:val="Normal"/>
    <w:uiPriority w:val="99"/>
    <w:rsid w:val="00CD45D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CD45DB"/>
    <w:rPr>
      <w:rFonts w:cs="Times New Roman"/>
      <w:b/>
      <w:sz w:val="24"/>
      <w:lang w:val="en-GB" w:eastAsia="en-US" w:bidi="ar-SA"/>
    </w:rPr>
  </w:style>
  <w:style w:type="character" w:customStyle="1" w:styleId="TableTextChar0">
    <w:name w:val="Table_Text Char"/>
    <w:uiPriority w:val="99"/>
    <w:rsid w:val="00CD45DB"/>
    <w:rPr>
      <w:rFonts w:eastAsia="MS Mincho" w:cs="Times New Roman"/>
      <w:sz w:val="22"/>
      <w:lang w:val="en-GB" w:eastAsia="en-US" w:bidi="ar-SA"/>
    </w:rPr>
  </w:style>
  <w:style w:type="paragraph" w:customStyle="1" w:styleId="CarattereCarattere">
    <w:name w:val="Carattere Carattere"/>
    <w:uiPriority w:val="99"/>
    <w:semiHidden/>
    <w:rsid w:val="00CD45D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CD45DB"/>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CD45DB"/>
    <w:rPr>
      <w:rFonts w:cs="Times New Roman"/>
    </w:rPr>
  </w:style>
  <w:style w:type="paragraph" w:customStyle="1" w:styleId="listitem0">
    <w:name w:val="list item"/>
    <w:basedOn w:val="Normal"/>
    <w:uiPriority w:val="99"/>
    <w:rsid w:val="00CD45DB"/>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CD45DB"/>
    <w:pPr>
      <w:ind w:left="1080"/>
    </w:pPr>
  </w:style>
  <w:style w:type="paragraph" w:customStyle="1" w:styleId="listitem3">
    <w:name w:val="list item 3"/>
    <w:basedOn w:val="listitem2"/>
    <w:uiPriority w:val="99"/>
    <w:rsid w:val="00CD45DB"/>
    <w:pPr>
      <w:ind w:left="1620"/>
    </w:pPr>
  </w:style>
  <w:style w:type="paragraph" w:customStyle="1" w:styleId="ListParagraph1">
    <w:name w:val="List Paragraph1"/>
    <w:basedOn w:val="listitem0"/>
    <w:next w:val="listitem0"/>
    <w:uiPriority w:val="99"/>
    <w:rsid w:val="00CD45DB"/>
    <w:pPr>
      <w:spacing w:before="200"/>
      <w:ind w:firstLine="0"/>
    </w:pPr>
  </w:style>
  <w:style w:type="paragraph" w:customStyle="1" w:styleId="listparagraph2">
    <w:name w:val="list paragraph 2"/>
    <w:basedOn w:val="listitem2"/>
    <w:next w:val="listitem2"/>
    <w:uiPriority w:val="99"/>
    <w:rsid w:val="00CD45DB"/>
    <w:pPr>
      <w:spacing w:before="200"/>
      <w:ind w:firstLine="0"/>
    </w:pPr>
  </w:style>
  <w:style w:type="paragraph" w:customStyle="1" w:styleId="listparagraph3">
    <w:name w:val="list paragraph 3"/>
    <w:basedOn w:val="listitem3"/>
    <w:next w:val="listitem3"/>
    <w:uiPriority w:val="99"/>
    <w:rsid w:val="00CD45DB"/>
  </w:style>
  <w:style w:type="paragraph" w:customStyle="1" w:styleId="note0">
    <w:name w:val="note"/>
    <w:basedOn w:val="Normal"/>
    <w:next w:val="Normal"/>
    <w:uiPriority w:val="99"/>
    <w:rsid w:val="00CD45D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CD45DB"/>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CD45DB"/>
    <w:pPr>
      <w:spacing w:before="0" w:after="0"/>
      <w:jc w:val="both"/>
    </w:pPr>
  </w:style>
  <w:style w:type="paragraph" w:customStyle="1" w:styleId="computercode">
    <w:name w:val="computer code"/>
    <w:basedOn w:val="Normal"/>
    <w:uiPriority w:val="99"/>
    <w:rsid w:val="00CD45DB"/>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CD45DB"/>
    <w:pPr>
      <w:ind w:left="900" w:hanging="900"/>
    </w:pPr>
  </w:style>
  <w:style w:type="paragraph" w:customStyle="1" w:styleId="Caption1">
    <w:name w:val="Caption1"/>
    <w:basedOn w:val="Normal"/>
    <w:link w:val="captionChar"/>
    <w:uiPriority w:val="99"/>
    <w:rsid w:val="00CD45DB"/>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CD45D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CD45D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CD45D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CD45DB"/>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CD45DB"/>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CD45DB"/>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CD45DB"/>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CD45DB"/>
    <w:rPr>
      <w:rFonts w:eastAsia="Batang" w:cs="Times New Roman"/>
      <w:b/>
      <w:sz w:val="24"/>
      <w:lang w:val="en-GB" w:eastAsia="en-US" w:bidi="ar-SA"/>
    </w:rPr>
  </w:style>
  <w:style w:type="character" w:customStyle="1" w:styleId="pagetitle">
    <w:name w:val="pagetitle"/>
    <w:uiPriority w:val="99"/>
    <w:rsid w:val="00CD45DB"/>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CD45DB"/>
    <w:rPr>
      <w:rFonts w:cs="Times New Roman"/>
      <w:sz w:val="22"/>
      <w:lang w:val="en-GB" w:eastAsia="en-US" w:bidi="ar-SA"/>
    </w:rPr>
  </w:style>
  <w:style w:type="character" w:customStyle="1" w:styleId="Teletype">
    <w:name w:val="Teletype"/>
    <w:uiPriority w:val="99"/>
    <w:rsid w:val="00CD45DB"/>
    <w:rPr>
      <w:rFonts w:ascii="Courier" w:hAnsi="Courier"/>
      <w:sz w:val="20"/>
    </w:rPr>
  </w:style>
  <w:style w:type="character" w:customStyle="1" w:styleId="captionChar">
    <w:name w:val="caption Char"/>
    <w:link w:val="Caption1"/>
    <w:uiPriority w:val="99"/>
    <w:locked/>
    <w:rsid w:val="00CD45DB"/>
    <w:rPr>
      <w:rFonts w:ascii="Helvetica" w:eastAsia="MS Mincho" w:hAnsi="Helvetica"/>
      <w:b/>
      <w:lang w:eastAsia="en-US"/>
    </w:rPr>
  </w:style>
  <w:style w:type="paragraph" w:customStyle="1" w:styleId="DefTerm">
    <w:name w:val="Def Term"/>
    <w:basedOn w:val="Normal"/>
    <w:next w:val="Definition0"/>
    <w:uiPriority w:val="99"/>
    <w:rsid w:val="00CD45DB"/>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CD45DB"/>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CD45DB"/>
    <w:rPr>
      <w:b/>
    </w:rPr>
  </w:style>
  <w:style w:type="paragraph" w:customStyle="1" w:styleId="IEEEStdsParagraph">
    <w:name w:val="IEEEStds Paragraph"/>
    <w:link w:val="IEEEStdsParagraphChar"/>
    <w:uiPriority w:val="99"/>
    <w:rsid w:val="00CD45DB"/>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CD45DB"/>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CD45DB"/>
    <w:rPr>
      <w:rFonts w:eastAsia="MS Mincho"/>
      <w:lang w:eastAsia="en-US"/>
    </w:rPr>
  </w:style>
  <w:style w:type="character" w:customStyle="1" w:styleId="IEEEStdsParagraphChar">
    <w:name w:val="IEEEStds Paragraph Char"/>
    <w:link w:val="IEEEStdsParagraph"/>
    <w:uiPriority w:val="99"/>
    <w:locked/>
    <w:rsid w:val="00CD45DB"/>
    <w:rPr>
      <w:rFonts w:eastAsia="MS Mincho"/>
      <w:sz w:val="24"/>
      <w:lang w:eastAsia="en-US"/>
    </w:rPr>
  </w:style>
  <w:style w:type="paragraph" w:customStyle="1" w:styleId="ecmsonormal">
    <w:name w:val="ec_msonormal"/>
    <w:basedOn w:val="Normal"/>
    <w:uiPriority w:val="99"/>
    <w:rsid w:val="00CD45D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CD45D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CD45D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CD45DB"/>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CD45DB"/>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CD45DB"/>
    <w:rPr>
      <w:rFonts w:ascii="Arial" w:eastAsia="MS Mincho" w:hAnsi="Arial"/>
      <w:lang w:eastAsia="en-US"/>
    </w:rPr>
  </w:style>
  <w:style w:type="paragraph" w:customStyle="1" w:styleId="IEEEStdsKeywords">
    <w:name w:val="IEEEStds Keywords"/>
    <w:next w:val="IEEEStdsParagraph"/>
    <w:uiPriority w:val="99"/>
    <w:rsid w:val="00CD45DB"/>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CD45DB"/>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CD45DB"/>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CD45DB"/>
    <w:rPr>
      <w:b/>
    </w:rPr>
  </w:style>
  <w:style w:type="character" w:customStyle="1" w:styleId="IEEEStdsAbstractHeader">
    <w:name w:val="IEEEStds Abstract Header"/>
    <w:uiPriority w:val="99"/>
    <w:rsid w:val="00CD45DB"/>
    <w:rPr>
      <w:b/>
    </w:rPr>
  </w:style>
  <w:style w:type="character" w:customStyle="1" w:styleId="IEEEStdsAbstractBodyChar">
    <w:name w:val="IEEEStds Abstract Body Char"/>
    <w:link w:val="IEEEStdsAbstractBody"/>
    <w:uiPriority w:val="99"/>
    <w:locked/>
    <w:rsid w:val="00CD45DB"/>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CD45DB"/>
    <w:rPr>
      <w:rFonts w:ascii="Arial" w:eastAsia="MS Mincho" w:hAnsi="Arial"/>
      <w:b/>
      <w:noProof/>
      <w:sz w:val="24"/>
      <w:lang w:eastAsia="en-US"/>
    </w:rPr>
  </w:style>
  <w:style w:type="paragraph" w:customStyle="1" w:styleId="IEEEStdsCopyrightPage3">
    <w:name w:val="IEEEStds Copyright Page 3"/>
    <w:basedOn w:val="Normal"/>
    <w:uiPriority w:val="99"/>
    <w:rsid w:val="00CD45DB"/>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CD45DB"/>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CD45DB"/>
    <w:rPr>
      <w:rFonts w:eastAsia="MS Mincho"/>
      <w:sz w:val="18"/>
      <w:szCs w:val="18"/>
      <w:lang w:eastAsia="en-US"/>
    </w:rPr>
  </w:style>
  <w:style w:type="paragraph" w:customStyle="1" w:styleId="IEEEStdsParticipantsList">
    <w:name w:val="IEEEStds Participants List"/>
    <w:uiPriority w:val="99"/>
    <w:rsid w:val="00CD45DB"/>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CD45DB"/>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CD45DB"/>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CD45DB"/>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CD45DB"/>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CD45DB"/>
    <w:rPr>
      <w:rFonts w:ascii="Arial" w:hAnsi="Arial" w:cs="Arial"/>
      <w:color w:val="000000"/>
      <w:spacing w:val="0"/>
      <w:sz w:val="15"/>
      <w:szCs w:val="15"/>
    </w:rPr>
  </w:style>
  <w:style w:type="character" w:customStyle="1" w:styleId="enumlev10">
    <w:name w:val="enumlev1 Знак"/>
    <w:uiPriority w:val="99"/>
    <w:locked/>
    <w:rsid w:val="00CD45DB"/>
    <w:rPr>
      <w:rFonts w:cs="Times New Roman"/>
      <w:sz w:val="24"/>
      <w:lang w:val="en-GB" w:eastAsia="en-US" w:bidi="ar-SA"/>
    </w:rPr>
  </w:style>
  <w:style w:type="character" w:customStyle="1" w:styleId="alias1">
    <w:name w:val="alias1"/>
    <w:uiPriority w:val="99"/>
    <w:rsid w:val="00CD45DB"/>
    <w:rPr>
      <w:rFonts w:cs="Times New Roman"/>
      <w:sz w:val="20"/>
      <w:szCs w:val="20"/>
    </w:rPr>
  </w:style>
  <w:style w:type="paragraph" w:customStyle="1" w:styleId="a">
    <w:name w:val="文献"/>
    <w:basedOn w:val="BodyText"/>
    <w:uiPriority w:val="99"/>
    <w:rsid w:val="00CD45DB"/>
    <w:pPr>
      <w:widowControl w:val="0"/>
      <w:tabs>
        <w:tab w:val="num" w:pos="510"/>
      </w:tabs>
      <w:snapToGrid w:val="0"/>
      <w:spacing w:afterLines="20" w:line="200" w:lineRule="exact"/>
      <w:ind w:left="426" w:hanging="369"/>
      <w:jc w:val="both"/>
    </w:pPr>
    <w:rPr>
      <w:b w:val="0"/>
      <w:bCs w:val="0"/>
      <w:kern w:val="2"/>
      <w:sz w:val="18"/>
      <w:lang w:eastAsia="ja-JP"/>
    </w:rPr>
  </w:style>
  <w:style w:type="character" w:customStyle="1" w:styleId="trans">
    <w:name w:val="trans"/>
    <w:rsid w:val="00CD45DB"/>
    <w:rPr>
      <w:rFonts w:cs="Times New Roman"/>
    </w:rPr>
  </w:style>
  <w:style w:type="paragraph" w:customStyle="1" w:styleId="ListParagraph20">
    <w:name w:val="List Paragraph2"/>
    <w:basedOn w:val="listitem0"/>
    <w:next w:val="listitem0"/>
    <w:uiPriority w:val="99"/>
    <w:rsid w:val="00CD45DB"/>
    <w:pPr>
      <w:spacing w:before="200"/>
      <w:ind w:firstLine="0"/>
    </w:pPr>
  </w:style>
  <w:style w:type="paragraph" w:customStyle="1" w:styleId="Title20">
    <w:name w:val="Title2"/>
    <w:basedOn w:val="Normal"/>
    <w:next w:val="Heading1"/>
    <w:uiPriority w:val="99"/>
    <w:rsid w:val="00CD45DB"/>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CD45D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customStyle="1" w:styleId="Style1">
    <w:name w:val="Style1"/>
    <w:rsid w:val="00CD45DB"/>
    <w:pPr>
      <w:numPr>
        <w:numId w:val="2"/>
      </w:numPr>
    </w:pPr>
  </w:style>
  <w:style w:type="paragraph" w:customStyle="1" w:styleId="a0">
    <w:name w:val="+"/>
    <w:basedOn w:val="Normal"/>
    <w:rsid w:val="00CD45DB"/>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AnnexNoTitleChar1">
    <w:name w:val="Annex_NoTitle Char1"/>
    <w:basedOn w:val="DefaultParagraphFont"/>
    <w:locked/>
    <w:rsid w:val="00CD45DB"/>
    <w:rPr>
      <w:b/>
      <w:sz w:val="28"/>
      <w:lang w:val="fr-FR" w:eastAsia="en-US"/>
    </w:rPr>
  </w:style>
  <w:style w:type="paragraph" w:customStyle="1" w:styleId="a1">
    <w:name w:val="바탕글"/>
    <w:basedOn w:val="Normal"/>
    <w:rsid w:val="00CD45DB"/>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CD45DB"/>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CD45DB"/>
    <w:rPr>
      <w:rFonts w:eastAsia="SimSun"/>
      <w:sz w:val="24"/>
      <w:szCs w:val="24"/>
      <w:lang w:val="en-AU" w:eastAsia="en-US"/>
    </w:rPr>
  </w:style>
  <w:style w:type="table" w:customStyle="1" w:styleId="5">
    <w:name w:val="网格型5"/>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CD45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CD45DB"/>
    <w:rPr>
      <w:vanish/>
      <w:color w:val="FF0000"/>
    </w:rPr>
  </w:style>
  <w:style w:type="paragraph" w:customStyle="1" w:styleId="Paragraph0">
    <w:name w:val="Paragraph"/>
    <w:basedOn w:val="Normal"/>
    <w:autoRedefine/>
    <w:rsid w:val="00CD45DB"/>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CD45DB"/>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CD45DB"/>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paragraph" w:customStyle="1" w:styleId="AppendixNotitle0">
    <w:name w:val="Appendix_No &amp; title"/>
    <w:basedOn w:val="AnnexNotitle0"/>
    <w:next w:val="Normalaftertitle"/>
    <w:rsid w:val="00CD45DB"/>
    <w:rPr>
      <w:lang w:val="fr-FR"/>
    </w:rPr>
  </w:style>
  <w:style w:type="paragraph" w:customStyle="1" w:styleId="FigureNotitle">
    <w:name w:val="Figure_No &amp; title"/>
    <w:basedOn w:val="Normal"/>
    <w:next w:val="Normalaftertitle"/>
    <w:rsid w:val="00CD45DB"/>
    <w:pPr>
      <w:keepLines/>
      <w:spacing w:before="240" w:after="120"/>
      <w:jc w:val="center"/>
    </w:pPr>
    <w:rPr>
      <w:rFonts w:eastAsia="MS Mincho"/>
      <w:b/>
    </w:rPr>
  </w:style>
  <w:style w:type="paragraph" w:customStyle="1" w:styleId="TableNotitle">
    <w:name w:val="Table_No &amp; title"/>
    <w:basedOn w:val="Normal"/>
    <w:next w:val="Tablehead"/>
    <w:rsid w:val="00CD45DB"/>
    <w:pPr>
      <w:keepNext/>
      <w:keepLines/>
      <w:spacing w:before="360" w:after="120"/>
      <w:jc w:val="center"/>
    </w:pPr>
    <w:rPr>
      <w:rFonts w:eastAsia="MS Mincho"/>
      <w:b/>
    </w:rPr>
  </w:style>
  <w:style w:type="paragraph" w:customStyle="1" w:styleId="FooterQP">
    <w:name w:val="Footer_QP"/>
    <w:basedOn w:val="Normal"/>
    <w:rsid w:val="00CD45DB"/>
    <w:pPr>
      <w:tabs>
        <w:tab w:val="clear" w:pos="794"/>
        <w:tab w:val="clear" w:pos="1191"/>
        <w:tab w:val="clear" w:pos="1588"/>
        <w:tab w:val="clear" w:pos="1985"/>
        <w:tab w:val="left" w:pos="907"/>
        <w:tab w:val="right" w:pos="8789"/>
        <w:tab w:val="right" w:pos="9639"/>
      </w:tabs>
      <w:spacing w:before="0"/>
      <w:jc w:val="left"/>
    </w:pPr>
    <w:rPr>
      <w:rFonts w:eastAsia="MS Mincho"/>
      <w:b/>
      <w:sz w:val="22"/>
    </w:rPr>
  </w:style>
  <w:style w:type="paragraph" w:customStyle="1" w:styleId="RepNoBR">
    <w:name w:val="Rep_No_BR"/>
    <w:basedOn w:val="RecNoBR"/>
    <w:next w:val="Reptitle"/>
    <w:rsid w:val="00CD45DB"/>
    <w:rPr>
      <w:lang w:val="fr-FR"/>
    </w:rPr>
  </w:style>
  <w:style w:type="paragraph" w:customStyle="1" w:styleId="ResNoBR">
    <w:name w:val="Res_No_BR"/>
    <w:basedOn w:val="RecNoBR"/>
    <w:next w:val="Restitle"/>
    <w:rsid w:val="00CD45DB"/>
    <w:rPr>
      <w:lang w:val="fr-FR"/>
    </w:rPr>
  </w:style>
  <w:style w:type="paragraph" w:customStyle="1" w:styleId="TableNoBR">
    <w:name w:val="Table_No_BR"/>
    <w:basedOn w:val="Normal"/>
    <w:next w:val="TabletitleBR"/>
    <w:rsid w:val="00CD45DB"/>
    <w:pPr>
      <w:keepNext/>
      <w:spacing w:before="560" w:after="120"/>
      <w:jc w:val="center"/>
    </w:pPr>
    <w:rPr>
      <w:rFonts w:eastAsia="MS Mincho"/>
      <w:caps/>
    </w:rPr>
  </w:style>
  <w:style w:type="paragraph" w:customStyle="1" w:styleId="TabletitleBR">
    <w:name w:val="Table_title_BR"/>
    <w:basedOn w:val="Normal"/>
    <w:next w:val="Tablehead"/>
    <w:rsid w:val="00CD45DB"/>
    <w:pPr>
      <w:keepNext/>
      <w:keepLines/>
      <w:spacing w:before="0" w:after="120"/>
      <w:jc w:val="center"/>
    </w:pPr>
    <w:rPr>
      <w:rFonts w:eastAsia="MS Mincho"/>
      <w:b/>
    </w:rPr>
  </w:style>
  <w:style w:type="paragraph" w:customStyle="1" w:styleId="FiguretitleBR">
    <w:name w:val="Figure_title_BR"/>
    <w:basedOn w:val="TabletitleBR"/>
    <w:next w:val="Figurewithouttitle"/>
    <w:rsid w:val="00CD45DB"/>
    <w:pPr>
      <w:keepNext w:val="0"/>
      <w:spacing w:after="480"/>
    </w:pPr>
  </w:style>
  <w:style w:type="paragraph" w:customStyle="1" w:styleId="FigureNoBR">
    <w:name w:val="Figure_No_BR"/>
    <w:basedOn w:val="Normal"/>
    <w:next w:val="FiguretitleBR"/>
    <w:rsid w:val="00CD45DB"/>
    <w:pPr>
      <w:keepNext/>
      <w:keepLines/>
      <w:spacing w:before="480" w:after="120"/>
      <w:jc w:val="center"/>
    </w:pPr>
    <w:rPr>
      <w:rFonts w:eastAsia="MS Mincho"/>
      <w:caps/>
    </w:rPr>
  </w:style>
  <w:style w:type="paragraph" w:customStyle="1" w:styleId="TextBody">
    <w:name w:val="Text Body"/>
    <w:basedOn w:val="Normal"/>
    <w:rsid w:val="00CD45DB"/>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CD45DB"/>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CD45D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CD45D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CD45D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CD45D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CD45DB"/>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CD45DB"/>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CD45D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CD45D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CD45D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CD45DB"/>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CD45DB"/>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CD45D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CD45D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CD45D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CD45D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CD45D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CD45D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CD45D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CD45D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CD45D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CD45D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CD45D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CD45D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CD45D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CD45D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CD45DB"/>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CD45DB"/>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CD45D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CD45D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CD45DB"/>
    <w:rPr>
      <w:sz w:val="24"/>
      <w:lang w:val="fr-FR" w:eastAsia="en-US"/>
    </w:rPr>
  </w:style>
  <w:style w:type="character" w:customStyle="1" w:styleId="EndnoteTextChar1">
    <w:name w:val="Endnote Text Char1"/>
    <w:basedOn w:val="DefaultParagraphFont"/>
    <w:semiHidden/>
    <w:rsid w:val="00CD45DB"/>
    <w:rPr>
      <w:lang w:val="fr-FR" w:eastAsia="en-US"/>
    </w:rPr>
  </w:style>
  <w:style w:type="paragraph" w:customStyle="1" w:styleId="body">
    <w:name w:val="body"/>
    <w:basedOn w:val="Normal"/>
    <w:rsid w:val="00CD45DB"/>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CD45DB"/>
    <w:pPr>
      <w:numPr>
        <w:numId w:val="3"/>
      </w:numPr>
      <w:tabs>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 w:type="character" w:customStyle="1" w:styleId="texhtml">
    <w:name w:val="texhtml"/>
    <w:basedOn w:val="DefaultParagraphFont"/>
    <w:rsid w:val="00CD45DB"/>
  </w:style>
  <w:style w:type="paragraph" w:customStyle="1" w:styleId="StyleTabletext8ptRight-01cmBefore1ptAfter1">
    <w:name w:val="Style Table_text + 8 pt Right:  -0.1 cm Before:  1 pt After:  1 ..."/>
    <w:basedOn w:val="Tabletext"/>
    <w:rsid w:val="00CD45DB"/>
    <w:pPr>
      <w:spacing w:before="20" w:after="20" w:line="200" w:lineRule="exact"/>
      <w:ind w:right="-57"/>
      <w:jc w:val="left"/>
    </w:pPr>
    <w:rPr>
      <w:sz w:val="16"/>
      <w:lang w:val="en-GB"/>
    </w:rPr>
  </w:style>
  <w:style w:type="paragraph" w:customStyle="1" w:styleId="StyleTabletext8pt">
    <w:name w:val="Style Table_text + 8 pt"/>
    <w:basedOn w:val="Tabletext"/>
    <w:rsid w:val="00CD45DB"/>
    <w:pPr>
      <w:jc w:val="left"/>
    </w:pPr>
    <w:rPr>
      <w:sz w:val="16"/>
      <w:lang w:val="en-GB"/>
    </w:rPr>
  </w:style>
  <w:style w:type="paragraph" w:customStyle="1" w:styleId="StyleTabletext8ptBefore1ptAfter1ptLinespacing">
    <w:name w:val="Style Table_text + 8 pt Before:  1 pt After:  1 pt Line spacing:..."/>
    <w:basedOn w:val="Tabletext"/>
    <w:rsid w:val="00CD45DB"/>
    <w:pPr>
      <w:spacing w:before="20" w:after="20" w:line="200" w:lineRule="exact"/>
      <w:jc w:val="left"/>
    </w:pPr>
    <w:rPr>
      <w:sz w:val="16"/>
      <w:lang w:val="en-GB"/>
    </w:rPr>
  </w:style>
  <w:style w:type="character" w:customStyle="1" w:styleId="EquationeqChar">
    <w:name w:val="Equation.eq Char"/>
    <w:basedOn w:val="DefaultParagraphFont"/>
    <w:locked/>
    <w:rsid w:val="00CD45D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740181">
      <w:bodyDiv w:val="1"/>
      <w:marLeft w:val="0"/>
      <w:marRight w:val="0"/>
      <w:marTop w:val="0"/>
      <w:marBottom w:val="0"/>
      <w:divBdr>
        <w:top w:val="none" w:sz="0" w:space="0" w:color="auto"/>
        <w:left w:val="none" w:sz="0" w:space="0" w:color="auto"/>
        <w:bottom w:val="none" w:sz="0" w:space="0" w:color="auto"/>
        <w:right w:val="none" w:sz="0" w:space="0" w:color="auto"/>
      </w:divBdr>
    </w:div>
    <w:div w:id="83185583">
      <w:bodyDiv w:val="1"/>
      <w:marLeft w:val="0"/>
      <w:marRight w:val="0"/>
      <w:marTop w:val="0"/>
      <w:marBottom w:val="0"/>
      <w:divBdr>
        <w:top w:val="none" w:sz="0" w:space="0" w:color="auto"/>
        <w:left w:val="none" w:sz="0" w:space="0" w:color="auto"/>
        <w:bottom w:val="none" w:sz="0" w:space="0" w:color="auto"/>
        <w:right w:val="none" w:sz="0" w:space="0" w:color="auto"/>
      </w:divBdr>
    </w:div>
    <w:div w:id="405617030">
      <w:bodyDiv w:val="1"/>
      <w:marLeft w:val="0"/>
      <w:marRight w:val="0"/>
      <w:marTop w:val="0"/>
      <w:marBottom w:val="0"/>
      <w:divBdr>
        <w:top w:val="none" w:sz="0" w:space="0" w:color="auto"/>
        <w:left w:val="none" w:sz="0" w:space="0" w:color="auto"/>
        <w:bottom w:val="none" w:sz="0" w:space="0" w:color="auto"/>
        <w:right w:val="none" w:sz="0" w:space="0" w:color="auto"/>
      </w:divBdr>
    </w:div>
    <w:div w:id="686756048">
      <w:bodyDiv w:val="1"/>
      <w:marLeft w:val="0"/>
      <w:marRight w:val="0"/>
      <w:marTop w:val="0"/>
      <w:marBottom w:val="0"/>
      <w:divBdr>
        <w:top w:val="none" w:sz="0" w:space="0" w:color="auto"/>
        <w:left w:val="none" w:sz="0" w:space="0" w:color="auto"/>
        <w:bottom w:val="none" w:sz="0" w:space="0" w:color="auto"/>
        <w:right w:val="none" w:sz="0" w:space="0" w:color="auto"/>
      </w:divBdr>
    </w:div>
    <w:div w:id="761609873">
      <w:bodyDiv w:val="1"/>
      <w:marLeft w:val="0"/>
      <w:marRight w:val="0"/>
      <w:marTop w:val="0"/>
      <w:marBottom w:val="0"/>
      <w:divBdr>
        <w:top w:val="none" w:sz="0" w:space="0" w:color="auto"/>
        <w:left w:val="none" w:sz="0" w:space="0" w:color="auto"/>
        <w:bottom w:val="none" w:sz="0" w:space="0" w:color="auto"/>
        <w:right w:val="none" w:sz="0" w:space="0" w:color="auto"/>
      </w:divBdr>
    </w:div>
    <w:div w:id="771819490">
      <w:bodyDiv w:val="1"/>
      <w:marLeft w:val="0"/>
      <w:marRight w:val="0"/>
      <w:marTop w:val="0"/>
      <w:marBottom w:val="0"/>
      <w:divBdr>
        <w:top w:val="none" w:sz="0" w:space="0" w:color="auto"/>
        <w:left w:val="none" w:sz="0" w:space="0" w:color="auto"/>
        <w:bottom w:val="none" w:sz="0" w:space="0" w:color="auto"/>
        <w:right w:val="none" w:sz="0" w:space="0" w:color="auto"/>
      </w:divBdr>
    </w:div>
    <w:div w:id="842012496">
      <w:bodyDiv w:val="1"/>
      <w:marLeft w:val="0"/>
      <w:marRight w:val="0"/>
      <w:marTop w:val="0"/>
      <w:marBottom w:val="0"/>
      <w:divBdr>
        <w:top w:val="none" w:sz="0" w:space="0" w:color="auto"/>
        <w:left w:val="none" w:sz="0" w:space="0" w:color="auto"/>
        <w:bottom w:val="none" w:sz="0" w:space="0" w:color="auto"/>
        <w:right w:val="none" w:sz="0" w:space="0" w:color="auto"/>
      </w:divBdr>
    </w:div>
    <w:div w:id="887499737">
      <w:bodyDiv w:val="1"/>
      <w:marLeft w:val="0"/>
      <w:marRight w:val="0"/>
      <w:marTop w:val="0"/>
      <w:marBottom w:val="0"/>
      <w:divBdr>
        <w:top w:val="none" w:sz="0" w:space="0" w:color="auto"/>
        <w:left w:val="none" w:sz="0" w:space="0" w:color="auto"/>
        <w:bottom w:val="none" w:sz="0" w:space="0" w:color="auto"/>
        <w:right w:val="none" w:sz="0" w:space="0" w:color="auto"/>
      </w:divBdr>
    </w:div>
    <w:div w:id="975838418">
      <w:bodyDiv w:val="1"/>
      <w:marLeft w:val="0"/>
      <w:marRight w:val="0"/>
      <w:marTop w:val="0"/>
      <w:marBottom w:val="0"/>
      <w:divBdr>
        <w:top w:val="none" w:sz="0" w:space="0" w:color="auto"/>
        <w:left w:val="none" w:sz="0" w:space="0" w:color="auto"/>
        <w:bottom w:val="none" w:sz="0" w:space="0" w:color="auto"/>
        <w:right w:val="none" w:sz="0" w:space="0" w:color="auto"/>
      </w:divBdr>
    </w:div>
    <w:div w:id="1171146116">
      <w:bodyDiv w:val="1"/>
      <w:marLeft w:val="0"/>
      <w:marRight w:val="0"/>
      <w:marTop w:val="0"/>
      <w:marBottom w:val="0"/>
      <w:divBdr>
        <w:top w:val="none" w:sz="0" w:space="0" w:color="auto"/>
        <w:left w:val="none" w:sz="0" w:space="0" w:color="auto"/>
        <w:bottom w:val="none" w:sz="0" w:space="0" w:color="auto"/>
        <w:right w:val="none" w:sz="0" w:space="0" w:color="auto"/>
      </w:divBdr>
    </w:div>
    <w:div w:id="1319961696">
      <w:bodyDiv w:val="1"/>
      <w:marLeft w:val="0"/>
      <w:marRight w:val="0"/>
      <w:marTop w:val="0"/>
      <w:marBottom w:val="0"/>
      <w:divBdr>
        <w:top w:val="none" w:sz="0" w:space="0" w:color="auto"/>
        <w:left w:val="none" w:sz="0" w:space="0" w:color="auto"/>
        <w:bottom w:val="none" w:sz="0" w:space="0" w:color="auto"/>
        <w:right w:val="none" w:sz="0" w:space="0" w:color="auto"/>
      </w:divBdr>
    </w:div>
    <w:div w:id="1420563711">
      <w:bodyDiv w:val="1"/>
      <w:marLeft w:val="0"/>
      <w:marRight w:val="0"/>
      <w:marTop w:val="0"/>
      <w:marBottom w:val="0"/>
      <w:divBdr>
        <w:top w:val="none" w:sz="0" w:space="0" w:color="auto"/>
        <w:left w:val="none" w:sz="0" w:space="0" w:color="auto"/>
        <w:bottom w:val="none" w:sz="0" w:space="0" w:color="auto"/>
        <w:right w:val="none" w:sz="0" w:space="0" w:color="auto"/>
      </w:divBdr>
    </w:div>
    <w:div w:id="1466121540">
      <w:bodyDiv w:val="1"/>
      <w:marLeft w:val="0"/>
      <w:marRight w:val="0"/>
      <w:marTop w:val="0"/>
      <w:marBottom w:val="0"/>
      <w:divBdr>
        <w:top w:val="none" w:sz="0" w:space="0" w:color="auto"/>
        <w:left w:val="none" w:sz="0" w:space="0" w:color="auto"/>
        <w:bottom w:val="none" w:sz="0" w:space="0" w:color="auto"/>
        <w:right w:val="none" w:sz="0" w:space="0" w:color="auto"/>
      </w:divBdr>
    </w:div>
    <w:div w:id="1470322533">
      <w:bodyDiv w:val="1"/>
      <w:marLeft w:val="0"/>
      <w:marRight w:val="0"/>
      <w:marTop w:val="0"/>
      <w:marBottom w:val="0"/>
      <w:divBdr>
        <w:top w:val="none" w:sz="0" w:space="0" w:color="auto"/>
        <w:left w:val="none" w:sz="0" w:space="0" w:color="auto"/>
        <w:bottom w:val="none" w:sz="0" w:space="0" w:color="auto"/>
        <w:right w:val="none" w:sz="0" w:space="0" w:color="auto"/>
      </w:divBdr>
    </w:div>
    <w:div w:id="1827475956">
      <w:bodyDiv w:val="1"/>
      <w:marLeft w:val="0"/>
      <w:marRight w:val="0"/>
      <w:marTop w:val="0"/>
      <w:marBottom w:val="0"/>
      <w:divBdr>
        <w:top w:val="none" w:sz="0" w:space="0" w:color="auto"/>
        <w:left w:val="none" w:sz="0" w:space="0" w:color="auto"/>
        <w:bottom w:val="none" w:sz="0" w:space="0" w:color="auto"/>
        <w:right w:val="none" w:sz="0" w:space="0" w:color="auto"/>
      </w:divBdr>
    </w:div>
    <w:div w:id="1930307809">
      <w:bodyDiv w:val="1"/>
      <w:marLeft w:val="0"/>
      <w:marRight w:val="0"/>
      <w:marTop w:val="0"/>
      <w:marBottom w:val="0"/>
      <w:divBdr>
        <w:top w:val="none" w:sz="0" w:space="0" w:color="auto"/>
        <w:left w:val="none" w:sz="0" w:space="0" w:color="auto"/>
        <w:bottom w:val="none" w:sz="0" w:space="0" w:color="auto"/>
        <w:right w:val="none" w:sz="0" w:space="0" w:color="auto"/>
      </w:divBdr>
    </w:div>
    <w:div w:id="2015498464">
      <w:bodyDiv w:val="1"/>
      <w:marLeft w:val="0"/>
      <w:marRight w:val="0"/>
      <w:marTop w:val="0"/>
      <w:marBottom w:val="0"/>
      <w:divBdr>
        <w:top w:val="none" w:sz="0" w:space="0" w:color="auto"/>
        <w:left w:val="none" w:sz="0" w:space="0" w:color="auto"/>
        <w:bottom w:val="none" w:sz="0" w:space="0" w:color="auto"/>
        <w:right w:val="none" w:sz="0" w:space="0" w:color="auto"/>
      </w:divBdr>
    </w:div>
    <w:div w:id="2073113450">
      <w:bodyDiv w:val="1"/>
      <w:marLeft w:val="0"/>
      <w:marRight w:val="0"/>
      <w:marTop w:val="0"/>
      <w:marBottom w:val="0"/>
      <w:divBdr>
        <w:top w:val="none" w:sz="0" w:space="0" w:color="auto"/>
        <w:left w:val="none" w:sz="0" w:space="0" w:color="auto"/>
        <w:bottom w:val="none" w:sz="0" w:space="0" w:color="auto"/>
        <w:right w:val="none" w:sz="0" w:space="0" w:color="auto"/>
      </w:divBdr>
    </w:div>
    <w:div w:id="20801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3.wmf"/><Relationship Id="rId21" Type="http://schemas.openxmlformats.org/officeDocument/2006/relationships/hyperlink" Target="https://www.itu.int/rec/R-REC-SM.853/fr" TargetMode="External"/><Relationship Id="rId42" Type="http://schemas.openxmlformats.org/officeDocument/2006/relationships/hyperlink" Target="https://www.itu.int/rec/R-REC-SM.328/fr" TargetMode="External"/><Relationship Id="rId63" Type="http://schemas.openxmlformats.org/officeDocument/2006/relationships/image" Target="media/image16.wmf"/><Relationship Id="rId84" Type="http://schemas.openxmlformats.org/officeDocument/2006/relationships/oleObject" Target="embeddings/oleObject18.bin"/><Relationship Id="rId138" Type="http://schemas.openxmlformats.org/officeDocument/2006/relationships/oleObject" Target="embeddings/oleObject42.bin"/><Relationship Id="rId159" Type="http://schemas.openxmlformats.org/officeDocument/2006/relationships/image" Target="media/image73.jpeg"/><Relationship Id="rId170" Type="http://schemas.openxmlformats.org/officeDocument/2006/relationships/image" Target="media/image84.png"/><Relationship Id="rId191" Type="http://schemas.openxmlformats.org/officeDocument/2006/relationships/image" Target="media/image97.wmf"/><Relationship Id="rId205" Type="http://schemas.openxmlformats.org/officeDocument/2006/relationships/image" Target="media/image105.wmf"/><Relationship Id="rId226" Type="http://schemas.openxmlformats.org/officeDocument/2006/relationships/hyperlink" Target="https://www.itu.int/rec/R-REC-SM.329/fr" TargetMode="External"/><Relationship Id="rId107" Type="http://schemas.openxmlformats.org/officeDocument/2006/relationships/image" Target="media/image38.wmf"/><Relationship Id="rId11" Type="http://schemas.openxmlformats.org/officeDocument/2006/relationships/hyperlink" Target="https://www.itu.int/publ/R-REC/en" TargetMode="External"/><Relationship Id="rId32" Type="http://schemas.openxmlformats.org/officeDocument/2006/relationships/hyperlink" Target="https://www.itu.int/itu-t/recommendations/rec.aspx?rec=1683&amp;lang=fr" TargetMode="External"/><Relationship Id="rId53" Type="http://schemas.openxmlformats.org/officeDocument/2006/relationships/image" Target="media/image10.wmf"/><Relationship Id="rId74" Type="http://schemas.openxmlformats.org/officeDocument/2006/relationships/image" Target="media/image21.jpeg"/><Relationship Id="rId128" Type="http://schemas.openxmlformats.org/officeDocument/2006/relationships/oleObject" Target="embeddings/oleObject40.bin"/><Relationship Id="rId149" Type="http://schemas.openxmlformats.org/officeDocument/2006/relationships/oleObject" Target="embeddings/oleObject46.bin"/><Relationship Id="rId5" Type="http://schemas.openxmlformats.org/officeDocument/2006/relationships/footnotes" Target="footnotes.xml"/><Relationship Id="rId95" Type="http://schemas.openxmlformats.org/officeDocument/2006/relationships/image" Target="media/image32.wmf"/><Relationship Id="rId160" Type="http://schemas.openxmlformats.org/officeDocument/2006/relationships/image" Target="media/image74.jpeg"/><Relationship Id="rId181" Type="http://schemas.openxmlformats.org/officeDocument/2006/relationships/image" Target="media/image90.wmf"/><Relationship Id="rId216" Type="http://schemas.openxmlformats.org/officeDocument/2006/relationships/image" Target="media/image115.wmf"/><Relationship Id="rId237" Type="http://schemas.openxmlformats.org/officeDocument/2006/relationships/image" Target="media/image129.wmf"/><Relationship Id="rId22" Type="http://schemas.openxmlformats.org/officeDocument/2006/relationships/hyperlink" Target="https://www.itu.int/rec/R-REC-BS.1114/fr" TargetMode="External"/><Relationship Id="rId43" Type="http://schemas.openxmlformats.org/officeDocument/2006/relationships/hyperlink" Target="https://www.itu.int/rec/R-REC-SM.329/fr" TargetMode="External"/><Relationship Id="rId64" Type="http://schemas.openxmlformats.org/officeDocument/2006/relationships/oleObject" Target="embeddings/oleObject8.bin"/><Relationship Id="rId118" Type="http://schemas.openxmlformats.org/officeDocument/2006/relationships/oleObject" Target="embeddings/oleObject35.bin"/><Relationship Id="rId139" Type="http://schemas.openxmlformats.org/officeDocument/2006/relationships/image" Target="media/image57.jpeg"/><Relationship Id="rId85" Type="http://schemas.openxmlformats.org/officeDocument/2006/relationships/image" Target="media/image27.wmf"/><Relationship Id="rId150" Type="http://schemas.openxmlformats.org/officeDocument/2006/relationships/image" Target="media/image64.jpeg"/><Relationship Id="rId171" Type="http://schemas.openxmlformats.org/officeDocument/2006/relationships/image" Target="media/image85.wmf"/><Relationship Id="rId192" Type="http://schemas.openxmlformats.org/officeDocument/2006/relationships/oleObject" Target="embeddings/oleObject59.bin"/><Relationship Id="rId206" Type="http://schemas.openxmlformats.org/officeDocument/2006/relationships/oleObject" Target="embeddings/oleObject65.bin"/><Relationship Id="rId227" Type="http://schemas.openxmlformats.org/officeDocument/2006/relationships/image" Target="media/image122.png"/><Relationship Id="rId12" Type="http://schemas.openxmlformats.org/officeDocument/2006/relationships/hyperlink" Target="https://www.itu.int/publ/R-REC/fr" TargetMode="External"/><Relationship Id="rId33" Type="http://schemas.openxmlformats.org/officeDocument/2006/relationships/hyperlink" Target="https://www.itu.int/pub/R-REP-SM.2048/fr" TargetMode="External"/><Relationship Id="rId108" Type="http://schemas.openxmlformats.org/officeDocument/2006/relationships/oleObject" Target="embeddings/oleObject30.bin"/><Relationship Id="rId129" Type="http://schemas.openxmlformats.org/officeDocument/2006/relationships/image" Target="media/image49.wmf"/><Relationship Id="rId54" Type="http://schemas.openxmlformats.org/officeDocument/2006/relationships/oleObject" Target="embeddings/oleObject4.bin"/><Relationship Id="rId75" Type="http://schemas.openxmlformats.org/officeDocument/2006/relationships/image" Target="media/image22.wmf"/><Relationship Id="rId96" Type="http://schemas.openxmlformats.org/officeDocument/2006/relationships/oleObject" Target="embeddings/oleObject24.bin"/><Relationship Id="rId140" Type="http://schemas.openxmlformats.org/officeDocument/2006/relationships/image" Target="media/image58.jpeg"/><Relationship Id="rId161" Type="http://schemas.openxmlformats.org/officeDocument/2006/relationships/image" Target="media/image75.jpeg"/><Relationship Id="rId182" Type="http://schemas.openxmlformats.org/officeDocument/2006/relationships/oleObject" Target="embeddings/oleObject52.bin"/><Relationship Id="rId217" Type="http://schemas.openxmlformats.org/officeDocument/2006/relationships/oleObject" Target="embeddings/oleObject66.bin"/><Relationship Id="rId6" Type="http://schemas.openxmlformats.org/officeDocument/2006/relationships/endnotes" Target="endnotes.xml"/><Relationship Id="rId238" Type="http://schemas.openxmlformats.org/officeDocument/2006/relationships/oleObject" Target="embeddings/oleObject72.bin"/><Relationship Id="rId23" Type="http://schemas.openxmlformats.org/officeDocument/2006/relationships/hyperlink" Target="https://www.itu.int/rec/R-REC-SM.1138/en" TargetMode="External"/><Relationship Id="rId119" Type="http://schemas.openxmlformats.org/officeDocument/2006/relationships/image" Target="media/image44.wmf"/><Relationship Id="rId44" Type="http://schemas.openxmlformats.org/officeDocument/2006/relationships/hyperlink" Target="https://www.itu.int/rec/R-REC-SM.329/fr" TargetMode="External"/><Relationship Id="rId65" Type="http://schemas.openxmlformats.org/officeDocument/2006/relationships/image" Target="media/image17.wmf"/><Relationship Id="rId86" Type="http://schemas.openxmlformats.org/officeDocument/2006/relationships/oleObject" Target="embeddings/oleObject19.bin"/><Relationship Id="rId130" Type="http://schemas.openxmlformats.org/officeDocument/2006/relationships/oleObject" Target="embeddings/oleObject41.bin"/><Relationship Id="rId151" Type="http://schemas.openxmlformats.org/officeDocument/2006/relationships/image" Target="media/image65.jpeg"/><Relationship Id="rId172" Type="http://schemas.openxmlformats.org/officeDocument/2006/relationships/oleObject" Target="embeddings/oleObject47.bin"/><Relationship Id="rId193" Type="http://schemas.openxmlformats.org/officeDocument/2006/relationships/image" Target="media/image98.wmf"/><Relationship Id="rId207" Type="http://schemas.openxmlformats.org/officeDocument/2006/relationships/image" Target="media/image106.jpeg"/><Relationship Id="rId228" Type="http://schemas.openxmlformats.org/officeDocument/2006/relationships/image" Target="media/image123.jpeg"/><Relationship Id="rId13" Type="http://schemas.openxmlformats.org/officeDocument/2006/relationships/header" Target="header3.xml"/><Relationship Id="rId109" Type="http://schemas.openxmlformats.org/officeDocument/2006/relationships/image" Target="media/image39.wmf"/><Relationship Id="rId34" Type="http://schemas.openxmlformats.org/officeDocument/2006/relationships/hyperlink" Target="https://www.itu.int/rec/R-REC-SM.329/fr" TargetMode="External"/><Relationship Id="rId55" Type="http://schemas.openxmlformats.org/officeDocument/2006/relationships/image" Target="media/image11.wmf"/><Relationship Id="rId76" Type="http://schemas.openxmlformats.org/officeDocument/2006/relationships/oleObject" Target="embeddings/oleObject14.bin"/><Relationship Id="rId97" Type="http://schemas.openxmlformats.org/officeDocument/2006/relationships/image" Target="media/image33.wmf"/><Relationship Id="rId120" Type="http://schemas.openxmlformats.org/officeDocument/2006/relationships/oleObject" Target="embeddings/oleObject36.bin"/><Relationship Id="rId141" Type="http://schemas.openxmlformats.org/officeDocument/2006/relationships/image" Target="media/image59.wmf"/><Relationship Id="rId7" Type="http://schemas.openxmlformats.org/officeDocument/2006/relationships/header" Target="header1.xml"/><Relationship Id="rId162" Type="http://schemas.openxmlformats.org/officeDocument/2006/relationships/image" Target="media/image76.jpeg"/><Relationship Id="rId183" Type="http://schemas.openxmlformats.org/officeDocument/2006/relationships/image" Target="media/image91.wmf"/><Relationship Id="rId218" Type="http://schemas.openxmlformats.org/officeDocument/2006/relationships/image" Target="media/image116.wmf"/><Relationship Id="rId239" Type="http://schemas.openxmlformats.org/officeDocument/2006/relationships/image" Target="media/image130.jpeg"/><Relationship Id="rId24" Type="http://schemas.openxmlformats.org/officeDocument/2006/relationships/hyperlink" Target="https://www.itu.int/rec/R-REC-M.1177/fr" TargetMode="External"/><Relationship Id="rId45" Type="http://schemas.openxmlformats.org/officeDocument/2006/relationships/image" Target="media/image5.jpeg"/><Relationship Id="rId66" Type="http://schemas.openxmlformats.org/officeDocument/2006/relationships/oleObject" Target="embeddings/oleObject9.bin"/><Relationship Id="rId87" Type="http://schemas.openxmlformats.org/officeDocument/2006/relationships/image" Target="media/image28.wmf"/><Relationship Id="rId110" Type="http://schemas.openxmlformats.org/officeDocument/2006/relationships/oleObject" Target="embeddings/oleObject31.bin"/><Relationship Id="rId131" Type="http://schemas.openxmlformats.org/officeDocument/2006/relationships/image" Target="media/image50.jpeg"/><Relationship Id="rId152" Type="http://schemas.openxmlformats.org/officeDocument/2006/relationships/image" Target="media/image66.jpeg"/><Relationship Id="rId173" Type="http://schemas.openxmlformats.org/officeDocument/2006/relationships/image" Target="media/image86.wmf"/><Relationship Id="rId194" Type="http://schemas.openxmlformats.org/officeDocument/2006/relationships/oleObject" Target="embeddings/oleObject60.bin"/><Relationship Id="rId208" Type="http://schemas.openxmlformats.org/officeDocument/2006/relationships/image" Target="media/image107.jpeg"/><Relationship Id="rId229" Type="http://schemas.openxmlformats.org/officeDocument/2006/relationships/image" Target="media/image124.wmf"/><Relationship Id="rId240" Type="http://schemas.openxmlformats.org/officeDocument/2006/relationships/header" Target="header5.xml"/><Relationship Id="rId14" Type="http://schemas.openxmlformats.org/officeDocument/2006/relationships/header" Target="header4.xml"/><Relationship Id="rId35" Type="http://schemas.openxmlformats.org/officeDocument/2006/relationships/hyperlink" Target="https://www.itu.int/rec/R-REC-SM.329/fr" TargetMode="External"/><Relationship Id="rId56" Type="http://schemas.openxmlformats.org/officeDocument/2006/relationships/oleObject" Target="embeddings/oleObject5.bin"/><Relationship Id="rId77" Type="http://schemas.openxmlformats.org/officeDocument/2006/relationships/image" Target="media/image23.wmf"/><Relationship Id="rId100" Type="http://schemas.openxmlformats.org/officeDocument/2006/relationships/oleObject" Target="embeddings/oleObject26.bin"/><Relationship Id="rId8" Type="http://schemas.openxmlformats.org/officeDocument/2006/relationships/header" Target="header2.xml"/><Relationship Id="rId98" Type="http://schemas.openxmlformats.org/officeDocument/2006/relationships/oleObject" Target="embeddings/oleObject25.bin"/><Relationship Id="rId121" Type="http://schemas.openxmlformats.org/officeDocument/2006/relationships/image" Target="media/image45.wmf"/><Relationship Id="rId142" Type="http://schemas.openxmlformats.org/officeDocument/2006/relationships/oleObject" Target="embeddings/oleObject43.bin"/><Relationship Id="rId163" Type="http://schemas.openxmlformats.org/officeDocument/2006/relationships/image" Target="media/image77.jpeg"/><Relationship Id="rId184" Type="http://schemas.openxmlformats.org/officeDocument/2006/relationships/oleObject" Target="embeddings/oleObject53.bin"/><Relationship Id="rId219" Type="http://schemas.openxmlformats.org/officeDocument/2006/relationships/oleObject" Target="embeddings/oleObject67.bin"/><Relationship Id="rId230" Type="http://schemas.openxmlformats.org/officeDocument/2006/relationships/oleObject" Target="embeddings/oleObject69.bin"/><Relationship Id="rId25" Type="http://schemas.openxmlformats.org/officeDocument/2006/relationships/hyperlink" Target="https://www.itu.int/rec/R-REC-BT.1306/fr" TargetMode="External"/><Relationship Id="rId46" Type="http://schemas.openxmlformats.org/officeDocument/2006/relationships/image" Target="media/image6.jpeg"/><Relationship Id="rId67" Type="http://schemas.openxmlformats.org/officeDocument/2006/relationships/image" Target="media/image18.wmf"/><Relationship Id="rId88" Type="http://schemas.openxmlformats.org/officeDocument/2006/relationships/oleObject" Target="embeddings/oleObject20.bin"/><Relationship Id="rId111" Type="http://schemas.openxmlformats.org/officeDocument/2006/relationships/image" Target="media/image40.wmf"/><Relationship Id="rId132" Type="http://schemas.openxmlformats.org/officeDocument/2006/relationships/image" Target="media/image51.jpeg"/><Relationship Id="rId153" Type="http://schemas.openxmlformats.org/officeDocument/2006/relationships/image" Target="media/image67.jpeg"/><Relationship Id="rId174" Type="http://schemas.openxmlformats.org/officeDocument/2006/relationships/oleObject" Target="embeddings/oleObject48.bin"/><Relationship Id="rId195" Type="http://schemas.openxmlformats.org/officeDocument/2006/relationships/image" Target="media/image99.wmf"/><Relationship Id="rId209" Type="http://schemas.openxmlformats.org/officeDocument/2006/relationships/image" Target="media/image108.jpeg"/><Relationship Id="rId220" Type="http://schemas.openxmlformats.org/officeDocument/2006/relationships/image" Target="media/image117.wmf"/><Relationship Id="rId241" Type="http://schemas.openxmlformats.org/officeDocument/2006/relationships/header" Target="header6.xml"/><Relationship Id="rId15" Type="http://schemas.openxmlformats.org/officeDocument/2006/relationships/hyperlink" Target="https://www.itu.int/rec/R-REC-SM.328/fr" TargetMode="External"/><Relationship Id="rId36" Type="http://schemas.openxmlformats.org/officeDocument/2006/relationships/hyperlink" Target="https://www.itu.int/rec/R-REC-SM.1539/fr" TargetMode="External"/><Relationship Id="rId57" Type="http://schemas.openxmlformats.org/officeDocument/2006/relationships/image" Target="media/image12.png"/><Relationship Id="rId106" Type="http://schemas.openxmlformats.org/officeDocument/2006/relationships/oleObject" Target="embeddings/oleObject29.bin"/><Relationship Id="rId127" Type="http://schemas.openxmlformats.org/officeDocument/2006/relationships/image" Target="media/image48.wmf"/><Relationship Id="rId10" Type="http://schemas.openxmlformats.org/officeDocument/2006/relationships/hyperlink" Target="http://www.itu.int/ITU-R/go/patents/fr" TargetMode="External"/><Relationship Id="rId31" Type="http://schemas.openxmlformats.org/officeDocument/2006/relationships/hyperlink" Target="https://www.itu.int/pub/R-REP-SM.2048/fr" TargetMode="External"/><Relationship Id="rId52" Type="http://schemas.openxmlformats.org/officeDocument/2006/relationships/oleObject" Target="embeddings/oleObject3.bin"/><Relationship Id="rId73" Type="http://schemas.openxmlformats.org/officeDocument/2006/relationships/oleObject" Target="embeddings/oleObject13.bin"/><Relationship Id="rId78" Type="http://schemas.openxmlformats.org/officeDocument/2006/relationships/oleObject" Target="embeddings/oleObject15.bin"/><Relationship Id="rId94" Type="http://schemas.openxmlformats.org/officeDocument/2006/relationships/oleObject" Target="embeddings/oleObject23.bin"/><Relationship Id="rId99" Type="http://schemas.openxmlformats.org/officeDocument/2006/relationships/image" Target="media/image34.wmf"/><Relationship Id="rId101" Type="http://schemas.openxmlformats.org/officeDocument/2006/relationships/image" Target="media/image35.wmf"/><Relationship Id="rId122" Type="http://schemas.openxmlformats.org/officeDocument/2006/relationships/oleObject" Target="embeddings/oleObject37.bin"/><Relationship Id="rId143" Type="http://schemas.openxmlformats.org/officeDocument/2006/relationships/image" Target="media/image60.wmf"/><Relationship Id="rId148" Type="http://schemas.openxmlformats.org/officeDocument/2006/relationships/image" Target="media/image63.wmf"/><Relationship Id="rId164" Type="http://schemas.openxmlformats.org/officeDocument/2006/relationships/image" Target="media/image78.jpeg"/><Relationship Id="rId169" Type="http://schemas.openxmlformats.org/officeDocument/2006/relationships/image" Target="media/image83.png"/><Relationship Id="rId185" Type="http://schemas.openxmlformats.org/officeDocument/2006/relationships/image" Target="media/image94.wmf"/><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oleObject" Target="embeddings/oleObject51.bin"/><Relationship Id="rId210" Type="http://schemas.openxmlformats.org/officeDocument/2006/relationships/image" Target="media/image109.jpeg"/><Relationship Id="rId215" Type="http://schemas.openxmlformats.org/officeDocument/2006/relationships/image" Target="media/image114.jpeg"/><Relationship Id="rId236" Type="http://schemas.openxmlformats.org/officeDocument/2006/relationships/image" Target="media/image128.jpeg"/><Relationship Id="rId26" Type="http://schemas.openxmlformats.org/officeDocument/2006/relationships/hyperlink" Target="https://www.itu.int/rec/R-REC-F.1399/fr" TargetMode="External"/><Relationship Id="rId231" Type="http://schemas.openxmlformats.org/officeDocument/2006/relationships/image" Target="media/image125.wmf"/><Relationship Id="rId47" Type="http://schemas.openxmlformats.org/officeDocument/2006/relationships/image" Target="media/image7.wmf"/><Relationship Id="rId68" Type="http://schemas.openxmlformats.org/officeDocument/2006/relationships/oleObject" Target="embeddings/oleObject10.bin"/><Relationship Id="rId89" Type="http://schemas.openxmlformats.org/officeDocument/2006/relationships/image" Target="media/image29.wmf"/><Relationship Id="rId112" Type="http://schemas.openxmlformats.org/officeDocument/2006/relationships/oleObject" Target="embeddings/oleObject32.bin"/><Relationship Id="rId133" Type="http://schemas.openxmlformats.org/officeDocument/2006/relationships/image" Target="media/image52.jpeg"/><Relationship Id="rId154" Type="http://schemas.openxmlformats.org/officeDocument/2006/relationships/image" Target="media/image68.jpeg"/><Relationship Id="rId175" Type="http://schemas.openxmlformats.org/officeDocument/2006/relationships/image" Target="media/image87.wmf"/><Relationship Id="rId196" Type="http://schemas.openxmlformats.org/officeDocument/2006/relationships/oleObject" Target="embeddings/oleObject61.bin"/><Relationship Id="rId200" Type="http://schemas.openxmlformats.org/officeDocument/2006/relationships/oleObject" Target="embeddings/oleObject63.bin"/><Relationship Id="rId16" Type="http://schemas.openxmlformats.org/officeDocument/2006/relationships/hyperlink" Target="https://www.itu.int/rec/R-REC-SM.329/fr" TargetMode="External"/><Relationship Id="rId221" Type="http://schemas.openxmlformats.org/officeDocument/2006/relationships/oleObject" Target="embeddings/oleObject68.bin"/><Relationship Id="rId242" Type="http://schemas.openxmlformats.org/officeDocument/2006/relationships/footer" Target="footer2.xml"/><Relationship Id="rId37" Type="http://schemas.openxmlformats.org/officeDocument/2006/relationships/hyperlink" Target="https://www.itu.int/rec/R-REC-SM.328/fr" TargetMode="External"/><Relationship Id="rId58" Type="http://schemas.openxmlformats.org/officeDocument/2006/relationships/image" Target="media/image13.png"/><Relationship Id="rId79" Type="http://schemas.openxmlformats.org/officeDocument/2006/relationships/image" Target="media/image24.wmf"/><Relationship Id="rId102" Type="http://schemas.openxmlformats.org/officeDocument/2006/relationships/oleObject" Target="embeddings/oleObject27.bin"/><Relationship Id="rId123" Type="http://schemas.openxmlformats.org/officeDocument/2006/relationships/image" Target="media/image46.wmf"/><Relationship Id="rId144" Type="http://schemas.openxmlformats.org/officeDocument/2006/relationships/oleObject" Target="embeddings/oleObject44.bin"/><Relationship Id="rId90" Type="http://schemas.openxmlformats.org/officeDocument/2006/relationships/oleObject" Target="embeddings/oleObject21.bin"/><Relationship Id="rId165" Type="http://schemas.openxmlformats.org/officeDocument/2006/relationships/image" Target="media/image79.png"/><Relationship Id="rId186" Type="http://schemas.openxmlformats.org/officeDocument/2006/relationships/oleObject" Target="embeddings/oleObject56.bin"/><Relationship Id="rId211" Type="http://schemas.openxmlformats.org/officeDocument/2006/relationships/image" Target="media/image110.png"/><Relationship Id="rId232" Type="http://schemas.openxmlformats.org/officeDocument/2006/relationships/oleObject" Target="embeddings/oleObject70.bin"/><Relationship Id="rId27" Type="http://schemas.openxmlformats.org/officeDocument/2006/relationships/hyperlink" Target="https://www.itu.int/rec/R-REC-F.1488/fr" TargetMode="External"/><Relationship Id="rId48" Type="http://schemas.openxmlformats.org/officeDocument/2006/relationships/oleObject" Target="embeddings/oleObject1.bin"/><Relationship Id="rId69" Type="http://schemas.openxmlformats.org/officeDocument/2006/relationships/image" Target="media/image19.wmf"/><Relationship Id="rId113" Type="http://schemas.openxmlformats.org/officeDocument/2006/relationships/image" Target="media/image41.wmf"/><Relationship Id="rId134" Type="http://schemas.openxmlformats.org/officeDocument/2006/relationships/image" Target="media/image53.jpeg"/><Relationship Id="rId80" Type="http://schemas.openxmlformats.org/officeDocument/2006/relationships/oleObject" Target="embeddings/oleObject16.bin"/><Relationship Id="rId155" Type="http://schemas.openxmlformats.org/officeDocument/2006/relationships/image" Target="media/image69.jpeg"/><Relationship Id="rId176" Type="http://schemas.openxmlformats.org/officeDocument/2006/relationships/oleObject" Target="embeddings/oleObject49.bin"/><Relationship Id="rId197" Type="http://schemas.openxmlformats.org/officeDocument/2006/relationships/image" Target="media/image100.wmf"/><Relationship Id="rId201" Type="http://schemas.openxmlformats.org/officeDocument/2006/relationships/image" Target="media/image102.wmf"/><Relationship Id="rId222" Type="http://schemas.openxmlformats.org/officeDocument/2006/relationships/image" Target="media/image118.jpeg"/><Relationship Id="rId243" Type="http://schemas.openxmlformats.org/officeDocument/2006/relationships/fontTable" Target="fontTable.xml"/><Relationship Id="rId17" Type="http://schemas.openxmlformats.org/officeDocument/2006/relationships/hyperlink" Target="https://www.itu.int/rec/R-REC-P.530/fr" TargetMode="External"/><Relationship Id="rId38" Type="http://schemas.openxmlformats.org/officeDocument/2006/relationships/hyperlink" Target="https://www.itu.int/rec/R-REC-SM.1540/fr" TargetMode="External"/><Relationship Id="rId59" Type="http://schemas.openxmlformats.org/officeDocument/2006/relationships/image" Target="media/image14.wmf"/><Relationship Id="rId103" Type="http://schemas.openxmlformats.org/officeDocument/2006/relationships/image" Target="media/image36.wmf"/><Relationship Id="rId124" Type="http://schemas.openxmlformats.org/officeDocument/2006/relationships/oleObject" Target="embeddings/oleObject38.bin"/><Relationship Id="rId70" Type="http://schemas.openxmlformats.org/officeDocument/2006/relationships/oleObject" Target="embeddings/oleObject11.bin"/><Relationship Id="rId91" Type="http://schemas.openxmlformats.org/officeDocument/2006/relationships/image" Target="media/image30.wmf"/><Relationship Id="rId145" Type="http://schemas.openxmlformats.org/officeDocument/2006/relationships/image" Target="media/image61.jpeg"/><Relationship Id="rId166" Type="http://schemas.openxmlformats.org/officeDocument/2006/relationships/image" Target="media/image80.png"/><Relationship Id="rId187" Type="http://schemas.openxmlformats.org/officeDocument/2006/relationships/image" Target="media/image95.wmf"/><Relationship Id="rId1" Type="http://schemas.openxmlformats.org/officeDocument/2006/relationships/numbering" Target="numbering.xml"/><Relationship Id="rId212" Type="http://schemas.openxmlformats.org/officeDocument/2006/relationships/image" Target="media/image111.jpeg"/><Relationship Id="rId233" Type="http://schemas.openxmlformats.org/officeDocument/2006/relationships/image" Target="media/image126.wmf"/><Relationship Id="rId28" Type="http://schemas.openxmlformats.org/officeDocument/2006/relationships/hyperlink" Target="https://www.itu.int/rec/R-REC-SM.1539/fr" TargetMode="External"/><Relationship Id="rId49" Type="http://schemas.openxmlformats.org/officeDocument/2006/relationships/image" Target="media/image8.wmf"/><Relationship Id="rId114" Type="http://schemas.openxmlformats.org/officeDocument/2006/relationships/oleObject" Target="embeddings/oleObject33.bin"/><Relationship Id="rId60" Type="http://schemas.openxmlformats.org/officeDocument/2006/relationships/oleObject" Target="embeddings/oleObject6.bin"/><Relationship Id="rId81" Type="http://schemas.openxmlformats.org/officeDocument/2006/relationships/image" Target="media/image25.wmf"/><Relationship Id="rId135" Type="http://schemas.openxmlformats.org/officeDocument/2006/relationships/image" Target="media/image54.jpeg"/><Relationship Id="rId156" Type="http://schemas.openxmlformats.org/officeDocument/2006/relationships/image" Target="media/image70.jpeg"/><Relationship Id="rId177" Type="http://schemas.openxmlformats.org/officeDocument/2006/relationships/image" Target="media/image88.wmf"/><Relationship Id="rId198" Type="http://schemas.openxmlformats.org/officeDocument/2006/relationships/oleObject" Target="embeddings/oleObject62.bin"/><Relationship Id="rId202" Type="http://schemas.openxmlformats.org/officeDocument/2006/relationships/oleObject" Target="embeddings/oleObject64.bin"/><Relationship Id="rId223" Type="http://schemas.openxmlformats.org/officeDocument/2006/relationships/image" Target="media/image119.jpeg"/><Relationship Id="rId244" Type="http://schemas.openxmlformats.org/officeDocument/2006/relationships/theme" Target="theme/theme1.xml"/><Relationship Id="rId18" Type="http://schemas.openxmlformats.org/officeDocument/2006/relationships/hyperlink" Target="https://www.itu.int/rec/R-REC-F.746/fr" TargetMode="External"/><Relationship Id="rId39" Type="http://schemas.openxmlformats.org/officeDocument/2006/relationships/image" Target="media/image3.jpeg"/><Relationship Id="rId50" Type="http://schemas.openxmlformats.org/officeDocument/2006/relationships/oleObject" Target="embeddings/oleObject2.bin"/><Relationship Id="rId104" Type="http://schemas.openxmlformats.org/officeDocument/2006/relationships/oleObject" Target="embeddings/oleObject28.bin"/><Relationship Id="rId125" Type="http://schemas.openxmlformats.org/officeDocument/2006/relationships/image" Target="media/image47.wmf"/><Relationship Id="rId146" Type="http://schemas.openxmlformats.org/officeDocument/2006/relationships/image" Target="media/image62.wmf"/><Relationship Id="rId167" Type="http://schemas.openxmlformats.org/officeDocument/2006/relationships/image" Target="media/image81.png"/><Relationship Id="rId188" Type="http://schemas.openxmlformats.org/officeDocument/2006/relationships/oleObject" Target="embeddings/oleObject57.bin"/><Relationship Id="rId71" Type="http://schemas.openxmlformats.org/officeDocument/2006/relationships/oleObject" Target="embeddings/oleObject12.bin"/><Relationship Id="rId92" Type="http://schemas.openxmlformats.org/officeDocument/2006/relationships/oleObject" Target="embeddings/oleObject22.bin"/><Relationship Id="rId213" Type="http://schemas.openxmlformats.org/officeDocument/2006/relationships/image" Target="media/image112.jpeg"/><Relationship Id="rId234" Type="http://schemas.openxmlformats.org/officeDocument/2006/relationships/oleObject" Target="embeddings/oleObject71.bin"/><Relationship Id="rId2" Type="http://schemas.openxmlformats.org/officeDocument/2006/relationships/styles" Target="styles.xml"/><Relationship Id="rId29" Type="http://schemas.openxmlformats.org/officeDocument/2006/relationships/hyperlink" Target="https://www.itu.int/rec/R-REC-SM.1540/fr" TargetMode="External"/><Relationship Id="rId40" Type="http://schemas.openxmlformats.org/officeDocument/2006/relationships/image" Target="media/image4.jpeg"/><Relationship Id="rId115" Type="http://schemas.openxmlformats.org/officeDocument/2006/relationships/image" Target="media/image42.wmf"/><Relationship Id="rId136" Type="http://schemas.openxmlformats.org/officeDocument/2006/relationships/image" Target="media/image55.jpeg"/><Relationship Id="rId157" Type="http://schemas.openxmlformats.org/officeDocument/2006/relationships/image" Target="media/image71.jpeg"/><Relationship Id="rId178" Type="http://schemas.openxmlformats.org/officeDocument/2006/relationships/oleObject" Target="embeddings/oleObject50.bin"/><Relationship Id="rId61" Type="http://schemas.openxmlformats.org/officeDocument/2006/relationships/image" Target="media/image15.wmf"/><Relationship Id="rId82" Type="http://schemas.openxmlformats.org/officeDocument/2006/relationships/oleObject" Target="embeddings/oleObject17.bin"/><Relationship Id="rId199" Type="http://schemas.openxmlformats.org/officeDocument/2006/relationships/image" Target="media/image101.wmf"/><Relationship Id="rId203" Type="http://schemas.openxmlformats.org/officeDocument/2006/relationships/image" Target="media/image103.jpeg"/><Relationship Id="rId19" Type="http://schemas.openxmlformats.org/officeDocument/2006/relationships/hyperlink" Target="https://www.itu.int/rec/R-REC-F.748/fr" TargetMode="External"/><Relationship Id="rId224" Type="http://schemas.openxmlformats.org/officeDocument/2006/relationships/image" Target="media/image120.jpeg"/><Relationship Id="rId30" Type="http://schemas.openxmlformats.org/officeDocument/2006/relationships/hyperlink" Target="https://www.itu.int/rec/R-REC-BS.1615/fr" TargetMode="External"/><Relationship Id="rId105" Type="http://schemas.openxmlformats.org/officeDocument/2006/relationships/image" Target="media/image37.wmf"/><Relationship Id="rId126" Type="http://schemas.openxmlformats.org/officeDocument/2006/relationships/oleObject" Target="embeddings/oleObject39.bin"/><Relationship Id="rId147" Type="http://schemas.openxmlformats.org/officeDocument/2006/relationships/oleObject" Target="embeddings/oleObject45.bin"/><Relationship Id="rId168" Type="http://schemas.openxmlformats.org/officeDocument/2006/relationships/image" Target="media/image82.png"/><Relationship Id="rId51" Type="http://schemas.openxmlformats.org/officeDocument/2006/relationships/image" Target="media/image9.wmf"/><Relationship Id="rId72" Type="http://schemas.openxmlformats.org/officeDocument/2006/relationships/image" Target="media/image20.wmf"/><Relationship Id="rId93" Type="http://schemas.openxmlformats.org/officeDocument/2006/relationships/image" Target="media/image31.wmf"/><Relationship Id="rId189" Type="http://schemas.openxmlformats.org/officeDocument/2006/relationships/image" Target="media/image96.wmf"/><Relationship Id="rId3" Type="http://schemas.openxmlformats.org/officeDocument/2006/relationships/settings" Target="settings.xml"/><Relationship Id="rId214" Type="http://schemas.openxmlformats.org/officeDocument/2006/relationships/image" Target="media/image113.jpeg"/><Relationship Id="rId235" Type="http://schemas.openxmlformats.org/officeDocument/2006/relationships/image" Target="media/image127.jpeg"/><Relationship Id="rId116" Type="http://schemas.openxmlformats.org/officeDocument/2006/relationships/oleObject" Target="embeddings/oleObject34.bin"/><Relationship Id="rId137" Type="http://schemas.openxmlformats.org/officeDocument/2006/relationships/image" Target="media/image56.wmf"/><Relationship Id="rId158" Type="http://schemas.openxmlformats.org/officeDocument/2006/relationships/image" Target="media/image72.jpeg"/><Relationship Id="rId20" Type="http://schemas.openxmlformats.org/officeDocument/2006/relationships/hyperlink" Target="https://www.itu.int/rec/R-REC-F.749/fr" TargetMode="External"/><Relationship Id="rId41" Type="http://schemas.openxmlformats.org/officeDocument/2006/relationships/hyperlink" Target="https://www.itu.int/pub/R-REP-SM.2048/fr" TargetMode="External"/><Relationship Id="rId62" Type="http://schemas.openxmlformats.org/officeDocument/2006/relationships/oleObject" Target="embeddings/oleObject7.bin"/><Relationship Id="rId83" Type="http://schemas.openxmlformats.org/officeDocument/2006/relationships/image" Target="media/image26.wmf"/><Relationship Id="rId179" Type="http://schemas.openxmlformats.org/officeDocument/2006/relationships/image" Target="media/image89.wmf"/><Relationship Id="rId190" Type="http://schemas.openxmlformats.org/officeDocument/2006/relationships/oleObject" Target="embeddings/oleObject58.bin"/><Relationship Id="rId204" Type="http://schemas.openxmlformats.org/officeDocument/2006/relationships/image" Target="media/image104.jpeg"/><Relationship Id="rId225" Type="http://schemas.openxmlformats.org/officeDocument/2006/relationships/image" Target="media/image121.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image" Target="media/image93.wmf"/><Relationship Id="rId2" Type="http://schemas.openxmlformats.org/officeDocument/2006/relationships/oleObject" Target="embeddings/oleObject54.bin"/><Relationship Id="rId1" Type="http://schemas.openxmlformats.org/officeDocument/2006/relationships/image" Target="media/image92.wmf"/><Relationship Id="rId4" Type="http://schemas.openxmlformats.org/officeDocument/2006/relationships/oleObject" Target="embeddings/oleObject55.bin"/></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onge\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766</TotalTime>
  <Pages>93</Pages>
  <Words>26582</Words>
  <Characters>139367</Characters>
  <Application>Microsoft Office Word</Application>
  <DocSecurity>0</DocSecurity>
  <Lines>1161</Lines>
  <Paragraphs>331</Paragraphs>
  <ScaleCrop>false</ScaleCrop>
  <HeadingPairs>
    <vt:vector size="2" baseType="variant">
      <vt:variant>
        <vt:lpstr>Title</vt:lpstr>
      </vt:variant>
      <vt:variant>
        <vt:i4>1</vt:i4>
      </vt:variant>
    </vt:vector>
  </HeadingPairs>
  <TitlesOfParts>
    <vt:vector size="1" baseType="lpstr">
      <vt:lpstr>Recommandation UIT-R SM.1541-7 (09/2024) – Rayonnements non désirés dans le domaine des émissions hors bande</vt:lpstr>
    </vt:vector>
  </TitlesOfParts>
  <Manager/>
  <Company>ITU</Company>
  <LinksUpToDate>false</LinksUpToDate>
  <CharactersWithSpaces>165618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SM.1541-7 (09/2024) – Rayonnements non désirés dans le domaine des émissions hors bande</dc:title>
  <dc:subject/>
  <dc:creator>French</dc:creator>
  <cp:keywords/>
  <dc:description/>
  <cp:lastModifiedBy>French</cp:lastModifiedBy>
  <cp:revision>61</cp:revision>
  <cp:lastPrinted>2025-02-19T13:06:00Z</cp:lastPrinted>
  <dcterms:created xsi:type="dcterms:W3CDTF">2025-02-18T07:27:00Z</dcterms:created>
  <dcterms:modified xsi:type="dcterms:W3CDTF">2025-02-19T13:22:00Z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