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1511A6" w:rsidRDefault="00FE79FE" w:rsidP="0040081F">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 xml:space="preserve">Recommendation  ITU-R  </w:t>
            </w:r>
            <w:r w:rsidR="00A62A14" w:rsidRPr="001511A6">
              <w:rPr>
                <w:rFonts w:ascii="Tahoma" w:hAnsi="Tahoma" w:cs="Tahoma"/>
                <w:b/>
                <w:bCs/>
                <w:iCs/>
                <w:color w:val="243285"/>
                <w:sz w:val="36"/>
                <w:szCs w:val="36"/>
                <w:lang w:val="en-US"/>
              </w:rPr>
              <w:t>S</w:t>
            </w:r>
            <w:r w:rsidRPr="001511A6">
              <w:rPr>
                <w:rFonts w:ascii="Tahoma" w:hAnsi="Tahoma" w:cs="Tahoma"/>
                <w:b/>
                <w:bCs/>
                <w:iCs/>
                <w:color w:val="243285"/>
                <w:sz w:val="36"/>
                <w:szCs w:val="36"/>
                <w:lang w:val="en-US"/>
              </w:rPr>
              <w:t>M.</w:t>
            </w:r>
            <w:r w:rsidR="000D4195">
              <w:rPr>
                <w:rFonts w:ascii="Tahoma" w:hAnsi="Tahoma" w:cs="Tahoma"/>
                <w:b/>
                <w:bCs/>
                <w:iCs/>
                <w:color w:val="243285"/>
                <w:sz w:val="36"/>
                <w:szCs w:val="36"/>
                <w:lang w:val="en-US"/>
              </w:rPr>
              <w:t>1541-4</w:t>
            </w:r>
          </w:p>
          <w:p w:rsidR="00FE79FE" w:rsidRPr="001511A6" w:rsidRDefault="00FE79FE" w:rsidP="000D4195">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40081F">
              <w:rPr>
                <w:rFonts w:ascii="Tahoma" w:hAnsi="Tahoma" w:cs="Tahoma"/>
                <w:b/>
                <w:bCs/>
                <w:iCs/>
                <w:color w:val="243285"/>
                <w:szCs w:val="24"/>
                <w:lang w:val="en-US"/>
              </w:rPr>
              <w:t>0</w:t>
            </w:r>
            <w:r w:rsidR="000D4195">
              <w:rPr>
                <w:rFonts w:ascii="Tahoma" w:hAnsi="Tahoma" w:cs="Tahoma"/>
                <w:b/>
                <w:bCs/>
                <w:iCs/>
                <w:color w:val="243285"/>
                <w:szCs w:val="24"/>
                <w:lang w:val="en-US"/>
              </w:rPr>
              <w:t>9</w:t>
            </w:r>
            <w:r w:rsidRPr="001511A6">
              <w:rPr>
                <w:rFonts w:ascii="Tahoma" w:hAnsi="Tahoma" w:cs="Tahoma"/>
                <w:b/>
                <w:bCs/>
                <w:iCs/>
                <w:color w:val="243285"/>
                <w:szCs w:val="24"/>
                <w:lang w:val="en-US"/>
              </w:rPr>
              <w:t>/</w:t>
            </w:r>
            <w:r w:rsidR="0040081F">
              <w:rPr>
                <w:rFonts w:ascii="Tahoma" w:hAnsi="Tahoma" w:cs="Tahoma"/>
                <w:b/>
                <w:bCs/>
                <w:iCs/>
                <w:color w:val="243285"/>
                <w:szCs w:val="24"/>
                <w:lang w:val="en-US"/>
              </w:rPr>
              <w:t>2011</w:t>
            </w:r>
            <w:r w:rsidRPr="001511A6">
              <w:rPr>
                <w:rFonts w:ascii="Tahoma" w:hAnsi="Tahoma" w:cs="Tahoma"/>
                <w:b/>
                <w:bCs/>
                <w:iCs/>
                <w:color w:val="243285"/>
                <w:szCs w:val="24"/>
                <w:lang w:val="en-US"/>
              </w:rPr>
              <w:t>)</w:t>
            </w:r>
          </w:p>
        </w:tc>
      </w:tr>
      <w:tr w:rsidR="00FE79FE" w:rsidRPr="00620821">
        <w:tc>
          <w:tcPr>
            <w:tcW w:w="10089" w:type="dxa"/>
          </w:tcPr>
          <w:p w:rsidR="00013002" w:rsidRPr="001511A6"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40081F" w:rsidP="00F76900">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 xml:space="preserve">Unwanted emissions in the </w:t>
            </w:r>
            <w:r w:rsidR="000D4195">
              <w:rPr>
                <w:rFonts w:ascii="Tahoma" w:hAnsi="Tahoma" w:cs="Tahoma"/>
                <w:b/>
                <w:bCs/>
                <w:iCs/>
                <w:color w:val="243285"/>
                <w:sz w:val="44"/>
                <w:szCs w:val="44"/>
                <w:lang w:val="en-US"/>
              </w:rPr>
              <w:br/>
            </w:r>
            <w:r>
              <w:rPr>
                <w:rFonts w:ascii="Tahoma" w:hAnsi="Tahoma" w:cs="Tahoma"/>
                <w:b/>
                <w:bCs/>
                <w:iCs/>
                <w:color w:val="243285"/>
                <w:sz w:val="44"/>
                <w:szCs w:val="44"/>
                <w:lang w:val="en-US"/>
              </w:rPr>
              <w:t>out-of-band domain</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9E3058" w:rsidRPr="000D4195" w:rsidRDefault="009E3058" w:rsidP="009E3058">
            <w:pPr>
              <w:spacing w:before="80" w:line="280" w:lineRule="exact"/>
              <w:ind w:right="640"/>
              <w:rPr>
                <w:rFonts w:ascii="Tahoma" w:hAnsi="Tahoma" w:cs="Tahoma"/>
                <w:b/>
                <w:bCs/>
                <w:iCs/>
                <w:color w:val="243285"/>
                <w:sz w:val="32"/>
                <w:szCs w:val="32"/>
                <w:lang w:val="en-US"/>
              </w:rPr>
            </w:pPr>
          </w:p>
          <w:p w:rsidR="009E3058" w:rsidRPr="000D4195" w:rsidRDefault="009E3058" w:rsidP="009E3058">
            <w:pPr>
              <w:spacing w:before="80" w:line="280" w:lineRule="exact"/>
              <w:ind w:right="640"/>
              <w:rPr>
                <w:rFonts w:ascii="Tahoma" w:hAnsi="Tahoma" w:cs="Tahoma"/>
                <w:b/>
                <w:bCs/>
                <w:iCs/>
                <w:color w:val="243285"/>
                <w:sz w:val="32"/>
                <w:szCs w:val="32"/>
                <w:lang w:val="en-US"/>
              </w:rPr>
            </w:pPr>
          </w:p>
          <w:p w:rsidR="009E3058" w:rsidRPr="000D4195" w:rsidRDefault="009E3058" w:rsidP="009E3058">
            <w:pPr>
              <w:spacing w:before="80" w:after="180" w:line="360" w:lineRule="exact"/>
              <w:ind w:right="720"/>
              <w:rPr>
                <w:rFonts w:ascii="Tahoma" w:hAnsi="Tahoma" w:cs="Tahoma"/>
                <w:b/>
                <w:bCs/>
                <w:iCs/>
                <w:color w:val="243285"/>
                <w:sz w:val="36"/>
                <w:szCs w:val="36"/>
                <w:lang w:val="en-US"/>
              </w:rPr>
            </w:pPr>
          </w:p>
          <w:p w:rsidR="00276D21" w:rsidRPr="001511A6" w:rsidRDefault="00276D21" w:rsidP="00013002">
            <w:pPr>
              <w:spacing w:before="80" w:after="180" w:line="360" w:lineRule="exact"/>
              <w:jc w:val="right"/>
              <w:rPr>
                <w:rFonts w:ascii="Tahoma" w:hAnsi="Tahoma" w:cs="Tahoma"/>
                <w:b/>
                <w:bCs/>
                <w:iCs/>
                <w:color w:val="243285"/>
                <w:sz w:val="36"/>
                <w:szCs w:val="36"/>
                <w:lang w:val="en-US"/>
              </w:rPr>
            </w:pPr>
          </w:p>
          <w:p w:rsidR="00013002" w:rsidRPr="001511A6" w:rsidRDefault="00A62A14" w:rsidP="00013002">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w:t>
            </w:r>
            <w:r w:rsidR="00FE79FE" w:rsidRPr="001511A6">
              <w:rPr>
                <w:rFonts w:ascii="Tahoma" w:hAnsi="Tahoma" w:cs="Tahoma"/>
                <w:b/>
                <w:bCs/>
                <w:iCs/>
                <w:color w:val="243285"/>
                <w:sz w:val="36"/>
                <w:szCs w:val="36"/>
                <w:lang w:val="en-US"/>
              </w:rPr>
              <w:t>M Series</w:t>
            </w:r>
          </w:p>
          <w:p w:rsidR="00FE79FE" w:rsidRPr="001511A6" w:rsidRDefault="00A62A14" w:rsidP="00FE79FE">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FE79FE" w:rsidRPr="001511A6" w:rsidRDefault="00FE79FE" w:rsidP="00FE79FE">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F074C2">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F074C2">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620821">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2" w:history="1">
              <w:r w:rsidR="00305A41">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620821">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tc>
          <w:tcPr>
            <w:tcW w:w="1140" w:type="dxa"/>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620821">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tc>
          <w:tcPr>
            <w:tcW w:w="1140" w:type="dxa"/>
            <w:shd w:val="clear" w:color="auto" w:fill="F3F3F3"/>
          </w:tcPr>
          <w:p w:rsidR="00A31928" w:rsidRPr="00906589" w:rsidRDefault="00A31928" w:rsidP="006B1D2B">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rsidR="00A31928" w:rsidRPr="00906589" w:rsidRDefault="00A31928" w:rsidP="006B1D2B">
            <w:pPr>
              <w:spacing w:before="30" w:after="30"/>
              <w:jc w:val="left"/>
              <w:rPr>
                <w:b/>
                <w:bCs/>
                <w:color w:val="000080"/>
                <w:sz w:val="20"/>
                <w:lang w:val="en-US"/>
              </w:rPr>
            </w:pPr>
            <w:r w:rsidRPr="00906589">
              <w:rPr>
                <w:b/>
                <w:bCs/>
                <w:color w:val="000080"/>
                <w:sz w:val="20"/>
                <w:lang w:val="en-US"/>
              </w:rPr>
              <w:t>Spectrum management</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620821">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620821">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871C5">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sidR="00A25DEC">
        <w:rPr>
          <w:sz w:val="20"/>
          <w:lang w:val="en-US"/>
        </w:rPr>
        <w:t>1</w:t>
      </w:r>
      <w:r w:rsidR="00B871C5">
        <w:rPr>
          <w:sz w:val="20"/>
          <w:lang w:val="en-US"/>
        </w:rPr>
        <w:t>1</w:t>
      </w:r>
    </w:p>
    <w:p w:rsidR="00470E28" w:rsidRDefault="00470E28" w:rsidP="00906589">
      <w:pPr>
        <w:jc w:val="center"/>
        <w:rPr>
          <w:sz w:val="22"/>
          <w:lang w:val="en-US"/>
        </w:rPr>
      </w:pPr>
    </w:p>
    <w:p w:rsidR="00586EF8" w:rsidRPr="00470E28" w:rsidRDefault="00586EF8" w:rsidP="00B871C5">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A25DEC">
        <w:rPr>
          <w:sz w:val="20"/>
          <w:lang w:val="en-US"/>
        </w:rPr>
        <w:t>1</w:t>
      </w:r>
      <w:r w:rsidR="00B871C5">
        <w:rPr>
          <w:sz w:val="20"/>
          <w:lang w:val="en-US"/>
        </w:rPr>
        <w:t>1</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Default="0040081F" w:rsidP="000D4195">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M.</w:t>
      </w:r>
      <w:r>
        <w:rPr>
          <w:rStyle w:val="href"/>
          <w:lang w:val="en-US"/>
        </w:rPr>
        <w:t>1541-</w:t>
      </w:r>
      <w:r w:rsidR="000D4195">
        <w:rPr>
          <w:rStyle w:val="href"/>
          <w:lang w:val="en-US"/>
        </w:rPr>
        <w:t>4</w:t>
      </w:r>
      <w:r w:rsidR="00F67ECF">
        <w:rPr>
          <w:rStyle w:val="FootnoteReference"/>
          <w:lang w:val="en-US"/>
        </w:rPr>
        <w:footnoteReference w:customMarkFollows="1" w:id="1"/>
        <w:t>*</w:t>
      </w:r>
    </w:p>
    <w:p w:rsidR="0040081F" w:rsidRDefault="0040081F" w:rsidP="00F67ECF">
      <w:pPr>
        <w:pStyle w:val="Rectitle"/>
        <w:rPr>
          <w:lang w:val="en-US"/>
        </w:rPr>
      </w:pPr>
      <w:bookmarkStart w:id="3" w:name="Pre_title"/>
      <w:r>
        <w:rPr>
          <w:lang w:val="en-US"/>
        </w:rPr>
        <w:t>Unwanted emissions in the out-of-band domain</w:t>
      </w:r>
      <w:bookmarkEnd w:id="3"/>
      <w:r w:rsidR="00F67ECF">
        <w:rPr>
          <w:rStyle w:val="FootnoteReference"/>
          <w:lang w:val="en-US"/>
        </w:rPr>
        <w:footnoteReference w:customMarkFollows="1" w:id="2"/>
        <w:t>**</w:t>
      </w:r>
    </w:p>
    <w:p w:rsidR="00F67ECF" w:rsidRDefault="00F67ECF" w:rsidP="00F67ECF">
      <w:pPr>
        <w:pStyle w:val="Recdate"/>
        <w:rPr>
          <w:lang w:val="en-US"/>
        </w:rPr>
      </w:pPr>
      <w:bookmarkStart w:id="4" w:name="Revision_history"/>
    </w:p>
    <w:p w:rsidR="0040081F" w:rsidRDefault="0040081F" w:rsidP="00F67ECF">
      <w:pPr>
        <w:pStyle w:val="Recdate"/>
        <w:rPr>
          <w:lang w:val="en-US"/>
        </w:rPr>
      </w:pPr>
      <w:r>
        <w:rPr>
          <w:lang w:val="en-US"/>
        </w:rPr>
        <w:t>(2001-2002-2006-</w:t>
      </w:r>
      <w:r w:rsidR="000D4195">
        <w:rPr>
          <w:lang w:val="en-US"/>
        </w:rPr>
        <w:t>01/</w:t>
      </w:r>
      <w:r>
        <w:rPr>
          <w:lang w:val="en-US"/>
        </w:rPr>
        <w:t>201</w:t>
      </w:r>
      <w:r w:rsidR="00F67ECF">
        <w:rPr>
          <w:lang w:val="en-US"/>
        </w:rPr>
        <w:t>1</w:t>
      </w:r>
      <w:r w:rsidR="000D4195">
        <w:rPr>
          <w:lang w:val="en-US"/>
        </w:rPr>
        <w:t>-09/2011</w:t>
      </w:r>
      <w:r>
        <w:rPr>
          <w:lang w:val="en-US"/>
        </w:rPr>
        <w:t>)</w:t>
      </w:r>
      <w:bookmarkEnd w:id="4"/>
    </w:p>
    <w:p w:rsidR="00701A4D" w:rsidRDefault="00701A4D" w:rsidP="00701A4D">
      <w:pPr>
        <w:rPr>
          <w:lang w:val="en-US"/>
        </w:rPr>
      </w:pPr>
    </w:p>
    <w:p w:rsidR="0040081F" w:rsidRPr="00401D66" w:rsidRDefault="0040081F" w:rsidP="00BE19F4">
      <w:pPr>
        <w:pStyle w:val="HeadingSum"/>
        <w:rPr>
          <w:sz w:val="24"/>
          <w:lang w:val="en-US"/>
        </w:rPr>
      </w:pPr>
      <w:r w:rsidRPr="00401D66">
        <w:rPr>
          <w:sz w:val="24"/>
          <w:lang w:val="en-US"/>
        </w:rPr>
        <w:t>Scope</w:t>
      </w:r>
    </w:p>
    <w:p w:rsidR="0040081F" w:rsidRPr="00401D66" w:rsidRDefault="0040081F" w:rsidP="00BE19F4">
      <w:pPr>
        <w:pStyle w:val="Summary"/>
        <w:rPr>
          <w:sz w:val="24"/>
          <w:lang w:val="en-US"/>
        </w:rPr>
      </w:pPr>
      <w:r w:rsidRPr="00401D66">
        <w:rPr>
          <w:rFonts w:hint="eastAsia"/>
          <w:sz w:val="24"/>
          <w:lang w:val="en-US" w:eastAsia="zh-CN"/>
        </w:rPr>
        <w:t xml:space="preserve">This Recommendation provides </w:t>
      </w:r>
      <w:r w:rsidRPr="00401D66">
        <w:rPr>
          <w:sz w:val="24"/>
          <w:lang w:val="en-US" w:eastAsia="zh-CN"/>
        </w:rPr>
        <w:t>out-of-band (</w:t>
      </w:r>
      <w:r w:rsidRPr="00401D66">
        <w:rPr>
          <w:rFonts w:hint="eastAsia"/>
          <w:sz w:val="24"/>
          <w:lang w:val="en-US" w:eastAsia="zh-CN"/>
        </w:rPr>
        <w:t>OoB</w:t>
      </w:r>
      <w:r w:rsidRPr="00401D66">
        <w:rPr>
          <w:sz w:val="24"/>
          <w:lang w:val="en-US" w:eastAsia="zh-CN"/>
        </w:rPr>
        <w:t>)</w:t>
      </w:r>
      <w:r w:rsidRPr="00401D66">
        <w:rPr>
          <w:rFonts w:hint="eastAsia"/>
          <w:sz w:val="24"/>
          <w:lang w:val="en-US" w:eastAsia="zh-CN"/>
        </w:rPr>
        <w:t xml:space="preserve"> domain emission limits for transmitters in the frequency range of 9</w:t>
      </w:r>
      <w:r w:rsidRPr="00401D66">
        <w:rPr>
          <w:sz w:val="24"/>
          <w:lang w:val="en-US" w:eastAsia="zh-CN"/>
        </w:rPr>
        <w:t> </w:t>
      </w:r>
      <w:r w:rsidRPr="00401D66">
        <w:rPr>
          <w:rFonts w:hint="eastAsia"/>
          <w:sz w:val="24"/>
          <w:lang w:val="en-US" w:eastAsia="zh-CN"/>
        </w:rPr>
        <w:t>kHz to 300</w:t>
      </w:r>
      <w:r w:rsidRPr="00401D66">
        <w:rPr>
          <w:sz w:val="24"/>
          <w:lang w:val="en-US" w:eastAsia="zh-CN"/>
        </w:rPr>
        <w:t> </w:t>
      </w:r>
      <w:r w:rsidRPr="00401D66">
        <w:rPr>
          <w:rFonts w:hint="eastAsia"/>
          <w:sz w:val="24"/>
          <w:lang w:val="en-US" w:eastAsia="zh-CN"/>
        </w:rPr>
        <w:t>GHz.</w:t>
      </w:r>
    </w:p>
    <w:p w:rsidR="0040081F" w:rsidRDefault="0040081F" w:rsidP="0040081F">
      <w:pPr>
        <w:pStyle w:val="Normalaftertitle"/>
        <w:rPr>
          <w:lang w:val="en-US"/>
        </w:rPr>
      </w:pPr>
      <w:r>
        <w:rPr>
          <w:lang w:val="en-US"/>
        </w:rPr>
        <w:t>The ITU Radiocommunication Assembly,</w:t>
      </w:r>
    </w:p>
    <w:p w:rsidR="0040081F" w:rsidRDefault="0040081F" w:rsidP="0040081F">
      <w:pPr>
        <w:pStyle w:val="Call"/>
        <w:rPr>
          <w:lang w:val="en-US"/>
        </w:rPr>
      </w:pPr>
      <w:r>
        <w:rPr>
          <w:lang w:val="en-US"/>
        </w:rPr>
        <w:t>considering</w:t>
      </w:r>
    </w:p>
    <w:p w:rsidR="0040081F" w:rsidRDefault="0040081F" w:rsidP="000D4195">
      <w:pPr>
        <w:rPr>
          <w:lang w:val="en-US"/>
        </w:rPr>
      </w:pPr>
      <w:r>
        <w:rPr>
          <w:lang w:val="en-US"/>
        </w:rPr>
        <w:t>a)</w:t>
      </w:r>
      <w:r>
        <w:rPr>
          <w:lang w:val="en-US"/>
        </w:rPr>
        <w:tab/>
        <w:t>that Recommendation ITU</w:t>
      </w:r>
      <w:r>
        <w:rPr>
          <w:lang w:val="en-US"/>
        </w:rPr>
        <w:noBreakHyphen/>
        <w:t>R SM.329 – </w:t>
      </w:r>
      <w:r w:rsidR="000D4195">
        <w:rPr>
          <w:lang w:val="en-US"/>
        </w:rPr>
        <w:t>Unwanted emissions in the s</w:t>
      </w:r>
      <w:r>
        <w:rPr>
          <w:lang w:val="en-US"/>
        </w:rPr>
        <w:t xml:space="preserve">purious </w:t>
      </w:r>
      <w:r w:rsidR="000D4195">
        <w:rPr>
          <w:lang w:val="en-US"/>
        </w:rPr>
        <w:t>domain</w:t>
      </w:r>
      <w:r>
        <w:rPr>
          <w:lang w:val="en-US"/>
        </w:rPr>
        <w:t>, relates to the effects, measure</w:t>
      </w:r>
      <w:r>
        <w:rPr>
          <w:lang w:val="en-US"/>
        </w:rPr>
        <w:softHyphen/>
        <w:t>ments and limits to be applied to unwanted emissions in the spurious domain;</w:t>
      </w:r>
    </w:p>
    <w:p w:rsidR="0040081F" w:rsidRDefault="0040081F" w:rsidP="000D4195">
      <w:pPr>
        <w:rPr>
          <w:lang w:val="en-US"/>
        </w:rPr>
      </w:pPr>
      <w:r>
        <w:rPr>
          <w:lang w:val="en-US"/>
        </w:rPr>
        <w:t>b)</w:t>
      </w:r>
      <w:r>
        <w:rPr>
          <w:lang w:val="en-US"/>
        </w:rPr>
        <w:tab/>
        <w:t>that Recommendations ITU</w:t>
      </w:r>
      <w:r>
        <w:rPr>
          <w:lang w:val="en-US"/>
        </w:rPr>
        <w:noBreakHyphen/>
        <w:t>R SM.329 and ITU</w:t>
      </w:r>
      <w:r>
        <w:rPr>
          <w:lang w:val="en-US"/>
        </w:rPr>
        <w:noBreakHyphen/>
        <w:t>R SM.1539 provide guidance for determining the boundary between the out-of-band (OoB) and spurious domains in a transmitted radio frequency spectrum;</w:t>
      </w:r>
    </w:p>
    <w:p w:rsidR="0040081F" w:rsidRDefault="0040081F" w:rsidP="0040081F">
      <w:pPr>
        <w:rPr>
          <w:lang w:val="en-US"/>
        </w:rPr>
      </w:pPr>
      <w:r>
        <w:rPr>
          <w:lang w:val="en-US"/>
        </w:rPr>
        <w:t>c)</w:t>
      </w:r>
      <w:r>
        <w:rPr>
          <w:lang w:val="en-US"/>
        </w:rPr>
        <w:tab/>
        <w:t>that considerations of OoB domain and necessary bandwidths are included by necessity in Recommendation ITU-R SM.328 – Spectra and bandwidth of emissions;</w:t>
      </w:r>
    </w:p>
    <w:p w:rsidR="0040081F" w:rsidRDefault="0040081F" w:rsidP="0040081F">
      <w:pPr>
        <w:rPr>
          <w:lang w:val="en-US"/>
        </w:rPr>
      </w:pPr>
      <w:r>
        <w:rPr>
          <w:lang w:val="en-US"/>
        </w:rPr>
        <w:t>d)</w:t>
      </w:r>
      <w:r>
        <w:rPr>
          <w:lang w:val="en-US"/>
        </w:rPr>
        <w:tab/>
        <w:t>that unwanted emissions occur after a transmitter is brought into operation and can be reduced by system design;</w:t>
      </w:r>
    </w:p>
    <w:p w:rsidR="0040081F" w:rsidRDefault="0040081F" w:rsidP="0040081F">
      <w:pPr>
        <w:rPr>
          <w:lang w:val="en-US"/>
        </w:rPr>
      </w:pPr>
      <w:r>
        <w:rPr>
          <w:lang w:val="en-US"/>
        </w:rPr>
        <w:t>e)</w:t>
      </w:r>
      <w:r>
        <w:rPr>
          <w:lang w:val="en-US"/>
        </w:rPr>
        <w:tab/>
        <w:t>that OoB domain emission limits have been successfully used as national or regional regulations in areas having a high radiocommunications density; such limits are generally designed according to specific and detailed local needs for coexistence with other systems;</w:t>
      </w:r>
    </w:p>
    <w:p w:rsidR="0040081F" w:rsidRDefault="0040081F" w:rsidP="0040081F">
      <w:pPr>
        <w:rPr>
          <w:lang w:val="en-US"/>
        </w:rPr>
      </w:pPr>
      <w:r>
        <w:rPr>
          <w:lang w:val="en-US"/>
        </w:rPr>
        <w:t>f)</w:t>
      </w:r>
      <w:r>
        <w:rPr>
          <w:lang w:val="en-US"/>
        </w:rPr>
        <w:tab/>
        <w:t xml:space="preserve">that nevertheless there is a need, for each service, for a limited number of a more broadly generic ITU-R OoB domain emission limits, generally based on an envelope of the least restrictive OoB domain emission limits described in the above </w:t>
      </w:r>
      <w:r>
        <w:rPr>
          <w:i/>
          <w:lang w:val="en-US"/>
        </w:rPr>
        <w:t>considering</w:t>
      </w:r>
      <w:r>
        <w:rPr>
          <w:lang w:val="en-US"/>
        </w:rPr>
        <w:t xml:space="preserve"> e);</w:t>
      </w:r>
    </w:p>
    <w:p w:rsidR="0040081F" w:rsidRDefault="0040081F" w:rsidP="0040081F">
      <w:pPr>
        <w:rPr>
          <w:lang w:val="en-US"/>
        </w:rPr>
      </w:pPr>
      <w:r>
        <w:rPr>
          <w:lang w:val="en-US"/>
        </w:rPr>
        <w:t>g)</w:t>
      </w:r>
      <w:r>
        <w:rPr>
          <w:lang w:val="en-US"/>
        </w:rPr>
        <w:tab/>
        <w:t>that where frequency assignments are provided to the Radiocommunication Bureau (BR) in accordance with Appendix</w:t>
      </w:r>
      <w:r>
        <w:rPr>
          <w:bCs/>
          <w:lang w:val="en-US"/>
        </w:rPr>
        <w:t> 4</w:t>
      </w:r>
      <w:r>
        <w:rPr>
          <w:lang w:val="en-US"/>
        </w:rPr>
        <w:t xml:space="preserve"> of the Radio Regulations (RR), the necessary bandwidth of an emission with a single carrier is given by the bandwidth portion of the emission designator;</w:t>
      </w:r>
    </w:p>
    <w:p w:rsidR="0040081F" w:rsidRDefault="0040081F" w:rsidP="0040081F">
      <w:pPr>
        <w:rPr>
          <w:lang w:val="en-US"/>
        </w:rPr>
      </w:pPr>
      <w:r>
        <w:rPr>
          <w:lang w:val="en-US"/>
        </w:rPr>
        <w:t>h)</w:t>
      </w:r>
      <w:r>
        <w:rPr>
          <w:lang w:val="en-US"/>
        </w:rPr>
        <w:tab/>
        <w:t>that the necessary bandwidth, referred to in RR Appendix 4 is for a single carrier transmission, and may not adequately cover the case of systems with multiple carriers,</w:t>
      </w:r>
    </w:p>
    <w:p w:rsidR="0040081F" w:rsidRDefault="0040081F" w:rsidP="0040081F">
      <w:pPr>
        <w:pStyle w:val="Call"/>
        <w:rPr>
          <w:lang w:val="en-US"/>
        </w:rPr>
      </w:pPr>
      <w:r>
        <w:rPr>
          <w:lang w:val="en-US"/>
        </w:rPr>
        <w:t>recognizing</w:t>
      </w:r>
    </w:p>
    <w:p w:rsidR="0040081F" w:rsidRDefault="0040081F" w:rsidP="0040081F">
      <w:pPr>
        <w:rPr>
          <w:lang w:val="en-US"/>
        </w:rPr>
      </w:pPr>
      <w:r>
        <w:rPr>
          <w:lang w:val="en-US"/>
        </w:rPr>
        <w:t>that the following terms are defined in the RR.</w:t>
      </w:r>
    </w:p>
    <w:p w:rsidR="0040081F" w:rsidRDefault="0040081F" w:rsidP="000D4195">
      <w:pPr>
        <w:pStyle w:val="Headingb"/>
        <w:rPr>
          <w:b w:val="0"/>
          <w:bCs/>
          <w:lang w:val="en-US"/>
        </w:rPr>
      </w:pPr>
      <w:r w:rsidRPr="000D4195">
        <w:rPr>
          <w:lang w:val="en-US"/>
        </w:rPr>
        <w:lastRenderedPageBreak/>
        <w:t>Unwanted emissions</w:t>
      </w:r>
      <w:r w:rsidRPr="000D4195">
        <w:rPr>
          <w:b w:val="0"/>
          <w:bCs/>
          <w:lang w:val="en-US"/>
        </w:rPr>
        <w:t xml:space="preserve"> </w:t>
      </w:r>
    </w:p>
    <w:p w:rsidR="000D4195" w:rsidRPr="00925DCD" w:rsidRDefault="000D4195" w:rsidP="00701A4D">
      <w:pPr>
        <w:rPr>
          <w:lang w:val="en-US" w:eastAsia="zh-CN"/>
        </w:rPr>
      </w:pPr>
      <w:r w:rsidRPr="00925DCD">
        <w:rPr>
          <w:lang w:val="en-US" w:eastAsia="zh-CN"/>
        </w:rPr>
        <w:t>«</w:t>
      </w:r>
      <w:r w:rsidRPr="00925DCD">
        <w:rPr>
          <w:b/>
          <w:bCs/>
          <w:lang w:val="en-US" w:eastAsia="zh-CN"/>
        </w:rPr>
        <w:t>1.146</w:t>
      </w:r>
      <w:r w:rsidRPr="00925DCD">
        <w:rPr>
          <w:b/>
          <w:bCs/>
          <w:lang w:val="en-US" w:eastAsia="zh-CN"/>
        </w:rPr>
        <w:tab/>
      </w:r>
      <w:r w:rsidRPr="00925DCD">
        <w:rPr>
          <w:b/>
          <w:bCs/>
          <w:lang w:val="en-US" w:eastAsia="zh-CN"/>
        </w:rPr>
        <w:tab/>
      </w:r>
      <w:r w:rsidRPr="00925DCD">
        <w:rPr>
          <w:lang w:val="en-US" w:eastAsia="zh-CN"/>
        </w:rPr>
        <w:t>unwanted emissions*: Consist of spurious emissions and out-of-band emissions.»</w:t>
      </w:r>
    </w:p>
    <w:p w:rsidR="0040081F" w:rsidRPr="000D4195" w:rsidRDefault="0040081F" w:rsidP="000D4195">
      <w:pPr>
        <w:pStyle w:val="Headingb"/>
        <w:rPr>
          <w:lang w:val="en-US"/>
        </w:rPr>
      </w:pPr>
      <w:r w:rsidRPr="000D4195">
        <w:rPr>
          <w:lang w:val="en-US"/>
        </w:rPr>
        <w:t>Spurious emission</w:t>
      </w:r>
      <w:r w:rsidRPr="000D4195">
        <w:rPr>
          <w:b w:val="0"/>
          <w:bCs/>
          <w:lang w:val="en-US"/>
        </w:rPr>
        <w:t xml:space="preserve"> </w:t>
      </w:r>
    </w:p>
    <w:p w:rsidR="000D4195" w:rsidRPr="00925DCD" w:rsidRDefault="000D4195" w:rsidP="00701A4D">
      <w:pPr>
        <w:rPr>
          <w:lang w:val="en-US" w:eastAsia="zh-CN"/>
        </w:rPr>
      </w:pPr>
      <w:r w:rsidRPr="00925DCD">
        <w:rPr>
          <w:lang w:val="en-US" w:eastAsia="zh-CN"/>
        </w:rPr>
        <w:t>«</w:t>
      </w:r>
      <w:r w:rsidRPr="00925DCD">
        <w:rPr>
          <w:b/>
          <w:bCs/>
          <w:lang w:val="en-US" w:eastAsia="zh-CN"/>
        </w:rPr>
        <w:t>1.145</w:t>
      </w:r>
      <w:r w:rsidRPr="00925DCD">
        <w:rPr>
          <w:b/>
          <w:bCs/>
          <w:lang w:val="en-US" w:eastAsia="zh-CN"/>
        </w:rPr>
        <w:tab/>
      </w:r>
      <w:r w:rsidRPr="00925DCD">
        <w:rPr>
          <w:b/>
          <w:bCs/>
          <w:lang w:val="en-US" w:eastAsia="zh-CN"/>
        </w:rPr>
        <w:tab/>
      </w:r>
      <w:r w:rsidRPr="00925DCD">
        <w:rPr>
          <w:i/>
          <w:iCs/>
          <w:lang w:val="en-US" w:eastAsia="zh-CN"/>
        </w:rPr>
        <w:t>spurious emission</w:t>
      </w:r>
      <w:r w:rsidRPr="00925DCD">
        <w:rPr>
          <w:lang w:val="en-US" w:eastAsia="zh-CN"/>
        </w:rPr>
        <w:t>*</w:t>
      </w:r>
      <w:r w:rsidRPr="00925DCD">
        <w:rPr>
          <w:i/>
          <w:iCs/>
          <w:lang w:val="en-US" w:eastAsia="zh-CN"/>
        </w:rPr>
        <w:t xml:space="preserve">: Emission </w:t>
      </w:r>
      <w:r w:rsidRPr="00925DCD">
        <w:rPr>
          <w:lang w:val="en-US" w:eastAsia="zh-CN"/>
        </w:rPr>
        <w:t xml:space="preserve">on a frequency or frequencies which are outside the </w:t>
      </w:r>
      <w:r w:rsidRPr="00925DCD">
        <w:rPr>
          <w:i/>
          <w:iCs/>
          <w:lang w:val="en-US" w:eastAsia="zh-CN"/>
        </w:rPr>
        <w:t xml:space="preserve">necessary bandwidth </w:t>
      </w:r>
      <w:r w:rsidRPr="00925DCD">
        <w:rPr>
          <w:lang w:val="en-US" w:eastAsia="zh-CN"/>
        </w:rPr>
        <w:t xml:space="preserve">and the level of which may be reduced without affecting the corresponding transmission of information. Spurious emissions include harmonic </w:t>
      </w:r>
      <w:r w:rsidRPr="00925DCD">
        <w:rPr>
          <w:i/>
          <w:iCs/>
          <w:lang w:val="en-US" w:eastAsia="zh-CN"/>
        </w:rPr>
        <w:t>emissions</w:t>
      </w:r>
      <w:r w:rsidRPr="00925DCD">
        <w:rPr>
          <w:lang w:val="en-US" w:eastAsia="zh-CN"/>
        </w:rPr>
        <w:t xml:space="preserve">, parasitic </w:t>
      </w:r>
      <w:r w:rsidRPr="00925DCD">
        <w:rPr>
          <w:i/>
          <w:iCs/>
          <w:lang w:val="en-US" w:eastAsia="zh-CN"/>
        </w:rPr>
        <w:t>emissions</w:t>
      </w:r>
      <w:r w:rsidRPr="00925DCD">
        <w:rPr>
          <w:lang w:val="en-US" w:eastAsia="zh-CN"/>
        </w:rPr>
        <w:t xml:space="preserve">, intermodulation products and frequency conversion products, but exclude </w:t>
      </w:r>
      <w:r w:rsidRPr="00925DCD">
        <w:rPr>
          <w:i/>
          <w:iCs/>
          <w:lang w:val="en-US" w:eastAsia="zh-CN"/>
        </w:rPr>
        <w:t>out-of-band emissions</w:t>
      </w:r>
      <w:r w:rsidRPr="00925DCD">
        <w:rPr>
          <w:lang w:val="en-US" w:eastAsia="zh-CN"/>
        </w:rPr>
        <w:t>.»</w:t>
      </w:r>
    </w:p>
    <w:p w:rsidR="0040081F" w:rsidRDefault="0040081F" w:rsidP="000D4195">
      <w:pPr>
        <w:pStyle w:val="Headingb"/>
        <w:rPr>
          <w:b w:val="0"/>
          <w:bCs/>
          <w:lang w:val="en-US"/>
        </w:rPr>
      </w:pPr>
      <w:r w:rsidRPr="000D4195">
        <w:rPr>
          <w:lang w:val="en-US"/>
        </w:rPr>
        <w:t>Out-of-band emission</w:t>
      </w:r>
    </w:p>
    <w:p w:rsidR="000D4195" w:rsidRPr="00925DCD" w:rsidRDefault="000D4195" w:rsidP="00701A4D">
      <w:pPr>
        <w:rPr>
          <w:lang w:val="en-US" w:eastAsia="zh-CN"/>
        </w:rPr>
      </w:pPr>
      <w:r w:rsidRPr="00925DCD">
        <w:rPr>
          <w:lang w:val="en-US" w:eastAsia="zh-CN"/>
        </w:rPr>
        <w:t>«</w:t>
      </w:r>
      <w:r w:rsidRPr="00925DCD">
        <w:rPr>
          <w:b/>
          <w:bCs/>
          <w:lang w:val="en-US" w:eastAsia="zh-CN"/>
        </w:rPr>
        <w:t>1.144</w:t>
      </w:r>
      <w:r w:rsidRPr="00925DCD">
        <w:rPr>
          <w:b/>
          <w:bCs/>
          <w:lang w:val="en-US" w:eastAsia="zh-CN"/>
        </w:rPr>
        <w:tab/>
      </w:r>
      <w:r w:rsidRPr="00925DCD">
        <w:rPr>
          <w:b/>
          <w:bCs/>
          <w:lang w:val="en-US" w:eastAsia="zh-CN"/>
        </w:rPr>
        <w:tab/>
      </w:r>
      <w:r w:rsidRPr="00925DCD">
        <w:rPr>
          <w:i/>
          <w:iCs/>
          <w:lang w:val="en-US" w:eastAsia="zh-CN"/>
        </w:rPr>
        <w:t>out-of-band emission</w:t>
      </w:r>
      <w:r w:rsidRPr="00925DCD">
        <w:rPr>
          <w:lang w:val="en-US" w:eastAsia="zh-CN"/>
        </w:rPr>
        <w:t>*</w:t>
      </w:r>
      <w:r w:rsidRPr="00925DCD">
        <w:rPr>
          <w:i/>
          <w:iCs/>
          <w:lang w:val="en-US" w:eastAsia="zh-CN"/>
        </w:rPr>
        <w:t xml:space="preserve">: Emission </w:t>
      </w:r>
      <w:r w:rsidRPr="00925DCD">
        <w:rPr>
          <w:lang w:val="en-US" w:eastAsia="zh-CN"/>
        </w:rPr>
        <w:t xml:space="preserve">on a frequency or frequencies immediately outside the </w:t>
      </w:r>
      <w:r w:rsidRPr="00925DCD">
        <w:rPr>
          <w:i/>
          <w:iCs/>
          <w:lang w:val="en-US" w:eastAsia="zh-CN"/>
        </w:rPr>
        <w:t xml:space="preserve">necessary bandwidth </w:t>
      </w:r>
      <w:r w:rsidRPr="00925DCD">
        <w:rPr>
          <w:lang w:val="en-US" w:eastAsia="zh-CN"/>
        </w:rPr>
        <w:t xml:space="preserve">which results from the modulation process, but excluding </w:t>
      </w:r>
      <w:r w:rsidRPr="00925DCD">
        <w:rPr>
          <w:i/>
          <w:iCs/>
          <w:lang w:val="en-US" w:eastAsia="zh-CN"/>
        </w:rPr>
        <w:t>spurious emissions</w:t>
      </w:r>
      <w:r w:rsidRPr="00925DCD">
        <w:rPr>
          <w:lang w:val="en-US" w:eastAsia="zh-CN"/>
        </w:rPr>
        <w:t>.»</w:t>
      </w:r>
    </w:p>
    <w:p w:rsidR="0040081F" w:rsidRPr="000D4195" w:rsidRDefault="0040081F" w:rsidP="000D4195">
      <w:pPr>
        <w:pStyle w:val="Headingb"/>
        <w:rPr>
          <w:lang w:val="en-US"/>
        </w:rPr>
      </w:pPr>
      <w:r w:rsidRPr="000D4195">
        <w:rPr>
          <w:lang w:val="en-US"/>
        </w:rPr>
        <w:t>Occupied bandwidth</w:t>
      </w:r>
    </w:p>
    <w:p w:rsidR="000D4195" w:rsidRPr="007619B2" w:rsidRDefault="00BE19F4" w:rsidP="00701A4D">
      <w:pPr>
        <w:rPr>
          <w:lang w:val="en-US" w:eastAsia="zh-CN"/>
        </w:rPr>
      </w:pPr>
      <w:r w:rsidRPr="007619B2">
        <w:rPr>
          <w:lang w:val="en-US" w:eastAsia="zh-CN"/>
        </w:rPr>
        <w:t>«</w:t>
      </w:r>
      <w:r w:rsidR="000D4195" w:rsidRPr="007619B2">
        <w:rPr>
          <w:b/>
          <w:bCs/>
          <w:lang w:val="en-US" w:eastAsia="zh-CN"/>
        </w:rPr>
        <w:t>1.153</w:t>
      </w:r>
      <w:r w:rsidR="000D4195" w:rsidRPr="007619B2">
        <w:rPr>
          <w:b/>
          <w:bCs/>
          <w:lang w:val="en-US" w:eastAsia="zh-CN"/>
        </w:rPr>
        <w:tab/>
      </w:r>
      <w:r w:rsidR="000D4195" w:rsidRPr="007619B2">
        <w:rPr>
          <w:b/>
          <w:bCs/>
          <w:lang w:val="en-US" w:eastAsia="zh-CN"/>
        </w:rPr>
        <w:tab/>
      </w:r>
      <w:r w:rsidR="000D4195" w:rsidRPr="007619B2">
        <w:rPr>
          <w:i/>
          <w:iCs/>
          <w:lang w:val="en-US" w:eastAsia="zh-CN"/>
        </w:rPr>
        <w:t xml:space="preserve">occupied bandwidth: </w:t>
      </w:r>
      <w:r w:rsidR="000D4195" w:rsidRPr="007619B2">
        <w:rPr>
          <w:lang w:val="en-US" w:eastAsia="zh-CN"/>
        </w:rPr>
        <w:t xml:space="preserve">The width of a frequency band such that, below the lower and above the upper frequency limits, the </w:t>
      </w:r>
      <w:r w:rsidR="000D4195" w:rsidRPr="007619B2">
        <w:rPr>
          <w:i/>
          <w:iCs/>
          <w:lang w:val="en-US" w:eastAsia="zh-CN"/>
        </w:rPr>
        <w:t xml:space="preserve">mean powers </w:t>
      </w:r>
      <w:r w:rsidR="000D4195" w:rsidRPr="007619B2">
        <w:rPr>
          <w:lang w:val="en-US" w:eastAsia="zh-CN"/>
        </w:rPr>
        <w:t>emitted are each equal to a specified percentage</w:t>
      </w:r>
      <w:r w:rsidR="000D4195" w:rsidRPr="00925DCD">
        <w:rPr>
          <w:rFonts w:ascii="TimesNewRoman" w:hAnsi="TimesNewRoman" w:cs="TimesNewRoman"/>
          <w:lang w:val="en-US" w:eastAsia="zh-CN"/>
        </w:rPr>
        <w:t xml:space="preserve"> </w:t>
      </w:r>
      <w:r w:rsidR="00701A4D">
        <w:rPr>
          <w:rFonts w:ascii="TimesNewRoman" w:hAnsi="TimesNewRoman" w:cs="TimesNewRoman"/>
          <w:lang w:val="en-US" w:eastAsia="zh-CN"/>
        </w:rPr>
        <w:sym w:font="Symbol" w:char="F062"/>
      </w:r>
      <w:r w:rsidR="000D4195" w:rsidRPr="00925DCD">
        <w:rPr>
          <w:rFonts w:ascii="TimesNewRoman" w:hAnsi="TimesNewRoman" w:cs="TimesNewRoman"/>
          <w:lang w:val="en-US" w:eastAsia="zh-CN"/>
        </w:rPr>
        <w:t>/</w:t>
      </w:r>
      <w:r w:rsidR="000D4195" w:rsidRPr="007619B2">
        <w:rPr>
          <w:lang w:val="en-US" w:eastAsia="zh-CN"/>
        </w:rPr>
        <w:t xml:space="preserve">2 of the total </w:t>
      </w:r>
      <w:r w:rsidR="000D4195" w:rsidRPr="007619B2">
        <w:rPr>
          <w:i/>
          <w:iCs/>
          <w:lang w:val="en-US" w:eastAsia="zh-CN"/>
        </w:rPr>
        <w:t xml:space="preserve">mean power </w:t>
      </w:r>
      <w:r w:rsidR="000D4195" w:rsidRPr="007619B2">
        <w:rPr>
          <w:lang w:val="en-US" w:eastAsia="zh-CN"/>
        </w:rPr>
        <w:t xml:space="preserve">of a given </w:t>
      </w:r>
      <w:r w:rsidR="000D4195" w:rsidRPr="007619B2">
        <w:rPr>
          <w:i/>
          <w:iCs/>
          <w:lang w:val="en-US" w:eastAsia="zh-CN"/>
        </w:rPr>
        <w:t>emission</w:t>
      </w:r>
      <w:r w:rsidR="000D4195" w:rsidRPr="007619B2">
        <w:rPr>
          <w:lang w:val="en-US" w:eastAsia="zh-CN"/>
        </w:rPr>
        <w:t xml:space="preserve">. </w:t>
      </w:r>
    </w:p>
    <w:p w:rsidR="000D4195" w:rsidRPr="007619B2" w:rsidRDefault="000D4195" w:rsidP="00701A4D">
      <w:pPr>
        <w:rPr>
          <w:lang w:val="en-US" w:eastAsia="zh-CN"/>
        </w:rPr>
      </w:pPr>
      <w:r w:rsidRPr="007619B2">
        <w:rPr>
          <w:lang w:val="en-US" w:eastAsia="zh-CN"/>
        </w:rPr>
        <w:tab/>
      </w:r>
      <w:r w:rsidRPr="007619B2">
        <w:rPr>
          <w:lang w:val="en-US" w:eastAsia="zh-CN"/>
        </w:rPr>
        <w:tab/>
        <w:t xml:space="preserve">Unless otherwise specified in an ITU-R Recommendation for the appropriate </w:t>
      </w:r>
      <w:r w:rsidRPr="007619B2">
        <w:rPr>
          <w:i/>
          <w:iCs/>
          <w:lang w:val="en-US" w:eastAsia="zh-CN"/>
        </w:rPr>
        <w:t>class of emission</w:t>
      </w:r>
      <w:r w:rsidRPr="007619B2">
        <w:rPr>
          <w:lang w:val="en-US" w:eastAsia="zh-CN"/>
        </w:rPr>
        <w:t xml:space="preserve">, the value of </w:t>
      </w:r>
      <w:r w:rsidR="00701A4D">
        <w:rPr>
          <w:lang w:val="en-US" w:eastAsia="zh-CN"/>
        </w:rPr>
        <w:sym w:font="Symbol" w:char="F062"/>
      </w:r>
      <w:r w:rsidRPr="007619B2">
        <w:rPr>
          <w:lang w:val="en-US" w:eastAsia="zh-CN"/>
        </w:rPr>
        <w:t>/2 should be taken as 0.5%.</w:t>
      </w:r>
      <w:r w:rsidR="00BE19F4" w:rsidRPr="007619B2">
        <w:rPr>
          <w:lang w:val="en-US" w:eastAsia="zh-CN"/>
        </w:rPr>
        <w:t>»</w:t>
      </w:r>
    </w:p>
    <w:p w:rsidR="0040081F" w:rsidRDefault="0040081F" w:rsidP="000D4195">
      <w:pPr>
        <w:pStyle w:val="Headingb"/>
        <w:rPr>
          <w:b w:val="0"/>
          <w:bCs/>
          <w:lang w:val="en-US"/>
        </w:rPr>
      </w:pPr>
      <w:r w:rsidRPr="000D4195">
        <w:rPr>
          <w:lang w:val="en-US"/>
        </w:rPr>
        <w:t>Necessary bandwidth</w:t>
      </w:r>
    </w:p>
    <w:p w:rsidR="000D4195" w:rsidRPr="00925DCD" w:rsidRDefault="000D4195" w:rsidP="00701A4D">
      <w:pPr>
        <w:rPr>
          <w:lang w:val="en-US"/>
        </w:rPr>
      </w:pPr>
      <w:r w:rsidRPr="00925DCD">
        <w:rPr>
          <w:lang w:val="en-US" w:eastAsia="zh-CN"/>
        </w:rPr>
        <w:t>«</w:t>
      </w:r>
      <w:r w:rsidRPr="00925DCD">
        <w:rPr>
          <w:b/>
          <w:bCs/>
          <w:lang w:val="en-US" w:eastAsia="zh-CN"/>
        </w:rPr>
        <w:t xml:space="preserve">1.152 </w:t>
      </w:r>
      <w:r w:rsidRPr="00925DCD">
        <w:rPr>
          <w:b/>
          <w:bCs/>
          <w:lang w:val="en-US" w:eastAsia="zh-CN"/>
        </w:rPr>
        <w:tab/>
      </w:r>
      <w:r w:rsidRPr="00925DCD">
        <w:rPr>
          <w:b/>
          <w:bCs/>
          <w:lang w:val="en-US" w:eastAsia="zh-CN"/>
        </w:rPr>
        <w:tab/>
      </w:r>
      <w:r w:rsidRPr="00925DCD">
        <w:rPr>
          <w:i/>
          <w:iCs/>
          <w:lang w:val="en-US" w:eastAsia="zh-CN"/>
        </w:rPr>
        <w:t xml:space="preserve">necessary bandwidth: </w:t>
      </w:r>
      <w:r w:rsidRPr="00925DCD">
        <w:rPr>
          <w:lang w:val="en-US" w:eastAsia="zh-CN"/>
        </w:rPr>
        <w:t xml:space="preserve">For a given </w:t>
      </w:r>
      <w:r w:rsidRPr="00925DCD">
        <w:rPr>
          <w:i/>
          <w:iCs/>
          <w:lang w:val="en-US" w:eastAsia="zh-CN"/>
        </w:rPr>
        <w:t>class of emission</w:t>
      </w:r>
      <w:r w:rsidRPr="00925DCD">
        <w:rPr>
          <w:lang w:val="en-US" w:eastAsia="zh-CN"/>
        </w:rPr>
        <w:t>, the width of the frequency band which is just sufficient to ensure the transmission of information at the rate and with the quality required under specified conditions.»</w:t>
      </w:r>
    </w:p>
    <w:p w:rsidR="0040081F" w:rsidRPr="000D4195" w:rsidRDefault="0040081F" w:rsidP="000D4195">
      <w:pPr>
        <w:pStyle w:val="Headingb"/>
        <w:rPr>
          <w:lang w:val="en-US"/>
        </w:rPr>
      </w:pPr>
      <w:r w:rsidRPr="000D4195">
        <w:rPr>
          <w:lang w:val="en-US"/>
        </w:rPr>
        <w:t>Assigned frequency band</w:t>
      </w:r>
    </w:p>
    <w:p w:rsidR="000D4195" w:rsidRPr="00925DCD" w:rsidRDefault="000D4195" w:rsidP="00701A4D">
      <w:pPr>
        <w:rPr>
          <w:lang w:val="en-US" w:eastAsia="zh-CN"/>
        </w:rPr>
      </w:pPr>
      <w:r w:rsidRPr="00925DCD">
        <w:rPr>
          <w:lang w:val="en-US" w:eastAsia="zh-CN"/>
        </w:rPr>
        <w:t>«</w:t>
      </w:r>
      <w:r w:rsidRPr="00925DCD">
        <w:rPr>
          <w:b/>
          <w:bCs/>
          <w:lang w:val="en-US" w:eastAsia="zh-CN"/>
        </w:rPr>
        <w:t>1.147</w:t>
      </w:r>
      <w:r w:rsidRPr="00925DCD">
        <w:rPr>
          <w:b/>
          <w:bCs/>
          <w:lang w:val="en-US" w:eastAsia="zh-CN"/>
        </w:rPr>
        <w:tab/>
      </w:r>
      <w:r w:rsidRPr="00925DCD">
        <w:rPr>
          <w:b/>
          <w:bCs/>
          <w:lang w:val="en-US" w:eastAsia="zh-CN"/>
        </w:rPr>
        <w:tab/>
      </w:r>
      <w:r w:rsidRPr="00925DCD">
        <w:rPr>
          <w:i/>
          <w:iCs/>
          <w:lang w:val="en-US" w:eastAsia="zh-CN"/>
        </w:rPr>
        <w:t xml:space="preserve">assigned frequency band: </w:t>
      </w:r>
      <w:r w:rsidRPr="00925DCD">
        <w:rPr>
          <w:lang w:val="en-US" w:eastAsia="zh-CN"/>
        </w:rPr>
        <w:t xml:space="preserve">The frequency band within which the </w:t>
      </w:r>
      <w:r w:rsidRPr="00925DCD">
        <w:rPr>
          <w:i/>
          <w:iCs/>
          <w:lang w:val="en-US" w:eastAsia="zh-CN"/>
        </w:rPr>
        <w:t xml:space="preserve">emission </w:t>
      </w:r>
      <w:r w:rsidRPr="00925DCD">
        <w:rPr>
          <w:lang w:val="en-US" w:eastAsia="zh-CN"/>
        </w:rPr>
        <w:t xml:space="preserve">of a </w:t>
      </w:r>
      <w:r w:rsidRPr="00925DCD">
        <w:rPr>
          <w:i/>
          <w:iCs/>
          <w:lang w:val="en-US" w:eastAsia="zh-CN"/>
        </w:rPr>
        <w:t xml:space="preserve">station </w:t>
      </w:r>
      <w:r w:rsidRPr="00925DCD">
        <w:rPr>
          <w:lang w:val="en-US" w:eastAsia="zh-CN"/>
        </w:rPr>
        <w:t xml:space="preserve">is authorized; the width of the band equals the </w:t>
      </w:r>
      <w:r w:rsidRPr="00925DCD">
        <w:rPr>
          <w:i/>
          <w:iCs/>
          <w:lang w:val="en-US" w:eastAsia="zh-CN"/>
        </w:rPr>
        <w:t xml:space="preserve">necessary bandwidth </w:t>
      </w:r>
      <w:r w:rsidRPr="00925DCD">
        <w:rPr>
          <w:lang w:val="en-US" w:eastAsia="zh-CN"/>
        </w:rPr>
        <w:t xml:space="preserve">plus twice the absolute value of the </w:t>
      </w:r>
      <w:r w:rsidRPr="00925DCD">
        <w:rPr>
          <w:i/>
          <w:iCs/>
          <w:lang w:val="en-US" w:eastAsia="zh-CN"/>
        </w:rPr>
        <w:t>frequency tolerance</w:t>
      </w:r>
      <w:r w:rsidRPr="00925DCD">
        <w:rPr>
          <w:lang w:val="en-US" w:eastAsia="zh-CN"/>
        </w:rPr>
        <w:t xml:space="preserve">. Where </w:t>
      </w:r>
      <w:r w:rsidRPr="00925DCD">
        <w:rPr>
          <w:i/>
          <w:iCs/>
          <w:lang w:val="en-US" w:eastAsia="zh-CN"/>
        </w:rPr>
        <w:t xml:space="preserve">space stations </w:t>
      </w:r>
      <w:r w:rsidRPr="00925DCD">
        <w:rPr>
          <w:lang w:val="en-US" w:eastAsia="zh-CN"/>
        </w:rPr>
        <w:t>are concerned, the assigned frequency band includes twice the maximum Doppler shift that may occur in relation to any point of the Earth’s surface.»</w:t>
      </w:r>
    </w:p>
    <w:p w:rsidR="0040081F" w:rsidRPr="000D4195" w:rsidRDefault="0040081F" w:rsidP="0040081F">
      <w:pPr>
        <w:pStyle w:val="Headingb"/>
        <w:rPr>
          <w:lang w:val="en-US"/>
        </w:rPr>
      </w:pPr>
      <w:r w:rsidRPr="000D4195">
        <w:rPr>
          <w:lang w:val="en-US"/>
        </w:rPr>
        <w:t>Assigned frequency</w:t>
      </w:r>
    </w:p>
    <w:p w:rsidR="000D4195" w:rsidRPr="00925DCD" w:rsidRDefault="000D4195" w:rsidP="00701A4D">
      <w:pPr>
        <w:rPr>
          <w:lang w:val="en-US" w:eastAsia="zh-CN"/>
        </w:rPr>
      </w:pPr>
      <w:r w:rsidRPr="00925DCD">
        <w:rPr>
          <w:lang w:val="en-US" w:eastAsia="zh-CN"/>
        </w:rPr>
        <w:t>«</w:t>
      </w:r>
      <w:r w:rsidRPr="00925DCD">
        <w:rPr>
          <w:b/>
          <w:bCs/>
          <w:lang w:val="en-US" w:eastAsia="zh-CN"/>
        </w:rPr>
        <w:t>1.148</w:t>
      </w:r>
      <w:r w:rsidR="0078392D">
        <w:rPr>
          <w:b/>
          <w:bCs/>
          <w:lang w:val="en-US" w:eastAsia="zh-CN"/>
        </w:rPr>
        <w:tab/>
      </w:r>
      <w:r w:rsidR="0078392D">
        <w:rPr>
          <w:b/>
          <w:bCs/>
          <w:lang w:val="en-US" w:eastAsia="zh-CN"/>
        </w:rPr>
        <w:tab/>
      </w:r>
      <w:r w:rsidRPr="00925DCD">
        <w:rPr>
          <w:i/>
          <w:iCs/>
          <w:lang w:val="en-US" w:eastAsia="zh-CN"/>
        </w:rPr>
        <w:t xml:space="preserve">assigned frequency: </w:t>
      </w:r>
      <w:r w:rsidRPr="00925DCD">
        <w:rPr>
          <w:lang w:val="en-US" w:eastAsia="zh-CN"/>
        </w:rPr>
        <w:t xml:space="preserve">The centre of the frequency band assigned to a </w:t>
      </w:r>
      <w:r w:rsidRPr="00925DCD">
        <w:rPr>
          <w:i/>
          <w:iCs/>
          <w:lang w:val="en-US" w:eastAsia="zh-CN"/>
        </w:rPr>
        <w:t>station</w:t>
      </w:r>
      <w:r w:rsidRPr="00925DCD">
        <w:rPr>
          <w:lang w:val="en-US" w:eastAsia="zh-CN"/>
        </w:rPr>
        <w:t>.»</w:t>
      </w:r>
    </w:p>
    <w:p w:rsidR="0040081F" w:rsidRDefault="0040081F" w:rsidP="0040081F">
      <w:pPr>
        <w:pStyle w:val="Call"/>
        <w:rPr>
          <w:lang w:val="en-US"/>
        </w:rPr>
      </w:pPr>
      <w:r>
        <w:rPr>
          <w:lang w:val="en-US"/>
        </w:rPr>
        <w:t>noting</w:t>
      </w:r>
    </w:p>
    <w:p w:rsidR="0040081F" w:rsidRDefault="0040081F" w:rsidP="0040081F">
      <w:pPr>
        <w:rPr>
          <w:lang w:val="en-US"/>
        </w:rPr>
      </w:pPr>
      <w:r>
        <w:rPr>
          <w:lang w:val="en-US"/>
        </w:rPr>
        <w:t>a)</w:t>
      </w:r>
      <w:r>
        <w:rPr>
          <w:lang w:val="en-US"/>
        </w:rPr>
        <w:tab/>
        <w:t>that Recommendation ITU-R SM.1540 additionally covers cases of unwanted emissions in the OoB domain falling into adjacent allocated bands;</w:t>
      </w:r>
    </w:p>
    <w:p w:rsidR="0040081F" w:rsidRDefault="0040081F" w:rsidP="0040081F">
      <w:pPr>
        <w:rPr>
          <w:lang w:val="en-US"/>
        </w:rPr>
      </w:pPr>
      <w:r>
        <w:rPr>
          <w:lang w:val="en-US"/>
        </w:rPr>
        <w:t>b)</w:t>
      </w:r>
      <w:r>
        <w:rPr>
          <w:lang w:val="en-US"/>
        </w:rPr>
        <w:tab/>
        <w:t>that the studies required by Question ITU-R 222/1, approved by Radiocommunication Assembly 2000, could have formal and substantial impact to basic definitions used in this Recommendation. It may be necessary to revise this Recommendation in the future to reflect the results of these studies,</w:t>
      </w:r>
    </w:p>
    <w:p w:rsidR="0040081F" w:rsidRDefault="0040081F" w:rsidP="00925DCD">
      <w:pPr>
        <w:pStyle w:val="Call"/>
        <w:rPr>
          <w:lang w:val="en-US"/>
        </w:rPr>
      </w:pPr>
      <w:r>
        <w:rPr>
          <w:lang w:val="en-US"/>
        </w:rPr>
        <w:lastRenderedPageBreak/>
        <w:t>recommends</w:t>
      </w:r>
    </w:p>
    <w:p w:rsidR="0040081F" w:rsidRDefault="0040081F" w:rsidP="00925DCD">
      <w:pPr>
        <w:pStyle w:val="Heading1"/>
        <w:spacing w:before="240"/>
        <w:rPr>
          <w:lang w:val="en-US"/>
        </w:rPr>
      </w:pPr>
      <w:r>
        <w:rPr>
          <w:lang w:val="en-US"/>
        </w:rPr>
        <w:t>1</w:t>
      </w:r>
      <w:r>
        <w:rPr>
          <w:lang w:val="en-US"/>
        </w:rPr>
        <w:tab/>
        <w:t>Terminology and definitions</w:t>
      </w:r>
    </w:p>
    <w:p w:rsidR="0040081F" w:rsidRDefault="0040081F" w:rsidP="00701A4D">
      <w:pPr>
        <w:keepNext/>
        <w:rPr>
          <w:lang w:val="en-US"/>
        </w:rPr>
      </w:pPr>
      <w:r>
        <w:rPr>
          <w:lang w:val="en-US"/>
        </w:rPr>
        <w:t>that the following additional terms and definitions should be used:</w:t>
      </w:r>
    </w:p>
    <w:p w:rsidR="0040081F" w:rsidRDefault="0040081F" w:rsidP="00925DCD">
      <w:pPr>
        <w:pStyle w:val="Heading2"/>
        <w:rPr>
          <w:lang w:val="en-US"/>
        </w:rPr>
      </w:pPr>
      <w:r>
        <w:rPr>
          <w:lang w:val="en-US"/>
        </w:rPr>
        <w:t>1.1</w:t>
      </w:r>
      <w:r>
        <w:rPr>
          <w:lang w:val="en-US"/>
        </w:rPr>
        <w:tab/>
        <w:t>Spurious domain</w:t>
      </w:r>
      <w:r w:rsidR="00F67ECF">
        <w:rPr>
          <w:rStyle w:val="FootnoteReference"/>
          <w:lang w:val="en-US"/>
        </w:rPr>
        <w:footnoteReference w:id="3"/>
      </w:r>
    </w:p>
    <w:p w:rsidR="0040081F" w:rsidRDefault="0040081F" w:rsidP="0040081F">
      <w:pPr>
        <w:rPr>
          <w:lang w:val="en-US"/>
        </w:rPr>
      </w:pPr>
      <w:r>
        <w:rPr>
          <w:lang w:val="en-US"/>
        </w:rPr>
        <w:t>(of an emission): the frequency range beyond the OoB domain in which spurious emissions generally predominate.</w:t>
      </w:r>
    </w:p>
    <w:p w:rsidR="0040081F" w:rsidRDefault="0040081F" w:rsidP="0040081F">
      <w:pPr>
        <w:pStyle w:val="Heading2"/>
        <w:rPr>
          <w:vertAlign w:val="superscript"/>
          <w:lang w:val="en-US"/>
        </w:rPr>
      </w:pPr>
      <w:r>
        <w:rPr>
          <w:lang w:val="en-US"/>
        </w:rPr>
        <w:t>1.2</w:t>
      </w:r>
      <w:r>
        <w:rPr>
          <w:lang w:val="en-US"/>
        </w:rPr>
        <w:tab/>
        <w:t>OoB domain</w:t>
      </w:r>
      <w:r>
        <w:rPr>
          <w:position w:val="6"/>
          <w:sz w:val="18"/>
          <w:lang w:val="en-US"/>
        </w:rPr>
        <w:t>1</w:t>
      </w:r>
    </w:p>
    <w:p w:rsidR="0040081F" w:rsidRDefault="0040081F" w:rsidP="0040081F">
      <w:pPr>
        <w:rPr>
          <w:lang w:val="en-US"/>
        </w:rPr>
      </w:pPr>
      <w:r>
        <w:rPr>
          <w:lang w:val="en-US"/>
        </w:rPr>
        <w:t xml:space="preserve">(of an emission): the frequency range, immediately outside the necessary bandwidth but excluding the </w:t>
      </w:r>
      <w:r>
        <w:rPr>
          <w:iCs/>
          <w:lang w:val="en-US"/>
        </w:rPr>
        <w:t>spurious domain</w:t>
      </w:r>
      <w:r>
        <w:rPr>
          <w:lang w:val="en-US"/>
        </w:rPr>
        <w:t xml:space="preserve">, in which </w:t>
      </w:r>
      <w:r>
        <w:rPr>
          <w:iCs/>
          <w:lang w:val="en-US"/>
        </w:rPr>
        <w:t>OoB emissions</w:t>
      </w:r>
      <w:r>
        <w:rPr>
          <w:lang w:val="en-US"/>
        </w:rPr>
        <w:t xml:space="preserve"> generally predominate.</w:t>
      </w:r>
    </w:p>
    <w:p w:rsidR="0040081F" w:rsidRDefault="0040081F" w:rsidP="0040081F">
      <w:pPr>
        <w:pStyle w:val="Heading2"/>
        <w:rPr>
          <w:lang w:val="en-US"/>
        </w:rPr>
      </w:pPr>
      <w:r>
        <w:rPr>
          <w:lang w:val="en-US"/>
        </w:rPr>
        <w:t>1.3</w:t>
      </w:r>
      <w:r>
        <w:rPr>
          <w:lang w:val="en-US"/>
        </w:rPr>
        <w:tab/>
        <w:t>dBsd and dBasd</w:t>
      </w:r>
    </w:p>
    <w:p w:rsidR="0040081F" w:rsidRDefault="0040081F" w:rsidP="0040081F">
      <w:pPr>
        <w:rPr>
          <w:lang w:val="en-US"/>
        </w:rPr>
      </w:pPr>
      <w:r>
        <w:rPr>
          <w:lang w:val="en-US"/>
        </w:rPr>
        <w:t>dBsd: decibels relative to the maximum value of power spectral density (psd) within the necessary bandwidth. The maximum value of psd of a random signal is found by determining the mean power in the reference bandwidth when that reference bandwidth is positioned in frequency such that the result is maximized. The reference bandwidth should be the same regardless of where it is centred and is as specified in § 1.6.</w:t>
      </w:r>
    </w:p>
    <w:p w:rsidR="0040081F" w:rsidRDefault="0040081F" w:rsidP="0040081F">
      <w:pPr>
        <w:rPr>
          <w:lang w:val="en-US"/>
        </w:rPr>
      </w:pPr>
      <w:r>
        <w:rPr>
          <w:lang w:val="en-US"/>
        </w:rPr>
        <w:t>dBasd: decibels relative to the average value of psd within the necessary bandwidth. The average value of psd of a random signal is found by computing the mean power in the reference bandwidth and averaging that result over the necessary bandwidth. The reference bandwidth is as specified in § 1.6.</w:t>
      </w:r>
    </w:p>
    <w:p w:rsidR="00701A4D" w:rsidRDefault="00701A4D" w:rsidP="00701A4D">
      <w:pPr>
        <w:pStyle w:val="Heading2"/>
        <w:rPr>
          <w:lang w:val="en-US"/>
        </w:rPr>
      </w:pPr>
      <w:r>
        <w:rPr>
          <w:lang w:val="en-US"/>
        </w:rPr>
        <w:t>1.4</w:t>
      </w:r>
      <w:r>
        <w:rPr>
          <w:lang w:val="en-US"/>
        </w:rPr>
        <w:tab/>
        <w:t>dBc</w:t>
      </w:r>
    </w:p>
    <w:p w:rsidR="00701A4D" w:rsidRDefault="00701A4D" w:rsidP="00701A4D">
      <w:pPr>
        <w:rPr>
          <w:lang w:val="en-US"/>
        </w:rPr>
      </w:pPr>
      <w:r>
        <w:rPr>
          <w:lang w:val="en-US"/>
        </w:rPr>
        <w:t xml:space="preserve">Decibels relative to the unmodulated carrier power of the emission. In the cases which do not have a carrier, for example in some digital modulation schemes where the carrier is not accessible for measurement, the reference level equivalent to dBc is dB relative to the mean power </w:t>
      </w:r>
      <w:r>
        <w:rPr>
          <w:i/>
          <w:iCs/>
          <w:lang w:val="en-US"/>
        </w:rPr>
        <w:t>P</w:t>
      </w:r>
      <w:r>
        <w:rPr>
          <w:lang w:val="en-US"/>
        </w:rPr>
        <w:t>.</w:t>
      </w:r>
    </w:p>
    <w:p w:rsidR="00701A4D" w:rsidRDefault="00701A4D" w:rsidP="00701A4D">
      <w:pPr>
        <w:pStyle w:val="Heading2"/>
        <w:rPr>
          <w:lang w:val="en-US"/>
        </w:rPr>
      </w:pPr>
      <w:r>
        <w:rPr>
          <w:lang w:val="en-US"/>
        </w:rPr>
        <w:t>1.5</w:t>
      </w:r>
      <w:r>
        <w:rPr>
          <w:lang w:val="en-US"/>
        </w:rPr>
        <w:tab/>
        <w:t>dBpp</w:t>
      </w:r>
    </w:p>
    <w:p w:rsidR="00701A4D" w:rsidRDefault="00701A4D" w:rsidP="00701A4D">
      <w:pPr>
        <w:rPr>
          <w:lang w:val="en-US"/>
        </w:rPr>
      </w:pPr>
      <w:r>
        <w:rPr>
          <w:lang w:val="en-US"/>
        </w:rPr>
        <w:t>Decibels relative to the maximum value of the peak power, measured with the reference bandwidth within the occupied bandwidth. The in-band peak power is expressed in the same reference bandwidth as the OoB peak power. Both the in-band and the unwanted emissions should be evaluated in terms of peak values. For radar systems, the reference bandwidth should be selected according to Recommendation ITU-R M.1177.</w:t>
      </w:r>
    </w:p>
    <w:p w:rsidR="00F67ECF" w:rsidRDefault="00F67ECF" w:rsidP="0040081F">
      <w:pPr>
        <w:pStyle w:val="FigureNo"/>
      </w:pPr>
      <w:r>
        <w:lastRenderedPageBreak/>
        <w:t>FIGURE 1</w:t>
      </w:r>
    </w:p>
    <w:p w:rsidR="00F67ECF" w:rsidRPr="00F67ECF" w:rsidRDefault="00273E2F" w:rsidP="00F67ECF">
      <w:pPr>
        <w:pStyle w:val="Figure"/>
      </w:pPr>
      <w:r>
        <w:rPr>
          <w:noProof/>
          <w:lang w:val="en-US" w:eastAsia="zh-CN"/>
        </w:rPr>
        <w:drawing>
          <wp:inline distT="0" distB="0" distL="0" distR="0" wp14:anchorId="79F8111A" wp14:editId="3CB51D23">
            <wp:extent cx="5073650" cy="297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3650" cy="2971800"/>
                    </a:xfrm>
                    <a:prstGeom prst="rect">
                      <a:avLst/>
                    </a:prstGeom>
                    <a:noFill/>
                    <a:ln>
                      <a:noFill/>
                    </a:ln>
                  </pic:spPr>
                </pic:pic>
              </a:graphicData>
            </a:graphic>
          </wp:inline>
        </w:drawing>
      </w:r>
    </w:p>
    <w:p w:rsidR="00F67ECF" w:rsidRPr="000D4195" w:rsidRDefault="00F67ECF" w:rsidP="0040081F">
      <w:pPr>
        <w:pStyle w:val="FigureNo"/>
        <w:rPr>
          <w:lang w:val="en-US"/>
        </w:rPr>
      </w:pPr>
      <w:r w:rsidRPr="000D4195">
        <w:rPr>
          <w:lang w:val="en-US"/>
        </w:rPr>
        <w:t>FIGURE 2</w:t>
      </w:r>
    </w:p>
    <w:p w:rsidR="00F67ECF" w:rsidRPr="000D4195" w:rsidRDefault="00F67ECF" w:rsidP="00F67ECF">
      <w:pPr>
        <w:pStyle w:val="Figuretitle"/>
        <w:rPr>
          <w:lang w:val="en-US"/>
        </w:rPr>
      </w:pPr>
      <w:r w:rsidRPr="000D4195">
        <w:rPr>
          <w:lang w:val="en-US"/>
        </w:rPr>
        <w:t>0 dBpp reference, maximum value of peak power</w:t>
      </w:r>
    </w:p>
    <w:p w:rsidR="00F67ECF" w:rsidRDefault="00273E2F" w:rsidP="00F67ECF">
      <w:pPr>
        <w:pStyle w:val="Figure"/>
      </w:pPr>
      <w:r>
        <w:rPr>
          <w:noProof/>
          <w:lang w:val="en-US" w:eastAsia="zh-CN"/>
        </w:rPr>
        <w:drawing>
          <wp:inline distT="0" distB="0" distL="0" distR="0" wp14:anchorId="0B2BA9F3" wp14:editId="252387C6">
            <wp:extent cx="3092450" cy="2647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450" cy="2647950"/>
                    </a:xfrm>
                    <a:prstGeom prst="rect">
                      <a:avLst/>
                    </a:prstGeom>
                    <a:noFill/>
                    <a:ln>
                      <a:noFill/>
                    </a:ln>
                  </pic:spPr>
                </pic:pic>
              </a:graphicData>
            </a:graphic>
          </wp:inline>
        </w:drawing>
      </w:r>
    </w:p>
    <w:p w:rsidR="0040081F" w:rsidRDefault="0040081F" w:rsidP="0040081F">
      <w:pPr>
        <w:pStyle w:val="Heading2"/>
        <w:rPr>
          <w:lang w:val="en-US"/>
        </w:rPr>
      </w:pPr>
      <w:r>
        <w:rPr>
          <w:lang w:val="en-US"/>
        </w:rPr>
        <w:t>1.6</w:t>
      </w:r>
      <w:r>
        <w:rPr>
          <w:lang w:val="en-US"/>
        </w:rPr>
        <w:tab/>
        <w:t>Reference bandwidth</w:t>
      </w:r>
    </w:p>
    <w:p w:rsidR="0040081F" w:rsidRDefault="0040081F" w:rsidP="0040081F">
      <w:pPr>
        <w:rPr>
          <w:lang w:val="en-US"/>
        </w:rPr>
      </w:pPr>
      <w:r>
        <w:rPr>
          <w:lang w:val="en-US"/>
        </w:rPr>
        <w:t>The bandwidth required for uniquely defining the OoB domain emission limits. If not explicitly given with the OoB domain emission limit, the reference bandwidth should be 1% of the necessary bandwidth. For radar systems the reference bandwidth should be selected in line with Recommendation ITU-R M.1177.</w:t>
      </w:r>
    </w:p>
    <w:p w:rsidR="0040081F" w:rsidRDefault="0040081F" w:rsidP="0040081F">
      <w:pPr>
        <w:pStyle w:val="Heading2"/>
        <w:rPr>
          <w:lang w:val="en-US"/>
        </w:rPr>
      </w:pPr>
      <w:r>
        <w:rPr>
          <w:lang w:val="en-US"/>
        </w:rPr>
        <w:t>1.7</w:t>
      </w:r>
      <w:r>
        <w:rPr>
          <w:lang w:val="en-US"/>
        </w:rPr>
        <w:tab/>
        <w:t>Measurement bandwidth</w:t>
      </w:r>
    </w:p>
    <w:p w:rsidR="0040081F" w:rsidRDefault="0040081F" w:rsidP="0040081F">
      <w:pPr>
        <w:rPr>
          <w:lang w:val="en-US"/>
        </w:rPr>
      </w:pPr>
      <w:r>
        <w:rPr>
          <w:lang w:val="en-US"/>
        </w:rPr>
        <w:t>The bandwidth which is technically appropriate for the measurement of a specific system. In common spectrum analysers this is generally referred as the resolution bandwidth.</w:t>
      </w:r>
    </w:p>
    <w:p w:rsidR="0040081F" w:rsidRDefault="0040081F" w:rsidP="0040081F">
      <w:pPr>
        <w:pStyle w:val="Note"/>
        <w:rPr>
          <w:lang w:val="en-US"/>
        </w:rPr>
      </w:pPr>
      <w:r>
        <w:rPr>
          <w:lang w:val="en-US"/>
        </w:rPr>
        <w:t>NOTE 1 – The measurement bandwidth may differ from the reference bandwidth, provided the results can be converted to the required reference bandwidth.</w:t>
      </w:r>
    </w:p>
    <w:p w:rsidR="0040081F" w:rsidRDefault="0040081F" w:rsidP="0040081F">
      <w:pPr>
        <w:pStyle w:val="Heading2"/>
        <w:rPr>
          <w:lang w:val="en-US"/>
        </w:rPr>
      </w:pPr>
      <w:r>
        <w:rPr>
          <w:lang w:val="en-US"/>
        </w:rPr>
        <w:lastRenderedPageBreak/>
        <w:t>1.8</w:t>
      </w:r>
      <w:r>
        <w:rPr>
          <w:lang w:val="en-US"/>
        </w:rPr>
        <w:tab/>
        <w:t>psd</w:t>
      </w:r>
    </w:p>
    <w:p w:rsidR="0040081F" w:rsidRDefault="0040081F" w:rsidP="0040081F">
      <w:pPr>
        <w:rPr>
          <w:lang w:val="en-US"/>
        </w:rPr>
      </w:pPr>
      <w:r>
        <w:rPr>
          <w:lang w:val="en-US"/>
        </w:rPr>
        <w:t>For the purpose of this Recommendation, psd is the mean power per reference bandwidth.</w:t>
      </w:r>
    </w:p>
    <w:p w:rsidR="0040081F" w:rsidRDefault="0040081F" w:rsidP="0040081F">
      <w:pPr>
        <w:pStyle w:val="Heading2"/>
        <w:rPr>
          <w:lang w:val="en-US"/>
        </w:rPr>
      </w:pPr>
      <w:r>
        <w:rPr>
          <w:lang w:val="en-US"/>
        </w:rPr>
        <w:t>1.9</w:t>
      </w:r>
      <w:r>
        <w:rPr>
          <w:lang w:val="en-US"/>
        </w:rPr>
        <w:tab/>
        <w:t xml:space="preserve">Mean power </w:t>
      </w:r>
    </w:p>
    <w:p w:rsidR="0040081F" w:rsidRDefault="0040081F" w:rsidP="0040081F">
      <w:pPr>
        <w:rPr>
          <w:lang w:val="en-US"/>
        </w:rPr>
      </w:pPr>
      <w:r>
        <w:rPr>
          <w:lang w:val="en-US"/>
        </w:rPr>
        <w:t>Power integrated over a specified frequency band using measurements of the psd or an equivalent method.</w:t>
      </w:r>
    </w:p>
    <w:p w:rsidR="0040081F" w:rsidRDefault="0040081F" w:rsidP="0040081F">
      <w:pPr>
        <w:pStyle w:val="Heading2"/>
        <w:rPr>
          <w:lang w:val="en-US"/>
        </w:rPr>
      </w:pPr>
      <w:r>
        <w:rPr>
          <w:lang w:val="en-US"/>
        </w:rPr>
        <w:t>1.10</w:t>
      </w:r>
      <w:r>
        <w:rPr>
          <w:lang w:val="en-US"/>
        </w:rPr>
        <w:tab/>
        <w:t>Adjacent channel mean power</w:t>
      </w:r>
    </w:p>
    <w:p w:rsidR="0040081F" w:rsidRDefault="0040081F" w:rsidP="0040081F">
      <w:pPr>
        <w:rPr>
          <w:lang w:val="en-US"/>
        </w:rPr>
      </w:pPr>
      <w:r>
        <w:rPr>
          <w:lang w:val="en-US"/>
        </w:rPr>
        <w:t>Power integrated over the bandwidth of a channel adjacent to an occupied channel using measure</w:t>
      </w:r>
      <w:r>
        <w:rPr>
          <w:lang w:val="en-US"/>
        </w:rPr>
        <w:softHyphen/>
        <w:t>ments of the psd or an equivalent method.</w:t>
      </w:r>
    </w:p>
    <w:p w:rsidR="0040081F" w:rsidRDefault="0040081F" w:rsidP="0040081F">
      <w:pPr>
        <w:pStyle w:val="Heading2"/>
        <w:rPr>
          <w:lang w:val="en-US"/>
        </w:rPr>
      </w:pPr>
      <w:r>
        <w:rPr>
          <w:lang w:val="en-US"/>
        </w:rPr>
        <w:t>1.11</w:t>
      </w:r>
      <w:r>
        <w:rPr>
          <w:lang w:val="en-US"/>
        </w:rPr>
        <w:tab/>
        <w:t>Peak power</w:t>
      </w:r>
    </w:p>
    <w:p w:rsidR="0040081F" w:rsidRDefault="0040081F" w:rsidP="0040081F">
      <w:pPr>
        <w:rPr>
          <w:lang w:val="en-US"/>
        </w:rPr>
      </w:pPr>
      <w:r>
        <w:rPr>
          <w:lang w:val="en-US"/>
        </w:rPr>
        <w:t>Power measured with the peak detector using a filter the width and shape of which is sufficient to accept the signal bandwidth.</w:t>
      </w:r>
    </w:p>
    <w:p w:rsidR="0040081F" w:rsidRDefault="0040081F" w:rsidP="0040081F">
      <w:pPr>
        <w:pStyle w:val="Heading2"/>
        <w:rPr>
          <w:lang w:val="en-US"/>
        </w:rPr>
      </w:pPr>
      <w:r>
        <w:rPr>
          <w:lang w:val="en-US"/>
        </w:rPr>
        <w:t>1.12</w:t>
      </w:r>
      <w:r>
        <w:rPr>
          <w:lang w:val="en-US"/>
        </w:rPr>
        <w:tab/>
        <w:t>Adjacent channel peak power</w:t>
      </w:r>
    </w:p>
    <w:p w:rsidR="0040081F" w:rsidRDefault="0040081F" w:rsidP="0040081F">
      <w:pPr>
        <w:rPr>
          <w:lang w:val="en-US"/>
        </w:rPr>
      </w:pPr>
      <w:r>
        <w:rPr>
          <w:lang w:val="en-US"/>
        </w:rPr>
        <w:t>Peak power measured in the bandwidth of a channel adjacent to an occupied channel using a specified channel filter.</w:t>
      </w:r>
    </w:p>
    <w:p w:rsidR="0040081F" w:rsidRDefault="0040081F" w:rsidP="0040081F">
      <w:pPr>
        <w:pStyle w:val="Heading2"/>
        <w:rPr>
          <w:lang w:val="en-US"/>
        </w:rPr>
      </w:pPr>
      <w:r>
        <w:rPr>
          <w:lang w:val="en-US"/>
        </w:rPr>
        <w:t>1.13</w:t>
      </w:r>
      <w:r>
        <w:rPr>
          <w:lang w:val="en-US"/>
        </w:rPr>
        <w:tab/>
        <w:t>Total assigned band</w:t>
      </w:r>
    </w:p>
    <w:p w:rsidR="0040081F" w:rsidRDefault="0040081F" w:rsidP="0040081F">
      <w:pPr>
        <w:rPr>
          <w:color w:val="000000"/>
          <w:lang w:val="en-US"/>
        </w:rPr>
      </w:pPr>
      <w:r>
        <w:rPr>
          <w:lang w:val="en-US"/>
        </w:rPr>
        <w:t xml:space="preserve">Sum of contiguous assigned bands of a system </w:t>
      </w:r>
      <w:r>
        <w:rPr>
          <w:color w:val="000000"/>
          <w:lang w:val="en-US"/>
        </w:rPr>
        <w:t>consistent with the RR Appendix</w:t>
      </w:r>
      <w:r>
        <w:rPr>
          <w:bCs/>
          <w:color w:val="000000"/>
          <w:lang w:val="en-US"/>
        </w:rPr>
        <w:t> 4</w:t>
      </w:r>
      <w:r>
        <w:rPr>
          <w:color w:val="000000"/>
          <w:lang w:val="en-US"/>
        </w:rPr>
        <w:t xml:space="preserve"> data provided to the BR and as authorized by an administration.</w:t>
      </w:r>
    </w:p>
    <w:p w:rsidR="0040081F" w:rsidRDefault="0040081F" w:rsidP="00F67ECF">
      <w:pPr>
        <w:pStyle w:val="Note"/>
        <w:rPr>
          <w:lang w:val="en-US"/>
        </w:rPr>
      </w:pPr>
      <w:r>
        <w:rPr>
          <w:lang w:val="en-US"/>
        </w:rPr>
        <w:t>NOTE 1 – For space services, when a system has multiple transponders/transmitters that operate in adjacent bands separated by a guardband, the total assigned band should include the guardbands. In such cases, the guardbands should be a small percentage of the transponder/transmitter bandwidth.</w:t>
      </w:r>
    </w:p>
    <w:p w:rsidR="0040081F" w:rsidRDefault="0040081F" w:rsidP="0040081F">
      <w:pPr>
        <w:pStyle w:val="Heading2"/>
        <w:rPr>
          <w:lang w:val="en-US"/>
        </w:rPr>
      </w:pPr>
      <w:r>
        <w:rPr>
          <w:lang w:val="en-US"/>
        </w:rPr>
        <w:t>1.14</w:t>
      </w:r>
      <w:r>
        <w:rPr>
          <w:lang w:val="en-US"/>
        </w:rPr>
        <w:tab/>
        <w:t>Total assigned bandwidth</w:t>
      </w:r>
    </w:p>
    <w:p w:rsidR="0040081F" w:rsidRDefault="0040081F" w:rsidP="0040081F">
      <w:pPr>
        <w:rPr>
          <w:lang w:val="en-US"/>
        </w:rPr>
      </w:pPr>
      <w:r>
        <w:rPr>
          <w:lang w:val="en-US"/>
        </w:rPr>
        <w:t>The width of the total assigned band;</w:t>
      </w:r>
    </w:p>
    <w:p w:rsidR="0040081F" w:rsidRDefault="0040081F" w:rsidP="0040081F">
      <w:pPr>
        <w:pStyle w:val="Heading1"/>
        <w:rPr>
          <w:lang w:val="en-US"/>
        </w:rPr>
      </w:pPr>
      <w:r>
        <w:rPr>
          <w:lang w:val="en-US"/>
        </w:rPr>
        <w:t>2</w:t>
      </w:r>
      <w:r>
        <w:rPr>
          <w:lang w:val="en-US"/>
        </w:rPr>
        <w:tab/>
        <w:t>Application of definitions</w:t>
      </w:r>
    </w:p>
    <w:p w:rsidR="0040081F" w:rsidRDefault="0040081F" w:rsidP="0040081F">
      <w:pPr>
        <w:rPr>
          <w:lang w:val="en-US"/>
        </w:rPr>
      </w:pPr>
      <w:r>
        <w:rPr>
          <w:lang w:val="en-US"/>
        </w:rPr>
        <w:t>that, when applying this Recommendation, guidance should be taken from the following:</w:t>
      </w:r>
    </w:p>
    <w:p w:rsidR="0040081F" w:rsidRDefault="0040081F" w:rsidP="0040081F">
      <w:pPr>
        <w:pStyle w:val="Heading2"/>
        <w:rPr>
          <w:lang w:val="en-US"/>
        </w:rPr>
      </w:pPr>
      <w:r>
        <w:rPr>
          <w:lang w:val="en-US"/>
        </w:rPr>
        <w:t>2.1</w:t>
      </w:r>
      <w:r>
        <w:rPr>
          <w:lang w:val="en-US"/>
        </w:rPr>
        <w:tab/>
        <w:t>OoB domain emissions</w:t>
      </w:r>
    </w:p>
    <w:p w:rsidR="0040081F" w:rsidRDefault="0040081F" w:rsidP="0040081F">
      <w:pPr>
        <w:rPr>
          <w:lang w:val="en-US"/>
        </w:rPr>
      </w:pPr>
      <w:r>
        <w:rPr>
          <w:lang w:val="en-US"/>
        </w:rPr>
        <w:t>Any emission outside the necessary bandwidth which occurs in the frequency range separated from the assigned frequency of the emission by less than 250% of the necessary bandwidth of the emission will generally be considered an emission in the OoB domain. However, this frequency separation may be dependent on the type of modulation, the maximum symbol rate in the case of digital modulation, the type of transmitter, and frequency coordination factors. For example, in the case of some digital, broadband, or pulse modulated systems, the frequency separation may need to differ from the 250% factor.</w:t>
      </w:r>
    </w:p>
    <w:p w:rsidR="0040081F" w:rsidRDefault="0040081F" w:rsidP="0040081F">
      <w:pPr>
        <w:rPr>
          <w:lang w:val="en-US"/>
        </w:rPr>
      </w:pPr>
      <w:r>
        <w:rPr>
          <w:lang w:val="en-US"/>
        </w:rPr>
        <w:t>Transmitter non-linearities may also spread in-band signal components into the frequency band of the OoB frequency ranges described in Annex 1, § 1.3. Further, transmitter oscillator sideband noise also may extend into that frequency range described in Annex 1, § 1.3. Since it may not be practical to isolate these emissions their level will tend to be included during OoB power measurements.</w:t>
      </w:r>
    </w:p>
    <w:p w:rsidR="0040081F" w:rsidRDefault="0040081F" w:rsidP="0040081F">
      <w:pPr>
        <w:pStyle w:val="Heading2"/>
        <w:rPr>
          <w:lang w:val="en-US"/>
        </w:rPr>
      </w:pPr>
      <w:r>
        <w:rPr>
          <w:lang w:val="en-US"/>
        </w:rPr>
        <w:lastRenderedPageBreak/>
        <w:t>2.2</w:t>
      </w:r>
      <w:r>
        <w:rPr>
          <w:lang w:val="en-US"/>
        </w:rPr>
        <w:tab/>
        <w:t xml:space="preserve">Spurious domain emissions </w:t>
      </w:r>
    </w:p>
    <w:p w:rsidR="0040081F" w:rsidRDefault="0040081F" w:rsidP="00E95CDC">
      <w:pPr>
        <w:rPr>
          <w:lang w:val="en-US"/>
        </w:rPr>
      </w:pPr>
      <w:r>
        <w:rPr>
          <w:lang w:val="en-US"/>
        </w:rPr>
        <w:t>For the purpose of this Recommendation all emissions, including intermodulation products, conversion products and parasitic emissions, which fall at frequencies separated from the centre frequency of the emission by 250% or more of the necessary bandwidth of the emission will generally be considered as emissions in the spurious domain. However, this frequency separation may be dependent on the type of modulation, the maximum symbol rate in the case of digital modulation, the type of transmitter, and frequency coordination factors. For example, in the case of some digital, broadband, or pulse-modulated systems, the frequency separation may need to differ from the 250% factor.</w:t>
      </w:r>
    </w:p>
    <w:p w:rsidR="0040081F" w:rsidRDefault="0040081F" w:rsidP="0040081F">
      <w:pPr>
        <w:rPr>
          <w:lang w:val="en-US"/>
        </w:rPr>
      </w:pPr>
      <w:r>
        <w:rPr>
          <w:lang w:val="en-US"/>
        </w:rPr>
        <w:t xml:space="preserve">For multichannel or multicarrier transmitters/transponders, where several carriers may be transmitted simultaneously from a final output amplifier or an active antenna, the centre frequency of the emission is taken to be the centre of either the assigned bandwidth of the station or of the </w:t>
      </w:r>
      <w:r w:rsidR="00D1100A">
        <w:rPr>
          <w:lang w:val="en-US"/>
        </w:rPr>
        <w:fldChar w:fldCharType="begin"/>
      </w:r>
      <w:r>
        <w:rPr>
          <w:lang w:val="en-US"/>
        </w:rPr>
        <w:instrText xml:space="preserve"> EQ  –3 dB</w:instrText>
      </w:r>
      <w:r w:rsidR="00D1100A">
        <w:rPr>
          <w:lang w:val="en-US"/>
        </w:rPr>
        <w:fldChar w:fldCharType="end"/>
      </w:r>
      <w:r>
        <w:rPr>
          <w:lang w:val="en-US"/>
        </w:rPr>
        <w:t xml:space="preserve"> bandwidth of the transmitter/transponder, using the lesser of the two bandwidths.</w:t>
      </w:r>
    </w:p>
    <w:p w:rsidR="0040081F" w:rsidRDefault="0040081F" w:rsidP="0040081F">
      <w:pPr>
        <w:pStyle w:val="Heading2"/>
        <w:rPr>
          <w:lang w:val="en-US"/>
        </w:rPr>
      </w:pPr>
      <w:r>
        <w:rPr>
          <w:lang w:val="en-US"/>
        </w:rPr>
        <w:t>2.3</w:t>
      </w:r>
      <w:r>
        <w:rPr>
          <w:lang w:val="en-US"/>
        </w:rPr>
        <w:tab/>
        <w:t>Necessary bandwidth and OoB domain</w:t>
      </w:r>
    </w:p>
    <w:p w:rsidR="0040081F" w:rsidRDefault="0040081F" w:rsidP="0040081F">
      <w:pPr>
        <w:rPr>
          <w:snapToGrid w:val="0"/>
          <w:lang w:val="en-US"/>
        </w:rPr>
      </w:pPr>
      <w:r>
        <w:rPr>
          <w:snapToGrid w:val="0"/>
          <w:lang w:val="en-US"/>
        </w:rPr>
        <w:t>In the case of narrow-band or wideband emissions (as defined in Recommendation ITU</w:t>
      </w:r>
      <w:r>
        <w:rPr>
          <w:snapToGrid w:val="0"/>
          <w:lang w:val="en-US"/>
        </w:rPr>
        <w:noBreakHyphen/>
        <w:t>R SM.1539), the extent of the OoB domain should be determined by using Table 1.</w:t>
      </w:r>
    </w:p>
    <w:p w:rsidR="0040081F" w:rsidRDefault="00F67ECF" w:rsidP="0040081F">
      <w:pPr>
        <w:pStyle w:val="TableNo"/>
        <w:rPr>
          <w:lang w:val="en-US"/>
        </w:rPr>
      </w:pPr>
      <w:r>
        <w:rPr>
          <w:lang w:val="en-US"/>
        </w:rPr>
        <w:t xml:space="preserve">TABLE </w:t>
      </w:r>
      <w:r w:rsidR="0040081F">
        <w:rPr>
          <w:lang w:val="en-US"/>
        </w:rPr>
        <w:t>1</w:t>
      </w:r>
    </w:p>
    <w:p w:rsidR="0040081F" w:rsidRDefault="0040081F" w:rsidP="0040081F">
      <w:pPr>
        <w:pStyle w:val="Tabletitle"/>
        <w:rPr>
          <w:lang w:val="en-US"/>
        </w:rPr>
      </w:pPr>
      <w:r>
        <w:rPr>
          <w:lang w:val="en-US"/>
        </w:rPr>
        <w:t>Start and end of OoB domain</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01"/>
        <w:gridCol w:w="1985"/>
        <w:gridCol w:w="2835"/>
        <w:gridCol w:w="3118"/>
      </w:tblGrid>
      <w:tr w:rsidR="0040081F" w:rsidRPr="00620821" w:rsidTr="00F67ECF">
        <w:trPr>
          <w:jc w:val="center"/>
        </w:trPr>
        <w:tc>
          <w:tcPr>
            <w:tcW w:w="1701" w:type="dxa"/>
            <w:vAlign w:val="center"/>
          </w:tcPr>
          <w:p w:rsidR="0040081F" w:rsidRDefault="0040081F" w:rsidP="00DC4EB6">
            <w:pPr>
              <w:pStyle w:val="Tablehead"/>
              <w:rPr>
                <w:lang w:val="en-US"/>
              </w:rPr>
            </w:pPr>
            <w:r>
              <w:rPr>
                <w:lang w:val="en-US"/>
              </w:rPr>
              <w:t>Type of emission</w:t>
            </w:r>
          </w:p>
        </w:tc>
        <w:tc>
          <w:tcPr>
            <w:tcW w:w="1985" w:type="dxa"/>
            <w:vAlign w:val="center"/>
          </w:tcPr>
          <w:p w:rsidR="0040081F" w:rsidRDefault="0040081F" w:rsidP="00DC4EB6">
            <w:pPr>
              <w:pStyle w:val="Tablehead"/>
              <w:rPr>
                <w:lang w:val="en-US"/>
              </w:rPr>
            </w:pPr>
            <w:r>
              <w:rPr>
                <w:lang w:val="en-US"/>
              </w:rPr>
              <w:t xml:space="preserve">If necessary bandwidth </w:t>
            </w:r>
            <w:r>
              <w:rPr>
                <w:lang w:val="en-US"/>
              </w:rPr>
              <w:br/>
            </w:r>
            <w:r>
              <w:rPr>
                <w:i/>
                <w:iCs/>
                <w:lang w:val="en-US"/>
              </w:rPr>
              <w:t>B</w:t>
            </w:r>
            <w:r w:rsidRPr="00F67ECF">
              <w:rPr>
                <w:i/>
                <w:iCs/>
                <w:vertAlign w:val="subscript"/>
                <w:lang w:val="en-US"/>
              </w:rPr>
              <w:t>N</w:t>
            </w:r>
            <w:r>
              <w:rPr>
                <w:lang w:val="en-US"/>
              </w:rPr>
              <w:t xml:space="preserve"> is:</w:t>
            </w:r>
          </w:p>
        </w:tc>
        <w:tc>
          <w:tcPr>
            <w:tcW w:w="2835" w:type="dxa"/>
            <w:vAlign w:val="center"/>
          </w:tcPr>
          <w:p w:rsidR="0040081F" w:rsidRDefault="0040081F" w:rsidP="00F67ECF">
            <w:pPr>
              <w:pStyle w:val="Tablehead"/>
              <w:rPr>
                <w:lang w:val="en-US"/>
              </w:rPr>
            </w:pPr>
            <w:r>
              <w:rPr>
                <w:lang w:val="en-US"/>
              </w:rPr>
              <w:t>Offset (</w:t>
            </w:r>
            <w:r>
              <w:sym w:font="Symbol" w:char="F0B1"/>
            </w:r>
            <w:r>
              <w:rPr>
                <w:lang w:val="en-US"/>
              </w:rPr>
              <w:t>) from the centre of the necessary bandwidth for the start of the</w:t>
            </w:r>
            <w:r w:rsidR="00F67ECF">
              <w:rPr>
                <w:lang w:val="en-US"/>
              </w:rPr>
              <w:br/>
            </w:r>
            <w:r>
              <w:rPr>
                <w:lang w:val="en-US"/>
              </w:rPr>
              <w:t>OoB domain</w:t>
            </w:r>
          </w:p>
        </w:tc>
        <w:tc>
          <w:tcPr>
            <w:tcW w:w="3118" w:type="dxa"/>
            <w:vAlign w:val="center"/>
          </w:tcPr>
          <w:p w:rsidR="0040081F" w:rsidRDefault="0040081F" w:rsidP="00DC4EB6">
            <w:pPr>
              <w:pStyle w:val="Tablehead"/>
              <w:rPr>
                <w:lang w:val="en-US"/>
              </w:rPr>
            </w:pPr>
            <w:r>
              <w:rPr>
                <w:lang w:val="en-US"/>
              </w:rPr>
              <w:t xml:space="preserve">Frequency separation between the centre frequency and the spurious boundary </w:t>
            </w:r>
          </w:p>
        </w:tc>
      </w:tr>
      <w:tr w:rsidR="0040081F" w:rsidTr="00F67ECF">
        <w:trPr>
          <w:jc w:val="center"/>
        </w:trPr>
        <w:tc>
          <w:tcPr>
            <w:tcW w:w="1701" w:type="dxa"/>
          </w:tcPr>
          <w:p w:rsidR="0040081F" w:rsidRDefault="0040081F" w:rsidP="00E95CDC">
            <w:pPr>
              <w:pStyle w:val="Tabletext"/>
              <w:jc w:val="left"/>
              <w:rPr>
                <w:lang w:val="en-US"/>
              </w:rPr>
            </w:pPr>
            <w:r>
              <w:rPr>
                <w:lang w:val="en-US"/>
              </w:rPr>
              <w:t>Narrow-band</w:t>
            </w:r>
          </w:p>
        </w:tc>
        <w:tc>
          <w:tcPr>
            <w:tcW w:w="1985" w:type="dxa"/>
          </w:tcPr>
          <w:p w:rsidR="0040081F" w:rsidRDefault="0040081F" w:rsidP="00E95CDC">
            <w:pPr>
              <w:pStyle w:val="Tabletext"/>
              <w:jc w:val="center"/>
              <w:rPr>
                <w:lang w:val="en-US"/>
              </w:rPr>
            </w:pPr>
            <w:r>
              <w:rPr>
                <w:lang w:val="en-US"/>
              </w:rPr>
              <w:t>&lt; </w:t>
            </w:r>
            <w:r>
              <w:rPr>
                <w:i/>
                <w:iCs/>
                <w:lang w:val="en-US"/>
              </w:rPr>
              <w:t>B</w:t>
            </w:r>
            <w:r w:rsidRPr="00F67ECF">
              <w:rPr>
                <w:i/>
                <w:iCs/>
                <w:vertAlign w:val="subscript"/>
                <w:lang w:val="en-US"/>
              </w:rPr>
              <w:t>L</w:t>
            </w:r>
            <w:r>
              <w:rPr>
                <w:sz w:val="26"/>
                <w:vertAlign w:val="subscript"/>
                <w:lang w:val="en-US"/>
              </w:rPr>
              <w:t xml:space="preserve"> </w:t>
            </w:r>
            <w:r>
              <w:rPr>
                <w:lang w:val="en-US"/>
              </w:rPr>
              <w:t>(see Note 1)</w:t>
            </w:r>
          </w:p>
        </w:tc>
        <w:tc>
          <w:tcPr>
            <w:tcW w:w="2835" w:type="dxa"/>
          </w:tcPr>
          <w:p w:rsidR="0040081F" w:rsidRDefault="0040081F" w:rsidP="00E95CDC">
            <w:pPr>
              <w:pStyle w:val="Tabletext"/>
              <w:jc w:val="center"/>
              <w:rPr>
                <w:lang w:val="en-US"/>
              </w:rPr>
            </w:pPr>
            <w:r>
              <w:rPr>
                <w:lang w:val="en-US"/>
              </w:rPr>
              <w:t>0.5 </w:t>
            </w:r>
            <w:r>
              <w:rPr>
                <w:i/>
                <w:iCs/>
                <w:lang w:val="en-US"/>
              </w:rPr>
              <w:t>B</w:t>
            </w:r>
            <w:r w:rsidRPr="00F67ECF">
              <w:rPr>
                <w:i/>
                <w:iCs/>
                <w:vertAlign w:val="subscript"/>
                <w:lang w:val="en-US"/>
              </w:rPr>
              <w:t>N</w:t>
            </w:r>
          </w:p>
        </w:tc>
        <w:tc>
          <w:tcPr>
            <w:tcW w:w="3118" w:type="dxa"/>
          </w:tcPr>
          <w:p w:rsidR="0040081F" w:rsidRDefault="0040081F" w:rsidP="00E95CDC">
            <w:pPr>
              <w:pStyle w:val="Tabletext"/>
              <w:jc w:val="center"/>
              <w:rPr>
                <w:lang w:val="en-US"/>
              </w:rPr>
            </w:pPr>
            <w:r>
              <w:rPr>
                <w:lang w:val="en-US"/>
              </w:rPr>
              <w:t>2.5 </w:t>
            </w:r>
            <w:r>
              <w:rPr>
                <w:i/>
                <w:iCs/>
                <w:lang w:val="en-US"/>
              </w:rPr>
              <w:t>B</w:t>
            </w:r>
            <w:r w:rsidRPr="00F67ECF">
              <w:rPr>
                <w:i/>
                <w:iCs/>
                <w:vertAlign w:val="subscript"/>
                <w:lang w:val="en-US"/>
              </w:rPr>
              <w:t>L</w:t>
            </w:r>
          </w:p>
        </w:tc>
      </w:tr>
      <w:tr w:rsidR="0040081F" w:rsidTr="00F67ECF">
        <w:trPr>
          <w:jc w:val="center"/>
        </w:trPr>
        <w:tc>
          <w:tcPr>
            <w:tcW w:w="1701" w:type="dxa"/>
          </w:tcPr>
          <w:p w:rsidR="0040081F" w:rsidRDefault="0040081F" w:rsidP="00E95CDC">
            <w:pPr>
              <w:pStyle w:val="Tabletext"/>
              <w:jc w:val="left"/>
              <w:rPr>
                <w:lang w:val="en-US"/>
              </w:rPr>
            </w:pPr>
            <w:smartTag w:uri="urn:schemas-microsoft-com:office:smarttags" w:element="City">
              <w:smartTag w:uri="urn:schemas-microsoft-com:office:smarttags" w:element="place">
                <w:r>
                  <w:rPr>
                    <w:lang w:val="en-US"/>
                  </w:rPr>
                  <w:t>Normal</w:t>
                </w:r>
              </w:smartTag>
            </w:smartTag>
          </w:p>
        </w:tc>
        <w:tc>
          <w:tcPr>
            <w:tcW w:w="1985" w:type="dxa"/>
          </w:tcPr>
          <w:p w:rsidR="0040081F" w:rsidRDefault="0040081F" w:rsidP="00E95CDC">
            <w:pPr>
              <w:pStyle w:val="Tabletext"/>
              <w:jc w:val="center"/>
              <w:rPr>
                <w:lang w:val="en-US"/>
              </w:rPr>
            </w:pPr>
            <w:r>
              <w:rPr>
                <w:i/>
                <w:iCs/>
                <w:lang w:val="en-US"/>
              </w:rPr>
              <w:t>B</w:t>
            </w:r>
            <w:r w:rsidRPr="00F67ECF">
              <w:rPr>
                <w:i/>
                <w:iCs/>
                <w:vertAlign w:val="subscript"/>
                <w:lang w:val="en-US"/>
              </w:rPr>
              <w:t>L</w:t>
            </w:r>
            <w:r>
              <w:rPr>
                <w:lang w:val="en-US"/>
              </w:rPr>
              <w:t xml:space="preserve"> to </w:t>
            </w:r>
            <w:r>
              <w:rPr>
                <w:i/>
                <w:iCs/>
                <w:lang w:val="en-US"/>
              </w:rPr>
              <w:t>B</w:t>
            </w:r>
            <w:r w:rsidRPr="00F67ECF">
              <w:rPr>
                <w:i/>
                <w:iCs/>
                <w:vertAlign w:val="subscript"/>
                <w:lang w:val="en-US"/>
              </w:rPr>
              <w:t>U</w:t>
            </w:r>
          </w:p>
        </w:tc>
        <w:tc>
          <w:tcPr>
            <w:tcW w:w="2835" w:type="dxa"/>
          </w:tcPr>
          <w:p w:rsidR="0040081F" w:rsidRDefault="0040081F" w:rsidP="00E95CDC">
            <w:pPr>
              <w:pStyle w:val="Tabletext"/>
              <w:jc w:val="center"/>
              <w:rPr>
                <w:lang w:val="en-US"/>
              </w:rPr>
            </w:pPr>
            <w:r>
              <w:rPr>
                <w:lang w:val="en-US"/>
              </w:rPr>
              <w:t>0.5 </w:t>
            </w:r>
            <w:r>
              <w:rPr>
                <w:i/>
                <w:iCs/>
                <w:lang w:val="en-US"/>
              </w:rPr>
              <w:t>B</w:t>
            </w:r>
            <w:r w:rsidRPr="00F67ECF">
              <w:rPr>
                <w:i/>
                <w:iCs/>
                <w:vertAlign w:val="subscript"/>
                <w:lang w:val="en-US"/>
              </w:rPr>
              <w:t>N</w:t>
            </w:r>
          </w:p>
        </w:tc>
        <w:tc>
          <w:tcPr>
            <w:tcW w:w="3118" w:type="dxa"/>
          </w:tcPr>
          <w:p w:rsidR="0040081F" w:rsidRDefault="0040081F" w:rsidP="00E95CDC">
            <w:pPr>
              <w:pStyle w:val="Tabletext"/>
              <w:jc w:val="center"/>
              <w:rPr>
                <w:lang w:val="en-US"/>
              </w:rPr>
            </w:pPr>
            <w:r>
              <w:rPr>
                <w:lang w:val="en-US"/>
              </w:rPr>
              <w:t>2.5 </w:t>
            </w:r>
            <w:r>
              <w:rPr>
                <w:i/>
                <w:iCs/>
                <w:lang w:val="en-US"/>
              </w:rPr>
              <w:t>B</w:t>
            </w:r>
            <w:r w:rsidRPr="00F67ECF">
              <w:rPr>
                <w:i/>
                <w:iCs/>
                <w:vertAlign w:val="subscript"/>
                <w:lang w:val="en-US"/>
              </w:rPr>
              <w:t>N</w:t>
            </w:r>
          </w:p>
        </w:tc>
      </w:tr>
      <w:tr w:rsidR="0040081F" w:rsidTr="00F67ECF">
        <w:trPr>
          <w:jc w:val="center"/>
        </w:trPr>
        <w:tc>
          <w:tcPr>
            <w:tcW w:w="1701" w:type="dxa"/>
            <w:tcBorders>
              <w:bottom w:val="single" w:sz="6" w:space="0" w:color="auto"/>
            </w:tcBorders>
          </w:tcPr>
          <w:p w:rsidR="0040081F" w:rsidRDefault="0040081F" w:rsidP="00E95CDC">
            <w:pPr>
              <w:pStyle w:val="Tabletext"/>
              <w:jc w:val="left"/>
              <w:rPr>
                <w:lang w:val="en-US"/>
              </w:rPr>
            </w:pPr>
            <w:r>
              <w:rPr>
                <w:lang w:val="en-US"/>
              </w:rPr>
              <w:t>Wideband</w:t>
            </w:r>
          </w:p>
        </w:tc>
        <w:tc>
          <w:tcPr>
            <w:tcW w:w="1985" w:type="dxa"/>
            <w:tcBorders>
              <w:bottom w:val="single" w:sz="6" w:space="0" w:color="auto"/>
            </w:tcBorders>
          </w:tcPr>
          <w:p w:rsidR="0040081F" w:rsidRDefault="0040081F" w:rsidP="00E95CDC">
            <w:pPr>
              <w:pStyle w:val="Tabletext"/>
              <w:jc w:val="center"/>
              <w:rPr>
                <w:lang w:val="en-US"/>
              </w:rPr>
            </w:pPr>
            <w:r>
              <w:rPr>
                <w:rFonts w:ascii="Symbol" w:hAnsi="Symbol"/>
                <w:lang w:val="en-US"/>
              </w:rPr>
              <w:t></w:t>
            </w:r>
            <w:r>
              <w:rPr>
                <w:lang w:val="en-US"/>
              </w:rPr>
              <w:t> </w:t>
            </w:r>
            <w:r>
              <w:rPr>
                <w:i/>
                <w:iCs/>
                <w:lang w:val="en-US"/>
              </w:rPr>
              <w:t>B</w:t>
            </w:r>
            <w:r w:rsidRPr="00F67ECF">
              <w:rPr>
                <w:i/>
                <w:iCs/>
                <w:vertAlign w:val="subscript"/>
                <w:lang w:val="en-US"/>
              </w:rPr>
              <w:t>U</w:t>
            </w:r>
          </w:p>
        </w:tc>
        <w:tc>
          <w:tcPr>
            <w:tcW w:w="2835" w:type="dxa"/>
            <w:tcBorders>
              <w:bottom w:val="single" w:sz="6" w:space="0" w:color="auto"/>
            </w:tcBorders>
          </w:tcPr>
          <w:p w:rsidR="0040081F" w:rsidRDefault="0040081F" w:rsidP="00E95CDC">
            <w:pPr>
              <w:pStyle w:val="Tabletext"/>
              <w:jc w:val="center"/>
              <w:rPr>
                <w:lang w:val="en-US"/>
              </w:rPr>
            </w:pPr>
            <w:r>
              <w:rPr>
                <w:lang w:val="en-US"/>
              </w:rPr>
              <w:t>0.5 </w:t>
            </w:r>
            <w:r>
              <w:rPr>
                <w:i/>
                <w:iCs/>
                <w:lang w:val="en-US"/>
              </w:rPr>
              <w:t>B</w:t>
            </w:r>
            <w:r w:rsidRPr="00F67ECF">
              <w:rPr>
                <w:i/>
                <w:iCs/>
                <w:vertAlign w:val="subscript"/>
                <w:lang w:val="en-US"/>
              </w:rPr>
              <w:t>N</w:t>
            </w:r>
          </w:p>
        </w:tc>
        <w:tc>
          <w:tcPr>
            <w:tcW w:w="3118" w:type="dxa"/>
            <w:tcBorders>
              <w:bottom w:val="single" w:sz="6" w:space="0" w:color="auto"/>
            </w:tcBorders>
          </w:tcPr>
          <w:p w:rsidR="0040081F" w:rsidRDefault="0040081F" w:rsidP="00E95CDC">
            <w:pPr>
              <w:pStyle w:val="Tabletext"/>
              <w:jc w:val="center"/>
              <w:rPr>
                <w:lang w:val="en-US"/>
              </w:rPr>
            </w:pPr>
            <w:r>
              <w:rPr>
                <w:i/>
                <w:iCs/>
                <w:lang w:val="en-US"/>
              </w:rPr>
              <w:t>B</w:t>
            </w:r>
            <w:r w:rsidRPr="00F67ECF">
              <w:rPr>
                <w:i/>
                <w:iCs/>
                <w:vertAlign w:val="subscript"/>
                <w:lang w:val="en-US"/>
              </w:rPr>
              <w:t>U</w:t>
            </w:r>
            <w:r>
              <w:rPr>
                <w:lang w:val="en-US"/>
              </w:rPr>
              <w:t> </w:t>
            </w:r>
            <w:r>
              <w:rPr>
                <w:rFonts w:ascii="Symbol" w:hAnsi="Symbol"/>
                <w:lang w:val="en-US"/>
              </w:rPr>
              <w:t></w:t>
            </w:r>
            <w:r>
              <w:rPr>
                <w:lang w:val="en-US"/>
              </w:rPr>
              <w:t> (1.5 </w:t>
            </w:r>
            <w:r>
              <w:rPr>
                <w:i/>
                <w:iCs/>
                <w:lang w:val="en-US"/>
              </w:rPr>
              <w:t>B</w:t>
            </w:r>
            <w:r w:rsidRPr="00F67ECF">
              <w:rPr>
                <w:i/>
                <w:iCs/>
                <w:vertAlign w:val="subscript"/>
                <w:lang w:val="en-US"/>
              </w:rPr>
              <w:t>N</w:t>
            </w:r>
            <w:r>
              <w:rPr>
                <w:lang w:val="en-US"/>
              </w:rPr>
              <w:t>)</w:t>
            </w:r>
          </w:p>
        </w:tc>
      </w:tr>
      <w:tr w:rsidR="0040081F" w:rsidRPr="00620821" w:rsidTr="00F67ECF">
        <w:trPr>
          <w:cantSplit/>
          <w:jc w:val="center"/>
        </w:trPr>
        <w:tc>
          <w:tcPr>
            <w:tcW w:w="9639" w:type="dxa"/>
            <w:gridSpan w:val="4"/>
            <w:tcBorders>
              <w:top w:val="single" w:sz="6" w:space="0" w:color="auto"/>
              <w:left w:val="nil"/>
              <w:bottom w:val="nil"/>
              <w:right w:val="nil"/>
            </w:tcBorders>
          </w:tcPr>
          <w:p w:rsidR="0040081F" w:rsidRDefault="0040081F" w:rsidP="00F67ECF">
            <w:pPr>
              <w:pStyle w:val="TableLegendNote"/>
              <w:rPr>
                <w:snapToGrid w:val="0"/>
              </w:rPr>
            </w:pPr>
            <w:r>
              <w:rPr>
                <w:snapToGrid w:val="0"/>
              </w:rPr>
              <w:t xml:space="preserve">NOTE 1 – When </w:t>
            </w:r>
            <w:r>
              <w:rPr>
                <w:i/>
              </w:rPr>
              <w:t>B</w:t>
            </w:r>
            <w:r w:rsidRPr="00F67ECF">
              <w:rPr>
                <w:i/>
                <w:iCs/>
                <w:vertAlign w:val="subscript"/>
              </w:rPr>
              <w:t>N</w:t>
            </w:r>
            <w:r>
              <w:rPr>
                <w:snapToGrid w:val="0"/>
              </w:rPr>
              <w:t> </w:t>
            </w:r>
            <w:r>
              <w:rPr>
                <w:rFonts w:ascii="Symbol" w:hAnsi="Symbol"/>
                <w:snapToGrid w:val="0"/>
              </w:rPr>
              <w:t></w:t>
            </w:r>
            <w:r>
              <w:rPr>
                <w:snapToGrid w:val="0"/>
              </w:rPr>
              <w:t> </w:t>
            </w:r>
            <w:r>
              <w:rPr>
                <w:i/>
              </w:rPr>
              <w:t>B</w:t>
            </w:r>
            <w:r w:rsidRPr="00F67ECF">
              <w:rPr>
                <w:i/>
                <w:iCs/>
                <w:vertAlign w:val="subscript"/>
              </w:rPr>
              <w:t>L</w:t>
            </w:r>
            <w:r>
              <w:rPr>
                <w:snapToGrid w:val="0"/>
              </w:rPr>
              <w:t xml:space="preserve">, no attenuation of unwanted emissions is recommended at frequency separations between 0.5 </w:t>
            </w:r>
            <w:r>
              <w:rPr>
                <w:i/>
              </w:rPr>
              <w:t>B</w:t>
            </w:r>
            <w:r w:rsidRPr="00F67ECF">
              <w:rPr>
                <w:i/>
                <w:iCs/>
                <w:vertAlign w:val="subscript"/>
              </w:rPr>
              <w:t>N</w:t>
            </w:r>
            <w:r>
              <w:rPr>
                <w:snapToGrid w:val="0"/>
              </w:rPr>
              <w:t xml:space="preserve"> to 0.5 </w:t>
            </w:r>
            <w:r>
              <w:rPr>
                <w:i/>
              </w:rPr>
              <w:t>B</w:t>
            </w:r>
            <w:r w:rsidRPr="00F67ECF">
              <w:rPr>
                <w:i/>
                <w:iCs/>
                <w:vertAlign w:val="subscript"/>
              </w:rPr>
              <w:t>L</w:t>
            </w:r>
            <w:r>
              <w:rPr>
                <w:snapToGrid w:val="0"/>
              </w:rPr>
              <w:t>.</w:t>
            </w:r>
          </w:p>
          <w:p w:rsidR="0040081F" w:rsidRDefault="0040081F" w:rsidP="00F67ECF">
            <w:pPr>
              <w:pStyle w:val="TableLegendNote"/>
            </w:pPr>
            <w:r>
              <w:rPr>
                <w:snapToGrid w:val="0"/>
              </w:rPr>
              <w:t>NOTE 2 </w:t>
            </w:r>
            <w:r>
              <w:t>– </w:t>
            </w:r>
            <w:r>
              <w:rPr>
                <w:i/>
                <w:iCs/>
              </w:rPr>
              <w:t>B</w:t>
            </w:r>
            <w:r w:rsidRPr="00F67ECF">
              <w:rPr>
                <w:i/>
                <w:iCs/>
                <w:vertAlign w:val="subscript"/>
              </w:rPr>
              <w:t>L</w:t>
            </w:r>
            <w:r>
              <w:t xml:space="preserve"> and </w:t>
            </w:r>
            <w:r>
              <w:rPr>
                <w:i/>
                <w:iCs/>
              </w:rPr>
              <w:t>B</w:t>
            </w:r>
            <w:r w:rsidRPr="00F67ECF">
              <w:rPr>
                <w:i/>
                <w:iCs/>
                <w:vertAlign w:val="subscript"/>
              </w:rPr>
              <w:t>U</w:t>
            </w:r>
            <w:r>
              <w:t xml:space="preserve"> are given in Recommendation ITU-R SM.1539.</w:t>
            </w:r>
          </w:p>
        </w:tc>
      </w:tr>
    </w:tbl>
    <w:p w:rsidR="0040081F" w:rsidRDefault="0040081F" w:rsidP="0040081F">
      <w:pPr>
        <w:pStyle w:val="Tablefin"/>
      </w:pPr>
    </w:p>
    <w:p w:rsidR="0040081F" w:rsidRDefault="0040081F" w:rsidP="0040081F">
      <w:pPr>
        <w:pStyle w:val="Heading3"/>
        <w:rPr>
          <w:snapToGrid w:val="0"/>
          <w:lang w:val="en-US"/>
        </w:rPr>
      </w:pPr>
      <w:r>
        <w:rPr>
          <w:lang w:val="en-US"/>
        </w:rPr>
        <w:t>2.3.1</w:t>
      </w:r>
      <w:r>
        <w:rPr>
          <w:lang w:val="en-US"/>
        </w:rPr>
        <w:tab/>
        <w:t>Single carrier emissions</w:t>
      </w:r>
    </w:p>
    <w:p w:rsidR="0040081F" w:rsidRDefault="0040081F" w:rsidP="0040081F">
      <w:pPr>
        <w:rPr>
          <w:snapToGrid w:val="0"/>
          <w:lang w:val="en-US"/>
        </w:rPr>
      </w:pPr>
      <w:r>
        <w:rPr>
          <w:snapToGrid w:val="0"/>
          <w:lang w:val="en-US"/>
        </w:rPr>
        <w:t>The value of necessary bandwidth that should be used for checking whether a single carrier emission complies with limits in the OoB domain should coincide with the value in the emission designator provided to the BR in accordance with RR Appendix</w:t>
      </w:r>
      <w:r>
        <w:rPr>
          <w:bCs/>
          <w:snapToGrid w:val="0"/>
          <w:lang w:val="en-US"/>
        </w:rPr>
        <w:t> 4</w:t>
      </w:r>
      <w:r>
        <w:rPr>
          <w:snapToGrid w:val="0"/>
          <w:lang w:val="en-US"/>
        </w:rPr>
        <w:t>.</w:t>
      </w:r>
    </w:p>
    <w:p w:rsidR="0040081F" w:rsidRDefault="0040081F" w:rsidP="0040081F">
      <w:pPr>
        <w:rPr>
          <w:snapToGrid w:val="0"/>
          <w:lang w:val="en-US"/>
        </w:rPr>
      </w:pPr>
      <w:r>
        <w:rPr>
          <w:snapToGrid w:val="0"/>
          <w:lang w:val="en-US"/>
        </w:rPr>
        <w:t>Some systems specify the OoB mask in terms of channel bandwidth or channel separation. These may be used as a substitute for necessary bandwidth provided they are found in ITU-R Recommen</w:t>
      </w:r>
      <w:r>
        <w:rPr>
          <w:snapToGrid w:val="0"/>
          <w:lang w:val="en-US"/>
        </w:rPr>
        <w:softHyphen/>
        <w:t>dations or in relevant regional and national regulations.</w:t>
      </w:r>
    </w:p>
    <w:p w:rsidR="0040081F" w:rsidRDefault="0040081F" w:rsidP="0040081F">
      <w:pPr>
        <w:pStyle w:val="Heading3"/>
        <w:rPr>
          <w:snapToGrid w:val="0"/>
          <w:lang w:val="en-US"/>
        </w:rPr>
      </w:pPr>
      <w:r>
        <w:rPr>
          <w:snapToGrid w:val="0"/>
          <w:lang w:val="en-US"/>
        </w:rPr>
        <w:t>2.3.2</w:t>
      </w:r>
      <w:r>
        <w:rPr>
          <w:snapToGrid w:val="0"/>
          <w:lang w:val="en-US"/>
        </w:rPr>
        <w:tab/>
        <w:t>Multicarrier emissions</w:t>
      </w:r>
    </w:p>
    <w:p w:rsidR="0040081F" w:rsidRDefault="0040081F" w:rsidP="0040081F">
      <w:pPr>
        <w:rPr>
          <w:snapToGrid w:val="0"/>
          <w:lang w:val="en-US"/>
        </w:rPr>
      </w:pPr>
      <w:r>
        <w:rPr>
          <w:snapToGrid w:val="0"/>
          <w:lang w:val="en-US"/>
        </w:rPr>
        <w:t>Multicarrier transmitters/transponders are those where multiple carriers may be transmitted simul</w:t>
      </w:r>
      <w:r>
        <w:rPr>
          <w:snapToGrid w:val="0"/>
          <w:lang w:val="en-US"/>
        </w:rPr>
        <w:softHyphen/>
        <w:t>taneously from a final amplifier or an active antenna.</w:t>
      </w:r>
    </w:p>
    <w:p w:rsidR="0040081F" w:rsidRDefault="0040081F" w:rsidP="0040081F">
      <w:pPr>
        <w:rPr>
          <w:lang w:val="en-US"/>
        </w:rPr>
      </w:pPr>
      <w:r>
        <w:rPr>
          <w:snapToGrid w:val="0"/>
          <w:lang w:val="en-US"/>
        </w:rPr>
        <w:t xml:space="preserve">For systems with multiple carriers, the OoB domain should start at the edges of the total assigned bandwidth. </w:t>
      </w:r>
      <w:r>
        <w:rPr>
          <w:lang w:val="en-US"/>
        </w:rPr>
        <w:t xml:space="preserve">For satellite systems, the necessary bandwidth used in the OoB masks provided in Annex 5 of this Recommendation and to determine the width of the OoB domain should be taken to </w:t>
      </w:r>
      <w:r>
        <w:rPr>
          <w:lang w:val="en-US"/>
        </w:rPr>
        <w:lastRenderedPageBreak/>
        <w:t>be the lesser of 3 dB transponder bandwidth or the total assigned bandwidth (Annex 2 provides two examples showing how to calculate the start and end of the OoB domain for multicarrier systems with single and multiple transponders per satellite).</w:t>
      </w:r>
    </w:p>
    <w:p w:rsidR="0040081F" w:rsidRDefault="0040081F" w:rsidP="0040081F">
      <w:pPr>
        <w:rPr>
          <w:lang w:val="en-US"/>
        </w:rPr>
      </w:pPr>
      <w:r>
        <w:rPr>
          <w:lang w:val="en-US"/>
        </w:rPr>
        <w:t>For space services, the above definition of necessary bandwidth applies when all or some of the carriers are being transmitted simultaneously.</w:t>
      </w:r>
    </w:p>
    <w:p w:rsidR="0040081F" w:rsidRDefault="0040081F" w:rsidP="0040081F">
      <w:pPr>
        <w:pStyle w:val="Heading2"/>
        <w:rPr>
          <w:lang w:val="en-US"/>
        </w:rPr>
      </w:pPr>
      <w:r>
        <w:rPr>
          <w:lang w:val="en-US"/>
        </w:rPr>
        <w:t>2.4</w:t>
      </w:r>
      <w:r>
        <w:rPr>
          <w:lang w:val="en-US"/>
        </w:rPr>
        <w:tab/>
        <w:t>Considerations on dBsd, dBc, and dBpp</w:t>
      </w:r>
    </w:p>
    <w:p w:rsidR="0040081F" w:rsidRDefault="0040081F" w:rsidP="00E95CDC">
      <w:pPr>
        <w:pStyle w:val="Heading3"/>
        <w:rPr>
          <w:lang w:val="en-US"/>
        </w:rPr>
      </w:pPr>
      <w:r>
        <w:rPr>
          <w:lang w:val="en-US"/>
        </w:rPr>
        <w:t>2.4.1</w:t>
      </w:r>
      <w:r>
        <w:rPr>
          <w:lang w:val="en-US"/>
        </w:rPr>
        <w:tab/>
        <w:t>Positive and negative signs for dBsd, dBc, and dBpp</w:t>
      </w:r>
    </w:p>
    <w:p w:rsidR="0040081F" w:rsidRDefault="0040081F" w:rsidP="0040081F">
      <w:pPr>
        <w:rPr>
          <w:lang w:val="en-US"/>
        </w:rPr>
      </w:pPr>
      <w:r>
        <w:rPr>
          <w:lang w:val="en-US"/>
        </w:rPr>
        <w:t>Since dBsd is defined as relative to some reference power spectral density, the OoB dBsd value is expressed using a negative number (for the usual case where the OoB psd is lower than the reference psd). However, if a term such as “dBsd below” or “Attenuation (dBsd)” is used, then the OoB domain emission value is expressed using a positive number.</w:t>
      </w:r>
    </w:p>
    <w:p w:rsidR="0040081F" w:rsidRDefault="0040081F" w:rsidP="0040081F">
      <w:pPr>
        <w:rPr>
          <w:lang w:val="en-US"/>
        </w:rPr>
      </w:pPr>
      <w:r>
        <w:rPr>
          <w:lang w:val="en-US"/>
        </w:rPr>
        <w:t>Since dBc is defined as relative to some reference power, the OoB dBc value is expressed using a negative number. However, if a term such as “dBc below” or “Attenuation (dBc)” is used, then the OoB domain emission value is expressed using a positive number.</w:t>
      </w:r>
    </w:p>
    <w:p w:rsidR="0040081F" w:rsidRDefault="0040081F" w:rsidP="0040081F">
      <w:pPr>
        <w:rPr>
          <w:lang w:val="en-US"/>
        </w:rPr>
      </w:pPr>
      <w:r>
        <w:rPr>
          <w:lang w:val="en-US"/>
        </w:rPr>
        <w:t>Since dBpp is defined as relative to some reference peak power, the OoB dBpp value is expressed using a negative number. However, if a term such as “dBpp below” or “Attenuation (dBpp)” is used, then the OoB domain emission value is expressed using a positive number.</w:t>
      </w:r>
    </w:p>
    <w:p w:rsidR="0040081F" w:rsidRDefault="0040081F" w:rsidP="0040081F">
      <w:pPr>
        <w:rPr>
          <w:lang w:val="en-US"/>
        </w:rPr>
      </w:pPr>
      <w:r>
        <w:rPr>
          <w:lang w:val="en-US"/>
        </w:rPr>
        <w:t>Annex 3 provides the way to label X and Y axes on dBc and dBsd masks.</w:t>
      </w:r>
    </w:p>
    <w:p w:rsidR="0040081F" w:rsidRDefault="0040081F" w:rsidP="0040081F">
      <w:pPr>
        <w:pStyle w:val="Heading3"/>
        <w:rPr>
          <w:lang w:val="en-US"/>
        </w:rPr>
      </w:pPr>
      <w:r>
        <w:rPr>
          <w:lang w:val="en-US"/>
        </w:rPr>
        <w:t>2.4.2</w:t>
      </w:r>
      <w:r>
        <w:rPr>
          <w:lang w:val="en-US"/>
        </w:rPr>
        <w:tab/>
        <w:t xml:space="preserve">Comparisons of dBsd and dBc </w:t>
      </w:r>
    </w:p>
    <w:p w:rsidR="0040081F" w:rsidRDefault="0040081F" w:rsidP="0040081F">
      <w:pPr>
        <w:rPr>
          <w:lang w:val="en-US"/>
        </w:rPr>
      </w:pPr>
      <w:r>
        <w:rPr>
          <w:lang w:val="en-US"/>
        </w:rPr>
        <w:t>Since dBsd and dBc do not have the same 0 dB reference, the same numeric dB value may cause dBsd emission limits that are more stringent than dBc emission limits. The chosen reference bandwidth will affect the amount of this difference. Thus, the type of mask, reference bandwidth, and mask values need to be established together.</w:t>
      </w:r>
    </w:p>
    <w:p w:rsidR="0040081F" w:rsidRDefault="0040081F" w:rsidP="00E95CDC">
      <w:pPr>
        <w:pStyle w:val="Heading3"/>
        <w:rPr>
          <w:lang w:val="en-US"/>
        </w:rPr>
      </w:pPr>
      <w:r>
        <w:rPr>
          <w:lang w:val="en-US"/>
        </w:rPr>
        <w:t>2.4.3</w:t>
      </w:r>
      <w:r>
        <w:rPr>
          <w:lang w:val="en-US"/>
        </w:rPr>
        <w:tab/>
        <w:t>Practical application of dBsd, dBc, and dBpp limits</w:t>
      </w:r>
    </w:p>
    <w:p w:rsidR="0040081F" w:rsidRDefault="0040081F" w:rsidP="0040081F">
      <w:pPr>
        <w:rPr>
          <w:lang w:val="en-US"/>
        </w:rPr>
      </w:pPr>
      <w:r>
        <w:rPr>
          <w:lang w:val="en-US"/>
        </w:rPr>
        <w:t>dBsd may be more practical for the following applications:</w:t>
      </w:r>
    </w:p>
    <w:p w:rsidR="0040081F" w:rsidRDefault="0040081F" w:rsidP="0040081F">
      <w:pPr>
        <w:pStyle w:val="enumlev1"/>
        <w:rPr>
          <w:lang w:val="en-US"/>
        </w:rPr>
      </w:pPr>
      <w:r>
        <w:rPr>
          <w:lang w:val="en-US"/>
        </w:rPr>
        <w:t>–</w:t>
      </w:r>
      <w:r>
        <w:rPr>
          <w:lang w:val="en-US"/>
        </w:rPr>
        <w:tab/>
        <w:t>digital modulation;</w:t>
      </w:r>
    </w:p>
    <w:p w:rsidR="0040081F" w:rsidRDefault="0040081F" w:rsidP="0040081F">
      <w:pPr>
        <w:pStyle w:val="enumlev1"/>
        <w:rPr>
          <w:lang w:val="en-US"/>
        </w:rPr>
      </w:pPr>
      <w:r>
        <w:rPr>
          <w:lang w:val="en-US"/>
        </w:rPr>
        <w:t>–</w:t>
      </w:r>
      <w:r>
        <w:rPr>
          <w:lang w:val="en-US"/>
        </w:rPr>
        <w:tab/>
        <w:t>modulation formats in which measurement of the carrier is impractical.</w:t>
      </w:r>
    </w:p>
    <w:p w:rsidR="0040081F" w:rsidRDefault="0040081F" w:rsidP="0040081F">
      <w:pPr>
        <w:rPr>
          <w:lang w:val="en-US"/>
        </w:rPr>
      </w:pPr>
      <w:r>
        <w:rPr>
          <w:lang w:val="en-US"/>
        </w:rPr>
        <w:t>dBc may be more practical for the following applications:</w:t>
      </w:r>
    </w:p>
    <w:p w:rsidR="0040081F" w:rsidRDefault="0040081F" w:rsidP="0040081F">
      <w:pPr>
        <w:pStyle w:val="enumlev1"/>
        <w:rPr>
          <w:lang w:val="en-US"/>
        </w:rPr>
      </w:pPr>
      <w:r>
        <w:rPr>
          <w:lang w:val="en-US"/>
        </w:rPr>
        <w:t>–</w:t>
      </w:r>
      <w:r>
        <w:rPr>
          <w:lang w:val="en-US"/>
        </w:rPr>
        <w:tab/>
        <w:t>analogue modulation;</w:t>
      </w:r>
    </w:p>
    <w:p w:rsidR="0040081F" w:rsidRDefault="0040081F" w:rsidP="0040081F">
      <w:pPr>
        <w:pStyle w:val="enumlev1"/>
        <w:rPr>
          <w:lang w:val="en-US"/>
        </w:rPr>
      </w:pPr>
      <w:r>
        <w:rPr>
          <w:lang w:val="en-US"/>
        </w:rPr>
        <w:t>–</w:t>
      </w:r>
      <w:r>
        <w:rPr>
          <w:lang w:val="en-US"/>
        </w:rPr>
        <w:tab/>
        <w:t>specific digital modulation systems;</w:t>
      </w:r>
    </w:p>
    <w:p w:rsidR="0040081F" w:rsidRDefault="0040081F" w:rsidP="0040081F">
      <w:pPr>
        <w:pStyle w:val="enumlev1"/>
        <w:rPr>
          <w:lang w:val="en-US"/>
        </w:rPr>
      </w:pPr>
      <w:r>
        <w:rPr>
          <w:lang w:val="en-US"/>
        </w:rPr>
        <w:t>–</w:t>
      </w:r>
      <w:r>
        <w:rPr>
          <w:lang w:val="en-US"/>
        </w:rPr>
        <w:tab/>
        <w:t>subsidiary limits for discrete emissions contained in the OoB domain when spectral density is specified in dBsd values.</w:t>
      </w:r>
    </w:p>
    <w:p w:rsidR="0040081F" w:rsidRDefault="0040081F" w:rsidP="00E95CDC">
      <w:pPr>
        <w:rPr>
          <w:lang w:val="en-US"/>
        </w:rPr>
      </w:pPr>
      <w:r>
        <w:rPr>
          <w:lang w:val="en-US"/>
        </w:rPr>
        <w:t>dBpp may be more practical for the following applications:</w:t>
      </w:r>
    </w:p>
    <w:p w:rsidR="0040081F" w:rsidRDefault="0040081F" w:rsidP="0040081F">
      <w:pPr>
        <w:pStyle w:val="enumlev1"/>
        <w:rPr>
          <w:lang w:val="en-US"/>
        </w:rPr>
      </w:pPr>
      <w:r>
        <w:rPr>
          <w:lang w:val="en-US"/>
        </w:rPr>
        <w:t>–</w:t>
      </w:r>
      <w:r>
        <w:rPr>
          <w:lang w:val="en-US"/>
        </w:rPr>
        <w:tab/>
        <w:t>specific pulsed modulation systems, e.g. radar, and certain specific analogue transmission systems;</w:t>
      </w:r>
    </w:p>
    <w:p w:rsidR="0040081F" w:rsidRDefault="0040081F" w:rsidP="0040081F">
      <w:pPr>
        <w:pStyle w:val="Heading1"/>
        <w:rPr>
          <w:lang w:val="en-US"/>
        </w:rPr>
      </w:pPr>
      <w:r>
        <w:rPr>
          <w:lang w:val="en-US"/>
        </w:rPr>
        <w:t>3</w:t>
      </w:r>
      <w:r>
        <w:rPr>
          <w:lang w:val="en-US"/>
        </w:rPr>
        <w:tab/>
        <w:t>Methods to determine conformance to OoB domain emission limits</w:t>
      </w:r>
    </w:p>
    <w:p w:rsidR="0040081F" w:rsidRDefault="0040081F" w:rsidP="0040081F">
      <w:pPr>
        <w:rPr>
          <w:lang w:val="en-US"/>
        </w:rPr>
      </w:pPr>
      <w:r>
        <w:rPr>
          <w:lang w:val="en-US"/>
        </w:rPr>
        <w:t>that the adjacent channel and alternate adjacent channel power method or the OoB spectrum mask method described in Annex 1 should be used to determine conformance to OoB domain emission requirements;</w:t>
      </w:r>
    </w:p>
    <w:p w:rsidR="0040081F" w:rsidRDefault="0040081F" w:rsidP="00F67ECF">
      <w:pPr>
        <w:pStyle w:val="Heading1"/>
        <w:rPr>
          <w:lang w:val="en-US"/>
        </w:rPr>
      </w:pPr>
      <w:r>
        <w:rPr>
          <w:lang w:val="en-US"/>
        </w:rPr>
        <w:lastRenderedPageBreak/>
        <w:t>4</w:t>
      </w:r>
      <w:r>
        <w:rPr>
          <w:lang w:val="en-US"/>
        </w:rPr>
        <w:tab/>
        <w:t>OoB domain emission limits for transmitters in the range of 9 kHz to 300 GHz</w:t>
      </w:r>
      <w:r w:rsidR="00F67ECF">
        <w:rPr>
          <w:rStyle w:val="FootnoteReference"/>
          <w:lang w:val="en-US"/>
        </w:rPr>
        <w:footnoteReference w:id="4"/>
      </w:r>
    </w:p>
    <w:p w:rsidR="0040081F" w:rsidRDefault="0040081F" w:rsidP="0040081F">
      <w:pPr>
        <w:rPr>
          <w:lang w:val="en-US"/>
        </w:rPr>
      </w:pPr>
      <w:r>
        <w:rPr>
          <w:lang w:val="en-US"/>
        </w:rPr>
        <w:t>that the spectrum limits specified in this Recommendation should be regarded as generic limits, which generally constitute the least restrictive OoB emission limits successfully used as national or regional regulations. These are sometimes called safety net limits. They are intended for use in bands where tighter limits are not otherwise required to protect specific applications (e.g. in areas having a high radiocommunications density).</w:t>
      </w:r>
    </w:p>
    <w:p w:rsidR="0040081F" w:rsidRDefault="0040081F" w:rsidP="0040081F">
      <w:pPr>
        <w:rPr>
          <w:lang w:val="en-US"/>
        </w:rPr>
      </w:pPr>
      <w:r>
        <w:rPr>
          <w:lang w:val="en-US"/>
        </w:rPr>
        <w:t>On this basis, the OoB domain emissions, to be applied to transmitters in the range of 9 kHz to 300 GHz, should be limited as given in Table 2.</w:t>
      </w:r>
    </w:p>
    <w:p w:rsidR="0040081F" w:rsidRDefault="0040081F" w:rsidP="0040081F">
      <w:pPr>
        <w:rPr>
          <w:lang w:val="en-US"/>
        </w:rPr>
      </w:pPr>
      <w:r>
        <w:rPr>
          <w:lang w:val="en-US"/>
        </w:rPr>
        <w:t>The applicability of Recommendations ITU</w:t>
      </w:r>
      <w:r>
        <w:rPr>
          <w:lang w:val="en-US"/>
        </w:rPr>
        <w:noBreakHyphen/>
        <w:t>R SM.1541 and ITU</w:t>
      </w:r>
      <w:r>
        <w:rPr>
          <w:lang w:val="en-US"/>
        </w:rPr>
        <w:noBreakHyphen/>
        <w:t>R SM.1540 is described in Annex 14.</w:t>
      </w:r>
    </w:p>
    <w:p w:rsidR="0040081F" w:rsidRDefault="0040081F" w:rsidP="0040081F">
      <w:pPr>
        <w:rPr>
          <w:lang w:val="en-US"/>
        </w:rPr>
      </w:pPr>
      <w:r>
        <w:rPr>
          <w:lang w:val="en-US"/>
        </w:rPr>
        <w:t>The development of more specific OoB domain emission limits for each system and in each frequency band should be encouraged by administrations. These limits would take into account the actual application, modulation, filtering capabilities of the system and would take care about co-frequency or adjacent bands operating systems, with a view to enhancing compatibility with other radio services.</w:t>
      </w:r>
    </w:p>
    <w:p w:rsidR="0040081F" w:rsidRDefault="0040081F" w:rsidP="0040081F">
      <w:pPr>
        <w:rPr>
          <w:lang w:val="en-US"/>
        </w:rPr>
      </w:pPr>
      <w:r>
        <w:rPr>
          <w:lang w:val="en-US"/>
        </w:rPr>
        <w:t>Examples of ITU-R Recommendations providing such more specific OoB emission limits for some systems in some frequency bands are listed in Annex 4.</w:t>
      </w:r>
    </w:p>
    <w:p w:rsidR="0040081F" w:rsidRDefault="0040081F" w:rsidP="00F67ECF">
      <w:pPr>
        <w:pStyle w:val="TableNo"/>
        <w:rPr>
          <w:lang w:val="en-US"/>
        </w:rPr>
      </w:pPr>
      <w:r>
        <w:rPr>
          <w:lang w:val="en-US"/>
        </w:rPr>
        <w:t>TABLE 2</w:t>
      </w:r>
    </w:p>
    <w:p w:rsidR="0040081F" w:rsidRDefault="0040081F" w:rsidP="0040081F">
      <w:pPr>
        <w:pStyle w:val="Tabletitle"/>
        <w:rPr>
          <w:lang w:val="en-US"/>
        </w:rPr>
      </w:pPr>
      <w:r>
        <w:rPr>
          <w:lang w:val="en-US"/>
        </w:rPr>
        <w:t>OoB domain emission spectrum limiting curves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70"/>
        <w:gridCol w:w="2722"/>
      </w:tblGrid>
      <w:tr w:rsidR="0040081F" w:rsidTr="00DC4EB6">
        <w:trPr>
          <w:jc w:val="center"/>
        </w:trPr>
        <w:tc>
          <w:tcPr>
            <w:tcW w:w="5670" w:type="dxa"/>
            <w:vAlign w:val="center"/>
          </w:tcPr>
          <w:p w:rsidR="0040081F" w:rsidRDefault="0040081F" w:rsidP="00F67ECF">
            <w:pPr>
              <w:pStyle w:val="Tablehead"/>
              <w:rPr>
                <w:lang w:val="en-US"/>
              </w:rPr>
            </w:pPr>
            <w:r>
              <w:rPr>
                <w:lang w:val="en-US"/>
              </w:rPr>
              <w:t>Service category in accordance with</w:t>
            </w:r>
            <w:r>
              <w:rPr>
                <w:lang w:val="en-US"/>
              </w:rPr>
              <w:br/>
              <w:t>RR Article 1, or equipment type</w:t>
            </w:r>
          </w:p>
        </w:tc>
        <w:tc>
          <w:tcPr>
            <w:tcW w:w="2722" w:type="dxa"/>
            <w:vAlign w:val="center"/>
          </w:tcPr>
          <w:p w:rsidR="0040081F" w:rsidRDefault="0040081F" w:rsidP="00F67ECF">
            <w:pPr>
              <w:pStyle w:val="Tablehead"/>
              <w:rPr>
                <w:lang w:val="en-US"/>
              </w:rPr>
            </w:pPr>
            <w:r>
              <w:rPr>
                <w:szCs w:val="24"/>
                <w:lang w:val="en-US"/>
              </w:rPr>
              <w:t>Emission</w:t>
            </w:r>
            <w:r>
              <w:rPr>
                <w:lang w:val="en-US"/>
              </w:rPr>
              <w:t xml:space="preserve"> mask</w:t>
            </w:r>
          </w:p>
        </w:tc>
      </w:tr>
      <w:tr w:rsidR="0040081F" w:rsidTr="00DC4EB6">
        <w:trPr>
          <w:jc w:val="center"/>
        </w:trPr>
        <w:tc>
          <w:tcPr>
            <w:tcW w:w="5670" w:type="dxa"/>
          </w:tcPr>
          <w:p w:rsidR="0040081F" w:rsidRDefault="0040081F" w:rsidP="00E95CDC">
            <w:pPr>
              <w:pStyle w:val="Tabletext"/>
              <w:jc w:val="left"/>
              <w:rPr>
                <w:lang w:val="en-US"/>
              </w:rPr>
            </w:pPr>
            <w:r>
              <w:rPr>
                <w:lang w:val="en-US"/>
              </w:rPr>
              <w:t>Space services (earth and space stations)</w:t>
            </w:r>
          </w:p>
        </w:tc>
        <w:tc>
          <w:tcPr>
            <w:tcW w:w="2722" w:type="dxa"/>
          </w:tcPr>
          <w:p w:rsidR="0040081F" w:rsidRDefault="0040081F" w:rsidP="00E95CDC">
            <w:pPr>
              <w:pStyle w:val="Tabletext"/>
              <w:jc w:val="center"/>
              <w:rPr>
                <w:lang w:val="en-US"/>
              </w:rPr>
            </w:pPr>
            <w:r>
              <w:rPr>
                <w:lang w:val="en-US"/>
              </w:rPr>
              <w:t>See Annex 5</w:t>
            </w:r>
          </w:p>
        </w:tc>
      </w:tr>
      <w:tr w:rsidR="0040081F" w:rsidTr="00DC4EB6">
        <w:trPr>
          <w:jc w:val="center"/>
        </w:trPr>
        <w:tc>
          <w:tcPr>
            <w:tcW w:w="5670" w:type="dxa"/>
          </w:tcPr>
          <w:p w:rsidR="0040081F" w:rsidRDefault="0040081F" w:rsidP="00E95CDC">
            <w:pPr>
              <w:pStyle w:val="Tabletext"/>
              <w:jc w:val="left"/>
              <w:rPr>
                <w:lang w:val="en-US"/>
              </w:rPr>
            </w:pPr>
            <w:r>
              <w:rPr>
                <w:lang w:val="en-US"/>
              </w:rPr>
              <w:t>Broadcast television</w:t>
            </w:r>
          </w:p>
        </w:tc>
        <w:tc>
          <w:tcPr>
            <w:tcW w:w="2722" w:type="dxa"/>
          </w:tcPr>
          <w:p w:rsidR="0040081F" w:rsidRDefault="0040081F" w:rsidP="00E95CDC">
            <w:pPr>
              <w:pStyle w:val="Tabletext"/>
              <w:jc w:val="center"/>
              <w:rPr>
                <w:lang w:val="en-US"/>
              </w:rPr>
            </w:pPr>
            <w:r>
              <w:rPr>
                <w:lang w:val="en-US"/>
              </w:rPr>
              <w:t>See Annex 6</w:t>
            </w:r>
          </w:p>
        </w:tc>
      </w:tr>
      <w:tr w:rsidR="0040081F" w:rsidTr="00DC4EB6">
        <w:trPr>
          <w:jc w:val="center"/>
        </w:trPr>
        <w:tc>
          <w:tcPr>
            <w:tcW w:w="5670" w:type="dxa"/>
          </w:tcPr>
          <w:p w:rsidR="0040081F" w:rsidRDefault="0040081F" w:rsidP="00E95CDC">
            <w:pPr>
              <w:pStyle w:val="Tabletext"/>
              <w:jc w:val="left"/>
              <w:rPr>
                <w:lang w:val="en-US"/>
              </w:rPr>
            </w:pPr>
            <w:r>
              <w:rPr>
                <w:lang w:val="en-US"/>
              </w:rPr>
              <w:t>Sound broadcasting</w:t>
            </w:r>
          </w:p>
        </w:tc>
        <w:tc>
          <w:tcPr>
            <w:tcW w:w="2722" w:type="dxa"/>
          </w:tcPr>
          <w:p w:rsidR="0040081F" w:rsidRDefault="0040081F" w:rsidP="00E95CDC">
            <w:pPr>
              <w:pStyle w:val="Tabletext"/>
              <w:jc w:val="center"/>
              <w:rPr>
                <w:lang w:val="en-US"/>
              </w:rPr>
            </w:pPr>
            <w:r>
              <w:rPr>
                <w:lang w:val="en-US"/>
              </w:rPr>
              <w:t>See Annex 7</w:t>
            </w:r>
          </w:p>
        </w:tc>
      </w:tr>
      <w:tr w:rsidR="0040081F" w:rsidTr="00DC4EB6">
        <w:trPr>
          <w:jc w:val="center"/>
        </w:trPr>
        <w:tc>
          <w:tcPr>
            <w:tcW w:w="5670" w:type="dxa"/>
          </w:tcPr>
          <w:p w:rsidR="0040081F" w:rsidRDefault="0040081F" w:rsidP="00E95CDC">
            <w:pPr>
              <w:pStyle w:val="Tabletext"/>
              <w:jc w:val="left"/>
              <w:rPr>
                <w:lang w:val="en-US"/>
              </w:rPr>
            </w:pPr>
            <w:r>
              <w:rPr>
                <w:lang w:val="en-US"/>
              </w:rPr>
              <w:t>Radar</w:t>
            </w:r>
          </w:p>
        </w:tc>
        <w:tc>
          <w:tcPr>
            <w:tcW w:w="2722" w:type="dxa"/>
          </w:tcPr>
          <w:p w:rsidR="0040081F" w:rsidRDefault="0040081F" w:rsidP="00E95CDC">
            <w:pPr>
              <w:pStyle w:val="Tabletext"/>
              <w:jc w:val="center"/>
              <w:rPr>
                <w:lang w:val="en-US"/>
              </w:rPr>
            </w:pPr>
            <w:r>
              <w:rPr>
                <w:lang w:val="en-US"/>
              </w:rPr>
              <w:t>See Annex 8</w:t>
            </w:r>
          </w:p>
        </w:tc>
      </w:tr>
      <w:tr w:rsidR="0040081F" w:rsidTr="00DC4EB6">
        <w:trPr>
          <w:jc w:val="center"/>
        </w:trPr>
        <w:tc>
          <w:tcPr>
            <w:tcW w:w="5670" w:type="dxa"/>
          </w:tcPr>
          <w:p w:rsidR="0040081F" w:rsidRDefault="0040081F" w:rsidP="00E95CDC">
            <w:pPr>
              <w:pStyle w:val="Tabletext"/>
              <w:jc w:val="left"/>
              <w:rPr>
                <w:lang w:val="en-US"/>
              </w:rPr>
            </w:pPr>
            <w:r>
              <w:rPr>
                <w:lang w:val="en-US"/>
              </w:rPr>
              <w:t xml:space="preserve">Amateur services </w:t>
            </w:r>
          </w:p>
        </w:tc>
        <w:tc>
          <w:tcPr>
            <w:tcW w:w="2722" w:type="dxa"/>
          </w:tcPr>
          <w:p w:rsidR="0040081F" w:rsidRDefault="0040081F" w:rsidP="00E95CDC">
            <w:pPr>
              <w:pStyle w:val="Tabletext"/>
              <w:jc w:val="center"/>
              <w:rPr>
                <w:lang w:val="en-US"/>
              </w:rPr>
            </w:pPr>
            <w:r>
              <w:rPr>
                <w:lang w:val="en-US"/>
              </w:rPr>
              <w:t>See Annex 9</w:t>
            </w:r>
          </w:p>
        </w:tc>
      </w:tr>
      <w:tr w:rsidR="0040081F" w:rsidTr="00DC4EB6">
        <w:trPr>
          <w:jc w:val="center"/>
        </w:trPr>
        <w:tc>
          <w:tcPr>
            <w:tcW w:w="5670" w:type="dxa"/>
          </w:tcPr>
          <w:p w:rsidR="0040081F" w:rsidRDefault="0040081F" w:rsidP="00E95CDC">
            <w:pPr>
              <w:pStyle w:val="Tabletext"/>
              <w:jc w:val="left"/>
              <w:rPr>
                <w:lang w:val="en-US"/>
              </w:rPr>
            </w:pPr>
            <w:r>
              <w:rPr>
                <w:lang w:val="en-US"/>
              </w:rPr>
              <w:t>Land mobile service</w:t>
            </w:r>
          </w:p>
        </w:tc>
        <w:tc>
          <w:tcPr>
            <w:tcW w:w="2722" w:type="dxa"/>
          </w:tcPr>
          <w:p w:rsidR="0040081F" w:rsidRDefault="0040081F" w:rsidP="00E95CDC">
            <w:pPr>
              <w:pStyle w:val="Tabletext"/>
              <w:jc w:val="center"/>
              <w:rPr>
                <w:lang w:val="en-US"/>
              </w:rPr>
            </w:pPr>
            <w:r>
              <w:rPr>
                <w:lang w:val="en-US"/>
              </w:rPr>
              <w:t>See Annex 10</w:t>
            </w:r>
          </w:p>
        </w:tc>
      </w:tr>
      <w:tr w:rsidR="0040081F" w:rsidTr="00DC4EB6">
        <w:trPr>
          <w:jc w:val="center"/>
        </w:trPr>
        <w:tc>
          <w:tcPr>
            <w:tcW w:w="5670" w:type="dxa"/>
          </w:tcPr>
          <w:p w:rsidR="0040081F" w:rsidRDefault="0040081F" w:rsidP="00E95CDC">
            <w:pPr>
              <w:pStyle w:val="Tabletext"/>
              <w:jc w:val="left"/>
              <w:rPr>
                <w:lang w:val="en-US"/>
              </w:rPr>
            </w:pPr>
            <w:r>
              <w:rPr>
                <w:lang w:val="en-US"/>
              </w:rPr>
              <w:t>Maritime and aeronautical mobile services</w:t>
            </w:r>
          </w:p>
        </w:tc>
        <w:tc>
          <w:tcPr>
            <w:tcW w:w="2722" w:type="dxa"/>
          </w:tcPr>
          <w:p w:rsidR="0040081F" w:rsidRDefault="0040081F" w:rsidP="00E95CDC">
            <w:pPr>
              <w:pStyle w:val="Tabletext"/>
              <w:jc w:val="center"/>
              <w:rPr>
                <w:lang w:val="en-US"/>
              </w:rPr>
            </w:pPr>
            <w:r>
              <w:rPr>
                <w:lang w:val="en-US"/>
              </w:rPr>
              <w:t>See Annex 11</w:t>
            </w:r>
          </w:p>
        </w:tc>
      </w:tr>
      <w:tr w:rsidR="0040081F" w:rsidTr="00DC4EB6">
        <w:trPr>
          <w:jc w:val="center"/>
        </w:trPr>
        <w:tc>
          <w:tcPr>
            <w:tcW w:w="5670" w:type="dxa"/>
          </w:tcPr>
          <w:p w:rsidR="0040081F" w:rsidRDefault="0040081F" w:rsidP="00E95CDC">
            <w:pPr>
              <w:pStyle w:val="Tabletext"/>
              <w:jc w:val="left"/>
              <w:rPr>
                <w:lang w:val="en-US"/>
              </w:rPr>
            </w:pPr>
            <w:r>
              <w:rPr>
                <w:lang w:val="en-US"/>
              </w:rPr>
              <w:t>Fixed service</w:t>
            </w:r>
          </w:p>
        </w:tc>
        <w:tc>
          <w:tcPr>
            <w:tcW w:w="2722" w:type="dxa"/>
          </w:tcPr>
          <w:p w:rsidR="0040081F" w:rsidRDefault="0040081F" w:rsidP="00E95CDC">
            <w:pPr>
              <w:pStyle w:val="Tabletext"/>
              <w:jc w:val="center"/>
              <w:rPr>
                <w:lang w:val="en-US"/>
              </w:rPr>
            </w:pPr>
            <w:r>
              <w:rPr>
                <w:lang w:val="en-US"/>
              </w:rPr>
              <w:t>See Annex 12</w:t>
            </w:r>
          </w:p>
        </w:tc>
      </w:tr>
    </w:tbl>
    <w:p w:rsidR="0040081F" w:rsidRDefault="0040081F" w:rsidP="0040081F">
      <w:pPr>
        <w:pStyle w:val="Tablefin"/>
      </w:pPr>
    </w:p>
    <w:p w:rsidR="0040081F" w:rsidRDefault="0040081F" w:rsidP="0040081F">
      <w:pPr>
        <w:rPr>
          <w:lang w:val="en-US"/>
        </w:rPr>
      </w:pPr>
      <w:r>
        <w:rPr>
          <w:lang w:val="en-US"/>
        </w:rPr>
        <w:t>Compliance with emission limits contained in this Recommendation may not preclude the occurrence of interference. Therefore, compliance with the standard does not obviate the need for cooperation in resolving and implementing engineering solutions to harmful interference problem;</w:t>
      </w:r>
    </w:p>
    <w:p w:rsidR="0040081F" w:rsidRDefault="0040081F" w:rsidP="0040081F">
      <w:pPr>
        <w:pStyle w:val="Heading1"/>
        <w:rPr>
          <w:lang w:val="en-US"/>
        </w:rPr>
      </w:pPr>
      <w:r>
        <w:rPr>
          <w:lang w:val="en-US"/>
        </w:rPr>
        <w:t>5</w:t>
      </w:r>
      <w:r>
        <w:rPr>
          <w:lang w:val="en-US"/>
        </w:rPr>
        <w:tab/>
        <w:t>Adaptation of OoB masks provided in Annexes 5 to 12 in the cases of narrow</w:t>
      </w:r>
      <w:r>
        <w:rPr>
          <w:lang w:val="en-US"/>
        </w:rPr>
        <w:noBreakHyphen/>
        <w:t>band and wideband systems</w:t>
      </w:r>
    </w:p>
    <w:p w:rsidR="0040081F" w:rsidRDefault="0040081F" w:rsidP="0040081F">
      <w:pPr>
        <w:pStyle w:val="enumlev1"/>
        <w:rPr>
          <w:lang w:val="en-US"/>
        </w:rPr>
      </w:pPr>
      <w:r>
        <w:rPr>
          <w:lang w:val="en-US"/>
        </w:rPr>
        <w:t>a)</w:t>
      </w:r>
      <w:r>
        <w:rPr>
          <w:lang w:val="en-US"/>
        </w:rPr>
        <w:tab/>
        <w:t xml:space="preserve">that in cases where the necessary bandwidth </w:t>
      </w:r>
      <w:r>
        <w:rPr>
          <w:bCs/>
          <w:i/>
          <w:iCs/>
          <w:lang w:val="en-US"/>
        </w:rPr>
        <w:t>B</w:t>
      </w:r>
      <w:r w:rsidRPr="00F67ECF">
        <w:rPr>
          <w:bCs/>
          <w:i/>
          <w:iCs/>
          <w:vertAlign w:val="subscript"/>
          <w:lang w:val="en-US"/>
        </w:rPr>
        <w:t>N</w:t>
      </w:r>
      <w:r>
        <w:rPr>
          <w:lang w:val="en-US"/>
        </w:rPr>
        <w:t xml:space="preserve"> is less than </w:t>
      </w:r>
      <w:r>
        <w:rPr>
          <w:bCs/>
          <w:i/>
          <w:iCs/>
          <w:lang w:val="en-US"/>
        </w:rPr>
        <w:t>B</w:t>
      </w:r>
      <w:r w:rsidRPr="00F67ECF">
        <w:rPr>
          <w:bCs/>
          <w:i/>
          <w:iCs/>
          <w:vertAlign w:val="subscript"/>
          <w:lang w:val="en-US"/>
        </w:rPr>
        <w:t>L</w:t>
      </w:r>
      <w:r>
        <w:rPr>
          <w:lang w:val="en-US"/>
        </w:rPr>
        <w:t xml:space="preserve"> as defined in Recommen</w:t>
      </w:r>
      <w:r>
        <w:rPr>
          <w:lang w:val="en-US"/>
        </w:rPr>
        <w:softHyphen/>
        <w:t xml:space="preserve">dation ITU-R SM.1539, the OoB mask should be scaled. This can be done by replacing </w:t>
      </w:r>
      <w:r>
        <w:rPr>
          <w:bCs/>
          <w:i/>
          <w:iCs/>
          <w:lang w:val="en-US"/>
        </w:rPr>
        <w:t>B</w:t>
      </w:r>
      <w:r w:rsidRPr="00F67ECF">
        <w:rPr>
          <w:bCs/>
          <w:i/>
          <w:iCs/>
          <w:vertAlign w:val="subscript"/>
          <w:lang w:val="en-US"/>
        </w:rPr>
        <w:t>N</w:t>
      </w:r>
      <w:r>
        <w:rPr>
          <w:lang w:val="en-US"/>
        </w:rPr>
        <w:t xml:space="preserve"> by </w:t>
      </w:r>
      <w:r>
        <w:rPr>
          <w:bCs/>
          <w:i/>
          <w:iCs/>
          <w:lang w:val="en-US"/>
        </w:rPr>
        <w:t>B</w:t>
      </w:r>
      <w:r w:rsidRPr="00F67ECF">
        <w:rPr>
          <w:bCs/>
          <w:i/>
          <w:iCs/>
          <w:vertAlign w:val="subscript"/>
          <w:lang w:val="en-US"/>
        </w:rPr>
        <w:t>L</w:t>
      </w:r>
      <w:r>
        <w:rPr>
          <w:lang w:val="en-US"/>
        </w:rPr>
        <w:t>;</w:t>
      </w:r>
    </w:p>
    <w:p w:rsidR="0040081F" w:rsidRDefault="0040081F" w:rsidP="00E95CDC">
      <w:pPr>
        <w:pStyle w:val="enumlev1"/>
        <w:rPr>
          <w:lang w:val="en-US"/>
        </w:rPr>
      </w:pPr>
      <w:r>
        <w:rPr>
          <w:lang w:val="en-US"/>
        </w:rPr>
        <w:lastRenderedPageBreak/>
        <w:t>b)</w:t>
      </w:r>
      <w:r>
        <w:rPr>
          <w:lang w:val="en-US"/>
        </w:rPr>
        <w:tab/>
        <w:t xml:space="preserve">in cases where the necessary bandwidth </w:t>
      </w:r>
      <w:r>
        <w:rPr>
          <w:bCs/>
          <w:i/>
          <w:iCs/>
          <w:lang w:val="en-US"/>
        </w:rPr>
        <w:t>B</w:t>
      </w:r>
      <w:r w:rsidRPr="00F67ECF">
        <w:rPr>
          <w:bCs/>
          <w:i/>
          <w:iCs/>
          <w:vertAlign w:val="subscript"/>
          <w:lang w:val="en-US"/>
        </w:rPr>
        <w:t>N</w:t>
      </w:r>
      <w:r>
        <w:rPr>
          <w:lang w:val="en-US"/>
        </w:rPr>
        <w:t xml:space="preserve"> is greater than </w:t>
      </w:r>
      <w:r>
        <w:rPr>
          <w:bCs/>
          <w:i/>
          <w:iCs/>
          <w:lang w:val="en-US"/>
        </w:rPr>
        <w:t>B</w:t>
      </w:r>
      <w:r w:rsidRPr="00F67ECF">
        <w:rPr>
          <w:bCs/>
          <w:i/>
          <w:iCs/>
          <w:vertAlign w:val="subscript"/>
          <w:lang w:val="en-US"/>
        </w:rPr>
        <w:t>U</w:t>
      </w:r>
      <w:r>
        <w:rPr>
          <w:lang w:val="en-US"/>
        </w:rPr>
        <w:t xml:space="preserve"> as defined in Recommen</w:t>
      </w:r>
      <w:r>
        <w:rPr>
          <w:lang w:val="en-US"/>
        </w:rPr>
        <w:softHyphen/>
        <w:t xml:space="preserve">dation ITU-R SM.1539, the value of </w:t>
      </w:r>
      <w:r>
        <w:rPr>
          <w:bCs/>
          <w:i/>
          <w:iCs/>
          <w:lang w:val="en-US"/>
        </w:rPr>
        <w:t>B</w:t>
      </w:r>
      <w:r w:rsidRPr="00F67ECF">
        <w:rPr>
          <w:bCs/>
          <w:i/>
          <w:iCs/>
          <w:vertAlign w:val="subscript"/>
          <w:lang w:val="en-US"/>
        </w:rPr>
        <w:t>N</w:t>
      </w:r>
      <w:r>
        <w:rPr>
          <w:lang w:val="en-US"/>
        </w:rPr>
        <w:t xml:space="preserve"> will remain unchanged in the application of the OoB mask but the mask should be truncated. Accordingly, the OoB mask will only be applicable from 50% of </w:t>
      </w:r>
      <w:r>
        <w:rPr>
          <w:bCs/>
          <w:i/>
          <w:iCs/>
          <w:lang w:val="en-US"/>
        </w:rPr>
        <w:t>B</w:t>
      </w:r>
      <w:r w:rsidRPr="00F67ECF">
        <w:rPr>
          <w:bCs/>
          <w:i/>
          <w:iCs/>
          <w:vertAlign w:val="subscript"/>
          <w:lang w:val="en-US"/>
        </w:rPr>
        <w:t>N</w:t>
      </w:r>
      <w:r>
        <w:rPr>
          <w:lang w:val="en-US"/>
        </w:rPr>
        <w:t xml:space="preserve"> to (150 </w:t>
      </w:r>
      <w:r>
        <w:rPr>
          <w:rFonts w:ascii="Symbol" w:hAnsi="Symbol"/>
          <w:lang w:val="en-US"/>
        </w:rPr>
        <w:t></w:t>
      </w:r>
      <w:r>
        <w:rPr>
          <w:lang w:val="en-US"/>
        </w:rPr>
        <w:t xml:space="preserve"> 100 </w:t>
      </w:r>
      <w:r>
        <w:rPr>
          <w:bCs/>
          <w:i/>
          <w:iCs/>
          <w:lang w:val="en-US"/>
        </w:rPr>
        <w:t>B</w:t>
      </w:r>
      <w:r w:rsidRPr="00F67ECF">
        <w:rPr>
          <w:bCs/>
          <w:i/>
          <w:iCs/>
          <w:vertAlign w:val="subscript"/>
          <w:lang w:val="en-US"/>
        </w:rPr>
        <w:t>U</w:t>
      </w:r>
      <w:r>
        <w:rPr>
          <w:rFonts w:ascii="Tms Rmn" w:hAnsi="Tms Rmn"/>
          <w:bCs/>
          <w:i/>
          <w:iCs/>
          <w:position w:val="-4"/>
          <w:sz w:val="12"/>
          <w:lang w:val="en-US"/>
        </w:rPr>
        <w:t> </w:t>
      </w:r>
      <w:r>
        <w:rPr>
          <w:lang w:val="en-US"/>
        </w:rPr>
        <w:t>/</w:t>
      </w:r>
      <w:r>
        <w:rPr>
          <w:bCs/>
          <w:i/>
          <w:iCs/>
          <w:lang w:val="en-US"/>
        </w:rPr>
        <w:t>B</w:t>
      </w:r>
      <w:r w:rsidRPr="00F67ECF">
        <w:rPr>
          <w:bCs/>
          <w:i/>
          <w:iCs/>
          <w:vertAlign w:val="subscript"/>
          <w:lang w:val="en-US"/>
        </w:rPr>
        <w:t>N</w:t>
      </w:r>
      <w:r>
        <w:rPr>
          <w:lang w:val="en-US"/>
        </w:rPr>
        <w:t xml:space="preserve">)% of </w:t>
      </w:r>
      <w:r>
        <w:rPr>
          <w:bCs/>
          <w:i/>
          <w:iCs/>
          <w:lang w:val="en-US"/>
        </w:rPr>
        <w:t>B</w:t>
      </w:r>
      <w:r w:rsidRPr="00F67ECF">
        <w:rPr>
          <w:bCs/>
          <w:i/>
          <w:iCs/>
          <w:vertAlign w:val="subscript"/>
          <w:lang w:val="en-US"/>
        </w:rPr>
        <w:t>N</w:t>
      </w:r>
      <w:r>
        <w:rPr>
          <w:lang w:val="en-US"/>
        </w:rPr>
        <w:t>;</w:t>
      </w:r>
    </w:p>
    <w:p w:rsidR="0040081F" w:rsidRDefault="0040081F" w:rsidP="0040081F">
      <w:pPr>
        <w:pStyle w:val="Heading1"/>
        <w:rPr>
          <w:lang w:val="en-US"/>
        </w:rPr>
      </w:pPr>
      <w:r>
        <w:rPr>
          <w:lang w:val="en-US"/>
        </w:rPr>
        <w:t>6</w:t>
      </w:r>
      <w:r>
        <w:rPr>
          <w:lang w:val="en-US"/>
        </w:rPr>
        <w:tab/>
        <w:t>Measurement methods</w:t>
      </w:r>
    </w:p>
    <w:p w:rsidR="0040081F" w:rsidRDefault="0040081F" w:rsidP="0040081F">
      <w:pPr>
        <w:rPr>
          <w:lang w:val="en-US"/>
        </w:rPr>
      </w:pPr>
      <w:r>
        <w:rPr>
          <w:lang w:val="en-US"/>
        </w:rPr>
        <w:t>that the methods for measurement of OoB described in detail in Annex 13 should be used.</w:t>
      </w:r>
    </w:p>
    <w:p w:rsidR="0040081F" w:rsidRDefault="0040081F" w:rsidP="0040081F">
      <w:pPr>
        <w:rPr>
          <w:lang w:val="en-US"/>
        </w:rPr>
      </w:pPr>
    </w:p>
    <w:p w:rsidR="0040081F" w:rsidRDefault="0040081F" w:rsidP="0040081F">
      <w:pPr>
        <w:rPr>
          <w:lang w:val="en-US"/>
        </w:rPr>
      </w:pPr>
    </w:p>
    <w:p w:rsidR="0040081F" w:rsidRDefault="0040081F" w:rsidP="0040081F">
      <w:pPr>
        <w:rPr>
          <w:lang w:val="en-US"/>
        </w:rPr>
      </w:pPr>
    </w:p>
    <w:p w:rsidR="0040081F" w:rsidRDefault="0040081F" w:rsidP="00F67ECF">
      <w:pPr>
        <w:pStyle w:val="AnnexNoTitle"/>
        <w:rPr>
          <w:lang w:val="en-US"/>
        </w:rPr>
      </w:pPr>
      <w:r>
        <w:rPr>
          <w:lang w:val="en-US"/>
        </w:rPr>
        <w:t>Annex</w:t>
      </w:r>
      <w:r w:rsidR="001F35FF">
        <w:rPr>
          <w:lang w:val="en-US"/>
        </w:rPr>
        <w:t xml:space="preserve"> </w:t>
      </w:r>
      <w:r>
        <w:rPr>
          <w:lang w:val="en-US"/>
        </w:rPr>
        <w:t xml:space="preserve"> 1</w:t>
      </w:r>
      <w:r>
        <w:rPr>
          <w:lang w:val="en-US"/>
        </w:rPr>
        <w:br/>
      </w:r>
      <w:r>
        <w:rPr>
          <w:lang w:val="en-US"/>
        </w:rPr>
        <w:br/>
        <w:t>Methods to determine conformance to OoB domain emission limits</w:t>
      </w:r>
    </w:p>
    <w:p w:rsidR="0040081F" w:rsidRDefault="0040081F" w:rsidP="0040081F">
      <w:pPr>
        <w:pStyle w:val="Normalaftertitle"/>
        <w:rPr>
          <w:lang w:val="en-US"/>
        </w:rPr>
      </w:pPr>
      <w:r>
        <w:rPr>
          <w:lang w:val="en-US"/>
        </w:rPr>
        <w:t>Two possible methods can be used to quantify the OoB emission energy. Section 1 provides a method by which the power is measured in an adjacent channel. Section 2 discusses a method of assessment based on the determination of the power spectral density in the OoB domain.</w:t>
      </w:r>
    </w:p>
    <w:p w:rsidR="0040081F" w:rsidRDefault="0040081F" w:rsidP="0040081F">
      <w:pPr>
        <w:pStyle w:val="Heading1"/>
        <w:rPr>
          <w:lang w:val="en-US"/>
        </w:rPr>
      </w:pPr>
      <w:r>
        <w:rPr>
          <w:lang w:val="en-US"/>
        </w:rPr>
        <w:t>1</w:t>
      </w:r>
      <w:r>
        <w:rPr>
          <w:lang w:val="en-US"/>
        </w:rPr>
        <w:tab/>
        <w:t>Adjacent channel and alternate adjacent channel power method</w:t>
      </w:r>
    </w:p>
    <w:p w:rsidR="0040081F" w:rsidRDefault="0040081F" w:rsidP="0040081F">
      <w:pPr>
        <w:rPr>
          <w:lang w:val="en-US"/>
        </w:rPr>
      </w:pPr>
      <w:r>
        <w:rPr>
          <w:lang w:val="en-US"/>
        </w:rPr>
        <w:t>This methodology is based on the concept defined in Recommendation ITU-R SM.328 – Spectra and bandwidth of emissions, § 1.12 and has become popular since the commercial availability of spectrum analysers with digital signal processing capability which can perform numerical inte</w:t>
      </w:r>
      <w:r>
        <w:rPr>
          <w:lang w:val="en-US"/>
        </w:rPr>
        <w:softHyphen/>
        <w:t>gration within a specified bandwidth.</w:t>
      </w:r>
    </w:p>
    <w:p w:rsidR="0040081F" w:rsidRDefault="0040081F" w:rsidP="0040081F">
      <w:pPr>
        <w:rPr>
          <w:lang w:val="en-US"/>
        </w:rPr>
      </w:pPr>
      <w:r>
        <w:rPr>
          <w:lang w:val="en-US"/>
        </w:rPr>
        <w:t>A limit for permissible OoB domain power can be derived from the limits imposed by a permissible OoB spectrum mask by integrating the mathematical expression for the curve over a specified frequency band. An example of this translation is provided in Appendix 1 for an example emission mask used in the land mobile service, the primary user of this method. Comparisons of limits so derived with actual limits adopted in mobile service standards reveal that mobile radio industry practice has been to establish limits significantly more stringent than those derived from an OoB mask in order to achieve spectrum efficiency.</w:t>
      </w:r>
    </w:p>
    <w:p w:rsidR="0040081F" w:rsidRDefault="0040081F" w:rsidP="0040081F">
      <w:pPr>
        <w:rPr>
          <w:lang w:val="en-US"/>
        </w:rPr>
      </w:pPr>
      <w:r>
        <w:rPr>
          <w:lang w:val="en-US"/>
        </w:rPr>
        <w:t xml:space="preserve">One key advantage of this method in a defined bandwidth approach is that the same approach is defined in Recommendation ITU-R SM.329 for limits of the power of spurious domain emissions displaced relatively far in the frequency spectrum from a transmitter’s assigned frequency band (i.e. channel). </w:t>
      </w:r>
    </w:p>
    <w:p w:rsidR="0040081F" w:rsidRDefault="0040081F" w:rsidP="0040081F">
      <w:pPr>
        <w:rPr>
          <w:lang w:val="en-US"/>
        </w:rPr>
      </w:pPr>
      <w:r>
        <w:rPr>
          <w:lang w:val="en-US"/>
        </w:rPr>
        <w:t>Another advantage is that it tends to facilitate frequency management if the reference bandwidth is chosen comparable to that of receivers used in the assigned frequency bands adjacent to that of a transmitter as this leads to more efficient use of the electromagnetic spectrum. This can be especially significant in new channel splitting “refarming” environments wherein the close packing of channels in an allocated band has resulted in frequency assignment coordination based on adjacent channel considerations in addition to co-channel considerations. It also provides a convenient means of assessing the interference potential between two different modulation methods used on adjacent channels or bands. This has proved useful in spectrum allocation planning in various countries to determine compatible neighbouring technologies and link directions.</w:t>
      </w:r>
    </w:p>
    <w:p w:rsidR="0040081F" w:rsidRDefault="0040081F" w:rsidP="0040081F">
      <w:pPr>
        <w:pStyle w:val="Heading2"/>
        <w:rPr>
          <w:lang w:val="en-US"/>
        </w:rPr>
      </w:pPr>
      <w:r>
        <w:rPr>
          <w:lang w:val="en-US"/>
        </w:rPr>
        <w:lastRenderedPageBreak/>
        <w:t>1.1</w:t>
      </w:r>
      <w:r>
        <w:rPr>
          <w:lang w:val="en-US"/>
        </w:rPr>
        <w:tab/>
        <w:t>Parameters to be measured</w:t>
      </w:r>
    </w:p>
    <w:p w:rsidR="0040081F" w:rsidRDefault="0040081F" w:rsidP="0040081F">
      <w:pPr>
        <w:rPr>
          <w:lang w:val="en-US"/>
        </w:rPr>
      </w:pPr>
      <w:r>
        <w:rPr>
          <w:lang w:val="en-US"/>
        </w:rPr>
        <w:t>The parameters to be measured are the occupied bandwidth of an emission, and the mean power in several defined bands. The same modulation condition is employed for all measurement bands.</w:t>
      </w:r>
    </w:p>
    <w:p w:rsidR="0040081F" w:rsidRDefault="0040081F" w:rsidP="0040081F">
      <w:pPr>
        <w:rPr>
          <w:lang w:val="en-US"/>
        </w:rPr>
      </w:pPr>
      <w:r>
        <w:rPr>
          <w:lang w:val="en-US"/>
        </w:rPr>
        <w:t>The maximum value of 99% power occupied bandwidth permitted by a particular emission mask can be determined by calculating the frequency difference between the 23 dB attenuation levels for any emission mask.</w:t>
      </w:r>
    </w:p>
    <w:p w:rsidR="0040081F" w:rsidRDefault="0040081F" w:rsidP="0040081F">
      <w:pPr>
        <w:pStyle w:val="Heading2"/>
        <w:rPr>
          <w:lang w:val="en-US"/>
        </w:rPr>
      </w:pPr>
      <w:r>
        <w:rPr>
          <w:lang w:val="en-US"/>
        </w:rPr>
        <w:t>1.2</w:t>
      </w:r>
      <w:r>
        <w:rPr>
          <w:lang w:val="en-US"/>
        </w:rPr>
        <w:tab/>
        <w:t>Units of measurement</w:t>
      </w:r>
    </w:p>
    <w:p w:rsidR="0040081F" w:rsidRDefault="0040081F" w:rsidP="00401D66">
      <w:pPr>
        <w:keepLines/>
        <w:rPr>
          <w:lang w:val="en-US"/>
        </w:rPr>
      </w:pPr>
      <w:r>
        <w:rPr>
          <w:lang w:val="en-US"/>
        </w:rPr>
        <w:t>The units of power measurement are the same as those used for measurement of spurious domain emissions, as given in Annex 1 of Recommendation ITU-R SM.329 (mean power is specified for most measurements). Appropriate conversion factors (discussed in more detail in § 1.1.1 and § 1.1.2 of Annex 13) must be used to correct for differences between:</w:t>
      </w:r>
    </w:p>
    <w:p w:rsidR="0040081F" w:rsidRDefault="0040081F" w:rsidP="0040081F">
      <w:pPr>
        <w:pStyle w:val="enumlev1"/>
        <w:rPr>
          <w:lang w:val="en-US"/>
        </w:rPr>
      </w:pPr>
      <w:r>
        <w:rPr>
          <w:lang w:val="en-US"/>
        </w:rPr>
        <w:t>–</w:t>
      </w:r>
      <w:r>
        <w:rPr>
          <w:lang w:val="en-US"/>
        </w:rPr>
        <w:tab/>
        <w:t>the detection method employed in the signal analyser used to perform a measurement and the detection method specified for the limits; as well as</w:t>
      </w:r>
    </w:p>
    <w:p w:rsidR="0040081F" w:rsidRDefault="0040081F" w:rsidP="0040081F">
      <w:pPr>
        <w:pStyle w:val="enumlev1"/>
        <w:rPr>
          <w:lang w:val="en-US"/>
        </w:rPr>
      </w:pPr>
      <w:r>
        <w:rPr>
          <w:lang w:val="en-US"/>
        </w:rPr>
        <w:t>–</w:t>
      </w:r>
      <w:r>
        <w:rPr>
          <w:lang w:val="en-US"/>
        </w:rPr>
        <w:tab/>
        <w:t>the resolution bandwidth of the filter contained in the signal analyser used to perform a measurement and the detection method specified for the limits.</w:t>
      </w:r>
    </w:p>
    <w:p w:rsidR="0040081F" w:rsidRDefault="0040081F" w:rsidP="0040081F">
      <w:pPr>
        <w:pStyle w:val="Heading2"/>
        <w:rPr>
          <w:lang w:val="en-US"/>
        </w:rPr>
      </w:pPr>
      <w:r>
        <w:rPr>
          <w:lang w:val="en-US"/>
        </w:rPr>
        <w:t>1.3</w:t>
      </w:r>
      <w:r>
        <w:rPr>
          <w:lang w:val="en-US"/>
        </w:rPr>
        <w:tab/>
        <w:t>Measurement bands</w:t>
      </w:r>
    </w:p>
    <w:p w:rsidR="0040081F" w:rsidRDefault="0040081F" w:rsidP="0040081F">
      <w:pPr>
        <w:rPr>
          <w:lang w:val="en-US"/>
        </w:rPr>
      </w:pPr>
      <w:r>
        <w:rPr>
          <w:lang w:val="en-US"/>
        </w:rPr>
        <w:t>Figure 3 graphically portrays the succeeding band descriptions.</w:t>
      </w:r>
    </w:p>
    <w:p w:rsidR="00F67ECF" w:rsidRDefault="00F67ECF" w:rsidP="0040081F">
      <w:pPr>
        <w:pStyle w:val="FigureNo"/>
      </w:pPr>
      <w:r>
        <w:t>FIGURE 3</w:t>
      </w:r>
    </w:p>
    <w:p w:rsidR="00F67ECF" w:rsidRDefault="00F67ECF" w:rsidP="00F67ECF">
      <w:pPr>
        <w:pStyle w:val="Figuretitle"/>
      </w:pPr>
      <w:r>
        <w:t>Power measurement bands</w:t>
      </w:r>
    </w:p>
    <w:p w:rsidR="00F67ECF" w:rsidRPr="00F67ECF" w:rsidRDefault="00273E2F" w:rsidP="00F67ECF">
      <w:pPr>
        <w:pStyle w:val="Figure"/>
      </w:pPr>
      <w:r>
        <w:rPr>
          <w:noProof/>
          <w:lang w:val="en-US" w:eastAsia="zh-CN"/>
        </w:rPr>
        <w:drawing>
          <wp:inline distT="0" distB="0" distL="0" distR="0" wp14:anchorId="5F1C8F1E" wp14:editId="65AB6A15">
            <wp:extent cx="5200650" cy="1435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0650" cy="1435100"/>
                    </a:xfrm>
                    <a:prstGeom prst="rect">
                      <a:avLst/>
                    </a:prstGeom>
                    <a:noFill/>
                    <a:ln>
                      <a:noFill/>
                    </a:ln>
                  </pic:spPr>
                </pic:pic>
              </a:graphicData>
            </a:graphic>
          </wp:inline>
        </w:drawing>
      </w:r>
    </w:p>
    <w:p w:rsidR="0040081F" w:rsidRDefault="0040081F" w:rsidP="0040081F">
      <w:pPr>
        <w:pStyle w:val="Heading3"/>
        <w:rPr>
          <w:lang w:val="en-US"/>
        </w:rPr>
      </w:pPr>
      <w:r>
        <w:rPr>
          <w:lang w:val="en-US"/>
        </w:rPr>
        <w:t>1.3.1</w:t>
      </w:r>
      <w:r>
        <w:rPr>
          <w:lang w:val="en-US"/>
        </w:rPr>
        <w:tab/>
        <w:t>Adjacent band</w:t>
      </w:r>
    </w:p>
    <w:p w:rsidR="0040081F" w:rsidRDefault="0040081F" w:rsidP="0040081F">
      <w:pPr>
        <w:rPr>
          <w:lang w:val="en-US"/>
        </w:rPr>
      </w:pPr>
      <w:r>
        <w:rPr>
          <w:lang w:val="en-US"/>
        </w:rPr>
        <w:t>The band properties follow, which provide several means for assessment of the amount of interference power that might be intercepted by a receiver on the adjacent channel. The power in this band is termed the adjacent band power (ABP).</w:t>
      </w:r>
    </w:p>
    <w:p w:rsidR="0040081F" w:rsidRDefault="0040081F" w:rsidP="0040081F">
      <w:pPr>
        <w:pStyle w:val="Heading4"/>
        <w:rPr>
          <w:lang w:val="en-US"/>
        </w:rPr>
      </w:pPr>
      <w:r>
        <w:rPr>
          <w:lang w:val="en-US"/>
        </w:rPr>
        <w:t>1.3.1.1</w:t>
      </w:r>
      <w:r>
        <w:rPr>
          <w:lang w:val="en-US"/>
        </w:rPr>
        <w:tab/>
        <w:t>Location of the adjacent band</w:t>
      </w:r>
    </w:p>
    <w:p w:rsidR="0040081F" w:rsidRDefault="0040081F" w:rsidP="0040081F">
      <w:pPr>
        <w:rPr>
          <w:lang w:val="en-US"/>
        </w:rPr>
      </w:pPr>
      <w:r>
        <w:rPr>
          <w:lang w:val="en-US"/>
        </w:rPr>
        <w:t>This band is centred on the adjacent assigned frequency band in the allocated band in which the transmitter operates.</w:t>
      </w:r>
    </w:p>
    <w:p w:rsidR="0040081F" w:rsidRDefault="0040081F" w:rsidP="0040081F">
      <w:pPr>
        <w:rPr>
          <w:lang w:val="en-US"/>
        </w:rPr>
      </w:pPr>
      <w:r>
        <w:rPr>
          <w:lang w:val="en-US"/>
        </w:rPr>
        <w:t>For worst</w:t>
      </w:r>
      <w:r>
        <w:rPr>
          <w:lang w:val="en-US"/>
        </w:rPr>
        <w:noBreakHyphen/>
        <w:t>case considerations, this band is located closer to the transmitter by an amount equal to that of the permissible frequency drift of the transmitter, plus any Doppler frequency difference.</w:t>
      </w:r>
    </w:p>
    <w:p w:rsidR="0040081F" w:rsidRDefault="0040081F" w:rsidP="0040081F">
      <w:pPr>
        <w:pStyle w:val="Heading4"/>
        <w:rPr>
          <w:lang w:val="en-US"/>
        </w:rPr>
      </w:pPr>
      <w:r>
        <w:rPr>
          <w:lang w:val="en-US"/>
        </w:rPr>
        <w:t>1.3.1.2</w:t>
      </w:r>
      <w:r>
        <w:rPr>
          <w:lang w:val="en-US"/>
        </w:rPr>
        <w:tab/>
        <w:t>Bandwidth of the adjacent band</w:t>
      </w:r>
    </w:p>
    <w:p w:rsidR="0040081F" w:rsidRDefault="0040081F" w:rsidP="0040081F">
      <w:pPr>
        <w:rPr>
          <w:lang w:val="en-US"/>
        </w:rPr>
      </w:pPr>
      <w:r>
        <w:rPr>
          <w:lang w:val="en-US"/>
        </w:rPr>
        <w:t>Its width is equal to the equivalent noise bandwidth of the adjacent channel receiver. If not known then the default value should be equal to the transmitter’s occupied bandwidth.</w:t>
      </w:r>
    </w:p>
    <w:p w:rsidR="0040081F" w:rsidRDefault="0040081F" w:rsidP="0040081F">
      <w:pPr>
        <w:pStyle w:val="Heading3"/>
        <w:rPr>
          <w:lang w:val="en-US"/>
        </w:rPr>
      </w:pPr>
      <w:r>
        <w:rPr>
          <w:lang w:val="en-US"/>
        </w:rPr>
        <w:lastRenderedPageBreak/>
        <w:t>1.3.2</w:t>
      </w:r>
      <w:r>
        <w:rPr>
          <w:lang w:val="en-US"/>
        </w:rPr>
        <w:tab/>
        <w:t>Alternate adjacent band</w:t>
      </w:r>
    </w:p>
    <w:p w:rsidR="0040081F" w:rsidRDefault="0040081F" w:rsidP="0040081F">
      <w:pPr>
        <w:rPr>
          <w:lang w:val="en-US"/>
        </w:rPr>
      </w:pPr>
      <w:r>
        <w:rPr>
          <w:lang w:val="en-US"/>
        </w:rPr>
        <w:t>This band is centred relative to the adjacent band in the same manner in which the adjacent band is centred relative to the assigned frequency band. Its width equals that of the adjacent band.</w:t>
      </w:r>
    </w:p>
    <w:p w:rsidR="0040081F" w:rsidRDefault="0040081F" w:rsidP="0040081F">
      <w:pPr>
        <w:rPr>
          <w:lang w:val="en-US"/>
        </w:rPr>
      </w:pPr>
      <w:r>
        <w:rPr>
          <w:lang w:val="en-US"/>
        </w:rPr>
        <w:t>In some services (e.g. FM broadcast) channels are assigned by alternating two interlaced sets of assigned frequency band plans so this provides an assessment of the amount of interference power that might be intercepted by a receiver on the adjacent authorized channel. The power in this band is termed the alternate ABP.</w:t>
      </w:r>
    </w:p>
    <w:p w:rsidR="0040081F" w:rsidRDefault="0040081F" w:rsidP="0040081F">
      <w:pPr>
        <w:rPr>
          <w:lang w:val="en-US"/>
        </w:rPr>
      </w:pPr>
      <w:r>
        <w:rPr>
          <w:lang w:val="en-US"/>
        </w:rPr>
        <w:t>For worst-case considerations, the centre of this band is located closer to the transmitter by an amount equal to that of the permissible frequency drift of the transmitter, plus that of a typical receiver used on the adjacent channel, plus any Doppler frequency difference.</w:t>
      </w:r>
    </w:p>
    <w:p w:rsidR="0040081F" w:rsidRDefault="0040081F" w:rsidP="0040081F">
      <w:pPr>
        <w:pStyle w:val="Heading2"/>
        <w:rPr>
          <w:lang w:val="en-US"/>
        </w:rPr>
      </w:pPr>
      <w:r>
        <w:rPr>
          <w:lang w:val="en-US"/>
        </w:rPr>
        <w:t>1.4</w:t>
      </w:r>
      <w:r>
        <w:rPr>
          <w:lang w:val="en-US"/>
        </w:rPr>
        <w:tab/>
        <w:t>Adjacent band power ratio (ABPR)</w:t>
      </w:r>
    </w:p>
    <w:p w:rsidR="0040081F" w:rsidRDefault="0040081F" w:rsidP="00601FF0">
      <w:pPr>
        <w:keepNext/>
        <w:keepLines/>
        <w:rPr>
          <w:lang w:val="en-US"/>
        </w:rPr>
      </w:pPr>
      <w:r>
        <w:rPr>
          <w:lang w:val="en-US"/>
        </w:rPr>
        <w:t>ABPR is calculated in the following manner:</w:t>
      </w:r>
    </w:p>
    <w:p w:rsidR="0040081F" w:rsidRDefault="0040081F" w:rsidP="0040081F">
      <w:pPr>
        <w:pStyle w:val="enumlev1"/>
        <w:rPr>
          <w:lang w:val="en-US"/>
        </w:rPr>
      </w:pPr>
      <w:r>
        <w:rPr>
          <w:lang w:val="en-US"/>
        </w:rPr>
        <w:t>–</w:t>
      </w:r>
      <w:r>
        <w:rPr>
          <w:lang w:val="en-US"/>
        </w:rPr>
        <w:tab/>
        <w:t xml:space="preserve">in power, as </w:t>
      </w:r>
      <w:r>
        <w:rPr>
          <w:i/>
          <w:iCs/>
          <w:lang w:val="en-US"/>
        </w:rPr>
        <w:t>ABPR</w:t>
      </w:r>
      <w:r>
        <w:rPr>
          <w:lang w:val="en-US"/>
        </w:rPr>
        <w:t> </w:t>
      </w:r>
      <w:r>
        <w:rPr>
          <w:rFonts w:ascii="Symbol" w:hAnsi="Symbol"/>
          <w:lang w:val="en-US"/>
        </w:rPr>
        <w:t></w:t>
      </w:r>
      <w:r>
        <w:rPr>
          <w:lang w:val="en-US"/>
        </w:rPr>
        <w:t> </w:t>
      </w:r>
      <w:r>
        <w:rPr>
          <w:i/>
          <w:iCs/>
          <w:lang w:val="en-US"/>
        </w:rPr>
        <w:t>P</w:t>
      </w:r>
      <w:r>
        <w:rPr>
          <w:lang w:val="en-US"/>
        </w:rPr>
        <w:t>/</w:t>
      </w:r>
      <w:r>
        <w:rPr>
          <w:i/>
          <w:iCs/>
          <w:lang w:val="en-US"/>
        </w:rPr>
        <w:t>P</w:t>
      </w:r>
      <w:r w:rsidRPr="00F67ECF">
        <w:rPr>
          <w:i/>
          <w:iCs/>
          <w:vertAlign w:val="subscript"/>
          <w:lang w:val="en-US"/>
        </w:rPr>
        <w:t>ad</w:t>
      </w:r>
    </w:p>
    <w:p w:rsidR="0040081F" w:rsidRDefault="0040081F" w:rsidP="0040081F">
      <w:pPr>
        <w:pStyle w:val="enumlev1"/>
        <w:rPr>
          <w:lang w:val="en-US"/>
        </w:rPr>
      </w:pPr>
      <w:r>
        <w:rPr>
          <w:lang w:val="en-US"/>
        </w:rPr>
        <w:t>–</w:t>
      </w:r>
      <w:r>
        <w:rPr>
          <w:lang w:val="en-US"/>
        </w:rPr>
        <w:tab/>
        <w:t xml:space="preserve">in decibels, as </w:t>
      </w:r>
      <w:r>
        <w:rPr>
          <w:i/>
          <w:iCs/>
          <w:lang w:val="en-US"/>
        </w:rPr>
        <w:t>ABPR</w:t>
      </w:r>
      <w:r>
        <w:rPr>
          <w:lang w:val="en-US"/>
        </w:rPr>
        <w:t> </w:t>
      </w:r>
      <w:r>
        <w:rPr>
          <w:rFonts w:ascii="Symbol" w:hAnsi="Symbol"/>
          <w:lang w:val="en-US"/>
        </w:rPr>
        <w:t></w:t>
      </w:r>
      <w:r>
        <w:rPr>
          <w:lang w:val="en-US"/>
        </w:rPr>
        <w:t> </w:t>
      </w:r>
      <w:r>
        <w:rPr>
          <w:i/>
          <w:iCs/>
          <w:lang w:val="en-US"/>
        </w:rPr>
        <w:t>P</w:t>
      </w:r>
      <w:r>
        <w:rPr>
          <w:lang w:val="en-US"/>
        </w:rPr>
        <w:t> </w:t>
      </w:r>
      <w:r>
        <w:sym w:font="Symbol" w:char="F02D"/>
      </w:r>
      <w:r>
        <w:rPr>
          <w:lang w:val="en-US"/>
        </w:rPr>
        <w:t> </w:t>
      </w:r>
      <w:r>
        <w:rPr>
          <w:i/>
          <w:iCs/>
          <w:lang w:val="en-US"/>
        </w:rPr>
        <w:t>P</w:t>
      </w:r>
      <w:r w:rsidRPr="00F67ECF">
        <w:rPr>
          <w:i/>
          <w:iCs/>
          <w:vertAlign w:val="subscript"/>
          <w:lang w:val="en-US"/>
        </w:rPr>
        <w:t>ad</w:t>
      </w:r>
      <w:r>
        <w:rPr>
          <w:sz w:val="28"/>
          <w:vertAlign w:val="subscript"/>
          <w:lang w:val="en-US"/>
        </w:rPr>
        <w:t xml:space="preserve"> </w:t>
      </w:r>
      <w:r>
        <w:rPr>
          <w:lang w:val="en-US"/>
        </w:rPr>
        <w:t>(dB)</w:t>
      </w:r>
    </w:p>
    <w:p w:rsidR="0040081F" w:rsidRDefault="0040081F" w:rsidP="0040081F">
      <w:pPr>
        <w:rPr>
          <w:lang w:val="en-US"/>
        </w:rPr>
      </w:pPr>
      <w:r>
        <w:rPr>
          <w:lang w:val="en-US"/>
        </w:rPr>
        <w:t>where:</w:t>
      </w:r>
    </w:p>
    <w:p w:rsidR="0040081F" w:rsidRDefault="0040081F" w:rsidP="0040081F">
      <w:pPr>
        <w:pStyle w:val="Equationlegend"/>
      </w:pPr>
      <w:r>
        <w:tab/>
      </w:r>
      <w:r>
        <w:rPr>
          <w:i/>
          <w:iCs/>
        </w:rPr>
        <w:t>P</w:t>
      </w:r>
      <w:r>
        <w:rPr>
          <w:rFonts w:ascii="Tms Rmn" w:hAnsi="Tms Rmn"/>
          <w:sz w:val="12"/>
        </w:rPr>
        <w:t> </w:t>
      </w:r>
      <w:r>
        <w:t>:</w:t>
      </w:r>
      <w:r>
        <w:tab/>
        <w:t>transmitter mean power</w:t>
      </w:r>
    </w:p>
    <w:p w:rsidR="0040081F" w:rsidRDefault="0040081F" w:rsidP="0040081F">
      <w:pPr>
        <w:pStyle w:val="Equationlegend"/>
      </w:pPr>
      <w:r>
        <w:tab/>
      </w:r>
      <w:r>
        <w:rPr>
          <w:i/>
          <w:iCs/>
        </w:rPr>
        <w:t>P</w:t>
      </w:r>
      <w:r w:rsidRPr="00F67ECF">
        <w:rPr>
          <w:i/>
          <w:iCs/>
          <w:vertAlign w:val="subscript"/>
        </w:rPr>
        <w:t>ad</w:t>
      </w:r>
      <w:r>
        <w:rPr>
          <w:rFonts w:ascii="Tms Rmn" w:hAnsi="Tms Rmn"/>
          <w:sz w:val="12"/>
        </w:rPr>
        <w:t> </w:t>
      </w:r>
      <w:r>
        <w:t>:</w:t>
      </w:r>
      <w:r>
        <w:tab/>
        <w:t>mean power in the adjacent frequency band.</w:t>
      </w:r>
    </w:p>
    <w:p w:rsidR="0040081F" w:rsidRDefault="0040081F" w:rsidP="0040081F">
      <w:pPr>
        <w:rPr>
          <w:lang w:val="en-US"/>
        </w:rPr>
      </w:pPr>
      <w:r>
        <w:rPr>
          <w:lang w:val="en-US"/>
        </w:rPr>
        <w:t>This calculation is performed as a routine operation automatically on many modern spectrum analysers equipped with digital signal processing capabilities.</w:t>
      </w:r>
    </w:p>
    <w:p w:rsidR="0040081F" w:rsidRDefault="0040081F" w:rsidP="0040081F">
      <w:pPr>
        <w:rPr>
          <w:lang w:val="en-US"/>
        </w:rPr>
      </w:pPr>
      <w:r>
        <w:rPr>
          <w:lang w:val="en-US"/>
        </w:rPr>
        <w:t xml:space="preserve">The concept of measuring the power in the bandwidth of an adjacent channel can be extended to neighbouring bands in an allocated band which are </w:t>
      </w:r>
      <w:r>
        <w:rPr>
          <w:i/>
          <w:iCs/>
          <w:lang w:val="en-US"/>
        </w:rPr>
        <w:t>N</w:t>
      </w:r>
      <w:r>
        <w:rPr>
          <w:lang w:val="en-US"/>
        </w:rPr>
        <w:t xml:space="preserve"> times further displaced than the adjacent band, where </w:t>
      </w:r>
      <w:r>
        <w:rPr>
          <w:i/>
          <w:iCs/>
          <w:lang w:val="en-US"/>
        </w:rPr>
        <w:t>N</w:t>
      </w:r>
      <w:r>
        <w:rPr>
          <w:lang w:val="en-US"/>
        </w:rPr>
        <w:t xml:space="preserve"> is an integer multiple of the assigned frequency band. The designation </w:t>
      </w:r>
      <w:r>
        <w:rPr>
          <w:i/>
          <w:iCs/>
          <w:lang w:val="en-US"/>
        </w:rPr>
        <w:t>ABPR</w:t>
      </w:r>
      <w:r w:rsidRPr="00F67ECF">
        <w:rPr>
          <w:i/>
          <w:iCs/>
          <w:vertAlign w:val="subscript"/>
          <w:lang w:val="en-US"/>
        </w:rPr>
        <w:t>N</w:t>
      </w:r>
      <w:r>
        <w:rPr>
          <w:lang w:val="en-US"/>
        </w:rPr>
        <w:t xml:space="preserve"> should be used to denote the power of the OoB emission in the </w:t>
      </w:r>
      <w:r>
        <w:rPr>
          <w:i/>
          <w:iCs/>
          <w:lang w:val="en-US"/>
        </w:rPr>
        <w:t>N</w:t>
      </w:r>
      <w:r>
        <w:rPr>
          <w:lang w:val="en-US"/>
        </w:rPr>
        <w:t>-th adjacent channel.</w:t>
      </w:r>
    </w:p>
    <w:p w:rsidR="0040081F" w:rsidRDefault="0040081F" w:rsidP="0040081F">
      <w:pPr>
        <w:pStyle w:val="Heading1"/>
        <w:rPr>
          <w:lang w:val="en-US"/>
        </w:rPr>
      </w:pPr>
      <w:r>
        <w:rPr>
          <w:lang w:val="en-US"/>
        </w:rPr>
        <w:t>2</w:t>
      </w:r>
      <w:r>
        <w:rPr>
          <w:lang w:val="en-US"/>
        </w:rPr>
        <w:tab/>
        <w:t>OoB mask method</w:t>
      </w:r>
    </w:p>
    <w:p w:rsidR="0040081F" w:rsidRDefault="0040081F" w:rsidP="0040081F">
      <w:pPr>
        <w:rPr>
          <w:lang w:val="en-US"/>
        </w:rPr>
      </w:pPr>
      <w:r>
        <w:rPr>
          <w:lang w:val="en-US"/>
        </w:rPr>
        <w:t>This methodology is based on the concept defined in Recommendation ITU-R SM.328 § 1.10.</w:t>
      </w:r>
    </w:p>
    <w:p w:rsidR="0040081F" w:rsidRDefault="0040081F" w:rsidP="0040081F">
      <w:pPr>
        <w:pStyle w:val="Heading2"/>
        <w:rPr>
          <w:lang w:val="en-US"/>
        </w:rPr>
      </w:pPr>
      <w:r>
        <w:rPr>
          <w:lang w:val="en-US"/>
        </w:rPr>
        <w:t>2.1</w:t>
      </w:r>
      <w:r>
        <w:rPr>
          <w:lang w:val="en-US"/>
        </w:rPr>
        <w:tab/>
        <w:t>Parameters to be measured</w:t>
      </w:r>
    </w:p>
    <w:p w:rsidR="0040081F" w:rsidRDefault="0040081F" w:rsidP="0040081F">
      <w:pPr>
        <w:rPr>
          <w:lang w:val="en-US"/>
        </w:rPr>
      </w:pPr>
      <w:r>
        <w:rPr>
          <w:lang w:val="en-US"/>
        </w:rPr>
        <w:t xml:space="preserve">The transmitter spectrum should be measured using a measurement bandwidth in line with </w:t>
      </w:r>
      <w:r>
        <w:rPr>
          <w:i/>
          <w:iCs/>
          <w:lang w:val="en-US"/>
        </w:rPr>
        <w:t>recommends</w:t>
      </w:r>
      <w:r>
        <w:rPr>
          <w:lang w:val="en-US"/>
        </w:rPr>
        <w:t> 1.7</w:t>
      </w:r>
      <w:r>
        <w:rPr>
          <w:b/>
          <w:bCs/>
          <w:lang w:val="en-US"/>
        </w:rPr>
        <w:t xml:space="preserve"> </w:t>
      </w:r>
      <w:r>
        <w:rPr>
          <w:lang w:val="en-US"/>
        </w:rPr>
        <w:t>and should be characterized in terms of dBsd, dBc or dBpp.</w:t>
      </w:r>
    </w:p>
    <w:p w:rsidR="0040081F" w:rsidRDefault="0040081F" w:rsidP="0040081F">
      <w:pPr>
        <w:pStyle w:val="Heading2"/>
        <w:rPr>
          <w:lang w:val="en-US"/>
        </w:rPr>
      </w:pPr>
      <w:r>
        <w:rPr>
          <w:lang w:val="en-US"/>
        </w:rPr>
        <w:t>2.2</w:t>
      </w:r>
      <w:r>
        <w:rPr>
          <w:lang w:val="en-US"/>
        </w:rPr>
        <w:tab/>
        <w:t>Measurement range</w:t>
      </w:r>
    </w:p>
    <w:p w:rsidR="0040081F" w:rsidRDefault="0040081F" w:rsidP="0040081F">
      <w:pPr>
        <w:rPr>
          <w:lang w:val="en-US"/>
        </w:rPr>
      </w:pPr>
      <w:r>
        <w:rPr>
          <w:lang w:val="en-US"/>
        </w:rPr>
        <w:t>Measurements are to be conducted in the OoB domain which is between the assigned frequency band boundary and the boundary between the OoB and spurious domains.</w:t>
      </w:r>
    </w:p>
    <w:p w:rsidR="0040081F" w:rsidRDefault="0040081F" w:rsidP="0040081F">
      <w:pPr>
        <w:pStyle w:val="Heading2"/>
        <w:rPr>
          <w:lang w:val="en-US"/>
        </w:rPr>
      </w:pPr>
      <w:r>
        <w:rPr>
          <w:lang w:val="en-US"/>
        </w:rPr>
        <w:t>2.3</w:t>
      </w:r>
      <w:r>
        <w:rPr>
          <w:lang w:val="en-US"/>
        </w:rPr>
        <w:tab/>
        <w:t>OoB mask</w:t>
      </w:r>
    </w:p>
    <w:p w:rsidR="0040081F" w:rsidRDefault="0040081F" w:rsidP="0040081F">
      <w:pPr>
        <w:rPr>
          <w:lang w:val="en-US"/>
        </w:rPr>
      </w:pPr>
      <w:r>
        <w:rPr>
          <w:lang w:val="en-US"/>
        </w:rPr>
        <w:t>In accordance with Note 1 of § 1.10 of Recommendation ITU-R SM.328, the mask does not limit emissions within the necessary bandwidth as it is applicable in the OoB domain of the spectrum.</w:t>
      </w:r>
    </w:p>
    <w:p w:rsidR="0040081F" w:rsidRDefault="0040081F" w:rsidP="0040081F">
      <w:pPr>
        <w:pStyle w:val="Note"/>
        <w:rPr>
          <w:lang w:val="en-US"/>
        </w:rPr>
      </w:pPr>
      <w:r>
        <w:rPr>
          <w:lang w:val="en-US"/>
        </w:rPr>
        <w:t>NOTE 1 – Within the OoB domain, there may be line spectra present at levels higher than the OoB mask. A mask which allows for these individual spectra might not be stringent enough. Therefore an approach may need to be considered for some emissions which allows for a limited number of such spectra at given levels above the mask; those specific limits, when necessary, are specified in the relevant Annexes dealing with specific radiocommunication services.</w:t>
      </w:r>
    </w:p>
    <w:p w:rsidR="0040081F" w:rsidRDefault="0040081F" w:rsidP="00401D66">
      <w:pPr>
        <w:pStyle w:val="AppendixNoTitle"/>
        <w:rPr>
          <w:lang w:val="en-US"/>
        </w:rPr>
      </w:pPr>
      <w:r>
        <w:rPr>
          <w:lang w:val="en-US"/>
        </w:rPr>
        <w:lastRenderedPageBreak/>
        <w:t>Appendix  1</w:t>
      </w:r>
      <w:r>
        <w:rPr>
          <w:lang w:val="en-US"/>
        </w:rPr>
        <w:br/>
        <w:t>to  Annex  1</w:t>
      </w:r>
      <w:r>
        <w:rPr>
          <w:lang w:val="en-US"/>
        </w:rPr>
        <w:br/>
      </w:r>
      <w:r>
        <w:rPr>
          <w:lang w:val="en-US"/>
        </w:rPr>
        <w:br/>
        <w:t>Example calculation of a permissible OoB power ratio</w:t>
      </w:r>
      <w:r w:rsidR="00401D66">
        <w:rPr>
          <w:lang w:val="en-US"/>
        </w:rPr>
        <w:br/>
      </w:r>
      <w:r>
        <w:rPr>
          <w:lang w:val="en-US"/>
        </w:rPr>
        <w:t>and</w:t>
      </w:r>
      <w:r w:rsidR="00401D66">
        <w:rPr>
          <w:lang w:val="en-US"/>
        </w:rPr>
        <w:t xml:space="preserve"> </w:t>
      </w:r>
      <w:r>
        <w:rPr>
          <w:lang w:val="en-US"/>
        </w:rPr>
        <w:t>power limits from a permissible OoB mask</w:t>
      </w:r>
    </w:p>
    <w:p w:rsidR="0040081F" w:rsidRDefault="0040081F" w:rsidP="0040081F">
      <w:pPr>
        <w:pStyle w:val="Heading1"/>
        <w:rPr>
          <w:lang w:val="en-US"/>
        </w:rPr>
      </w:pPr>
      <w:r>
        <w:rPr>
          <w:lang w:val="en-US"/>
        </w:rPr>
        <w:t>1</w:t>
      </w:r>
      <w:r>
        <w:rPr>
          <w:lang w:val="en-US"/>
        </w:rPr>
        <w:tab/>
        <w:t>Introduction</w:t>
      </w:r>
    </w:p>
    <w:p w:rsidR="0040081F" w:rsidRDefault="0040081F" w:rsidP="0064703D">
      <w:pPr>
        <w:keepNext/>
        <w:keepLines/>
        <w:rPr>
          <w:lang w:val="en-US"/>
        </w:rPr>
      </w:pPr>
      <w:r>
        <w:rPr>
          <w:lang w:val="en-US"/>
        </w:rPr>
        <w:t>Integration of an OoB mask over a specific frequency range permits calculation of the maximum permitted OoB domain power in that band permitted by that mask and serves to relate the two methods used for limiting OoB domain emissions. This relationship may be calculated using either a discrete method or a continuous method. The former method emulates the manner in which a spectrum analyser or a vector signal analyser with digital power measurement capability functions while the latter provides a purely mathematical approach. Due to advances in digital technology this capability is now available in many commercially available spectrum analyser families. Both methods are valid and lead to the same resultant within negligible difference as will be demon</w:t>
      </w:r>
      <w:r>
        <w:rPr>
          <w:lang w:val="en-US"/>
        </w:rPr>
        <w:softHyphen/>
        <w:t>strated in the following examples.</w:t>
      </w:r>
    </w:p>
    <w:p w:rsidR="0040081F" w:rsidRDefault="0040081F" w:rsidP="0040081F">
      <w:pPr>
        <w:rPr>
          <w:lang w:val="en-US"/>
        </w:rPr>
      </w:pPr>
      <w:r>
        <w:rPr>
          <w:lang w:val="en-US"/>
        </w:rPr>
        <w:t>The examples will utilize the digital emission mask formula described in Table 3 used in many countries, sometimes referred to as emission mask G. This example calculates the total power in an adjacent band of 25 kHz width. Simple adjustment of the integration range limits permit calculation for other bandwidths.</w:t>
      </w:r>
    </w:p>
    <w:p w:rsidR="0040081F" w:rsidRDefault="0040081F" w:rsidP="0040081F">
      <w:pPr>
        <w:pStyle w:val="TableNo"/>
        <w:rPr>
          <w:lang w:val="en-US"/>
        </w:rPr>
      </w:pPr>
      <w:r>
        <w:rPr>
          <w:lang w:val="en-US"/>
        </w:rPr>
        <w:t>TABLE  3</w:t>
      </w:r>
    </w:p>
    <w:p w:rsidR="0040081F" w:rsidRDefault="0040081F" w:rsidP="0040081F">
      <w:pPr>
        <w:pStyle w:val="Tabletitle"/>
        <w:rPr>
          <w:lang w:val="en-US"/>
        </w:rPr>
      </w:pPr>
      <w:r>
        <w:rPr>
          <w:lang w:val="en-US"/>
        </w:rPr>
        <w:t>Attenuation equations for emission mask G</w:t>
      </w:r>
      <w:r>
        <w:rPr>
          <w:lang w:val="en-US"/>
        </w:rPr>
        <w:br/>
      </w:r>
      <w:r>
        <w:rPr>
          <w:b w:val="0"/>
          <w:lang w:val="en-US"/>
        </w:rPr>
        <w:t>(used in some countries for non</w:t>
      </w:r>
      <w:r>
        <w:rPr>
          <w:b w:val="0"/>
          <w:lang w:val="en-US"/>
        </w:rPr>
        <w:noBreakHyphen/>
        <w:t>voice transmitters used with 25 kHz</w:t>
      </w:r>
      <w:r>
        <w:rPr>
          <w:b w:val="0"/>
          <w:lang w:val="en-US"/>
        </w:rPr>
        <w:br/>
        <w:t>channel spacing (based on RBW = 300 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3"/>
        <w:gridCol w:w="4253"/>
      </w:tblGrid>
      <w:tr w:rsidR="0040081F" w:rsidTr="002951C0">
        <w:trPr>
          <w:jc w:val="center"/>
        </w:trPr>
        <w:tc>
          <w:tcPr>
            <w:tcW w:w="4253" w:type="dxa"/>
            <w:vAlign w:val="center"/>
          </w:tcPr>
          <w:p w:rsidR="0040081F" w:rsidRDefault="0040081F" w:rsidP="002951C0">
            <w:pPr>
              <w:pStyle w:val="Tablehead"/>
              <w:rPr>
                <w:lang w:val="en-GB"/>
              </w:rPr>
            </w:pPr>
            <w:r>
              <w:rPr>
                <w:lang w:val="en-GB"/>
              </w:rPr>
              <w:t>Frequency range</w:t>
            </w:r>
          </w:p>
        </w:tc>
        <w:tc>
          <w:tcPr>
            <w:tcW w:w="4253" w:type="dxa"/>
            <w:vAlign w:val="center"/>
          </w:tcPr>
          <w:p w:rsidR="0040081F" w:rsidRDefault="0040081F" w:rsidP="002951C0">
            <w:pPr>
              <w:pStyle w:val="Tablehead"/>
              <w:rPr>
                <w:lang w:val="en-GB"/>
              </w:rPr>
            </w:pPr>
            <w:r>
              <w:rPr>
                <w:lang w:val="en-GB"/>
              </w:rPr>
              <w:t>Attenuation limits</w:t>
            </w:r>
            <w:r>
              <w:rPr>
                <w:lang w:val="en-GB"/>
              </w:rPr>
              <w:br/>
              <w:t>(dB)</w:t>
            </w:r>
          </w:p>
        </w:tc>
      </w:tr>
      <w:tr w:rsidR="0040081F" w:rsidTr="002951C0">
        <w:trPr>
          <w:jc w:val="center"/>
        </w:trPr>
        <w:tc>
          <w:tcPr>
            <w:tcW w:w="4253" w:type="dxa"/>
          </w:tcPr>
          <w:p w:rsidR="0040081F" w:rsidRDefault="0040081F" w:rsidP="00E95CDC">
            <w:pPr>
              <w:pStyle w:val="Tabletext"/>
              <w:jc w:val="left"/>
              <w:rPr>
                <w:lang w:val="en-GB"/>
              </w:rPr>
            </w:pPr>
            <w:r>
              <w:rPr>
                <w:szCs w:val="24"/>
                <w:lang w:val="en-GB"/>
              </w:rPr>
              <w:t>5 kHz </w:t>
            </w:r>
            <w:r>
              <w:rPr>
                <w:rFonts w:ascii="Symbol" w:hAnsi="Symbol"/>
                <w:szCs w:val="24"/>
                <w:lang w:val="en-GB"/>
              </w:rPr>
              <w:t></w:t>
            </w:r>
            <w:r>
              <w:rPr>
                <w:szCs w:val="24"/>
                <w:lang w:val="en-GB"/>
              </w:rPr>
              <w:t> | </w:t>
            </w:r>
            <w:r>
              <w:rPr>
                <w:i/>
                <w:szCs w:val="24"/>
                <w:lang w:val="en-GB"/>
              </w:rPr>
              <w:t>fd</w:t>
            </w:r>
            <w:r>
              <w:rPr>
                <w:szCs w:val="24"/>
                <w:lang w:val="en-GB"/>
              </w:rPr>
              <w:t> | </w:t>
            </w:r>
            <w:r>
              <w:rPr>
                <w:rFonts w:ascii="Symbol" w:hAnsi="Symbol"/>
                <w:szCs w:val="24"/>
                <w:lang w:val="en-GB"/>
              </w:rPr>
              <w:t></w:t>
            </w:r>
            <w:r>
              <w:rPr>
                <w:szCs w:val="24"/>
                <w:lang w:val="en-GB"/>
              </w:rPr>
              <w:t> 10 kHz</w:t>
            </w:r>
          </w:p>
        </w:tc>
        <w:tc>
          <w:tcPr>
            <w:tcW w:w="4253" w:type="dxa"/>
          </w:tcPr>
          <w:p w:rsidR="0040081F" w:rsidRDefault="0040081F" w:rsidP="00E95CDC">
            <w:pPr>
              <w:pStyle w:val="Tabletext"/>
              <w:jc w:val="left"/>
              <w:rPr>
                <w:lang w:val="en-GB"/>
              </w:rPr>
            </w:pPr>
            <w:r>
              <w:rPr>
                <w:szCs w:val="24"/>
                <w:lang w:val="en-GB"/>
              </w:rPr>
              <w:t>83 log ( </w:t>
            </w:r>
            <w:r>
              <w:rPr>
                <w:i/>
                <w:szCs w:val="24"/>
                <w:lang w:val="en-GB"/>
              </w:rPr>
              <w:t>fd</w:t>
            </w:r>
            <w:r>
              <w:rPr>
                <w:szCs w:val="24"/>
                <w:lang w:val="en-GB"/>
              </w:rPr>
              <w:t>/5)</w:t>
            </w:r>
          </w:p>
        </w:tc>
      </w:tr>
      <w:tr w:rsidR="0040081F" w:rsidRPr="00620821" w:rsidTr="002951C0">
        <w:trPr>
          <w:jc w:val="center"/>
        </w:trPr>
        <w:tc>
          <w:tcPr>
            <w:tcW w:w="4253" w:type="dxa"/>
            <w:tcBorders>
              <w:bottom w:val="single" w:sz="6" w:space="0" w:color="auto"/>
            </w:tcBorders>
          </w:tcPr>
          <w:p w:rsidR="0040081F" w:rsidRDefault="0040081F" w:rsidP="00E95CDC">
            <w:pPr>
              <w:pStyle w:val="Tabletext"/>
              <w:jc w:val="left"/>
              <w:rPr>
                <w:lang w:val="en-GB"/>
              </w:rPr>
            </w:pPr>
            <w:r>
              <w:rPr>
                <w:szCs w:val="24"/>
                <w:lang w:val="en-GB"/>
              </w:rPr>
              <w:t>10 kHz </w:t>
            </w:r>
            <w:r>
              <w:rPr>
                <w:rFonts w:ascii="Symbol" w:hAnsi="Symbol"/>
                <w:szCs w:val="24"/>
                <w:lang w:val="en-GB"/>
              </w:rPr>
              <w:t></w:t>
            </w:r>
            <w:r>
              <w:rPr>
                <w:szCs w:val="24"/>
                <w:lang w:val="en-GB"/>
              </w:rPr>
              <w:t> | </w:t>
            </w:r>
            <w:r>
              <w:rPr>
                <w:i/>
                <w:szCs w:val="24"/>
                <w:lang w:val="en-GB"/>
              </w:rPr>
              <w:t>fd</w:t>
            </w:r>
            <w:r>
              <w:rPr>
                <w:szCs w:val="24"/>
                <w:lang w:val="en-GB"/>
              </w:rPr>
              <w:t> | </w:t>
            </w:r>
            <w:r>
              <w:rPr>
                <w:rFonts w:ascii="Symbol" w:hAnsi="Symbol"/>
                <w:szCs w:val="24"/>
                <w:lang w:val="en-GB"/>
              </w:rPr>
              <w:t></w:t>
            </w:r>
            <w:r>
              <w:rPr>
                <w:szCs w:val="24"/>
                <w:lang w:val="en-GB"/>
              </w:rPr>
              <w:t> 2.5 × ABW</w:t>
            </w:r>
          </w:p>
        </w:tc>
        <w:tc>
          <w:tcPr>
            <w:tcW w:w="4253" w:type="dxa"/>
            <w:tcBorders>
              <w:bottom w:val="single" w:sz="6" w:space="0" w:color="auto"/>
            </w:tcBorders>
          </w:tcPr>
          <w:p w:rsidR="0040081F" w:rsidRDefault="0040081F" w:rsidP="00E95CDC">
            <w:pPr>
              <w:pStyle w:val="Tabletext"/>
              <w:jc w:val="left"/>
              <w:rPr>
                <w:lang w:val="en-US"/>
              </w:rPr>
            </w:pPr>
            <w:r>
              <w:rPr>
                <w:szCs w:val="24"/>
                <w:lang w:val="en-US"/>
              </w:rPr>
              <w:t>The lesser of 116 log ( </w:t>
            </w:r>
            <w:r>
              <w:rPr>
                <w:i/>
                <w:szCs w:val="24"/>
                <w:lang w:val="en-US"/>
              </w:rPr>
              <w:t>fd</w:t>
            </w:r>
            <w:r>
              <w:rPr>
                <w:szCs w:val="24"/>
                <w:lang w:val="en-US"/>
              </w:rPr>
              <w:t>/6.1) dB, or 50 </w:t>
            </w:r>
            <w:r>
              <w:rPr>
                <w:rFonts w:ascii="Symbol" w:hAnsi="Symbol"/>
                <w:szCs w:val="24"/>
                <w:lang w:val="en-US"/>
              </w:rPr>
              <w:t></w:t>
            </w:r>
            <w:r>
              <w:rPr>
                <w:szCs w:val="24"/>
                <w:lang w:val="en-US"/>
              </w:rPr>
              <w:t> 10 log (</w:t>
            </w:r>
            <w:r>
              <w:rPr>
                <w:i/>
                <w:iCs/>
                <w:szCs w:val="24"/>
                <w:lang w:val="en-US"/>
              </w:rPr>
              <w:t>P</w:t>
            </w:r>
            <w:r>
              <w:rPr>
                <w:szCs w:val="24"/>
                <w:lang w:val="en-US"/>
              </w:rPr>
              <w:t>) dB, or 70 dB</w:t>
            </w:r>
          </w:p>
        </w:tc>
      </w:tr>
      <w:tr w:rsidR="0040081F" w:rsidRPr="00620821" w:rsidTr="002951C0">
        <w:trPr>
          <w:jc w:val="center"/>
        </w:trPr>
        <w:tc>
          <w:tcPr>
            <w:tcW w:w="4253" w:type="dxa"/>
            <w:gridSpan w:val="2"/>
            <w:tcBorders>
              <w:left w:val="nil"/>
              <w:bottom w:val="nil"/>
              <w:right w:val="nil"/>
            </w:tcBorders>
          </w:tcPr>
          <w:p w:rsidR="0040081F" w:rsidRDefault="0040081F" w:rsidP="00E95CDC">
            <w:pPr>
              <w:pStyle w:val="Tablelegend"/>
              <w:rPr>
                <w:lang w:val="en-US"/>
              </w:rPr>
            </w:pPr>
            <w:r>
              <w:rPr>
                <w:lang w:val="en-US"/>
              </w:rPr>
              <w:t>ABW</w:t>
            </w:r>
            <w:r>
              <w:rPr>
                <w:rFonts w:ascii="Tms Rmn" w:hAnsi="Tms Rmn"/>
                <w:sz w:val="12"/>
                <w:lang w:val="en-US"/>
              </w:rPr>
              <w:t> </w:t>
            </w:r>
            <w:r>
              <w:rPr>
                <w:lang w:val="en-US"/>
              </w:rPr>
              <w:t>:</w:t>
            </w:r>
            <w:r>
              <w:rPr>
                <w:lang w:val="en-US"/>
              </w:rPr>
              <w:tab/>
              <w:t>authorized bandwidth (larger of either occupied bandwidth or necessary bandwidth)</w:t>
            </w:r>
            <w:r w:rsidR="00E95CDC">
              <w:rPr>
                <w:lang w:val="en-US"/>
              </w:rPr>
              <w:t>.</w:t>
            </w:r>
          </w:p>
          <w:p w:rsidR="0040081F" w:rsidRDefault="0040081F" w:rsidP="00E95CDC">
            <w:pPr>
              <w:pStyle w:val="Tablelegend"/>
              <w:rPr>
                <w:lang w:val="en-US"/>
              </w:rPr>
            </w:pPr>
            <w:r>
              <w:rPr>
                <w:i/>
                <w:iCs/>
                <w:lang w:val="en-US"/>
              </w:rPr>
              <w:t>fd</w:t>
            </w:r>
            <w:r>
              <w:rPr>
                <w:rFonts w:ascii="Tms Rmn" w:hAnsi="Tms Rmn"/>
                <w:sz w:val="12"/>
                <w:lang w:val="en-US"/>
              </w:rPr>
              <w:t> </w:t>
            </w:r>
            <w:r>
              <w:rPr>
                <w:lang w:val="en-US"/>
              </w:rPr>
              <w:t>:</w:t>
            </w:r>
            <w:r>
              <w:rPr>
                <w:lang w:val="en-US"/>
              </w:rPr>
              <w:tab/>
            </w:r>
            <w:r>
              <w:rPr>
                <w:lang w:val="en-US"/>
              </w:rPr>
              <w:tab/>
              <w:t>displacement frequency from carrier frequency (kHz)</w:t>
            </w:r>
            <w:r w:rsidR="00E95CDC">
              <w:rPr>
                <w:lang w:val="en-US"/>
              </w:rPr>
              <w:t>.</w:t>
            </w:r>
          </w:p>
          <w:p w:rsidR="0040081F" w:rsidRDefault="0040081F" w:rsidP="00E95CDC">
            <w:pPr>
              <w:pStyle w:val="Tablelegend"/>
              <w:rPr>
                <w:lang w:val="en-US"/>
              </w:rPr>
            </w:pPr>
            <w:r>
              <w:rPr>
                <w:lang w:val="en-US"/>
              </w:rPr>
              <w:t>RBW</w:t>
            </w:r>
            <w:r>
              <w:rPr>
                <w:rFonts w:ascii="Tms Rmn" w:hAnsi="Tms Rmn"/>
                <w:sz w:val="12"/>
                <w:lang w:val="en-US"/>
              </w:rPr>
              <w:t> </w:t>
            </w:r>
            <w:r>
              <w:rPr>
                <w:lang w:val="en-US"/>
              </w:rPr>
              <w:t>:</w:t>
            </w:r>
            <w:r>
              <w:rPr>
                <w:lang w:val="en-US"/>
              </w:rPr>
              <w:tab/>
              <w:t>reference bandwidth in which the power of the OoB domain emissions is specified.</w:t>
            </w:r>
          </w:p>
        </w:tc>
      </w:tr>
    </w:tbl>
    <w:p w:rsidR="0040081F" w:rsidRDefault="0040081F" w:rsidP="0040081F">
      <w:pPr>
        <w:pStyle w:val="Tablefin"/>
        <w:rPr>
          <w:lang w:val="en-US"/>
        </w:rPr>
      </w:pPr>
    </w:p>
    <w:p w:rsidR="0040081F" w:rsidRDefault="0040081F" w:rsidP="0040081F">
      <w:pPr>
        <w:rPr>
          <w:lang w:val="en-US"/>
        </w:rPr>
      </w:pPr>
      <w:r>
        <w:rPr>
          <w:lang w:val="en-US"/>
        </w:rPr>
        <w:t xml:space="preserve">Discontinuities in the mask formula (i.e. breakpoints) of </w:t>
      </w:r>
      <w:r>
        <w:rPr>
          <w:i/>
          <w:iCs/>
          <w:lang w:val="en-US"/>
        </w:rPr>
        <w:t>P</w:t>
      </w:r>
      <w:r>
        <w:rPr>
          <w:lang w:val="en-US"/>
        </w:rPr>
        <w:t> </w:t>
      </w:r>
      <w:r>
        <w:rPr>
          <w:rFonts w:ascii="Symbol" w:hAnsi="Symbol"/>
          <w:lang w:val="en-US"/>
        </w:rPr>
        <w:t></w:t>
      </w:r>
      <w:r>
        <w:rPr>
          <w:lang w:val="en-US"/>
        </w:rPr>
        <w:t> 1 W transmitter occur, as evident in Table 4 and Fig. 4, necessitating integration over multiple ranges.</w:t>
      </w:r>
    </w:p>
    <w:p w:rsidR="0040081F" w:rsidRDefault="0040081F" w:rsidP="0040081F">
      <w:pPr>
        <w:pStyle w:val="TableNo"/>
        <w:rPr>
          <w:lang w:val="en-US"/>
        </w:rPr>
      </w:pPr>
      <w:r>
        <w:rPr>
          <w:lang w:val="en-US"/>
        </w:rPr>
        <w:t>TABLE  4</w:t>
      </w:r>
    </w:p>
    <w:p w:rsidR="0040081F" w:rsidRDefault="0040081F" w:rsidP="0040081F">
      <w:pPr>
        <w:pStyle w:val="Tabletitle"/>
        <w:rPr>
          <w:lang w:val="en-US"/>
        </w:rPr>
      </w:pPr>
      <w:r>
        <w:rPr>
          <w:lang w:val="en-US"/>
        </w:rPr>
        <w:t xml:space="preserve">Breakpoints in OoB mask G </w:t>
      </w:r>
      <w:r>
        <w:rPr>
          <w:lang w:val="en-US"/>
        </w:rPr>
        <w:br/>
        <w:t>(based on RBW </w:t>
      </w:r>
      <w:r>
        <w:rPr>
          <w:rFonts w:ascii="Symbol" w:hAnsi="Symbol"/>
          <w:lang w:val="en-US"/>
        </w:rPr>
        <w:t></w:t>
      </w:r>
      <w:r>
        <w:rPr>
          <w:lang w:val="en-US"/>
        </w:rPr>
        <w:t> 300 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9"/>
        <w:gridCol w:w="3969"/>
      </w:tblGrid>
      <w:tr w:rsidR="0040081F" w:rsidTr="002951C0">
        <w:trPr>
          <w:jc w:val="center"/>
        </w:trPr>
        <w:tc>
          <w:tcPr>
            <w:tcW w:w="3969" w:type="dxa"/>
          </w:tcPr>
          <w:p w:rsidR="0040081F" w:rsidRDefault="0040081F" w:rsidP="002951C0">
            <w:pPr>
              <w:pStyle w:val="Tablehead"/>
              <w:rPr>
                <w:lang w:val="en-US"/>
              </w:rPr>
            </w:pPr>
            <w:r>
              <w:rPr>
                <w:lang w:val="en-US"/>
              </w:rPr>
              <w:t>Frequency displacement from carrier (kHz)</w:t>
            </w:r>
          </w:p>
        </w:tc>
        <w:tc>
          <w:tcPr>
            <w:tcW w:w="3969" w:type="dxa"/>
          </w:tcPr>
          <w:p w:rsidR="0040081F" w:rsidRDefault="0040081F" w:rsidP="002951C0">
            <w:pPr>
              <w:pStyle w:val="Tablehead"/>
              <w:rPr>
                <w:lang w:val="en-US"/>
              </w:rPr>
            </w:pPr>
            <w:r>
              <w:rPr>
                <w:lang w:val="en-US"/>
              </w:rPr>
              <w:t>Attenuation</w:t>
            </w:r>
            <w:r>
              <w:rPr>
                <w:lang w:val="en-US"/>
              </w:rPr>
              <w:br/>
              <w:t>(dB)</w:t>
            </w:r>
          </w:p>
        </w:tc>
      </w:tr>
      <w:tr w:rsidR="0040081F" w:rsidTr="002951C0">
        <w:trPr>
          <w:jc w:val="center"/>
        </w:trPr>
        <w:tc>
          <w:tcPr>
            <w:tcW w:w="3969" w:type="dxa"/>
          </w:tcPr>
          <w:p w:rsidR="0040081F" w:rsidRDefault="0040081F" w:rsidP="00B043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36"/>
              </w:tabs>
              <w:rPr>
                <w:lang w:val="en-US"/>
              </w:rPr>
            </w:pPr>
            <w:r>
              <w:rPr>
                <w:lang w:val="en-US"/>
              </w:rPr>
              <w:t>12.5</w:t>
            </w:r>
            <w:r>
              <w:rPr>
                <w:lang w:val="en-US"/>
              </w:rPr>
              <w:br/>
              <w:t>16.46</w:t>
            </w:r>
          </w:p>
        </w:tc>
        <w:tc>
          <w:tcPr>
            <w:tcW w:w="3969" w:type="dxa"/>
          </w:tcPr>
          <w:p w:rsidR="0040081F" w:rsidRDefault="0040081F" w:rsidP="00B043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36"/>
              </w:tabs>
              <w:rPr>
                <w:lang w:val="en-US"/>
              </w:rPr>
            </w:pPr>
            <w:r>
              <w:rPr>
                <w:lang w:val="en-US"/>
              </w:rPr>
              <w:t>36.14</w:t>
            </w:r>
            <w:r>
              <w:rPr>
                <w:lang w:val="en-US"/>
              </w:rPr>
              <w:br/>
              <w:t>50</w:t>
            </w:r>
          </w:p>
        </w:tc>
      </w:tr>
    </w:tbl>
    <w:p w:rsidR="0040081F" w:rsidRPr="00807481" w:rsidRDefault="0040081F" w:rsidP="002951C0">
      <w:pPr>
        <w:pStyle w:val="Tablefin"/>
        <w:rPr>
          <w:sz w:val="2"/>
        </w:rPr>
      </w:pPr>
    </w:p>
    <w:p w:rsidR="0040081F" w:rsidRDefault="0040081F" w:rsidP="0040081F">
      <w:pPr>
        <w:rPr>
          <w:lang w:val="en-US"/>
        </w:rPr>
      </w:pPr>
      <w:r>
        <w:rPr>
          <w:lang w:val="en-US"/>
        </w:rPr>
        <w:lastRenderedPageBreak/>
        <w:t>The G mask is graphically portrayed in Fig. 4.</w:t>
      </w:r>
    </w:p>
    <w:p w:rsidR="002951C0" w:rsidRPr="000D4195" w:rsidRDefault="002951C0" w:rsidP="0040081F">
      <w:pPr>
        <w:pStyle w:val="FigureNo"/>
        <w:rPr>
          <w:lang w:val="en-US"/>
        </w:rPr>
      </w:pPr>
      <w:r w:rsidRPr="000D4195">
        <w:rPr>
          <w:lang w:val="en-US"/>
        </w:rPr>
        <w:t>FIGURE 4</w:t>
      </w:r>
    </w:p>
    <w:p w:rsidR="002951C0" w:rsidRPr="000D4195" w:rsidRDefault="002951C0" w:rsidP="002951C0">
      <w:pPr>
        <w:pStyle w:val="Figuretitle"/>
        <w:rPr>
          <w:lang w:val="en-US"/>
        </w:rPr>
      </w:pPr>
      <w:r w:rsidRPr="000D4195">
        <w:rPr>
          <w:lang w:val="en-US"/>
        </w:rPr>
        <w:t>Emission mask G (based on RBW = 300 Hz)</w:t>
      </w:r>
    </w:p>
    <w:p w:rsidR="002951C0" w:rsidRPr="002951C0" w:rsidRDefault="00273E2F" w:rsidP="002951C0">
      <w:pPr>
        <w:pStyle w:val="Figure"/>
      </w:pPr>
      <w:r>
        <w:rPr>
          <w:noProof/>
          <w:lang w:val="en-US" w:eastAsia="zh-CN"/>
        </w:rPr>
        <w:drawing>
          <wp:inline distT="0" distB="0" distL="0" distR="0" wp14:anchorId="7C118EF4" wp14:editId="48A612FD">
            <wp:extent cx="5060950" cy="37592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0950" cy="3759200"/>
                    </a:xfrm>
                    <a:prstGeom prst="rect">
                      <a:avLst/>
                    </a:prstGeom>
                    <a:noFill/>
                    <a:ln>
                      <a:noFill/>
                    </a:ln>
                  </pic:spPr>
                </pic:pic>
              </a:graphicData>
            </a:graphic>
          </wp:inline>
        </w:drawing>
      </w:r>
    </w:p>
    <w:p w:rsidR="0040081F" w:rsidRDefault="0040081F" w:rsidP="0040081F">
      <w:pPr>
        <w:pStyle w:val="Heading1"/>
        <w:rPr>
          <w:lang w:val="en-US"/>
        </w:rPr>
      </w:pPr>
      <w:r>
        <w:rPr>
          <w:lang w:val="en-US"/>
        </w:rPr>
        <w:t>2</w:t>
      </w:r>
      <w:r>
        <w:rPr>
          <w:lang w:val="en-US"/>
        </w:rPr>
        <w:tab/>
        <w:t>Discrete method</w:t>
      </w:r>
    </w:p>
    <w:p w:rsidR="0040081F" w:rsidRDefault="0040081F" w:rsidP="0040081F">
      <w:pPr>
        <w:rPr>
          <w:lang w:val="en-US"/>
        </w:rPr>
      </w:pPr>
      <w:r>
        <w:rPr>
          <w:lang w:val="en-US"/>
        </w:rPr>
        <w:t>This example is for a 1 W transmitter and notation follows that is used in a software program to calculate the results. This mask has a transition in the midst of the adjacent frequency band, and 2 breakpoint frequency displacements from the centre of the emission need to be determined. First is a transmitter power level dependent frequency breakpoint at which attenuation reaches 50 </w:t>
      </w:r>
      <w:r>
        <w:rPr>
          <w:rFonts w:ascii="Symbol" w:hAnsi="Symbol"/>
          <w:lang w:val="en-US"/>
        </w:rPr>
        <w:t></w:t>
      </w:r>
      <w:r>
        <w:rPr>
          <w:lang w:val="en-US"/>
        </w:rPr>
        <w:t> 10 log (</w:t>
      </w:r>
      <w:r>
        <w:rPr>
          <w:i/>
          <w:iCs/>
          <w:lang w:val="en-US"/>
        </w:rPr>
        <w:t>P</w:t>
      </w:r>
      <w:r>
        <w:rPr>
          <w:lang w:val="en-US"/>
        </w:rPr>
        <w:t xml:space="preserve">) dB, where </w:t>
      </w:r>
      <w:r>
        <w:rPr>
          <w:i/>
          <w:iCs/>
          <w:lang w:val="en-US"/>
        </w:rPr>
        <w:t>P</w:t>
      </w:r>
      <w:r>
        <w:rPr>
          <w:lang w:val="en-US"/>
        </w:rPr>
        <w:t xml:space="preserve"> is the transmitter power (W). Second is the breakpoint at which attenuation equals 70 dB. For the side of the adjacent band which is nearest the emission, the power level independent attenuation formula for the example power spectral density attenuation mask is given in equation (1), while equation (11) contains the power level dependent formula for the frequency range on the far side of the appropriate breakpoint frequency. Power in both regions must be summed to determine the total adjacent band power.</w:t>
      </w:r>
    </w:p>
    <w:p w:rsidR="0040081F" w:rsidRDefault="0040081F" w:rsidP="0040081F">
      <w:pPr>
        <w:rPr>
          <w:lang w:val="en-US"/>
        </w:rPr>
      </w:pPr>
      <w:r>
        <w:rPr>
          <w:lang w:val="en-US"/>
        </w:rPr>
        <w:t>In the following equations the notation “:</w:t>
      </w:r>
      <w:r>
        <w:rPr>
          <w:rFonts w:ascii="Symbol" w:hAnsi="Symbol"/>
          <w:lang w:val="en-US"/>
        </w:rPr>
        <w:t></w:t>
      </w:r>
      <w:r>
        <w:rPr>
          <w:lang w:val="en-US"/>
        </w:rPr>
        <w:t>” means “defined as” and “[ ]”, when used in mathematical equations, are not temporary but agreed text.</w:t>
      </w:r>
    </w:p>
    <w:p w:rsidR="0040081F" w:rsidRDefault="0040081F" w:rsidP="0040081F">
      <w:pPr>
        <w:rPr>
          <w:lang w:val="en-US"/>
        </w:rPr>
      </w:pPr>
      <w:r>
        <w:rPr>
          <w:lang w:val="en-US"/>
        </w:rPr>
        <w:t>The near side attenuation equation is represented in this Appendix by:</w:t>
      </w:r>
    </w:p>
    <w:p w:rsidR="0040081F" w:rsidRDefault="0040081F" w:rsidP="0040081F">
      <w:pPr>
        <w:pStyle w:val="Blanc"/>
      </w:pPr>
    </w:p>
    <w:p w:rsidR="0040081F" w:rsidRDefault="0040081F" w:rsidP="0040081F">
      <w:pPr>
        <w:pStyle w:val="Equation"/>
        <w:rPr>
          <w:lang w:val="en-US"/>
        </w:rPr>
      </w:pPr>
      <w:r>
        <w:rPr>
          <w:lang w:val="en-US"/>
        </w:rPr>
        <w:tab/>
      </w:r>
      <w:r>
        <w:rPr>
          <w:lang w:val="en-US"/>
        </w:rPr>
        <w:tab/>
      </w:r>
      <w:r w:rsidRPr="00AC23B9">
        <w:rPr>
          <w:position w:val="-10"/>
          <w:sz w:val="20"/>
        </w:rPr>
        <w:object w:dxaOrig="41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pt;height:16.3pt" o:ole="" fillcolor="window">
            <v:imagedata r:id="rId19" o:title=""/>
          </v:shape>
          <o:OLEObject Type="Embed" ProgID="Equation.3" ShapeID="_x0000_i1025" DrawAspect="Content" ObjectID="_1392698776" r:id="rId20"/>
        </w:object>
      </w:r>
      <w:r>
        <w:rPr>
          <w:lang w:val="en-US"/>
        </w:rPr>
        <w:tab/>
        <w:t>(1)</w:t>
      </w:r>
    </w:p>
    <w:p w:rsidR="0040081F" w:rsidRDefault="0040081F" w:rsidP="0040081F">
      <w:pPr>
        <w:pStyle w:val="Blanc"/>
      </w:pPr>
    </w:p>
    <w:p w:rsidR="0040081F" w:rsidRDefault="0040081F" w:rsidP="0040081F">
      <w:pPr>
        <w:rPr>
          <w:lang w:val="en-US"/>
        </w:rPr>
      </w:pPr>
      <w:r>
        <w:rPr>
          <w:lang w:val="en-US"/>
        </w:rPr>
        <w:t xml:space="preserve">where </w:t>
      </w:r>
      <w:r>
        <w:rPr>
          <w:i/>
          <w:lang w:val="en-US"/>
        </w:rPr>
        <w:t>fd</w:t>
      </w:r>
      <w:r>
        <w:rPr>
          <w:lang w:val="en-US"/>
        </w:rPr>
        <w:t xml:space="preserve"> is the frequency displacement (kHz) from the centre of the emission.</w:t>
      </w:r>
    </w:p>
    <w:p w:rsidR="0040081F" w:rsidRDefault="0040081F" w:rsidP="00B043EA">
      <w:pPr>
        <w:keepNext/>
        <w:keepLines/>
        <w:rPr>
          <w:lang w:val="en-US"/>
        </w:rPr>
      </w:pPr>
      <w:r>
        <w:rPr>
          <w:lang w:val="en-US"/>
        </w:rPr>
        <w:lastRenderedPageBreak/>
        <w:t>To determine the adjacent band power it is necessary to convert this logarithmic representation of the permissible emission spectral power density limit to a linear representation, so the attenuation can be integrated or summed over the frequency range of the adjacent band, using:</w:t>
      </w:r>
    </w:p>
    <w:p w:rsidR="00B043EA" w:rsidRDefault="00B043EA" w:rsidP="00B043EA">
      <w:pPr>
        <w:pStyle w:val="Blanc"/>
      </w:pPr>
    </w:p>
    <w:p w:rsidR="0040081F" w:rsidRDefault="0040081F" w:rsidP="00B043EA">
      <w:pPr>
        <w:pStyle w:val="Equation"/>
        <w:keepNext/>
        <w:keepLines/>
        <w:rPr>
          <w:lang w:val="en-US"/>
        </w:rPr>
      </w:pPr>
      <w:r>
        <w:rPr>
          <w:lang w:val="en-US"/>
        </w:rPr>
        <w:tab/>
      </w:r>
      <w:r>
        <w:rPr>
          <w:lang w:val="en-US"/>
        </w:rPr>
        <w:tab/>
      </w:r>
      <w:r w:rsidRPr="00AC23B9">
        <w:rPr>
          <w:position w:val="-10"/>
          <w:sz w:val="20"/>
        </w:rPr>
        <w:object w:dxaOrig="2320" w:dyaOrig="420">
          <v:shape id="_x0000_i1026" type="#_x0000_t75" style="width:115.2pt;height:21.3pt" o:ole="" fillcolor="window">
            <v:imagedata r:id="rId21" o:title=""/>
          </v:shape>
          <o:OLEObject Type="Embed" ProgID="Equation.3" ShapeID="_x0000_i1026" DrawAspect="Content" ObjectID="_1392698777" r:id="rId22"/>
        </w:object>
      </w:r>
      <w:r>
        <w:rPr>
          <w:lang w:val="en-US"/>
        </w:rPr>
        <w:tab/>
        <w:t>(2)</w:t>
      </w:r>
    </w:p>
    <w:p w:rsidR="00B043EA" w:rsidRDefault="00B043EA" w:rsidP="00B043EA">
      <w:pPr>
        <w:pStyle w:val="Blanc"/>
      </w:pPr>
    </w:p>
    <w:p w:rsidR="0040081F" w:rsidRDefault="0040081F" w:rsidP="0040081F">
      <w:pPr>
        <w:rPr>
          <w:lang w:val="en-US"/>
        </w:rPr>
      </w:pPr>
      <w:r>
        <w:rPr>
          <w:lang w:val="en-US"/>
        </w:rPr>
        <w:t>To determine the power limited by the mask, the attenuation must be summed at equal intervals equal to the resolution bandwidth specified for emission mask measurements (i.e. numerical integration) over the frequency band being assessed. For this mask:</w:t>
      </w:r>
    </w:p>
    <w:p w:rsidR="0040081F" w:rsidRDefault="0040081F" w:rsidP="0040081F">
      <w:pPr>
        <w:pStyle w:val="Blanc"/>
      </w:pPr>
    </w:p>
    <w:p w:rsidR="0040081F" w:rsidRDefault="0040081F" w:rsidP="0040081F">
      <w:pPr>
        <w:pStyle w:val="Equation"/>
        <w:rPr>
          <w:lang w:val="en-US"/>
        </w:rPr>
      </w:pPr>
      <w:r>
        <w:rPr>
          <w:lang w:val="en-US"/>
        </w:rPr>
        <w:tab/>
      </w:r>
      <w:r>
        <w:rPr>
          <w:lang w:val="en-US"/>
        </w:rPr>
        <w:tab/>
      </w:r>
      <w:r w:rsidRPr="00AC23B9">
        <w:rPr>
          <w:position w:val="-10"/>
          <w:sz w:val="20"/>
        </w:rPr>
        <w:object w:dxaOrig="2720" w:dyaOrig="320">
          <v:shape id="_x0000_i1027" type="#_x0000_t75" style="width:135.85pt;height:16.3pt" o:ole="" fillcolor="window">
            <v:imagedata r:id="rId23" o:title=""/>
          </v:shape>
          <o:OLEObject Type="Embed" ProgID="Equation.3" ShapeID="_x0000_i1027" DrawAspect="Content" ObjectID="_1392698778" r:id="rId24"/>
        </w:object>
      </w:r>
      <w:r>
        <w:rPr>
          <w:lang w:val="en-US"/>
        </w:rPr>
        <w:tab/>
        <w:t>(3)</w:t>
      </w:r>
    </w:p>
    <w:p w:rsidR="0040081F" w:rsidRDefault="0040081F" w:rsidP="0040081F">
      <w:pPr>
        <w:pStyle w:val="Blanc"/>
      </w:pPr>
    </w:p>
    <w:p w:rsidR="0040081F" w:rsidRDefault="0040081F" w:rsidP="00D23C01">
      <w:pPr>
        <w:rPr>
          <w:lang w:val="en-US"/>
        </w:rPr>
      </w:pPr>
      <w:r>
        <w:rPr>
          <w:lang w:val="en-US"/>
        </w:rPr>
        <w:t>and the adjacent band is assigned a bandwidth of 25 kHz. The adjacent band is centred at a displacement of 25 kHz, thus the adjacent assigned band starts at a frequency displacement of 25</w:t>
      </w:r>
      <w:r w:rsidR="00F67ECF">
        <w:rPr>
          <w:lang w:val="en-US"/>
        </w:rPr>
        <w:t> </w:t>
      </w:r>
      <w:r w:rsidR="00D23C01">
        <w:rPr>
          <w:lang w:val="en-US"/>
        </w:rPr>
        <w:sym w:font="Symbol" w:char="F02D"/>
      </w:r>
      <w:r>
        <w:rPr>
          <w:lang w:val="en-US"/>
        </w:rPr>
        <w:t> 25/2 </w:t>
      </w:r>
      <w:r>
        <w:rPr>
          <w:rFonts w:ascii="Symbol" w:hAnsi="Symbol"/>
          <w:lang w:val="en-US"/>
        </w:rPr>
        <w:t></w:t>
      </w:r>
      <w:r>
        <w:rPr>
          <w:lang w:val="en-US"/>
        </w:rPr>
        <w:t> 12.5 kHz and ends at 37.5 kHz. However, an adjustment equal to half the bandwidth of the resolution filter bandwidth is needed to preclude inclusion of energy outside the adjacent band, so power summation needs to begin at 12.5 </w:t>
      </w:r>
      <w:r>
        <w:rPr>
          <w:rFonts w:ascii="Symbol" w:hAnsi="Symbol"/>
          <w:lang w:val="en-US"/>
        </w:rPr>
        <w:t></w:t>
      </w:r>
      <w:r>
        <w:rPr>
          <w:lang w:val="en-US"/>
        </w:rPr>
        <w:t> 0.3/2 </w:t>
      </w:r>
      <w:r>
        <w:rPr>
          <w:rFonts w:ascii="Symbol" w:hAnsi="Symbol"/>
          <w:lang w:val="en-US"/>
        </w:rPr>
        <w:t></w:t>
      </w:r>
      <w:r>
        <w:rPr>
          <w:lang w:val="en-US"/>
        </w:rPr>
        <w:t xml:space="preserve"> 12.65 kHz. The power level dependent breakpoint frequency, </w:t>
      </w:r>
      <w:r>
        <w:rPr>
          <w:i/>
          <w:lang w:val="en-US"/>
        </w:rPr>
        <w:t>fb</w:t>
      </w:r>
      <w:r>
        <w:rPr>
          <w:lang w:val="en-US"/>
        </w:rPr>
        <w:t>, is given by rearranging equation (1) to be:</w:t>
      </w:r>
    </w:p>
    <w:p w:rsidR="0040081F" w:rsidRDefault="0040081F" w:rsidP="0040081F">
      <w:pPr>
        <w:pStyle w:val="Blanc"/>
      </w:pPr>
    </w:p>
    <w:p w:rsidR="0040081F" w:rsidRDefault="0040081F" w:rsidP="0040081F">
      <w:pPr>
        <w:pStyle w:val="Equation"/>
        <w:rPr>
          <w:lang w:val="en-US"/>
        </w:rPr>
      </w:pPr>
      <w:r>
        <w:rPr>
          <w:lang w:val="en-US"/>
        </w:rPr>
        <w:tab/>
      </w:r>
      <w:r>
        <w:rPr>
          <w:lang w:val="en-US"/>
        </w:rPr>
        <w:tab/>
      </w:r>
      <w:r w:rsidRPr="00AC23B9">
        <w:rPr>
          <w:position w:val="-10"/>
          <w:sz w:val="20"/>
        </w:rPr>
        <w:object w:dxaOrig="3240" w:dyaOrig="420">
          <v:shape id="_x0000_i1028" type="#_x0000_t75" style="width:162.15pt;height:21.3pt" o:ole="" fillcolor="window">
            <v:imagedata r:id="rId25" o:title=""/>
          </v:shape>
          <o:OLEObject Type="Embed" ProgID="Equation.3" ShapeID="_x0000_i1028" DrawAspect="Content" ObjectID="_1392698779" r:id="rId26"/>
        </w:object>
      </w:r>
      <w:r>
        <w:rPr>
          <w:lang w:val="en-US"/>
        </w:rPr>
        <w:tab/>
        <w:t>(4)</w:t>
      </w:r>
    </w:p>
    <w:p w:rsidR="0040081F" w:rsidRDefault="0040081F" w:rsidP="0040081F">
      <w:pPr>
        <w:pStyle w:val="Blanc"/>
      </w:pPr>
    </w:p>
    <w:p w:rsidR="0040081F" w:rsidRDefault="0040081F" w:rsidP="0040081F">
      <w:pPr>
        <w:rPr>
          <w:lang w:val="en-US"/>
        </w:rPr>
      </w:pPr>
      <w:r>
        <w:rPr>
          <w:lang w:val="en-US"/>
        </w:rPr>
        <w:t xml:space="preserve">For a </w:t>
      </w:r>
      <w:r>
        <w:rPr>
          <w:i/>
          <w:iCs/>
          <w:lang w:val="en-US"/>
        </w:rPr>
        <w:t>P</w:t>
      </w:r>
      <w:r>
        <w:rPr>
          <w:lang w:val="en-US"/>
        </w:rPr>
        <w:t> </w:t>
      </w:r>
      <w:r>
        <w:rPr>
          <w:rFonts w:ascii="Symbol" w:hAnsi="Symbol"/>
          <w:lang w:val="en-US"/>
        </w:rPr>
        <w:t></w:t>
      </w:r>
      <w:r>
        <w:rPr>
          <w:lang w:val="en-US"/>
        </w:rPr>
        <w:t> 1 W transmitter the 50 dB breakpoint lies at 16.46 kHz. The 70 dB breakpoint, which applies as well to all transmitters of 100 W or more power, occurs at 24.48 kHz.</w:t>
      </w:r>
    </w:p>
    <w:p w:rsidR="0040081F" w:rsidRDefault="0040081F" w:rsidP="0040081F">
      <w:pPr>
        <w:rPr>
          <w:lang w:val="en-US"/>
        </w:rPr>
      </w:pPr>
      <w:r>
        <w:rPr>
          <w:lang w:val="en-US"/>
        </w:rPr>
        <w:t>The power attenuation in the near side region of the adjacent band may then be determined by summing over the frequency displacement range 12.65 kHz to 16.46 kHz which, after adjustment, is represented by:</w:t>
      </w:r>
    </w:p>
    <w:p w:rsidR="0040081F" w:rsidRDefault="0040081F" w:rsidP="0040081F">
      <w:pPr>
        <w:pStyle w:val="Blanc"/>
      </w:pPr>
    </w:p>
    <w:p w:rsidR="0040081F" w:rsidRDefault="0040081F" w:rsidP="0040081F">
      <w:pPr>
        <w:pStyle w:val="Equation"/>
        <w:rPr>
          <w:lang w:val="en-US"/>
        </w:rPr>
      </w:pPr>
      <w:r>
        <w:rPr>
          <w:lang w:val="en-US"/>
        </w:rPr>
        <w:tab/>
      </w:r>
      <w:r>
        <w:rPr>
          <w:lang w:val="en-US"/>
        </w:rPr>
        <w:tab/>
      </w:r>
      <w:r w:rsidRPr="008B3212">
        <w:rPr>
          <w:position w:val="-10"/>
          <w:sz w:val="20"/>
        </w:rPr>
        <w:object w:dxaOrig="4160" w:dyaOrig="320">
          <v:shape id="_x0000_i1029" type="#_x0000_t75" style="width:208.5pt;height:16.3pt" o:ole="" fillcolor="window">
            <v:imagedata r:id="rId27" o:title=""/>
          </v:shape>
          <o:OLEObject Type="Embed" ProgID="Equation.3" ShapeID="_x0000_i1029" DrawAspect="Content" ObjectID="_1392698780" r:id="rId28"/>
        </w:object>
      </w:r>
      <w:r>
        <w:rPr>
          <w:lang w:val="en-US"/>
        </w:rPr>
        <w:tab/>
        <w:t>(5)</w:t>
      </w:r>
    </w:p>
    <w:p w:rsidR="0040081F" w:rsidRDefault="0040081F" w:rsidP="0040081F">
      <w:pPr>
        <w:pStyle w:val="Blanc"/>
      </w:pPr>
    </w:p>
    <w:p w:rsidR="0040081F" w:rsidRDefault="0040081F" w:rsidP="0040081F">
      <w:pPr>
        <w:rPr>
          <w:lang w:val="en-US"/>
        </w:rPr>
      </w:pPr>
      <w:r>
        <w:rPr>
          <w:lang w:val="en-US"/>
        </w:rPr>
        <w:t>The near side portion of the emission mask in the adjacent band logarithmically appears in Fig. 5:</w:t>
      </w:r>
    </w:p>
    <w:p w:rsidR="0040081F" w:rsidRDefault="0040081F" w:rsidP="0040081F">
      <w:pPr>
        <w:rPr>
          <w:lang w:val="en-US"/>
        </w:rPr>
      </w:pPr>
    </w:p>
    <w:p w:rsidR="002951C0" w:rsidRPr="000D4195" w:rsidRDefault="002951C0" w:rsidP="0040081F">
      <w:pPr>
        <w:pStyle w:val="FigureNo"/>
        <w:rPr>
          <w:lang w:val="en-US"/>
        </w:rPr>
      </w:pPr>
      <w:r w:rsidRPr="000D4195">
        <w:rPr>
          <w:lang w:val="en-US"/>
        </w:rPr>
        <w:t>FIGURE 5</w:t>
      </w:r>
    </w:p>
    <w:p w:rsidR="002951C0" w:rsidRPr="000D4195" w:rsidRDefault="002951C0" w:rsidP="002951C0">
      <w:pPr>
        <w:pStyle w:val="Figuretitle"/>
        <w:rPr>
          <w:lang w:val="en-US"/>
        </w:rPr>
      </w:pPr>
      <w:r w:rsidRPr="000D4195">
        <w:rPr>
          <w:lang w:val="en-US"/>
        </w:rPr>
        <w:t>Emission mask attenuation in the adjacent band near side (dBc)</w:t>
      </w:r>
    </w:p>
    <w:p w:rsidR="002951C0" w:rsidRPr="002951C0" w:rsidRDefault="00273E2F" w:rsidP="002951C0">
      <w:pPr>
        <w:pStyle w:val="Figure"/>
      </w:pPr>
      <w:r>
        <w:rPr>
          <w:noProof/>
          <w:lang w:val="en-US" w:eastAsia="zh-CN"/>
        </w:rPr>
        <w:drawing>
          <wp:inline distT="0" distB="0" distL="0" distR="0" wp14:anchorId="2633406A" wp14:editId="173AE772">
            <wp:extent cx="4343400" cy="22415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43400" cy="2241550"/>
                    </a:xfrm>
                    <a:prstGeom prst="rect">
                      <a:avLst/>
                    </a:prstGeom>
                    <a:noFill/>
                    <a:ln>
                      <a:noFill/>
                    </a:ln>
                  </pic:spPr>
                </pic:pic>
              </a:graphicData>
            </a:graphic>
          </wp:inline>
        </w:drawing>
      </w:r>
    </w:p>
    <w:p w:rsidR="0040081F" w:rsidRDefault="0040081F" w:rsidP="00E95CDC">
      <w:pPr>
        <w:rPr>
          <w:lang w:val="en-US"/>
        </w:rPr>
      </w:pPr>
      <w:r>
        <w:rPr>
          <w:lang w:val="en-US"/>
        </w:rPr>
        <w:lastRenderedPageBreak/>
        <w:t>and the linear representation for this mask follows in Fig. 6.</w:t>
      </w:r>
    </w:p>
    <w:p w:rsidR="002951C0" w:rsidRPr="000D4195" w:rsidRDefault="002951C0" w:rsidP="0040081F">
      <w:pPr>
        <w:pStyle w:val="FigureNo"/>
        <w:rPr>
          <w:lang w:val="en-US"/>
        </w:rPr>
      </w:pPr>
      <w:r w:rsidRPr="000D4195">
        <w:rPr>
          <w:lang w:val="en-US"/>
        </w:rPr>
        <w:t>FIGURE 6</w:t>
      </w:r>
    </w:p>
    <w:p w:rsidR="002951C0" w:rsidRPr="000D4195" w:rsidRDefault="002951C0" w:rsidP="002951C0">
      <w:pPr>
        <w:pStyle w:val="Figuretitle"/>
        <w:rPr>
          <w:lang w:val="en-US"/>
        </w:rPr>
      </w:pPr>
      <w:r w:rsidRPr="000D4195">
        <w:rPr>
          <w:lang w:val="en-US"/>
        </w:rPr>
        <w:t>Emission power distribution in the adjacent band near side</w:t>
      </w:r>
    </w:p>
    <w:p w:rsidR="002951C0" w:rsidRPr="002951C0" w:rsidRDefault="00273E2F" w:rsidP="002951C0">
      <w:pPr>
        <w:pStyle w:val="Figure"/>
      </w:pPr>
      <w:r>
        <w:rPr>
          <w:noProof/>
          <w:lang w:val="en-US" w:eastAsia="zh-CN"/>
        </w:rPr>
        <w:drawing>
          <wp:inline distT="0" distB="0" distL="0" distR="0" wp14:anchorId="49CDB816" wp14:editId="741BFC41">
            <wp:extent cx="4375150" cy="22606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75150" cy="2260600"/>
                    </a:xfrm>
                    <a:prstGeom prst="rect">
                      <a:avLst/>
                    </a:prstGeom>
                    <a:noFill/>
                    <a:ln>
                      <a:noFill/>
                    </a:ln>
                  </pic:spPr>
                </pic:pic>
              </a:graphicData>
            </a:graphic>
          </wp:inline>
        </w:drawing>
      </w:r>
    </w:p>
    <w:p w:rsidR="0040081F" w:rsidRDefault="0040081F" w:rsidP="0040081F">
      <w:pPr>
        <w:rPr>
          <w:lang w:val="en-US"/>
        </w:rPr>
      </w:pPr>
      <w:r>
        <w:rPr>
          <w:lang w:val="en-US"/>
        </w:rPr>
        <w:t>The total adjacent band power relative to the total emission power is a ratio which is determined by summing the power in the adjacent band bandwidth shown in Fig. 6 using the following equation:</w:t>
      </w:r>
    </w:p>
    <w:p w:rsidR="0040081F" w:rsidRDefault="0040081F" w:rsidP="0040081F">
      <w:pPr>
        <w:pStyle w:val="Blanc"/>
      </w:pPr>
    </w:p>
    <w:p w:rsidR="0040081F" w:rsidRDefault="0040081F" w:rsidP="0040081F">
      <w:pPr>
        <w:pStyle w:val="Equation"/>
        <w:rPr>
          <w:lang w:val="en-US"/>
        </w:rPr>
      </w:pPr>
      <w:r>
        <w:rPr>
          <w:lang w:val="en-US"/>
        </w:rPr>
        <w:tab/>
      </w:r>
      <w:r>
        <w:rPr>
          <w:lang w:val="en-US"/>
        </w:rPr>
        <w:tab/>
      </w:r>
      <w:r w:rsidRPr="00AC23B9">
        <w:rPr>
          <w:position w:val="-44"/>
          <w:sz w:val="20"/>
        </w:rPr>
        <w:object w:dxaOrig="1960" w:dyaOrig="740">
          <v:shape id="_x0000_i1030" type="#_x0000_t75" style="width:96.4pt;height:38.2pt" o:ole="" fillcolor="window">
            <v:imagedata r:id="rId31" o:title=""/>
          </v:shape>
          <o:OLEObject Type="Embed" ProgID="Equation.3" ShapeID="_x0000_i1030" DrawAspect="Content" ObjectID="_1392698781" r:id="rId32"/>
        </w:object>
      </w:r>
      <w:r>
        <w:rPr>
          <w:lang w:val="en-US"/>
        </w:rPr>
        <w:tab/>
        <w:t>(6)</w:t>
      </w:r>
    </w:p>
    <w:p w:rsidR="0040081F" w:rsidRDefault="0040081F" w:rsidP="0040081F">
      <w:pPr>
        <w:rPr>
          <w:lang w:val="en-US"/>
        </w:rPr>
      </w:pPr>
      <w:r>
        <w:rPr>
          <w:lang w:val="en-US"/>
        </w:rPr>
        <w:t>This equates to:</w:t>
      </w:r>
    </w:p>
    <w:p w:rsidR="0040081F" w:rsidRDefault="0040081F" w:rsidP="0040081F">
      <w:pPr>
        <w:pStyle w:val="Equation"/>
        <w:rPr>
          <w:lang w:val="en-US"/>
        </w:rPr>
      </w:pPr>
      <w:r>
        <w:rPr>
          <w:lang w:val="en-US"/>
        </w:rPr>
        <w:tab/>
      </w:r>
      <w:r>
        <w:rPr>
          <w:lang w:val="en-US"/>
        </w:rPr>
        <w:tab/>
      </w:r>
      <w:r w:rsidR="00D23C01" w:rsidRPr="00AC23B9">
        <w:rPr>
          <w:position w:val="-10"/>
          <w:sz w:val="20"/>
        </w:rPr>
        <w:object w:dxaOrig="2120" w:dyaOrig="400">
          <v:shape id="_x0000_i1031" type="#_x0000_t75" style="width:105.2pt;height:20.65pt" o:ole="" fillcolor="window">
            <v:imagedata r:id="rId33" o:title=""/>
          </v:shape>
          <o:OLEObject Type="Embed" ProgID="Equation.3" ShapeID="_x0000_i1031" DrawAspect="Content" ObjectID="_1392698782" r:id="rId34"/>
        </w:object>
      </w:r>
      <w:r>
        <w:rPr>
          <w:lang w:val="en-US"/>
        </w:rPr>
        <w:tab/>
        <w:t>(7)</w:t>
      </w:r>
    </w:p>
    <w:p w:rsidR="0040081F" w:rsidRDefault="0040081F" w:rsidP="0040081F">
      <w:pPr>
        <w:rPr>
          <w:lang w:val="en-US"/>
        </w:rPr>
      </w:pPr>
      <w:r>
        <w:rPr>
          <w:lang w:val="en-US"/>
        </w:rPr>
        <w:t>This can be converted back to attenuation for the adjacent band power limit (dB) using:</w:t>
      </w:r>
    </w:p>
    <w:p w:rsidR="0040081F" w:rsidRPr="00BB1479" w:rsidRDefault="0040081F" w:rsidP="0040081F">
      <w:pPr>
        <w:pStyle w:val="Blanc"/>
        <w:rPr>
          <w:lang w:val="en-US"/>
        </w:rPr>
      </w:pPr>
    </w:p>
    <w:p w:rsidR="0040081F" w:rsidRDefault="0040081F" w:rsidP="0040081F">
      <w:pPr>
        <w:pStyle w:val="Equation"/>
        <w:rPr>
          <w:lang w:val="en-US"/>
        </w:rPr>
      </w:pPr>
      <w:r>
        <w:rPr>
          <w:lang w:val="en-US"/>
        </w:rPr>
        <w:tab/>
      </w:r>
      <w:r>
        <w:rPr>
          <w:lang w:val="en-US"/>
        </w:rPr>
        <w:tab/>
      </w:r>
      <w:r w:rsidR="00D23C01" w:rsidRPr="00AC23B9">
        <w:rPr>
          <w:position w:val="-10"/>
          <w:sz w:val="20"/>
        </w:rPr>
        <w:object w:dxaOrig="2540" w:dyaOrig="320">
          <v:shape id="_x0000_i1032" type="#_x0000_t75" style="width:135.85pt;height:16.3pt" o:ole="" fillcolor="window">
            <v:imagedata r:id="rId35" o:title=""/>
          </v:shape>
          <o:OLEObject Type="Embed" ProgID="Equation.3" ShapeID="_x0000_i1032" DrawAspect="Content" ObjectID="_1392698783" r:id="rId36"/>
        </w:object>
      </w:r>
      <w:r>
        <w:rPr>
          <w:lang w:val="en-US"/>
        </w:rPr>
        <w:tab/>
        <w:t>(8)</w:t>
      </w:r>
    </w:p>
    <w:p w:rsidR="0040081F" w:rsidRDefault="0040081F" w:rsidP="0040081F">
      <w:pPr>
        <w:rPr>
          <w:lang w:val="en-US"/>
        </w:rPr>
      </w:pPr>
      <w:r>
        <w:rPr>
          <w:lang w:val="en-US"/>
        </w:rPr>
        <w:t>which evaluates as:</w:t>
      </w:r>
    </w:p>
    <w:p w:rsidR="0040081F" w:rsidRDefault="0040081F" w:rsidP="0040081F">
      <w:pPr>
        <w:pStyle w:val="Blanc"/>
      </w:pPr>
    </w:p>
    <w:p w:rsidR="0040081F" w:rsidRDefault="0040081F" w:rsidP="0040081F">
      <w:pPr>
        <w:pStyle w:val="Equation"/>
        <w:rPr>
          <w:lang w:val="en-US"/>
        </w:rPr>
      </w:pPr>
      <w:r>
        <w:rPr>
          <w:lang w:val="en-US"/>
        </w:rPr>
        <w:tab/>
      </w:r>
      <w:r>
        <w:rPr>
          <w:lang w:val="en-US"/>
        </w:rPr>
        <w:tab/>
      </w:r>
      <w:r w:rsidR="00D23C01" w:rsidRPr="00AC23B9">
        <w:rPr>
          <w:position w:val="-10"/>
          <w:sz w:val="20"/>
        </w:rPr>
        <w:object w:dxaOrig="3019" w:dyaOrig="300">
          <v:shape id="_x0000_i1033" type="#_x0000_t75" style="width:151.5pt;height:16.3pt" o:ole="" fillcolor="window">
            <v:imagedata r:id="rId37" o:title=""/>
          </v:shape>
          <o:OLEObject Type="Embed" ProgID="Equation.3" ShapeID="_x0000_i1033" DrawAspect="Content" ObjectID="_1392698784" r:id="rId38"/>
        </w:object>
      </w:r>
      <w:r>
        <w:rPr>
          <w:lang w:val="en-US"/>
        </w:rPr>
        <w:tab/>
        <w:t>(9)</w:t>
      </w:r>
    </w:p>
    <w:p w:rsidR="0040081F" w:rsidRDefault="0040081F" w:rsidP="0040081F">
      <w:pPr>
        <w:pStyle w:val="Blanc"/>
      </w:pPr>
    </w:p>
    <w:p w:rsidR="0040081F" w:rsidRDefault="0040081F" w:rsidP="0040081F">
      <w:pPr>
        <w:rPr>
          <w:lang w:val="en-US"/>
        </w:rPr>
      </w:pPr>
      <w:r>
        <w:rPr>
          <w:lang w:val="en-US"/>
        </w:rPr>
        <w:t>The formula for the example psd attenuation mask in the far side region of the adjacent frequency band for a 1 W radio is:</w:t>
      </w:r>
    </w:p>
    <w:p w:rsidR="0040081F" w:rsidRDefault="0040081F" w:rsidP="0040081F">
      <w:pPr>
        <w:pStyle w:val="Blanc"/>
      </w:pPr>
    </w:p>
    <w:p w:rsidR="0040081F" w:rsidRDefault="0040081F" w:rsidP="0040081F">
      <w:pPr>
        <w:pStyle w:val="Equation"/>
        <w:rPr>
          <w:lang w:val="en-US"/>
        </w:rPr>
      </w:pPr>
      <w:r>
        <w:rPr>
          <w:lang w:val="en-US"/>
        </w:rPr>
        <w:tab/>
      </w:r>
      <w:r>
        <w:rPr>
          <w:lang w:val="en-US"/>
        </w:rPr>
        <w:tab/>
      </w:r>
      <w:r w:rsidR="00D23C01" w:rsidRPr="00AC23B9">
        <w:rPr>
          <w:position w:val="-10"/>
          <w:sz w:val="20"/>
        </w:rPr>
        <w:object w:dxaOrig="3920" w:dyaOrig="320">
          <v:shape id="_x0000_i1034" type="#_x0000_t75" style="width:195.35pt;height:16.3pt" o:ole="" fillcolor="window">
            <v:imagedata r:id="rId39" o:title=""/>
          </v:shape>
          <o:OLEObject Type="Embed" ProgID="Equation.3" ShapeID="_x0000_i1034" DrawAspect="Content" ObjectID="_1392698785" r:id="rId40"/>
        </w:object>
      </w:r>
      <w:r>
        <w:rPr>
          <w:lang w:val="en-US"/>
        </w:rPr>
        <w:tab/>
        <w:t>(10)</w:t>
      </w:r>
    </w:p>
    <w:p w:rsidR="00807481" w:rsidRDefault="00807481" w:rsidP="00807481">
      <w:pPr>
        <w:pStyle w:val="Blanc"/>
      </w:pPr>
    </w:p>
    <w:p w:rsidR="0040081F" w:rsidRDefault="0040081F" w:rsidP="0040081F">
      <w:pPr>
        <w:rPr>
          <w:lang w:val="en-US"/>
        </w:rPr>
      </w:pPr>
      <w:r>
        <w:rPr>
          <w:lang w:val="en-US"/>
        </w:rPr>
        <w:t xml:space="preserve">where </w:t>
      </w:r>
      <w:r>
        <w:rPr>
          <w:i/>
          <w:iCs/>
          <w:lang w:val="en-US"/>
        </w:rPr>
        <w:t>fd</w:t>
      </w:r>
      <w:r>
        <w:rPr>
          <w:lang w:val="en-US"/>
        </w:rPr>
        <w:t xml:space="preserve"> is the frequency displacement in kHz from the centre of the emission.</w:t>
      </w:r>
    </w:p>
    <w:p w:rsidR="0040081F" w:rsidRDefault="0040081F" w:rsidP="0040081F">
      <w:pPr>
        <w:rPr>
          <w:lang w:val="en-US"/>
        </w:rPr>
      </w:pPr>
      <w:r>
        <w:rPr>
          <w:lang w:val="en-US"/>
        </w:rPr>
        <w:t>To determine the adjacent band power it is necessary to convert this logarithmic representation of the emission psd to a linear representation, so the power can be integrated or summed over the frequency range of the adjacent band, using:</w:t>
      </w:r>
    </w:p>
    <w:p w:rsidR="0040081F" w:rsidRDefault="0040081F" w:rsidP="0040081F">
      <w:pPr>
        <w:pStyle w:val="Equation"/>
        <w:rPr>
          <w:lang w:val="en-US"/>
        </w:rPr>
      </w:pPr>
      <w:r>
        <w:rPr>
          <w:lang w:val="en-US"/>
        </w:rPr>
        <w:tab/>
      </w:r>
      <w:r>
        <w:rPr>
          <w:lang w:val="en-US"/>
        </w:rPr>
        <w:tab/>
      </w:r>
      <w:r w:rsidR="00D23C01" w:rsidRPr="00AC23B9">
        <w:rPr>
          <w:position w:val="-10"/>
          <w:sz w:val="20"/>
        </w:rPr>
        <w:object w:dxaOrig="2060" w:dyaOrig="580">
          <v:shape id="_x0000_i1035" type="#_x0000_t75" style="width:103.3pt;height:27.55pt" o:ole="" fillcolor="window">
            <v:imagedata r:id="rId41" o:title=""/>
          </v:shape>
          <o:OLEObject Type="Embed" ProgID="Equation.3" ShapeID="_x0000_i1035" DrawAspect="Content" ObjectID="_1392698786" r:id="rId42"/>
        </w:object>
      </w:r>
      <w:r>
        <w:rPr>
          <w:lang w:val="en-US"/>
        </w:rPr>
        <w:tab/>
        <w:t>(11)</w:t>
      </w:r>
    </w:p>
    <w:p w:rsidR="0040081F" w:rsidRDefault="0040081F" w:rsidP="0040081F">
      <w:pPr>
        <w:rPr>
          <w:lang w:val="en-US"/>
        </w:rPr>
      </w:pPr>
      <w:r>
        <w:rPr>
          <w:lang w:val="en-US"/>
        </w:rPr>
        <w:lastRenderedPageBreak/>
        <w:t>To determine the power limited by the mask the power must be summed at equal intervals equal to the resolution bandwidth specified for emission mask measurements (i.e. numerical integration) over the frequency band being assessed. For this mask:</w:t>
      </w:r>
    </w:p>
    <w:p w:rsidR="001F35FF" w:rsidRDefault="001F35FF" w:rsidP="001F35FF">
      <w:pPr>
        <w:pStyle w:val="Blanc"/>
      </w:pPr>
    </w:p>
    <w:p w:rsidR="0040081F" w:rsidRDefault="0040081F" w:rsidP="0040081F">
      <w:pPr>
        <w:pStyle w:val="Equation"/>
        <w:rPr>
          <w:lang w:val="en-US"/>
        </w:rPr>
      </w:pPr>
      <w:r>
        <w:rPr>
          <w:lang w:val="en-US"/>
        </w:rPr>
        <w:tab/>
      </w:r>
      <w:r>
        <w:rPr>
          <w:lang w:val="en-US"/>
        </w:rPr>
        <w:tab/>
      </w:r>
      <w:r w:rsidRPr="00AC23B9">
        <w:rPr>
          <w:position w:val="-10"/>
          <w:sz w:val="20"/>
        </w:rPr>
        <w:object w:dxaOrig="2720" w:dyaOrig="320">
          <v:shape id="_x0000_i1036" type="#_x0000_t75" style="width:135.85pt;height:16.3pt" o:ole="" fillcolor="window">
            <v:imagedata r:id="rId43" o:title=""/>
          </v:shape>
          <o:OLEObject Type="Embed" ProgID="Equation.3" ShapeID="_x0000_i1036" DrawAspect="Content" ObjectID="_1392698787" r:id="rId44"/>
        </w:object>
      </w:r>
      <w:r>
        <w:rPr>
          <w:lang w:val="en-US"/>
        </w:rPr>
        <w:tab/>
        <w:t>(12)</w:t>
      </w:r>
    </w:p>
    <w:p w:rsidR="001F35FF" w:rsidRDefault="001F35FF" w:rsidP="001F35FF">
      <w:pPr>
        <w:pStyle w:val="Blanc"/>
      </w:pPr>
    </w:p>
    <w:p w:rsidR="0040081F" w:rsidRDefault="0040081F" w:rsidP="0040081F">
      <w:pPr>
        <w:rPr>
          <w:lang w:val="en-US"/>
        </w:rPr>
      </w:pPr>
      <w:r>
        <w:rPr>
          <w:lang w:val="en-US"/>
        </w:rPr>
        <w:t>The adjacent band power limit relative to the total emission power may then be calculated by summing the attenuation over the range 16.46 kHz to 37.5 kHz which, after adjustment, is represented in this Appendix by:</w:t>
      </w:r>
    </w:p>
    <w:p w:rsidR="0040081F" w:rsidRDefault="0040081F" w:rsidP="0040081F">
      <w:pPr>
        <w:pStyle w:val="Blanc"/>
      </w:pPr>
    </w:p>
    <w:p w:rsidR="0040081F" w:rsidRDefault="0040081F" w:rsidP="0040081F">
      <w:pPr>
        <w:pStyle w:val="Equation"/>
        <w:rPr>
          <w:lang w:val="en-US"/>
        </w:rPr>
      </w:pPr>
      <w:r>
        <w:rPr>
          <w:lang w:val="en-US"/>
        </w:rPr>
        <w:tab/>
      </w:r>
      <w:r>
        <w:rPr>
          <w:lang w:val="en-US"/>
        </w:rPr>
        <w:tab/>
      </w:r>
      <w:r w:rsidRPr="00AC23B9">
        <w:rPr>
          <w:position w:val="-10"/>
          <w:sz w:val="20"/>
        </w:rPr>
        <w:object w:dxaOrig="4160" w:dyaOrig="320">
          <v:shape id="_x0000_i1037" type="#_x0000_t75" style="width:208.5pt;height:16.3pt" o:ole="" fillcolor="window">
            <v:imagedata r:id="rId45" o:title=""/>
          </v:shape>
          <o:OLEObject Type="Embed" ProgID="Equation.3" ShapeID="_x0000_i1037" DrawAspect="Content" ObjectID="_1392698788" r:id="rId46"/>
        </w:object>
      </w:r>
      <w:r>
        <w:rPr>
          <w:lang w:val="en-US"/>
        </w:rPr>
        <w:tab/>
        <w:t>(13)</w:t>
      </w:r>
    </w:p>
    <w:p w:rsidR="0040081F" w:rsidRDefault="0040081F" w:rsidP="0040081F">
      <w:pPr>
        <w:pStyle w:val="Blanc"/>
      </w:pPr>
    </w:p>
    <w:p w:rsidR="0040081F" w:rsidRDefault="0040081F" w:rsidP="0040081F">
      <w:pPr>
        <w:rPr>
          <w:lang w:val="en-US"/>
        </w:rPr>
      </w:pPr>
      <w:r>
        <w:rPr>
          <w:lang w:val="en-US"/>
        </w:rPr>
        <w:t>The far side of the emission mask in the adjacent band logarithmically appears in Fig. 7.</w:t>
      </w:r>
    </w:p>
    <w:p w:rsidR="002951C0" w:rsidRPr="000D4195" w:rsidRDefault="002951C0" w:rsidP="0040081F">
      <w:pPr>
        <w:pStyle w:val="FigureNo"/>
        <w:rPr>
          <w:lang w:val="en-US"/>
        </w:rPr>
      </w:pPr>
      <w:r w:rsidRPr="000D4195">
        <w:rPr>
          <w:lang w:val="en-US"/>
        </w:rPr>
        <w:t>FIGURE 7</w:t>
      </w:r>
    </w:p>
    <w:p w:rsidR="002951C0" w:rsidRPr="000D4195" w:rsidRDefault="002951C0" w:rsidP="002951C0">
      <w:pPr>
        <w:pStyle w:val="Figuretitle"/>
        <w:rPr>
          <w:lang w:val="en-US"/>
        </w:rPr>
      </w:pPr>
      <w:r w:rsidRPr="000D4195">
        <w:rPr>
          <w:lang w:val="en-US"/>
        </w:rPr>
        <w:t>Emission mask attenuation in the adjacent band far side (dBc)</w:t>
      </w:r>
    </w:p>
    <w:p w:rsidR="002951C0" w:rsidRPr="002951C0" w:rsidRDefault="00273E2F" w:rsidP="002951C0">
      <w:pPr>
        <w:pStyle w:val="Figure"/>
      </w:pPr>
      <w:r>
        <w:rPr>
          <w:noProof/>
          <w:lang w:val="en-US" w:eastAsia="zh-CN"/>
        </w:rPr>
        <w:drawing>
          <wp:inline distT="0" distB="0" distL="0" distR="0" wp14:anchorId="70A948C4" wp14:editId="29596A7C">
            <wp:extent cx="4483100" cy="22415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83100" cy="2241550"/>
                    </a:xfrm>
                    <a:prstGeom prst="rect">
                      <a:avLst/>
                    </a:prstGeom>
                    <a:noFill/>
                    <a:ln>
                      <a:noFill/>
                    </a:ln>
                  </pic:spPr>
                </pic:pic>
              </a:graphicData>
            </a:graphic>
          </wp:inline>
        </w:drawing>
      </w:r>
    </w:p>
    <w:p w:rsidR="0040081F" w:rsidRDefault="0040081F" w:rsidP="0040081F">
      <w:pPr>
        <w:rPr>
          <w:lang w:val="en-US"/>
        </w:rPr>
      </w:pPr>
      <w:r>
        <w:rPr>
          <w:lang w:val="en-US"/>
        </w:rPr>
        <w:t>The total ABP relative to the total emission power is a ratio which is determined by summing the power in the adjacent band bandwidth using the following formulation:</w:t>
      </w:r>
    </w:p>
    <w:p w:rsidR="00807481" w:rsidRDefault="00807481" w:rsidP="00807481">
      <w:pPr>
        <w:pStyle w:val="Blanc"/>
      </w:pPr>
    </w:p>
    <w:p w:rsidR="0040081F" w:rsidRDefault="0040081F" w:rsidP="0040081F">
      <w:pPr>
        <w:pStyle w:val="Equation"/>
        <w:rPr>
          <w:lang w:val="en-US"/>
        </w:rPr>
      </w:pPr>
      <w:r>
        <w:rPr>
          <w:lang w:val="en-US"/>
        </w:rPr>
        <w:tab/>
      </w:r>
      <w:r>
        <w:rPr>
          <w:lang w:val="en-US"/>
        </w:rPr>
        <w:tab/>
      </w:r>
      <w:r w:rsidRPr="00AC23B9">
        <w:rPr>
          <w:position w:val="-44"/>
          <w:sz w:val="20"/>
        </w:rPr>
        <w:object w:dxaOrig="1960" w:dyaOrig="740">
          <v:shape id="_x0000_i1038" type="#_x0000_t75" style="width:96.4pt;height:38.2pt" o:ole="" fillcolor="window">
            <v:imagedata r:id="rId48" o:title=""/>
          </v:shape>
          <o:OLEObject Type="Embed" ProgID="Equation.3" ShapeID="_x0000_i1038" DrawAspect="Content" ObjectID="_1392698789" r:id="rId49"/>
        </w:object>
      </w:r>
      <w:r>
        <w:rPr>
          <w:lang w:val="en-US"/>
        </w:rPr>
        <w:tab/>
        <w:t>(14)</w:t>
      </w:r>
    </w:p>
    <w:p w:rsidR="0040081F" w:rsidRDefault="0040081F" w:rsidP="0040081F">
      <w:pPr>
        <w:rPr>
          <w:lang w:val="en-US"/>
        </w:rPr>
      </w:pPr>
      <w:r>
        <w:rPr>
          <w:lang w:val="en-US"/>
        </w:rPr>
        <w:t>This equates to:</w:t>
      </w:r>
    </w:p>
    <w:p w:rsidR="0040081F" w:rsidRDefault="0040081F" w:rsidP="0040081F">
      <w:pPr>
        <w:pStyle w:val="Equation"/>
        <w:rPr>
          <w:lang w:val="en-US"/>
        </w:rPr>
      </w:pPr>
      <w:r>
        <w:rPr>
          <w:lang w:val="en-US"/>
        </w:rPr>
        <w:tab/>
      </w:r>
      <w:r>
        <w:rPr>
          <w:lang w:val="en-US"/>
        </w:rPr>
        <w:tab/>
      </w:r>
      <w:r w:rsidRPr="00AC23B9">
        <w:rPr>
          <w:position w:val="-10"/>
          <w:sz w:val="20"/>
        </w:rPr>
        <w:object w:dxaOrig="1760" w:dyaOrig="420">
          <v:shape id="_x0000_i1039" type="#_x0000_t75" style="width:90.15pt;height:21.3pt" o:ole="" fillcolor="window">
            <v:imagedata r:id="rId50" o:title=""/>
          </v:shape>
          <o:OLEObject Type="Embed" ProgID="Equation.3" ShapeID="_x0000_i1039" DrawAspect="Content" ObjectID="_1392698790" r:id="rId51"/>
        </w:object>
      </w:r>
      <w:r>
        <w:rPr>
          <w:lang w:val="en-US"/>
        </w:rPr>
        <w:tab/>
        <w:t>(15)</w:t>
      </w:r>
    </w:p>
    <w:p w:rsidR="0040081F" w:rsidRDefault="0040081F" w:rsidP="0040081F">
      <w:pPr>
        <w:rPr>
          <w:lang w:val="en-US"/>
        </w:rPr>
      </w:pPr>
      <w:r>
        <w:rPr>
          <w:lang w:val="en-US"/>
        </w:rPr>
        <w:t>and evaluates as:</w:t>
      </w:r>
    </w:p>
    <w:p w:rsidR="0040081F" w:rsidRDefault="0040081F" w:rsidP="0040081F">
      <w:pPr>
        <w:pStyle w:val="Equation"/>
        <w:rPr>
          <w:lang w:val="en-US"/>
        </w:rPr>
      </w:pPr>
      <w:r>
        <w:rPr>
          <w:lang w:val="en-US"/>
        </w:rPr>
        <w:tab/>
      </w:r>
      <w:r>
        <w:rPr>
          <w:lang w:val="en-US"/>
        </w:rPr>
        <w:tab/>
      </w:r>
      <w:r w:rsidRPr="00AC23B9">
        <w:rPr>
          <w:position w:val="-10"/>
        </w:rPr>
        <w:object w:dxaOrig="3300" w:dyaOrig="320">
          <v:shape id="_x0000_i1040" type="#_x0000_t75" style="width:165.9pt;height:16.3pt" o:ole="">
            <v:imagedata r:id="rId52" o:title=""/>
          </v:shape>
          <o:OLEObject Type="Embed" ProgID="Equation.3" ShapeID="_x0000_i1040" DrawAspect="Content" ObjectID="_1392698791" r:id="rId53"/>
        </w:object>
      </w:r>
      <w:r>
        <w:rPr>
          <w:lang w:val="en-US"/>
        </w:rPr>
        <w:tab/>
        <w:t>(16)</w:t>
      </w:r>
    </w:p>
    <w:p w:rsidR="00807481" w:rsidRDefault="00807481" w:rsidP="00807481">
      <w:pPr>
        <w:pStyle w:val="Blanc"/>
      </w:pPr>
    </w:p>
    <w:p w:rsidR="0040081F" w:rsidRDefault="0040081F" w:rsidP="0040081F">
      <w:pPr>
        <w:rPr>
          <w:lang w:val="en-US"/>
        </w:rPr>
      </w:pPr>
      <w:r>
        <w:rPr>
          <w:lang w:val="en-US"/>
        </w:rPr>
        <w:t>The total power is the sum of those in equations (6) and (14):</w:t>
      </w:r>
    </w:p>
    <w:p w:rsidR="00807481" w:rsidRDefault="00807481" w:rsidP="00807481">
      <w:pPr>
        <w:pStyle w:val="Blanc"/>
      </w:pPr>
    </w:p>
    <w:p w:rsidR="0040081F" w:rsidRDefault="0040081F" w:rsidP="0040081F">
      <w:pPr>
        <w:pStyle w:val="Equation"/>
        <w:rPr>
          <w:lang w:val="en-US"/>
        </w:rPr>
      </w:pPr>
      <w:r>
        <w:rPr>
          <w:lang w:val="en-US"/>
        </w:rPr>
        <w:tab/>
      </w:r>
      <w:r>
        <w:rPr>
          <w:lang w:val="en-US"/>
        </w:rPr>
        <w:tab/>
      </w:r>
      <w:r w:rsidRPr="00AC23B9">
        <w:rPr>
          <w:position w:val="-10"/>
          <w:sz w:val="20"/>
        </w:rPr>
        <w:object w:dxaOrig="2280" w:dyaOrig="320">
          <v:shape id="_x0000_i1041" type="#_x0000_t75" style="width:113.3pt;height:16.3pt" o:ole="" fillcolor="window">
            <v:imagedata r:id="rId54" o:title=""/>
          </v:shape>
          <o:OLEObject Type="Embed" ProgID="Equation.3" ShapeID="_x0000_i1041" DrawAspect="Content" ObjectID="_1392698792" r:id="rId55"/>
        </w:object>
      </w:r>
      <w:r>
        <w:rPr>
          <w:lang w:val="en-US"/>
        </w:rPr>
        <w:tab/>
        <w:t>(17)</w:t>
      </w:r>
    </w:p>
    <w:p w:rsidR="0040081F" w:rsidRDefault="0040081F" w:rsidP="001F35FF">
      <w:pPr>
        <w:keepNext/>
        <w:keepLines/>
        <w:rPr>
          <w:lang w:val="en-US"/>
        </w:rPr>
      </w:pPr>
      <w:r>
        <w:rPr>
          <w:lang w:val="en-US"/>
        </w:rPr>
        <w:lastRenderedPageBreak/>
        <w:t>which evaluates to:</w:t>
      </w:r>
    </w:p>
    <w:p w:rsidR="0040081F" w:rsidRDefault="0040081F" w:rsidP="001F35FF">
      <w:pPr>
        <w:pStyle w:val="Blanc"/>
      </w:pPr>
    </w:p>
    <w:p w:rsidR="0040081F" w:rsidRDefault="0040081F" w:rsidP="0040081F">
      <w:pPr>
        <w:pStyle w:val="Equation"/>
        <w:rPr>
          <w:lang w:val="en-US"/>
        </w:rPr>
      </w:pPr>
      <w:r>
        <w:rPr>
          <w:lang w:val="en-US"/>
        </w:rPr>
        <w:tab/>
      </w:r>
      <w:r>
        <w:rPr>
          <w:lang w:val="en-US"/>
        </w:rPr>
        <w:tab/>
      </w:r>
      <w:r w:rsidRPr="00AC23B9">
        <w:rPr>
          <w:position w:val="-10"/>
          <w:sz w:val="20"/>
        </w:rPr>
        <w:object w:dxaOrig="2040" w:dyaOrig="420">
          <v:shape id="_x0000_i1042" type="#_x0000_t75" style="width:102.7pt;height:21.3pt" o:ole="" fillcolor="window">
            <v:imagedata r:id="rId56" o:title=""/>
          </v:shape>
          <o:OLEObject Type="Embed" ProgID="Equation.3" ShapeID="_x0000_i1042" DrawAspect="Content" ObjectID="_1392698793" r:id="rId57"/>
        </w:object>
      </w:r>
      <w:r>
        <w:rPr>
          <w:lang w:val="en-US"/>
        </w:rPr>
        <w:tab/>
        <w:t>(18)</w:t>
      </w:r>
    </w:p>
    <w:p w:rsidR="0040081F" w:rsidRDefault="0040081F" w:rsidP="0040081F">
      <w:pPr>
        <w:rPr>
          <w:lang w:val="en-US"/>
        </w:rPr>
      </w:pPr>
      <w:r>
        <w:rPr>
          <w:lang w:val="en-US"/>
        </w:rPr>
        <w:t>This translates to:</w:t>
      </w:r>
    </w:p>
    <w:p w:rsidR="0040081F" w:rsidRDefault="0040081F" w:rsidP="0040081F">
      <w:pPr>
        <w:pStyle w:val="Blanc"/>
      </w:pPr>
    </w:p>
    <w:p w:rsidR="0040081F" w:rsidRDefault="0040081F" w:rsidP="0040081F">
      <w:pPr>
        <w:pStyle w:val="Equation"/>
        <w:rPr>
          <w:lang w:val="en-US"/>
        </w:rPr>
      </w:pPr>
      <w:r>
        <w:rPr>
          <w:lang w:val="en-US"/>
        </w:rPr>
        <w:tab/>
      </w:r>
      <w:r>
        <w:rPr>
          <w:lang w:val="en-US"/>
        </w:rPr>
        <w:tab/>
      </w:r>
      <w:r w:rsidRPr="00AC23B9">
        <w:rPr>
          <w:position w:val="-10"/>
          <w:sz w:val="20"/>
        </w:rPr>
        <w:object w:dxaOrig="3780" w:dyaOrig="320">
          <v:shape id="_x0000_i1043" type="#_x0000_t75" style="width:188.45pt;height:16.3pt" o:ole="" fillcolor="window">
            <v:imagedata r:id="rId58" o:title=""/>
          </v:shape>
          <o:OLEObject Type="Embed" ProgID="Equation.3" ShapeID="_x0000_i1043" DrawAspect="Content" ObjectID="_1392698794" r:id="rId59"/>
        </w:object>
      </w:r>
      <w:r>
        <w:rPr>
          <w:lang w:val="en-US"/>
        </w:rPr>
        <w:tab/>
        <w:t>(19)</w:t>
      </w:r>
    </w:p>
    <w:p w:rsidR="0040081F" w:rsidRDefault="0040081F" w:rsidP="0040081F">
      <w:pPr>
        <w:rPr>
          <w:lang w:val="en-US"/>
        </w:rPr>
      </w:pPr>
      <w:r>
        <w:rPr>
          <w:lang w:val="en-US"/>
        </w:rPr>
        <w:t>which evaluates as:</w:t>
      </w:r>
    </w:p>
    <w:p w:rsidR="0040081F" w:rsidRDefault="0040081F" w:rsidP="0040081F">
      <w:pPr>
        <w:pStyle w:val="Equation"/>
        <w:rPr>
          <w:lang w:val="en-US"/>
        </w:rPr>
      </w:pPr>
      <w:r>
        <w:rPr>
          <w:lang w:val="en-US"/>
        </w:rPr>
        <w:tab/>
      </w:r>
      <w:r>
        <w:rPr>
          <w:lang w:val="en-US"/>
        </w:rPr>
        <w:tab/>
      </w:r>
      <w:r w:rsidRPr="00AC23B9">
        <w:rPr>
          <w:position w:val="-10"/>
          <w:sz w:val="20"/>
        </w:rPr>
        <w:object w:dxaOrig="2880" w:dyaOrig="320">
          <v:shape id="_x0000_i1044" type="#_x0000_t75" style="width:2in;height:16.3pt" o:ole="" fillcolor="window">
            <v:imagedata r:id="rId60" o:title=""/>
          </v:shape>
          <o:OLEObject Type="Embed" ProgID="Equation.3" ShapeID="_x0000_i1044" DrawAspect="Content" ObjectID="_1392698795" r:id="rId61"/>
        </w:object>
      </w:r>
      <w:r>
        <w:rPr>
          <w:lang w:val="en-US"/>
        </w:rPr>
        <w:tab/>
        <w:t>(20)</w:t>
      </w:r>
    </w:p>
    <w:p w:rsidR="0040081F" w:rsidRDefault="0040081F" w:rsidP="0040081F">
      <w:pPr>
        <w:pStyle w:val="Blanc"/>
      </w:pPr>
    </w:p>
    <w:p w:rsidR="0040081F" w:rsidRDefault="0040081F" w:rsidP="0040081F">
      <w:pPr>
        <w:rPr>
          <w:lang w:val="en-US"/>
        </w:rPr>
      </w:pPr>
      <w:r>
        <w:rPr>
          <w:lang w:val="en-US"/>
        </w:rPr>
        <w:t xml:space="preserve">This attenuation establishes </w:t>
      </w:r>
      <w:r>
        <w:rPr>
          <w:i/>
          <w:iCs/>
          <w:lang w:val="en-US"/>
        </w:rPr>
        <w:t>ABPR</w:t>
      </w:r>
      <w:r w:rsidRPr="00F67ECF">
        <w:rPr>
          <w:vertAlign w:val="subscript"/>
          <w:lang w:val="en-US"/>
        </w:rPr>
        <w:t>1</w:t>
      </w:r>
      <w:r>
        <w:rPr>
          <w:lang w:val="en-US"/>
        </w:rPr>
        <w:t> = +30 dBm – 27.96 dB, i.e. 2.04 dBm.</w:t>
      </w:r>
    </w:p>
    <w:p w:rsidR="0040081F" w:rsidRDefault="0040081F" w:rsidP="0040081F">
      <w:pPr>
        <w:pStyle w:val="Heading1"/>
        <w:rPr>
          <w:lang w:val="en-US"/>
        </w:rPr>
      </w:pPr>
      <w:r>
        <w:rPr>
          <w:lang w:val="en-US"/>
        </w:rPr>
        <w:t>3</w:t>
      </w:r>
      <w:r>
        <w:rPr>
          <w:lang w:val="en-US"/>
        </w:rPr>
        <w:tab/>
        <w:t>Continuous method</w:t>
      </w:r>
    </w:p>
    <w:p w:rsidR="0040081F" w:rsidRDefault="0040081F" w:rsidP="0040081F">
      <w:pPr>
        <w:rPr>
          <w:lang w:val="en-US"/>
        </w:rPr>
      </w:pPr>
      <w:r>
        <w:rPr>
          <w:lang w:val="en-US"/>
        </w:rPr>
        <w:t>In general, the emission mask curves have several line segments and the power spectral density can be represented by a linear equation on each segment.</w:t>
      </w:r>
      <w:r w:rsidR="001F35FF" w:rsidRPr="001F35FF">
        <w:rPr>
          <w:lang w:val="en-US"/>
        </w:rPr>
        <w:t xml:space="preserve"> </w:t>
      </w:r>
    </w:p>
    <w:p w:rsidR="001F35FF" w:rsidRDefault="001F35FF" w:rsidP="001F35FF">
      <w:pPr>
        <w:pStyle w:val="Blanc"/>
      </w:pPr>
    </w:p>
    <w:p w:rsidR="0040081F" w:rsidRDefault="0040081F" w:rsidP="0040081F">
      <w:pPr>
        <w:pStyle w:val="Equation"/>
        <w:rPr>
          <w:lang w:val="en-US"/>
        </w:rPr>
      </w:pPr>
      <w:r>
        <w:rPr>
          <w:lang w:val="en-US"/>
        </w:rPr>
        <w:tab/>
      </w:r>
      <w:r>
        <w:rPr>
          <w:lang w:val="en-US"/>
        </w:rPr>
        <w:tab/>
      </w:r>
      <w:r w:rsidRPr="00AC23B9">
        <w:rPr>
          <w:position w:val="-12"/>
          <w:sz w:val="20"/>
        </w:rPr>
        <w:object w:dxaOrig="1740" w:dyaOrig="360">
          <v:shape id="_x0000_i1045" type="#_x0000_t75" style="width:87.05pt;height:18.15pt" o:ole="" fillcolor="window">
            <v:imagedata r:id="rId62" o:title=""/>
          </v:shape>
          <o:OLEObject Type="Embed" ProgID="Equation.3" ShapeID="_x0000_i1045" DrawAspect="Content" ObjectID="_1392698796" r:id="rId63"/>
        </w:object>
      </w:r>
      <w:r>
        <w:rPr>
          <w:lang w:val="en-US"/>
        </w:rPr>
        <w:tab/>
        <w:t>(21)</w:t>
      </w:r>
    </w:p>
    <w:p w:rsidR="0040081F" w:rsidRDefault="0040081F" w:rsidP="00E95CDC">
      <w:pPr>
        <w:rPr>
          <w:lang w:val="en-US"/>
        </w:rPr>
      </w:pPr>
      <w:r>
        <w:rPr>
          <w:lang w:val="en-US"/>
        </w:rPr>
        <w:t xml:space="preserve">To calculate the unwanted power levels injected into the adjacent band, it is needed to relate spectra measured with 300 Hz bandwidth, denoted by </w:t>
      </w:r>
      <w:r>
        <w:rPr>
          <w:i/>
          <w:iCs/>
          <w:lang w:val="en-US"/>
        </w:rPr>
        <w:t>G</w:t>
      </w:r>
      <w:r>
        <w:rPr>
          <w:lang w:val="en-US"/>
        </w:rPr>
        <w:t xml:space="preserve">, to the true power spectral density, denoted by </w:t>
      </w:r>
      <w:r>
        <w:rPr>
          <w:i/>
          <w:iCs/>
          <w:lang w:val="en-US"/>
        </w:rPr>
        <w:t>S</w:t>
      </w:r>
      <w:r>
        <w:rPr>
          <w:lang w:val="en-US"/>
        </w:rPr>
        <w:t xml:space="preserve">. If we assume that power levels of </w:t>
      </w:r>
      <w:r>
        <w:rPr>
          <w:i/>
          <w:iCs/>
          <w:lang w:val="en-US"/>
        </w:rPr>
        <w:t>G</w:t>
      </w:r>
      <w:r>
        <w:rPr>
          <w:lang w:val="en-US"/>
        </w:rPr>
        <w:t xml:space="preserve"> are also represented by a linear equation </w:t>
      </w:r>
      <w:r w:rsidRPr="00AC23B9">
        <w:rPr>
          <w:position w:val="-10"/>
        </w:rPr>
        <w:object w:dxaOrig="1240" w:dyaOrig="320">
          <v:shape id="_x0000_i1046" type="#_x0000_t75" style="width:62pt;height:16.3pt" o:ole="">
            <v:imagedata r:id="rId64" o:title=""/>
          </v:shape>
          <o:OLEObject Type="Embed" ProgID="Equation.3" ShapeID="_x0000_i1046" DrawAspect="Content" ObjectID="_1392698797" r:id="rId65"/>
        </w:object>
      </w:r>
      <w:r>
        <w:rPr>
          <w:lang w:val="en-US"/>
        </w:rPr>
        <w:t> the problem is to relate the linear line coefficients </w:t>
      </w:r>
      <w:r w:rsidRPr="00AC23B9">
        <w:rPr>
          <w:i/>
          <w:iCs/>
          <w:position w:val="-6"/>
          <w:lang w:val="en-US"/>
        </w:rPr>
        <w:object w:dxaOrig="260" w:dyaOrig="279">
          <v:shape id="_x0000_i1047" type="#_x0000_t75" style="width:13.15pt;height:14.4pt" o:ole="">
            <v:imagedata r:id="rId66" o:title=""/>
          </v:shape>
          <o:OLEObject Type="Embed" ProgID="Equation.3" ShapeID="_x0000_i1047" DrawAspect="Content" ObjectID="_1392698798" r:id="rId67"/>
        </w:object>
      </w:r>
      <w:r>
        <w:rPr>
          <w:lang w:val="en-US"/>
        </w:rPr>
        <w:t> and </w:t>
      </w:r>
      <w:r w:rsidRPr="00AC23B9">
        <w:rPr>
          <w:position w:val="-6"/>
        </w:rPr>
        <w:object w:dxaOrig="240" w:dyaOrig="279">
          <v:shape id="_x0000_i1048" type="#_x0000_t75" style="width:12.5pt;height:14.4pt" o:ole="">
            <v:imagedata r:id="rId68" o:title=""/>
          </v:shape>
          <o:OLEObject Type="Embed" ProgID="Equation.3" ShapeID="_x0000_i1048" DrawAspect="Content" ObjectID="_1392698799" r:id="rId69"/>
        </w:object>
      </w:r>
      <w:r>
        <w:rPr>
          <w:lang w:val="en-US"/>
        </w:rPr>
        <w:t xml:space="preserve"> of the </w:t>
      </w:r>
      <w:r>
        <w:rPr>
          <w:i/>
          <w:iCs/>
          <w:lang w:val="en-US"/>
        </w:rPr>
        <w:t>G</w:t>
      </w:r>
      <w:r>
        <w:rPr>
          <w:lang w:val="en-US"/>
        </w:rPr>
        <w:t xml:space="preserve"> function behaviour to the </w:t>
      </w:r>
      <w:r>
        <w:rPr>
          <w:i/>
          <w:iCs/>
          <w:lang w:val="en-US"/>
        </w:rPr>
        <w:t>S</w:t>
      </w:r>
      <w:r>
        <w:rPr>
          <w:lang w:val="en-US"/>
        </w:rPr>
        <w:t xml:space="preserve"> function coefficients </w:t>
      </w:r>
      <w:r>
        <w:rPr>
          <w:i/>
          <w:iCs/>
          <w:lang w:val="en-US"/>
        </w:rPr>
        <w:t>a</w:t>
      </w:r>
      <w:r>
        <w:rPr>
          <w:lang w:val="en-US"/>
        </w:rPr>
        <w:t xml:space="preserve"> and </w:t>
      </w:r>
      <w:r>
        <w:rPr>
          <w:i/>
          <w:iCs/>
          <w:lang w:val="en-US"/>
        </w:rPr>
        <w:t>b</w:t>
      </w:r>
      <w:r>
        <w:rPr>
          <w:lang w:val="en-US"/>
        </w:rPr>
        <w:t xml:space="preserve">. The relationship between </w:t>
      </w:r>
      <w:r>
        <w:rPr>
          <w:i/>
          <w:iCs/>
          <w:lang w:val="en-US"/>
        </w:rPr>
        <w:t>G</w:t>
      </w:r>
      <w:r>
        <w:rPr>
          <w:lang w:val="en-US"/>
        </w:rPr>
        <w:t xml:space="preserve">( </w:t>
      </w:r>
      <w:r>
        <w:rPr>
          <w:i/>
          <w:lang w:val="en-US"/>
        </w:rPr>
        <w:t>f</w:t>
      </w:r>
      <w:r w:rsidRPr="00F67ECF">
        <w:rPr>
          <w:i/>
          <w:vertAlign w:val="subscript"/>
          <w:lang w:val="en-US"/>
        </w:rPr>
        <w:t>c</w:t>
      </w:r>
      <w:r>
        <w:rPr>
          <w:rFonts w:ascii="Tms Rmn" w:hAnsi="Tms Rmn"/>
          <w:i/>
          <w:sz w:val="12"/>
          <w:lang w:val="en-US"/>
        </w:rPr>
        <w:t> </w:t>
      </w:r>
      <w:r>
        <w:rPr>
          <w:lang w:val="en-US"/>
        </w:rPr>
        <w:t xml:space="preserve">) and </w:t>
      </w:r>
      <w:r>
        <w:rPr>
          <w:i/>
          <w:iCs/>
          <w:lang w:val="en-US"/>
        </w:rPr>
        <w:t>S</w:t>
      </w:r>
      <w:r>
        <w:rPr>
          <w:lang w:val="en-US"/>
        </w:rPr>
        <w:t xml:space="preserve">( </w:t>
      </w:r>
      <w:r>
        <w:rPr>
          <w:i/>
          <w:lang w:val="en-US"/>
        </w:rPr>
        <w:t>f</w:t>
      </w:r>
      <w:r w:rsidRPr="00F67ECF">
        <w:rPr>
          <w:i/>
          <w:vertAlign w:val="subscript"/>
          <w:lang w:val="en-US"/>
        </w:rPr>
        <w:t>c</w:t>
      </w:r>
      <w:r>
        <w:rPr>
          <w:rFonts w:ascii="Tms Rmn" w:hAnsi="Tms Rmn"/>
          <w:i/>
          <w:sz w:val="12"/>
          <w:lang w:val="en-US"/>
        </w:rPr>
        <w:t> </w:t>
      </w:r>
      <w:r>
        <w:rPr>
          <w:lang w:val="en-US"/>
        </w:rPr>
        <w:t>) can be represented as follows:</w:t>
      </w:r>
    </w:p>
    <w:p w:rsidR="00807481" w:rsidRDefault="00807481" w:rsidP="00807481">
      <w:pPr>
        <w:pStyle w:val="Blanc"/>
      </w:pPr>
    </w:p>
    <w:p w:rsidR="0040081F" w:rsidRDefault="0040081F" w:rsidP="0040081F">
      <w:pPr>
        <w:pStyle w:val="Equation"/>
      </w:pPr>
      <w:r>
        <w:rPr>
          <w:lang w:val="en-US"/>
        </w:rPr>
        <w:tab/>
      </w:r>
      <w:r>
        <w:rPr>
          <w:lang w:val="en-US"/>
        </w:rPr>
        <w:tab/>
      </w:r>
      <w:r w:rsidRPr="00AC23B9">
        <w:rPr>
          <w:position w:val="-48"/>
          <w:sz w:val="20"/>
        </w:rPr>
        <w:object w:dxaOrig="2360" w:dyaOrig="1060">
          <v:shape id="_x0000_i1049" type="#_x0000_t75" style="width:118.35pt;height:53.2pt" o:ole="" fillcolor="window">
            <v:imagedata r:id="rId70" o:title=""/>
          </v:shape>
          <o:OLEObject Type="Embed" ProgID="Equation.3" ShapeID="_x0000_i1049" DrawAspect="Content" ObjectID="_1392698800" r:id="rId71"/>
        </w:object>
      </w:r>
    </w:p>
    <w:p w:rsidR="0040081F" w:rsidRDefault="0040081F" w:rsidP="0040081F">
      <w:pPr>
        <w:pStyle w:val="Equation"/>
      </w:pPr>
      <w:r>
        <w:tab/>
      </w:r>
      <w:r>
        <w:tab/>
      </w:r>
      <w:r w:rsidRPr="00AC23B9">
        <w:rPr>
          <w:position w:val="-30"/>
          <w:sz w:val="20"/>
        </w:rPr>
        <w:object w:dxaOrig="8220" w:dyaOrig="720">
          <v:shape id="_x0000_i1050" type="#_x0000_t75" style="width:410.1pt;height:36.95pt" o:ole="" fillcolor="window">
            <v:imagedata r:id="rId72" o:title=""/>
          </v:shape>
          <o:OLEObject Type="Embed" ProgID="Equation.3" ShapeID="_x0000_i1050" DrawAspect="Content" ObjectID="_1392698801" r:id="rId73"/>
        </w:object>
      </w:r>
    </w:p>
    <w:p w:rsidR="0040081F" w:rsidRDefault="0040081F" w:rsidP="0040081F">
      <w:pPr>
        <w:pStyle w:val="Equation"/>
      </w:pPr>
      <w:r>
        <w:tab/>
      </w:r>
      <w:r>
        <w:tab/>
      </w:r>
      <w:r w:rsidRPr="00AC23B9">
        <w:rPr>
          <w:position w:val="-30"/>
          <w:sz w:val="20"/>
        </w:rPr>
        <w:object w:dxaOrig="5400" w:dyaOrig="720">
          <v:shape id="_x0000_i1051" type="#_x0000_t75" style="width:270.45pt;height:36.95pt" o:ole="" fillcolor="window">
            <v:imagedata r:id="rId74" o:title=""/>
          </v:shape>
          <o:OLEObject Type="Embed" ProgID="Equation.3" ShapeID="_x0000_i1051" DrawAspect="Content" ObjectID="_1392698802" r:id="rId75"/>
        </w:object>
      </w:r>
    </w:p>
    <w:p w:rsidR="0040081F" w:rsidRDefault="0040081F" w:rsidP="0040081F">
      <w:pPr>
        <w:pStyle w:val="Equation"/>
        <w:rPr>
          <w:lang w:val="en-US"/>
        </w:rPr>
      </w:pPr>
      <w:r>
        <w:tab/>
      </w:r>
      <w:r>
        <w:tab/>
      </w:r>
      <w:r w:rsidRPr="00AC23B9">
        <w:rPr>
          <w:position w:val="-24"/>
          <w:sz w:val="20"/>
        </w:rPr>
        <w:object w:dxaOrig="2799" w:dyaOrig="620">
          <v:shape id="_x0000_i1052" type="#_x0000_t75" style="width:140.25pt;height:31.3pt" o:ole="" fillcolor="window">
            <v:imagedata r:id="rId76" o:title=""/>
          </v:shape>
          <o:OLEObject Type="Embed" ProgID="Equation.3" ShapeID="_x0000_i1052" DrawAspect="Content" ObjectID="_1392698803" r:id="rId77"/>
        </w:object>
      </w:r>
      <w:r>
        <w:rPr>
          <w:lang w:val="en-US"/>
        </w:rPr>
        <w:tab/>
        <w:t>(22)</w:t>
      </w:r>
    </w:p>
    <w:p w:rsidR="0040081F" w:rsidRDefault="0040081F" w:rsidP="00E95CDC">
      <w:pPr>
        <w:rPr>
          <w:lang w:val="en-US"/>
        </w:rPr>
      </w:pPr>
      <w:r>
        <w:rPr>
          <w:lang w:val="en-US"/>
        </w:rPr>
        <w:t xml:space="preserve">where </w:t>
      </w:r>
      <w:r w:rsidRPr="00AC23B9">
        <w:rPr>
          <w:position w:val="-10"/>
          <w:sz w:val="20"/>
        </w:rPr>
        <w:object w:dxaOrig="1440" w:dyaOrig="320">
          <v:shape id="_x0000_i1053" type="#_x0000_t75" style="width:1in;height:16.3pt" o:ole="" fillcolor="window">
            <v:imagedata r:id="rId78" o:title=""/>
          </v:shape>
          <o:OLEObject Type="Embed" ProgID="Equation.3" ShapeID="_x0000_i1053" DrawAspect="Content" ObjectID="_1392698804" r:id="rId79"/>
        </w:object>
      </w:r>
      <w:r>
        <w:rPr>
          <w:lang w:val="en-US"/>
        </w:rPr>
        <w:t xml:space="preserve">, </w:t>
      </w:r>
      <w:r>
        <w:sym w:font="Symbol" w:char="F061"/>
      </w:r>
      <w:r>
        <w:rPr>
          <w:lang w:val="en-US"/>
        </w:rPr>
        <w:t xml:space="preserve"> = </w:t>
      </w:r>
      <w:r>
        <w:rPr>
          <w:i/>
          <w:iCs/>
          <w:lang w:val="en-US"/>
        </w:rPr>
        <w:t>ka</w:t>
      </w:r>
      <w:r>
        <w:rPr>
          <w:lang w:val="en-US"/>
        </w:rPr>
        <w:t xml:space="preserve">/2 and </w:t>
      </w:r>
      <w:r>
        <w:rPr>
          <w:i/>
          <w:iCs/>
          <w:lang w:val="en-US"/>
        </w:rPr>
        <w:t>f</w:t>
      </w:r>
      <w:r w:rsidRPr="00F67ECF">
        <w:rPr>
          <w:i/>
          <w:iCs/>
          <w:vertAlign w:val="subscript"/>
          <w:lang w:val="en-US"/>
        </w:rPr>
        <w:t>c</w:t>
      </w:r>
      <w:r>
        <w:rPr>
          <w:lang w:val="en-US"/>
        </w:rPr>
        <w:t xml:space="preserve"> is the centre frequency of resolution bandwidth </w:t>
      </w:r>
      <w:r>
        <w:rPr>
          <w:i/>
          <w:iCs/>
          <w:lang w:val="en-US"/>
        </w:rPr>
        <w:t>B</w:t>
      </w:r>
      <w:r>
        <w:rPr>
          <w:lang w:val="en-US"/>
        </w:rPr>
        <w:t>. Also the measured power spectral density in decibels based on resolution bandwidth is calculated by equation (23) and equating the coefficients yields (24) and (25).</w:t>
      </w:r>
    </w:p>
    <w:p w:rsidR="0040081F" w:rsidRDefault="0040081F" w:rsidP="0040081F">
      <w:pPr>
        <w:pStyle w:val="Equation"/>
        <w:rPr>
          <w:lang w:val="en-US"/>
        </w:rPr>
      </w:pPr>
      <w:r>
        <w:rPr>
          <w:lang w:val="en-US"/>
        </w:rPr>
        <w:tab/>
      </w:r>
      <w:r>
        <w:rPr>
          <w:lang w:val="en-US"/>
        </w:rPr>
        <w:tab/>
      </w:r>
      <w:r w:rsidRPr="00AC23B9">
        <w:rPr>
          <w:position w:val="-24"/>
          <w:sz w:val="20"/>
        </w:rPr>
        <w:object w:dxaOrig="5220" w:dyaOrig="620">
          <v:shape id="_x0000_i1054" type="#_x0000_t75" style="width:260.45pt;height:31.3pt" o:ole="" fillcolor="window">
            <v:imagedata r:id="rId80" o:title=""/>
          </v:shape>
          <o:OLEObject Type="Embed" ProgID="Equation.3" ShapeID="_x0000_i1054" DrawAspect="Content" ObjectID="_1392698805" r:id="rId81"/>
        </w:object>
      </w:r>
      <w:r>
        <w:rPr>
          <w:lang w:val="en-US"/>
        </w:rPr>
        <w:tab/>
        <w:t>(23)</w:t>
      </w:r>
    </w:p>
    <w:p w:rsidR="0040081F" w:rsidRDefault="0040081F" w:rsidP="0040081F">
      <w:pPr>
        <w:pStyle w:val="Equation"/>
        <w:rPr>
          <w:lang w:val="en-US"/>
        </w:rPr>
      </w:pPr>
      <w:r>
        <w:rPr>
          <w:lang w:val="en-US"/>
        </w:rPr>
        <w:tab/>
      </w:r>
      <w:r>
        <w:rPr>
          <w:lang w:val="en-US"/>
        </w:rPr>
        <w:tab/>
      </w:r>
      <w:r w:rsidRPr="00AC23B9">
        <w:rPr>
          <w:position w:val="-10"/>
          <w:sz w:val="20"/>
        </w:rPr>
        <w:object w:dxaOrig="720" w:dyaOrig="320">
          <v:shape id="_x0000_i1055" type="#_x0000_t75" style="width:36.95pt;height:16.3pt" o:ole="" fillcolor="window">
            <v:imagedata r:id="rId82" o:title=""/>
          </v:shape>
          <o:OLEObject Type="Embed" ProgID="Equation.3" ShapeID="_x0000_i1055" DrawAspect="Content" ObjectID="_1392698806" r:id="rId83"/>
        </w:object>
      </w:r>
      <w:r>
        <w:rPr>
          <w:lang w:val="en-US"/>
        </w:rPr>
        <w:tab/>
        <w:t>(24)</w:t>
      </w:r>
    </w:p>
    <w:p w:rsidR="0040081F" w:rsidRDefault="0040081F" w:rsidP="0040081F">
      <w:pPr>
        <w:pStyle w:val="Equation"/>
        <w:rPr>
          <w:lang w:val="en-US"/>
        </w:rPr>
      </w:pPr>
      <w:r>
        <w:rPr>
          <w:lang w:val="en-US"/>
        </w:rPr>
        <w:tab/>
      </w:r>
      <w:r>
        <w:rPr>
          <w:lang w:val="en-US"/>
        </w:rPr>
        <w:tab/>
      </w:r>
      <w:r w:rsidRPr="00AC23B9">
        <w:rPr>
          <w:position w:val="-28"/>
          <w:sz w:val="20"/>
        </w:rPr>
        <w:object w:dxaOrig="2640" w:dyaOrig="680">
          <v:shape id="_x0000_i1056" type="#_x0000_t75" style="width:131.5pt;height:35.05pt" o:ole="" fillcolor="window">
            <v:imagedata r:id="rId84" o:title=""/>
          </v:shape>
          <o:OLEObject Type="Embed" ProgID="Equation.3" ShapeID="_x0000_i1056" DrawAspect="Content" ObjectID="_1392698807" r:id="rId85"/>
        </w:object>
      </w:r>
      <w:r>
        <w:rPr>
          <w:lang w:val="en-US"/>
        </w:rPr>
        <w:tab/>
        <w:t>(25)</w:t>
      </w:r>
    </w:p>
    <w:p w:rsidR="0040081F" w:rsidRDefault="0040081F" w:rsidP="0040081F">
      <w:pPr>
        <w:rPr>
          <w:lang w:val="en-US"/>
        </w:rPr>
      </w:pPr>
      <w:r>
        <w:rPr>
          <w:lang w:val="en-US"/>
        </w:rPr>
        <w:lastRenderedPageBreak/>
        <w:t xml:space="preserve">If </w:t>
      </w:r>
      <w:r w:rsidRPr="00AC23B9">
        <w:rPr>
          <w:i/>
          <w:iCs/>
          <w:position w:val="-6"/>
          <w:lang w:val="fr-CH"/>
        </w:rPr>
        <w:object w:dxaOrig="260" w:dyaOrig="279">
          <v:shape id="_x0000_i1057" type="#_x0000_t75" style="width:13.15pt;height:14.4pt" o:ole="">
            <v:imagedata r:id="rId86" o:title=""/>
          </v:shape>
          <o:OLEObject Type="Embed" ProgID="Equation.3" ShapeID="_x0000_i1057" DrawAspect="Content" ObjectID="_1392698808" r:id="rId87"/>
        </w:object>
      </w:r>
      <w:r>
        <w:rPr>
          <w:lang w:val="en-US"/>
        </w:rPr>
        <w:t xml:space="preserve"> approaches zero, the equation for </w:t>
      </w:r>
      <w:r>
        <w:rPr>
          <w:i/>
          <w:iCs/>
          <w:lang w:val="en-US"/>
        </w:rPr>
        <w:t>b</w:t>
      </w:r>
      <w:r>
        <w:rPr>
          <w:lang w:val="en-US"/>
        </w:rPr>
        <w:t xml:space="preserve"> becomes:</w:t>
      </w:r>
    </w:p>
    <w:p w:rsidR="001F35FF" w:rsidRDefault="001F35FF" w:rsidP="001F35FF">
      <w:pPr>
        <w:pStyle w:val="Blanc"/>
      </w:pPr>
    </w:p>
    <w:p w:rsidR="0040081F" w:rsidRDefault="0040081F" w:rsidP="0040081F">
      <w:pPr>
        <w:pStyle w:val="Equation"/>
        <w:rPr>
          <w:lang w:val="en-US"/>
        </w:rPr>
      </w:pPr>
      <w:r>
        <w:rPr>
          <w:lang w:val="en-US"/>
        </w:rPr>
        <w:tab/>
      </w:r>
      <w:r>
        <w:rPr>
          <w:lang w:val="en-US"/>
        </w:rPr>
        <w:tab/>
      </w:r>
      <w:r w:rsidRPr="00AC23B9">
        <w:rPr>
          <w:position w:val="-24"/>
          <w:sz w:val="20"/>
        </w:rPr>
        <w:object w:dxaOrig="1760" w:dyaOrig="620">
          <v:shape id="_x0000_i1058" type="#_x0000_t75" style="width:90.15pt;height:31.3pt" o:ole="" fillcolor="window">
            <v:imagedata r:id="rId88" o:title=""/>
          </v:shape>
          <o:OLEObject Type="Embed" ProgID="Equation.3" ShapeID="_x0000_i1058" DrawAspect="Content" ObjectID="_1392698809" r:id="rId89"/>
        </w:object>
      </w:r>
      <w:r>
        <w:rPr>
          <w:lang w:val="en-US"/>
        </w:rPr>
        <w:tab/>
        <w:t>(26)</w:t>
      </w:r>
    </w:p>
    <w:p w:rsidR="001F35FF" w:rsidRDefault="001F35FF" w:rsidP="001F35FF">
      <w:pPr>
        <w:pStyle w:val="Blanc"/>
      </w:pPr>
    </w:p>
    <w:p w:rsidR="0040081F" w:rsidRDefault="0040081F" w:rsidP="0040081F">
      <w:pPr>
        <w:rPr>
          <w:lang w:val="en-US"/>
        </w:rPr>
      </w:pPr>
      <w:r>
        <w:rPr>
          <w:lang w:val="en-US"/>
        </w:rPr>
        <w:t xml:space="preserve">To calculate the permissible OoB domain power using the above procedure, one must first derive the equation </w:t>
      </w:r>
      <w:r>
        <w:rPr>
          <w:i/>
          <w:iCs/>
          <w:lang w:val="en-US"/>
        </w:rPr>
        <w:t>S</w:t>
      </w:r>
      <w:r>
        <w:rPr>
          <w:sz w:val="28"/>
          <w:vertAlign w:val="subscript"/>
          <w:lang w:val="en-US"/>
        </w:rPr>
        <w:t>dB</w:t>
      </w:r>
      <w:r>
        <w:rPr>
          <w:lang w:val="en-US"/>
        </w:rPr>
        <w:t> ( </w:t>
      </w:r>
      <w:r>
        <w:rPr>
          <w:i/>
          <w:iCs/>
          <w:lang w:val="en-US"/>
        </w:rPr>
        <w:t>f</w:t>
      </w:r>
      <w:r>
        <w:rPr>
          <w:lang w:val="en-US"/>
        </w:rPr>
        <w:t> ) = </w:t>
      </w:r>
      <w:r>
        <w:rPr>
          <w:i/>
          <w:iCs/>
          <w:lang w:val="en-US"/>
        </w:rPr>
        <w:t>af</w:t>
      </w:r>
      <w:r>
        <w:rPr>
          <w:lang w:val="en-US"/>
        </w:rPr>
        <w:t> + </w:t>
      </w:r>
      <w:r>
        <w:rPr>
          <w:i/>
          <w:iCs/>
          <w:lang w:val="en-US"/>
        </w:rPr>
        <w:t>b</w:t>
      </w:r>
      <w:r>
        <w:rPr>
          <w:lang w:val="en-US"/>
        </w:rPr>
        <w:t xml:space="preserve"> and integrate this equation over the adjacent channel bandwidth.</w:t>
      </w:r>
    </w:p>
    <w:p w:rsidR="00807481" w:rsidRPr="001F35FF" w:rsidRDefault="00807481" w:rsidP="00807481">
      <w:pPr>
        <w:pStyle w:val="Blanc"/>
        <w:rPr>
          <w:lang w:val="en-US"/>
        </w:rPr>
      </w:pPr>
    </w:p>
    <w:p w:rsidR="0040081F" w:rsidRDefault="0040081F" w:rsidP="0040081F">
      <w:pPr>
        <w:pStyle w:val="Equation"/>
        <w:rPr>
          <w:lang w:val="en-US"/>
        </w:rPr>
      </w:pPr>
      <w:r>
        <w:rPr>
          <w:lang w:val="en-US"/>
        </w:rPr>
        <w:tab/>
      </w:r>
      <w:r>
        <w:rPr>
          <w:lang w:val="en-US"/>
        </w:rPr>
        <w:tab/>
        <w:t xml:space="preserve">Permissible out-of-band domain power </w:t>
      </w:r>
      <w:r w:rsidRPr="00AC23B9">
        <w:rPr>
          <w:position w:val="-44"/>
          <w:sz w:val="20"/>
        </w:rPr>
        <w:object w:dxaOrig="2079" w:dyaOrig="780">
          <v:shape id="_x0000_i1059" type="#_x0000_t75" style="width:103.3pt;height:38.8pt" o:ole="" fillcolor="window">
            <v:imagedata r:id="rId90" o:title=""/>
          </v:shape>
          <o:OLEObject Type="Embed" ProgID="Equation.3" ShapeID="_x0000_i1059" DrawAspect="Content" ObjectID="_1392698810" r:id="rId91"/>
        </w:object>
      </w:r>
    </w:p>
    <w:p w:rsidR="00807481" w:rsidRDefault="00807481" w:rsidP="00807481">
      <w:pPr>
        <w:pStyle w:val="Blanc"/>
      </w:pPr>
    </w:p>
    <w:p w:rsidR="0040081F" w:rsidRDefault="0040081F" w:rsidP="0040081F">
      <w:pPr>
        <w:rPr>
          <w:lang w:val="en-US"/>
        </w:rPr>
      </w:pPr>
      <w:r>
        <w:rPr>
          <w:lang w:val="en-US"/>
        </w:rPr>
        <w:t xml:space="preserve">where </w:t>
      </w:r>
      <w:r>
        <w:rPr>
          <w:i/>
          <w:iCs/>
          <w:lang w:val="en-US"/>
        </w:rPr>
        <w:t>W</w:t>
      </w:r>
      <w:r>
        <w:rPr>
          <w:lang w:val="en-US"/>
        </w:rPr>
        <w:t xml:space="preserve"> is the adjacent channel bandwidth.</w:t>
      </w:r>
    </w:p>
    <w:p w:rsidR="0040081F" w:rsidRDefault="0040081F" w:rsidP="00E95CDC">
      <w:pPr>
        <w:rPr>
          <w:lang w:val="en-US"/>
        </w:rPr>
      </w:pPr>
      <w:r>
        <w:rPr>
          <w:lang w:val="en-US"/>
        </w:rPr>
        <w:t xml:space="preserve">Using transmitter power </w:t>
      </w:r>
      <w:r>
        <w:rPr>
          <w:i/>
          <w:iCs/>
          <w:lang w:val="en-US"/>
        </w:rPr>
        <w:t>P</w:t>
      </w:r>
      <w:r>
        <w:rPr>
          <w:lang w:val="en-US"/>
        </w:rPr>
        <w:t xml:space="preserve"> equal to 1 W in a 25 kHz band system, based on a resolution bandwidth of 300 Hz the emission mask appears as shown in Fig. 5. Also, the breakpoint reference levels of emission mask are given in Table 4 so</w:t>
      </w:r>
      <w:r>
        <w:rPr>
          <w:sz w:val="20"/>
          <w:lang w:val="en-US"/>
        </w:rPr>
        <w:t xml:space="preserve"> t</w:t>
      </w:r>
      <w:r w:rsidR="00DC4EB6">
        <w:fldChar w:fldCharType="begin"/>
      </w:r>
      <w:r w:rsidR="00DC4EB6">
        <w:fldChar w:fldCharType="separate"/>
      </w:r>
      <w:r>
        <w:rPr>
          <w:noProof/>
          <w:sz w:val="20"/>
          <w:lang w:val="en-US" w:eastAsia="zh-CN"/>
        </w:rPr>
        <w:drawing>
          <wp:inline distT="0" distB="0" distL="0" distR="0" wp14:anchorId="6656E472" wp14:editId="2E86DB9B">
            <wp:extent cx="4930140" cy="35204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2" cstate="print"/>
                    <a:srcRect/>
                    <a:stretch>
                      <a:fillRect/>
                    </a:stretch>
                  </pic:blipFill>
                  <pic:spPr bwMode="auto">
                    <a:xfrm>
                      <a:off x="0" y="0"/>
                      <a:ext cx="4930140" cy="3520440"/>
                    </a:xfrm>
                    <a:prstGeom prst="rect">
                      <a:avLst/>
                    </a:prstGeom>
                    <a:noFill/>
                    <a:ln w="9525">
                      <a:noFill/>
                      <a:miter lim="800000"/>
                      <a:headEnd/>
                      <a:tailEnd/>
                    </a:ln>
                  </pic:spPr>
                </pic:pic>
              </a:graphicData>
            </a:graphic>
          </wp:inline>
        </w:drawing>
      </w:r>
      <w:r w:rsidR="00DC4EB6">
        <w:rPr>
          <w:noProof/>
          <w:sz w:val="20"/>
          <w:lang w:val="en-US" w:eastAsia="zh-CN"/>
        </w:rPr>
        <w:fldChar w:fldCharType="end"/>
      </w:r>
      <w:r>
        <w:rPr>
          <w:lang w:val="en-US"/>
        </w:rPr>
        <w:t>he calculation interval can be divided into two sub intervals adjacent channel bandwidth according to the emission curve shape, that is, (12.5 kHz-16.46 kHz) and (16.46 kHz-37.5 kHz). From Table 3, we can get a linear function equation (27) based on Table 4 breakpoints (12.5 kHz, –36.14 dB) and (16.46 kHz, –50 dB). And also, in the frequency range larger than 16.46 kHz, a constant level of –50 dB results as given by equation (28).</w:t>
      </w:r>
    </w:p>
    <w:p w:rsidR="0040081F" w:rsidRDefault="0040081F" w:rsidP="0040081F">
      <w:pPr>
        <w:pStyle w:val="Blanc"/>
      </w:pPr>
    </w:p>
    <w:p w:rsidR="0040081F" w:rsidRDefault="0040081F" w:rsidP="00E95CDC">
      <w:pPr>
        <w:pStyle w:val="Equation"/>
        <w:rPr>
          <w:lang w:val="en-US"/>
        </w:rPr>
      </w:pPr>
      <w:r>
        <w:rPr>
          <w:lang w:val="en-US"/>
        </w:rPr>
        <w:tab/>
      </w:r>
      <w:r w:rsidRPr="00AC23B9">
        <w:rPr>
          <w:position w:val="-12"/>
        </w:rPr>
        <w:object w:dxaOrig="6440" w:dyaOrig="360">
          <v:shape id="_x0000_i1060" type="#_x0000_t75" style="width:322.45pt;height:18.15pt" o:ole="">
            <v:imagedata r:id="rId93" o:title=""/>
          </v:shape>
          <o:OLEObject Type="Embed" ProgID="Equation.3" ShapeID="_x0000_i1060" DrawAspect="Content" ObjectID="_1392698811" r:id="rId94"/>
        </w:object>
      </w:r>
      <w:r>
        <w:rPr>
          <w:lang w:val="en-US"/>
        </w:rPr>
        <w:tab/>
        <w:t>(27)</w:t>
      </w:r>
    </w:p>
    <w:p w:rsidR="0040081F" w:rsidRDefault="0040081F" w:rsidP="00E95CDC">
      <w:pPr>
        <w:pStyle w:val="Equation"/>
        <w:rPr>
          <w:lang w:val="en-US"/>
        </w:rPr>
      </w:pPr>
      <w:r>
        <w:rPr>
          <w:lang w:val="en-US"/>
        </w:rPr>
        <w:tab/>
      </w:r>
      <w:r w:rsidRPr="00AC23B9">
        <w:rPr>
          <w:position w:val="-12"/>
        </w:rPr>
        <w:object w:dxaOrig="5679" w:dyaOrig="360">
          <v:shape id="_x0000_i1061" type="#_x0000_t75" style="width:282.35pt;height:18.15pt" o:ole="">
            <v:imagedata r:id="rId95" o:title=""/>
          </v:shape>
          <o:OLEObject Type="Embed" ProgID="Equation.3" ShapeID="_x0000_i1061" DrawAspect="Content" ObjectID="_1392698812" r:id="rId96"/>
        </w:object>
      </w:r>
      <w:r>
        <w:rPr>
          <w:lang w:val="en-US"/>
        </w:rPr>
        <w:tab/>
        <w:t>(28)</w:t>
      </w:r>
    </w:p>
    <w:p w:rsidR="0040081F" w:rsidRDefault="0040081F" w:rsidP="0040081F">
      <w:pPr>
        <w:pStyle w:val="Blanc"/>
      </w:pPr>
    </w:p>
    <w:p w:rsidR="0040081F" w:rsidRDefault="0040081F" w:rsidP="0040081F">
      <w:pPr>
        <w:rPr>
          <w:lang w:val="en-US"/>
        </w:rPr>
      </w:pPr>
      <w:r>
        <w:rPr>
          <w:lang w:val="en-US"/>
        </w:rPr>
        <w:t>Equations (27) and (28) can be converted to the following equations using (24), (25) and (26).</w:t>
      </w:r>
    </w:p>
    <w:p w:rsidR="0040081F" w:rsidRDefault="0040081F" w:rsidP="0040081F">
      <w:pPr>
        <w:pStyle w:val="Blanc"/>
      </w:pPr>
    </w:p>
    <w:p w:rsidR="0040081F" w:rsidRDefault="0040081F" w:rsidP="00E95CDC">
      <w:pPr>
        <w:pStyle w:val="Equation"/>
        <w:rPr>
          <w:lang w:val="en-US"/>
        </w:rPr>
      </w:pPr>
      <w:r>
        <w:rPr>
          <w:lang w:val="en-US"/>
        </w:rPr>
        <w:tab/>
      </w:r>
      <w:r w:rsidRPr="00AC23B9">
        <w:rPr>
          <w:position w:val="-12"/>
        </w:rPr>
        <w:object w:dxaOrig="6540" w:dyaOrig="360">
          <v:shape id="_x0000_i1062" type="#_x0000_t75" style="width:326.2pt;height:18.15pt" o:ole="">
            <v:imagedata r:id="rId97" o:title=""/>
          </v:shape>
          <o:OLEObject Type="Embed" ProgID="Equation.3" ShapeID="_x0000_i1062" DrawAspect="Content" ObjectID="_1392698813" r:id="rId98"/>
        </w:object>
      </w:r>
      <w:r>
        <w:rPr>
          <w:lang w:val="en-US"/>
        </w:rPr>
        <w:tab/>
        <w:t>(29)</w:t>
      </w:r>
    </w:p>
    <w:p w:rsidR="0040081F" w:rsidRDefault="0040081F" w:rsidP="00E95CDC">
      <w:pPr>
        <w:pStyle w:val="Equation"/>
        <w:rPr>
          <w:lang w:val="en-US"/>
        </w:rPr>
      </w:pPr>
      <w:r>
        <w:rPr>
          <w:lang w:val="en-US"/>
        </w:rPr>
        <w:tab/>
      </w:r>
      <w:r w:rsidRPr="00AC23B9">
        <w:rPr>
          <w:position w:val="-12"/>
        </w:rPr>
        <w:object w:dxaOrig="5960" w:dyaOrig="360">
          <v:shape id="_x0000_i1063" type="#_x0000_t75" style="width:298.65pt;height:18.15pt" o:ole="">
            <v:imagedata r:id="rId99" o:title=""/>
          </v:shape>
          <o:OLEObject Type="Embed" ProgID="Equation.3" ShapeID="_x0000_i1063" DrawAspect="Content" ObjectID="_1392698814" r:id="rId100"/>
        </w:object>
      </w:r>
      <w:r>
        <w:rPr>
          <w:lang w:val="en-US"/>
        </w:rPr>
        <w:tab/>
        <w:t>(30)</w:t>
      </w:r>
    </w:p>
    <w:p w:rsidR="001F35FF" w:rsidRDefault="001F35FF" w:rsidP="001F35FF">
      <w:pPr>
        <w:pStyle w:val="Blanc"/>
      </w:pPr>
    </w:p>
    <w:p w:rsidR="0040081F" w:rsidRDefault="0040081F" w:rsidP="0040081F">
      <w:pPr>
        <w:rPr>
          <w:lang w:val="en-US"/>
        </w:rPr>
      </w:pPr>
      <w:r>
        <w:rPr>
          <w:lang w:val="en-US"/>
        </w:rPr>
        <w:t xml:space="preserve">The total power levels in adjacent channel bandwidth are the summation of two integration results over respective sub intervals. </w:t>
      </w:r>
    </w:p>
    <w:p w:rsidR="0040081F" w:rsidRPr="005357F9" w:rsidRDefault="0040081F" w:rsidP="0040081F">
      <w:pPr>
        <w:rPr>
          <w:lang w:val="en-US"/>
        </w:rPr>
      </w:pPr>
      <w:r w:rsidRPr="005357F9">
        <w:rPr>
          <w:lang w:val="en-US"/>
        </w:rPr>
        <w:t>Permissible OoB emission attenuation:</w:t>
      </w:r>
    </w:p>
    <w:p w:rsidR="0040081F" w:rsidRDefault="0040081F" w:rsidP="0040081F">
      <w:pPr>
        <w:pStyle w:val="Blanc"/>
      </w:pPr>
    </w:p>
    <w:p w:rsidR="0040081F" w:rsidRDefault="0040081F" w:rsidP="0040081F">
      <w:pPr>
        <w:pStyle w:val="Equation"/>
        <w:rPr>
          <w:lang w:val="en-US"/>
        </w:rPr>
      </w:pPr>
      <w:r w:rsidRPr="005357F9">
        <w:rPr>
          <w:lang w:val="en-US"/>
        </w:rPr>
        <w:tab/>
      </w:r>
      <w:r w:rsidRPr="005357F9">
        <w:rPr>
          <w:lang w:val="en-US"/>
        </w:rPr>
        <w:tab/>
      </w:r>
      <w:r w:rsidRPr="008B3212">
        <w:rPr>
          <w:position w:val="-36"/>
          <w:sz w:val="20"/>
        </w:rPr>
        <w:object w:dxaOrig="4420" w:dyaOrig="840">
          <v:shape id="_x0000_i1064" type="#_x0000_t75" style="width:221pt;height:41.3pt" o:ole="" fillcolor="window">
            <v:imagedata r:id="rId101" o:title=""/>
          </v:shape>
          <o:OLEObject Type="Embed" ProgID="Equation.3" ShapeID="_x0000_i1064" DrawAspect="Content" ObjectID="_1392698815" r:id="rId102"/>
        </w:object>
      </w:r>
      <w:r>
        <w:rPr>
          <w:lang w:val="en-US"/>
        </w:rPr>
        <w:br/>
      </w:r>
      <w:r>
        <w:rPr>
          <w:lang w:val="en-US"/>
        </w:rPr>
        <w:tab/>
      </w:r>
      <w:r>
        <w:rPr>
          <w:lang w:val="en-US"/>
        </w:rPr>
        <w:tab/>
        <w:t>= 0.00095  </w:t>
      </w:r>
      <w:r>
        <w:rPr>
          <w:rFonts w:ascii="Symbol" w:hAnsi="Symbol"/>
        </w:rPr>
        <w:t></w:t>
      </w:r>
      <w:r>
        <w:rPr>
          <w:lang w:val="en-US"/>
        </w:rPr>
        <w:t>  0.0007 = 0.00165</w:t>
      </w:r>
      <w:r>
        <w:rPr>
          <w:lang w:val="en-US"/>
        </w:rPr>
        <w:tab/>
        <w:t>(31)</w:t>
      </w:r>
    </w:p>
    <w:p w:rsidR="0040081F" w:rsidRDefault="0040081F" w:rsidP="0040081F">
      <w:pPr>
        <w:pStyle w:val="Blanc"/>
      </w:pPr>
    </w:p>
    <w:p w:rsidR="0040081F" w:rsidRDefault="0040081F" w:rsidP="0040081F">
      <w:pPr>
        <w:rPr>
          <w:lang w:val="en-US"/>
        </w:rPr>
      </w:pPr>
      <w:r>
        <w:rPr>
          <w:lang w:val="en-US"/>
        </w:rPr>
        <w:t>In decibels, the above attenuation requirement is converted as follows:</w:t>
      </w:r>
    </w:p>
    <w:p w:rsidR="0040081F" w:rsidRDefault="0040081F" w:rsidP="0040081F">
      <w:pPr>
        <w:pStyle w:val="Blanc"/>
      </w:pPr>
    </w:p>
    <w:p w:rsidR="0040081F" w:rsidRDefault="0040081F" w:rsidP="0040081F">
      <w:pPr>
        <w:pStyle w:val="Equation"/>
        <w:rPr>
          <w:lang w:val="en-US"/>
        </w:rPr>
      </w:pPr>
      <w:r>
        <w:rPr>
          <w:lang w:val="en-US"/>
        </w:rPr>
        <w:tab/>
      </w:r>
      <w:r>
        <w:rPr>
          <w:lang w:val="en-US"/>
        </w:rPr>
        <w:tab/>
      </w:r>
      <w:r w:rsidRPr="00AC23B9">
        <w:rPr>
          <w:position w:val="-10"/>
        </w:rPr>
        <w:object w:dxaOrig="3960" w:dyaOrig="320">
          <v:shape id="_x0000_i1065" type="#_x0000_t75" style="width:199.1pt;height:16.3pt" o:ole="">
            <v:imagedata r:id="rId103" o:title=""/>
          </v:shape>
          <o:OLEObject Type="Embed" ProgID="Equation.3" ShapeID="_x0000_i1065" DrawAspect="Content" ObjectID="_1392698816" r:id="rId104"/>
        </w:object>
      </w:r>
      <w:r>
        <w:rPr>
          <w:lang w:val="en-US"/>
        </w:rPr>
        <w:tab/>
        <w:t>(32)</w:t>
      </w:r>
    </w:p>
    <w:p w:rsidR="0040081F" w:rsidRDefault="0040081F" w:rsidP="0040081F">
      <w:pPr>
        <w:pStyle w:val="Blanc"/>
      </w:pPr>
    </w:p>
    <w:p w:rsidR="0040081F" w:rsidRDefault="0040081F" w:rsidP="0040081F">
      <w:pPr>
        <w:rPr>
          <w:lang w:val="en-US"/>
        </w:rPr>
      </w:pPr>
      <w:r>
        <w:rPr>
          <w:lang w:val="en-US"/>
        </w:rPr>
        <w:t xml:space="preserve">This attenuation establishes </w:t>
      </w:r>
      <w:r>
        <w:rPr>
          <w:i/>
          <w:iCs/>
          <w:lang w:val="en-US"/>
        </w:rPr>
        <w:t>ABP</w:t>
      </w:r>
      <w:r w:rsidRPr="00F67ECF">
        <w:rPr>
          <w:vertAlign w:val="subscript"/>
          <w:lang w:val="en-US"/>
        </w:rPr>
        <w:t>1</w:t>
      </w:r>
      <w:r>
        <w:rPr>
          <w:lang w:val="en-US"/>
        </w:rPr>
        <w:t> = </w:t>
      </w:r>
      <w:r>
        <w:rPr>
          <w:rFonts w:ascii="Symbol" w:hAnsi="Symbol"/>
          <w:lang w:val="en-US"/>
        </w:rPr>
        <w:t></w:t>
      </w:r>
      <w:r>
        <w:rPr>
          <w:lang w:val="en-US"/>
        </w:rPr>
        <w:t>30 dBm – 27.8 dB, i.e. 2.2 dBm, a result very close to that obtained using the discrete method.</w:t>
      </w:r>
    </w:p>
    <w:p w:rsidR="0040081F" w:rsidRDefault="0040081F" w:rsidP="0040081F">
      <w:pPr>
        <w:pStyle w:val="AnnexNoTitle"/>
        <w:rPr>
          <w:lang w:val="en-US"/>
        </w:rPr>
      </w:pPr>
      <w:r>
        <w:rPr>
          <w:lang w:val="en-US"/>
        </w:rPr>
        <w:lastRenderedPageBreak/>
        <w:t>Annex  2</w:t>
      </w:r>
      <w:r>
        <w:rPr>
          <w:lang w:val="en-US"/>
        </w:rPr>
        <w:br/>
      </w:r>
      <w:r>
        <w:rPr>
          <w:lang w:val="en-US"/>
        </w:rPr>
        <w:br/>
        <w:t>Calculation of the start and end of the OoB domain for multicarrier systems</w:t>
      </w:r>
      <w:r>
        <w:rPr>
          <w:lang w:val="en-US"/>
        </w:rPr>
        <w:br/>
        <w:t>with single and multiple transponders per satellite</w:t>
      </w:r>
    </w:p>
    <w:p w:rsidR="00807481" w:rsidRDefault="00807481" w:rsidP="00807481">
      <w:pPr>
        <w:rPr>
          <w:lang w:val="en-US"/>
        </w:rPr>
      </w:pPr>
    </w:p>
    <w:p w:rsidR="0040081F" w:rsidRDefault="0040081F" w:rsidP="0040081F">
      <w:pPr>
        <w:pStyle w:val="Normalaftertitle"/>
        <w:rPr>
          <w:lang w:val="en-US"/>
        </w:rPr>
      </w:pPr>
      <w:r>
        <w:rPr>
          <w:lang w:val="en-US"/>
        </w:rPr>
        <w:t xml:space="preserve">This </w:t>
      </w:r>
      <w:r w:rsidR="00601FF0">
        <w:rPr>
          <w:lang w:val="en-US"/>
        </w:rPr>
        <w:t>a</w:t>
      </w:r>
      <w:r>
        <w:rPr>
          <w:lang w:val="en-US"/>
        </w:rPr>
        <w:t>nnex provides two examples showing how to calculate the start and end of the OoB domain for multicarrier systems with single and multiple transponders per satellite.</w:t>
      </w:r>
    </w:p>
    <w:p w:rsidR="0040081F" w:rsidRDefault="0040081F" w:rsidP="0040081F">
      <w:pPr>
        <w:pStyle w:val="Heading1"/>
        <w:rPr>
          <w:lang w:val="en-US"/>
        </w:rPr>
      </w:pPr>
      <w:r>
        <w:rPr>
          <w:lang w:val="en-US"/>
        </w:rPr>
        <w:t>1</w:t>
      </w:r>
      <w:r>
        <w:rPr>
          <w:lang w:val="en-US"/>
        </w:rPr>
        <w:tab/>
        <w:t>Example 1: Multiple transponders per satellite serving the same service area</w:t>
      </w:r>
    </w:p>
    <w:p w:rsidR="0040081F" w:rsidRDefault="0040081F" w:rsidP="0040081F">
      <w:pPr>
        <w:rPr>
          <w:lang w:val="en-US"/>
        </w:rPr>
      </w:pPr>
      <w:r>
        <w:rPr>
          <w:lang w:val="en-US"/>
        </w:rPr>
        <w:t>Figure 8 is one example of a satellite with multiple transponders. In this example, the width of the band in which the satellite is licensed or authorized to transmit is 20 MHz, the 3 dB bandwidth of the transponder is 5 MHz, and the necessary bandwidth of a single carrier emission is 1 MHz.</w:t>
      </w:r>
    </w:p>
    <w:p w:rsidR="00807481" w:rsidRDefault="00807481" w:rsidP="0040081F">
      <w:pPr>
        <w:rPr>
          <w:lang w:val="en-US"/>
        </w:rPr>
      </w:pPr>
    </w:p>
    <w:p w:rsidR="002951C0" w:rsidRPr="000D4195" w:rsidRDefault="002951C0" w:rsidP="0040081F">
      <w:pPr>
        <w:pStyle w:val="FigureNo"/>
        <w:rPr>
          <w:lang w:val="en-US"/>
        </w:rPr>
      </w:pPr>
      <w:r w:rsidRPr="000D4195">
        <w:rPr>
          <w:lang w:val="en-US"/>
        </w:rPr>
        <w:t>FIGURE 8</w:t>
      </w:r>
    </w:p>
    <w:p w:rsidR="002951C0" w:rsidRPr="000D4195" w:rsidRDefault="002951C0" w:rsidP="002951C0">
      <w:pPr>
        <w:pStyle w:val="Figuretitle"/>
        <w:rPr>
          <w:lang w:val="en-US"/>
        </w:rPr>
      </w:pPr>
      <w:r w:rsidRPr="000D4195">
        <w:rPr>
          <w:lang w:val="en-US"/>
        </w:rPr>
        <w:t>Multicarrier emission with 3 dB transponder bandwidth less than total assigned bandwidth</w:t>
      </w:r>
    </w:p>
    <w:p w:rsidR="002951C0" w:rsidRPr="002951C0" w:rsidRDefault="00273E2F" w:rsidP="002951C0">
      <w:pPr>
        <w:pStyle w:val="Figure"/>
      </w:pPr>
      <w:r>
        <w:rPr>
          <w:noProof/>
          <w:lang w:val="en-US" w:eastAsia="zh-CN"/>
        </w:rPr>
        <w:drawing>
          <wp:inline distT="0" distB="0" distL="0" distR="0" wp14:anchorId="06A39C42" wp14:editId="4DAE4660">
            <wp:extent cx="4876800" cy="23368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76800" cy="2336800"/>
                    </a:xfrm>
                    <a:prstGeom prst="rect">
                      <a:avLst/>
                    </a:prstGeom>
                    <a:noFill/>
                    <a:ln>
                      <a:noFill/>
                    </a:ln>
                  </pic:spPr>
                </pic:pic>
              </a:graphicData>
            </a:graphic>
          </wp:inline>
        </w:drawing>
      </w:r>
    </w:p>
    <w:p w:rsidR="00807481" w:rsidRDefault="00807481" w:rsidP="0040081F">
      <w:pPr>
        <w:rPr>
          <w:lang w:val="en-US"/>
        </w:rPr>
      </w:pPr>
    </w:p>
    <w:p w:rsidR="0040081F" w:rsidRDefault="0040081F" w:rsidP="0040081F">
      <w:pPr>
        <w:rPr>
          <w:lang w:val="en-US"/>
        </w:rPr>
      </w:pPr>
      <w:r>
        <w:rPr>
          <w:lang w:val="en-US"/>
        </w:rPr>
        <w:t xml:space="preserve">This Recommendation equates necessary bandwidth, </w:t>
      </w:r>
      <w:r>
        <w:rPr>
          <w:i/>
          <w:iCs/>
          <w:lang w:val="en-US"/>
        </w:rPr>
        <w:t>B</w:t>
      </w:r>
      <w:r w:rsidRPr="00F67ECF">
        <w:rPr>
          <w:i/>
          <w:iCs/>
          <w:vertAlign w:val="subscript"/>
          <w:lang w:val="en-US"/>
        </w:rPr>
        <w:t>N</w:t>
      </w:r>
      <w:r>
        <w:rPr>
          <w:lang w:val="en-US"/>
        </w:rPr>
        <w:t>, of a multicarrier emission to the lesser of the –3 dB bandwidth of the transponder and of total assigned bandwidth. Hence, for the example above, the necessary bandwidth would be 5 MHz. The OoB domain begins at the edges of each total assigned bandwidth that is part of the band over which the system is authorized.</w:t>
      </w:r>
    </w:p>
    <w:p w:rsidR="0040081F" w:rsidRDefault="0040081F" w:rsidP="0040081F">
      <w:pPr>
        <w:rPr>
          <w:lang w:val="en-US"/>
        </w:rPr>
      </w:pPr>
      <w:r>
        <w:rPr>
          <w:lang w:val="en-US"/>
        </w:rPr>
        <w:t xml:space="preserve">The OoB domain is taken to be those frequencies that are separated from the centre frequency by more than 50% of the necessary bandwidth and less than 250% of the necessary bandwidth (the bandwidth of transponders A and D). Consequently, the width of the OoB domain is 200% of the necessary bandwidth. So for the example shown in Fig. 9, the width of OoB domain above </w:t>
      </w:r>
      <w:r>
        <w:rPr>
          <w:i/>
          <w:iCs/>
          <w:lang w:val="en-US"/>
        </w:rPr>
        <w:t>f</w:t>
      </w:r>
      <w:r w:rsidRPr="00F67ECF">
        <w:rPr>
          <w:i/>
          <w:iCs/>
          <w:vertAlign w:val="subscript"/>
          <w:lang w:val="en-US"/>
        </w:rPr>
        <w:t>AU</w:t>
      </w:r>
      <w:r>
        <w:rPr>
          <w:lang w:val="en-US"/>
        </w:rPr>
        <w:t xml:space="preserve"> and below </w:t>
      </w:r>
      <w:r>
        <w:rPr>
          <w:i/>
          <w:iCs/>
          <w:lang w:val="en-US"/>
        </w:rPr>
        <w:t>f</w:t>
      </w:r>
      <w:r w:rsidRPr="00F67ECF">
        <w:rPr>
          <w:i/>
          <w:iCs/>
          <w:vertAlign w:val="subscript"/>
          <w:lang w:val="en-US"/>
        </w:rPr>
        <w:t>AL</w:t>
      </w:r>
      <w:r>
        <w:rPr>
          <w:lang w:val="en-US"/>
        </w:rPr>
        <w:t xml:space="preserve"> is 10 MHz. The OoB and spurious domains are shown in Fig. 9.</w:t>
      </w:r>
    </w:p>
    <w:p w:rsidR="0040081F" w:rsidRDefault="0040081F" w:rsidP="0040081F">
      <w:pPr>
        <w:rPr>
          <w:lang w:val="en-US"/>
        </w:rPr>
      </w:pPr>
    </w:p>
    <w:p w:rsidR="002951C0" w:rsidRPr="000D4195" w:rsidRDefault="002951C0" w:rsidP="0040081F">
      <w:pPr>
        <w:pStyle w:val="FigureNo"/>
        <w:rPr>
          <w:lang w:val="en-US"/>
        </w:rPr>
      </w:pPr>
      <w:r w:rsidRPr="000D4195">
        <w:rPr>
          <w:lang w:val="en-US"/>
        </w:rPr>
        <w:lastRenderedPageBreak/>
        <w:t>FIGURE 9</w:t>
      </w:r>
    </w:p>
    <w:p w:rsidR="002951C0" w:rsidRPr="000D4195" w:rsidRDefault="002951C0" w:rsidP="002951C0">
      <w:pPr>
        <w:pStyle w:val="Figuretitle"/>
        <w:rPr>
          <w:lang w:val="en-US"/>
        </w:rPr>
      </w:pPr>
      <w:r w:rsidRPr="000D4195">
        <w:rPr>
          <w:lang w:val="en-US"/>
        </w:rPr>
        <w:t>OoB and spurious emission domains for multicarrier system shown in Fig. 8</w:t>
      </w:r>
    </w:p>
    <w:p w:rsidR="002951C0" w:rsidRPr="002951C0" w:rsidRDefault="00273E2F" w:rsidP="002951C0">
      <w:pPr>
        <w:pStyle w:val="Figure"/>
      </w:pPr>
      <w:r>
        <w:rPr>
          <w:noProof/>
          <w:lang w:val="en-US" w:eastAsia="zh-CN"/>
        </w:rPr>
        <w:drawing>
          <wp:inline distT="0" distB="0" distL="0" distR="0" wp14:anchorId="31CEA5C5" wp14:editId="5FBA48B0">
            <wp:extent cx="4940300" cy="17208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940300" cy="1720850"/>
                    </a:xfrm>
                    <a:prstGeom prst="rect">
                      <a:avLst/>
                    </a:prstGeom>
                    <a:noFill/>
                    <a:ln>
                      <a:noFill/>
                    </a:ln>
                  </pic:spPr>
                </pic:pic>
              </a:graphicData>
            </a:graphic>
          </wp:inline>
        </w:drawing>
      </w:r>
    </w:p>
    <w:p w:rsidR="0040081F" w:rsidRDefault="0040081F" w:rsidP="0040081F">
      <w:pPr>
        <w:pStyle w:val="Heading1"/>
        <w:rPr>
          <w:lang w:val="en-US"/>
        </w:rPr>
      </w:pPr>
      <w:r>
        <w:rPr>
          <w:lang w:val="en-US"/>
        </w:rPr>
        <w:t>2</w:t>
      </w:r>
      <w:r>
        <w:rPr>
          <w:lang w:val="en-US"/>
        </w:rPr>
        <w:tab/>
        <w:t>Example 2: Single transponder per satellite</w:t>
      </w:r>
    </w:p>
    <w:p w:rsidR="0040081F" w:rsidRDefault="0040081F" w:rsidP="0040081F">
      <w:pPr>
        <w:rPr>
          <w:lang w:val="en-US"/>
        </w:rPr>
      </w:pPr>
      <w:r>
        <w:rPr>
          <w:lang w:val="en-US"/>
        </w:rPr>
        <w:t>When all carriers in Fig. 8, A1 through D4, are passed through a single transponder the OoB domain should start at the edges of the total assigned bandwidth and the width of the OoB domain should equal 200% of the necessary bandwidth where the necessary bandwidth is set to the minimum of the total assigned bandwidth and 3 dB transponder bandwidth.</w:t>
      </w:r>
    </w:p>
    <w:p w:rsidR="00807481" w:rsidRDefault="00807481" w:rsidP="0040081F">
      <w:pPr>
        <w:rPr>
          <w:lang w:val="en-US"/>
        </w:rPr>
      </w:pPr>
    </w:p>
    <w:p w:rsidR="00807481" w:rsidRDefault="00807481" w:rsidP="0040081F">
      <w:pPr>
        <w:rPr>
          <w:lang w:val="en-US"/>
        </w:rPr>
      </w:pPr>
    </w:p>
    <w:p w:rsidR="00807481" w:rsidRDefault="00807481" w:rsidP="0040081F">
      <w:pPr>
        <w:rPr>
          <w:lang w:val="en-US"/>
        </w:rPr>
      </w:pPr>
    </w:p>
    <w:p w:rsidR="00807481" w:rsidRDefault="00807481" w:rsidP="0040081F">
      <w:pPr>
        <w:rPr>
          <w:lang w:val="en-US"/>
        </w:rPr>
      </w:pPr>
    </w:p>
    <w:p w:rsidR="00807481" w:rsidRDefault="00807481" w:rsidP="0040081F">
      <w:pPr>
        <w:rPr>
          <w:lang w:val="en-US"/>
        </w:rPr>
      </w:pPr>
    </w:p>
    <w:p w:rsidR="0040081F" w:rsidRDefault="0040081F" w:rsidP="0040081F">
      <w:pPr>
        <w:pStyle w:val="AnnexNoTitle"/>
        <w:rPr>
          <w:lang w:val="en-US"/>
        </w:rPr>
      </w:pPr>
      <w:r>
        <w:rPr>
          <w:lang w:val="en-US"/>
        </w:rPr>
        <w:t>Annex  3</w:t>
      </w:r>
      <w:r>
        <w:rPr>
          <w:lang w:val="en-US"/>
        </w:rPr>
        <w:br/>
      </w:r>
      <w:r>
        <w:rPr>
          <w:lang w:val="en-US"/>
        </w:rPr>
        <w:br/>
        <w:t>Graph labelling for dBc and dBsd masks</w:t>
      </w:r>
    </w:p>
    <w:p w:rsidR="0040081F" w:rsidRDefault="0040081F" w:rsidP="0040081F">
      <w:pPr>
        <w:pStyle w:val="Normalaftertitle"/>
        <w:rPr>
          <w:lang w:val="en-US"/>
        </w:rPr>
      </w:pPr>
      <w:r>
        <w:rPr>
          <w:lang w:val="en-US"/>
        </w:rPr>
        <w:t xml:space="preserve">This </w:t>
      </w:r>
      <w:r w:rsidR="00601FF0">
        <w:rPr>
          <w:lang w:val="en-US"/>
        </w:rPr>
        <w:t>a</w:t>
      </w:r>
      <w:r>
        <w:rPr>
          <w:lang w:val="en-US"/>
        </w:rPr>
        <w:t>nnex shows the way to label the axes of dBc and dBsd spectrum masks.</w:t>
      </w:r>
    </w:p>
    <w:p w:rsidR="0040081F" w:rsidRDefault="0040081F" w:rsidP="0040081F">
      <w:pPr>
        <w:pStyle w:val="Heading1"/>
        <w:rPr>
          <w:lang w:val="en-US"/>
        </w:rPr>
      </w:pPr>
      <w:r>
        <w:rPr>
          <w:lang w:val="en-US"/>
        </w:rPr>
        <w:t>1</w:t>
      </w:r>
      <w:r>
        <w:rPr>
          <w:lang w:val="en-US"/>
        </w:rPr>
        <w:tab/>
        <w:t>Y-axis labelling of OoB masks</w:t>
      </w:r>
    </w:p>
    <w:p w:rsidR="0040081F" w:rsidRDefault="0040081F" w:rsidP="002951C0">
      <w:pPr>
        <w:rPr>
          <w:lang w:val="en-US"/>
        </w:rPr>
      </w:pPr>
      <w:r>
        <w:rPr>
          <w:lang w:val="en-US"/>
        </w:rPr>
        <w:t>Figure 10 shows the preferred way to label the Y-axis on dBc and dBsd spectrum masks, where negative relative level values are used. Figure 11 shows an alternate way using positive attenuation values. Note that the masks for symmetric limits are drawn the same in Fig</w:t>
      </w:r>
      <w:r w:rsidR="002951C0">
        <w:rPr>
          <w:lang w:val="en-US"/>
        </w:rPr>
        <w:t>s</w:t>
      </w:r>
      <w:r>
        <w:rPr>
          <w:lang w:val="en-US"/>
        </w:rPr>
        <w:t xml:space="preserve"> 10 and </w:t>
      </w:r>
      <w:r w:rsidR="002951C0">
        <w:rPr>
          <w:lang w:val="en-US"/>
        </w:rPr>
        <w:t> </w:t>
      </w:r>
      <w:r>
        <w:rPr>
          <w:lang w:val="en-US"/>
        </w:rPr>
        <w:t>11; only the labelling of the Y-axis is different. For dBsd graphs, the reference bandwidth should be included in the label, e.g. dBsd (BW </w:t>
      </w:r>
      <w:r>
        <w:rPr>
          <w:rFonts w:ascii="Symbol" w:hAnsi="Symbol"/>
          <w:lang w:val="en-US"/>
        </w:rPr>
        <w:t></w:t>
      </w:r>
      <w:r>
        <w:rPr>
          <w:lang w:val="en-US"/>
        </w:rPr>
        <w:t> 50 kHz).</w:t>
      </w:r>
    </w:p>
    <w:p w:rsidR="0040081F" w:rsidRDefault="0040081F" w:rsidP="0040081F">
      <w:pPr>
        <w:rPr>
          <w:lang w:val="en-US"/>
        </w:rPr>
      </w:pPr>
      <w:r>
        <w:rPr>
          <w:lang w:val="en-US"/>
        </w:rPr>
        <w:t>The convention of having zero at the top of the Y-axis follows the usual industry practice for specifying limit masks and displaying spectra on spectrum analysers and other test equipment.</w:t>
      </w:r>
    </w:p>
    <w:p w:rsidR="002951C0" w:rsidRPr="000D4195" w:rsidRDefault="002951C0" w:rsidP="0040081F">
      <w:pPr>
        <w:pStyle w:val="FigureNo"/>
        <w:rPr>
          <w:lang w:val="en-US"/>
        </w:rPr>
      </w:pPr>
      <w:r w:rsidRPr="000D4195">
        <w:rPr>
          <w:lang w:val="en-US"/>
        </w:rPr>
        <w:lastRenderedPageBreak/>
        <w:t>FIGURE 10</w:t>
      </w:r>
    </w:p>
    <w:p w:rsidR="002951C0" w:rsidRPr="000D4195" w:rsidRDefault="002951C0" w:rsidP="000D1918">
      <w:pPr>
        <w:pStyle w:val="Figuretitle"/>
        <w:rPr>
          <w:lang w:val="en-US"/>
        </w:rPr>
      </w:pPr>
      <w:r w:rsidRPr="000D4195">
        <w:rPr>
          <w:lang w:val="en-US"/>
        </w:rPr>
        <w:t>Ex</w:t>
      </w:r>
      <w:r w:rsidR="000D1918" w:rsidRPr="000D4195">
        <w:rPr>
          <w:lang w:val="en-US"/>
        </w:rPr>
        <w:t>a</w:t>
      </w:r>
      <w:r w:rsidRPr="000D4195">
        <w:rPr>
          <w:lang w:val="en-US"/>
        </w:rPr>
        <w:t>mples of preferred Y-axis labelling of symmetric OoB masks, using relative levels</w:t>
      </w:r>
    </w:p>
    <w:p w:rsidR="002951C0" w:rsidRPr="002951C0" w:rsidRDefault="00273E2F" w:rsidP="002951C0">
      <w:pPr>
        <w:pStyle w:val="Figure"/>
        <w:rPr>
          <w:lang w:val="en-US"/>
        </w:rPr>
      </w:pPr>
      <w:r>
        <w:rPr>
          <w:noProof/>
          <w:lang w:val="en-US" w:eastAsia="zh-CN"/>
        </w:rPr>
        <w:drawing>
          <wp:inline distT="0" distB="0" distL="0" distR="0" wp14:anchorId="088364C7" wp14:editId="33BDDBCB">
            <wp:extent cx="6115050" cy="224155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15050" cy="2241550"/>
                    </a:xfrm>
                    <a:prstGeom prst="rect">
                      <a:avLst/>
                    </a:prstGeom>
                    <a:noFill/>
                    <a:ln>
                      <a:noFill/>
                    </a:ln>
                  </pic:spPr>
                </pic:pic>
              </a:graphicData>
            </a:graphic>
          </wp:inline>
        </w:drawing>
      </w:r>
    </w:p>
    <w:p w:rsidR="0040081F" w:rsidRDefault="0040081F" w:rsidP="0040081F"/>
    <w:p w:rsidR="00807481" w:rsidRDefault="00807481" w:rsidP="0040081F"/>
    <w:p w:rsidR="002951C0" w:rsidRPr="000D4195" w:rsidRDefault="002951C0" w:rsidP="0040081F">
      <w:pPr>
        <w:pStyle w:val="FigureNo"/>
        <w:rPr>
          <w:lang w:val="en-US"/>
        </w:rPr>
      </w:pPr>
      <w:r w:rsidRPr="000D4195">
        <w:rPr>
          <w:lang w:val="en-US"/>
        </w:rPr>
        <w:t>FIGURE 11</w:t>
      </w:r>
    </w:p>
    <w:p w:rsidR="002951C0" w:rsidRPr="000D4195" w:rsidRDefault="002951C0" w:rsidP="000D1918">
      <w:pPr>
        <w:pStyle w:val="Figuretitle"/>
        <w:rPr>
          <w:lang w:val="en-US"/>
        </w:rPr>
      </w:pPr>
      <w:r w:rsidRPr="000D4195">
        <w:rPr>
          <w:lang w:val="en-US"/>
        </w:rPr>
        <w:t>Ex</w:t>
      </w:r>
      <w:r w:rsidR="000D1918" w:rsidRPr="000D4195">
        <w:rPr>
          <w:lang w:val="en-US"/>
        </w:rPr>
        <w:t>a</w:t>
      </w:r>
      <w:r w:rsidRPr="000D4195">
        <w:rPr>
          <w:lang w:val="en-US"/>
        </w:rPr>
        <w:t>mples of alternate Y-axis labelling of symmetric OoB masks, using attenuation levels</w:t>
      </w:r>
    </w:p>
    <w:p w:rsidR="002951C0" w:rsidRPr="002951C0" w:rsidRDefault="00273E2F" w:rsidP="002951C0">
      <w:pPr>
        <w:pStyle w:val="Figure"/>
      </w:pPr>
      <w:r>
        <w:rPr>
          <w:noProof/>
          <w:lang w:val="en-US" w:eastAsia="zh-CN"/>
        </w:rPr>
        <w:drawing>
          <wp:inline distT="0" distB="0" distL="0" distR="0" wp14:anchorId="15A5C8C0" wp14:editId="1413249A">
            <wp:extent cx="6115050" cy="227965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15050" cy="2279650"/>
                    </a:xfrm>
                    <a:prstGeom prst="rect">
                      <a:avLst/>
                    </a:prstGeom>
                    <a:noFill/>
                    <a:ln>
                      <a:noFill/>
                    </a:ln>
                  </pic:spPr>
                </pic:pic>
              </a:graphicData>
            </a:graphic>
          </wp:inline>
        </w:drawing>
      </w:r>
    </w:p>
    <w:p w:rsidR="0040081F" w:rsidRDefault="0040081F" w:rsidP="0040081F">
      <w:pPr>
        <w:pStyle w:val="Heading1"/>
        <w:rPr>
          <w:lang w:val="en-US"/>
        </w:rPr>
      </w:pPr>
      <w:r>
        <w:rPr>
          <w:lang w:val="en-US"/>
        </w:rPr>
        <w:t>2</w:t>
      </w:r>
      <w:r>
        <w:rPr>
          <w:lang w:val="en-US"/>
        </w:rPr>
        <w:tab/>
        <w:t>X-axis labelling of OoB masks</w:t>
      </w:r>
    </w:p>
    <w:p w:rsidR="0040081F" w:rsidRDefault="0040081F" w:rsidP="0040081F">
      <w:pPr>
        <w:rPr>
          <w:lang w:val="en-US"/>
        </w:rPr>
      </w:pPr>
      <w:r>
        <w:rPr>
          <w:lang w:val="en-US"/>
        </w:rPr>
        <w:t>The frequency offset is usually given as the per cent of necessary bandwidth, but sometimes it may be more convenient to give it as a per cent of channel bandwidth. The frequency offset may also be given in absolute units of kHz or MHz.</w:t>
      </w:r>
    </w:p>
    <w:p w:rsidR="0040081F" w:rsidRDefault="0040081F" w:rsidP="0040081F">
      <w:pPr>
        <w:rPr>
          <w:lang w:val="en-US"/>
        </w:rPr>
      </w:pPr>
      <w:r>
        <w:rPr>
          <w:lang w:val="en-US"/>
        </w:rPr>
        <w:t>Usually, the mask limits are symmetric about the centre frequency, and only positive frequency offset values are shown; which are interpreted to be absolute values that represent both positive and negative frequency offsets. In this case, only the positive frequency offset values are shown. However, for limits that are asymmetric about the centre frequency, the X-axis needs to include both positive and negative frequency offsets. Figure 12 shows an example graph that can be used for either asymmetric or symmetric limits.</w:t>
      </w:r>
    </w:p>
    <w:p w:rsidR="002951C0" w:rsidRPr="000D4195" w:rsidRDefault="002951C0" w:rsidP="0040081F">
      <w:pPr>
        <w:pStyle w:val="FigureNo"/>
        <w:rPr>
          <w:lang w:val="en-US"/>
        </w:rPr>
      </w:pPr>
      <w:r w:rsidRPr="000D4195">
        <w:rPr>
          <w:lang w:val="en-US"/>
        </w:rPr>
        <w:lastRenderedPageBreak/>
        <w:t>FIGURE 12</w:t>
      </w:r>
    </w:p>
    <w:p w:rsidR="002951C0" w:rsidRPr="000D4195" w:rsidRDefault="002951C0" w:rsidP="002951C0">
      <w:pPr>
        <w:pStyle w:val="Figuretitle"/>
        <w:rPr>
          <w:lang w:val="en-US"/>
        </w:rPr>
      </w:pPr>
      <w:r w:rsidRPr="000D4195">
        <w:rPr>
          <w:lang w:val="en-US"/>
        </w:rPr>
        <w:t>Example of graph labelling of asymmetric or symmetric OoB masks</w:t>
      </w:r>
    </w:p>
    <w:p w:rsidR="002951C0" w:rsidRPr="002951C0" w:rsidRDefault="00273E2F" w:rsidP="002951C0">
      <w:pPr>
        <w:pStyle w:val="Figure"/>
      </w:pPr>
      <w:r>
        <w:rPr>
          <w:noProof/>
          <w:lang w:val="en-US" w:eastAsia="zh-CN"/>
        </w:rPr>
        <w:drawing>
          <wp:inline distT="0" distB="0" distL="0" distR="0" wp14:anchorId="3D6FD9EC" wp14:editId="0708127F">
            <wp:extent cx="5168900" cy="216535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168900" cy="2165350"/>
                    </a:xfrm>
                    <a:prstGeom prst="rect">
                      <a:avLst/>
                    </a:prstGeom>
                    <a:noFill/>
                    <a:ln>
                      <a:noFill/>
                    </a:ln>
                  </pic:spPr>
                </pic:pic>
              </a:graphicData>
            </a:graphic>
          </wp:inline>
        </w:drawing>
      </w:r>
    </w:p>
    <w:p w:rsidR="0040081F" w:rsidRDefault="0040081F" w:rsidP="0040081F">
      <w:pPr>
        <w:rPr>
          <w:lang w:val="en-US"/>
        </w:rPr>
      </w:pPr>
    </w:p>
    <w:p w:rsidR="0040081F" w:rsidRDefault="0040081F" w:rsidP="0040081F">
      <w:pPr>
        <w:rPr>
          <w:lang w:val="en-US"/>
        </w:rPr>
      </w:pPr>
    </w:p>
    <w:p w:rsidR="0040081F" w:rsidRDefault="0040081F" w:rsidP="0040081F">
      <w:pPr>
        <w:rPr>
          <w:lang w:val="en-US"/>
        </w:rPr>
      </w:pPr>
    </w:p>
    <w:p w:rsidR="0040081F" w:rsidRDefault="0040081F" w:rsidP="0040081F">
      <w:pPr>
        <w:pStyle w:val="AnnexNoTitle"/>
        <w:rPr>
          <w:lang w:val="en-US"/>
        </w:rPr>
      </w:pPr>
      <w:r>
        <w:rPr>
          <w:lang w:val="en-US"/>
        </w:rPr>
        <w:t>Annex  4</w:t>
      </w:r>
      <w:r>
        <w:rPr>
          <w:lang w:val="en-US"/>
        </w:rPr>
        <w:br/>
      </w:r>
      <w:r>
        <w:rPr>
          <w:lang w:val="en-US"/>
        </w:rPr>
        <w:br/>
        <w:t>List of ITU-R texts concerning OoB domain emissions</w:t>
      </w:r>
      <w:r>
        <w:rPr>
          <w:lang w:val="en-US"/>
        </w:rPr>
        <w:br/>
        <w:t>related to specific services</w:t>
      </w:r>
    </w:p>
    <w:p w:rsidR="002951C0" w:rsidRDefault="002951C0" w:rsidP="002951C0">
      <w:pPr>
        <w:rPr>
          <w:lang w:val="en-US"/>
        </w:rPr>
      </w:pPr>
    </w:p>
    <w:p w:rsidR="00D23C01" w:rsidRPr="00D23C01" w:rsidRDefault="0040081F" w:rsidP="00D23C01">
      <w:pPr>
        <w:rPr>
          <w:lang w:val="en-US"/>
        </w:rPr>
      </w:pPr>
      <w:r>
        <w:rPr>
          <w:lang w:val="en-US"/>
        </w:rPr>
        <w:t>Recommendation ITU-R F.1191 – </w:t>
      </w:r>
      <w:r w:rsidR="00D23C01" w:rsidRPr="00D23C01">
        <w:rPr>
          <w:lang w:val="en-US"/>
        </w:rPr>
        <w:t>Necessary and occupied bandwidths and unwanted emissions o</w:t>
      </w:r>
      <w:r w:rsidR="00D23C01">
        <w:rPr>
          <w:lang w:val="en-US"/>
        </w:rPr>
        <w:t>f digital fixed service systems</w:t>
      </w:r>
      <w:r w:rsidR="00D23C01" w:rsidRPr="00D23C01">
        <w:rPr>
          <w:lang w:val="en-US"/>
        </w:rPr>
        <w:t> </w:t>
      </w:r>
    </w:p>
    <w:p w:rsidR="0040081F" w:rsidRDefault="0040081F" w:rsidP="00D23C01">
      <w:pPr>
        <w:rPr>
          <w:lang w:val="en-US"/>
        </w:rPr>
      </w:pPr>
      <w:r>
        <w:rPr>
          <w:lang w:val="en-US"/>
        </w:rPr>
        <w:t>Recommendation ITU-R M.478 – Technical characteristics of equipment and principles governing the allocation of frequency channels between 25 and 3</w:t>
      </w:r>
      <w:r>
        <w:rPr>
          <w:rFonts w:ascii="Tms Rmn" w:hAnsi="Tms Rmn"/>
          <w:sz w:val="12"/>
          <w:lang w:val="en-US"/>
        </w:rPr>
        <w:t> </w:t>
      </w:r>
      <w:r>
        <w:rPr>
          <w:lang w:val="en-US"/>
        </w:rPr>
        <w:t>000 MHz for the FM land mobile service</w:t>
      </w:r>
    </w:p>
    <w:p w:rsidR="0040081F" w:rsidRPr="008512F4" w:rsidRDefault="0040081F" w:rsidP="0040081F">
      <w:pPr>
        <w:rPr>
          <w:lang w:val="en-US" w:eastAsia="ja-JP"/>
        </w:rPr>
      </w:pPr>
      <w:r w:rsidRPr="008512F4">
        <w:rPr>
          <w:lang w:val="en-US" w:eastAsia="ja-JP"/>
        </w:rPr>
        <w:t>Recommendation ITU-R M.1580 – Generic unwanted emission characteristics of base stations using the terrestri</w:t>
      </w:r>
      <w:r w:rsidR="002951C0">
        <w:rPr>
          <w:lang w:val="en-US" w:eastAsia="ja-JP"/>
        </w:rPr>
        <w:t>al radio interfaces of IMT-2000</w:t>
      </w:r>
    </w:p>
    <w:p w:rsidR="0040081F" w:rsidRDefault="0040081F" w:rsidP="002951C0">
      <w:pPr>
        <w:rPr>
          <w:lang w:val="en-US" w:eastAsia="ja-JP"/>
        </w:rPr>
      </w:pPr>
      <w:r w:rsidRPr="008512F4">
        <w:rPr>
          <w:lang w:val="en-US" w:eastAsia="ja-JP"/>
        </w:rPr>
        <w:t>Recommendation ITU-R M.1581 – Generic unwanted emission characteristics of mobile stations using the terrestrial radio interfaces of IMT-2000</w:t>
      </w:r>
    </w:p>
    <w:p w:rsidR="0040081F" w:rsidRDefault="0040081F" w:rsidP="00D23C01">
      <w:pPr>
        <w:rPr>
          <w:lang w:val="en-US"/>
        </w:rPr>
      </w:pPr>
      <w:r>
        <w:rPr>
          <w:lang w:val="en-US"/>
        </w:rPr>
        <w:t>Report ITU-R M.2014 – </w:t>
      </w:r>
      <w:r w:rsidR="00D23C01">
        <w:rPr>
          <w:lang w:val="en-US"/>
        </w:rPr>
        <w:t>D</w:t>
      </w:r>
      <w:r>
        <w:rPr>
          <w:lang w:val="en-US"/>
        </w:rPr>
        <w:t>igital land mobile systems for dispatch traffic</w:t>
      </w:r>
    </w:p>
    <w:p w:rsidR="0040081F" w:rsidRDefault="0040081F" w:rsidP="0040081F">
      <w:pPr>
        <w:rPr>
          <w:lang w:val="en-US"/>
        </w:rPr>
      </w:pPr>
      <w:r>
        <w:rPr>
          <w:lang w:val="en-US"/>
        </w:rPr>
        <w:t>Recommendation ITU-R BS.1114 – System</w:t>
      </w:r>
      <w:r w:rsidR="00D23C01">
        <w:rPr>
          <w:lang w:val="en-US"/>
        </w:rPr>
        <w:t>s</w:t>
      </w:r>
      <w:r>
        <w:rPr>
          <w:lang w:val="en-US"/>
        </w:rPr>
        <w:t xml:space="preserve"> for terrestrial digital sound broadcasting to vehicular, portable and fixed receivers in the frequency range 30-3</w:t>
      </w:r>
      <w:r>
        <w:rPr>
          <w:rFonts w:ascii="Tms Rmn" w:hAnsi="Tms Rmn"/>
          <w:sz w:val="12"/>
          <w:lang w:val="en-US"/>
        </w:rPr>
        <w:t> </w:t>
      </w:r>
      <w:r>
        <w:rPr>
          <w:lang w:val="en-US"/>
        </w:rPr>
        <w:t>000 MHz</w:t>
      </w:r>
    </w:p>
    <w:p w:rsidR="0040081F" w:rsidRDefault="0040081F" w:rsidP="0040081F">
      <w:pPr>
        <w:rPr>
          <w:lang w:val="en-US"/>
        </w:rPr>
      </w:pPr>
      <w:r>
        <w:rPr>
          <w:lang w:val="en-US"/>
        </w:rPr>
        <w:t>Recommendation ITU-R M.1480 – Essential technical requirements of mobile earth stations of geostationary mobile-satellite systems that are implementing the global mobile personal communications by satellite (GMPCS) – Memorandum of understanding arrangements in parts of the frequency bands 1-3 GHz</w:t>
      </w:r>
    </w:p>
    <w:p w:rsidR="0040081F" w:rsidRDefault="0040081F" w:rsidP="0040081F">
      <w:pPr>
        <w:rPr>
          <w:lang w:val="en-US"/>
        </w:rPr>
      </w:pPr>
      <w:r>
        <w:rPr>
          <w:lang w:val="en-US"/>
        </w:rPr>
        <w:t>Recommendation ITU-R M.1343 – Essential technical requirements of mobile earth stations for global non-geostationary mobile-satellite service systems in the bands 1-3 GHz</w:t>
      </w:r>
    </w:p>
    <w:p w:rsidR="0040081F" w:rsidRDefault="0040081F" w:rsidP="0040081F">
      <w:pPr>
        <w:pStyle w:val="Note"/>
        <w:rPr>
          <w:lang w:val="en-US"/>
        </w:rPr>
      </w:pPr>
      <w:r>
        <w:rPr>
          <w:lang w:val="en-US"/>
        </w:rPr>
        <w:t>NOTE 1 – Recommendation ITU-R M.1343 could be applied also to terminals in regional non-geostationary satellite systems, although the title refers to global systems</w:t>
      </w:r>
      <w:bookmarkStart w:id="5" w:name="_996670188"/>
      <w:bookmarkStart w:id="6" w:name="_996670227"/>
      <w:bookmarkStart w:id="7" w:name="dsgno"/>
      <w:bookmarkStart w:id="8" w:name="_996559183"/>
      <w:bookmarkEnd w:id="5"/>
      <w:bookmarkEnd w:id="6"/>
      <w:bookmarkEnd w:id="7"/>
      <w:bookmarkEnd w:id="8"/>
      <w:r>
        <w:rPr>
          <w:lang w:val="en-US"/>
        </w:rPr>
        <w:t>.</w:t>
      </w:r>
    </w:p>
    <w:p w:rsidR="0040081F" w:rsidRDefault="0040081F" w:rsidP="0040081F">
      <w:pPr>
        <w:pStyle w:val="Note"/>
        <w:rPr>
          <w:lang w:val="en-US"/>
        </w:rPr>
      </w:pPr>
    </w:p>
    <w:p w:rsidR="0040081F" w:rsidRDefault="0040081F" w:rsidP="0040081F">
      <w:pPr>
        <w:pStyle w:val="AnnexNoTitle"/>
        <w:rPr>
          <w:lang w:val="en-US"/>
        </w:rPr>
      </w:pPr>
      <w:bookmarkStart w:id="9" w:name="recibido"/>
      <w:bookmarkEnd w:id="9"/>
      <w:r>
        <w:rPr>
          <w:lang w:val="en-US"/>
        </w:rPr>
        <w:lastRenderedPageBreak/>
        <w:t>Annex  5</w:t>
      </w:r>
      <w:r>
        <w:rPr>
          <w:lang w:val="en-US"/>
        </w:rPr>
        <w:br/>
      </w:r>
      <w:r>
        <w:rPr>
          <w:lang w:val="en-US"/>
        </w:rPr>
        <w:br/>
        <w:t>OoB domain emission limits for space services (earth and space stations)</w:t>
      </w:r>
    </w:p>
    <w:p w:rsidR="0040081F" w:rsidRDefault="0040081F" w:rsidP="0040081F">
      <w:pPr>
        <w:pStyle w:val="Heading1"/>
        <w:rPr>
          <w:lang w:val="en-US"/>
        </w:rPr>
      </w:pPr>
      <w:r>
        <w:rPr>
          <w:lang w:val="en-US"/>
        </w:rPr>
        <w:t>1</w:t>
      </w:r>
      <w:r>
        <w:rPr>
          <w:lang w:val="en-US"/>
        </w:rPr>
        <w:tab/>
        <w:t>Introduction</w:t>
      </w:r>
    </w:p>
    <w:p w:rsidR="0040081F" w:rsidRDefault="0040081F" w:rsidP="0040081F">
      <w:pPr>
        <w:rPr>
          <w:lang w:val="en-US"/>
        </w:rPr>
      </w:pPr>
      <w:r>
        <w:rPr>
          <w:lang w:val="en-US"/>
        </w:rPr>
        <w:t>In certain cases, it has been deemed that the OoB masks (of sections 2 through 4) should not apply.</w:t>
      </w:r>
    </w:p>
    <w:p w:rsidR="0040081F" w:rsidRDefault="0040081F" w:rsidP="0040081F">
      <w:pPr>
        <w:rPr>
          <w:lang w:val="en-US"/>
        </w:rPr>
      </w:pPr>
      <w:r>
        <w:rPr>
          <w:lang w:val="en-US"/>
        </w:rPr>
        <w:t>For the case of a single satellite operating with more than one transponder in the same service area, and when considering the limits for OoB emissions described below, OoB emissions from one transponder may fall on a frequency at which a second companion transponder is transmitting. In these situations, the level of OoB emissions from the first transponder is well exceeded by fundamental emissions of the second transponder. Therefore, the limits below should not be applied to those OoB emissions of a satellite which fall within the necessary bandwidth of another transponder, on the same satellite, into the same service area.</w:t>
      </w:r>
    </w:p>
    <w:p w:rsidR="002951C0" w:rsidRPr="000D4195" w:rsidRDefault="002951C0" w:rsidP="0040081F">
      <w:pPr>
        <w:pStyle w:val="FigureNo"/>
        <w:rPr>
          <w:lang w:val="en-US"/>
        </w:rPr>
      </w:pPr>
      <w:r w:rsidRPr="000D4195">
        <w:rPr>
          <w:lang w:val="en-US"/>
        </w:rPr>
        <w:t>FIGURE 13</w:t>
      </w:r>
    </w:p>
    <w:p w:rsidR="002951C0" w:rsidRPr="000D4195" w:rsidRDefault="002951C0" w:rsidP="002951C0">
      <w:pPr>
        <w:pStyle w:val="Figuretitle"/>
        <w:rPr>
          <w:rFonts w:ascii="Times New Roman" w:hAnsi="Times New Roman"/>
          <w:b w:val="0"/>
          <w:bCs/>
          <w:lang w:val="en-US"/>
        </w:rPr>
      </w:pPr>
      <w:r w:rsidRPr="000D4195">
        <w:rPr>
          <w:lang w:val="en-US"/>
        </w:rPr>
        <w:t>Example of applicability of OoB limits to a satellite transponder</w:t>
      </w:r>
      <w:r w:rsidR="00B9476C" w:rsidRPr="000D4195">
        <w:rPr>
          <w:lang w:val="en-US"/>
        </w:rPr>
        <w:br/>
      </w:r>
      <w:r w:rsidR="00B9476C" w:rsidRPr="000D4195">
        <w:rPr>
          <w:rFonts w:ascii="Times New Roman" w:hAnsi="Times New Roman"/>
          <w:b w:val="0"/>
          <w:bCs/>
          <w:lang w:val="en-US"/>
        </w:rPr>
        <w:t>(this Figure is not drawn to scale)</w:t>
      </w:r>
    </w:p>
    <w:p w:rsidR="002951C0" w:rsidRPr="002951C0" w:rsidRDefault="00273E2F" w:rsidP="002951C0">
      <w:pPr>
        <w:pStyle w:val="Figure"/>
      </w:pPr>
      <w:r>
        <w:rPr>
          <w:noProof/>
          <w:lang w:val="en-US" w:eastAsia="zh-CN"/>
        </w:rPr>
        <w:drawing>
          <wp:inline distT="0" distB="0" distL="0" distR="0" wp14:anchorId="5BBA4ADB" wp14:editId="14D6A0A8">
            <wp:extent cx="5969000" cy="199390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69000" cy="1993900"/>
                    </a:xfrm>
                    <a:prstGeom prst="rect">
                      <a:avLst/>
                    </a:prstGeom>
                    <a:noFill/>
                    <a:ln>
                      <a:noFill/>
                    </a:ln>
                  </pic:spPr>
                </pic:pic>
              </a:graphicData>
            </a:graphic>
          </wp:inline>
        </w:drawing>
      </w:r>
    </w:p>
    <w:p w:rsidR="0040081F" w:rsidRDefault="0040081F" w:rsidP="0040081F">
      <w:pPr>
        <w:rPr>
          <w:lang w:val="en-US"/>
        </w:rPr>
      </w:pPr>
      <w:r>
        <w:rPr>
          <w:lang w:val="en-US"/>
        </w:rPr>
        <w:t>Transponders A and B are operating on the same satellite in the same service area. Transponder B is not required to meet OoB domain emission limits in frequency range 2 but is required to meet them in frequency ranges 1, 3 and 4. In frequency range 3, OoB domain emission limits do not apply if it is a guardband.</w:t>
      </w:r>
    </w:p>
    <w:p w:rsidR="0040081F" w:rsidRDefault="0040081F" w:rsidP="0040081F">
      <w:pPr>
        <w:pStyle w:val="Heading1"/>
        <w:rPr>
          <w:lang w:val="en-US"/>
        </w:rPr>
      </w:pPr>
      <w:r>
        <w:rPr>
          <w:lang w:val="en-US"/>
        </w:rPr>
        <w:t>2</w:t>
      </w:r>
      <w:r>
        <w:rPr>
          <w:lang w:val="en-US"/>
        </w:rPr>
        <w:tab/>
        <w:t>OoB masks for fixed-satellite service (FSS) earth and space stations</w:t>
      </w:r>
    </w:p>
    <w:p w:rsidR="0040081F" w:rsidRDefault="0040081F" w:rsidP="0040081F">
      <w:pPr>
        <w:rPr>
          <w:lang w:val="en-US"/>
        </w:rPr>
      </w:pPr>
      <w:r>
        <w:rPr>
          <w:lang w:val="en-US"/>
        </w:rPr>
        <w:t>The OoB domain emissions of a station operating in the bands allocated to the FSS should be attenuated below the maximum psd, in a reference bandwidth of 4 kHz (for systems operating above 15 GHz a reference bandwidth of 1 MHz may be used in place of 4 kHz) within the necessary bandwidth, by the following:</w:t>
      </w:r>
    </w:p>
    <w:p w:rsidR="0040081F" w:rsidRDefault="0040081F" w:rsidP="0040081F">
      <w:pPr>
        <w:pStyle w:val="Blanc"/>
      </w:pPr>
    </w:p>
    <w:p w:rsidR="0040081F" w:rsidRDefault="0040081F" w:rsidP="0040081F">
      <w:pPr>
        <w:pStyle w:val="Equation"/>
      </w:pPr>
      <w:r>
        <w:rPr>
          <w:lang w:val="en-US"/>
        </w:rPr>
        <w:tab/>
      </w:r>
      <w:r>
        <w:rPr>
          <w:lang w:val="en-US"/>
        </w:rPr>
        <w:tab/>
      </w:r>
      <w:r w:rsidRPr="00AC23B9">
        <w:rPr>
          <w:position w:val="-28"/>
          <w:sz w:val="20"/>
        </w:rPr>
        <w:object w:dxaOrig="3140" w:dyaOrig="680">
          <v:shape id="_x0000_i1066" type="#_x0000_t75" style="width:157.15pt;height:35.05pt" o:ole="" fillcolor="window">
            <v:imagedata r:id="rId111" o:title=""/>
          </v:shape>
          <o:OLEObject Type="Embed" ProgID="Equation.3" ShapeID="_x0000_i1066" DrawAspect="Content" ObjectID="_1392698817" r:id="rId112"/>
        </w:object>
      </w:r>
    </w:p>
    <w:p w:rsidR="0040081F" w:rsidRDefault="0040081F" w:rsidP="0040081F">
      <w:pPr>
        <w:pStyle w:val="Blanc"/>
      </w:pPr>
    </w:p>
    <w:p w:rsidR="0040081F" w:rsidRDefault="0040081F" w:rsidP="0040081F">
      <w:pPr>
        <w:rPr>
          <w:lang w:val="en-US"/>
        </w:rPr>
      </w:pPr>
      <w:r>
        <w:rPr>
          <w:lang w:val="en-US"/>
        </w:rPr>
        <w:t xml:space="preserve">where </w:t>
      </w:r>
      <w:r>
        <w:rPr>
          <w:i/>
          <w:lang w:val="en-US"/>
        </w:rPr>
        <w:t>F</w:t>
      </w:r>
      <w:r>
        <w:rPr>
          <w:lang w:val="en-US"/>
        </w:rPr>
        <w:t xml:space="preserve"> is the frequency offset from the edge of the total assigned band, expressed as a percentage of necessary bandwidth. It is noted that the OoB emission domain starts at the edges of the total assigned band.</w:t>
      </w:r>
    </w:p>
    <w:p w:rsidR="002951C0" w:rsidRPr="000D4195" w:rsidRDefault="002951C0" w:rsidP="0040081F">
      <w:pPr>
        <w:pStyle w:val="FigureNo"/>
        <w:rPr>
          <w:lang w:val="en-US"/>
        </w:rPr>
      </w:pPr>
      <w:r w:rsidRPr="000D4195">
        <w:rPr>
          <w:lang w:val="en-US"/>
        </w:rPr>
        <w:lastRenderedPageBreak/>
        <w:t>FIGURE 14</w:t>
      </w:r>
    </w:p>
    <w:p w:rsidR="002951C0" w:rsidRPr="000D4195" w:rsidRDefault="002951C0" w:rsidP="002951C0">
      <w:pPr>
        <w:pStyle w:val="Figuretitle"/>
        <w:rPr>
          <w:lang w:val="en-US"/>
        </w:rPr>
      </w:pPr>
      <w:r w:rsidRPr="000D4195">
        <w:rPr>
          <w:lang w:val="en-US"/>
        </w:rPr>
        <w:t>Example 1: OoB mask assuming the spurious limit is equivalent to 25 dBsd</w:t>
      </w:r>
    </w:p>
    <w:p w:rsidR="002951C0" w:rsidRPr="002951C0" w:rsidRDefault="00273E2F" w:rsidP="002951C0">
      <w:pPr>
        <w:pStyle w:val="Figure"/>
      </w:pPr>
      <w:r>
        <w:rPr>
          <w:noProof/>
          <w:lang w:val="en-US" w:eastAsia="zh-CN"/>
        </w:rPr>
        <w:drawing>
          <wp:inline distT="0" distB="0" distL="0" distR="0" wp14:anchorId="08DE127E" wp14:editId="4A782DDC">
            <wp:extent cx="3917950" cy="3765550"/>
            <wp:effectExtent l="0" t="0" r="635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17950" cy="3765550"/>
                    </a:xfrm>
                    <a:prstGeom prst="rect">
                      <a:avLst/>
                    </a:prstGeom>
                    <a:noFill/>
                    <a:ln>
                      <a:noFill/>
                    </a:ln>
                  </pic:spPr>
                </pic:pic>
              </a:graphicData>
            </a:graphic>
          </wp:inline>
        </w:drawing>
      </w:r>
    </w:p>
    <w:p w:rsidR="00B9476C" w:rsidRDefault="00B9476C" w:rsidP="00B9476C"/>
    <w:p w:rsidR="002951C0" w:rsidRPr="000D4195" w:rsidRDefault="002951C0" w:rsidP="0040081F">
      <w:pPr>
        <w:pStyle w:val="FigureNo"/>
        <w:rPr>
          <w:lang w:val="en-US"/>
        </w:rPr>
      </w:pPr>
      <w:r w:rsidRPr="000D4195">
        <w:rPr>
          <w:lang w:val="en-US"/>
        </w:rPr>
        <w:t>FIGURE 15</w:t>
      </w:r>
    </w:p>
    <w:p w:rsidR="002951C0" w:rsidRPr="000D4195" w:rsidRDefault="002951C0" w:rsidP="002951C0">
      <w:pPr>
        <w:pStyle w:val="Figuretitle"/>
        <w:rPr>
          <w:lang w:val="en-US"/>
        </w:rPr>
      </w:pPr>
      <w:r w:rsidRPr="000D4195">
        <w:rPr>
          <w:lang w:val="en-US"/>
        </w:rPr>
        <w:t>Ex</w:t>
      </w:r>
      <w:r w:rsidR="00766F0A" w:rsidRPr="000D4195">
        <w:rPr>
          <w:lang w:val="en-US"/>
        </w:rPr>
        <w:t>ample 2: OoB mask assuming the spurious limit is equivalent to 40 dBsd</w:t>
      </w:r>
    </w:p>
    <w:p w:rsidR="00766F0A" w:rsidRPr="00766F0A" w:rsidRDefault="00273E2F" w:rsidP="00766F0A">
      <w:pPr>
        <w:pStyle w:val="Figure"/>
      </w:pPr>
      <w:r>
        <w:rPr>
          <w:noProof/>
          <w:lang w:val="en-US" w:eastAsia="zh-CN"/>
        </w:rPr>
        <w:drawing>
          <wp:inline distT="0" distB="0" distL="0" distR="0" wp14:anchorId="7F8432B3" wp14:editId="0D99FECE">
            <wp:extent cx="3917950" cy="3784600"/>
            <wp:effectExtent l="0" t="0" r="635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917950" cy="3784600"/>
                    </a:xfrm>
                    <a:prstGeom prst="rect">
                      <a:avLst/>
                    </a:prstGeom>
                    <a:noFill/>
                    <a:ln>
                      <a:noFill/>
                    </a:ln>
                  </pic:spPr>
                </pic:pic>
              </a:graphicData>
            </a:graphic>
          </wp:inline>
        </w:drawing>
      </w:r>
    </w:p>
    <w:p w:rsidR="0040081F" w:rsidRDefault="0040081F" w:rsidP="0040081F">
      <w:pPr>
        <w:rPr>
          <w:lang w:val="en-US"/>
        </w:rPr>
      </w:pPr>
      <w:r>
        <w:rPr>
          <w:lang w:val="en-US"/>
        </w:rPr>
        <w:lastRenderedPageBreak/>
        <w:t>Care should be taken in cases where OoB masks have been proposed to apply to both earth stations and space stations. This is because, for multicarrier applications, the necessary bandwidth, upon which the masks are based, is defined to be that of the final amplifier of the transmitter. Earth stations often have amplifiers with much wider bandwidth than those of space stations.</w:t>
      </w:r>
    </w:p>
    <w:p w:rsidR="0040081F" w:rsidRDefault="0040081F" w:rsidP="0040081F">
      <w:pPr>
        <w:pStyle w:val="Heading1"/>
        <w:rPr>
          <w:lang w:val="en-US"/>
        </w:rPr>
      </w:pPr>
      <w:r>
        <w:rPr>
          <w:lang w:val="en-US"/>
        </w:rPr>
        <w:t>3</w:t>
      </w:r>
      <w:r>
        <w:rPr>
          <w:lang w:val="en-US"/>
        </w:rPr>
        <w:tab/>
        <w:t>OoB masks for mobile-satellite service (MSS) earth and space stations</w:t>
      </w:r>
    </w:p>
    <w:p w:rsidR="0040081F" w:rsidRDefault="0040081F" w:rsidP="0040081F">
      <w:pPr>
        <w:rPr>
          <w:lang w:val="en-US"/>
        </w:rPr>
      </w:pPr>
      <w:r>
        <w:rPr>
          <w:lang w:val="en-US"/>
        </w:rPr>
        <w:t>The masks contained in Recommendation ITU</w:t>
      </w:r>
      <w:r>
        <w:rPr>
          <w:lang w:val="en-US"/>
        </w:rPr>
        <w:noBreakHyphen/>
        <w:t>R M.1480 can be used for mobile earth stations of geostationary-satellite orbit (GSO) MSS systems implementing the GMPCS memorandum of understanding in parts of the frequency band 1-3 GHz.</w:t>
      </w:r>
    </w:p>
    <w:p w:rsidR="0040081F" w:rsidRDefault="0040081F" w:rsidP="0040081F">
      <w:pPr>
        <w:rPr>
          <w:lang w:val="en-US"/>
        </w:rPr>
      </w:pPr>
      <w:r>
        <w:rPr>
          <w:lang w:val="en-US"/>
        </w:rPr>
        <w:t>The masks contained in Recommendation ITU</w:t>
      </w:r>
      <w:r>
        <w:rPr>
          <w:lang w:val="en-US"/>
        </w:rPr>
        <w:noBreakHyphen/>
        <w:t>R M.1343, representing non-GSO mobile earth stations in the band 1-3 GHz can form one input for the mobile earth station data.</w:t>
      </w:r>
    </w:p>
    <w:p w:rsidR="0040081F" w:rsidRDefault="0040081F" w:rsidP="0040081F">
      <w:pPr>
        <w:rPr>
          <w:lang w:val="en-US"/>
        </w:rPr>
      </w:pPr>
      <w:r>
        <w:rPr>
          <w:lang w:val="en-US"/>
        </w:rPr>
        <w:t>For earth stations not covered in the above</w:t>
      </w:r>
      <w:r>
        <w:rPr>
          <w:lang w:val="en-US"/>
        </w:rPr>
        <w:noBreakHyphen/>
        <w:t>mentioned Recommendations and for all space stations, the following generic OoB mask, considered as an upper bound for MSS systems, is to be used:</w:t>
      </w:r>
    </w:p>
    <w:p w:rsidR="0040081F" w:rsidRDefault="0040081F" w:rsidP="0040081F">
      <w:pPr>
        <w:rPr>
          <w:lang w:val="en-US"/>
        </w:rPr>
      </w:pPr>
      <w:r>
        <w:rPr>
          <w:lang w:val="en-US"/>
        </w:rPr>
        <w:t>Attenuation of OoB emissions in the reference bandwidth of 4 kHz for MSS systems below 15 GHz (otherwise in reference bandwidth of 1 MHz for MSS systems above 15 GHz) is:</w:t>
      </w:r>
    </w:p>
    <w:p w:rsidR="0040081F" w:rsidRDefault="0040081F" w:rsidP="0040081F">
      <w:pPr>
        <w:pStyle w:val="Equation"/>
      </w:pPr>
      <w:r>
        <w:rPr>
          <w:lang w:val="en-US"/>
        </w:rPr>
        <w:tab/>
      </w:r>
      <w:r>
        <w:rPr>
          <w:lang w:val="en-US"/>
        </w:rPr>
        <w:tab/>
      </w:r>
      <w:r w:rsidR="00766F0A" w:rsidRPr="00AC23B9">
        <w:rPr>
          <w:position w:val="-28"/>
          <w:sz w:val="20"/>
        </w:rPr>
        <w:object w:dxaOrig="3100" w:dyaOrig="680">
          <v:shape id="_x0000_i1067" type="#_x0000_t75" style="width:155.9pt;height:35.05pt" o:ole="" fillcolor="window">
            <v:imagedata r:id="rId115" o:title=""/>
          </v:shape>
          <o:OLEObject Type="Embed" ProgID="Equation.3" ShapeID="_x0000_i1067" DrawAspect="Content" ObjectID="_1392698818" r:id="rId116"/>
        </w:object>
      </w:r>
    </w:p>
    <w:p w:rsidR="0040081F" w:rsidRDefault="0040081F" w:rsidP="0040081F">
      <w:pPr>
        <w:rPr>
          <w:lang w:val="en-US"/>
        </w:rPr>
      </w:pPr>
      <w:r>
        <w:rPr>
          <w:lang w:val="en-US"/>
        </w:rPr>
        <w:t xml:space="preserve">where </w:t>
      </w:r>
      <w:r>
        <w:rPr>
          <w:i/>
          <w:iCs/>
          <w:lang w:val="en-US"/>
        </w:rPr>
        <w:t>F</w:t>
      </w:r>
      <w:r>
        <w:rPr>
          <w:lang w:val="en-US"/>
        </w:rPr>
        <w:t xml:space="preserve"> is the frequency offset from the edge of the total assigned band, expressed as a percentage of necessary bandwidth, which will range from 0% to the spurious boundary (which is usually 200%).</w:t>
      </w:r>
    </w:p>
    <w:p w:rsidR="0040081F" w:rsidRDefault="0040081F" w:rsidP="0040081F">
      <w:pPr>
        <w:rPr>
          <w:lang w:val="en-US"/>
        </w:rPr>
      </w:pPr>
      <w:r>
        <w:rPr>
          <w:lang w:val="en-US"/>
        </w:rPr>
        <w:t>The above-proposed mask may not be applicable in detailed examination of adjacent band compatibility.</w:t>
      </w:r>
    </w:p>
    <w:p w:rsidR="0040081F" w:rsidRDefault="0040081F" w:rsidP="0040081F">
      <w:pPr>
        <w:pStyle w:val="Heading1"/>
        <w:rPr>
          <w:lang w:val="en-US"/>
        </w:rPr>
      </w:pPr>
      <w:r>
        <w:rPr>
          <w:lang w:val="en-US"/>
        </w:rPr>
        <w:t>4</w:t>
      </w:r>
      <w:r>
        <w:rPr>
          <w:lang w:val="en-US"/>
        </w:rPr>
        <w:tab/>
        <w:t>OoB masks for broadcasting-satellite service (BSS) space stations</w:t>
      </w:r>
    </w:p>
    <w:p w:rsidR="0040081F" w:rsidRPr="008512F4" w:rsidRDefault="0040081F" w:rsidP="00E95CDC">
      <w:pPr>
        <w:rPr>
          <w:lang w:val="en-US"/>
        </w:rPr>
      </w:pPr>
      <w:r w:rsidRPr="008512F4">
        <w:rPr>
          <w:lang w:val="en-US"/>
        </w:rPr>
        <w:t>The OoB emissions of a station operating in the bands allocated to the b</w:t>
      </w:r>
      <w:r w:rsidRPr="008512F4">
        <w:rPr>
          <w:lang w:val="en-US" w:eastAsia="ja-JP"/>
        </w:rPr>
        <w:t>roadcasting</w:t>
      </w:r>
      <w:r w:rsidRPr="008512F4">
        <w:rPr>
          <w:lang w:val="en-US"/>
        </w:rPr>
        <w:t>-satellite service should be attenuated below the maximum power spectral density, in a reference bandwidth of 4 kHz (for systems operating above 15 GHz a reference bandwidth of 1 MHz may be used in place of 4 kHz), within the necessary bandwidth, by the following:</w:t>
      </w:r>
    </w:p>
    <w:p w:rsidR="00727401" w:rsidRDefault="00727401" w:rsidP="00727401">
      <w:pPr>
        <w:pStyle w:val="Blanc"/>
      </w:pPr>
    </w:p>
    <w:p w:rsidR="0040081F" w:rsidRPr="008512F4" w:rsidRDefault="0040081F" w:rsidP="00766F0A">
      <w:pPr>
        <w:pStyle w:val="Equation"/>
        <w:rPr>
          <w:lang w:val="en-US" w:eastAsia="ja-JP"/>
        </w:rPr>
      </w:pPr>
      <w:r w:rsidRPr="008512F4">
        <w:rPr>
          <w:lang w:val="en-US"/>
        </w:rPr>
        <w:tab/>
      </w:r>
      <w:r w:rsidRPr="008512F4">
        <w:rPr>
          <w:lang w:val="en-US"/>
        </w:rPr>
        <w:tab/>
      </w:r>
      <w:r w:rsidR="00727401" w:rsidRPr="00720A59">
        <w:rPr>
          <w:position w:val="-28"/>
          <w:sz w:val="20"/>
        </w:rPr>
        <w:object w:dxaOrig="1480" w:dyaOrig="680">
          <v:shape id="_x0000_i1068" type="#_x0000_t75" style="width:73.9pt;height:35.05pt" o:ole="" fillcolor="window">
            <v:imagedata r:id="rId117" o:title=""/>
          </v:shape>
          <o:OLEObject Type="Embed" ProgID="Equation.3" ShapeID="_x0000_i1068" DrawAspect="Content" ObjectID="_1392698819" r:id="rId118"/>
        </w:object>
      </w:r>
      <w:r>
        <w:rPr>
          <w:lang w:val="en-US"/>
        </w:rPr>
        <w:t>                </w:t>
      </w:r>
      <w:r w:rsidR="00766F0A">
        <w:rPr>
          <w:lang w:val="en-US"/>
        </w:rPr>
        <w:t>dBsd</w:t>
      </w:r>
    </w:p>
    <w:p w:rsidR="00727401" w:rsidRDefault="00727401" w:rsidP="00727401">
      <w:pPr>
        <w:pStyle w:val="Blanc"/>
      </w:pPr>
    </w:p>
    <w:p w:rsidR="0040081F" w:rsidRPr="008512F4" w:rsidRDefault="0040081F" w:rsidP="00727401">
      <w:pPr>
        <w:rPr>
          <w:lang w:val="en-US"/>
        </w:rPr>
      </w:pPr>
      <w:r w:rsidRPr="008512F4">
        <w:rPr>
          <w:lang w:val="en-US"/>
        </w:rPr>
        <w:t xml:space="preserve">where </w:t>
      </w:r>
      <w:r w:rsidRPr="008512F4">
        <w:rPr>
          <w:i/>
          <w:lang w:val="en-US"/>
        </w:rPr>
        <w:t>F</w:t>
      </w:r>
      <w:r w:rsidRPr="008512F4">
        <w:rPr>
          <w:lang w:val="en-US"/>
        </w:rPr>
        <w:t xml:space="preserve"> is the frequency offset from the edge of the total assigned band, expressed as a percentage of necessary bandwidth. It is noted that the OoB domain starts at the edges of the total assigned band.</w:t>
      </w:r>
    </w:p>
    <w:p w:rsidR="0040081F" w:rsidRDefault="0040081F" w:rsidP="0040081F">
      <w:pPr>
        <w:pStyle w:val="Heading1"/>
        <w:rPr>
          <w:lang w:val="en-US"/>
        </w:rPr>
      </w:pPr>
      <w:r>
        <w:rPr>
          <w:lang w:val="en-US"/>
        </w:rPr>
        <w:t>5</w:t>
      </w:r>
      <w:r>
        <w:rPr>
          <w:lang w:val="en-US"/>
        </w:rPr>
        <w:tab/>
        <w:t>OoB mask for the space research service (SRS), space operations service (SOS), and Earth exploration</w:t>
      </w:r>
      <w:r>
        <w:rPr>
          <w:lang w:val="en-US"/>
        </w:rPr>
        <w:noBreakHyphen/>
        <w:t>satellite service (EESS) telecommunication space-to-Earth links operating in the 1-20 GHz band</w:t>
      </w:r>
    </w:p>
    <w:p w:rsidR="0040081F" w:rsidRDefault="0040081F" w:rsidP="0040081F">
      <w:pPr>
        <w:pStyle w:val="Heading2"/>
        <w:rPr>
          <w:lang w:val="en-US"/>
        </w:rPr>
      </w:pPr>
      <w:r>
        <w:rPr>
          <w:lang w:val="en-US"/>
        </w:rPr>
        <w:t>5.1</w:t>
      </w:r>
      <w:r>
        <w:rPr>
          <w:lang w:val="en-US"/>
        </w:rPr>
        <w:tab/>
        <w:t>Introduction</w:t>
      </w:r>
    </w:p>
    <w:p w:rsidR="0040081F" w:rsidRDefault="0040081F" w:rsidP="0040081F">
      <w:pPr>
        <w:rPr>
          <w:lang w:val="en-US"/>
        </w:rPr>
      </w:pPr>
      <w:r>
        <w:rPr>
          <w:lang w:val="en-US"/>
        </w:rPr>
        <w:t>This Annex provides an OoB mask for the SRS, SOS, and EESS space-ground links operating in the 1</w:t>
      </w:r>
      <w:r>
        <w:rPr>
          <w:lang w:val="en-US"/>
        </w:rPr>
        <w:noBreakHyphen/>
        <w:t>20 GHz bands. The mask is not applicable to deep space stations, active sensors, or space-to</w:t>
      </w:r>
      <w:r>
        <w:rPr>
          <w:lang w:val="en-US"/>
        </w:rPr>
        <w:noBreakHyphen/>
        <w:t>space links.</w:t>
      </w:r>
    </w:p>
    <w:p w:rsidR="0040081F" w:rsidRDefault="0040081F" w:rsidP="0040081F">
      <w:pPr>
        <w:pStyle w:val="Heading2"/>
        <w:rPr>
          <w:lang w:val="en-US"/>
        </w:rPr>
      </w:pPr>
      <w:r>
        <w:rPr>
          <w:lang w:val="en-US"/>
        </w:rPr>
        <w:lastRenderedPageBreak/>
        <w:t>5.2</w:t>
      </w:r>
      <w:r>
        <w:rPr>
          <w:lang w:val="en-US"/>
        </w:rPr>
        <w:tab/>
        <w:t>OoB masks for SRS, SOS and EESS systems operating in the space</w:t>
      </w:r>
      <w:r>
        <w:rPr>
          <w:lang w:val="en-US"/>
        </w:rPr>
        <w:noBreakHyphen/>
        <w:t>to</w:t>
      </w:r>
      <w:r>
        <w:rPr>
          <w:lang w:val="en-US"/>
        </w:rPr>
        <w:noBreakHyphen/>
        <w:t>Earth and Earth-to-space directions</w:t>
      </w:r>
    </w:p>
    <w:p w:rsidR="0040081F" w:rsidRDefault="0040081F" w:rsidP="00766F0A">
      <w:pPr>
        <w:rPr>
          <w:lang w:val="en-US"/>
        </w:rPr>
      </w:pPr>
      <w:r>
        <w:rPr>
          <w:lang w:val="en-US"/>
        </w:rPr>
        <w:t>The mask shown in Fig. 1</w:t>
      </w:r>
      <w:r w:rsidR="00766F0A">
        <w:rPr>
          <w:lang w:val="en-US"/>
        </w:rPr>
        <w:t>6</w:t>
      </w:r>
      <w:r>
        <w:rPr>
          <w:lang w:val="en-US"/>
        </w:rPr>
        <w:t xml:space="preserve"> applies to single carrier emissions from SRS, SOS, and EESS earth stations and space stations operating at centre frequencies between 1 GHz and 20 GHz.</w:t>
      </w:r>
    </w:p>
    <w:p w:rsidR="00766F0A" w:rsidRPr="000D4195" w:rsidRDefault="00766F0A" w:rsidP="0040081F">
      <w:pPr>
        <w:pStyle w:val="FigureNo"/>
        <w:rPr>
          <w:lang w:val="en-US"/>
        </w:rPr>
      </w:pPr>
      <w:r w:rsidRPr="000D4195">
        <w:rPr>
          <w:lang w:val="en-US"/>
        </w:rPr>
        <w:t>FIGURE 16</w:t>
      </w:r>
    </w:p>
    <w:p w:rsidR="00766F0A" w:rsidRPr="000D4195" w:rsidRDefault="00766F0A" w:rsidP="00766F0A">
      <w:pPr>
        <w:pStyle w:val="Figuretitle"/>
        <w:rPr>
          <w:lang w:val="en-US"/>
        </w:rPr>
      </w:pPr>
      <w:r w:rsidRPr="000D4195">
        <w:rPr>
          <w:lang w:val="en-US"/>
        </w:rPr>
        <w:t>Recommended OoB mask for SRS, SOS and EESS single carrier emissions in the</w:t>
      </w:r>
      <w:r w:rsidRPr="000D4195">
        <w:rPr>
          <w:lang w:val="en-US"/>
        </w:rPr>
        <w:br/>
        <w:t>space-to-Earth and Earth-to-space directions in the bands between 1 GHz and 20 GHz</w:t>
      </w:r>
    </w:p>
    <w:p w:rsidR="00766F0A" w:rsidRPr="00766F0A" w:rsidRDefault="00273E2F" w:rsidP="00766F0A">
      <w:pPr>
        <w:pStyle w:val="Figure"/>
      </w:pPr>
      <w:r>
        <w:rPr>
          <w:noProof/>
          <w:lang w:val="en-US" w:eastAsia="zh-CN"/>
        </w:rPr>
        <w:drawing>
          <wp:inline distT="0" distB="0" distL="0" distR="0" wp14:anchorId="67D0EF63" wp14:editId="557C9EE7">
            <wp:extent cx="5302250" cy="27432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302250" cy="2743200"/>
                    </a:xfrm>
                    <a:prstGeom prst="rect">
                      <a:avLst/>
                    </a:prstGeom>
                    <a:noFill/>
                    <a:ln>
                      <a:noFill/>
                    </a:ln>
                  </pic:spPr>
                </pic:pic>
              </a:graphicData>
            </a:graphic>
          </wp:inline>
        </w:drawing>
      </w:r>
    </w:p>
    <w:p w:rsidR="0040081F" w:rsidRDefault="0040081F" w:rsidP="0040081F">
      <w:pPr>
        <w:pStyle w:val="Heading3"/>
        <w:rPr>
          <w:lang w:val="en-US"/>
        </w:rPr>
      </w:pPr>
      <w:r>
        <w:rPr>
          <w:lang w:val="en-US"/>
        </w:rPr>
        <w:t>5.2.1</w:t>
      </w:r>
      <w:r>
        <w:rPr>
          <w:lang w:val="en-US"/>
        </w:rPr>
        <w:tab/>
        <w:t>Emission mask parameters</w:t>
      </w:r>
    </w:p>
    <w:p w:rsidR="0040081F" w:rsidRDefault="0040081F" w:rsidP="0040081F">
      <w:pPr>
        <w:rPr>
          <w:lang w:val="en-US"/>
        </w:rPr>
      </w:pPr>
      <w:r>
        <w:rPr>
          <w:lang w:val="en-US"/>
        </w:rPr>
        <w:t xml:space="preserve">The emission mask is specified in dBsd units measured in a 4 kHz reference bandwidth. </w:t>
      </w:r>
    </w:p>
    <w:p w:rsidR="0040081F" w:rsidRDefault="0040081F" w:rsidP="0040081F">
      <w:pPr>
        <w:rPr>
          <w:lang w:val="en-US"/>
        </w:rPr>
      </w:pPr>
      <w:r>
        <w:rPr>
          <w:lang w:val="en-US"/>
        </w:rPr>
        <w:t>The emission mask is defined to be:</w:t>
      </w:r>
    </w:p>
    <w:p w:rsidR="0040081F" w:rsidRDefault="0040081F" w:rsidP="00E95CDC">
      <w:pPr>
        <w:pStyle w:val="Equation"/>
        <w:rPr>
          <w:lang w:val="en-US"/>
        </w:rPr>
      </w:pPr>
      <w:r>
        <w:rPr>
          <w:lang w:val="en-US"/>
        </w:rPr>
        <w:tab/>
      </w:r>
      <w:r>
        <w:rPr>
          <w:lang w:val="en-US"/>
        </w:rPr>
        <w:tab/>
      </w:r>
      <w:r w:rsidR="00061C87">
        <w:rPr>
          <w:lang w:val="en-US"/>
        </w:rPr>
        <w:t xml:space="preserve">Attenuation </w:t>
      </w:r>
      <w:r w:rsidR="00061C87" w:rsidRPr="00AC23B9">
        <w:rPr>
          <w:position w:val="-10"/>
        </w:rPr>
        <w:object w:dxaOrig="6600" w:dyaOrig="320">
          <v:shape id="_x0000_i1069" type="#_x0000_t75" style="width:329.95pt;height:16.3pt" o:ole="">
            <v:imagedata r:id="rId120" o:title=""/>
          </v:shape>
          <o:OLEObject Type="Embed" ProgID="Equation.3" ShapeID="_x0000_i1069" DrawAspect="Content" ObjectID="_1392698820" r:id="rId121"/>
        </w:object>
      </w:r>
      <w:r>
        <w:rPr>
          <w:lang w:val="en-US"/>
        </w:rPr>
        <w:tab/>
        <w:t>(33)</w:t>
      </w:r>
    </w:p>
    <w:p w:rsidR="0040081F" w:rsidRDefault="0040081F" w:rsidP="00E95CDC">
      <w:pPr>
        <w:pStyle w:val="Equation"/>
        <w:rPr>
          <w:lang w:val="en-US"/>
        </w:rPr>
      </w:pPr>
      <w:r>
        <w:rPr>
          <w:lang w:val="en-US"/>
        </w:rPr>
        <w:tab/>
      </w:r>
      <w:r>
        <w:rPr>
          <w:lang w:val="en-US"/>
        </w:rPr>
        <w:tab/>
      </w:r>
      <w:r w:rsidR="00061C87">
        <w:rPr>
          <w:lang w:val="en-US"/>
        </w:rPr>
        <w:t xml:space="preserve">Attenuation </w:t>
      </w:r>
      <w:r w:rsidR="00061C87" w:rsidRPr="00AC23B9">
        <w:rPr>
          <w:position w:val="-10"/>
        </w:rPr>
        <w:object w:dxaOrig="6560" w:dyaOrig="320">
          <v:shape id="_x0000_i1070" type="#_x0000_t75" style="width:327.45pt;height:16.3pt" o:ole="">
            <v:imagedata r:id="rId122" o:title=""/>
          </v:shape>
          <o:OLEObject Type="Embed" ProgID="Equation.3" ShapeID="_x0000_i1070" DrawAspect="Content" ObjectID="_1392698821" r:id="rId123"/>
        </w:object>
      </w:r>
      <w:r>
        <w:rPr>
          <w:lang w:val="en-US"/>
        </w:rPr>
        <w:tab/>
        <w:t>(34)</w:t>
      </w:r>
    </w:p>
    <w:p w:rsidR="0040081F" w:rsidRDefault="0040081F" w:rsidP="0040081F">
      <w:pPr>
        <w:rPr>
          <w:lang w:val="en-US"/>
        </w:rPr>
      </w:pPr>
      <w:r>
        <w:rPr>
          <w:lang w:val="en-US"/>
        </w:rPr>
        <w:t xml:space="preserve">where </w:t>
      </w:r>
      <w:r>
        <w:rPr>
          <w:i/>
          <w:iCs/>
          <w:lang w:val="en-US"/>
        </w:rPr>
        <w:t>X</w:t>
      </w:r>
      <w:r>
        <w:rPr>
          <w:lang w:val="en-US"/>
        </w:rPr>
        <w:t xml:space="preserve"> is specified as a percentage of the necessary bandwidth.</w:t>
      </w:r>
    </w:p>
    <w:p w:rsidR="0040081F" w:rsidRDefault="0040081F" w:rsidP="0040081F">
      <w:pPr>
        <w:pStyle w:val="Heading3"/>
        <w:rPr>
          <w:lang w:val="en-US"/>
        </w:rPr>
      </w:pPr>
      <w:r>
        <w:rPr>
          <w:lang w:val="en-US"/>
        </w:rPr>
        <w:t>5.2.2</w:t>
      </w:r>
      <w:r>
        <w:rPr>
          <w:lang w:val="en-US"/>
        </w:rPr>
        <w:tab/>
        <w:t>Emission mask applicability</w:t>
      </w:r>
    </w:p>
    <w:p w:rsidR="0040081F" w:rsidRDefault="0040081F" w:rsidP="0040081F">
      <w:pPr>
        <w:rPr>
          <w:lang w:val="en-US"/>
        </w:rPr>
      </w:pPr>
      <w:r>
        <w:rPr>
          <w:lang w:val="en-US"/>
        </w:rPr>
        <w:t>The emission mask herein is only applicable to single-carrier emissions in the space research, space operation and Earth exploration-satellite stations in bands between 1 GHz and 20 GHz. It does not apply to emissions of deep space stations, stations operating space-to-space links (SSLs), or active sensors. Emission masks for SSLs and space-to-ground links below 1 GHz and above 20 GHz require further study.</w:t>
      </w:r>
    </w:p>
    <w:p w:rsidR="0040081F" w:rsidRDefault="0040081F" w:rsidP="0040081F">
      <w:pPr>
        <w:pStyle w:val="Heading3"/>
        <w:rPr>
          <w:lang w:val="en-US"/>
        </w:rPr>
      </w:pPr>
      <w:r>
        <w:rPr>
          <w:lang w:val="en-US"/>
        </w:rPr>
        <w:t>5.2.3</w:t>
      </w:r>
      <w:r>
        <w:rPr>
          <w:lang w:val="en-US"/>
        </w:rPr>
        <w:tab/>
        <w:t>Basis for the emission masks</w:t>
      </w:r>
    </w:p>
    <w:p w:rsidR="0040081F" w:rsidRDefault="0040081F" w:rsidP="0040081F">
      <w:pPr>
        <w:rPr>
          <w:lang w:val="en-US"/>
        </w:rPr>
      </w:pPr>
      <w:r>
        <w:rPr>
          <w:lang w:val="en-US"/>
        </w:rPr>
        <w:t>The emission mask given by equations (33) and (34) was selected because simulations show that the emission mask can be met without unnecessarily constraining SRS, SOS and EESS ground stations and spacecraft. Furthermore, it generally provides sufficient protection against unwanted emissions. Further, the mask is consistent with the safety net concept, i.e. that the general OoB recommended limits will generally be a worst-case envelope based on least restrictive OoB emission limits successfully used as national or regional regulations and they will not include more stringent regional or national limits.</w:t>
      </w:r>
    </w:p>
    <w:p w:rsidR="0040081F" w:rsidRPr="008512F4" w:rsidRDefault="0040081F" w:rsidP="0040081F">
      <w:pPr>
        <w:pStyle w:val="Heading1"/>
        <w:rPr>
          <w:lang w:val="en-US"/>
        </w:rPr>
      </w:pPr>
      <w:r w:rsidRPr="008512F4">
        <w:rPr>
          <w:lang w:val="en-US"/>
        </w:rPr>
        <w:lastRenderedPageBreak/>
        <w:t>6</w:t>
      </w:r>
      <w:r w:rsidRPr="008512F4">
        <w:rPr>
          <w:lang w:val="en-US"/>
        </w:rPr>
        <w:tab/>
        <w:t xml:space="preserve">Standard frequency and time signals </w:t>
      </w:r>
      <w:r>
        <w:rPr>
          <w:lang w:val="en-US"/>
        </w:rPr>
        <w:t>(SFTS)</w:t>
      </w:r>
      <w:r w:rsidR="00601FF0">
        <w:rPr>
          <w:lang w:val="en-US"/>
        </w:rPr>
        <w:t xml:space="preserve"> </w:t>
      </w:r>
      <w:r w:rsidRPr="008512F4">
        <w:rPr>
          <w:lang w:val="en-US"/>
        </w:rPr>
        <w:t>services</w:t>
      </w:r>
    </w:p>
    <w:p w:rsidR="0040081F" w:rsidRPr="008512F4" w:rsidRDefault="0040081F" w:rsidP="0040081F">
      <w:pPr>
        <w:pStyle w:val="Heading2"/>
        <w:rPr>
          <w:lang w:val="en-US"/>
        </w:rPr>
      </w:pPr>
      <w:r w:rsidRPr="008512F4">
        <w:rPr>
          <w:lang w:val="en-US"/>
        </w:rPr>
        <w:t>6.1</w:t>
      </w:r>
      <w:r w:rsidRPr="008512F4">
        <w:rPr>
          <w:lang w:val="en-US"/>
        </w:rPr>
        <w:tab/>
        <w:t>S</w:t>
      </w:r>
      <w:r>
        <w:rPr>
          <w:lang w:val="en-US"/>
        </w:rPr>
        <w:t>FTS</w:t>
      </w:r>
      <w:r w:rsidRPr="008512F4">
        <w:rPr>
          <w:lang w:val="en-US"/>
        </w:rPr>
        <w:t xml:space="preserve"> services operating below 30 MHz</w:t>
      </w:r>
    </w:p>
    <w:p w:rsidR="0040081F" w:rsidRPr="008512F4" w:rsidRDefault="0040081F" w:rsidP="0040081F">
      <w:pPr>
        <w:pStyle w:val="Headingb"/>
        <w:rPr>
          <w:lang w:val="en-US"/>
        </w:rPr>
      </w:pPr>
      <w:r w:rsidRPr="008512F4">
        <w:rPr>
          <w:lang w:val="en-US"/>
        </w:rPr>
        <w:t>Band 7 (2.5 to 25</w:t>
      </w:r>
      <w:r>
        <w:rPr>
          <w:lang w:val="en-US"/>
        </w:rPr>
        <w:t xml:space="preserve"> MHz</w:t>
      </w:r>
      <w:r w:rsidRPr="008512F4">
        <w:rPr>
          <w:lang w:val="en-US"/>
        </w:rPr>
        <w:t>)</w:t>
      </w:r>
    </w:p>
    <w:p w:rsidR="0040081F" w:rsidRPr="008512F4" w:rsidRDefault="0040081F" w:rsidP="0040081F">
      <w:pPr>
        <w:rPr>
          <w:lang w:val="en-US"/>
        </w:rPr>
      </w:pPr>
      <w:r w:rsidRPr="008512F4">
        <w:rPr>
          <w:lang w:val="en-US"/>
        </w:rPr>
        <w:t>Emissions in band 7 from 2.5 to 25 MHz by the SFTS service typically include time-division multiplexing of voice announcements, tone bursts and time codes. Each signal is impressed upon the carrier using double-sideband amplitude modulation.</w:t>
      </w:r>
    </w:p>
    <w:p w:rsidR="0040081F" w:rsidRPr="008512F4" w:rsidRDefault="0040081F" w:rsidP="0040081F">
      <w:pPr>
        <w:rPr>
          <w:lang w:val="en-US"/>
        </w:rPr>
      </w:pPr>
      <w:r w:rsidRPr="008512F4">
        <w:rPr>
          <w:lang w:val="en-US"/>
        </w:rPr>
        <w:t>The SFTS spectrum limit masks are calculated according to Recommendation ITU</w:t>
      </w:r>
      <w:r w:rsidRPr="008512F4">
        <w:rPr>
          <w:lang w:val="en-US"/>
        </w:rPr>
        <w:noBreakHyphen/>
        <w:t>R SM.328, § 6.3.3 of Annex 1, using the channel bandwidths given above, since sound broadcasting is the determining signal for necessary bandwidth.</w:t>
      </w:r>
    </w:p>
    <w:p w:rsidR="0040081F" w:rsidRPr="008512F4" w:rsidRDefault="0040081F" w:rsidP="0040081F">
      <w:pPr>
        <w:rPr>
          <w:lang w:val="en-US"/>
        </w:rPr>
      </w:pPr>
      <w:r w:rsidRPr="008512F4">
        <w:rPr>
          <w:lang w:val="en-US"/>
        </w:rPr>
        <w:t xml:space="preserve">If the frequency is plotted as the abscissa in logarithmic units and if the power densities are plotted as ordinates (dB) the curve representing the </w:t>
      </w:r>
      <w:r>
        <w:rPr>
          <w:lang w:val="en-US"/>
        </w:rPr>
        <w:t>OoB</w:t>
      </w:r>
      <w:r w:rsidRPr="008512F4">
        <w:rPr>
          <w:lang w:val="en-US"/>
        </w:rPr>
        <w:t xml:space="preserve"> spectrum should lie below two straight lines starting at point (+0.5 </w:t>
      </w:r>
      <w:r>
        <w:rPr>
          <w:lang w:val="en-US"/>
        </w:rPr>
        <w:sym w:font="Symbol" w:char="F0B4"/>
      </w:r>
      <w:r w:rsidRPr="008512F4">
        <w:rPr>
          <w:lang w:val="en-US"/>
        </w:rPr>
        <w:t> channel bandwidth, 0 dB) or at point (−0.5 </w:t>
      </w:r>
      <w:r>
        <w:rPr>
          <w:lang w:val="en-US"/>
        </w:rPr>
        <w:sym w:font="Symbol" w:char="F0B4"/>
      </w:r>
      <w:r w:rsidRPr="008512F4">
        <w:rPr>
          <w:lang w:val="en-US"/>
        </w:rPr>
        <w:t> channel bandwidth, 0 dB) and finishing at point (</w:t>
      </w:r>
      <w:r w:rsidRPr="00720A59">
        <w:rPr>
          <w:rFonts w:ascii="Symbol" w:hAnsi="Symbol"/>
        </w:rPr>
        <w:t></w:t>
      </w:r>
      <w:r w:rsidRPr="008512F4">
        <w:rPr>
          <w:lang w:val="en-US"/>
        </w:rPr>
        <w:t>0.7 </w:t>
      </w:r>
      <w:r>
        <w:rPr>
          <w:lang w:val="en-US"/>
        </w:rPr>
        <w:sym w:font="Symbol" w:char="F0B4"/>
      </w:r>
      <w:r w:rsidRPr="008512F4">
        <w:rPr>
          <w:lang w:val="en-US"/>
        </w:rPr>
        <w:t> channel bandwidth, −35 dB) or (−0.5 </w:t>
      </w:r>
      <w:r>
        <w:rPr>
          <w:lang w:val="en-US"/>
        </w:rPr>
        <w:sym w:font="Symbol" w:char="F0B4"/>
      </w:r>
      <w:r w:rsidRPr="008512F4">
        <w:rPr>
          <w:lang w:val="en-US"/>
        </w:rPr>
        <w:t> channel bandwidth, −35 dB) respectively. Beyond these points and down to the level of −60 dB, this curve should lie below two straight lines starting from the latter points and having a slope of 12 dB/octave. Thereafter, the same curve should lie below the level −60 dB.</w:t>
      </w:r>
    </w:p>
    <w:p w:rsidR="0040081F" w:rsidRPr="008512F4" w:rsidRDefault="0040081F" w:rsidP="0040081F">
      <w:pPr>
        <w:rPr>
          <w:lang w:val="en-US"/>
        </w:rPr>
      </w:pPr>
      <w:r w:rsidRPr="008512F4">
        <w:rPr>
          <w:lang w:val="en-US"/>
        </w:rPr>
        <w:t>The reference level, 0 dB, corresponds to the power density that would exist if the total power, excluding the power of the carrier, were distributed uniformly over the necessary bandwidth.</w:t>
      </w:r>
    </w:p>
    <w:p w:rsidR="0040081F" w:rsidRDefault="0040081F" w:rsidP="0040081F">
      <w:pPr>
        <w:rPr>
          <w:lang w:val="en-US"/>
        </w:rPr>
      </w:pPr>
      <w:r w:rsidRPr="008512F4">
        <w:rPr>
          <w:lang w:val="en-US"/>
        </w:rPr>
        <w:t>The ordinate of the curve so defined represents the average power intercepted by an analyser with an r.m.s. noise bandwidth of 100 Hz, the frequency of which is tuned to the frequency plotted on the abscissa.</w:t>
      </w:r>
    </w:p>
    <w:p w:rsidR="0040081F" w:rsidRDefault="0040081F" w:rsidP="0040081F">
      <w:pPr>
        <w:rPr>
          <w:lang w:val="en-US"/>
        </w:rPr>
      </w:pPr>
    </w:p>
    <w:p w:rsidR="00807481" w:rsidRDefault="00807481" w:rsidP="0040081F">
      <w:pPr>
        <w:rPr>
          <w:lang w:val="en-US"/>
        </w:rPr>
      </w:pPr>
    </w:p>
    <w:p w:rsidR="0040081F" w:rsidRDefault="0040081F" w:rsidP="0040081F">
      <w:pPr>
        <w:pStyle w:val="AnnexNoTitle"/>
        <w:rPr>
          <w:lang w:val="en-US"/>
        </w:rPr>
      </w:pPr>
      <w:r>
        <w:rPr>
          <w:lang w:val="en-US"/>
        </w:rPr>
        <w:t>Annex  6</w:t>
      </w:r>
      <w:r>
        <w:rPr>
          <w:lang w:val="en-US"/>
        </w:rPr>
        <w:br/>
      </w:r>
      <w:r>
        <w:rPr>
          <w:lang w:val="en-US"/>
        </w:rPr>
        <w:br/>
        <w:t>OoB domain emission limits for television broadcasting</w:t>
      </w:r>
      <w:bookmarkStart w:id="10" w:name="asunto"/>
      <w:bookmarkEnd w:id="10"/>
      <w:r>
        <w:rPr>
          <w:lang w:val="en-US"/>
        </w:rPr>
        <w:t xml:space="preserve"> systems</w:t>
      </w:r>
    </w:p>
    <w:p w:rsidR="0040081F" w:rsidRDefault="0040081F" w:rsidP="0040081F">
      <w:pPr>
        <w:pStyle w:val="Normalaftertitle"/>
        <w:rPr>
          <w:lang w:val="en-US"/>
        </w:rPr>
      </w:pPr>
      <w:r>
        <w:rPr>
          <w:lang w:val="en-US"/>
        </w:rPr>
        <w:t xml:space="preserve">This Annex provides the OoB domain emission limits to be applied to broadcast television systems. According to the safety net principle (see </w:t>
      </w:r>
      <w:r>
        <w:rPr>
          <w:i/>
          <w:iCs/>
          <w:lang w:val="en-US"/>
        </w:rPr>
        <w:t>recommends </w:t>
      </w:r>
      <w:r>
        <w:rPr>
          <w:lang w:val="en-US"/>
        </w:rPr>
        <w:t>4), it should be noted that more stringent limits are not affected in cases where special agreements for the broadcasting services for coordination and compatibility reasons exist. The more stringent limits specified in the relevant agreements and standards shall be used in all cases where a special need can be indicated and the scope of an agreement would be affected.</w:t>
      </w:r>
    </w:p>
    <w:p w:rsidR="0040081F" w:rsidRDefault="0040081F" w:rsidP="0040081F">
      <w:pPr>
        <w:pStyle w:val="Note"/>
        <w:rPr>
          <w:lang w:val="en-US"/>
        </w:rPr>
      </w:pPr>
      <w:r>
        <w:rPr>
          <w:lang w:val="en-US"/>
        </w:rPr>
        <w:t>NOTE 1 – All the masks presented are overall emission masks inclusive of OoB domain emission limits.</w:t>
      </w:r>
    </w:p>
    <w:p w:rsidR="0040081F" w:rsidRDefault="0040081F" w:rsidP="0040081F">
      <w:pPr>
        <w:pStyle w:val="Heading1"/>
        <w:rPr>
          <w:lang w:val="en-US"/>
        </w:rPr>
      </w:pPr>
      <w:r>
        <w:rPr>
          <w:lang w:val="en-US"/>
        </w:rPr>
        <w:t>1</w:t>
      </w:r>
      <w:r>
        <w:rPr>
          <w:lang w:val="en-US"/>
        </w:rPr>
        <w:tab/>
        <w:t>Digital TV – 6 MHz channelling to Recommendation ITU-R BT.1306</w:t>
      </w:r>
    </w:p>
    <w:p w:rsidR="0040081F" w:rsidRDefault="0040081F" w:rsidP="0040081F">
      <w:pPr>
        <w:pStyle w:val="Heading2"/>
        <w:rPr>
          <w:lang w:val="en-US"/>
        </w:rPr>
      </w:pPr>
      <w:r>
        <w:rPr>
          <w:lang w:val="en-US"/>
        </w:rPr>
        <w:t>1.1</w:t>
      </w:r>
      <w:r>
        <w:rPr>
          <w:lang w:val="en-US"/>
        </w:rPr>
        <w:tab/>
        <w:t>6 MHz DVB-T systems</w:t>
      </w:r>
    </w:p>
    <w:p w:rsidR="0040081F" w:rsidRPr="00D715BA" w:rsidRDefault="0040081F" w:rsidP="001F35FF">
      <w:pPr>
        <w:rPr>
          <w:rFonts w:asciiTheme="majorBidi" w:hAnsiTheme="majorBidi" w:cstheme="majorBidi"/>
          <w:lang w:val="en-US"/>
        </w:rPr>
      </w:pPr>
      <w:r>
        <w:rPr>
          <w:lang w:val="en-US"/>
        </w:rPr>
        <w:t xml:space="preserve">For 6 MHz digital television, the OoB domain extends from </w:t>
      </w:r>
      <w:r w:rsidR="001F35FF" w:rsidRPr="00D715BA">
        <w:rPr>
          <w:rFonts w:asciiTheme="majorBidi" w:hAnsiTheme="majorBidi" w:cstheme="majorBidi"/>
          <w:lang w:val="en-US"/>
        </w:rPr>
        <w:sym w:font="Symbol" w:char="F0B1"/>
      </w:r>
      <w:r w:rsidRPr="00D715BA">
        <w:rPr>
          <w:rFonts w:asciiTheme="majorBidi" w:hAnsiTheme="majorBidi" w:cstheme="majorBidi"/>
          <w:lang w:val="en-US"/>
        </w:rPr>
        <w:t xml:space="preserve">3 MHz (i.e. </w:t>
      </w:r>
      <w:r w:rsidR="001F35FF" w:rsidRPr="00D715BA">
        <w:rPr>
          <w:rFonts w:asciiTheme="majorBidi" w:hAnsiTheme="majorBidi" w:cstheme="majorBidi"/>
          <w:lang w:val="en-US"/>
        </w:rPr>
        <w:sym w:font="Symbol" w:char="F0B1"/>
      </w:r>
      <w:r w:rsidRPr="00D715BA">
        <w:rPr>
          <w:rFonts w:asciiTheme="majorBidi" w:hAnsiTheme="majorBidi" w:cstheme="majorBidi"/>
          <w:lang w:val="en-US"/>
        </w:rPr>
        <w:t xml:space="preserve">0.5 </w:t>
      </w:r>
      <w:r w:rsidR="001F35FF" w:rsidRPr="00D715BA">
        <w:rPr>
          <w:rFonts w:asciiTheme="majorBidi" w:hAnsiTheme="majorBidi" w:cstheme="majorBidi"/>
          <w:lang w:val="en-US"/>
        </w:rPr>
        <w:sym w:font="Symbol" w:char="F0B4"/>
      </w:r>
      <w:r w:rsidRPr="00D715BA">
        <w:rPr>
          <w:rFonts w:asciiTheme="majorBidi" w:hAnsiTheme="majorBidi" w:cstheme="majorBidi"/>
          <w:lang w:val="en-US"/>
        </w:rPr>
        <w:t xml:space="preserve"> 6 MHz) to </w:t>
      </w:r>
      <w:r w:rsidR="001F35FF" w:rsidRPr="00D715BA">
        <w:rPr>
          <w:rFonts w:asciiTheme="majorBidi" w:hAnsiTheme="majorBidi" w:cstheme="majorBidi"/>
          <w:lang w:val="en-US"/>
        </w:rPr>
        <w:sym w:font="Symbol" w:char="F0B1"/>
      </w:r>
      <w:r w:rsidRPr="00D715BA">
        <w:rPr>
          <w:rFonts w:asciiTheme="majorBidi" w:hAnsiTheme="majorBidi" w:cstheme="majorBidi"/>
          <w:lang w:val="en-US"/>
        </w:rPr>
        <w:t xml:space="preserve">15 MHz (i.e. </w:t>
      </w:r>
      <w:r w:rsidR="001F35FF" w:rsidRPr="00D715BA">
        <w:rPr>
          <w:rFonts w:asciiTheme="majorBidi" w:hAnsiTheme="majorBidi" w:cstheme="majorBidi"/>
          <w:lang w:val="en-US"/>
        </w:rPr>
        <w:sym w:font="Symbol" w:char="F0B1"/>
      </w:r>
      <w:r w:rsidRPr="00D715BA">
        <w:rPr>
          <w:rFonts w:asciiTheme="majorBidi" w:hAnsiTheme="majorBidi" w:cstheme="majorBidi"/>
          <w:lang w:val="en-US"/>
        </w:rPr>
        <w:t xml:space="preserve">2.5 </w:t>
      </w:r>
      <w:r w:rsidR="001F35FF" w:rsidRPr="00D715BA">
        <w:rPr>
          <w:rFonts w:asciiTheme="majorBidi" w:hAnsiTheme="majorBidi" w:cstheme="majorBidi"/>
          <w:lang w:val="en-US"/>
        </w:rPr>
        <w:sym w:font="Symbol" w:char="F0B4"/>
      </w:r>
      <w:r w:rsidRPr="00D715BA">
        <w:rPr>
          <w:rFonts w:asciiTheme="majorBidi" w:hAnsiTheme="majorBidi" w:cstheme="majorBidi"/>
          <w:lang w:val="en-US"/>
        </w:rPr>
        <w:t xml:space="preserve"> 6 MHz).</w:t>
      </w:r>
    </w:p>
    <w:p w:rsidR="0040081F" w:rsidRDefault="0040081F" w:rsidP="0040081F">
      <w:pPr>
        <w:rPr>
          <w:lang w:val="en-US"/>
        </w:rPr>
      </w:pPr>
      <w:r>
        <w:rPr>
          <w:lang w:val="en-US"/>
        </w:rPr>
        <w:t>For 6 MHz DVB-T, a 4 kHz measurement bandwidth is used to measure spectrum limits. The 0 dB reference level corresponds to the mean output power measured in the channel bandwidth.</w:t>
      </w:r>
    </w:p>
    <w:p w:rsidR="0040081F" w:rsidRDefault="0040081F" w:rsidP="00D20A96">
      <w:pPr>
        <w:rPr>
          <w:lang w:val="en-US"/>
        </w:rPr>
      </w:pPr>
      <w:r>
        <w:rPr>
          <w:lang w:val="en-US"/>
        </w:rPr>
        <w:lastRenderedPageBreak/>
        <w:t>Spectrum limit mask for 6 MHz DVB-T systems is shown in Fig. 1</w:t>
      </w:r>
      <w:r w:rsidR="00D20A96">
        <w:rPr>
          <w:lang w:val="en-US"/>
        </w:rPr>
        <w:t>7</w:t>
      </w:r>
      <w:r>
        <w:rPr>
          <w:lang w:val="en-US"/>
        </w:rPr>
        <w:t>. The graph is drawn to represent the spectrum limits for transmitters in the output power range 39 dBW to 50 dBW. Associated with each graph is a table of break points and a table of end point and next-to-end point values, together with the corresponding spurious levels, for a range of transmitter output powers.</w:t>
      </w:r>
    </w:p>
    <w:p w:rsidR="00807481" w:rsidRDefault="00807481" w:rsidP="00D20A96">
      <w:pPr>
        <w:rPr>
          <w:lang w:val="en-US"/>
        </w:rPr>
      </w:pPr>
    </w:p>
    <w:p w:rsidR="00D20A96" w:rsidRPr="000D4195" w:rsidRDefault="00D20A96" w:rsidP="0040081F">
      <w:pPr>
        <w:pStyle w:val="FigureNo"/>
        <w:rPr>
          <w:lang w:val="en-US"/>
        </w:rPr>
      </w:pPr>
      <w:r w:rsidRPr="000D4195">
        <w:rPr>
          <w:lang w:val="en-US"/>
        </w:rPr>
        <w:t>FIGURE 17</w:t>
      </w:r>
    </w:p>
    <w:p w:rsidR="00D20A96" w:rsidRPr="000D4195" w:rsidRDefault="00D20A96" w:rsidP="00D20A96">
      <w:pPr>
        <w:pStyle w:val="Figuretitle"/>
        <w:rPr>
          <w:lang w:val="en-US"/>
        </w:rPr>
      </w:pPr>
      <w:r w:rsidRPr="000D4195">
        <w:rPr>
          <w:lang w:val="en-US"/>
        </w:rPr>
        <w:t xml:space="preserve">Spectrum limit mask for 6 MHz DVB-T (for </w:t>
      </w:r>
      <w:r w:rsidRPr="000D4195">
        <w:rPr>
          <w:i/>
          <w:iCs/>
          <w:lang w:val="en-US"/>
        </w:rPr>
        <w:t>P</w:t>
      </w:r>
      <w:r w:rsidRPr="000D4195">
        <w:rPr>
          <w:lang w:val="en-US"/>
        </w:rPr>
        <w:t xml:space="preserve"> = 39 to 50 dBW)</w:t>
      </w:r>
    </w:p>
    <w:p w:rsidR="00D20A96" w:rsidRPr="00D20A96" w:rsidRDefault="00273E2F" w:rsidP="00D20A96">
      <w:pPr>
        <w:pStyle w:val="Figure"/>
      </w:pPr>
      <w:r>
        <w:rPr>
          <w:noProof/>
          <w:lang w:val="en-US" w:eastAsia="zh-CN"/>
        </w:rPr>
        <w:drawing>
          <wp:inline distT="0" distB="0" distL="0" distR="0" wp14:anchorId="28E8DA03" wp14:editId="0800739E">
            <wp:extent cx="6102350" cy="32829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02350" cy="3282950"/>
                    </a:xfrm>
                    <a:prstGeom prst="rect">
                      <a:avLst/>
                    </a:prstGeom>
                    <a:noFill/>
                    <a:ln>
                      <a:noFill/>
                    </a:ln>
                  </pic:spPr>
                </pic:pic>
              </a:graphicData>
            </a:graphic>
          </wp:inline>
        </w:drawing>
      </w:r>
    </w:p>
    <w:p w:rsidR="00807481" w:rsidRDefault="00807481" w:rsidP="00807481">
      <w:pPr>
        <w:rPr>
          <w:lang w:val="en-US"/>
        </w:rPr>
      </w:pPr>
    </w:p>
    <w:p w:rsidR="00807481" w:rsidRDefault="00807481" w:rsidP="00807481">
      <w:pPr>
        <w:rPr>
          <w:lang w:val="en-US"/>
        </w:rPr>
      </w:pPr>
    </w:p>
    <w:p w:rsidR="0040081F" w:rsidRDefault="0040081F" w:rsidP="0040081F">
      <w:pPr>
        <w:pStyle w:val="TableNo"/>
        <w:rPr>
          <w:lang w:val="en-US"/>
        </w:rPr>
      </w:pPr>
      <w:r>
        <w:rPr>
          <w:lang w:val="en-US"/>
        </w:rPr>
        <w:t>TABLE  5</w:t>
      </w:r>
    </w:p>
    <w:p w:rsidR="0040081F" w:rsidRDefault="0040081F" w:rsidP="00D20A96">
      <w:pPr>
        <w:pStyle w:val="Tabletitle"/>
        <w:rPr>
          <w:lang w:val="en-US"/>
        </w:rPr>
      </w:pPr>
      <w:r>
        <w:rPr>
          <w:lang w:val="en-US"/>
        </w:rPr>
        <w:t>Table of break points corresponding to Fig. 1</w:t>
      </w:r>
      <w:r w:rsidR="00D20A96">
        <w:rPr>
          <w:lang w:val="en-US"/>
        </w:rPr>
        <w:t>7</w:t>
      </w:r>
      <w:r>
        <w:rPr>
          <w:lang w:val="en-US"/>
        </w:rPr>
        <w:t xml:space="preserve"> for 6 MHz DVB-T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40081F" w:rsidRPr="00620821" w:rsidTr="00DC4EB6">
        <w:trPr>
          <w:jc w:val="center"/>
        </w:trPr>
        <w:tc>
          <w:tcPr>
            <w:tcW w:w="4261" w:type="dxa"/>
          </w:tcPr>
          <w:p w:rsidR="0040081F" w:rsidRDefault="0040081F" w:rsidP="00D20A96">
            <w:pPr>
              <w:pStyle w:val="Tablehead"/>
              <w:rPr>
                <w:lang w:val="en-US"/>
              </w:rPr>
            </w:pPr>
            <w:r>
              <w:rPr>
                <w:lang w:val="en-US"/>
              </w:rPr>
              <w:t>Frequency relative to the centre</w:t>
            </w:r>
            <w:r>
              <w:rPr>
                <w:lang w:val="en-US"/>
              </w:rPr>
              <w:br/>
              <w:t>of the 6 MHz channel</w:t>
            </w:r>
            <w:r>
              <w:rPr>
                <w:lang w:val="en-US"/>
              </w:rPr>
              <w:br/>
              <w:t>(MHz)</w:t>
            </w:r>
          </w:p>
        </w:tc>
        <w:tc>
          <w:tcPr>
            <w:tcW w:w="4261" w:type="dxa"/>
          </w:tcPr>
          <w:p w:rsidR="0040081F" w:rsidRDefault="0040081F" w:rsidP="00D20A96">
            <w:pPr>
              <w:pStyle w:val="Tablehead"/>
              <w:rPr>
                <w:lang w:val="en-US"/>
              </w:rPr>
            </w:pPr>
            <w:r>
              <w:rPr>
                <w:lang w:val="en-US"/>
              </w:rPr>
              <w:t>Relative level in a 4 kHz</w:t>
            </w:r>
            <w:r>
              <w:rPr>
                <w:lang w:val="en-US"/>
              </w:rPr>
              <w:br/>
              <w:t>measurement bandwidth</w:t>
            </w:r>
            <w:r>
              <w:rPr>
                <w:lang w:val="en-US"/>
              </w:rPr>
              <w:br/>
              <w:t>(dB)</w:t>
            </w:r>
          </w:p>
        </w:tc>
      </w:tr>
      <w:tr w:rsidR="0040081F" w:rsidTr="00DC4EB6">
        <w:trPr>
          <w:jc w:val="center"/>
        </w:trPr>
        <w:tc>
          <w:tcPr>
            <w:tcW w:w="4261" w:type="dxa"/>
          </w:tcPr>
          <w:p w:rsidR="0040081F" w:rsidRDefault="0040081F" w:rsidP="001F35FF">
            <w:pPr>
              <w:pStyle w:val="Tabletext"/>
              <w:jc w:val="center"/>
              <w:rPr>
                <w:lang w:val="en-US"/>
              </w:rPr>
            </w:pPr>
            <w:r>
              <w:sym w:font="Symbol" w:char="F02D"/>
            </w:r>
            <w:r>
              <w:rPr>
                <w:lang w:val="en-US"/>
              </w:rPr>
              <w:t>15</w:t>
            </w:r>
          </w:p>
        </w:tc>
        <w:tc>
          <w:tcPr>
            <w:tcW w:w="4261" w:type="dxa"/>
          </w:tcPr>
          <w:p w:rsidR="0040081F" w:rsidRDefault="0040081F" w:rsidP="001F35FF">
            <w:pPr>
              <w:pStyle w:val="Tabletext"/>
              <w:jc w:val="center"/>
              <w:rPr>
                <w:lang w:val="en-US"/>
              </w:rPr>
            </w:pPr>
            <w:r>
              <w:sym w:font="Symbol" w:char="F02D"/>
            </w:r>
            <w:r>
              <w:rPr>
                <w:lang w:val="en-US"/>
              </w:rPr>
              <w:t>99</w:t>
            </w:r>
          </w:p>
        </w:tc>
      </w:tr>
      <w:tr w:rsidR="0040081F" w:rsidTr="00DC4EB6">
        <w:trPr>
          <w:jc w:val="center"/>
        </w:trPr>
        <w:tc>
          <w:tcPr>
            <w:tcW w:w="4261" w:type="dxa"/>
          </w:tcPr>
          <w:p w:rsidR="0040081F" w:rsidRDefault="0040081F" w:rsidP="001F35FF">
            <w:pPr>
              <w:pStyle w:val="Tabletext"/>
              <w:jc w:val="center"/>
              <w:rPr>
                <w:lang w:val="en-US"/>
              </w:rPr>
            </w:pPr>
            <w:r>
              <w:sym w:font="Symbol" w:char="F02D"/>
            </w:r>
            <w:r>
              <w:rPr>
                <w:lang w:val="en-US"/>
              </w:rPr>
              <w:t>9</w:t>
            </w:r>
          </w:p>
        </w:tc>
        <w:tc>
          <w:tcPr>
            <w:tcW w:w="4261" w:type="dxa"/>
          </w:tcPr>
          <w:p w:rsidR="0040081F" w:rsidRDefault="0040081F" w:rsidP="001F35FF">
            <w:pPr>
              <w:pStyle w:val="Tabletext"/>
              <w:jc w:val="center"/>
              <w:rPr>
                <w:lang w:val="en-US"/>
              </w:rPr>
            </w:pPr>
            <w:r>
              <w:sym w:font="Symbol" w:char="F02D"/>
            </w:r>
            <w:r>
              <w:rPr>
                <w:lang w:val="en-US"/>
              </w:rPr>
              <w:t>91</w:t>
            </w:r>
          </w:p>
        </w:tc>
      </w:tr>
      <w:tr w:rsidR="0040081F" w:rsidTr="00DC4EB6">
        <w:trPr>
          <w:jc w:val="center"/>
        </w:trPr>
        <w:tc>
          <w:tcPr>
            <w:tcW w:w="4261" w:type="dxa"/>
          </w:tcPr>
          <w:p w:rsidR="0040081F" w:rsidRDefault="0040081F" w:rsidP="001F35FF">
            <w:pPr>
              <w:pStyle w:val="Tabletext"/>
              <w:jc w:val="center"/>
              <w:rPr>
                <w:lang w:val="en-US"/>
              </w:rPr>
            </w:pPr>
            <w:r>
              <w:sym w:font="Symbol" w:char="F02D"/>
            </w:r>
            <w:r>
              <w:rPr>
                <w:lang w:val="en-US"/>
              </w:rPr>
              <w:t>3.2</w:t>
            </w:r>
          </w:p>
        </w:tc>
        <w:tc>
          <w:tcPr>
            <w:tcW w:w="4261" w:type="dxa"/>
          </w:tcPr>
          <w:p w:rsidR="0040081F" w:rsidRDefault="0040081F" w:rsidP="001F35FF">
            <w:pPr>
              <w:pStyle w:val="Tabletext"/>
              <w:jc w:val="center"/>
              <w:rPr>
                <w:lang w:val="en-US"/>
              </w:rPr>
            </w:pPr>
            <w:r>
              <w:sym w:font="Symbol" w:char="F02D"/>
            </w:r>
            <w:r>
              <w:rPr>
                <w:lang w:val="en-US"/>
              </w:rPr>
              <w:t>66.5</w:t>
            </w:r>
          </w:p>
        </w:tc>
      </w:tr>
      <w:tr w:rsidR="0040081F" w:rsidTr="00DC4EB6">
        <w:trPr>
          <w:jc w:val="center"/>
        </w:trPr>
        <w:tc>
          <w:tcPr>
            <w:tcW w:w="4261" w:type="dxa"/>
          </w:tcPr>
          <w:p w:rsidR="0040081F" w:rsidRDefault="0040081F" w:rsidP="001F35FF">
            <w:pPr>
              <w:pStyle w:val="Tabletext"/>
              <w:jc w:val="center"/>
              <w:rPr>
                <w:lang w:val="en-US"/>
              </w:rPr>
            </w:pPr>
            <w:r>
              <w:sym w:font="Symbol" w:char="F02D"/>
            </w:r>
            <w:r>
              <w:rPr>
                <w:lang w:val="en-US"/>
              </w:rPr>
              <w:t>2.86</w:t>
            </w:r>
          </w:p>
        </w:tc>
        <w:tc>
          <w:tcPr>
            <w:tcW w:w="4261" w:type="dxa"/>
          </w:tcPr>
          <w:p w:rsidR="0040081F" w:rsidRDefault="0040081F" w:rsidP="001F35FF">
            <w:pPr>
              <w:pStyle w:val="Tabletext"/>
              <w:jc w:val="center"/>
              <w:rPr>
                <w:lang w:val="en-US"/>
              </w:rPr>
            </w:pPr>
            <w:r>
              <w:sym w:font="Symbol" w:char="F02D"/>
            </w:r>
            <w:r>
              <w:rPr>
                <w:lang w:val="en-US"/>
              </w:rPr>
              <w:t>31.5</w:t>
            </w:r>
          </w:p>
        </w:tc>
      </w:tr>
      <w:tr w:rsidR="0040081F" w:rsidTr="00DC4EB6">
        <w:trPr>
          <w:jc w:val="center"/>
        </w:trPr>
        <w:tc>
          <w:tcPr>
            <w:tcW w:w="4261" w:type="dxa"/>
          </w:tcPr>
          <w:p w:rsidR="0040081F" w:rsidRDefault="0040081F" w:rsidP="001F35FF">
            <w:pPr>
              <w:pStyle w:val="Tabletext"/>
              <w:jc w:val="center"/>
              <w:rPr>
                <w:lang w:val="en-US"/>
              </w:rPr>
            </w:pPr>
            <w:r>
              <w:rPr>
                <w:lang w:val="en-US"/>
              </w:rPr>
              <w:t>2.86</w:t>
            </w:r>
          </w:p>
        </w:tc>
        <w:tc>
          <w:tcPr>
            <w:tcW w:w="4261" w:type="dxa"/>
          </w:tcPr>
          <w:p w:rsidR="0040081F" w:rsidRDefault="0040081F" w:rsidP="001F35FF">
            <w:pPr>
              <w:pStyle w:val="Tabletext"/>
              <w:jc w:val="center"/>
              <w:rPr>
                <w:lang w:val="en-US"/>
              </w:rPr>
            </w:pPr>
            <w:r>
              <w:sym w:font="Symbol" w:char="F02D"/>
            </w:r>
            <w:r>
              <w:rPr>
                <w:lang w:val="en-US"/>
              </w:rPr>
              <w:t>31.5</w:t>
            </w:r>
          </w:p>
        </w:tc>
      </w:tr>
      <w:tr w:rsidR="0040081F" w:rsidTr="00DC4EB6">
        <w:trPr>
          <w:jc w:val="center"/>
        </w:trPr>
        <w:tc>
          <w:tcPr>
            <w:tcW w:w="4261" w:type="dxa"/>
          </w:tcPr>
          <w:p w:rsidR="0040081F" w:rsidRDefault="0040081F" w:rsidP="001F35FF">
            <w:pPr>
              <w:pStyle w:val="Tabletext"/>
              <w:jc w:val="center"/>
              <w:rPr>
                <w:lang w:val="en-US"/>
              </w:rPr>
            </w:pPr>
            <w:r>
              <w:rPr>
                <w:lang w:val="en-US"/>
              </w:rPr>
              <w:t>3.2</w:t>
            </w:r>
          </w:p>
        </w:tc>
        <w:tc>
          <w:tcPr>
            <w:tcW w:w="4261" w:type="dxa"/>
          </w:tcPr>
          <w:p w:rsidR="0040081F" w:rsidRDefault="0040081F" w:rsidP="001F35FF">
            <w:pPr>
              <w:pStyle w:val="Tabletext"/>
              <w:jc w:val="center"/>
              <w:rPr>
                <w:lang w:val="en-US"/>
              </w:rPr>
            </w:pPr>
            <w:r>
              <w:sym w:font="Symbol" w:char="F02D"/>
            </w:r>
            <w:r>
              <w:rPr>
                <w:lang w:val="en-US"/>
              </w:rPr>
              <w:t>66.5</w:t>
            </w:r>
          </w:p>
        </w:tc>
      </w:tr>
      <w:tr w:rsidR="0040081F" w:rsidTr="00DC4EB6">
        <w:trPr>
          <w:jc w:val="center"/>
        </w:trPr>
        <w:tc>
          <w:tcPr>
            <w:tcW w:w="4261" w:type="dxa"/>
          </w:tcPr>
          <w:p w:rsidR="0040081F" w:rsidRDefault="0040081F" w:rsidP="001F35FF">
            <w:pPr>
              <w:pStyle w:val="Tabletext"/>
              <w:jc w:val="center"/>
              <w:rPr>
                <w:lang w:val="en-US"/>
              </w:rPr>
            </w:pPr>
            <w:r>
              <w:rPr>
                <w:lang w:val="en-US"/>
              </w:rPr>
              <w:t>9</w:t>
            </w:r>
          </w:p>
        </w:tc>
        <w:tc>
          <w:tcPr>
            <w:tcW w:w="4261" w:type="dxa"/>
          </w:tcPr>
          <w:p w:rsidR="0040081F" w:rsidRDefault="0040081F" w:rsidP="001F35FF">
            <w:pPr>
              <w:pStyle w:val="Tabletext"/>
              <w:jc w:val="center"/>
              <w:rPr>
                <w:lang w:val="en-US"/>
              </w:rPr>
            </w:pPr>
            <w:r>
              <w:sym w:font="Symbol" w:char="F02D"/>
            </w:r>
            <w:r>
              <w:rPr>
                <w:lang w:val="en-US"/>
              </w:rPr>
              <w:t>91</w:t>
            </w:r>
          </w:p>
        </w:tc>
      </w:tr>
      <w:tr w:rsidR="0040081F" w:rsidTr="00DC4EB6">
        <w:trPr>
          <w:jc w:val="center"/>
        </w:trPr>
        <w:tc>
          <w:tcPr>
            <w:tcW w:w="4261" w:type="dxa"/>
          </w:tcPr>
          <w:p w:rsidR="0040081F" w:rsidRDefault="0040081F" w:rsidP="001F35FF">
            <w:pPr>
              <w:pStyle w:val="Tabletext"/>
              <w:jc w:val="center"/>
              <w:rPr>
                <w:lang w:val="en-US"/>
              </w:rPr>
            </w:pPr>
            <w:r>
              <w:rPr>
                <w:lang w:val="en-US"/>
              </w:rPr>
              <w:t>15</w:t>
            </w:r>
          </w:p>
        </w:tc>
        <w:tc>
          <w:tcPr>
            <w:tcW w:w="4261" w:type="dxa"/>
          </w:tcPr>
          <w:p w:rsidR="0040081F" w:rsidRDefault="0040081F" w:rsidP="001F35FF">
            <w:pPr>
              <w:pStyle w:val="Tabletext"/>
              <w:jc w:val="center"/>
              <w:rPr>
                <w:lang w:val="en-US"/>
              </w:rPr>
            </w:pPr>
            <w:r>
              <w:sym w:font="Symbol" w:char="F02D"/>
            </w:r>
            <w:r>
              <w:rPr>
                <w:lang w:val="en-US"/>
              </w:rPr>
              <w:t>99</w:t>
            </w:r>
          </w:p>
        </w:tc>
      </w:tr>
    </w:tbl>
    <w:p w:rsidR="0040081F" w:rsidRPr="00D20A96" w:rsidRDefault="0040081F" w:rsidP="00D20A96">
      <w:pPr>
        <w:pStyle w:val="Tablefin"/>
      </w:pPr>
    </w:p>
    <w:p w:rsidR="0040081F" w:rsidRDefault="0040081F" w:rsidP="0040081F">
      <w:pPr>
        <w:pStyle w:val="TableNo"/>
        <w:rPr>
          <w:lang w:val="en-US"/>
        </w:rPr>
      </w:pPr>
      <w:r>
        <w:rPr>
          <w:lang w:val="en-US"/>
        </w:rPr>
        <w:lastRenderedPageBreak/>
        <w:t>TABLE  6</w:t>
      </w:r>
    </w:p>
    <w:p w:rsidR="0040081F" w:rsidRDefault="0040081F" w:rsidP="00D20A96">
      <w:pPr>
        <w:pStyle w:val="Tabletitle"/>
        <w:rPr>
          <w:lang w:val="en-US"/>
        </w:rPr>
      </w:pPr>
      <w:r>
        <w:rPr>
          <w:lang w:val="en-US"/>
        </w:rPr>
        <w:t xml:space="preserve">Table of end point value and next-to-end point values to be used in conjunction </w:t>
      </w:r>
      <w:r>
        <w:rPr>
          <w:lang w:val="en-US"/>
        </w:rPr>
        <w:br/>
        <w:t>with Fig. 1</w:t>
      </w:r>
      <w:r w:rsidR="00D20A96">
        <w:rPr>
          <w:lang w:val="en-US"/>
        </w:rPr>
        <w:t>7</w:t>
      </w:r>
      <w:r>
        <w:rPr>
          <w:lang w:val="en-US"/>
        </w:rPr>
        <w:t xml:space="preserve"> and Table 5, applicable to a range of transmitter output </w:t>
      </w:r>
      <w:r>
        <w:rPr>
          <w:lang w:val="en-US"/>
        </w:rPr>
        <w:br/>
        <w:t>powers, for 6 MHz DVB-T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6"/>
        <w:gridCol w:w="2126"/>
        <w:gridCol w:w="3243"/>
      </w:tblGrid>
      <w:tr w:rsidR="0040081F" w:rsidRPr="00620821" w:rsidTr="00DC4EB6">
        <w:trPr>
          <w:jc w:val="center"/>
        </w:trPr>
        <w:tc>
          <w:tcPr>
            <w:tcW w:w="3386" w:type="dxa"/>
          </w:tcPr>
          <w:p w:rsidR="0040081F" w:rsidRDefault="0040081F" w:rsidP="00807481">
            <w:pPr>
              <w:pStyle w:val="Tablehead"/>
              <w:rPr>
                <w:lang w:val="en-US"/>
              </w:rPr>
            </w:pPr>
            <w:r>
              <w:rPr>
                <w:lang w:val="en-US"/>
              </w:rPr>
              <w:t>End point value</w:t>
            </w:r>
            <w:r>
              <w:rPr>
                <w:position w:val="6"/>
                <w:sz w:val="18"/>
                <w:lang w:val="en-US"/>
              </w:rPr>
              <w:t>(1)</w:t>
            </w:r>
            <w:r>
              <w:rPr>
                <w:lang w:val="en-US"/>
              </w:rPr>
              <w:br/>
              <w:t>(4 kHz measurement</w:t>
            </w:r>
            <w:r w:rsidR="00807481">
              <w:rPr>
                <w:lang w:val="en-US"/>
              </w:rPr>
              <w:t xml:space="preserve"> </w:t>
            </w:r>
            <w:r>
              <w:rPr>
                <w:lang w:val="en-US"/>
              </w:rPr>
              <w:t>bandwidth)</w:t>
            </w:r>
            <w:r>
              <w:rPr>
                <w:lang w:val="en-US"/>
              </w:rPr>
              <w:br/>
              <w:t>(dB)</w:t>
            </w:r>
          </w:p>
        </w:tc>
        <w:tc>
          <w:tcPr>
            <w:tcW w:w="2126" w:type="dxa"/>
          </w:tcPr>
          <w:p w:rsidR="0040081F" w:rsidRDefault="0040081F" w:rsidP="00807481">
            <w:pPr>
              <w:pStyle w:val="Tablehead"/>
              <w:rPr>
                <w:lang w:val="en-US"/>
              </w:rPr>
            </w:pPr>
            <w:r>
              <w:rPr>
                <w:lang w:val="en-US"/>
              </w:rPr>
              <w:t>Power range</w:t>
            </w:r>
            <w:r>
              <w:rPr>
                <w:lang w:val="en-US"/>
              </w:rPr>
              <w:br/>
              <w:t>(dBW)</w:t>
            </w:r>
          </w:p>
        </w:tc>
        <w:tc>
          <w:tcPr>
            <w:tcW w:w="3243" w:type="dxa"/>
          </w:tcPr>
          <w:p w:rsidR="0040081F" w:rsidRDefault="0040081F" w:rsidP="00807481">
            <w:pPr>
              <w:pStyle w:val="Tablehead"/>
              <w:rPr>
                <w:lang w:val="en-US"/>
              </w:rPr>
            </w:pPr>
            <w:r>
              <w:rPr>
                <w:lang w:val="en-US"/>
              </w:rPr>
              <w:t>Corresponding spurious level (100 kHz measurement bandwidth)</w:t>
            </w:r>
          </w:p>
        </w:tc>
      </w:tr>
      <w:tr w:rsidR="0040081F" w:rsidRPr="001F35FF" w:rsidTr="00DC4EB6">
        <w:trPr>
          <w:jc w:val="center"/>
        </w:trPr>
        <w:tc>
          <w:tcPr>
            <w:tcW w:w="3386" w:type="dxa"/>
          </w:tcPr>
          <w:p w:rsidR="0040081F" w:rsidRDefault="0040081F" w:rsidP="001F35FF">
            <w:pPr>
              <w:pStyle w:val="Tabletext"/>
              <w:jc w:val="center"/>
              <w:rPr>
                <w:lang w:val="en-US"/>
              </w:rPr>
            </w:pPr>
            <w:r>
              <w:sym w:font="Symbol" w:char="F02D"/>
            </w:r>
            <w:r>
              <w:rPr>
                <w:lang w:val="en-US"/>
              </w:rPr>
              <w:t>89 – (</w:t>
            </w:r>
            <w:r>
              <w:rPr>
                <w:i/>
                <w:iCs/>
                <w:lang w:val="en-US"/>
              </w:rPr>
              <w:t>P</w:t>
            </w:r>
            <w:r>
              <w:rPr>
                <w:lang w:val="en-US"/>
              </w:rPr>
              <w:t xml:space="preserve"> – 9)</w:t>
            </w:r>
          </w:p>
        </w:tc>
        <w:tc>
          <w:tcPr>
            <w:tcW w:w="2126" w:type="dxa"/>
          </w:tcPr>
          <w:p w:rsidR="0040081F" w:rsidRDefault="001F35FF" w:rsidP="001F35FF">
            <w:pPr>
              <w:pStyle w:val="Tabletext"/>
              <w:tabs>
                <w:tab w:val="clear" w:pos="284"/>
                <w:tab w:val="clear" w:pos="567"/>
                <w:tab w:val="clear" w:pos="851"/>
                <w:tab w:val="clear" w:pos="1134"/>
                <w:tab w:val="left" w:pos="459"/>
                <w:tab w:val="left" w:pos="1026"/>
              </w:tabs>
              <w:jc w:val="left"/>
              <w:rPr>
                <w:lang w:val="en-US"/>
              </w:rPr>
            </w:pPr>
            <w:r>
              <w:rPr>
                <w:i/>
                <w:iCs/>
                <w:lang w:val="en-US"/>
              </w:rPr>
              <w:tab/>
            </w:r>
            <w:r>
              <w:rPr>
                <w:i/>
                <w:iCs/>
                <w:lang w:val="en-US"/>
              </w:rPr>
              <w:tab/>
            </w:r>
            <w:r w:rsidR="0040081F">
              <w:rPr>
                <w:i/>
                <w:iCs/>
                <w:lang w:val="en-US"/>
              </w:rPr>
              <w:t>P</w:t>
            </w:r>
            <w:r w:rsidR="0040081F">
              <w:rPr>
                <w:lang w:val="en-US"/>
              </w:rPr>
              <w:t xml:space="preserve"> </w:t>
            </w:r>
            <w:r w:rsidR="0040081F" w:rsidRPr="001F35FF">
              <w:rPr>
                <w:rFonts w:asciiTheme="majorBidi" w:hAnsiTheme="majorBidi" w:cstheme="majorBidi"/>
              </w:rPr>
              <w:sym w:font="Symbol" w:char="F0A3"/>
            </w:r>
            <w:r>
              <w:rPr>
                <w:rFonts w:ascii="Symbol" w:hAnsi="Symbol"/>
              </w:rPr>
              <w:t></w:t>
            </w:r>
            <w:r w:rsidR="0040081F">
              <w:rPr>
                <w:lang w:val="en-US"/>
              </w:rPr>
              <w:t>9</w:t>
            </w:r>
          </w:p>
        </w:tc>
        <w:tc>
          <w:tcPr>
            <w:tcW w:w="3243" w:type="dxa"/>
          </w:tcPr>
          <w:p w:rsidR="0040081F" w:rsidRDefault="0040081F" w:rsidP="001F35FF">
            <w:pPr>
              <w:pStyle w:val="Tabletext"/>
              <w:jc w:val="center"/>
              <w:rPr>
                <w:lang w:val="en-US"/>
              </w:rPr>
            </w:pPr>
            <w:r>
              <w:sym w:font="Symbol" w:char="F02D"/>
            </w:r>
            <w:r>
              <w:rPr>
                <w:lang w:val="en-US"/>
              </w:rPr>
              <w:t>36 dBm</w:t>
            </w:r>
          </w:p>
        </w:tc>
      </w:tr>
      <w:tr w:rsidR="0040081F" w:rsidRPr="001F35FF" w:rsidTr="00DC4EB6">
        <w:trPr>
          <w:jc w:val="center"/>
        </w:trPr>
        <w:tc>
          <w:tcPr>
            <w:tcW w:w="3386" w:type="dxa"/>
          </w:tcPr>
          <w:p w:rsidR="0040081F" w:rsidRDefault="0040081F" w:rsidP="001F35FF">
            <w:pPr>
              <w:pStyle w:val="Tabletext"/>
              <w:jc w:val="center"/>
              <w:rPr>
                <w:lang w:val="en-US"/>
              </w:rPr>
            </w:pPr>
            <w:r>
              <w:sym w:font="Symbol" w:char="F02D"/>
            </w:r>
            <w:r>
              <w:rPr>
                <w:lang w:val="en-US"/>
              </w:rPr>
              <w:t>89</w:t>
            </w:r>
          </w:p>
        </w:tc>
        <w:tc>
          <w:tcPr>
            <w:tcW w:w="2126" w:type="dxa"/>
          </w:tcPr>
          <w:p w:rsidR="0040081F" w:rsidRDefault="001F35FF" w:rsidP="001F35FF">
            <w:pPr>
              <w:pStyle w:val="Tabletext"/>
              <w:tabs>
                <w:tab w:val="clear" w:pos="284"/>
                <w:tab w:val="clear" w:pos="567"/>
                <w:tab w:val="clear" w:pos="851"/>
                <w:tab w:val="clear" w:pos="1134"/>
                <w:tab w:val="left" w:pos="459"/>
                <w:tab w:val="left" w:pos="1026"/>
              </w:tabs>
              <w:jc w:val="left"/>
              <w:rPr>
                <w:lang w:val="en-US"/>
              </w:rPr>
            </w:pPr>
            <w:r>
              <w:rPr>
                <w:lang w:val="en-US"/>
              </w:rPr>
              <w:tab/>
            </w:r>
            <w:r w:rsidR="0040081F">
              <w:rPr>
                <w:lang w:val="en-US"/>
              </w:rPr>
              <w:t xml:space="preserve">9 </w:t>
            </w:r>
            <w:r>
              <w:rPr>
                <w:rFonts w:asciiTheme="majorBidi" w:hAnsiTheme="majorBidi" w:cstheme="majorBidi"/>
                <w:lang w:val="en-US"/>
              </w:rPr>
              <w:t xml:space="preserve">&lt; </w:t>
            </w:r>
            <w:r>
              <w:rPr>
                <w:rFonts w:asciiTheme="majorBidi" w:hAnsiTheme="majorBidi" w:cstheme="majorBidi"/>
                <w:lang w:val="en-US"/>
              </w:rPr>
              <w:tab/>
            </w:r>
            <w:r w:rsidR="0040081F">
              <w:rPr>
                <w:i/>
                <w:iCs/>
                <w:lang w:val="en-US"/>
              </w:rPr>
              <w:t>P</w:t>
            </w:r>
            <w:r w:rsidR="0040081F">
              <w:rPr>
                <w:lang w:val="en-US"/>
              </w:rPr>
              <w:t xml:space="preserve"> </w:t>
            </w:r>
            <w:r w:rsidR="0040081F" w:rsidRPr="001F35FF">
              <w:rPr>
                <w:rFonts w:asciiTheme="majorBidi" w:hAnsiTheme="majorBidi" w:cstheme="majorBidi"/>
              </w:rPr>
              <w:sym w:font="Symbol" w:char="F0A3"/>
            </w:r>
            <w:r w:rsidR="0040081F">
              <w:rPr>
                <w:lang w:val="en-US"/>
              </w:rPr>
              <w:t xml:space="preserve"> 29</w:t>
            </w:r>
          </w:p>
        </w:tc>
        <w:tc>
          <w:tcPr>
            <w:tcW w:w="3243" w:type="dxa"/>
          </w:tcPr>
          <w:p w:rsidR="0040081F" w:rsidRDefault="0040081F" w:rsidP="001F35FF">
            <w:pPr>
              <w:pStyle w:val="Tabletext"/>
              <w:jc w:val="center"/>
              <w:rPr>
                <w:lang w:val="en-US"/>
              </w:rPr>
            </w:pPr>
            <w:r>
              <w:rPr>
                <w:lang w:val="en-US"/>
              </w:rPr>
              <w:t>75 dBc</w:t>
            </w:r>
          </w:p>
        </w:tc>
      </w:tr>
      <w:tr w:rsidR="0040081F" w:rsidRPr="001F35FF" w:rsidTr="00DC4EB6">
        <w:trPr>
          <w:jc w:val="center"/>
        </w:trPr>
        <w:tc>
          <w:tcPr>
            <w:tcW w:w="3386" w:type="dxa"/>
          </w:tcPr>
          <w:p w:rsidR="0040081F" w:rsidRDefault="0040081F" w:rsidP="001F35FF">
            <w:pPr>
              <w:pStyle w:val="Tabletext"/>
              <w:jc w:val="center"/>
              <w:rPr>
                <w:lang w:val="en-US"/>
              </w:rPr>
            </w:pPr>
            <w:r>
              <w:sym w:font="Symbol" w:char="F02D"/>
            </w:r>
            <w:r>
              <w:rPr>
                <w:lang w:val="en-US"/>
              </w:rPr>
              <w:t>89 – (</w:t>
            </w:r>
            <w:r>
              <w:rPr>
                <w:i/>
                <w:iCs/>
                <w:lang w:val="en-US"/>
              </w:rPr>
              <w:t>P</w:t>
            </w:r>
            <w:r>
              <w:rPr>
                <w:lang w:val="en-US"/>
              </w:rPr>
              <w:t xml:space="preserve"> – 29)</w:t>
            </w:r>
          </w:p>
        </w:tc>
        <w:tc>
          <w:tcPr>
            <w:tcW w:w="2126" w:type="dxa"/>
          </w:tcPr>
          <w:p w:rsidR="0040081F" w:rsidRDefault="001F35FF" w:rsidP="001F35FF">
            <w:pPr>
              <w:pStyle w:val="Tabletext"/>
              <w:tabs>
                <w:tab w:val="clear" w:pos="284"/>
                <w:tab w:val="clear" w:pos="567"/>
                <w:tab w:val="clear" w:pos="851"/>
                <w:tab w:val="clear" w:pos="1134"/>
                <w:tab w:val="left" w:pos="459"/>
                <w:tab w:val="left" w:pos="1026"/>
              </w:tabs>
              <w:jc w:val="left"/>
              <w:rPr>
                <w:lang w:val="en-US"/>
              </w:rPr>
            </w:pPr>
            <w:r>
              <w:rPr>
                <w:lang w:val="en-US"/>
              </w:rPr>
              <w:tab/>
            </w:r>
            <w:r w:rsidR="0040081F">
              <w:rPr>
                <w:lang w:val="en-US"/>
              </w:rPr>
              <w:t xml:space="preserve">29 </w:t>
            </w:r>
            <w:r>
              <w:rPr>
                <w:rFonts w:asciiTheme="majorBidi" w:hAnsiTheme="majorBidi" w:cstheme="majorBidi"/>
                <w:lang w:val="en-US"/>
              </w:rPr>
              <w:t xml:space="preserve">&lt; </w:t>
            </w:r>
            <w:r w:rsidR="0040081F">
              <w:rPr>
                <w:rFonts w:ascii="Symbol" w:hAnsi="Symbol"/>
                <w:lang w:val="en-US"/>
              </w:rPr>
              <w:tab/>
            </w:r>
            <w:r w:rsidR="0040081F">
              <w:rPr>
                <w:i/>
                <w:iCs/>
                <w:lang w:val="en-US"/>
              </w:rPr>
              <w:t>P</w:t>
            </w:r>
            <w:r w:rsidR="0040081F">
              <w:rPr>
                <w:lang w:val="en-US"/>
              </w:rPr>
              <w:t xml:space="preserve"> </w:t>
            </w:r>
            <w:r w:rsidR="0040081F" w:rsidRPr="001F35FF">
              <w:rPr>
                <w:rFonts w:asciiTheme="majorBidi" w:hAnsiTheme="majorBidi" w:cstheme="majorBidi"/>
              </w:rPr>
              <w:sym w:font="Symbol" w:char="F0A3"/>
            </w:r>
            <w:r w:rsidR="0040081F">
              <w:rPr>
                <w:lang w:val="en-US"/>
              </w:rPr>
              <w:t xml:space="preserve"> 39</w:t>
            </w:r>
          </w:p>
        </w:tc>
        <w:tc>
          <w:tcPr>
            <w:tcW w:w="3243" w:type="dxa"/>
          </w:tcPr>
          <w:p w:rsidR="0040081F" w:rsidRDefault="0040081F" w:rsidP="001F35FF">
            <w:pPr>
              <w:pStyle w:val="Tabletext"/>
              <w:jc w:val="center"/>
              <w:rPr>
                <w:lang w:val="en-US"/>
              </w:rPr>
            </w:pPr>
            <w:r>
              <w:sym w:font="Symbol" w:char="F02D"/>
            </w:r>
            <w:r>
              <w:rPr>
                <w:lang w:val="en-US"/>
              </w:rPr>
              <w:t>16 dBm</w:t>
            </w:r>
          </w:p>
        </w:tc>
      </w:tr>
      <w:tr w:rsidR="0040081F" w:rsidRPr="001F35FF" w:rsidTr="00DC4EB6">
        <w:trPr>
          <w:jc w:val="center"/>
        </w:trPr>
        <w:tc>
          <w:tcPr>
            <w:tcW w:w="3386" w:type="dxa"/>
          </w:tcPr>
          <w:p w:rsidR="0040081F" w:rsidRDefault="0040081F" w:rsidP="001F35FF">
            <w:pPr>
              <w:pStyle w:val="Tabletext"/>
              <w:jc w:val="center"/>
              <w:rPr>
                <w:lang w:val="en-US"/>
              </w:rPr>
            </w:pPr>
            <w:r>
              <w:sym w:font="Symbol" w:char="F02D"/>
            </w:r>
            <w:r>
              <w:rPr>
                <w:lang w:val="en-US"/>
              </w:rPr>
              <w:t>99</w:t>
            </w:r>
          </w:p>
        </w:tc>
        <w:tc>
          <w:tcPr>
            <w:tcW w:w="2126" w:type="dxa"/>
          </w:tcPr>
          <w:p w:rsidR="0040081F" w:rsidRDefault="001F35FF" w:rsidP="001F35FF">
            <w:pPr>
              <w:pStyle w:val="Tabletext"/>
              <w:tabs>
                <w:tab w:val="clear" w:pos="284"/>
                <w:tab w:val="clear" w:pos="567"/>
                <w:tab w:val="clear" w:pos="851"/>
                <w:tab w:val="clear" w:pos="1134"/>
                <w:tab w:val="left" w:pos="459"/>
                <w:tab w:val="left" w:pos="1026"/>
              </w:tabs>
              <w:jc w:val="left"/>
              <w:rPr>
                <w:lang w:val="en-US"/>
              </w:rPr>
            </w:pPr>
            <w:r>
              <w:rPr>
                <w:lang w:val="en-US"/>
              </w:rPr>
              <w:tab/>
            </w:r>
            <w:r w:rsidR="0040081F">
              <w:rPr>
                <w:lang w:val="en-US"/>
              </w:rPr>
              <w:t xml:space="preserve">39 </w:t>
            </w:r>
            <w:r>
              <w:rPr>
                <w:rFonts w:asciiTheme="majorBidi" w:hAnsiTheme="majorBidi" w:cstheme="majorBidi"/>
                <w:lang w:val="en-US"/>
              </w:rPr>
              <w:t xml:space="preserve">&lt; </w:t>
            </w:r>
            <w:r w:rsidR="0040081F">
              <w:rPr>
                <w:rFonts w:ascii="Symbol" w:hAnsi="Symbol"/>
                <w:lang w:val="en-US"/>
              </w:rPr>
              <w:tab/>
            </w:r>
            <w:r w:rsidR="0040081F">
              <w:rPr>
                <w:i/>
                <w:iCs/>
                <w:lang w:val="en-US"/>
              </w:rPr>
              <w:t>P</w:t>
            </w:r>
            <w:r w:rsidR="0040081F">
              <w:rPr>
                <w:lang w:val="en-US"/>
              </w:rPr>
              <w:t xml:space="preserve"> </w:t>
            </w:r>
            <w:r w:rsidR="0040081F" w:rsidRPr="001F35FF">
              <w:rPr>
                <w:rFonts w:asciiTheme="majorBidi" w:hAnsiTheme="majorBidi" w:cstheme="majorBidi"/>
              </w:rPr>
              <w:sym w:font="Symbol" w:char="F0A3"/>
            </w:r>
            <w:r w:rsidR="0040081F">
              <w:rPr>
                <w:lang w:val="en-US"/>
              </w:rPr>
              <w:t xml:space="preserve"> 50</w:t>
            </w:r>
          </w:p>
        </w:tc>
        <w:tc>
          <w:tcPr>
            <w:tcW w:w="3243" w:type="dxa"/>
          </w:tcPr>
          <w:p w:rsidR="0040081F" w:rsidRDefault="0040081F" w:rsidP="001F35FF">
            <w:pPr>
              <w:pStyle w:val="Tabletext"/>
              <w:jc w:val="center"/>
              <w:rPr>
                <w:lang w:val="en-US"/>
              </w:rPr>
            </w:pPr>
            <w:r>
              <w:rPr>
                <w:lang w:val="en-US"/>
              </w:rPr>
              <w:t>85 dBc</w:t>
            </w:r>
          </w:p>
        </w:tc>
      </w:tr>
      <w:tr w:rsidR="0040081F" w:rsidRPr="001F35FF" w:rsidTr="00DC4EB6">
        <w:trPr>
          <w:jc w:val="center"/>
        </w:trPr>
        <w:tc>
          <w:tcPr>
            <w:tcW w:w="3386" w:type="dxa"/>
            <w:tcBorders>
              <w:bottom w:val="single" w:sz="4" w:space="0" w:color="auto"/>
            </w:tcBorders>
          </w:tcPr>
          <w:p w:rsidR="0040081F" w:rsidRDefault="0040081F" w:rsidP="001F35FF">
            <w:pPr>
              <w:pStyle w:val="Tabletext"/>
              <w:jc w:val="center"/>
              <w:rPr>
                <w:lang w:val="en-US"/>
              </w:rPr>
            </w:pPr>
            <w:r>
              <w:sym w:font="Symbol" w:char="F02D"/>
            </w:r>
            <w:r>
              <w:rPr>
                <w:lang w:val="en-US"/>
              </w:rPr>
              <w:t>99 – (</w:t>
            </w:r>
            <w:r>
              <w:rPr>
                <w:i/>
                <w:iCs/>
                <w:lang w:val="en-US"/>
              </w:rPr>
              <w:t>P</w:t>
            </w:r>
            <w:r>
              <w:rPr>
                <w:lang w:val="en-US"/>
              </w:rPr>
              <w:t xml:space="preserve"> – 50)</w:t>
            </w:r>
          </w:p>
        </w:tc>
        <w:tc>
          <w:tcPr>
            <w:tcW w:w="2126" w:type="dxa"/>
            <w:tcBorders>
              <w:bottom w:val="single" w:sz="4" w:space="0" w:color="auto"/>
            </w:tcBorders>
          </w:tcPr>
          <w:p w:rsidR="0040081F" w:rsidRDefault="001F35FF" w:rsidP="001F35FF">
            <w:pPr>
              <w:pStyle w:val="Tabletext"/>
              <w:tabs>
                <w:tab w:val="clear" w:pos="284"/>
                <w:tab w:val="clear" w:pos="567"/>
                <w:tab w:val="clear" w:pos="851"/>
                <w:tab w:val="clear" w:pos="1134"/>
                <w:tab w:val="left" w:pos="459"/>
                <w:tab w:val="left" w:pos="1026"/>
              </w:tabs>
              <w:jc w:val="left"/>
              <w:rPr>
                <w:lang w:val="en-US"/>
              </w:rPr>
            </w:pPr>
            <w:r>
              <w:rPr>
                <w:lang w:val="en-US"/>
              </w:rPr>
              <w:tab/>
            </w:r>
            <w:r w:rsidR="0040081F">
              <w:rPr>
                <w:lang w:val="en-US"/>
              </w:rPr>
              <w:t xml:space="preserve">50 </w:t>
            </w:r>
            <w:r w:rsidR="0040081F" w:rsidRPr="001F35FF">
              <w:rPr>
                <w:rFonts w:asciiTheme="majorBidi" w:hAnsiTheme="majorBidi" w:cstheme="majorBidi"/>
              </w:rPr>
              <w:sym w:font="Symbol" w:char="F0A3"/>
            </w:r>
            <w:r w:rsidR="0040081F">
              <w:rPr>
                <w:rFonts w:ascii="Symbol" w:hAnsi="Symbol"/>
                <w:lang w:val="en-US"/>
              </w:rPr>
              <w:tab/>
            </w:r>
            <w:r w:rsidR="0040081F">
              <w:rPr>
                <w:i/>
                <w:iCs/>
                <w:lang w:val="en-US"/>
              </w:rPr>
              <w:t>P</w:t>
            </w:r>
          </w:p>
        </w:tc>
        <w:tc>
          <w:tcPr>
            <w:tcW w:w="3243" w:type="dxa"/>
            <w:tcBorders>
              <w:bottom w:val="single" w:sz="4" w:space="0" w:color="auto"/>
            </w:tcBorders>
          </w:tcPr>
          <w:p w:rsidR="0040081F" w:rsidRPr="001F35FF" w:rsidRDefault="0040081F" w:rsidP="001F35FF">
            <w:pPr>
              <w:pStyle w:val="Tabletext"/>
              <w:jc w:val="center"/>
              <w:rPr>
                <w:lang w:val="en-US"/>
              </w:rPr>
            </w:pPr>
            <w:r>
              <w:sym w:font="Symbol" w:char="F02D"/>
            </w:r>
            <w:r w:rsidRPr="001F35FF">
              <w:rPr>
                <w:lang w:val="en-US"/>
              </w:rPr>
              <w:t>5 dBm</w:t>
            </w:r>
          </w:p>
        </w:tc>
      </w:tr>
      <w:tr w:rsidR="0040081F" w:rsidRPr="00620821" w:rsidTr="00DC4EB6">
        <w:trPr>
          <w:cantSplit/>
          <w:jc w:val="center"/>
        </w:trPr>
        <w:tc>
          <w:tcPr>
            <w:tcW w:w="8755" w:type="dxa"/>
            <w:gridSpan w:val="3"/>
            <w:tcBorders>
              <w:left w:val="nil"/>
              <w:bottom w:val="nil"/>
              <w:right w:val="nil"/>
            </w:tcBorders>
          </w:tcPr>
          <w:p w:rsidR="0040081F" w:rsidRDefault="0040081F" w:rsidP="00807481">
            <w:pPr>
              <w:pStyle w:val="Tablelegend"/>
              <w:rPr>
                <w:lang w:val="en-US"/>
              </w:rPr>
            </w:pPr>
            <w:r>
              <w:rPr>
                <w:position w:val="6"/>
                <w:sz w:val="18"/>
                <w:lang w:val="en-US"/>
              </w:rPr>
              <w:t>(1)</w:t>
            </w:r>
            <w:r>
              <w:rPr>
                <w:lang w:val="en-US"/>
              </w:rPr>
              <w:tab/>
              <w:t xml:space="preserve">The next-to-end point value is 8 dB higher than the end point value and all of these values are subject to an </w:t>
            </w:r>
            <w:r w:rsidRPr="005357F9">
              <w:rPr>
                <w:lang w:val="en-US"/>
              </w:rPr>
              <w:t>upper</w:t>
            </w:r>
            <w:r>
              <w:rPr>
                <w:lang w:val="en-US"/>
              </w:rPr>
              <w:t xml:space="preserve"> limit equal to –66.5 dB.</w:t>
            </w:r>
          </w:p>
        </w:tc>
      </w:tr>
    </w:tbl>
    <w:p w:rsidR="0040081F" w:rsidRDefault="0040081F" w:rsidP="0040081F">
      <w:pPr>
        <w:pStyle w:val="Tablefin"/>
        <w:rPr>
          <w:lang w:val="en-US"/>
        </w:rPr>
      </w:pPr>
    </w:p>
    <w:p w:rsidR="0040081F" w:rsidRPr="0047049C" w:rsidRDefault="0040081F" w:rsidP="00E95CDC">
      <w:pPr>
        <w:pStyle w:val="Heading2"/>
        <w:rPr>
          <w:lang w:val="en-US"/>
        </w:rPr>
      </w:pPr>
      <w:r w:rsidRPr="0047049C">
        <w:rPr>
          <w:lang w:val="en-US"/>
        </w:rPr>
        <w:t>1.2</w:t>
      </w:r>
      <w:r w:rsidRPr="0047049C">
        <w:rPr>
          <w:lang w:val="en-US"/>
        </w:rPr>
        <w:tab/>
        <w:t>6 MHz channelling ISDB-T systems</w:t>
      </w:r>
    </w:p>
    <w:p w:rsidR="0040081F" w:rsidRPr="00D715BA" w:rsidRDefault="0040081F" w:rsidP="001F35FF">
      <w:pPr>
        <w:rPr>
          <w:rFonts w:asciiTheme="majorBidi" w:hAnsiTheme="majorBidi" w:cstheme="majorBidi"/>
          <w:lang w:val="en-US"/>
        </w:rPr>
      </w:pPr>
      <w:r w:rsidRPr="0047049C">
        <w:rPr>
          <w:lang w:val="en-US"/>
        </w:rPr>
        <w:t>For 6 MHz ISDB</w:t>
      </w:r>
      <w:r w:rsidRPr="0047049C">
        <w:rPr>
          <w:lang w:val="en-US"/>
        </w:rPr>
        <w:noBreakHyphen/>
        <w:t xml:space="preserve">T systems, the OoB domain extends </w:t>
      </w:r>
      <w:r w:rsidRPr="00D715BA">
        <w:rPr>
          <w:rFonts w:asciiTheme="majorBidi" w:hAnsiTheme="majorBidi" w:cstheme="majorBidi"/>
          <w:lang w:val="en-US"/>
        </w:rPr>
        <w:t xml:space="preserve">from </w:t>
      </w:r>
      <w:r w:rsidR="001F35FF" w:rsidRPr="00D715BA">
        <w:rPr>
          <w:rFonts w:asciiTheme="majorBidi" w:hAnsiTheme="majorBidi" w:cstheme="majorBidi"/>
        </w:rPr>
        <w:sym w:font="Symbol" w:char="F0B1"/>
      </w:r>
      <w:r w:rsidRPr="00D715BA">
        <w:rPr>
          <w:rFonts w:asciiTheme="majorBidi" w:hAnsiTheme="majorBidi" w:cstheme="majorBidi"/>
          <w:lang w:val="en-US"/>
        </w:rPr>
        <w:t>3 MHz (i.e. </w:t>
      </w:r>
      <w:r w:rsidR="001F35FF" w:rsidRPr="00D715BA">
        <w:rPr>
          <w:rFonts w:asciiTheme="majorBidi" w:hAnsiTheme="majorBidi" w:cstheme="majorBidi"/>
        </w:rPr>
        <w:sym w:font="Symbol" w:char="F0B1"/>
      </w:r>
      <w:r w:rsidRPr="00D715BA">
        <w:rPr>
          <w:rFonts w:asciiTheme="majorBidi" w:hAnsiTheme="majorBidi" w:cstheme="majorBidi"/>
          <w:lang w:val="en-US"/>
        </w:rPr>
        <w:t>0.5 </w:t>
      </w:r>
      <w:r w:rsidRPr="00D715BA">
        <w:rPr>
          <w:rFonts w:asciiTheme="majorBidi" w:hAnsiTheme="majorBidi" w:cstheme="majorBidi"/>
          <w:lang w:val="en-US"/>
        </w:rPr>
        <w:sym w:font="Symbol" w:char="F0B4"/>
      </w:r>
      <w:r w:rsidRPr="00D715BA">
        <w:rPr>
          <w:rFonts w:asciiTheme="majorBidi" w:hAnsiTheme="majorBidi" w:cstheme="majorBidi"/>
          <w:lang w:val="en-US"/>
        </w:rPr>
        <w:t xml:space="preserve"> 6 MHz) to </w:t>
      </w:r>
      <w:r w:rsidR="001F35FF" w:rsidRPr="00D715BA">
        <w:rPr>
          <w:rFonts w:asciiTheme="majorBidi" w:hAnsiTheme="majorBidi" w:cstheme="majorBidi"/>
        </w:rPr>
        <w:sym w:font="Symbol" w:char="F0B1"/>
      </w:r>
      <w:r w:rsidRPr="00D715BA">
        <w:rPr>
          <w:rFonts w:asciiTheme="majorBidi" w:hAnsiTheme="majorBidi" w:cstheme="majorBidi"/>
          <w:lang w:val="en-US"/>
        </w:rPr>
        <w:t>15 MHz (i.e. </w:t>
      </w:r>
      <w:r w:rsidR="001F35FF" w:rsidRPr="00D715BA">
        <w:rPr>
          <w:rFonts w:asciiTheme="majorBidi" w:hAnsiTheme="majorBidi" w:cstheme="majorBidi"/>
        </w:rPr>
        <w:sym w:font="Symbol" w:char="F0B1"/>
      </w:r>
      <w:r w:rsidRPr="00D715BA">
        <w:rPr>
          <w:rFonts w:asciiTheme="majorBidi" w:hAnsiTheme="majorBidi" w:cstheme="majorBidi"/>
          <w:lang w:val="en-US"/>
        </w:rPr>
        <w:t>2.5 </w:t>
      </w:r>
      <w:r w:rsidRPr="00D715BA">
        <w:rPr>
          <w:rFonts w:asciiTheme="majorBidi" w:hAnsiTheme="majorBidi" w:cstheme="majorBidi"/>
          <w:lang w:val="en-US"/>
        </w:rPr>
        <w:sym w:font="Symbol" w:char="F0B4"/>
      </w:r>
      <w:r w:rsidRPr="00D715BA">
        <w:rPr>
          <w:rFonts w:asciiTheme="majorBidi" w:hAnsiTheme="majorBidi" w:cstheme="majorBidi"/>
          <w:lang w:val="en-US"/>
        </w:rPr>
        <w:t> 6 MHz) relative to channel centre.</w:t>
      </w:r>
    </w:p>
    <w:p w:rsidR="0040081F" w:rsidRDefault="0040081F" w:rsidP="00D20A96">
      <w:pPr>
        <w:rPr>
          <w:lang w:val="en-US"/>
        </w:rPr>
      </w:pPr>
      <w:r w:rsidRPr="0047049C">
        <w:rPr>
          <w:lang w:val="en-US"/>
        </w:rPr>
        <w:t>Spectrum limit mask for a 6 MHz ISDB</w:t>
      </w:r>
      <w:r w:rsidRPr="0047049C">
        <w:rPr>
          <w:lang w:val="en-US"/>
        </w:rPr>
        <w:noBreakHyphen/>
        <w:t>T system is shown in Fig. 1</w:t>
      </w:r>
      <w:r w:rsidR="00D20A96">
        <w:rPr>
          <w:lang w:val="en-US"/>
        </w:rPr>
        <w:t>8</w:t>
      </w:r>
      <w:r w:rsidRPr="0047049C">
        <w:rPr>
          <w:lang w:val="en-US"/>
        </w:rPr>
        <w:t>. The related break points are given in Table 7. The relative power level is defined in a reference bandwidth of 4 kHz. The 0 dB reference level corresponds to the mean output power measured in the channel bandwidth. These emission limits apply when transmitter power is above 39 dBW.</w:t>
      </w:r>
    </w:p>
    <w:p w:rsidR="00D20A96" w:rsidRPr="000D4195" w:rsidRDefault="00D20A96" w:rsidP="0040081F">
      <w:pPr>
        <w:pStyle w:val="FigureNo"/>
        <w:rPr>
          <w:lang w:val="en-US"/>
        </w:rPr>
      </w:pPr>
      <w:r w:rsidRPr="000D4195">
        <w:rPr>
          <w:lang w:val="en-US"/>
        </w:rPr>
        <w:t>FIGURE 18</w:t>
      </w:r>
    </w:p>
    <w:p w:rsidR="00D20A96" w:rsidRPr="000D4195" w:rsidRDefault="00D20A96" w:rsidP="00D20A96">
      <w:pPr>
        <w:pStyle w:val="Figuretitle"/>
        <w:rPr>
          <w:lang w:val="en-US"/>
        </w:rPr>
      </w:pPr>
      <w:r w:rsidRPr="000D4195">
        <w:rPr>
          <w:lang w:val="en-US"/>
        </w:rPr>
        <w:t xml:space="preserve">Spectrum limit mask for 6 MHz ISDB-T (for </w:t>
      </w:r>
      <w:r w:rsidRPr="000D4195">
        <w:rPr>
          <w:i/>
          <w:iCs/>
          <w:lang w:val="en-US"/>
        </w:rPr>
        <w:t>P</w:t>
      </w:r>
      <w:r w:rsidRPr="000D4195">
        <w:rPr>
          <w:lang w:val="en-US"/>
        </w:rPr>
        <w:t xml:space="preserve"> &gt; 39 dBW)</w:t>
      </w:r>
    </w:p>
    <w:p w:rsidR="00D20A96" w:rsidRPr="00D20A96" w:rsidRDefault="00273E2F" w:rsidP="00D20A96">
      <w:pPr>
        <w:pStyle w:val="Figure"/>
      </w:pPr>
      <w:r>
        <w:rPr>
          <w:noProof/>
          <w:lang w:val="en-US" w:eastAsia="zh-CN"/>
        </w:rPr>
        <w:drawing>
          <wp:inline distT="0" distB="0" distL="0" distR="0" wp14:anchorId="146035AA" wp14:editId="49F77640">
            <wp:extent cx="5861050" cy="3543300"/>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861050" cy="3543300"/>
                    </a:xfrm>
                    <a:prstGeom prst="rect">
                      <a:avLst/>
                    </a:prstGeom>
                    <a:noFill/>
                    <a:ln>
                      <a:noFill/>
                    </a:ln>
                  </pic:spPr>
                </pic:pic>
              </a:graphicData>
            </a:graphic>
          </wp:inline>
        </w:drawing>
      </w:r>
    </w:p>
    <w:p w:rsidR="0040081F" w:rsidRPr="0047049C" w:rsidRDefault="0040081F" w:rsidP="0040081F">
      <w:pPr>
        <w:pStyle w:val="TableNo"/>
        <w:rPr>
          <w:lang w:val="en-US"/>
        </w:rPr>
      </w:pPr>
      <w:r w:rsidRPr="0047049C">
        <w:rPr>
          <w:lang w:val="en-US"/>
        </w:rPr>
        <w:lastRenderedPageBreak/>
        <w:t>TABLE 7</w:t>
      </w:r>
    </w:p>
    <w:p w:rsidR="0040081F" w:rsidRPr="0047049C" w:rsidRDefault="0040081F" w:rsidP="0040081F">
      <w:pPr>
        <w:pStyle w:val="Tabletitle"/>
        <w:rPr>
          <w:lang w:val="en-US"/>
        </w:rPr>
      </w:pPr>
      <w:r w:rsidRPr="0047049C">
        <w:rPr>
          <w:lang w:val="en-US"/>
        </w:rPr>
        <w:t>Break points for 6 MHz ISDB-T systems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40081F" w:rsidRPr="00620821" w:rsidTr="00DC4EB6">
        <w:trPr>
          <w:jc w:val="center"/>
        </w:trPr>
        <w:tc>
          <w:tcPr>
            <w:tcW w:w="4264" w:type="dxa"/>
          </w:tcPr>
          <w:p w:rsidR="0040081F" w:rsidRPr="0047049C" w:rsidRDefault="0040081F" w:rsidP="00DC4EB6">
            <w:pPr>
              <w:pStyle w:val="Tablehead"/>
              <w:rPr>
                <w:lang w:val="en-US"/>
              </w:rPr>
            </w:pPr>
            <w:r w:rsidRPr="0047049C">
              <w:rPr>
                <w:lang w:val="en-US"/>
              </w:rPr>
              <w:t>Frequency relative to the centre of</w:t>
            </w:r>
            <w:r w:rsidRPr="0047049C">
              <w:rPr>
                <w:lang w:val="en-US"/>
              </w:rPr>
              <w:br/>
              <w:t>the 6 MHz channel</w:t>
            </w:r>
          </w:p>
        </w:tc>
        <w:tc>
          <w:tcPr>
            <w:tcW w:w="4264" w:type="dxa"/>
          </w:tcPr>
          <w:p w:rsidR="0040081F" w:rsidRPr="0047049C" w:rsidRDefault="0040081F" w:rsidP="00DC4EB6">
            <w:pPr>
              <w:pStyle w:val="Tablehead"/>
              <w:rPr>
                <w:lang w:val="en-US"/>
              </w:rPr>
            </w:pPr>
            <w:r w:rsidRPr="0047049C">
              <w:rPr>
                <w:lang w:val="en-US"/>
              </w:rPr>
              <w:t>Relative level in 4 kHz reference bandwidth</w:t>
            </w:r>
            <w:r>
              <w:rPr>
                <w:lang w:val="en-US"/>
              </w:rPr>
              <w:br/>
            </w:r>
            <w:r w:rsidRPr="0047049C">
              <w:rPr>
                <w:lang w:val="en-US"/>
              </w:rPr>
              <w:t>(dB)</w:t>
            </w:r>
          </w:p>
        </w:tc>
      </w:tr>
      <w:tr w:rsidR="0040081F" w:rsidRPr="00720A59" w:rsidTr="00DC4EB6">
        <w:trPr>
          <w:jc w:val="center"/>
        </w:trPr>
        <w:tc>
          <w:tcPr>
            <w:tcW w:w="4264" w:type="dxa"/>
          </w:tcPr>
          <w:p w:rsidR="0040081F" w:rsidRPr="00720A59" w:rsidRDefault="0040081F" w:rsidP="00D715BA">
            <w:pPr>
              <w:pStyle w:val="Tabletext"/>
              <w:jc w:val="center"/>
            </w:pPr>
            <w:r w:rsidRPr="00720A59">
              <w:t>–15.0</w:t>
            </w:r>
          </w:p>
        </w:tc>
        <w:tc>
          <w:tcPr>
            <w:tcW w:w="4264" w:type="dxa"/>
          </w:tcPr>
          <w:p w:rsidR="0040081F" w:rsidRPr="00720A59" w:rsidRDefault="0040081F" w:rsidP="00D715BA">
            <w:pPr>
              <w:pStyle w:val="Tabletext"/>
              <w:jc w:val="center"/>
              <w:rPr>
                <w:snapToGrid w:val="0"/>
                <w:lang w:eastAsia="fr-FR"/>
              </w:rPr>
            </w:pPr>
            <w:r w:rsidRPr="00720A59">
              <w:t>–</w:t>
            </w:r>
            <w:r w:rsidRPr="00720A59">
              <w:rPr>
                <w:snapToGrid w:val="0"/>
                <w:lang w:eastAsia="fr-FR"/>
              </w:rPr>
              <w:t>81.4</w:t>
            </w:r>
          </w:p>
        </w:tc>
      </w:tr>
      <w:tr w:rsidR="0040081F" w:rsidRPr="00720A59" w:rsidTr="00DC4EB6">
        <w:trPr>
          <w:jc w:val="center"/>
        </w:trPr>
        <w:tc>
          <w:tcPr>
            <w:tcW w:w="4264" w:type="dxa"/>
          </w:tcPr>
          <w:p w:rsidR="0040081F" w:rsidRPr="00720A59" w:rsidRDefault="0040081F" w:rsidP="00D715BA">
            <w:pPr>
              <w:pStyle w:val="Tabletext"/>
              <w:jc w:val="center"/>
            </w:pPr>
            <w:r w:rsidRPr="00720A59">
              <w:t>–4.36</w:t>
            </w:r>
          </w:p>
        </w:tc>
        <w:tc>
          <w:tcPr>
            <w:tcW w:w="4264" w:type="dxa"/>
          </w:tcPr>
          <w:p w:rsidR="0040081F" w:rsidRPr="00720A59" w:rsidRDefault="0040081F" w:rsidP="00D715BA">
            <w:pPr>
              <w:pStyle w:val="Tabletext"/>
              <w:jc w:val="center"/>
              <w:rPr>
                <w:snapToGrid w:val="0"/>
                <w:lang w:eastAsia="fr-FR"/>
              </w:rPr>
            </w:pPr>
            <w:r w:rsidRPr="00720A59">
              <w:t>–</w:t>
            </w:r>
            <w:r w:rsidRPr="00720A59">
              <w:rPr>
                <w:snapToGrid w:val="0"/>
                <w:lang w:eastAsia="fr-FR"/>
              </w:rPr>
              <w:t>81.4</w:t>
            </w:r>
          </w:p>
        </w:tc>
      </w:tr>
      <w:tr w:rsidR="0040081F" w:rsidRPr="00720A59" w:rsidTr="00DC4EB6">
        <w:trPr>
          <w:jc w:val="center"/>
        </w:trPr>
        <w:tc>
          <w:tcPr>
            <w:tcW w:w="4264" w:type="dxa"/>
          </w:tcPr>
          <w:p w:rsidR="0040081F" w:rsidRPr="00720A59" w:rsidRDefault="0040081F" w:rsidP="00D715BA">
            <w:pPr>
              <w:pStyle w:val="Tabletext"/>
              <w:jc w:val="center"/>
            </w:pPr>
            <w:r w:rsidRPr="00720A59">
              <w:t>–3.00</w:t>
            </w:r>
          </w:p>
        </w:tc>
        <w:tc>
          <w:tcPr>
            <w:tcW w:w="4264" w:type="dxa"/>
          </w:tcPr>
          <w:p w:rsidR="0040081F" w:rsidRPr="00720A59" w:rsidRDefault="0040081F" w:rsidP="00D715BA">
            <w:pPr>
              <w:pStyle w:val="Tabletext"/>
              <w:jc w:val="center"/>
              <w:rPr>
                <w:snapToGrid w:val="0"/>
                <w:lang w:eastAsia="fr-FR"/>
              </w:rPr>
            </w:pPr>
            <w:r w:rsidRPr="00720A59">
              <w:t>–</w:t>
            </w:r>
            <w:r w:rsidRPr="00720A59">
              <w:rPr>
                <w:snapToGrid w:val="0"/>
                <w:lang w:eastAsia="fr-FR"/>
              </w:rPr>
              <w:t>58.4</w:t>
            </w:r>
          </w:p>
        </w:tc>
      </w:tr>
      <w:tr w:rsidR="0040081F" w:rsidRPr="00720A59" w:rsidTr="00DC4EB6">
        <w:trPr>
          <w:jc w:val="center"/>
        </w:trPr>
        <w:tc>
          <w:tcPr>
            <w:tcW w:w="4264" w:type="dxa"/>
          </w:tcPr>
          <w:p w:rsidR="0040081F" w:rsidRPr="00720A59" w:rsidRDefault="0040081F" w:rsidP="00D715BA">
            <w:pPr>
              <w:pStyle w:val="Tabletext"/>
              <w:jc w:val="center"/>
            </w:pPr>
            <w:r w:rsidRPr="00720A59">
              <w:t>–2.86</w:t>
            </w:r>
          </w:p>
        </w:tc>
        <w:tc>
          <w:tcPr>
            <w:tcW w:w="4264" w:type="dxa"/>
          </w:tcPr>
          <w:p w:rsidR="0040081F" w:rsidRPr="00720A59" w:rsidRDefault="0040081F" w:rsidP="00D715BA">
            <w:pPr>
              <w:pStyle w:val="Tabletext"/>
              <w:jc w:val="center"/>
              <w:rPr>
                <w:snapToGrid w:val="0"/>
                <w:lang w:eastAsia="fr-FR"/>
              </w:rPr>
            </w:pPr>
            <w:r w:rsidRPr="00720A59">
              <w:t>–</w:t>
            </w:r>
            <w:r w:rsidRPr="00720A59">
              <w:rPr>
                <w:snapToGrid w:val="0"/>
                <w:lang w:eastAsia="fr-FR"/>
              </w:rPr>
              <w:t>51.4</w:t>
            </w:r>
          </w:p>
        </w:tc>
      </w:tr>
      <w:tr w:rsidR="0040081F" w:rsidRPr="00720A59" w:rsidTr="00DC4EB6">
        <w:trPr>
          <w:jc w:val="center"/>
        </w:trPr>
        <w:tc>
          <w:tcPr>
            <w:tcW w:w="4264" w:type="dxa"/>
          </w:tcPr>
          <w:p w:rsidR="0040081F" w:rsidRPr="00720A59" w:rsidRDefault="0040081F" w:rsidP="00D715BA">
            <w:pPr>
              <w:pStyle w:val="Tabletext"/>
              <w:jc w:val="center"/>
            </w:pPr>
            <w:r w:rsidRPr="00720A59">
              <w:t>–2.79</w:t>
            </w:r>
          </w:p>
        </w:tc>
        <w:tc>
          <w:tcPr>
            <w:tcW w:w="4264" w:type="dxa"/>
          </w:tcPr>
          <w:p w:rsidR="0040081F" w:rsidRPr="00720A59" w:rsidRDefault="0040081F" w:rsidP="00D715BA">
            <w:pPr>
              <w:pStyle w:val="Tabletext"/>
              <w:jc w:val="center"/>
              <w:rPr>
                <w:snapToGrid w:val="0"/>
                <w:lang w:eastAsia="fr-FR"/>
              </w:rPr>
            </w:pPr>
            <w:r w:rsidRPr="00720A59">
              <w:t>–</w:t>
            </w:r>
            <w:r w:rsidRPr="00720A59">
              <w:rPr>
                <w:snapToGrid w:val="0"/>
                <w:lang w:eastAsia="fr-FR"/>
              </w:rPr>
              <w:t>31.4</w:t>
            </w:r>
          </w:p>
        </w:tc>
      </w:tr>
      <w:tr w:rsidR="0040081F" w:rsidRPr="00720A59" w:rsidTr="00DC4EB6">
        <w:trPr>
          <w:jc w:val="center"/>
        </w:trPr>
        <w:tc>
          <w:tcPr>
            <w:tcW w:w="4264" w:type="dxa"/>
          </w:tcPr>
          <w:p w:rsidR="0040081F" w:rsidRPr="00720A59" w:rsidRDefault="0040081F" w:rsidP="00D715BA">
            <w:pPr>
              <w:pStyle w:val="Tabletext"/>
              <w:jc w:val="center"/>
            </w:pPr>
            <w:r w:rsidRPr="00720A59">
              <w:t>+2.79</w:t>
            </w:r>
          </w:p>
        </w:tc>
        <w:tc>
          <w:tcPr>
            <w:tcW w:w="4264" w:type="dxa"/>
          </w:tcPr>
          <w:p w:rsidR="0040081F" w:rsidRPr="00720A59" w:rsidRDefault="0040081F" w:rsidP="00D715BA">
            <w:pPr>
              <w:pStyle w:val="Tabletext"/>
              <w:jc w:val="center"/>
              <w:rPr>
                <w:snapToGrid w:val="0"/>
                <w:lang w:eastAsia="fr-FR"/>
              </w:rPr>
            </w:pPr>
            <w:r w:rsidRPr="00720A59">
              <w:t>–</w:t>
            </w:r>
            <w:r w:rsidRPr="00720A59">
              <w:rPr>
                <w:snapToGrid w:val="0"/>
                <w:lang w:eastAsia="fr-FR"/>
              </w:rPr>
              <w:t>31.4</w:t>
            </w:r>
          </w:p>
        </w:tc>
      </w:tr>
      <w:tr w:rsidR="0040081F" w:rsidRPr="00720A59" w:rsidTr="00DC4EB6">
        <w:trPr>
          <w:jc w:val="center"/>
        </w:trPr>
        <w:tc>
          <w:tcPr>
            <w:tcW w:w="4264" w:type="dxa"/>
          </w:tcPr>
          <w:p w:rsidR="0040081F" w:rsidRPr="00720A59" w:rsidRDefault="0040081F" w:rsidP="00D715BA">
            <w:pPr>
              <w:pStyle w:val="Tabletext"/>
              <w:jc w:val="center"/>
            </w:pPr>
            <w:r w:rsidRPr="00720A59">
              <w:t>+2.86</w:t>
            </w:r>
          </w:p>
        </w:tc>
        <w:tc>
          <w:tcPr>
            <w:tcW w:w="4264" w:type="dxa"/>
          </w:tcPr>
          <w:p w:rsidR="0040081F" w:rsidRPr="00720A59" w:rsidRDefault="0040081F" w:rsidP="00D715BA">
            <w:pPr>
              <w:pStyle w:val="Tabletext"/>
              <w:jc w:val="center"/>
              <w:rPr>
                <w:snapToGrid w:val="0"/>
                <w:lang w:eastAsia="fr-FR"/>
              </w:rPr>
            </w:pPr>
            <w:r w:rsidRPr="00720A59">
              <w:t>–</w:t>
            </w:r>
            <w:r w:rsidRPr="00720A59">
              <w:rPr>
                <w:snapToGrid w:val="0"/>
                <w:lang w:eastAsia="fr-FR"/>
              </w:rPr>
              <w:t>51.4</w:t>
            </w:r>
          </w:p>
        </w:tc>
      </w:tr>
      <w:tr w:rsidR="0040081F" w:rsidRPr="00720A59" w:rsidTr="00DC4EB6">
        <w:trPr>
          <w:jc w:val="center"/>
        </w:trPr>
        <w:tc>
          <w:tcPr>
            <w:tcW w:w="4264" w:type="dxa"/>
          </w:tcPr>
          <w:p w:rsidR="0040081F" w:rsidRPr="00720A59" w:rsidRDefault="0040081F" w:rsidP="00D715BA">
            <w:pPr>
              <w:pStyle w:val="Tabletext"/>
              <w:jc w:val="center"/>
            </w:pPr>
            <w:r w:rsidRPr="00720A59">
              <w:t>+300</w:t>
            </w:r>
          </w:p>
        </w:tc>
        <w:tc>
          <w:tcPr>
            <w:tcW w:w="4264" w:type="dxa"/>
          </w:tcPr>
          <w:p w:rsidR="0040081F" w:rsidRPr="00720A59" w:rsidRDefault="0040081F" w:rsidP="00D715BA">
            <w:pPr>
              <w:pStyle w:val="Tabletext"/>
              <w:jc w:val="center"/>
              <w:rPr>
                <w:snapToGrid w:val="0"/>
                <w:lang w:eastAsia="fr-FR"/>
              </w:rPr>
            </w:pPr>
            <w:r w:rsidRPr="00720A59">
              <w:t>–</w:t>
            </w:r>
            <w:r w:rsidRPr="00720A59">
              <w:rPr>
                <w:snapToGrid w:val="0"/>
                <w:lang w:eastAsia="fr-FR"/>
              </w:rPr>
              <w:t>58.4</w:t>
            </w:r>
          </w:p>
        </w:tc>
      </w:tr>
      <w:tr w:rsidR="0040081F" w:rsidRPr="00720A59" w:rsidTr="00DC4EB6">
        <w:trPr>
          <w:jc w:val="center"/>
        </w:trPr>
        <w:tc>
          <w:tcPr>
            <w:tcW w:w="4264" w:type="dxa"/>
          </w:tcPr>
          <w:p w:rsidR="0040081F" w:rsidRPr="00720A59" w:rsidRDefault="0040081F" w:rsidP="00D715BA">
            <w:pPr>
              <w:pStyle w:val="Tabletext"/>
              <w:jc w:val="center"/>
            </w:pPr>
            <w:r w:rsidRPr="00720A59">
              <w:t>+4.36</w:t>
            </w:r>
          </w:p>
        </w:tc>
        <w:tc>
          <w:tcPr>
            <w:tcW w:w="4264" w:type="dxa"/>
          </w:tcPr>
          <w:p w:rsidR="0040081F" w:rsidRPr="00720A59" w:rsidRDefault="0040081F" w:rsidP="00D715BA">
            <w:pPr>
              <w:pStyle w:val="Tabletext"/>
              <w:jc w:val="center"/>
              <w:rPr>
                <w:snapToGrid w:val="0"/>
                <w:lang w:eastAsia="fr-FR"/>
              </w:rPr>
            </w:pPr>
            <w:r w:rsidRPr="00720A59">
              <w:t>–</w:t>
            </w:r>
            <w:r w:rsidRPr="00720A59">
              <w:rPr>
                <w:snapToGrid w:val="0"/>
                <w:lang w:eastAsia="fr-FR"/>
              </w:rPr>
              <w:t>81.4</w:t>
            </w:r>
          </w:p>
        </w:tc>
      </w:tr>
      <w:tr w:rsidR="0040081F" w:rsidRPr="00720A59" w:rsidTr="00DC4EB6">
        <w:trPr>
          <w:jc w:val="center"/>
        </w:trPr>
        <w:tc>
          <w:tcPr>
            <w:tcW w:w="4264" w:type="dxa"/>
          </w:tcPr>
          <w:p w:rsidR="0040081F" w:rsidRPr="00720A59" w:rsidRDefault="0040081F" w:rsidP="00D715BA">
            <w:pPr>
              <w:pStyle w:val="Tabletext"/>
              <w:jc w:val="center"/>
            </w:pPr>
            <w:r w:rsidRPr="00720A59">
              <w:t>+15.00</w:t>
            </w:r>
          </w:p>
        </w:tc>
        <w:tc>
          <w:tcPr>
            <w:tcW w:w="4264" w:type="dxa"/>
          </w:tcPr>
          <w:p w:rsidR="0040081F" w:rsidRPr="00720A59" w:rsidRDefault="0040081F" w:rsidP="00D715BA">
            <w:pPr>
              <w:pStyle w:val="Tabletext"/>
              <w:jc w:val="center"/>
              <w:rPr>
                <w:snapToGrid w:val="0"/>
                <w:lang w:eastAsia="fr-FR"/>
              </w:rPr>
            </w:pPr>
            <w:r w:rsidRPr="00720A59">
              <w:t>–</w:t>
            </w:r>
            <w:r w:rsidRPr="00720A59">
              <w:rPr>
                <w:snapToGrid w:val="0"/>
                <w:lang w:eastAsia="fr-FR"/>
              </w:rPr>
              <w:t>81.4</w:t>
            </w:r>
          </w:p>
        </w:tc>
      </w:tr>
    </w:tbl>
    <w:p w:rsidR="0040081F" w:rsidRDefault="0040081F" w:rsidP="0040081F">
      <w:pPr>
        <w:pStyle w:val="Tablefin"/>
      </w:pPr>
    </w:p>
    <w:p w:rsidR="0040081F" w:rsidRDefault="0040081F" w:rsidP="0040081F">
      <w:pPr>
        <w:pStyle w:val="Heading2"/>
        <w:rPr>
          <w:lang w:val="en-US"/>
        </w:rPr>
      </w:pPr>
      <w:r>
        <w:rPr>
          <w:lang w:val="en-US"/>
        </w:rPr>
        <w:t>1.3</w:t>
      </w:r>
      <w:r>
        <w:rPr>
          <w:lang w:val="en-US"/>
        </w:rPr>
        <w:tab/>
        <w:t>Other 6 MHz digital television systems</w:t>
      </w:r>
    </w:p>
    <w:p w:rsidR="0040081F" w:rsidRDefault="0040081F" w:rsidP="0040081F">
      <w:pPr>
        <w:rPr>
          <w:lang w:val="en-US"/>
        </w:rPr>
      </w:pPr>
      <w:r>
        <w:rPr>
          <w:lang w:val="en-US"/>
        </w:rPr>
        <w:t>OoB domain emission limits for other 6 MHz digital television systems should be based on the national rules of the country using such systems.</w:t>
      </w:r>
    </w:p>
    <w:p w:rsidR="0040081F" w:rsidRDefault="0040081F" w:rsidP="0040081F">
      <w:pPr>
        <w:pStyle w:val="Heading1"/>
        <w:rPr>
          <w:lang w:val="en-US"/>
        </w:rPr>
      </w:pPr>
      <w:r>
        <w:rPr>
          <w:lang w:val="en-US"/>
        </w:rPr>
        <w:t>2</w:t>
      </w:r>
      <w:r>
        <w:rPr>
          <w:lang w:val="en-US"/>
        </w:rPr>
        <w:tab/>
        <w:t>Spectrum masks for 7 and 8 MHz channelling analogue and digital television systems</w:t>
      </w:r>
    </w:p>
    <w:p w:rsidR="0040081F" w:rsidRDefault="0040081F" w:rsidP="0040081F">
      <w:pPr>
        <w:pStyle w:val="Heading2"/>
        <w:rPr>
          <w:lang w:val="en-US"/>
        </w:rPr>
      </w:pPr>
      <w:r>
        <w:rPr>
          <w:lang w:val="en-US"/>
        </w:rPr>
        <w:t>2.1</w:t>
      </w:r>
      <w:r>
        <w:rPr>
          <w:lang w:val="en-US"/>
        </w:rPr>
        <w:tab/>
        <w:t>Analogue television systems</w:t>
      </w:r>
    </w:p>
    <w:p w:rsidR="0040081F" w:rsidRDefault="0040081F" w:rsidP="00D20A96">
      <w:pPr>
        <w:rPr>
          <w:lang w:val="en-US"/>
        </w:rPr>
      </w:pPr>
      <w:r>
        <w:rPr>
          <w:lang w:val="en-US"/>
        </w:rPr>
        <w:t xml:space="preserve">Spectrum limit masks for analogue television are shown in Figs </w:t>
      </w:r>
      <w:r w:rsidR="00D20A96">
        <w:rPr>
          <w:lang w:val="en-US"/>
        </w:rPr>
        <w:t>19</w:t>
      </w:r>
      <w:r>
        <w:rPr>
          <w:lang w:val="en-US"/>
        </w:rPr>
        <w:t>, 2</w:t>
      </w:r>
      <w:r w:rsidR="00D20A96">
        <w:rPr>
          <w:lang w:val="en-US"/>
        </w:rPr>
        <w:t>0</w:t>
      </w:r>
      <w:r>
        <w:rPr>
          <w:lang w:val="en-US"/>
        </w:rPr>
        <w:t xml:space="preserve"> and 2</w:t>
      </w:r>
      <w:r w:rsidR="00D20A96">
        <w:rPr>
          <w:lang w:val="en-US"/>
        </w:rPr>
        <w:t>1</w:t>
      </w:r>
      <w:r>
        <w:rPr>
          <w:lang w:val="en-US"/>
        </w:rPr>
        <w:t>. A generic approach is used to cover the following types of system:</w:t>
      </w:r>
    </w:p>
    <w:p w:rsidR="0040081F" w:rsidRDefault="0040081F" w:rsidP="0040081F">
      <w:pPr>
        <w:rPr>
          <w:lang w:val="en-US"/>
        </w:rPr>
      </w:pPr>
      <w:r>
        <w:rPr>
          <w:lang w:val="en-US"/>
        </w:rPr>
        <w:t>–</w:t>
      </w:r>
      <w:r>
        <w:rPr>
          <w:lang w:val="en-US"/>
        </w:rPr>
        <w:tab/>
        <w:t>7 MHz analogue television, negative modulation, 0.75 MHz vestigial side-band (VSB);</w:t>
      </w:r>
    </w:p>
    <w:p w:rsidR="0040081F" w:rsidRDefault="0040081F" w:rsidP="0040081F">
      <w:pPr>
        <w:pStyle w:val="enumlev1"/>
        <w:rPr>
          <w:lang w:val="en-US"/>
        </w:rPr>
      </w:pPr>
      <w:r>
        <w:rPr>
          <w:lang w:val="en-US"/>
        </w:rPr>
        <w:t>–</w:t>
      </w:r>
      <w:r>
        <w:rPr>
          <w:lang w:val="en-US"/>
        </w:rPr>
        <w:tab/>
        <w:t>8 MHz analogue television, negative modulation, 0.75 and 1.25 MHz VSB;</w:t>
      </w:r>
    </w:p>
    <w:p w:rsidR="0040081F" w:rsidRDefault="0040081F" w:rsidP="0040081F">
      <w:pPr>
        <w:pStyle w:val="enumlev1"/>
        <w:rPr>
          <w:lang w:val="en-US"/>
        </w:rPr>
      </w:pPr>
      <w:r>
        <w:rPr>
          <w:lang w:val="en-US"/>
        </w:rPr>
        <w:t>–</w:t>
      </w:r>
      <w:r>
        <w:rPr>
          <w:lang w:val="en-US"/>
        </w:rPr>
        <w:tab/>
        <w:t>8 MHz analogue television, positive modulation, 0.75 and 1.25 MHz VSB.</w:t>
      </w:r>
    </w:p>
    <w:p w:rsidR="0040081F" w:rsidRDefault="0040081F" w:rsidP="0040081F">
      <w:pPr>
        <w:rPr>
          <w:lang w:val="en-US"/>
        </w:rPr>
      </w:pPr>
      <w:r>
        <w:rPr>
          <w:lang w:val="en-US"/>
        </w:rPr>
        <w:t>Each graph is drawn to represent the spectrum limits for transmitters in the output power range 39 dBW to 50 dBW. Associated with each graph is a table of break points and a table of end point values, together with the corresponding spurious levels, for a range of transmitter output powers.</w:t>
      </w:r>
    </w:p>
    <w:p w:rsidR="0040081F" w:rsidRPr="00D715BA" w:rsidRDefault="0040081F" w:rsidP="00D715BA">
      <w:pPr>
        <w:rPr>
          <w:rFonts w:asciiTheme="majorBidi" w:hAnsiTheme="majorBidi" w:cstheme="majorBidi"/>
          <w:lang w:val="en-US"/>
        </w:rPr>
      </w:pPr>
      <w:r w:rsidRPr="00D715BA">
        <w:rPr>
          <w:rFonts w:asciiTheme="majorBidi" w:hAnsiTheme="majorBidi" w:cstheme="majorBidi"/>
          <w:lang w:val="en-US"/>
        </w:rPr>
        <w:t xml:space="preserve">For 7 MHz analogue television, the OoB domain extends from </w:t>
      </w:r>
      <w:r w:rsidR="00D715BA">
        <w:rPr>
          <w:rFonts w:asciiTheme="majorBidi" w:hAnsiTheme="majorBidi" w:cstheme="majorBidi"/>
          <w:lang w:val="en-US"/>
        </w:rPr>
        <w:sym w:font="Symbol" w:char="F0B1"/>
      </w:r>
      <w:r w:rsidRPr="00D715BA">
        <w:rPr>
          <w:rFonts w:asciiTheme="majorBidi" w:hAnsiTheme="majorBidi" w:cstheme="majorBidi"/>
          <w:lang w:val="en-US"/>
        </w:rPr>
        <w:t>3.5 MHz (i.e. </w:t>
      </w:r>
      <w:r w:rsidR="00D715BA">
        <w:rPr>
          <w:rFonts w:asciiTheme="majorBidi" w:hAnsiTheme="majorBidi" w:cstheme="majorBidi"/>
          <w:lang w:val="en-US"/>
        </w:rPr>
        <w:sym w:font="Symbol" w:char="F0B1"/>
      </w:r>
      <w:r w:rsidRPr="00D715BA">
        <w:rPr>
          <w:rFonts w:asciiTheme="majorBidi" w:hAnsiTheme="majorBidi" w:cstheme="majorBidi"/>
          <w:lang w:val="en-US"/>
        </w:rPr>
        <w:t>0.5 </w:t>
      </w:r>
      <w:r w:rsidR="00D715BA">
        <w:rPr>
          <w:rFonts w:asciiTheme="majorBidi" w:hAnsiTheme="majorBidi" w:cstheme="majorBidi"/>
          <w:lang w:val="en-US"/>
        </w:rPr>
        <w:sym w:font="Symbol" w:char="F0B4"/>
      </w:r>
      <w:r w:rsidRPr="00D715BA">
        <w:rPr>
          <w:rFonts w:asciiTheme="majorBidi" w:hAnsiTheme="majorBidi" w:cstheme="majorBidi"/>
          <w:lang w:val="en-US"/>
        </w:rPr>
        <w:t xml:space="preserve"> 7 MHz) to </w:t>
      </w:r>
      <w:r w:rsidR="00D715BA">
        <w:rPr>
          <w:rFonts w:asciiTheme="majorBidi" w:hAnsiTheme="majorBidi" w:cstheme="majorBidi"/>
          <w:lang w:val="en-US"/>
        </w:rPr>
        <w:sym w:font="Symbol" w:char="F0B1"/>
      </w:r>
      <w:r w:rsidRPr="00D715BA">
        <w:rPr>
          <w:rFonts w:asciiTheme="majorBidi" w:hAnsiTheme="majorBidi" w:cstheme="majorBidi"/>
          <w:lang w:val="en-US"/>
        </w:rPr>
        <w:t xml:space="preserve">17.5 MHz (i.e. </w:t>
      </w:r>
      <w:r w:rsidR="00D715BA">
        <w:rPr>
          <w:rFonts w:asciiTheme="majorBidi" w:hAnsiTheme="majorBidi" w:cstheme="majorBidi"/>
          <w:lang w:val="en-US"/>
        </w:rPr>
        <w:sym w:font="Symbol" w:char="F0B1"/>
      </w:r>
      <w:r w:rsidRPr="00D715BA">
        <w:rPr>
          <w:rFonts w:asciiTheme="majorBidi" w:hAnsiTheme="majorBidi" w:cstheme="majorBidi"/>
          <w:lang w:val="en-US"/>
        </w:rPr>
        <w:t xml:space="preserve">2.5 </w:t>
      </w:r>
      <w:r w:rsidR="00D715BA">
        <w:rPr>
          <w:rFonts w:asciiTheme="majorBidi" w:hAnsiTheme="majorBidi" w:cstheme="majorBidi"/>
          <w:lang w:val="en-US"/>
        </w:rPr>
        <w:sym w:font="Symbol" w:char="F0B4"/>
      </w:r>
      <w:r w:rsidRPr="00D715BA">
        <w:rPr>
          <w:rFonts w:asciiTheme="majorBidi" w:hAnsiTheme="majorBidi" w:cstheme="majorBidi"/>
          <w:lang w:val="en-US"/>
        </w:rPr>
        <w:t xml:space="preserve"> 7 MHz).</w:t>
      </w:r>
    </w:p>
    <w:p w:rsidR="0040081F" w:rsidRPr="00D715BA" w:rsidRDefault="0040081F" w:rsidP="00D715BA">
      <w:pPr>
        <w:rPr>
          <w:rFonts w:asciiTheme="majorBidi" w:hAnsiTheme="majorBidi" w:cstheme="majorBidi"/>
          <w:lang w:val="en-US"/>
        </w:rPr>
      </w:pPr>
      <w:r w:rsidRPr="00D715BA">
        <w:rPr>
          <w:rFonts w:asciiTheme="majorBidi" w:hAnsiTheme="majorBidi" w:cstheme="majorBidi"/>
          <w:lang w:val="en-US"/>
        </w:rPr>
        <w:t xml:space="preserve">For 8 MHz analogue television, the OoB domain extends from </w:t>
      </w:r>
      <w:r w:rsidR="00D715BA">
        <w:rPr>
          <w:rFonts w:asciiTheme="majorBidi" w:hAnsiTheme="majorBidi" w:cstheme="majorBidi"/>
          <w:lang w:val="en-US"/>
        </w:rPr>
        <w:sym w:font="Symbol" w:char="F0B1"/>
      </w:r>
      <w:r w:rsidRPr="00D715BA">
        <w:rPr>
          <w:rFonts w:asciiTheme="majorBidi" w:hAnsiTheme="majorBidi" w:cstheme="majorBidi"/>
          <w:lang w:val="en-US"/>
        </w:rPr>
        <w:t xml:space="preserve">4 MHz (i.e. </w:t>
      </w:r>
      <w:r w:rsidR="00D715BA">
        <w:rPr>
          <w:rFonts w:asciiTheme="majorBidi" w:hAnsiTheme="majorBidi" w:cstheme="majorBidi"/>
          <w:lang w:val="en-US"/>
        </w:rPr>
        <w:sym w:font="Symbol" w:char="F0B1"/>
      </w:r>
      <w:r w:rsidRPr="00D715BA">
        <w:rPr>
          <w:rFonts w:asciiTheme="majorBidi" w:hAnsiTheme="majorBidi" w:cstheme="majorBidi"/>
          <w:lang w:val="en-US"/>
        </w:rPr>
        <w:t>0.5 </w:t>
      </w:r>
      <w:r w:rsidR="00D715BA">
        <w:rPr>
          <w:rFonts w:asciiTheme="majorBidi" w:hAnsiTheme="majorBidi" w:cstheme="majorBidi"/>
          <w:lang w:val="en-US"/>
        </w:rPr>
        <w:sym w:font="Symbol" w:char="F0B4"/>
      </w:r>
      <w:r w:rsidRPr="00D715BA">
        <w:rPr>
          <w:rFonts w:asciiTheme="majorBidi" w:hAnsiTheme="majorBidi" w:cstheme="majorBidi"/>
          <w:lang w:val="en-US"/>
        </w:rPr>
        <w:t xml:space="preserve"> 8 MHz) to </w:t>
      </w:r>
      <w:r w:rsidR="00D715BA">
        <w:rPr>
          <w:rFonts w:asciiTheme="majorBidi" w:hAnsiTheme="majorBidi" w:cstheme="majorBidi"/>
          <w:lang w:val="en-US"/>
        </w:rPr>
        <w:sym w:font="Symbol" w:char="F0B1"/>
      </w:r>
      <w:r w:rsidRPr="00D715BA">
        <w:rPr>
          <w:rFonts w:asciiTheme="majorBidi" w:hAnsiTheme="majorBidi" w:cstheme="majorBidi"/>
          <w:lang w:val="en-US"/>
        </w:rPr>
        <w:t xml:space="preserve">20 MHz (i.e. </w:t>
      </w:r>
      <w:r w:rsidR="00D715BA">
        <w:rPr>
          <w:rFonts w:asciiTheme="majorBidi" w:hAnsiTheme="majorBidi" w:cstheme="majorBidi"/>
          <w:lang w:val="en-US"/>
        </w:rPr>
        <w:sym w:font="Symbol" w:char="F0B1"/>
      </w:r>
      <w:r w:rsidRPr="00D715BA">
        <w:rPr>
          <w:rFonts w:asciiTheme="majorBidi" w:hAnsiTheme="majorBidi" w:cstheme="majorBidi"/>
          <w:lang w:val="en-US"/>
        </w:rPr>
        <w:t xml:space="preserve">2.5 </w:t>
      </w:r>
      <w:r w:rsidR="00D715BA">
        <w:rPr>
          <w:rFonts w:asciiTheme="majorBidi" w:hAnsiTheme="majorBidi" w:cstheme="majorBidi"/>
          <w:lang w:val="en-US"/>
        </w:rPr>
        <w:sym w:font="Symbol" w:char="F0B4"/>
      </w:r>
      <w:r w:rsidRPr="00D715BA">
        <w:rPr>
          <w:rFonts w:asciiTheme="majorBidi" w:hAnsiTheme="majorBidi" w:cstheme="majorBidi"/>
          <w:lang w:val="en-US"/>
        </w:rPr>
        <w:t xml:space="preserve"> 8 MHz).</w:t>
      </w:r>
    </w:p>
    <w:p w:rsidR="0040081F" w:rsidRDefault="0040081F" w:rsidP="00E95CDC">
      <w:pPr>
        <w:rPr>
          <w:lang w:val="en-US"/>
        </w:rPr>
      </w:pPr>
      <w:r>
        <w:rPr>
          <w:lang w:val="en-US"/>
        </w:rPr>
        <w:t>For both 7 MHz and 8 MHz analogue television, a 50 kHz measurement bandwidth is used to measure unwanted emission levels. The 0 dB reference level corresponds to the peak synch power for negative modulation television systems, or the peak white power for positive modulation television systems. The highest mean power for negative modulation is assumed to be 2.5 dB below peak synch power, and for positive modulation it is assumed to be 1.2 dB below peak white power.</w:t>
      </w:r>
    </w:p>
    <w:p w:rsidR="0040081F" w:rsidRDefault="0040081F" w:rsidP="00701FC2">
      <w:pPr>
        <w:rPr>
          <w:lang w:val="en-US"/>
        </w:rPr>
      </w:pPr>
    </w:p>
    <w:p w:rsidR="00701FC2" w:rsidRPr="000D4195" w:rsidRDefault="00701FC2" w:rsidP="0040081F">
      <w:pPr>
        <w:pStyle w:val="FigureNo"/>
        <w:rPr>
          <w:lang w:val="en-US"/>
        </w:rPr>
      </w:pPr>
      <w:r w:rsidRPr="000D4195">
        <w:rPr>
          <w:lang w:val="en-US"/>
        </w:rPr>
        <w:lastRenderedPageBreak/>
        <w:t>FIGURE 19</w:t>
      </w:r>
    </w:p>
    <w:p w:rsidR="00701FC2" w:rsidRPr="000D4195" w:rsidRDefault="00701FC2" w:rsidP="00701FC2">
      <w:pPr>
        <w:pStyle w:val="Figuretitle"/>
        <w:rPr>
          <w:lang w:val="en-US"/>
        </w:rPr>
      </w:pPr>
      <w:r w:rsidRPr="000D4195">
        <w:rPr>
          <w:lang w:val="en-US"/>
        </w:rPr>
        <w:t>Spectrum limit mask for 7 MHz analogue television, negative</w:t>
      </w:r>
      <w:r w:rsidRPr="000D4195">
        <w:rPr>
          <w:lang w:val="en-US"/>
        </w:rPr>
        <w:br/>
        <w:t xml:space="preserve">modulation 0.75 MHz VSB (for </w:t>
      </w:r>
      <w:r w:rsidRPr="000D4195">
        <w:rPr>
          <w:i/>
          <w:iCs/>
          <w:lang w:val="en-US"/>
        </w:rPr>
        <w:t>P</w:t>
      </w:r>
      <w:r w:rsidRPr="000D4195">
        <w:rPr>
          <w:lang w:val="en-US"/>
        </w:rPr>
        <w:t xml:space="preserve"> = 39 to 50 dBW)</w:t>
      </w:r>
    </w:p>
    <w:p w:rsidR="00701FC2" w:rsidRPr="00701FC2" w:rsidRDefault="00273E2F" w:rsidP="00701FC2">
      <w:pPr>
        <w:pStyle w:val="Figure"/>
      </w:pPr>
      <w:r>
        <w:rPr>
          <w:noProof/>
          <w:lang w:val="en-US" w:eastAsia="zh-CN"/>
        </w:rPr>
        <w:drawing>
          <wp:inline distT="0" distB="0" distL="0" distR="0" wp14:anchorId="358057A2" wp14:editId="17AEA849">
            <wp:extent cx="6007100" cy="4622800"/>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007100" cy="4622800"/>
                    </a:xfrm>
                    <a:prstGeom prst="rect">
                      <a:avLst/>
                    </a:prstGeom>
                    <a:noFill/>
                    <a:ln>
                      <a:noFill/>
                    </a:ln>
                  </pic:spPr>
                </pic:pic>
              </a:graphicData>
            </a:graphic>
          </wp:inline>
        </w:drawing>
      </w:r>
    </w:p>
    <w:p w:rsidR="00805E7E" w:rsidRDefault="00805E7E" w:rsidP="00701FC2">
      <w:pPr>
        <w:rPr>
          <w:lang w:val="en-US"/>
        </w:rPr>
      </w:pPr>
    </w:p>
    <w:p w:rsidR="0040081F" w:rsidRDefault="0040081F" w:rsidP="00701FC2">
      <w:pPr>
        <w:rPr>
          <w:lang w:val="en-US"/>
        </w:rPr>
      </w:pPr>
      <w:r>
        <w:rPr>
          <w:lang w:val="en-US"/>
        </w:rPr>
        <w:t>Table 8 provides break points corresponding to the graph shown in Fig. </w:t>
      </w:r>
      <w:r w:rsidR="00701FC2">
        <w:rPr>
          <w:lang w:val="en-US"/>
        </w:rPr>
        <w:t>19</w:t>
      </w:r>
      <w:r>
        <w:rPr>
          <w:lang w:val="en-US"/>
        </w:rPr>
        <w:t xml:space="preserve"> for 7 MHz analogue television, negative modulation, 0.75 MHz VSB.</w:t>
      </w:r>
    </w:p>
    <w:p w:rsidR="00805E7E" w:rsidRDefault="00805E7E" w:rsidP="00701FC2">
      <w:pPr>
        <w:rPr>
          <w:lang w:val="en-US"/>
        </w:rPr>
      </w:pPr>
    </w:p>
    <w:p w:rsidR="0040081F" w:rsidRDefault="0040081F" w:rsidP="0040081F">
      <w:pPr>
        <w:pStyle w:val="TableNo"/>
        <w:rPr>
          <w:lang w:val="en-US"/>
        </w:rPr>
      </w:pPr>
      <w:r>
        <w:rPr>
          <w:lang w:val="en-US"/>
        </w:rPr>
        <w:t>TABLE  8</w:t>
      </w:r>
    </w:p>
    <w:p w:rsidR="0040081F" w:rsidRDefault="0040081F" w:rsidP="0040081F">
      <w:pPr>
        <w:pStyle w:val="Tabletitle"/>
        <w:rPr>
          <w:lang w:val="en-US"/>
        </w:rPr>
      </w:pPr>
      <w:r>
        <w:rPr>
          <w:lang w:val="en-US"/>
        </w:rPr>
        <w:t>Break points for 7 MHz analogue television,</w:t>
      </w:r>
      <w:r>
        <w:rPr>
          <w:lang w:val="en-US"/>
        </w:rPr>
        <w:br/>
        <w:t>negative modulation, 0.75 MHz VSB</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843"/>
        <w:gridCol w:w="2843"/>
      </w:tblGrid>
      <w:tr w:rsidR="0040081F" w:rsidRPr="00620821" w:rsidTr="00DC4EB6">
        <w:trPr>
          <w:jc w:val="center"/>
        </w:trPr>
        <w:tc>
          <w:tcPr>
            <w:tcW w:w="2843" w:type="dxa"/>
            <w:vAlign w:val="center"/>
          </w:tcPr>
          <w:p w:rsidR="0040081F" w:rsidRDefault="0040081F" w:rsidP="00701FC2">
            <w:pPr>
              <w:pStyle w:val="Tablehead"/>
              <w:rPr>
                <w:lang w:val="en-US"/>
              </w:rPr>
            </w:pPr>
            <w:r>
              <w:rPr>
                <w:lang w:val="en-US"/>
              </w:rPr>
              <w:t>Frequency relative to the vision carrier frequency</w:t>
            </w:r>
          </w:p>
        </w:tc>
        <w:tc>
          <w:tcPr>
            <w:tcW w:w="2843" w:type="dxa"/>
            <w:vAlign w:val="center"/>
          </w:tcPr>
          <w:p w:rsidR="0040081F" w:rsidRDefault="0040081F" w:rsidP="00701FC2">
            <w:pPr>
              <w:pStyle w:val="Tablehead"/>
              <w:rPr>
                <w:lang w:val="en-US"/>
              </w:rPr>
            </w:pPr>
            <w:r>
              <w:rPr>
                <w:lang w:val="en-US"/>
              </w:rPr>
              <w:t>Frequency relative to the centre of the 7 MHz channel</w:t>
            </w:r>
          </w:p>
        </w:tc>
        <w:tc>
          <w:tcPr>
            <w:tcW w:w="2843" w:type="dxa"/>
            <w:vAlign w:val="center"/>
          </w:tcPr>
          <w:p w:rsidR="0040081F" w:rsidRDefault="0040081F" w:rsidP="00701FC2">
            <w:pPr>
              <w:pStyle w:val="Tablehead"/>
              <w:rPr>
                <w:lang w:val="en-US"/>
              </w:rPr>
            </w:pPr>
            <w:r>
              <w:rPr>
                <w:lang w:val="en-US"/>
              </w:rPr>
              <w:t>Relative level in 50 kHz measurement bandwidth (dB)</w:t>
            </w:r>
          </w:p>
        </w:tc>
      </w:tr>
      <w:tr w:rsidR="0040081F" w:rsidTr="00DC4EB6">
        <w:trPr>
          <w:jc w:val="center"/>
        </w:trPr>
        <w:tc>
          <w:tcPr>
            <w:tcW w:w="2843" w:type="dxa"/>
          </w:tcPr>
          <w:p w:rsidR="0040081F" w:rsidRDefault="0040081F" w:rsidP="00D715BA">
            <w:pPr>
              <w:pStyle w:val="Tabletext"/>
              <w:jc w:val="center"/>
              <w:rPr>
                <w:lang w:val="en-US"/>
              </w:rPr>
            </w:pPr>
            <w:r>
              <w:rPr>
                <w:lang w:val="en-US"/>
              </w:rPr>
              <w:t>–15.25</w:t>
            </w:r>
          </w:p>
        </w:tc>
        <w:tc>
          <w:tcPr>
            <w:tcW w:w="2843" w:type="dxa"/>
          </w:tcPr>
          <w:p w:rsidR="0040081F" w:rsidRDefault="0040081F" w:rsidP="00D715BA">
            <w:pPr>
              <w:pStyle w:val="Tabletext"/>
              <w:jc w:val="center"/>
              <w:rPr>
                <w:lang w:val="en-US"/>
              </w:rPr>
            </w:pPr>
            <w:r>
              <w:rPr>
                <w:lang w:val="en-US"/>
              </w:rPr>
              <w:t>–17.5</w:t>
            </w:r>
          </w:p>
        </w:tc>
        <w:tc>
          <w:tcPr>
            <w:tcW w:w="2843" w:type="dxa"/>
          </w:tcPr>
          <w:p w:rsidR="0040081F" w:rsidRDefault="0040081F" w:rsidP="00D715BA">
            <w:pPr>
              <w:pStyle w:val="Tabletext"/>
              <w:jc w:val="center"/>
              <w:rPr>
                <w:lang w:val="en-US"/>
              </w:rPr>
            </w:pPr>
            <w:r>
              <w:rPr>
                <w:lang w:val="en-US"/>
              </w:rPr>
              <w:t>–90.5</w:t>
            </w:r>
          </w:p>
        </w:tc>
      </w:tr>
      <w:tr w:rsidR="0040081F" w:rsidTr="00DC4EB6">
        <w:trPr>
          <w:jc w:val="center"/>
        </w:trPr>
        <w:tc>
          <w:tcPr>
            <w:tcW w:w="2843" w:type="dxa"/>
          </w:tcPr>
          <w:p w:rsidR="0040081F" w:rsidRDefault="0040081F" w:rsidP="00D715BA">
            <w:pPr>
              <w:pStyle w:val="Tabletext"/>
              <w:jc w:val="center"/>
              <w:rPr>
                <w:lang w:val="en-US"/>
              </w:rPr>
            </w:pPr>
            <w:r>
              <w:rPr>
                <w:lang w:val="en-US"/>
              </w:rPr>
              <w:t>–8.25</w:t>
            </w:r>
          </w:p>
        </w:tc>
        <w:tc>
          <w:tcPr>
            <w:tcW w:w="2843" w:type="dxa"/>
          </w:tcPr>
          <w:p w:rsidR="0040081F" w:rsidRDefault="0040081F" w:rsidP="00D715BA">
            <w:pPr>
              <w:pStyle w:val="Tabletext"/>
              <w:jc w:val="center"/>
              <w:rPr>
                <w:lang w:val="en-US"/>
              </w:rPr>
            </w:pPr>
            <w:r>
              <w:rPr>
                <w:lang w:val="en-US"/>
              </w:rPr>
              <w:t>–10.5</w:t>
            </w:r>
          </w:p>
        </w:tc>
        <w:tc>
          <w:tcPr>
            <w:tcW w:w="2843" w:type="dxa"/>
          </w:tcPr>
          <w:p w:rsidR="0040081F" w:rsidRDefault="0040081F" w:rsidP="00D715BA">
            <w:pPr>
              <w:pStyle w:val="Tabletext"/>
              <w:jc w:val="center"/>
              <w:rPr>
                <w:lang w:val="en-US"/>
              </w:rPr>
            </w:pPr>
            <w:r>
              <w:rPr>
                <w:lang w:val="en-US"/>
              </w:rPr>
              <w:t>–65.5</w:t>
            </w:r>
          </w:p>
        </w:tc>
      </w:tr>
      <w:tr w:rsidR="0040081F" w:rsidTr="00DC4EB6">
        <w:trPr>
          <w:jc w:val="center"/>
        </w:trPr>
        <w:tc>
          <w:tcPr>
            <w:tcW w:w="2843" w:type="dxa"/>
          </w:tcPr>
          <w:p w:rsidR="0040081F" w:rsidRDefault="0040081F" w:rsidP="00D715BA">
            <w:pPr>
              <w:pStyle w:val="Tabletext"/>
              <w:jc w:val="center"/>
              <w:rPr>
                <w:lang w:val="en-US"/>
              </w:rPr>
            </w:pPr>
            <w:r>
              <w:rPr>
                <w:lang w:val="en-US"/>
              </w:rPr>
              <w:t>–5.5</w:t>
            </w:r>
          </w:p>
        </w:tc>
        <w:tc>
          <w:tcPr>
            <w:tcW w:w="2843" w:type="dxa"/>
          </w:tcPr>
          <w:p w:rsidR="0040081F" w:rsidRDefault="0040081F" w:rsidP="00D715BA">
            <w:pPr>
              <w:pStyle w:val="Tabletext"/>
              <w:jc w:val="center"/>
              <w:rPr>
                <w:lang w:val="en-US"/>
              </w:rPr>
            </w:pPr>
            <w:r>
              <w:rPr>
                <w:lang w:val="en-US"/>
              </w:rPr>
              <w:t>–7.75</w:t>
            </w:r>
          </w:p>
        </w:tc>
        <w:tc>
          <w:tcPr>
            <w:tcW w:w="2843" w:type="dxa"/>
          </w:tcPr>
          <w:p w:rsidR="0040081F" w:rsidRDefault="0040081F" w:rsidP="00D715BA">
            <w:pPr>
              <w:pStyle w:val="Tabletext"/>
              <w:jc w:val="center"/>
              <w:rPr>
                <w:szCs w:val="24"/>
                <w:lang w:val="en-US"/>
              </w:rPr>
            </w:pPr>
            <w:r>
              <w:rPr>
                <w:szCs w:val="24"/>
                <w:lang w:val="en-US"/>
              </w:rPr>
              <w:t>–56</w:t>
            </w:r>
          </w:p>
        </w:tc>
      </w:tr>
      <w:tr w:rsidR="0040081F" w:rsidTr="00DC4EB6">
        <w:trPr>
          <w:jc w:val="center"/>
        </w:trPr>
        <w:tc>
          <w:tcPr>
            <w:tcW w:w="2843" w:type="dxa"/>
          </w:tcPr>
          <w:p w:rsidR="0040081F" w:rsidRDefault="0040081F" w:rsidP="00D715BA">
            <w:pPr>
              <w:pStyle w:val="Tabletext"/>
              <w:jc w:val="center"/>
              <w:rPr>
                <w:lang w:val="en-US"/>
              </w:rPr>
            </w:pPr>
            <w:r>
              <w:rPr>
                <w:lang w:val="en-US"/>
              </w:rPr>
              <w:t>–5</w:t>
            </w:r>
          </w:p>
        </w:tc>
        <w:tc>
          <w:tcPr>
            <w:tcW w:w="2843" w:type="dxa"/>
          </w:tcPr>
          <w:p w:rsidR="0040081F" w:rsidRDefault="0040081F" w:rsidP="00D715BA">
            <w:pPr>
              <w:pStyle w:val="Tabletext"/>
              <w:jc w:val="center"/>
              <w:rPr>
                <w:lang w:val="en-US"/>
              </w:rPr>
            </w:pPr>
            <w:r>
              <w:rPr>
                <w:lang w:val="en-US"/>
              </w:rPr>
              <w:t>–7.25</w:t>
            </w:r>
          </w:p>
        </w:tc>
        <w:tc>
          <w:tcPr>
            <w:tcW w:w="2843" w:type="dxa"/>
          </w:tcPr>
          <w:p w:rsidR="0040081F" w:rsidRDefault="0040081F" w:rsidP="00D715BA">
            <w:pPr>
              <w:pStyle w:val="Tabletext"/>
              <w:jc w:val="center"/>
              <w:rPr>
                <w:lang w:val="en-US"/>
              </w:rPr>
            </w:pPr>
            <w:r>
              <w:rPr>
                <w:lang w:val="en-US"/>
              </w:rPr>
              <w:t>–36</w:t>
            </w:r>
          </w:p>
        </w:tc>
      </w:tr>
      <w:tr w:rsidR="0040081F" w:rsidTr="00DC4EB6">
        <w:trPr>
          <w:jc w:val="center"/>
        </w:trPr>
        <w:tc>
          <w:tcPr>
            <w:tcW w:w="2843" w:type="dxa"/>
          </w:tcPr>
          <w:p w:rsidR="0040081F" w:rsidRDefault="0040081F" w:rsidP="00D715BA">
            <w:pPr>
              <w:pStyle w:val="Tabletext"/>
              <w:jc w:val="center"/>
              <w:rPr>
                <w:lang w:val="en-US"/>
              </w:rPr>
            </w:pPr>
            <w:r>
              <w:rPr>
                <w:lang w:val="en-US"/>
              </w:rPr>
              <w:t>–1.25</w:t>
            </w:r>
          </w:p>
        </w:tc>
        <w:tc>
          <w:tcPr>
            <w:tcW w:w="2843" w:type="dxa"/>
          </w:tcPr>
          <w:p w:rsidR="0040081F" w:rsidRDefault="0040081F" w:rsidP="00D715BA">
            <w:pPr>
              <w:pStyle w:val="Tabletext"/>
              <w:jc w:val="center"/>
              <w:rPr>
                <w:lang w:val="en-US"/>
              </w:rPr>
            </w:pPr>
            <w:r>
              <w:rPr>
                <w:lang w:val="en-US"/>
              </w:rPr>
              <w:t>–3.5</w:t>
            </w:r>
          </w:p>
        </w:tc>
        <w:tc>
          <w:tcPr>
            <w:tcW w:w="2843" w:type="dxa"/>
          </w:tcPr>
          <w:p w:rsidR="0040081F" w:rsidRDefault="0040081F" w:rsidP="00D715BA">
            <w:pPr>
              <w:pStyle w:val="Tabletext"/>
              <w:jc w:val="center"/>
              <w:rPr>
                <w:lang w:val="en-US"/>
              </w:rPr>
            </w:pPr>
            <w:r>
              <w:rPr>
                <w:lang w:val="en-US"/>
              </w:rPr>
              <w:t>–36</w:t>
            </w:r>
          </w:p>
        </w:tc>
      </w:tr>
    </w:tbl>
    <w:p w:rsidR="00805E7E" w:rsidRDefault="00805E7E" w:rsidP="00805E7E">
      <w:pPr>
        <w:pStyle w:val="Tablefin"/>
      </w:pPr>
    </w:p>
    <w:p w:rsidR="00805E7E" w:rsidRDefault="00805E7E" w:rsidP="00805E7E">
      <w:pPr>
        <w:pStyle w:val="TableNo"/>
        <w:rPr>
          <w:lang w:val="en-US"/>
        </w:rPr>
      </w:pPr>
      <w:r>
        <w:rPr>
          <w:lang w:val="en-US"/>
        </w:rPr>
        <w:lastRenderedPageBreak/>
        <w:t>TABLE  8 (</w:t>
      </w:r>
      <w:r w:rsidRPr="00805E7E">
        <w:rPr>
          <w:i/>
          <w:iCs/>
          <w:lang w:val="en-US"/>
        </w:rPr>
        <w:t>end</w:t>
      </w:r>
      <w:r>
        <w:rPr>
          <w:lang w:val="en-US"/>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843"/>
        <w:gridCol w:w="2843"/>
      </w:tblGrid>
      <w:tr w:rsidR="00805E7E" w:rsidRPr="00620821" w:rsidTr="00DC4EB6">
        <w:trPr>
          <w:jc w:val="center"/>
        </w:trPr>
        <w:tc>
          <w:tcPr>
            <w:tcW w:w="2843" w:type="dxa"/>
            <w:vAlign w:val="center"/>
          </w:tcPr>
          <w:p w:rsidR="00805E7E" w:rsidRDefault="00805E7E" w:rsidP="00DC4EB6">
            <w:pPr>
              <w:pStyle w:val="Tablehead"/>
              <w:rPr>
                <w:lang w:val="en-US"/>
              </w:rPr>
            </w:pPr>
            <w:r>
              <w:rPr>
                <w:lang w:val="en-US"/>
              </w:rPr>
              <w:t>Frequency relative to the vision carrier frequency</w:t>
            </w:r>
          </w:p>
        </w:tc>
        <w:tc>
          <w:tcPr>
            <w:tcW w:w="2843" w:type="dxa"/>
            <w:vAlign w:val="center"/>
          </w:tcPr>
          <w:p w:rsidR="00805E7E" w:rsidRDefault="00805E7E" w:rsidP="00DC4EB6">
            <w:pPr>
              <w:pStyle w:val="Tablehead"/>
              <w:rPr>
                <w:lang w:val="en-US"/>
              </w:rPr>
            </w:pPr>
            <w:r>
              <w:rPr>
                <w:lang w:val="en-US"/>
              </w:rPr>
              <w:t>Frequency relative to the centre of the 7 MHz channel</w:t>
            </w:r>
          </w:p>
        </w:tc>
        <w:tc>
          <w:tcPr>
            <w:tcW w:w="2843" w:type="dxa"/>
            <w:vAlign w:val="center"/>
          </w:tcPr>
          <w:p w:rsidR="00805E7E" w:rsidRDefault="00805E7E" w:rsidP="00DC4EB6">
            <w:pPr>
              <w:pStyle w:val="Tablehead"/>
              <w:rPr>
                <w:lang w:val="en-US"/>
              </w:rPr>
            </w:pPr>
            <w:r>
              <w:rPr>
                <w:lang w:val="en-US"/>
              </w:rPr>
              <w:t>Relative level in 50 kHz measurement bandwidth (dB)</w:t>
            </w:r>
          </w:p>
        </w:tc>
      </w:tr>
      <w:tr w:rsidR="0040081F" w:rsidTr="00DC4EB6">
        <w:trPr>
          <w:jc w:val="center"/>
        </w:trPr>
        <w:tc>
          <w:tcPr>
            <w:tcW w:w="2843" w:type="dxa"/>
          </w:tcPr>
          <w:p w:rsidR="0040081F" w:rsidRDefault="0040081F" w:rsidP="00D715BA">
            <w:pPr>
              <w:pStyle w:val="Tabletext"/>
              <w:jc w:val="center"/>
              <w:rPr>
                <w:lang w:val="en-US"/>
              </w:rPr>
            </w:pPr>
            <w:r>
              <w:rPr>
                <w:lang w:val="en-US"/>
              </w:rPr>
              <w:t>–0.75</w:t>
            </w:r>
          </w:p>
        </w:tc>
        <w:tc>
          <w:tcPr>
            <w:tcW w:w="2843" w:type="dxa"/>
          </w:tcPr>
          <w:p w:rsidR="0040081F" w:rsidRDefault="0040081F" w:rsidP="00D715BA">
            <w:pPr>
              <w:pStyle w:val="Tabletext"/>
              <w:jc w:val="center"/>
              <w:rPr>
                <w:lang w:val="en-US"/>
              </w:rPr>
            </w:pPr>
            <w:r>
              <w:rPr>
                <w:lang w:val="en-US"/>
              </w:rPr>
              <w:t>–3</w:t>
            </w:r>
          </w:p>
        </w:tc>
        <w:tc>
          <w:tcPr>
            <w:tcW w:w="2843" w:type="dxa"/>
          </w:tcPr>
          <w:p w:rsidR="0040081F" w:rsidRDefault="0040081F" w:rsidP="00D715BA">
            <w:pPr>
              <w:pStyle w:val="Tabletext"/>
              <w:jc w:val="center"/>
              <w:rPr>
                <w:lang w:val="en-US"/>
              </w:rPr>
            </w:pPr>
            <w:r>
              <w:rPr>
                <w:lang w:val="en-US"/>
              </w:rPr>
              <w:t>–16</w:t>
            </w:r>
          </w:p>
        </w:tc>
      </w:tr>
      <w:tr w:rsidR="0040081F" w:rsidTr="00DC4EB6">
        <w:trPr>
          <w:jc w:val="center"/>
        </w:trPr>
        <w:tc>
          <w:tcPr>
            <w:tcW w:w="2843" w:type="dxa"/>
          </w:tcPr>
          <w:p w:rsidR="0040081F" w:rsidRDefault="0040081F" w:rsidP="00D715BA">
            <w:pPr>
              <w:pStyle w:val="Tabletext"/>
              <w:jc w:val="center"/>
              <w:rPr>
                <w:lang w:val="en-US"/>
              </w:rPr>
            </w:pPr>
            <w:r>
              <w:rPr>
                <w:lang w:val="en-US"/>
              </w:rPr>
              <w:t>–0.18</w:t>
            </w:r>
          </w:p>
        </w:tc>
        <w:tc>
          <w:tcPr>
            <w:tcW w:w="2843" w:type="dxa"/>
          </w:tcPr>
          <w:p w:rsidR="0040081F" w:rsidRDefault="0040081F" w:rsidP="00D715BA">
            <w:pPr>
              <w:pStyle w:val="Tabletext"/>
              <w:jc w:val="center"/>
              <w:rPr>
                <w:lang w:val="en-US"/>
              </w:rPr>
            </w:pPr>
            <w:r>
              <w:rPr>
                <w:lang w:val="en-US"/>
              </w:rPr>
              <w:t>–2.43</w:t>
            </w:r>
          </w:p>
        </w:tc>
        <w:tc>
          <w:tcPr>
            <w:tcW w:w="2843" w:type="dxa"/>
          </w:tcPr>
          <w:p w:rsidR="0040081F" w:rsidRDefault="0040081F" w:rsidP="00D715BA">
            <w:pPr>
              <w:pStyle w:val="Tabletext"/>
              <w:jc w:val="center"/>
              <w:rPr>
                <w:lang w:val="en-US"/>
              </w:rPr>
            </w:pPr>
            <w:r>
              <w:rPr>
                <w:lang w:val="en-US"/>
              </w:rPr>
              <w:t>–16</w:t>
            </w:r>
          </w:p>
        </w:tc>
      </w:tr>
      <w:tr w:rsidR="0040081F" w:rsidTr="00DC4EB6">
        <w:trPr>
          <w:jc w:val="center"/>
        </w:trPr>
        <w:tc>
          <w:tcPr>
            <w:tcW w:w="2843" w:type="dxa"/>
          </w:tcPr>
          <w:p w:rsidR="0040081F" w:rsidRDefault="0040081F" w:rsidP="00D715BA">
            <w:pPr>
              <w:pStyle w:val="Tabletext"/>
              <w:jc w:val="center"/>
              <w:rPr>
                <w:lang w:val="en-US"/>
              </w:rPr>
            </w:pPr>
            <w:r>
              <w:rPr>
                <w:lang w:val="en-US"/>
              </w:rPr>
              <w:t>0</w:t>
            </w:r>
          </w:p>
        </w:tc>
        <w:tc>
          <w:tcPr>
            <w:tcW w:w="2843" w:type="dxa"/>
          </w:tcPr>
          <w:p w:rsidR="0040081F" w:rsidRDefault="0040081F" w:rsidP="00D715BA">
            <w:pPr>
              <w:pStyle w:val="Tabletext"/>
              <w:jc w:val="center"/>
              <w:rPr>
                <w:lang w:val="en-US"/>
              </w:rPr>
            </w:pPr>
            <w:r>
              <w:rPr>
                <w:lang w:val="en-US"/>
              </w:rPr>
              <w:t>–2.25</w:t>
            </w:r>
          </w:p>
        </w:tc>
        <w:tc>
          <w:tcPr>
            <w:tcW w:w="2843" w:type="dxa"/>
          </w:tcPr>
          <w:p w:rsidR="0040081F" w:rsidRDefault="0040081F" w:rsidP="00D715BA">
            <w:pPr>
              <w:pStyle w:val="Tabletext"/>
              <w:jc w:val="center"/>
              <w:rPr>
                <w:szCs w:val="24"/>
                <w:lang w:val="en-US"/>
              </w:rPr>
            </w:pPr>
            <w:r>
              <w:rPr>
                <w:szCs w:val="24"/>
                <w:lang w:val="en-US"/>
              </w:rPr>
              <w:t>0</w:t>
            </w:r>
          </w:p>
        </w:tc>
      </w:tr>
      <w:tr w:rsidR="0040081F" w:rsidTr="00DC4EB6">
        <w:trPr>
          <w:jc w:val="center"/>
        </w:trPr>
        <w:tc>
          <w:tcPr>
            <w:tcW w:w="2843" w:type="dxa"/>
          </w:tcPr>
          <w:p w:rsidR="0040081F" w:rsidRDefault="0040081F" w:rsidP="00D715BA">
            <w:pPr>
              <w:pStyle w:val="Tabletext"/>
              <w:jc w:val="center"/>
              <w:rPr>
                <w:lang w:val="en-US"/>
              </w:rPr>
            </w:pPr>
            <w:r>
              <w:rPr>
                <w:lang w:val="en-US"/>
              </w:rPr>
              <w:t>0.18</w:t>
            </w:r>
          </w:p>
        </w:tc>
        <w:tc>
          <w:tcPr>
            <w:tcW w:w="2843" w:type="dxa"/>
          </w:tcPr>
          <w:p w:rsidR="0040081F" w:rsidRDefault="0040081F" w:rsidP="00D715BA">
            <w:pPr>
              <w:pStyle w:val="Tabletext"/>
              <w:jc w:val="center"/>
              <w:rPr>
                <w:lang w:val="en-US"/>
              </w:rPr>
            </w:pPr>
            <w:r>
              <w:rPr>
                <w:lang w:val="en-US"/>
              </w:rPr>
              <w:t>–2.07</w:t>
            </w:r>
          </w:p>
        </w:tc>
        <w:tc>
          <w:tcPr>
            <w:tcW w:w="2843" w:type="dxa"/>
          </w:tcPr>
          <w:p w:rsidR="0040081F" w:rsidRDefault="0040081F" w:rsidP="00D715BA">
            <w:pPr>
              <w:pStyle w:val="Tabletext"/>
              <w:jc w:val="center"/>
              <w:rPr>
                <w:lang w:val="en-US"/>
              </w:rPr>
            </w:pPr>
            <w:r>
              <w:rPr>
                <w:lang w:val="en-US"/>
              </w:rPr>
              <w:t>–</w:t>
            </w:r>
            <w:r>
              <w:rPr>
                <w:szCs w:val="24"/>
                <w:lang w:val="en-US"/>
              </w:rPr>
              <w:t>16</w:t>
            </w:r>
          </w:p>
        </w:tc>
      </w:tr>
      <w:tr w:rsidR="0040081F" w:rsidTr="00DC4EB6">
        <w:trPr>
          <w:jc w:val="center"/>
        </w:trPr>
        <w:tc>
          <w:tcPr>
            <w:tcW w:w="2843" w:type="dxa"/>
          </w:tcPr>
          <w:p w:rsidR="0040081F" w:rsidRDefault="0040081F" w:rsidP="00D715BA">
            <w:pPr>
              <w:pStyle w:val="Tabletext"/>
              <w:jc w:val="center"/>
              <w:rPr>
                <w:lang w:val="en-US"/>
              </w:rPr>
            </w:pPr>
            <w:r>
              <w:rPr>
                <w:lang w:val="en-US"/>
              </w:rPr>
              <w:t>5</w:t>
            </w:r>
          </w:p>
        </w:tc>
        <w:tc>
          <w:tcPr>
            <w:tcW w:w="2843" w:type="dxa"/>
          </w:tcPr>
          <w:p w:rsidR="0040081F" w:rsidRDefault="0040081F" w:rsidP="00D715BA">
            <w:pPr>
              <w:pStyle w:val="Tabletext"/>
              <w:jc w:val="center"/>
              <w:rPr>
                <w:lang w:val="en-US"/>
              </w:rPr>
            </w:pPr>
            <w:r>
              <w:rPr>
                <w:lang w:val="en-US"/>
              </w:rPr>
              <w:t>2.75</w:t>
            </w:r>
          </w:p>
        </w:tc>
        <w:tc>
          <w:tcPr>
            <w:tcW w:w="2843" w:type="dxa"/>
          </w:tcPr>
          <w:p w:rsidR="0040081F" w:rsidRDefault="0040081F" w:rsidP="00D715BA">
            <w:pPr>
              <w:pStyle w:val="Tabletext"/>
              <w:jc w:val="center"/>
              <w:rPr>
                <w:lang w:val="en-US"/>
              </w:rPr>
            </w:pPr>
            <w:r>
              <w:rPr>
                <w:lang w:val="en-US"/>
              </w:rPr>
              <w:t>–16</w:t>
            </w:r>
          </w:p>
        </w:tc>
      </w:tr>
      <w:tr w:rsidR="0040081F" w:rsidTr="00DC4EB6">
        <w:trPr>
          <w:jc w:val="center"/>
        </w:trPr>
        <w:tc>
          <w:tcPr>
            <w:tcW w:w="2843" w:type="dxa"/>
          </w:tcPr>
          <w:p w:rsidR="0040081F" w:rsidRDefault="0040081F" w:rsidP="00D715BA">
            <w:pPr>
              <w:pStyle w:val="Tabletext"/>
              <w:jc w:val="center"/>
              <w:rPr>
                <w:lang w:val="en-US"/>
              </w:rPr>
            </w:pPr>
            <w:r>
              <w:rPr>
                <w:lang w:val="en-US"/>
              </w:rPr>
              <w:t>5.435</w:t>
            </w:r>
          </w:p>
        </w:tc>
        <w:tc>
          <w:tcPr>
            <w:tcW w:w="2843" w:type="dxa"/>
          </w:tcPr>
          <w:p w:rsidR="0040081F" w:rsidRDefault="0040081F" w:rsidP="00D715BA">
            <w:pPr>
              <w:pStyle w:val="Tabletext"/>
              <w:jc w:val="center"/>
              <w:rPr>
                <w:lang w:val="en-US"/>
              </w:rPr>
            </w:pPr>
            <w:r>
              <w:rPr>
                <w:lang w:val="en-US"/>
              </w:rPr>
              <w:t>3.185</w:t>
            </w:r>
          </w:p>
        </w:tc>
        <w:tc>
          <w:tcPr>
            <w:tcW w:w="2843" w:type="dxa"/>
          </w:tcPr>
          <w:p w:rsidR="0040081F" w:rsidRDefault="0040081F" w:rsidP="00D715BA">
            <w:pPr>
              <w:pStyle w:val="Tabletext"/>
              <w:jc w:val="center"/>
              <w:rPr>
                <w:lang w:val="en-US"/>
              </w:rPr>
            </w:pPr>
            <w:r>
              <w:rPr>
                <w:lang w:val="en-US"/>
              </w:rPr>
              <w:t>–</w:t>
            </w:r>
            <w:r>
              <w:rPr>
                <w:szCs w:val="24"/>
                <w:lang w:val="en-US"/>
              </w:rPr>
              <w:t>10</w:t>
            </w:r>
          </w:p>
        </w:tc>
      </w:tr>
      <w:tr w:rsidR="0040081F" w:rsidTr="00DC4EB6">
        <w:trPr>
          <w:jc w:val="center"/>
        </w:trPr>
        <w:tc>
          <w:tcPr>
            <w:tcW w:w="2843" w:type="dxa"/>
          </w:tcPr>
          <w:p w:rsidR="0040081F" w:rsidRDefault="0040081F" w:rsidP="00D715BA">
            <w:pPr>
              <w:pStyle w:val="Tabletext"/>
              <w:jc w:val="center"/>
              <w:rPr>
                <w:lang w:val="en-US"/>
              </w:rPr>
            </w:pPr>
            <w:r>
              <w:rPr>
                <w:lang w:val="en-US"/>
              </w:rPr>
              <w:t>5.565</w:t>
            </w:r>
          </w:p>
        </w:tc>
        <w:tc>
          <w:tcPr>
            <w:tcW w:w="2843" w:type="dxa"/>
          </w:tcPr>
          <w:p w:rsidR="0040081F" w:rsidRDefault="0040081F" w:rsidP="00D715BA">
            <w:pPr>
              <w:pStyle w:val="Tabletext"/>
              <w:jc w:val="center"/>
              <w:rPr>
                <w:lang w:val="en-US"/>
              </w:rPr>
            </w:pPr>
            <w:r>
              <w:rPr>
                <w:lang w:val="en-US"/>
              </w:rPr>
              <w:t>3.315</w:t>
            </w:r>
          </w:p>
        </w:tc>
        <w:tc>
          <w:tcPr>
            <w:tcW w:w="2843" w:type="dxa"/>
          </w:tcPr>
          <w:p w:rsidR="0040081F" w:rsidRDefault="0040081F" w:rsidP="00D715BA">
            <w:pPr>
              <w:pStyle w:val="Tabletext"/>
              <w:jc w:val="center"/>
              <w:rPr>
                <w:lang w:val="en-US"/>
              </w:rPr>
            </w:pPr>
            <w:r>
              <w:rPr>
                <w:lang w:val="en-US"/>
              </w:rPr>
              <w:t>–10</w:t>
            </w:r>
          </w:p>
        </w:tc>
      </w:tr>
      <w:tr w:rsidR="0040081F" w:rsidTr="00DC4EB6">
        <w:trPr>
          <w:jc w:val="center"/>
        </w:trPr>
        <w:tc>
          <w:tcPr>
            <w:tcW w:w="2843" w:type="dxa"/>
          </w:tcPr>
          <w:p w:rsidR="0040081F" w:rsidRDefault="0040081F" w:rsidP="00D715BA">
            <w:pPr>
              <w:pStyle w:val="Tabletext"/>
              <w:jc w:val="center"/>
              <w:rPr>
                <w:lang w:val="en-US"/>
              </w:rPr>
            </w:pPr>
            <w:r>
              <w:rPr>
                <w:lang w:val="en-US"/>
              </w:rPr>
              <w:t>6.1</w:t>
            </w:r>
          </w:p>
        </w:tc>
        <w:tc>
          <w:tcPr>
            <w:tcW w:w="2843" w:type="dxa"/>
          </w:tcPr>
          <w:p w:rsidR="0040081F" w:rsidRDefault="0040081F" w:rsidP="00D715BA">
            <w:pPr>
              <w:pStyle w:val="Tabletext"/>
              <w:jc w:val="center"/>
              <w:rPr>
                <w:lang w:val="en-US"/>
              </w:rPr>
            </w:pPr>
            <w:r>
              <w:rPr>
                <w:lang w:val="en-US"/>
              </w:rPr>
              <w:t>3.85</w:t>
            </w:r>
          </w:p>
        </w:tc>
        <w:tc>
          <w:tcPr>
            <w:tcW w:w="2843" w:type="dxa"/>
          </w:tcPr>
          <w:p w:rsidR="0040081F" w:rsidRDefault="0040081F" w:rsidP="00D715BA">
            <w:pPr>
              <w:pStyle w:val="Tabletext"/>
              <w:jc w:val="center"/>
              <w:rPr>
                <w:lang w:val="en-US"/>
              </w:rPr>
            </w:pPr>
            <w:r>
              <w:rPr>
                <w:lang w:val="en-US"/>
              </w:rPr>
              <w:t>–</w:t>
            </w:r>
            <w:r>
              <w:rPr>
                <w:szCs w:val="24"/>
                <w:lang w:val="en-US"/>
              </w:rPr>
              <w:t>20</w:t>
            </w:r>
          </w:p>
        </w:tc>
      </w:tr>
      <w:tr w:rsidR="0040081F" w:rsidTr="00DC4EB6">
        <w:trPr>
          <w:jc w:val="center"/>
        </w:trPr>
        <w:tc>
          <w:tcPr>
            <w:tcW w:w="2843" w:type="dxa"/>
          </w:tcPr>
          <w:p w:rsidR="0040081F" w:rsidRDefault="0040081F" w:rsidP="00D715BA">
            <w:pPr>
              <w:pStyle w:val="Tabletext"/>
              <w:jc w:val="center"/>
              <w:rPr>
                <w:lang w:val="en-US"/>
              </w:rPr>
            </w:pPr>
            <w:r>
              <w:rPr>
                <w:lang w:val="en-US"/>
              </w:rPr>
              <w:t>6.28</w:t>
            </w:r>
          </w:p>
        </w:tc>
        <w:tc>
          <w:tcPr>
            <w:tcW w:w="2843" w:type="dxa"/>
          </w:tcPr>
          <w:p w:rsidR="0040081F" w:rsidRDefault="0040081F" w:rsidP="00D715BA">
            <w:pPr>
              <w:pStyle w:val="Tabletext"/>
              <w:jc w:val="center"/>
              <w:rPr>
                <w:lang w:val="en-US"/>
              </w:rPr>
            </w:pPr>
            <w:r>
              <w:rPr>
                <w:lang w:val="en-US"/>
              </w:rPr>
              <w:t>4.03</w:t>
            </w:r>
          </w:p>
        </w:tc>
        <w:tc>
          <w:tcPr>
            <w:tcW w:w="2843" w:type="dxa"/>
          </w:tcPr>
          <w:p w:rsidR="0040081F" w:rsidRDefault="0040081F" w:rsidP="00D715BA">
            <w:pPr>
              <w:pStyle w:val="Tabletext"/>
              <w:jc w:val="center"/>
              <w:rPr>
                <w:lang w:val="en-US"/>
              </w:rPr>
            </w:pPr>
            <w:r>
              <w:rPr>
                <w:lang w:val="en-US"/>
              </w:rPr>
              <w:t>–</w:t>
            </w:r>
            <w:r>
              <w:rPr>
                <w:szCs w:val="24"/>
                <w:lang w:val="en-US"/>
              </w:rPr>
              <w:t>50</w:t>
            </w:r>
          </w:p>
        </w:tc>
      </w:tr>
      <w:tr w:rsidR="0040081F" w:rsidTr="00DC4EB6">
        <w:trPr>
          <w:jc w:val="center"/>
        </w:trPr>
        <w:tc>
          <w:tcPr>
            <w:tcW w:w="2843" w:type="dxa"/>
          </w:tcPr>
          <w:p w:rsidR="0040081F" w:rsidRDefault="0040081F" w:rsidP="00D715BA">
            <w:pPr>
              <w:pStyle w:val="Tabletext"/>
              <w:jc w:val="center"/>
              <w:rPr>
                <w:lang w:val="en-US"/>
              </w:rPr>
            </w:pPr>
            <w:r>
              <w:rPr>
                <w:lang w:val="en-US"/>
              </w:rPr>
              <w:t>11</w:t>
            </w:r>
          </w:p>
        </w:tc>
        <w:tc>
          <w:tcPr>
            <w:tcW w:w="2843" w:type="dxa"/>
          </w:tcPr>
          <w:p w:rsidR="0040081F" w:rsidRDefault="0040081F" w:rsidP="00D715BA">
            <w:pPr>
              <w:pStyle w:val="Tabletext"/>
              <w:jc w:val="center"/>
              <w:rPr>
                <w:lang w:val="en-US"/>
              </w:rPr>
            </w:pPr>
            <w:r>
              <w:rPr>
                <w:lang w:val="en-US"/>
              </w:rPr>
              <w:t>8.75</w:t>
            </w:r>
          </w:p>
        </w:tc>
        <w:tc>
          <w:tcPr>
            <w:tcW w:w="2843" w:type="dxa"/>
          </w:tcPr>
          <w:p w:rsidR="0040081F" w:rsidRDefault="0040081F" w:rsidP="00D715BA">
            <w:pPr>
              <w:pStyle w:val="Tabletext"/>
              <w:jc w:val="center"/>
              <w:rPr>
                <w:lang w:val="en-US"/>
              </w:rPr>
            </w:pPr>
            <w:r>
              <w:rPr>
                <w:lang w:val="en-US"/>
              </w:rPr>
              <w:t>–56</w:t>
            </w:r>
          </w:p>
        </w:tc>
      </w:tr>
      <w:tr w:rsidR="0040081F" w:rsidTr="00DC4EB6">
        <w:trPr>
          <w:jc w:val="center"/>
        </w:trPr>
        <w:tc>
          <w:tcPr>
            <w:tcW w:w="2843" w:type="dxa"/>
          </w:tcPr>
          <w:p w:rsidR="0040081F" w:rsidRDefault="0040081F" w:rsidP="00D715BA">
            <w:pPr>
              <w:pStyle w:val="Tabletext"/>
              <w:jc w:val="center"/>
              <w:rPr>
                <w:lang w:val="en-US"/>
              </w:rPr>
            </w:pPr>
            <w:r>
              <w:rPr>
                <w:lang w:val="en-US"/>
              </w:rPr>
              <w:t>12.75</w:t>
            </w:r>
          </w:p>
        </w:tc>
        <w:tc>
          <w:tcPr>
            <w:tcW w:w="2843" w:type="dxa"/>
          </w:tcPr>
          <w:p w:rsidR="0040081F" w:rsidRDefault="0040081F" w:rsidP="00D715BA">
            <w:pPr>
              <w:pStyle w:val="Tabletext"/>
              <w:jc w:val="center"/>
              <w:rPr>
                <w:lang w:val="en-US"/>
              </w:rPr>
            </w:pPr>
            <w:r>
              <w:rPr>
                <w:lang w:val="en-US"/>
              </w:rPr>
              <w:t>10.5</w:t>
            </w:r>
          </w:p>
        </w:tc>
        <w:tc>
          <w:tcPr>
            <w:tcW w:w="2843" w:type="dxa"/>
          </w:tcPr>
          <w:p w:rsidR="0040081F" w:rsidRDefault="0040081F" w:rsidP="00D715BA">
            <w:pPr>
              <w:pStyle w:val="Tabletext"/>
              <w:jc w:val="center"/>
              <w:rPr>
                <w:lang w:val="en-US"/>
              </w:rPr>
            </w:pPr>
            <w:r>
              <w:rPr>
                <w:lang w:val="en-US"/>
              </w:rPr>
              <w:t>–65.5</w:t>
            </w:r>
          </w:p>
        </w:tc>
      </w:tr>
      <w:tr w:rsidR="0040081F" w:rsidTr="00DC4EB6">
        <w:trPr>
          <w:jc w:val="center"/>
        </w:trPr>
        <w:tc>
          <w:tcPr>
            <w:tcW w:w="2843" w:type="dxa"/>
          </w:tcPr>
          <w:p w:rsidR="0040081F" w:rsidRDefault="0040081F" w:rsidP="00D715BA">
            <w:pPr>
              <w:pStyle w:val="Tabletext"/>
              <w:jc w:val="center"/>
              <w:rPr>
                <w:lang w:val="en-US"/>
              </w:rPr>
            </w:pPr>
            <w:r>
              <w:rPr>
                <w:lang w:val="en-US"/>
              </w:rPr>
              <w:t>19.75</w:t>
            </w:r>
          </w:p>
        </w:tc>
        <w:tc>
          <w:tcPr>
            <w:tcW w:w="2843" w:type="dxa"/>
          </w:tcPr>
          <w:p w:rsidR="0040081F" w:rsidRDefault="0040081F" w:rsidP="00D715BA">
            <w:pPr>
              <w:pStyle w:val="Tabletext"/>
              <w:jc w:val="center"/>
              <w:rPr>
                <w:lang w:val="en-US"/>
              </w:rPr>
            </w:pPr>
            <w:r>
              <w:rPr>
                <w:lang w:val="en-US"/>
              </w:rPr>
              <w:t>17.5</w:t>
            </w:r>
          </w:p>
        </w:tc>
        <w:tc>
          <w:tcPr>
            <w:tcW w:w="2843" w:type="dxa"/>
          </w:tcPr>
          <w:p w:rsidR="0040081F" w:rsidRDefault="0040081F" w:rsidP="00D715BA">
            <w:pPr>
              <w:pStyle w:val="Tabletext"/>
              <w:jc w:val="center"/>
              <w:rPr>
                <w:lang w:val="en-US"/>
              </w:rPr>
            </w:pPr>
            <w:r>
              <w:rPr>
                <w:lang w:val="en-US"/>
              </w:rPr>
              <w:t>–90.5</w:t>
            </w:r>
          </w:p>
        </w:tc>
      </w:tr>
    </w:tbl>
    <w:p w:rsidR="0040081F" w:rsidRDefault="0040081F" w:rsidP="0040081F">
      <w:pPr>
        <w:pStyle w:val="Tablefin"/>
      </w:pPr>
    </w:p>
    <w:p w:rsidR="00805E7E" w:rsidRDefault="00805E7E" w:rsidP="00701FC2">
      <w:pPr>
        <w:rPr>
          <w:lang w:val="en-US"/>
        </w:rPr>
      </w:pPr>
    </w:p>
    <w:p w:rsidR="0040081F" w:rsidRDefault="0040081F" w:rsidP="00701FC2">
      <w:pPr>
        <w:rPr>
          <w:lang w:val="en-US"/>
        </w:rPr>
      </w:pPr>
      <w:r>
        <w:rPr>
          <w:lang w:val="en-US"/>
        </w:rPr>
        <w:t>Table 9 provides end point values to be used in conjunction with Table 8 and Fig. </w:t>
      </w:r>
      <w:r w:rsidR="00701FC2">
        <w:rPr>
          <w:lang w:val="en-US"/>
        </w:rPr>
        <w:t>19</w:t>
      </w:r>
      <w:r>
        <w:rPr>
          <w:lang w:val="en-US"/>
        </w:rPr>
        <w:t>, applicable to a range of transmitter output powers, for 7 MHz analogue television, negative modulation, 0.75 MHz VSB.</w:t>
      </w:r>
    </w:p>
    <w:p w:rsidR="00805E7E" w:rsidRDefault="00805E7E" w:rsidP="00701FC2">
      <w:pPr>
        <w:rPr>
          <w:lang w:val="en-US"/>
        </w:rPr>
      </w:pPr>
    </w:p>
    <w:p w:rsidR="0040081F" w:rsidRDefault="0040081F" w:rsidP="0040081F">
      <w:pPr>
        <w:rPr>
          <w:lang w:val="en-US"/>
        </w:rPr>
      </w:pPr>
    </w:p>
    <w:p w:rsidR="0040081F" w:rsidRDefault="0040081F" w:rsidP="0040081F">
      <w:pPr>
        <w:pStyle w:val="TableNo"/>
        <w:rPr>
          <w:lang w:val="en-US"/>
        </w:rPr>
      </w:pPr>
      <w:r>
        <w:rPr>
          <w:lang w:val="en-US"/>
        </w:rPr>
        <w:t>TABLE  9</w:t>
      </w:r>
    </w:p>
    <w:p w:rsidR="0040081F" w:rsidRDefault="0040081F" w:rsidP="0040081F">
      <w:pPr>
        <w:pStyle w:val="Tabletitle"/>
        <w:rPr>
          <w:lang w:val="en-US"/>
        </w:rPr>
      </w:pPr>
      <w:r>
        <w:rPr>
          <w:lang w:val="en-US"/>
        </w:rPr>
        <w:t>End point values for 7 MHz analogue television, negative modulation, 0.75 MHz VSB</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0"/>
      </w:tblGrid>
      <w:tr w:rsidR="0040081F" w:rsidRPr="00620821" w:rsidTr="00DC4EB6">
        <w:trPr>
          <w:jc w:val="center"/>
        </w:trPr>
        <w:tc>
          <w:tcPr>
            <w:tcW w:w="2840" w:type="dxa"/>
            <w:vAlign w:val="center"/>
          </w:tcPr>
          <w:p w:rsidR="0040081F" w:rsidRDefault="0040081F" w:rsidP="00701FC2">
            <w:pPr>
              <w:pStyle w:val="Tablehead"/>
              <w:rPr>
                <w:lang w:val="en-US"/>
              </w:rPr>
            </w:pPr>
            <w:r>
              <w:rPr>
                <w:lang w:val="en-US"/>
              </w:rPr>
              <w:t>End point value</w:t>
            </w:r>
            <w:r w:rsidRPr="00D715BA">
              <w:rPr>
                <w:position w:val="6"/>
                <w:sz w:val="18"/>
                <w:vertAlign w:val="superscript"/>
                <w:lang w:val="en-US"/>
              </w:rPr>
              <w:t>(1)</w:t>
            </w:r>
            <w:r>
              <w:rPr>
                <w:lang w:val="en-US"/>
              </w:rPr>
              <w:t xml:space="preserve"> (50 kHz measurement bandwidth)</w:t>
            </w:r>
            <w:r>
              <w:rPr>
                <w:lang w:val="en-US"/>
              </w:rPr>
              <w:br/>
              <w:t>(dB)</w:t>
            </w:r>
          </w:p>
        </w:tc>
        <w:tc>
          <w:tcPr>
            <w:tcW w:w="2840" w:type="dxa"/>
            <w:vAlign w:val="center"/>
          </w:tcPr>
          <w:p w:rsidR="0040081F" w:rsidRDefault="0040081F" w:rsidP="00701FC2">
            <w:pPr>
              <w:pStyle w:val="Tablehead"/>
              <w:rPr>
                <w:lang w:val="en-US"/>
              </w:rPr>
            </w:pPr>
            <w:r>
              <w:rPr>
                <w:lang w:val="en-US"/>
              </w:rPr>
              <w:t>Power range</w:t>
            </w:r>
            <w:r>
              <w:rPr>
                <w:lang w:val="en-US"/>
              </w:rPr>
              <w:br/>
              <w:t>(dBW)</w:t>
            </w:r>
          </w:p>
        </w:tc>
        <w:tc>
          <w:tcPr>
            <w:tcW w:w="2840" w:type="dxa"/>
            <w:vAlign w:val="center"/>
          </w:tcPr>
          <w:p w:rsidR="0040081F" w:rsidRDefault="0040081F" w:rsidP="00701FC2">
            <w:pPr>
              <w:pStyle w:val="Tablehead"/>
              <w:rPr>
                <w:lang w:val="en-US"/>
              </w:rPr>
            </w:pPr>
            <w:r>
              <w:rPr>
                <w:lang w:val="en-US"/>
              </w:rPr>
              <w:t>Corresponding spurious level (in 100 kHz measurement bandwidth)</w:t>
            </w:r>
          </w:p>
        </w:tc>
      </w:tr>
      <w:tr w:rsidR="0040081F" w:rsidTr="00DC4EB6">
        <w:trPr>
          <w:jc w:val="center"/>
        </w:trPr>
        <w:tc>
          <w:tcPr>
            <w:tcW w:w="2840" w:type="dxa"/>
          </w:tcPr>
          <w:p w:rsidR="0040081F" w:rsidRDefault="0040081F" w:rsidP="00D715BA">
            <w:pPr>
              <w:pStyle w:val="Tabletext"/>
              <w:jc w:val="center"/>
              <w:rPr>
                <w:lang w:val="en-US"/>
              </w:rPr>
            </w:pPr>
            <w:r>
              <w:rPr>
                <w:lang w:val="en-US"/>
              </w:rPr>
              <w:t>–80.5 – (</w:t>
            </w:r>
            <w:r>
              <w:rPr>
                <w:i/>
                <w:iCs/>
                <w:lang w:val="en-US"/>
              </w:rPr>
              <w:t>P</w:t>
            </w:r>
            <w:r>
              <w:rPr>
                <w:lang w:val="en-US"/>
              </w:rPr>
              <w:t> – 9)</w:t>
            </w:r>
          </w:p>
        </w:tc>
        <w:tc>
          <w:tcPr>
            <w:tcW w:w="2840" w:type="dxa"/>
          </w:tcPr>
          <w:p w:rsidR="0040081F" w:rsidRDefault="0040081F" w:rsidP="00D715BA">
            <w:pPr>
              <w:pStyle w:val="Tabletext"/>
              <w:tabs>
                <w:tab w:val="clear" w:pos="284"/>
                <w:tab w:val="clear" w:pos="567"/>
                <w:tab w:val="clear" w:pos="851"/>
                <w:tab w:val="clear" w:pos="1134"/>
                <w:tab w:val="clear" w:pos="1418"/>
                <w:tab w:val="left" w:pos="604"/>
                <w:tab w:val="left" w:pos="1171"/>
              </w:tabs>
              <w:rPr>
                <w:lang w:val="en-US"/>
              </w:rPr>
            </w:pPr>
            <w:r>
              <w:rPr>
                <w:i/>
                <w:iCs/>
                <w:szCs w:val="24"/>
                <w:lang w:val="en-US"/>
              </w:rPr>
              <w:tab/>
            </w:r>
            <w:r w:rsidR="00D715BA">
              <w:rPr>
                <w:i/>
                <w:iCs/>
                <w:szCs w:val="24"/>
                <w:lang w:val="en-US"/>
              </w:rPr>
              <w:tab/>
            </w:r>
            <w:r>
              <w:rPr>
                <w:i/>
                <w:iCs/>
                <w:szCs w:val="24"/>
                <w:lang w:val="en-US"/>
              </w:rPr>
              <w:t>P</w:t>
            </w:r>
            <w:r>
              <w:rPr>
                <w:szCs w:val="24"/>
                <w:lang w:val="en-US"/>
              </w:rPr>
              <w:t> </w:t>
            </w:r>
            <w:r>
              <w:rPr>
                <w:rFonts w:ascii="Symbol" w:hAnsi="Symbol"/>
              </w:rPr>
              <w:sym w:font="Symbol" w:char="F0A3"/>
            </w:r>
            <w:r>
              <w:rPr>
                <w:szCs w:val="24"/>
                <w:lang w:val="en-US"/>
              </w:rPr>
              <w:t> 9</w:t>
            </w:r>
          </w:p>
        </w:tc>
        <w:tc>
          <w:tcPr>
            <w:tcW w:w="2840" w:type="dxa"/>
          </w:tcPr>
          <w:p w:rsidR="0040081F" w:rsidRDefault="0040081F" w:rsidP="00D715BA">
            <w:pPr>
              <w:pStyle w:val="Tabletext"/>
              <w:jc w:val="center"/>
              <w:rPr>
                <w:lang w:val="en-US"/>
              </w:rPr>
            </w:pPr>
            <w:r>
              <w:rPr>
                <w:lang w:val="en-US"/>
              </w:rPr>
              <w:t>–36 dBm</w:t>
            </w:r>
          </w:p>
        </w:tc>
      </w:tr>
      <w:tr w:rsidR="0040081F" w:rsidTr="00DC4EB6">
        <w:trPr>
          <w:jc w:val="center"/>
        </w:trPr>
        <w:tc>
          <w:tcPr>
            <w:tcW w:w="2840" w:type="dxa"/>
          </w:tcPr>
          <w:p w:rsidR="0040081F" w:rsidRDefault="0040081F" w:rsidP="00D715BA">
            <w:pPr>
              <w:pStyle w:val="Tabletext"/>
              <w:jc w:val="center"/>
              <w:rPr>
                <w:caps/>
                <w:lang w:val="en-US"/>
              </w:rPr>
            </w:pPr>
            <w:r>
              <w:rPr>
                <w:caps/>
                <w:lang w:val="en-US"/>
              </w:rPr>
              <w:t>–80.5</w:t>
            </w:r>
          </w:p>
        </w:tc>
        <w:tc>
          <w:tcPr>
            <w:tcW w:w="2840" w:type="dxa"/>
          </w:tcPr>
          <w:p w:rsidR="0040081F" w:rsidRDefault="0040081F" w:rsidP="00D715BA">
            <w:pPr>
              <w:pStyle w:val="Tabletext"/>
              <w:tabs>
                <w:tab w:val="clear" w:pos="284"/>
                <w:tab w:val="clear" w:pos="567"/>
                <w:tab w:val="clear" w:pos="851"/>
                <w:tab w:val="clear" w:pos="1134"/>
                <w:tab w:val="clear" w:pos="1418"/>
                <w:tab w:val="left" w:pos="604"/>
                <w:tab w:val="left" w:pos="1171"/>
              </w:tabs>
              <w:rPr>
                <w:lang w:val="en-US"/>
              </w:rPr>
            </w:pPr>
            <w:r>
              <w:rPr>
                <w:szCs w:val="24"/>
                <w:lang w:val="en-US"/>
              </w:rPr>
              <w:tab/>
              <w:t>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2840" w:type="dxa"/>
          </w:tcPr>
          <w:p w:rsidR="0040081F" w:rsidRDefault="0040081F" w:rsidP="00D715BA">
            <w:pPr>
              <w:pStyle w:val="Tabletext"/>
              <w:jc w:val="center"/>
              <w:rPr>
                <w:lang w:val="en-US"/>
              </w:rPr>
            </w:pPr>
            <w:r>
              <w:rPr>
                <w:lang w:val="en-US"/>
              </w:rPr>
              <w:t>75 dBc</w:t>
            </w:r>
          </w:p>
        </w:tc>
      </w:tr>
      <w:tr w:rsidR="0040081F" w:rsidRPr="00D715BA" w:rsidTr="00DC4EB6">
        <w:trPr>
          <w:jc w:val="center"/>
        </w:trPr>
        <w:tc>
          <w:tcPr>
            <w:tcW w:w="2840" w:type="dxa"/>
          </w:tcPr>
          <w:p w:rsidR="0040081F" w:rsidRDefault="0040081F" w:rsidP="00D715BA">
            <w:pPr>
              <w:pStyle w:val="Tabletext"/>
              <w:jc w:val="center"/>
              <w:rPr>
                <w:lang w:val="en-US"/>
              </w:rPr>
            </w:pPr>
            <w:r>
              <w:rPr>
                <w:lang w:val="en-US"/>
              </w:rPr>
              <w:t>–80.5 – (</w:t>
            </w:r>
            <w:r>
              <w:rPr>
                <w:i/>
                <w:iCs/>
                <w:lang w:val="en-US"/>
              </w:rPr>
              <w:t>P</w:t>
            </w:r>
            <w:r>
              <w:rPr>
                <w:lang w:val="en-US"/>
              </w:rPr>
              <w:t> – 29)</w:t>
            </w:r>
          </w:p>
        </w:tc>
        <w:tc>
          <w:tcPr>
            <w:tcW w:w="2840" w:type="dxa"/>
          </w:tcPr>
          <w:p w:rsidR="0040081F" w:rsidRDefault="0040081F" w:rsidP="00D715BA">
            <w:pPr>
              <w:pStyle w:val="Tabletext"/>
              <w:tabs>
                <w:tab w:val="clear" w:pos="284"/>
                <w:tab w:val="clear" w:pos="567"/>
                <w:tab w:val="clear" w:pos="851"/>
                <w:tab w:val="clear" w:pos="1134"/>
                <w:tab w:val="clear" w:pos="1418"/>
                <w:tab w:val="left" w:pos="604"/>
                <w:tab w:val="left" w:pos="1171"/>
              </w:tabs>
              <w:rPr>
                <w:lang w:val="en-US"/>
              </w:rPr>
            </w:pP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2840" w:type="dxa"/>
          </w:tcPr>
          <w:p w:rsidR="0040081F" w:rsidRDefault="0040081F" w:rsidP="00D715BA">
            <w:pPr>
              <w:pStyle w:val="Tabletext"/>
              <w:jc w:val="center"/>
              <w:rPr>
                <w:lang w:val="en-US"/>
              </w:rPr>
            </w:pPr>
            <w:r>
              <w:rPr>
                <w:lang w:val="en-US"/>
              </w:rPr>
              <w:t>–16 dBm</w:t>
            </w:r>
          </w:p>
        </w:tc>
      </w:tr>
      <w:tr w:rsidR="0040081F" w:rsidRPr="00D715BA" w:rsidTr="00DC4EB6">
        <w:trPr>
          <w:jc w:val="center"/>
        </w:trPr>
        <w:tc>
          <w:tcPr>
            <w:tcW w:w="2840" w:type="dxa"/>
          </w:tcPr>
          <w:p w:rsidR="0040081F" w:rsidRDefault="0040081F" w:rsidP="00D715BA">
            <w:pPr>
              <w:pStyle w:val="Tabletext"/>
              <w:jc w:val="center"/>
              <w:rPr>
                <w:lang w:val="en-US"/>
              </w:rPr>
            </w:pPr>
            <w:r>
              <w:rPr>
                <w:lang w:val="en-US"/>
              </w:rPr>
              <w:t>–90.5</w:t>
            </w:r>
          </w:p>
        </w:tc>
        <w:tc>
          <w:tcPr>
            <w:tcW w:w="2840" w:type="dxa"/>
          </w:tcPr>
          <w:p w:rsidR="0040081F" w:rsidRDefault="0040081F" w:rsidP="00D715BA">
            <w:pPr>
              <w:pStyle w:val="Tabletext"/>
              <w:tabs>
                <w:tab w:val="clear" w:pos="284"/>
                <w:tab w:val="clear" w:pos="567"/>
                <w:tab w:val="clear" w:pos="851"/>
                <w:tab w:val="clear" w:pos="1134"/>
                <w:tab w:val="clear" w:pos="1418"/>
                <w:tab w:val="left" w:pos="604"/>
                <w:tab w:val="left" w:pos="1171"/>
              </w:tabs>
              <w:rPr>
                <w:lang w:val="en-US"/>
              </w:rPr>
            </w:pP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2840" w:type="dxa"/>
          </w:tcPr>
          <w:p w:rsidR="0040081F" w:rsidRDefault="0040081F" w:rsidP="00D715BA">
            <w:pPr>
              <w:pStyle w:val="Tabletext"/>
              <w:jc w:val="center"/>
              <w:rPr>
                <w:lang w:val="en-US"/>
              </w:rPr>
            </w:pPr>
            <w:r>
              <w:rPr>
                <w:lang w:val="en-US"/>
              </w:rPr>
              <w:t>85 dBc</w:t>
            </w:r>
          </w:p>
        </w:tc>
      </w:tr>
      <w:tr w:rsidR="0040081F" w:rsidRPr="00D715BA" w:rsidTr="00DC4EB6">
        <w:trPr>
          <w:jc w:val="center"/>
        </w:trPr>
        <w:tc>
          <w:tcPr>
            <w:tcW w:w="2840" w:type="dxa"/>
            <w:tcBorders>
              <w:bottom w:val="single" w:sz="6" w:space="0" w:color="auto"/>
            </w:tcBorders>
          </w:tcPr>
          <w:p w:rsidR="0040081F" w:rsidRDefault="0040081F" w:rsidP="00D715BA">
            <w:pPr>
              <w:pStyle w:val="Tabletext"/>
              <w:jc w:val="center"/>
              <w:rPr>
                <w:lang w:val="en-US"/>
              </w:rPr>
            </w:pPr>
            <w:r>
              <w:rPr>
                <w:lang w:val="en-US"/>
              </w:rPr>
              <w:t>–90.5 – (</w:t>
            </w:r>
            <w:r>
              <w:rPr>
                <w:i/>
                <w:iCs/>
                <w:lang w:val="en-US"/>
              </w:rPr>
              <w:t>P</w:t>
            </w:r>
            <w:r>
              <w:rPr>
                <w:lang w:val="en-US"/>
              </w:rPr>
              <w:t> – 50)</w:t>
            </w:r>
          </w:p>
        </w:tc>
        <w:tc>
          <w:tcPr>
            <w:tcW w:w="2840" w:type="dxa"/>
            <w:tcBorders>
              <w:bottom w:val="single" w:sz="6" w:space="0" w:color="auto"/>
            </w:tcBorders>
          </w:tcPr>
          <w:p w:rsidR="0040081F" w:rsidRDefault="0040081F" w:rsidP="00D715BA">
            <w:pPr>
              <w:pStyle w:val="Tabletext"/>
              <w:tabs>
                <w:tab w:val="clear" w:pos="284"/>
                <w:tab w:val="clear" w:pos="567"/>
                <w:tab w:val="clear" w:pos="851"/>
                <w:tab w:val="clear" w:pos="1134"/>
                <w:tab w:val="clear" w:pos="1418"/>
                <w:tab w:val="left" w:pos="604"/>
                <w:tab w:val="left" w:pos="1171"/>
              </w:tabs>
              <w:rPr>
                <w:lang w:val="en-US"/>
              </w:rPr>
            </w:pPr>
            <w:r>
              <w:rPr>
                <w:szCs w:val="24"/>
                <w:lang w:val="en-US"/>
              </w:rPr>
              <w:tab/>
              <w:t>50 </w:t>
            </w:r>
            <w:r>
              <w:rPr>
                <w:rFonts w:ascii="Symbol" w:hAnsi="Symbol"/>
                <w:szCs w:val="24"/>
                <w:lang w:val="en-US"/>
              </w:rPr>
              <w:t></w:t>
            </w:r>
            <w:r>
              <w:rPr>
                <w:szCs w:val="24"/>
                <w:lang w:val="en-US"/>
              </w:rPr>
              <w:tab/>
            </w:r>
            <w:r>
              <w:rPr>
                <w:i/>
                <w:iCs/>
                <w:szCs w:val="24"/>
                <w:lang w:val="en-US"/>
              </w:rPr>
              <w:t>P</w:t>
            </w:r>
          </w:p>
        </w:tc>
        <w:tc>
          <w:tcPr>
            <w:tcW w:w="2840" w:type="dxa"/>
            <w:tcBorders>
              <w:bottom w:val="single" w:sz="6" w:space="0" w:color="auto"/>
            </w:tcBorders>
          </w:tcPr>
          <w:p w:rsidR="0040081F" w:rsidRDefault="0040081F" w:rsidP="00D715BA">
            <w:pPr>
              <w:pStyle w:val="Tabletext"/>
              <w:jc w:val="center"/>
              <w:rPr>
                <w:lang w:val="en-US"/>
              </w:rPr>
            </w:pPr>
            <w:r>
              <w:rPr>
                <w:lang w:val="en-US"/>
              </w:rPr>
              <w:t>–5 dBm</w:t>
            </w:r>
          </w:p>
        </w:tc>
      </w:tr>
      <w:tr w:rsidR="0040081F" w:rsidRPr="00620821" w:rsidTr="00DC4EB6">
        <w:trPr>
          <w:jc w:val="center"/>
        </w:trPr>
        <w:tc>
          <w:tcPr>
            <w:tcW w:w="8520" w:type="dxa"/>
            <w:gridSpan w:val="3"/>
            <w:tcBorders>
              <w:left w:val="nil"/>
              <w:bottom w:val="nil"/>
              <w:right w:val="nil"/>
            </w:tcBorders>
          </w:tcPr>
          <w:p w:rsidR="0040081F" w:rsidRDefault="0040081F" w:rsidP="00805E7E">
            <w:pPr>
              <w:pStyle w:val="Tablelegend"/>
              <w:rPr>
                <w:lang w:val="en-US"/>
              </w:rPr>
            </w:pPr>
            <w:r w:rsidRPr="00D715BA">
              <w:rPr>
                <w:position w:val="6"/>
                <w:sz w:val="18"/>
                <w:vertAlign w:val="superscript"/>
                <w:lang w:val="en-US"/>
              </w:rPr>
              <w:t>(1)</w:t>
            </w:r>
            <w:r>
              <w:rPr>
                <w:lang w:val="en-US"/>
              </w:rPr>
              <w:tab/>
              <w:t>The end point value is subject to an upper limit of 65.5 dB.</w:t>
            </w:r>
          </w:p>
        </w:tc>
      </w:tr>
    </w:tbl>
    <w:p w:rsidR="0040081F" w:rsidRDefault="0040081F" w:rsidP="0040081F">
      <w:pPr>
        <w:pStyle w:val="Tablefin"/>
      </w:pPr>
    </w:p>
    <w:p w:rsidR="00805E7E" w:rsidRDefault="00805E7E" w:rsidP="00E95CDC">
      <w:pPr>
        <w:rPr>
          <w:lang w:val="en-US"/>
        </w:rPr>
      </w:pPr>
    </w:p>
    <w:p w:rsidR="0040081F" w:rsidRDefault="0040081F" w:rsidP="00727401">
      <w:pPr>
        <w:keepNext/>
        <w:keepLines/>
        <w:rPr>
          <w:lang w:val="en-US"/>
        </w:rPr>
      </w:pPr>
      <w:r>
        <w:rPr>
          <w:lang w:val="en-US"/>
        </w:rPr>
        <w:lastRenderedPageBreak/>
        <w:t>Table 10 provides break points corresponding to the graph shown in Fig. 2</w:t>
      </w:r>
      <w:r w:rsidR="00701FC2">
        <w:rPr>
          <w:lang w:val="en-US"/>
        </w:rPr>
        <w:t>0</w:t>
      </w:r>
      <w:r>
        <w:rPr>
          <w:lang w:val="en-US"/>
        </w:rPr>
        <w:t>, for 8 MHz analogue television, negative modulation, 0.75 MHz and 1.25 MHz VSB.</w:t>
      </w:r>
    </w:p>
    <w:p w:rsidR="00805E7E" w:rsidRDefault="00805E7E" w:rsidP="00727401">
      <w:pPr>
        <w:keepNext/>
        <w:keepLines/>
        <w:rPr>
          <w:lang w:val="en-US"/>
        </w:rPr>
      </w:pPr>
    </w:p>
    <w:p w:rsidR="00805E7E" w:rsidRDefault="00805E7E" w:rsidP="00701FC2">
      <w:pPr>
        <w:rPr>
          <w:lang w:val="en-US"/>
        </w:rPr>
      </w:pPr>
    </w:p>
    <w:p w:rsidR="00701FC2" w:rsidRPr="000D4195" w:rsidRDefault="00D715BA" w:rsidP="0040081F">
      <w:pPr>
        <w:pStyle w:val="FigureNo"/>
        <w:rPr>
          <w:lang w:val="en-US"/>
        </w:rPr>
      </w:pPr>
      <w:r>
        <w:rPr>
          <w:lang w:val="en-US"/>
        </w:rPr>
        <w:t>F</w:t>
      </w:r>
      <w:r w:rsidR="00701FC2" w:rsidRPr="000D4195">
        <w:rPr>
          <w:lang w:val="en-US"/>
        </w:rPr>
        <w:t>IGURE 20</w:t>
      </w:r>
    </w:p>
    <w:p w:rsidR="00701FC2" w:rsidRPr="000D4195" w:rsidRDefault="00701FC2" w:rsidP="00701FC2">
      <w:pPr>
        <w:pStyle w:val="Figuretitle"/>
        <w:rPr>
          <w:lang w:val="en-US"/>
        </w:rPr>
      </w:pPr>
      <w:r w:rsidRPr="000D4195">
        <w:rPr>
          <w:lang w:val="en-US"/>
        </w:rPr>
        <w:t xml:space="preserve">Spectrum limit mask for 8 MHz analogue television, negative modulation (for </w:t>
      </w:r>
      <w:r w:rsidRPr="000D4195">
        <w:rPr>
          <w:i/>
          <w:iCs/>
          <w:lang w:val="en-US"/>
        </w:rPr>
        <w:t>P</w:t>
      </w:r>
      <w:r w:rsidRPr="000D4195">
        <w:rPr>
          <w:lang w:val="en-US"/>
        </w:rPr>
        <w:t xml:space="preserve"> = 39 to 50 dBW)</w:t>
      </w:r>
    </w:p>
    <w:p w:rsidR="00701FC2" w:rsidRPr="00701FC2" w:rsidRDefault="00273E2F" w:rsidP="00701FC2">
      <w:pPr>
        <w:pStyle w:val="Figure"/>
      </w:pPr>
      <w:r>
        <w:rPr>
          <w:noProof/>
          <w:lang w:val="en-US" w:eastAsia="zh-CN"/>
        </w:rPr>
        <w:drawing>
          <wp:inline distT="0" distB="0" distL="0" distR="0" wp14:anchorId="227AC878" wp14:editId="5B69762A">
            <wp:extent cx="5988050" cy="50101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88050" cy="5010150"/>
                    </a:xfrm>
                    <a:prstGeom prst="rect">
                      <a:avLst/>
                    </a:prstGeom>
                    <a:noFill/>
                    <a:ln>
                      <a:noFill/>
                    </a:ln>
                  </pic:spPr>
                </pic:pic>
              </a:graphicData>
            </a:graphic>
          </wp:inline>
        </w:drawing>
      </w:r>
    </w:p>
    <w:p w:rsidR="0040081F" w:rsidRDefault="0040081F" w:rsidP="00487E2E">
      <w:pPr>
        <w:pStyle w:val="TableNo"/>
        <w:keepLines/>
        <w:rPr>
          <w:lang w:val="en-US"/>
        </w:rPr>
      </w:pPr>
      <w:r>
        <w:rPr>
          <w:lang w:val="en-US"/>
        </w:rPr>
        <w:lastRenderedPageBreak/>
        <w:t>TABLE  10</w:t>
      </w:r>
    </w:p>
    <w:p w:rsidR="0040081F" w:rsidRDefault="0040081F" w:rsidP="00487E2E">
      <w:pPr>
        <w:pStyle w:val="Tabletitle"/>
        <w:keepLines/>
        <w:rPr>
          <w:lang w:val="en-US"/>
        </w:rPr>
      </w:pPr>
      <w:r>
        <w:rPr>
          <w:lang w:val="en-US"/>
        </w:rPr>
        <w:t xml:space="preserve">Break points for 8 MHz analogue television, negative modulation, </w:t>
      </w:r>
      <w:r>
        <w:rPr>
          <w:lang w:val="en-US"/>
        </w:rPr>
        <w:br/>
        <w:t>0.75 MHz and 1.25 MHz VSB</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268"/>
        <w:gridCol w:w="2268"/>
        <w:gridCol w:w="2268"/>
      </w:tblGrid>
      <w:tr w:rsidR="0040081F" w:rsidRPr="00620821" w:rsidTr="00D715BA">
        <w:trPr>
          <w:jc w:val="center"/>
        </w:trPr>
        <w:tc>
          <w:tcPr>
            <w:tcW w:w="2132" w:type="dxa"/>
            <w:tcBorders>
              <w:top w:val="single" w:sz="6" w:space="0" w:color="auto"/>
              <w:left w:val="single" w:sz="6" w:space="0" w:color="auto"/>
              <w:bottom w:val="single" w:sz="6" w:space="0" w:color="auto"/>
              <w:right w:val="single" w:sz="6" w:space="0" w:color="auto"/>
            </w:tcBorders>
            <w:vAlign w:val="center"/>
          </w:tcPr>
          <w:p w:rsidR="0040081F" w:rsidRDefault="0040081F" w:rsidP="00487E2E">
            <w:pPr>
              <w:pStyle w:val="Tablehead"/>
              <w:keepLines/>
              <w:rPr>
                <w:rFonts w:ascii="Times New Roman Bold" w:hAnsi="Times New Roman Bold"/>
                <w:spacing w:val="-4"/>
                <w:lang w:val="en-US"/>
              </w:rPr>
            </w:pPr>
            <w:r>
              <w:rPr>
                <w:rFonts w:ascii="Times New Roman Bold" w:hAnsi="Times New Roman Bold"/>
                <w:spacing w:val="-4"/>
                <w:lang w:val="en-US"/>
              </w:rPr>
              <w:t>Frequency relative to the vision carrier frequency</w:t>
            </w:r>
          </w:p>
        </w:tc>
        <w:tc>
          <w:tcPr>
            <w:tcW w:w="2132" w:type="dxa"/>
            <w:tcBorders>
              <w:top w:val="single" w:sz="6" w:space="0" w:color="auto"/>
              <w:left w:val="single" w:sz="6" w:space="0" w:color="auto"/>
              <w:bottom w:val="single" w:sz="6" w:space="0" w:color="auto"/>
              <w:right w:val="single" w:sz="6" w:space="0" w:color="auto"/>
            </w:tcBorders>
            <w:vAlign w:val="center"/>
          </w:tcPr>
          <w:p w:rsidR="0040081F" w:rsidRDefault="0040081F" w:rsidP="00487E2E">
            <w:pPr>
              <w:pStyle w:val="Tablehead"/>
              <w:keepLines/>
              <w:rPr>
                <w:rFonts w:ascii="Times New Roman Bold" w:hAnsi="Times New Roman Bold"/>
                <w:spacing w:val="-4"/>
                <w:lang w:val="en-US"/>
              </w:rPr>
            </w:pPr>
            <w:r>
              <w:rPr>
                <w:rFonts w:ascii="Times New Roman Bold" w:hAnsi="Times New Roman Bold"/>
                <w:spacing w:val="-4"/>
                <w:lang w:val="en-US"/>
              </w:rPr>
              <w:t>Frequency relative to the centre of the 8 MHz channel</w:t>
            </w:r>
          </w:p>
        </w:tc>
        <w:tc>
          <w:tcPr>
            <w:tcW w:w="2132" w:type="dxa"/>
            <w:tcBorders>
              <w:top w:val="single" w:sz="6" w:space="0" w:color="auto"/>
              <w:left w:val="single" w:sz="6" w:space="0" w:color="auto"/>
              <w:bottom w:val="single" w:sz="6" w:space="0" w:color="auto"/>
              <w:right w:val="single" w:sz="6" w:space="0" w:color="auto"/>
            </w:tcBorders>
            <w:vAlign w:val="center"/>
          </w:tcPr>
          <w:p w:rsidR="0040081F" w:rsidRDefault="0040081F" w:rsidP="00487E2E">
            <w:pPr>
              <w:pStyle w:val="Tablehead"/>
              <w:keepLines/>
              <w:rPr>
                <w:rFonts w:ascii="Times New Roman Bold" w:hAnsi="Times New Roman Bold"/>
                <w:spacing w:val="-4"/>
                <w:lang w:val="en-US"/>
              </w:rPr>
            </w:pPr>
            <w:r>
              <w:rPr>
                <w:rFonts w:ascii="Times New Roman Bold" w:hAnsi="Times New Roman Bold"/>
                <w:spacing w:val="-4"/>
                <w:lang w:val="en-US"/>
              </w:rPr>
              <w:t>Relative level in 50 kHz measurement bandwidth</w:t>
            </w:r>
            <w:r>
              <w:rPr>
                <w:rFonts w:ascii="Times New Roman Bold" w:hAnsi="Times New Roman Bold"/>
                <w:spacing w:val="-4"/>
                <w:lang w:val="en-US"/>
              </w:rPr>
              <w:br/>
              <w:t>0.75 MHz VSB</w:t>
            </w:r>
            <w:r>
              <w:rPr>
                <w:rFonts w:ascii="Times New Roman Bold" w:hAnsi="Times New Roman Bold"/>
                <w:spacing w:val="-4"/>
                <w:lang w:val="en-US"/>
              </w:rPr>
              <w:br/>
              <w:t>(dB)</w:t>
            </w:r>
          </w:p>
        </w:tc>
        <w:tc>
          <w:tcPr>
            <w:tcW w:w="2132" w:type="dxa"/>
            <w:tcBorders>
              <w:top w:val="single" w:sz="6" w:space="0" w:color="auto"/>
              <w:left w:val="single" w:sz="6" w:space="0" w:color="auto"/>
              <w:bottom w:val="single" w:sz="6" w:space="0" w:color="auto"/>
              <w:right w:val="single" w:sz="6" w:space="0" w:color="auto"/>
            </w:tcBorders>
            <w:vAlign w:val="center"/>
          </w:tcPr>
          <w:p w:rsidR="0040081F" w:rsidRDefault="0040081F" w:rsidP="00487E2E">
            <w:pPr>
              <w:pStyle w:val="Tablehead"/>
              <w:keepLines/>
              <w:rPr>
                <w:rFonts w:ascii="Times New Roman Bold" w:hAnsi="Times New Roman Bold"/>
                <w:spacing w:val="-4"/>
                <w:lang w:val="en-US"/>
              </w:rPr>
            </w:pPr>
            <w:r>
              <w:rPr>
                <w:rFonts w:ascii="Times New Roman Bold" w:hAnsi="Times New Roman Bold"/>
                <w:spacing w:val="-4"/>
                <w:lang w:val="en-US"/>
              </w:rPr>
              <w:t>Relative level in 50 kHz measurement bandwidth</w:t>
            </w:r>
            <w:r>
              <w:rPr>
                <w:rFonts w:ascii="Times New Roman Bold" w:hAnsi="Times New Roman Bold"/>
                <w:spacing w:val="-4"/>
                <w:lang w:val="en-US"/>
              </w:rPr>
              <w:br/>
              <w:t>1.25 MHz VSB</w:t>
            </w:r>
            <w:r>
              <w:rPr>
                <w:rFonts w:ascii="Times New Roman Bold" w:hAnsi="Times New Roman Bold"/>
                <w:spacing w:val="-4"/>
                <w:lang w:val="en-US"/>
              </w:rPr>
              <w:br/>
              <w:t>(dB)</w:t>
            </w:r>
          </w:p>
        </w:tc>
      </w:tr>
      <w:tr w:rsidR="0040081F" w:rsidTr="00D715BA">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487E2E">
            <w:pPr>
              <w:pStyle w:val="Tabletext"/>
              <w:keepNext/>
              <w:keepLines/>
              <w:jc w:val="center"/>
            </w:pPr>
            <w:r>
              <w:rPr>
                <w:szCs w:val="24"/>
              </w:rPr>
              <w:t>–17.25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487E2E">
            <w:pPr>
              <w:pStyle w:val="Tabletext"/>
              <w:keepNext/>
              <w:keepLines/>
              <w:jc w:val="center"/>
            </w:pPr>
            <w:r>
              <w:rPr>
                <w:szCs w:val="24"/>
              </w:rPr>
              <w:t>–20</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487E2E">
            <w:pPr>
              <w:pStyle w:val="Tabletext"/>
              <w:keepNext/>
              <w:keepLines/>
              <w:jc w:val="center"/>
            </w:pPr>
            <w:r>
              <w:rPr>
                <w:szCs w:val="24"/>
              </w:rPr>
              <w:t>–90.5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487E2E">
            <w:pPr>
              <w:pStyle w:val="Tabletext"/>
              <w:keepNext/>
              <w:keepLines/>
              <w:jc w:val="center"/>
            </w:pPr>
            <w:r>
              <w:rPr>
                <w:szCs w:val="24"/>
              </w:rPr>
              <w:t>–90.5</w:t>
            </w:r>
          </w:p>
        </w:tc>
      </w:tr>
      <w:tr w:rsidR="0040081F" w:rsidTr="00D715BA">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487E2E">
            <w:pPr>
              <w:pStyle w:val="Tabletext"/>
              <w:keepNext/>
              <w:keepLines/>
              <w:jc w:val="center"/>
            </w:pPr>
            <w:r>
              <w:rPr>
                <w:szCs w:val="24"/>
              </w:rPr>
              <w:t>–9.25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487E2E">
            <w:pPr>
              <w:pStyle w:val="Tabletext"/>
              <w:keepNext/>
              <w:keepLines/>
              <w:jc w:val="center"/>
            </w:pPr>
            <w:r>
              <w:rPr>
                <w:szCs w:val="24"/>
              </w:rPr>
              <w:t>–12</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487E2E">
            <w:pPr>
              <w:pStyle w:val="Tabletext"/>
              <w:keepNext/>
              <w:keepLines/>
              <w:jc w:val="center"/>
            </w:pPr>
            <w:r>
              <w:rPr>
                <w:szCs w:val="24"/>
              </w:rPr>
              <w:t>–65.5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487E2E">
            <w:pPr>
              <w:pStyle w:val="Tabletext"/>
              <w:keepNext/>
              <w:keepLines/>
              <w:jc w:val="center"/>
            </w:pPr>
            <w:r>
              <w:rPr>
                <w:szCs w:val="24"/>
              </w:rPr>
              <w:t>–</w:t>
            </w:r>
            <w:r>
              <w:t>65</w:t>
            </w:r>
            <w:r>
              <w:rPr>
                <w:szCs w:val="24"/>
              </w:rPr>
              <w:t>.5</w:t>
            </w:r>
          </w:p>
        </w:tc>
      </w:tr>
      <w:tr w:rsidR="0040081F" w:rsidTr="00D715BA">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487E2E">
            <w:pPr>
              <w:pStyle w:val="Tabletext"/>
              <w:keepNext/>
              <w:keepLines/>
              <w:jc w:val="center"/>
            </w:pPr>
            <w:r>
              <w:rPr>
                <w:szCs w:val="24"/>
              </w:rPr>
              <w:t>–6.5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487E2E">
            <w:pPr>
              <w:pStyle w:val="Tabletext"/>
              <w:keepNext/>
              <w:keepLines/>
              <w:jc w:val="center"/>
            </w:pPr>
            <w:r>
              <w:rPr>
                <w:szCs w:val="24"/>
              </w:rPr>
              <w:t>–9.25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487E2E">
            <w:pPr>
              <w:pStyle w:val="Tabletext"/>
              <w:keepNext/>
              <w:keepLines/>
              <w:jc w:val="center"/>
            </w:pPr>
            <w:r>
              <w:rPr>
                <w:szCs w:val="24"/>
              </w:rPr>
              <w:t>–56</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487E2E">
            <w:pPr>
              <w:pStyle w:val="Tabletext"/>
              <w:keepNext/>
              <w:keepLines/>
              <w:jc w:val="center"/>
            </w:pPr>
            <w:r>
              <w:rPr>
                <w:szCs w:val="24"/>
              </w:rPr>
              <w:t>–</w:t>
            </w:r>
            <w:r>
              <w:t>56</w:t>
            </w:r>
          </w:p>
        </w:tc>
      </w:tr>
      <w:tr w:rsidR="0040081F" w:rsidTr="00D715BA">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487E2E">
            <w:pPr>
              <w:pStyle w:val="Tabletext"/>
              <w:keepNext/>
              <w:keepLines/>
              <w:jc w:val="center"/>
            </w:pPr>
            <w:r>
              <w:rPr>
                <w:szCs w:val="24"/>
              </w:rPr>
              <w:t>–6</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487E2E">
            <w:pPr>
              <w:pStyle w:val="Tabletext"/>
              <w:keepNext/>
              <w:keepLines/>
              <w:jc w:val="center"/>
            </w:pPr>
            <w:r>
              <w:rPr>
                <w:szCs w:val="24"/>
              </w:rPr>
              <w:t>–8.75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487E2E">
            <w:pPr>
              <w:pStyle w:val="Tabletext"/>
              <w:keepNext/>
              <w:keepLines/>
              <w:jc w:val="center"/>
            </w:pPr>
            <w:r>
              <w:rPr>
                <w:szCs w:val="24"/>
              </w:rPr>
              <w:t>–36</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487E2E">
            <w:pPr>
              <w:pStyle w:val="Tabletext"/>
              <w:keepNext/>
              <w:keepLines/>
              <w:jc w:val="center"/>
            </w:pPr>
            <w:r>
              <w:rPr>
                <w:szCs w:val="24"/>
              </w:rPr>
              <w:t>–</w:t>
            </w:r>
            <w:r>
              <w:t>36</w:t>
            </w:r>
          </w:p>
        </w:tc>
      </w:tr>
      <w:tr w:rsidR="0040081F" w:rsidTr="00D715BA">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–3</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–5.75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–36</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–36</w:t>
            </w:r>
          </w:p>
        </w:tc>
      </w:tr>
      <w:tr w:rsidR="0040081F" w:rsidTr="00D715BA">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–1.25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–4</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–36</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–16</w:t>
            </w:r>
          </w:p>
        </w:tc>
      </w:tr>
      <w:tr w:rsidR="0040081F" w:rsidTr="00D715BA">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–0.75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–3.5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–16</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–16</w:t>
            </w:r>
          </w:p>
        </w:tc>
      </w:tr>
      <w:tr w:rsidR="0040081F" w:rsidTr="00D715BA">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–0.18</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–2.93</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–16</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–16</w:t>
            </w:r>
          </w:p>
        </w:tc>
      </w:tr>
      <w:tr w:rsidR="0040081F" w:rsidTr="00D715BA">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0</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–2.75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0</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0</w:t>
            </w:r>
          </w:p>
        </w:tc>
      </w:tr>
      <w:tr w:rsidR="0040081F" w:rsidTr="00D715BA">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0.18</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–2.57</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–16</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–16</w:t>
            </w:r>
          </w:p>
        </w:tc>
      </w:tr>
      <w:tr w:rsidR="0040081F" w:rsidTr="00D715BA">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2.25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–16</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–16</w:t>
            </w:r>
          </w:p>
        </w:tc>
      </w:tr>
      <w:tr w:rsidR="0040081F" w:rsidTr="00D715BA">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5.435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2.685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–10</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–10</w:t>
            </w:r>
          </w:p>
        </w:tc>
      </w:tr>
      <w:tr w:rsidR="0040081F" w:rsidTr="00D715BA">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6.565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3.815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–10</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–10</w:t>
            </w:r>
          </w:p>
        </w:tc>
      </w:tr>
      <w:tr w:rsidR="0040081F" w:rsidTr="00D715BA">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6.802</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4.052</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–25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–25</w:t>
            </w:r>
          </w:p>
        </w:tc>
      </w:tr>
      <w:tr w:rsidR="0040081F" w:rsidTr="00D715BA">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6.94</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4.19</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–50</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–50</w:t>
            </w:r>
          </w:p>
        </w:tc>
      </w:tr>
      <w:tr w:rsidR="0040081F" w:rsidTr="00D715BA">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13</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10.25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–56</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–56</w:t>
            </w:r>
          </w:p>
        </w:tc>
      </w:tr>
      <w:tr w:rsidR="0040081F" w:rsidTr="00D715BA">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14.75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12</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–65.5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–65.5</w:t>
            </w:r>
          </w:p>
        </w:tc>
      </w:tr>
      <w:tr w:rsidR="0040081F" w:rsidTr="00D715BA">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22.75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20</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–90.5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–90.5</w:t>
            </w:r>
          </w:p>
        </w:tc>
      </w:tr>
    </w:tbl>
    <w:p w:rsidR="0040081F" w:rsidRDefault="0040081F" w:rsidP="0040081F">
      <w:pPr>
        <w:pStyle w:val="Tablefin"/>
      </w:pPr>
    </w:p>
    <w:p w:rsidR="0040081F" w:rsidRDefault="0040081F" w:rsidP="00701FC2">
      <w:pPr>
        <w:rPr>
          <w:lang w:val="en-US"/>
        </w:rPr>
      </w:pPr>
      <w:r>
        <w:rPr>
          <w:lang w:val="en-US"/>
        </w:rPr>
        <w:t>Table 11 provides end point values to be used in conjunction with Table 10 and Fig. 2</w:t>
      </w:r>
      <w:r w:rsidR="00701FC2">
        <w:rPr>
          <w:lang w:val="en-US"/>
        </w:rPr>
        <w:t>0</w:t>
      </w:r>
      <w:r>
        <w:rPr>
          <w:lang w:val="en-US"/>
        </w:rPr>
        <w:t>, applicable to a range of transmitter output powers, for 8 MHz analogue television, negative modulation.</w:t>
      </w:r>
    </w:p>
    <w:p w:rsidR="0040081F" w:rsidRDefault="0040081F" w:rsidP="0040081F">
      <w:pPr>
        <w:pStyle w:val="TableNo"/>
        <w:rPr>
          <w:lang w:val="en-US"/>
        </w:rPr>
      </w:pPr>
      <w:r>
        <w:rPr>
          <w:lang w:val="en-US"/>
        </w:rPr>
        <w:t>TABLE  11</w:t>
      </w:r>
    </w:p>
    <w:p w:rsidR="0040081F" w:rsidRDefault="0040081F" w:rsidP="0040081F">
      <w:pPr>
        <w:pStyle w:val="Tabletitle"/>
        <w:rPr>
          <w:lang w:val="en-US"/>
        </w:rPr>
      </w:pPr>
      <w:r>
        <w:rPr>
          <w:lang w:val="en-US"/>
        </w:rPr>
        <w:t>End point values for 8 MHz analogue television, negative modulation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1"/>
      </w:tblGrid>
      <w:tr w:rsidR="0040081F" w:rsidRPr="00620821" w:rsidTr="00DC4EB6">
        <w:trPr>
          <w:jc w:val="center"/>
        </w:trPr>
        <w:tc>
          <w:tcPr>
            <w:tcW w:w="2840" w:type="dxa"/>
            <w:vAlign w:val="center"/>
          </w:tcPr>
          <w:p w:rsidR="0040081F" w:rsidRDefault="0040081F" w:rsidP="00701FC2">
            <w:pPr>
              <w:pStyle w:val="Tablehead"/>
              <w:rPr>
                <w:lang w:val="en-US"/>
              </w:rPr>
            </w:pPr>
            <w:r>
              <w:rPr>
                <w:lang w:val="en-US"/>
              </w:rPr>
              <w:t>End point value</w:t>
            </w:r>
            <w:r w:rsidRPr="00D715BA">
              <w:rPr>
                <w:position w:val="6"/>
                <w:sz w:val="18"/>
                <w:vertAlign w:val="superscript"/>
                <w:lang w:val="en-US"/>
              </w:rPr>
              <w:t>(1)</w:t>
            </w:r>
            <w:r>
              <w:rPr>
                <w:lang w:val="en-US"/>
              </w:rPr>
              <w:br/>
              <w:t>(50 kHz measurement bandwidth)</w:t>
            </w:r>
            <w:r>
              <w:rPr>
                <w:lang w:val="en-US"/>
              </w:rPr>
              <w:br/>
              <w:t>(dB)</w:t>
            </w:r>
          </w:p>
        </w:tc>
        <w:tc>
          <w:tcPr>
            <w:tcW w:w="2840" w:type="dxa"/>
            <w:vAlign w:val="center"/>
          </w:tcPr>
          <w:p w:rsidR="0040081F" w:rsidRDefault="0040081F" w:rsidP="00701FC2">
            <w:pPr>
              <w:pStyle w:val="Tablehead"/>
              <w:rPr>
                <w:lang w:val="en-US"/>
              </w:rPr>
            </w:pPr>
            <w:r>
              <w:rPr>
                <w:lang w:val="en-US"/>
              </w:rPr>
              <w:t>Power range</w:t>
            </w:r>
            <w:r>
              <w:rPr>
                <w:lang w:val="en-US"/>
              </w:rPr>
              <w:br/>
              <w:t>(dBW)</w:t>
            </w:r>
          </w:p>
        </w:tc>
        <w:tc>
          <w:tcPr>
            <w:tcW w:w="2841" w:type="dxa"/>
            <w:vAlign w:val="center"/>
          </w:tcPr>
          <w:p w:rsidR="0040081F" w:rsidRDefault="0040081F" w:rsidP="00701FC2">
            <w:pPr>
              <w:pStyle w:val="Tablehead"/>
              <w:rPr>
                <w:lang w:val="en-US"/>
              </w:rPr>
            </w:pPr>
            <w:r>
              <w:rPr>
                <w:lang w:val="en-US"/>
              </w:rPr>
              <w:t>Corresponding spurious level (in 100 kHz measurement bandwidth)</w:t>
            </w:r>
          </w:p>
        </w:tc>
      </w:tr>
      <w:tr w:rsidR="0040081F" w:rsidTr="00DC4EB6">
        <w:trPr>
          <w:jc w:val="center"/>
        </w:trPr>
        <w:tc>
          <w:tcPr>
            <w:tcW w:w="2840" w:type="dxa"/>
          </w:tcPr>
          <w:p w:rsidR="0040081F" w:rsidRDefault="0040081F" w:rsidP="00D715BA">
            <w:pPr>
              <w:pStyle w:val="Tabletext"/>
              <w:jc w:val="center"/>
              <w:rPr>
                <w:lang w:val="en-US"/>
              </w:rPr>
            </w:pPr>
            <w:r>
              <w:rPr>
                <w:szCs w:val="24"/>
                <w:lang w:val="en-US"/>
              </w:rPr>
              <w:t>–80.5 – (</w:t>
            </w:r>
            <w:r>
              <w:rPr>
                <w:i/>
                <w:iCs/>
                <w:szCs w:val="24"/>
                <w:lang w:val="en-US"/>
              </w:rPr>
              <w:t>P</w:t>
            </w:r>
            <w:r>
              <w:rPr>
                <w:szCs w:val="24"/>
                <w:lang w:val="en-US"/>
              </w:rPr>
              <w:t> – 9)</w:t>
            </w:r>
          </w:p>
        </w:tc>
        <w:tc>
          <w:tcPr>
            <w:tcW w:w="2840" w:type="dxa"/>
          </w:tcPr>
          <w:p w:rsidR="0040081F" w:rsidRDefault="00D715BA" w:rsidP="00D715BA">
            <w:pPr>
              <w:pStyle w:val="Tabletext"/>
              <w:tabs>
                <w:tab w:val="clear" w:pos="851"/>
                <w:tab w:val="left" w:pos="845"/>
              </w:tabs>
              <w:jc w:val="left"/>
              <w:rPr>
                <w:lang w:val="en-US"/>
              </w:rPr>
            </w:pPr>
            <w:r>
              <w:rPr>
                <w:i/>
                <w:iCs/>
                <w:szCs w:val="24"/>
                <w:lang w:val="en-US"/>
              </w:rPr>
              <w:tab/>
            </w:r>
            <w:r>
              <w:rPr>
                <w:i/>
                <w:iCs/>
                <w:szCs w:val="24"/>
                <w:lang w:val="en-US"/>
              </w:rPr>
              <w:tab/>
            </w:r>
            <w:r w:rsidR="0040081F">
              <w:rPr>
                <w:i/>
                <w:iCs/>
                <w:szCs w:val="24"/>
                <w:lang w:val="en-US"/>
              </w:rPr>
              <w:t>P</w:t>
            </w:r>
            <w:r w:rsidR="0040081F">
              <w:rPr>
                <w:szCs w:val="24"/>
                <w:lang w:val="en-US"/>
              </w:rPr>
              <w:t> </w:t>
            </w:r>
            <w:r w:rsidR="0040081F">
              <w:sym w:font="Symbol" w:char="F0A3"/>
            </w:r>
            <w:r w:rsidR="0040081F">
              <w:rPr>
                <w:lang w:val="en-US"/>
              </w:rPr>
              <w:t> </w:t>
            </w:r>
            <w:r w:rsidR="0040081F">
              <w:rPr>
                <w:szCs w:val="24"/>
                <w:lang w:val="en-US"/>
              </w:rPr>
              <w:t>9</w:t>
            </w:r>
          </w:p>
        </w:tc>
        <w:tc>
          <w:tcPr>
            <w:tcW w:w="2841" w:type="dxa"/>
          </w:tcPr>
          <w:p w:rsidR="0040081F" w:rsidRDefault="0040081F" w:rsidP="00D715BA">
            <w:pPr>
              <w:pStyle w:val="Tabletext"/>
              <w:jc w:val="center"/>
              <w:rPr>
                <w:lang w:val="en-US"/>
              </w:rPr>
            </w:pPr>
            <w:r>
              <w:rPr>
                <w:szCs w:val="24"/>
                <w:lang w:val="en-US"/>
              </w:rPr>
              <w:t>–36 dBm</w:t>
            </w:r>
          </w:p>
        </w:tc>
      </w:tr>
      <w:tr w:rsidR="0040081F" w:rsidTr="00DC4EB6">
        <w:trPr>
          <w:jc w:val="center"/>
        </w:trPr>
        <w:tc>
          <w:tcPr>
            <w:tcW w:w="2840" w:type="dxa"/>
          </w:tcPr>
          <w:p w:rsidR="0040081F" w:rsidRDefault="0040081F" w:rsidP="00D715BA">
            <w:pPr>
              <w:pStyle w:val="Tabletext"/>
              <w:jc w:val="center"/>
              <w:rPr>
                <w:lang w:val="en-US"/>
              </w:rPr>
            </w:pPr>
            <w:r>
              <w:rPr>
                <w:szCs w:val="24"/>
                <w:lang w:val="en-US"/>
              </w:rPr>
              <w:t>–80.5</w:t>
            </w:r>
          </w:p>
        </w:tc>
        <w:tc>
          <w:tcPr>
            <w:tcW w:w="2840" w:type="dxa"/>
          </w:tcPr>
          <w:p w:rsidR="0040081F" w:rsidRDefault="00D715BA" w:rsidP="00D715BA">
            <w:pPr>
              <w:pStyle w:val="Tabletext"/>
              <w:jc w:val="left"/>
              <w:rPr>
                <w:lang w:val="en-US"/>
              </w:rPr>
            </w:pPr>
            <w:r>
              <w:rPr>
                <w:szCs w:val="24"/>
                <w:lang w:val="en-US"/>
              </w:rPr>
              <w:tab/>
            </w:r>
            <w:r>
              <w:rPr>
                <w:szCs w:val="24"/>
                <w:lang w:val="en-US"/>
              </w:rPr>
              <w:tab/>
            </w:r>
            <w:r w:rsidR="0040081F">
              <w:rPr>
                <w:szCs w:val="24"/>
                <w:lang w:val="en-US"/>
              </w:rPr>
              <w:t>9 &lt;</w:t>
            </w:r>
            <w:r w:rsidR="0040081F">
              <w:rPr>
                <w:szCs w:val="24"/>
                <w:lang w:val="en-US"/>
              </w:rPr>
              <w:tab/>
            </w:r>
            <w:r w:rsidR="0040081F">
              <w:rPr>
                <w:i/>
                <w:iCs/>
                <w:szCs w:val="24"/>
                <w:lang w:val="en-US"/>
              </w:rPr>
              <w:t>P</w:t>
            </w:r>
            <w:r w:rsidR="0040081F">
              <w:rPr>
                <w:szCs w:val="24"/>
                <w:lang w:val="en-US"/>
              </w:rPr>
              <w:t> </w:t>
            </w:r>
            <w:r w:rsidR="0040081F">
              <w:sym w:font="Symbol" w:char="F0A3"/>
            </w:r>
            <w:r w:rsidR="0040081F">
              <w:rPr>
                <w:szCs w:val="24"/>
                <w:lang w:val="en-US"/>
              </w:rPr>
              <w:t> 29</w:t>
            </w:r>
          </w:p>
        </w:tc>
        <w:tc>
          <w:tcPr>
            <w:tcW w:w="2841" w:type="dxa"/>
          </w:tcPr>
          <w:p w:rsidR="0040081F" w:rsidRDefault="0040081F" w:rsidP="00D715BA">
            <w:pPr>
              <w:pStyle w:val="Tabletext"/>
              <w:jc w:val="center"/>
              <w:rPr>
                <w:lang w:val="en-US"/>
              </w:rPr>
            </w:pPr>
            <w:r>
              <w:rPr>
                <w:szCs w:val="24"/>
                <w:lang w:val="en-US"/>
              </w:rPr>
              <w:t>75 dBc</w:t>
            </w:r>
          </w:p>
        </w:tc>
      </w:tr>
      <w:tr w:rsidR="0040081F" w:rsidTr="00DC4EB6">
        <w:trPr>
          <w:jc w:val="center"/>
        </w:trPr>
        <w:tc>
          <w:tcPr>
            <w:tcW w:w="2840" w:type="dxa"/>
          </w:tcPr>
          <w:p w:rsidR="0040081F" w:rsidRDefault="0040081F" w:rsidP="00D715BA">
            <w:pPr>
              <w:pStyle w:val="Tabletext"/>
              <w:jc w:val="center"/>
              <w:rPr>
                <w:lang w:val="en-US"/>
              </w:rPr>
            </w:pPr>
            <w:r>
              <w:rPr>
                <w:szCs w:val="24"/>
                <w:lang w:val="en-US"/>
              </w:rPr>
              <w:t>–80.5 – (</w:t>
            </w:r>
            <w:r>
              <w:rPr>
                <w:i/>
                <w:iCs/>
                <w:szCs w:val="24"/>
                <w:lang w:val="en-US"/>
              </w:rPr>
              <w:t>P</w:t>
            </w:r>
            <w:r>
              <w:rPr>
                <w:szCs w:val="24"/>
                <w:lang w:val="en-US"/>
              </w:rPr>
              <w:t> – 29)</w:t>
            </w:r>
          </w:p>
        </w:tc>
        <w:tc>
          <w:tcPr>
            <w:tcW w:w="2840" w:type="dxa"/>
          </w:tcPr>
          <w:p w:rsidR="0040081F" w:rsidRDefault="00D715BA" w:rsidP="00D715BA">
            <w:pPr>
              <w:pStyle w:val="Tabletext"/>
              <w:tabs>
                <w:tab w:val="clear" w:pos="851"/>
                <w:tab w:val="left" w:pos="845"/>
              </w:tabs>
              <w:jc w:val="left"/>
              <w:rPr>
                <w:lang w:val="en-US"/>
              </w:rPr>
            </w:pPr>
            <w:r>
              <w:rPr>
                <w:szCs w:val="24"/>
                <w:lang w:val="en-US"/>
              </w:rPr>
              <w:tab/>
            </w:r>
            <w:r>
              <w:rPr>
                <w:szCs w:val="24"/>
                <w:lang w:val="en-US"/>
              </w:rPr>
              <w:tab/>
            </w:r>
            <w:r w:rsidR="0040081F">
              <w:rPr>
                <w:szCs w:val="24"/>
                <w:lang w:val="en-US"/>
              </w:rPr>
              <w:t>29 &lt;</w:t>
            </w:r>
            <w:r w:rsidR="0040081F">
              <w:rPr>
                <w:szCs w:val="24"/>
                <w:lang w:val="en-US"/>
              </w:rPr>
              <w:tab/>
            </w:r>
            <w:r w:rsidR="0040081F">
              <w:rPr>
                <w:i/>
                <w:iCs/>
                <w:szCs w:val="24"/>
                <w:lang w:val="en-US"/>
              </w:rPr>
              <w:t>P</w:t>
            </w:r>
            <w:r w:rsidR="0040081F">
              <w:rPr>
                <w:szCs w:val="24"/>
                <w:lang w:val="en-US"/>
              </w:rPr>
              <w:t> </w:t>
            </w:r>
            <w:r w:rsidR="0040081F">
              <w:sym w:font="Symbol" w:char="F0A3"/>
            </w:r>
            <w:r w:rsidR="0040081F">
              <w:rPr>
                <w:szCs w:val="24"/>
                <w:lang w:val="en-US"/>
              </w:rPr>
              <w:t> 39</w:t>
            </w:r>
          </w:p>
        </w:tc>
        <w:tc>
          <w:tcPr>
            <w:tcW w:w="2841" w:type="dxa"/>
          </w:tcPr>
          <w:p w:rsidR="0040081F" w:rsidRDefault="0040081F" w:rsidP="00D715BA">
            <w:pPr>
              <w:pStyle w:val="Tabletext"/>
              <w:jc w:val="center"/>
              <w:rPr>
                <w:lang w:val="en-US"/>
              </w:rPr>
            </w:pPr>
            <w:r>
              <w:rPr>
                <w:szCs w:val="24"/>
                <w:lang w:val="en-US"/>
              </w:rPr>
              <w:t>–16 dBm</w:t>
            </w:r>
          </w:p>
        </w:tc>
      </w:tr>
      <w:tr w:rsidR="0040081F" w:rsidTr="00DC4EB6">
        <w:trPr>
          <w:jc w:val="center"/>
        </w:trPr>
        <w:tc>
          <w:tcPr>
            <w:tcW w:w="2840" w:type="dxa"/>
          </w:tcPr>
          <w:p w:rsidR="0040081F" w:rsidRDefault="0040081F" w:rsidP="00D715BA">
            <w:pPr>
              <w:pStyle w:val="Tabletext"/>
              <w:jc w:val="center"/>
              <w:rPr>
                <w:lang w:val="en-US"/>
              </w:rPr>
            </w:pPr>
            <w:r>
              <w:rPr>
                <w:szCs w:val="24"/>
                <w:lang w:val="en-US"/>
              </w:rPr>
              <w:t>–90.5</w:t>
            </w:r>
          </w:p>
        </w:tc>
        <w:tc>
          <w:tcPr>
            <w:tcW w:w="2840" w:type="dxa"/>
          </w:tcPr>
          <w:p w:rsidR="0040081F" w:rsidRDefault="00D715BA" w:rsidP="00D715BA">
            <w:pPr>
              <w:pStyle w:val="Tabletext"/>
              <w:tabs>
                <w:tab w:val="clear" w:pos="851"/>
                <w:tab w:val="left" w:pos="845"/>
              </w:tabs>
              <w:jc w:val="left"/>
              <w:rPr>
                <w:lang w:val="en-US"/>
              </w:rPr>
            </w:pPr>
            <w:r>
              <w:rPr>
                <w:szCs w:val="24"/>
                <w:lang w:val="en-US"/>
              </w:rPr>
              <w:tab/>
            </w:r>
            <w:r>
              <w:rPr>
                <w:szCs w:val="24"/>
                <w:lang w:val="en-US"/>
              </w:rPr>
              <w:tab/>
            </w:r>
            <w:r w:rsidR="0040081F">
              <w:rPr>
                <w:szCs w:val="24"/>
                <w:lang w:val="en-US"/>
              </w:rPr>
              <w:t>39 &lt;</w:t>
            </w:r>
            <w:r w:rsidR="0040081F">
              <w:rPr>
                <w:szCs w:val="24"/>
                <w:lang w:val="en-US"/>
              </w:rPr>
              <w:tab/>
            </w:r>
            <w:r w:rsidR="0040081F">
              <w:rPr>
                <w:i/>
                <w:iCs/>
                <w:szCs w:val="24"/>
                <w:lang w:val="en-US"/>
              </w:rPr>
              <w:t>P</w:t>
            </w:r>
            <w:r w:rsidR="0040081F">
              <w:rPr>
                <w:szCs w:val="24"/>
                <w:lang w:val="en-US"/>
              </w:rPr>
              <w:t> </w:t>
            </w:r>
            <w:r w:rsidR="0040081F">
              <w:sym w:font="Symbol" w:char="F0A3"/>
            </w:r>
            <w:r w:rsidR="0040081F">
              <w:rPr>
                <w:szCs w:val="24"/>
                <w:lang w:val="en-US"/>
              </w:rPr>
              <w:t> 50</w:t>
            </w:r>
          </w:p>
        </w:tc>
        <w:tc>
          <w:tcPr>
            <w:tcW w:w="2841" w:type="dxa"/>
          </w:tcPr>
          <w:p w:rsidR="0040081F" w:rsidRDefault="0040081F" w:rsidP="00D715BA">
            <w:pPr>
              <w:pStyle w:val="Tabletext"/>
              <w:jc w:val="center"/>
              <w:rPr>
                <w:lang w:val="en-US"/>
              </w:rPr>
            </w:pPr>
            <w:r>
              <w:rPr>
                <w:szCs w:val="24"/>
                <w:lang w:val="en-US"/>
              </w:rPr>
              <w:t>85 dBc</w:t>
            </w:r>
          </w:p>
        </w:tc>
      </w:tr>
      <w:tr w:rsidR="0040081F" w:rsidTr="00DC4EB6">
        <w:trPr>
          <w:jc w:val="center"/>
        </w:trPr>
        <w:tc>
          <w:tcPr>
            <w:tcW w:w="2840" w:type="dxa"/>
            <w:tcBorders>
              <w:bottom w:val="single" w:sz="6" w:space="0" w:color="auto"/>
            </w:tcBorders>
          </w:tcPr>
          <w:p w:rsidR="0040081F" w:rsidRDefault="0040081F" w:rsidP="00D715BA">
            <w:pPr>
              <w:pStyle w:val="Tabletext"/>
              <w:jc w:val="center"/>
              <w:rPr>
                <w:lang w:val="en-US"/>
              </w:rPr>
            </w:pPr>
            <w:r>
              <w:rPr>
                <w:szCs w:val="24"/>
                <w:lang w:val="en-US"/>
              </w:rPr>
              <w:t>–90.5 – (</w:t>
            </w:r>
            <w:r>
              <w:rPr>
                <w:i/>
                <w:iCs/>
                <w:szCs w:val="24"/>
                <w:lang w:val="en-US"/>
              </w:rPr>
              <w:t>P</w:t>
            </w:r>
            <w:r>
              <w:rPr>
                <w:szCs w:val="24"/>
                <w:lang w:val="en-US"/>
              </w:rPr>
              <w:t> – 50)</w:t>
            </w:r>
          </w:p>
        </w:tc>
        <w:tc>
          <w:tcPr>
            <w:tcW w:w="2840" w:type="dxa"/>
            <w:tcBorders>
              <w:bottom w:val="single" w:sz="6" w:space="0" w:color="auto"/>
            </w:tcBorders>
          </w:tcPr>
          <w:p w:rsidR="0040081F" w:rsidRDefault="00D715BA" w:rsidP="00D715BA">
            <w:pPr>
              <w:pStyle w:val="Tabletext"/>
              <w:tabs>
                <w:tab w:val="clear" w:pos="851"/>
                <w:tab w:val="left" w:pos="845"/>
              </w:tabs>
              <w:jc w:val="left"/>
              <w:rPr>
                <w:lang w:val="en-US"/>
              </w:rPr>
            </w:pPr>
            <w:r>
              <w:rPr>
                <w:szCs w:val="24"/>
                <w:lang w:val="en-US"/>
              </w:rPr>
              <w:tab/>
            </w:r>
            <w:r>
              <w:rPr>
                <w:szCs w:val="24"/>
                <w:lang w:val="en-US"/>
              </w:rPr>
              <w:tab/>
            </w:r>
            <w:r w:rsidR="0040081F">
              <w:rPr>
                <w:szCs w:val="24"/>
                <w:lang w:val="en-US"/>
              </w:rPr>
              <w:t>50 &lt;</w:t>
            </w:r>
            <w:r w:rsidR="0040081F">
              <w:rPr>
                <w:szCs w:val="24"/>
                <w:lang w:val="en-US"/>
              </w:rPr>
              <w:tab/>
            </w:r>
            <w:r w:rsidR="0040081F">
              <w:rPr>
                <w:i/>
                <w:iCs/>
                <w:szCs w:val="24"/>
                <w:lang w:val="en-US"/>
              </w:rPr>
              <w:t>P</w:t>
            </w:r>
          </w:p>
        </w:tc>
        <w:tc>
          <w:tcPr>
            <w:tcW w:w="2841" w:type="dxa"/>
            <w:tcBorders>
              <w:bottom w:val="single" w:sz="6" w:space="0" w:color="auto"/>
            </w:tcBorders>
          </w:tcPr>
          <w:p w:rsidR="0040081F" w:rsidRDefault="0040081F" w:rsidP="00D715BA">
            <w:pPr>
              <w:pStyle w:val="Tabletext"/>
              <w:jc w:val="center"/>
              <w:rPr>
                <w:lang w:val="en-US"/>
              </w:rPr>
            </w:pPr>
            <w:r>
              <w:rPr>
                <w:szCs w:val="24"/>
                <w:lang w:val="en-US"/>
              </w:rPr>
              <w:t>–5 dBm</w:t>
            </w:r>
          </w:p>
        </w:tc>
      </w:tr>
      <w:tr w:rsidR="0040081F" w:rsidRPr="00620821" w:rsidTr="00DC4EB6">
        <w:trPr>
          <w:jc w:val="center"/>
        </w:trPr>
        <w:tc>
          <w:tcPr>
            <w:tcW w:w="8521" w:type="dxa"/>
            <w:gridSpan w:val="3"/>
            <w:tcBorders>
              <w:left w:val="nil"/>
              <w:bottom w:val="nil"/>
              <w:right w:val="nil"/>
            </w:tcBorders>
          </w:tcPr>
          <w:p w:rsidR="0040081F" w:rsidRDefault="0040081F" w:rsidP="00E95CDC">
            <w:pPr>
              <w:pStyle w:val="Tablelegend"/>
              <w:rPr>
                <w:lang w:val="en-US"/>
              </w:rPr>
            </w:pPr>
            <w:r w:rsidRPr="00D715BA">
              <w:rPr>
                <w:position w:val="6"/>
                <w:sz w:val="18"/>
                <w:vertAlign w:val="superscript"/>
                <w:lang w:val="en-US"/>
              </w:rPr>
              <w:t>(1)</w:t>
            </w:r>
            <w:r>
              <w:rPr>
                <w:lang w:val="en-US"/>
              </w:rPr>
              <w:tab/>
              <w:t>The end point value is subject to an upper limit of 65.5 dB.</w:t>
            </w:r>
          </w:p>
        </w:tc>
      </w:tr>
    </w:tbl>
    <w:p w:rsidR="0040081F" w:rsidRDefault="0040081F" w:rsidP="00701FC2">
      <w:pPr>
        <w:rPr>
          <w:lang w:val="en-US"/>
        </w:rPr>
      </w:pPr>
      <w:r>
        <w:rPr>
          <w:lang w:val="en-US"/>
        </w:rPr>
        <w:lastRenderedPageBreak/>
        <w:t>Table 12 provides break points corresponding to the graph shown in Fig. 2</w:t>
      </w:r>
      <w:r w:rsidR="00701FC2">
        <w:rPr>
          <w:lang w:val="en-US"/>
        </w:rPr>
        <w:t>1</w:t>
      </w:r>
      <w:r>
        <w:rPr>
          <w:lang w:val="en-US"/>
        </w:rPr>
        <w:t>, for 8 MHz analogue television, positive modulation, 0.75 MHz and 1.25 MHz VSB.</w:t>
      </w:r>
    </w:p>
    <w:p w:rsidR="0040081F" w:rsidRDefault="0040081F" w:rsidP="0040081F">
      <w:pPr>
        <w:rPr>
          <w:lang w:val="en-US"/>
        </w:rPr>
      </w:pPr>
    </w:p>
    <w:p w:rsidR="0040081F" w:rsidRDefault="0040081F" w:rsidP="0040081F">
      <w:pPr>
        <w:rPr>
          <w:lang w:val="en-US"/>
        </w:rPr>
      </w:pPr>
    </w:p>
    <w:p w:rsidR="00701FC2" w:rsidRPr="000D4195" w:rsidRDefault="00701FC2" w:rsidP="0040081F">
      <w:pPr>
        <w:pStyle w:val="FigureNo"/>
        <w:rPr>
          <w:lang w:val="en-US"/>
        </w:rPr>
      </w:pPr>
      <w:r w:rsidRPr="000D4195">
        <w:rPr>
          <w:lang w:val="en-US"/>
        </w:rPr>
        <w:t>FIGURE 21</w:t>
      </w:r>
    </w:p>
    <w:p w:rsidR="00701FC2" w:rsidRPr="000D4195" w:rsidRDefault="00701FC2" w:rsidP="00701FC2">
      <w:pPr>
        <w:pStyle w:val="Figuretitle"/>
        <w:rPr>
          <w:lang w:val="en-US"/>
        </w:rPr>
      </w:pPr>
      <w:r w:rsidRPr="000D4195">
        <w:rPr>
          <w:lang w:val="en-US"/>
        </w:rPr>
        <w:t xml:space="preserve">Spectrum limit mask for 8 MHz analogue television, positive modulation (for </w:t>
      </w:r>
      <w:r w:rsidRPr="000D4195">
        <w:rPr>
          <w:i/>
          <w:iCs/>
          <w:lang w:val="en-US"/>
        </w:rPr>
        <w:t>P</w:t>
      </w:r>
      <w:r w:rsidRPr="000D4195">
        <w:rPr>
          <w:lang w:val="en-US"/>
        </w:rPr>
        <w:t xml:space="preserve"> = 39 to 50 dBW)</w:t>
      </w:r>
    </w:p>
    <w:p w:rsidR="00701FC2" w:rsidRPr="00701FC2" w:rsidRDefault="00273E2F" w:rsidP="00701FC2">
      <w:pPr>
        <w:pStyle w:val="Figure"/>
      </w:pPr>
      <w:r>
        <w:rPr>
          <w:noProof/>
          <w:lang w:val="en-US" w:eastAsia="zh-CN"/>
        </w:rPr>
        <w:drawing>
          <wp:inline distT="0" distB="0" distL="0" distR="0" wp14:anchorId="77E7098A" wp14:editId="7565DCA1">
            <wp:extent cx="5969000" cy="47815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69000" cy="4781550"/>
                    </a:xfrm>
                    <a:prstGeom prst="rect">
                      <a:avLst/>
                    </a:prstGeom>
                    <a:noFill/>
                    <a:ln>
                      <a:noFill/>
                    </a:ln>
                  </pic:spPr>
                </pic:pic>
              </a:graphicData>
            </a:graphic>
          </wp:inline>
        </w:drawing>
      </w:r>
    </w:p>
    <w:p w:rsidR="00807481" w:rsidRDefault="00807481" w:rsidP="00E95CDC">
      <w:pPr>
        <w:rPr>
          <w:lang w:val="en-US"/>
        </w:rPr>
      </w:pPr>
    </w:p>
    <w:p w:rsidR="0040081F" w:rsidRDefault="0040081F" w:rsidP="00487E2E">
      <w:pPr>
        <w:pStyle w:val="TableNo"/>
        <w:keepLines/>
        <w:rPr>
          <w:lang w:val="en-US"/>
        </w:rPr>
      </w:pPr>
      <w:r>
        <w:rPr>
          <w:lang w:val="en-US"/>
        </w:rPr>
        <w:lastRenderedPageBreak/>
        <w:t>TABLE  12</w:t>
      </w:r>
    </w:p>
    <w:p w:rsidR="0040081F" w:rsidRDefault="0040081F" w:rsidP="00487E2E">
      <w:pPr>
        <w:pStyle w:val="Tabletitle"/>
        <w:keepLines/>
        <w:rPr>
          <w:lang w:val="en-US"/>
        </w:rPr>
      </w:pPr>
      <w:r>
        <w:rPr>
          <w:lang w:val="en-US"/>
        </w:rPr>
        <w:t xml:space="preserve">Break points for 8 MHz analogue television, positive modulation, </w:t>
      </w:r>
      <w:r>
        <w:rPr>
          <w:lang w:val="en-US"/>
        </w:rPr>
        <w:br/>
        <w:t>0.75 MHz and 1.25 MHz VSB</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268"/>
        <w:gridCol w:w="2268"/>
        <w:gridCol w:w="2268"/>
      </w:tblGrid>
      <w:tr w:rsidR="0040081F" w:rsidRPr="00620821" w:rsidTr="00487E2E">
        <w:trPr>
          <w:jc w:val="center"/>
        </w:trPr>
        <w:tc>
          <w:tcPr>
            <w:tcW w:w="2132" w:type="dxa"/>
            <w:vAlign w:val="center"/>
          </w:tcPr>
          <w:p w:rsidR="0040081F" w:rsidRDefault="0040081F" w:rsidP="00487E2E">
            <w:pPr>
              <w:pStyle w:val="Tablehead"/>
              <w:keepLines/>
              <w:rPr>
                <w:rFonts w:ascii="Times New Roman Bold" w:hAnsi="Times New Roman Bold"/>
                <w:spacing w:val="-4"/>
                <w:lang w:val="en-US"/>
              </w:rPr>
            </w:pPr>
            <w:r>
              <w:rPr>
                <w:rFonts w:ascii="Times New Roman Bold" w:hAnsi="Times New Roman Bold"/>
                <w:spacing w:val="-4"/>
                <w:lang w:val="en-US"/>
              </w:rPr>
              <w:t>Frequency relative to the vision carrier frequency</w:t>
            </w:r>
          </w:p>
        </w:tc>
        <w:tc>
          <w:tcPr>
            <w:tcW w:w="2132" w:type="dxa"/>
            <w:vAlign w:val="center"/>
          </w:tcPr>
          <w:p w:rsidR="0040081F" w:rsidRDefault="0040081F" w:rsidP="00487E2E">
            <w:pPr>
              <w:pStyle w:val="Tablehead"/>
              <w:keepLines/>
              <w:rPr>
                <w:rFonts w:ascii="Times New Roman Bold" w:hAnsi="Times New Roman Bold"/>
                <w:spacing w:val="-4"/>
                <w:lang w:val="en-US"/>
              </w:rPr>
            </w:pPr>
            <w:r>
              <w:rPr>
                <w:rFonts w:ascii="Times New Roman Bold" w:hAnsi="Times New Roman Bold"/>
                <w:spacing w:val="-4"/>
                <w:lang w:val="en-US"/>
              </w:rPr>
              <w:t>Frequency relative to the centre of the 8 MHz channel</w:t>
            </w:r>
          </w:p>
        </w:tc>
        <w:tc>
          <w:tcPr>
            <w:tcW w:w="2132" w:type="dxa"/>
            <w:vAlign w:val="center"/>
          </w:tcPr>
          <w:p w:rsidR="0040081F" w:rsidRDefault="0040081F" w:rsidP="00487E2E">
            <w:pPr>
              <w:pStyle w:val="Tablehead"/>
              <w:keepLines/>
              <w:rPr>
                <w:rFonts w:ascii="Times New Roman Bold" w:hAnsi="Times New Roman Bold"/>
                <w:spacing w:val="-4"/>
                <w:lang w:val="en-US"/>
              </w:rPr>
            </w:pPr>
            <w:r>
              <w:rPr>
                <w:rFonts w:ascii="Times New Roman Bold" w:hAnsi="Times New Roman Bold"/>
                <w:spacing w:val="-4"/>
                <w:lang w:val="en-US"/>
              </w:rPr>
              <w:t>Relative level in 50 kHz measurement bandwidth</w:t>
            </w:r>
            <w:r>
              <w:rPr>
                <w:rFonts w:ascii="Times New Roman Bold" w:hAnsi="Times New Roman Bold"/>
                <w:spacing w:val="-4"/>
                <w:lang w:val="en-US"/>
              </w:rPr>
              <w:br/>
              <w:t>0.75 MHz VSB</w:t>
            </w:r>
            <w:r>
              <w:rPr>
                <w:rFonts w:ascii="Times New Roman Bold" w:hAnsi="Times New Roman Bold"/>
                <w:spacing w:val="-4"/>
                <w:lang w:val="en-US"/>
              </w:rPr>
              <w:br/>
              <w:t>(dB)</w:t>
            </w:r>
          </w:p>
        </w:tc>
        <w:tc>
          <w:tcPr>
            <w:tcW w:w="2132" w:type="dxa"/>
            <w:vAlign w:val="center"/>
          </w:tcPr>
          <w:p w:rsidR="0040081F" w:rsidRDefault="0040081F" w:rsidP="00487E2E">
            <w:pPr>
              <w:pStyle w:val="Tablehead"/>
              <w:keepLines/>
              <w:rPr>
                <w:rFonts w:ascii="Times New Roman Bold" w:hAnsi="Times New Roman Bold"/>
                <w:spacing w:val="-4"/>
                <w:lang w:val="en-US"/>
              </w:rPr>
            </w:pPr>
            <w:r>
              <w:rPr>
                <w:rFonts w:ascii="Times New Roman Bold" w:hAnsi="Times New Roman Bold"/>
                <w:spacing w:val="-4"/>
                <w:lang w:val="en-US"/>
              </w:rPr>
              <w:t>Relative level in 50 kHz measurement bandwidth</w:t>
            </w:r>
            <w:r>
              <w:rPr>
                <w:rFonts w:ascii="Times New Roman Bold" w:hAnsi="Times New Roman Bold"/>
                <w:spacing w:val="-4"/>
                <w:lang w:val="en-US"/>
              </w:rPr>
              <w:br/>
              <w:t>1.25 MHz VSB</w:t>
            </w:r>
            <w:r>
              <w:rPr>
                <w:rFonts w:ascii="Times New Roman Bold" w:hAnsi="Times New Roman Bold"/>
                <w:spacing w:val="-4"/>
                <w:lang w:val="en-US"/>
              </w:rPr>
              <w:br/>
              <w:t>(dB)</w:t>
            </w:r>
          </w:p>
        </w:tc>
      </w:tr>
      <w:tr w:rsidR="0040081F" w:rsidTr="00487E2E">
        <w:trPr>
          <w:jc w:val="center"/>
        </w:trPr>
        <w:tc>
          <w:tcPr>
            <w:tcW w:w="2132" w:type="dxa"/>
          </w:tcPr>
          <w:p w:rsidR="0040081F" w:rsidRDefault="0040081F" w:rsidP="00487E2E">
            <w:pPr>
              <w:pStyle w:val="Tabletext"/>
              <w:keepNext/>
              <w:keepLines/>
              <w:jc w:val="center"/>
              <w:rPr>
                <w:lang w:val="en-US"/>
              </w:rPr>
            </w:pPr>
            <w:r>
              <w:rPr>
                <w:lang w:val="en-US"/>
              </w:rPr>
              <w:t>–17.25</w:t>
            </w:r>
          </w:p>
        </w:tc>
        <w:tc>
          <w:tcPr>
            <w:tcW w:w="2132" w:type="dxa"/>
          </w:tcPr>
          <w:p w:rsidR="0040081F" w:rsidRDefault="0040081F" w:rsidP="00487E2E">
            <w:pPr>
              <w:pStyle w:val="Tabletext"/>
              <w:keepNext/>
              <w:keepLines/>
              <w:jc w:val="center"/>
              <w:rPr>
                <w:lang w:val="en-US"/>
              </w:rPr>
            </w:pPr>
            <w:r>
              <w:rPr>
                <w:lang w:val="en-US"/>
              </w:rPr>
              <w:t>–20</w:t>
            </w:r>
          </w:p>
        </w:tc>
        <w:tc>
          <w:tcPr>
            <w:tcW w:w="2132" w:type="dxa"/>
          </w:tcPr>
          <w:p w:rsidR="0040081F" w:rsidRDefault="0040081F" w:rsidP="00487E2E">
            <w:pPr>
              <w:pStyle w:val="Tabletext"/>
              <w:keepNext/>
              <w:keepLines/>
              <w:jc w:val="center"/>
              <w:rPr>
                <w:lang w:val="en-US"/>
              </w:rPr>
            </w:pPr>
            <w:r>
              <w:rPr>
                <w:lang w:val="en-US"/>
              </w:rPr>
              <w:t>–89.2</w:t>
            </w:r>
          </w:p>
        </w:tc>
        <w:tc>
          <w:tcPr>
            <w:tcW w:w="2132" w:type="dxa"/>
          </w:tcPr>
          <w:p w:rsidR="0040081F" w:rsidRDefault="0040081F" w:rsidP="00487E2E">
            <w:pPr>
              <w:pStyle w:val="Tabletext"/>
              <w:keepNext/>
              <w:keepLines/>
              <w:jc w:val="center"/>
              <w:rPr>
                <w:lang w:val="en-US"/>
              </w:rPr>
            </w:pPr>
            <w:r>
              <w:rPr>
                <w:lang w:val="en-US"/>
              </w:rPr>
              <w:t>–89.2</w:t>
            </w:r>
          </w:p>
        </w:tc>
      </w:tr>
      <w:tr w:rsidR="0040081F" w:rsidTr="00487E2E">
        <w:trPr>
          <w:jc w:val="center"/>
        </w:trPr>
        <w:tc>
          <w:tcPr>
            <w:tcW w:w="2132" w:type="dxa"/>
          </w:tcPr>
          <w:p w:rsidR="0040081F" w:rsidRDefault="0040081F" w:rsidP="00487E2E">
            <w:pPr>
              <w:pStyle w:val="Tabletext"/>
              <w:keepNext/>
              <w:keepLines/>
              <w:jc w:val="center"/>
              <w:rPr>
                <w:lang w:val="en-US"/>
              </w:rPr>
            </w:pPr>
            <w:r>
              <w:rPr>
                <w:lang w:val="en-US"/>
              </w:rPr>
              <w:t>–9.25</w:t>
            </w:r>
          </w:p>
        </w:tc>
        <w:tc>
          <w:tcPr>
            <w:tcW w:w="2132" w:type="dxa"/>
          </w:tcPr>
          <w:p w:rsidR="0040081F" w:rsidRDefault="0040081F" w:rsidP="00487E2E">
            <w:pPr>
              <w:pStyle w:val="Tabletext"/>
              <w:keepNext/>
              <w:keepLines/>
              <w:jc w:val="center"/>
              <w:rPr>
                <w:lang w:val="en-US"/>
              </w:rPr>
            </w:pPr>
            <w:r>
              <w:rPr>
                <w:lang w:val="en-US"/>
              </w:rPr>
              <w:t>–12</w:t>
            </w:r>
          </w:p>
        </w:tc>
        <w:tc>
          <w:tcPr>
            <w:tcW w:w="2132" w:type="dxa"/>
          </w:tcPr>
          <w:p w:rsidR="0040081F" w:rsidRDefault="0040081F" w:rsidP="00487E2E">
            <w:pPr>
              <w:pStyle w:val="Tabletext"/>
              <w:keepNext/>
              <w:keepLines/>
              <w:jc w:val="center"/>
              <w:rPr>
                <w:lang w:val="en-US"/>
              </w:rPr>
            </w:pPr>
            <w:r>
              <w:rPr>
                <w:lang w:val="en-US"/>
              </w:rPr>
              <w:t>–64.2</w:t>
            </w:r>
          </w:p>
        </w:tc>
        <w:tc>
          <w:tcPr>
            <w:tcW w:w="2132" w:type="dxa"/>
          </w:tcPr>
          <w:p w:rsidR="0040081F" w:rsidRDefault="0040081F" w:rsidP="00487E2E">
            <w:pPr>
              <w:pStyle w:val="Tabletext"/>
              <w:keepNext/>
              <w:keepLines/>
              <w:jc w:val="center"/>
              <w:rPr>
                <w:lang w:val="en-US"/>
              </w:rPr>
            </w:pPr>
            <w:r>
              <w:rPr>
                <w:lang w:val="en-US"/>
              </w:rPr>
              <w:t>–64.2</w:t>
            </w:r>
          </w:p>
        </w:tc>
      </w:tr>
      <w:tr w:rsidR="0040081F" w:rsidTr="00487E2E">
        <w:trPr>
          <w:jc w:val="center"/>
        </w:trPr>
        <w:tc>
          <w:tcPr>
            <w:tcW w:w="2132" w:type="dxa"/>
          </w:tcPr>
          <w:p w:rsidR="0040081F" w:rsidRDefault="0040081F" w:rsidP="00487E2E">
            <w:pPr>
              <w:pStyle w:val="Tabletext"/>
              <w:jc w:val="center"/>
              <w:rPr>
                <w:lang w:val="en-US"/>
              </w:rPr>
            </w:pPr>
            <w:r>
              <w:rPr>
                <w:lang w:val="en-US"/>
              </w:rPr>
              <w:t>–6.5</w:t>
            </w:r>
          </w:p>
        </w:tc>
        <w:tc>
          <w:tcPr>
            <w:tcW w:w="2132" w:type="dxa"/>
          </w:tcPr>
          <w:p w:rsidR="0040081F" w:rsidRDefault="0040081F" w:rsidP="00487E2E">
            <w:pPr>
              <w:pStyle w:val="Tabletext"/>
              <w:jc w:val="center"/>
              <w:rPr>
                <w:lang w:val="en-US"/>
              </w:rPr>
            </w:pPr>
            <w:r>
              <w:rPr>
                <w:lang w:val="en-US"/>
              </w:rPr>
              <w:t>–9.25</w:t>
            </w:r>
          </w:p>
        </w:tc>
        <w:tc>
          <w:tcPr>
            <w:tcW w:w="2132" w:type="dxa"/>
          </w:tcPr>
          <w:p w:rsidR="0040081F" w:rsidRDefault="0040081F" w:rsidP="00487E2E">
            <w:pPr>
              <w:pStyle w:val="Tabletext"/>
              <w:jc w:val="center"/>
              <w:rPr>
                <w:lang w:val="en-US"/>
              </w:rPr>
            </w:pPr>
            <w:r>
              <w:rPr>
                <w:lang w:val="en-US"/>
              </w:rPr>
              <w:t>–56</w:t>
            </w:r>
          </w:p>
        </w:tc>
        <w:tc>
          <w:tcPr>
            <w:tcW w:w="2132" w:type="dxa"/>
          </w:tcPr>
          <w:p w:rsidR="0040081F" w:rsidRDefault="0040081F" w:rsidP="00487E2E">
            <w:pPr>
              <w:pStyle w:val="Tabletext"/>
              <w:jc w:val="center"/>
              <w:rPr>
                <w:lang w:val="en-US"/>
              </w:rPr>
            </w:pPr>
            <w:r>
              <w:rPr>
                <w:lang w:val="en-US"/>
              </w:rPr>
              <w:t>–</w:t>
            </w:r>
            <w:r>
              <w:rPr>
                <w:szCs w:val="24"/>
                <w:lang w:val="en-US"/>
              </w:rPr>
              <w:t>56</w:t>
            </w:r>
          </w:p>
        </w:tc>
      </w:tr>
      <w:tr w:rsidR="0040081F" w:rsidTr="00487E2E">
        <w:trPr>
          <w:jc w:val="center"/>
        </w:trPr>
        <w:tc>
          <w:tcPr>
            <w:tcW w:w="2132" w:type="dxa"/>
          </w:tcPr>
          <w:p w:rsidR="0040081F" w:rsidRDefault="0040081F" w:rsidP="00487E2E">
            <w:pPr>
              <w:pStyle w:val="Tabletext"/>
              <w:jc w:val="center"/>
              <w:rPr>
                <w:lang w:val="en-US"/>
              </w:rPr>
            </w:pPr>
            <w:r>
              <w:rPr>
                <w:lang w:val="en-US"/>
              </w:rPr>
              <w:t>–6</w:t>
            </w:r>
          </w:p>
        </w:tc>
        <w:tc>
          <w:tcPr>
            <w:tcW w:w="2132" w:type="dxa"/>
          </w:tcPr>
          <w:p w:rsidR="0040081F" w:rsidRDefault="0040081F" w:rsidP="00487E2E">
            <w:pPr>
              <w:pStyle w:val="Tabletext"/>
              <w:jc w:val="center"/>
              <w:rPr>
                <w:lang w:val="en-US"/>
              </w:rPr>
            </w:pPr>
            <w:r>
              <w:rPr>
                <w:lang w:val="en-US"/>
              </w:rPr>
              <w:t>–8.75</w:t>
            </w:r>
          </w:p>
        </w:tc>
        <w:tc>
          <w:tcPr>
            <w:tcW w:w="2132" w:type="dxa"/>
          </w:tcPr>
          <w:p w:rsidR="0040081F" w:rsidRDefault="0040081F" w:rsidP="00487E2E">
            <w:pPr>
              <w:pStyle w:val="Tabletext"/>
              <w:jc w:val="center"/>
              <w:rPr>
                <w:lang w:val="en-US"/>
              </w:rPr>
            </w:pPr>
            <w:r>
              <w:rPr>
                <w:lang w:val="en-US"/>
              </w:rPr>
              <w:t>–28</w:t>
            </w:r>
          </w:p>
        </w:tc>
        <w:tc>
          <w:tcPr>
            <w:tcW w:w="2132" w:type="dxa"/>
          </w:tcPr>
          <w:p w:rsidR="0040081F" w:rsidRDefault="0040081F" w:rsidP="00487E2E">
            <w:pPr>
              <w:pStyle w:val="Tabletext"/>
              <w:jc w:val="center"/>
              <w:rPr>
                <w:lang w:val="en-US"/>
              </w:rPr>
            </w:pPr>
            <w:r>
              <w:rPr>
                <w:lang w:val="en-US"/>
              </w:rPr>
              <w:t>–28</w:t>
            </w:r>
          </w:p>
        </w:tc>
      </w:tr>
      <w:tr w:rsidR="0040081F" w:rsidTr="00487E2E">
        <w:trPr>
          <w:jc w:val="center"/>
        </w:trPr>
        <w:tc>
          <w:tcPr>
            <w:tcW w:w="2132" w:type="dxa"/>
          </w:tcPr>
          <w:p w:rsidR="0040081F" w:rsidRDefault="0040081F" w:rsidP="00487E2E">
            <w:pPr>
              <w:pStyle w:val="Tabletext"/>
              <w:jc w:val="center"/>
              <w:rPr>
                <w:lang w:val="en-US"/>
              </w:rPr>
            </w:pPr>
            <w:r>
              <w:rPr>
                <w:lang w:val="en-US"/>
              </w:rPr>
              <w:t>–2.7</w:t>
            </w:r>
          </w:p>
        </w:tc>
        <w:tc>
          <w:tcPr>
            <w:tcW w:w="2132" w:type="dxa"/>
          </w:tcPr>
          <w:p w:rsidR="0040081F" w:rsidRDefault="0040081F" w:rsidP="00487E2E">
            <w:pPr>
              <w:pStyle w:val="Tabletext"/>
              <w:jc w:val="center"/>
              <w:rPr>
                <w:lang w:val="en-US"/>
              </w:rPr>
            </w:pPr>
            <w:r>
              <w:rPr>
                <w:lang w:val="en-US"/>
              </w:rPr>
              <w:t>–5.45</w:t>
            </w:r>
          </w:p>
        </w:tc>
        <w:tc>
          <w:tcPr>
            <w:tcW w:w="2132" w:type="dxa"/>
          </w:tcPr>
          <w:p w:rsidR="0040081F" w:rsidRDefault="0040081F" w:rsidP="00487E2E">
            <w:pPr>
              <w:pStyle w:val="Tabletext"/>
              <w:jc w:val="center"/>
              <w:rPr>
                <w:lang w:val="en-US"/>
              </w:rPr>
            </w:pPr>
          </w:p>
        </w:tc>
        <w:tc>
          <w:tcPr>
            <w:tcW w:w="2132" w:type="dxa"/>
          </w:tcPr>
          <w:p w:rsidR="0040081F" w:rsidRDefault="0040081F" w:rsidP="00487E2E">
            <w:pPr>
              <w:pStyle w:val="Tabletext"/>
              <w:jc w:val="center"/>
              <w:rPr>
                <w:lang w:val="en-US"/>
              </w:rPr>
            </w:pPr>
            <w:r>
              <w:rPr>
                <w:lang w:val="en-US"/>
              </w:rPr>
              <w:t>–28</w:t>
            </w:r>
          </w:p>
        </w:tc>
      </w:tr>
      <w:tr w:rsidR="0040081F" w:rsidTr="00487E2E">
        <w:trPr>
          <w:jc w:val="center"/>
        </w:trPr>
        <w:tc>
          <w:tcPr>
            <w:tcW w:w="2132" w:type="dxa"/>
          </w:tcPr>
          <w:p w:rsidR="0040081F" w:rsidRDefault="0040081F" w:rsidP="00487E2E">
            <w:pPr>
              <w:pStyle w:val="Tabletext"/>
              <w:jc w:val="center"/>
              <w:rPr>
                <w:lang w:val="en-US"/>
              </w:rPr>
            </w:pPr>
            <w:r>
              <w:rPr>
                <w:lang w:val="en-US"/>
              </w:rPr>
              <w:t>–1.25</w:t>
            </w:r>
          </w:p>
        </w:tc>
        <w:tc>
          <w:tcPr>
            <w:tcW w:w="2132" w:type="dxa"/>
          </w:tcPr>
          <w:p w:rsidR="0040081F" w:rsidRDefault="0040081F" w:rsidP="00487E2E">
            <w:pPr>
              <w:pStyle w:val="Tabletext"/>
              <w:jc w:val="center"/>
              <w:rPr>
                <w:lang w:val="en-US"/>
              </w:rPr>
            </w:pPr>
            <w:r>
              <w:rPr>
                <w:lang w:val="en-US"/>
              </w:rPr>
              <w:t>–4</w:t>
            </w:r>
          </w:p>
        </w:tc>
        <w:tc>
          <w:tcPr>
            <w:tcW w:w="2132" w:type="dxa"/>
          </w:tcPr>
          <w:p w:rsidR="0040081F" w:rsidRDefault="0040081F" w:rsidP="00487E2E">
            <w:pPr>
              <w:pStyle w:val="Tabletext"/>
              <w:jc w:val="center"/>
              <w:rPr>
                <w:lang w:val="en-US"/>
              </w:rPr>
            </w:pPr>
            <w:r>
              <w:rPr>
                <w:lang w:val="en-US"/>
              </w:rPr>
              <w:t>–28</w:t>
            </w:r>
          </w:p>
        </w:tc>
        <w:tc>
          <w:tcPr>
            <w:tcW w:w="2132" w:type="dxa"/>
          </w:tcPr>
          <w:p w:rsidR="0040081F" w:rsidRDefault="0040081F" w:rsidP="00487E2E">
            <w:pPr>
              <w:pStyle w:val="Tabletext"/>
              <w:jc w:val="center"/>
              <w:rPr>
                <w:lang w:val="en-US"/>
              </w:rPr>
            </w:pPr>
            <w:r>
              <w:rPr>
                <w:lang w:val="en-US"/>
              </w:rPr>
              <w:t>–13</w:t>
            </w:r>
          </w:p>
        </w:tc>
      </w:tr>
      <w:tr w:rsidR="0040081F" w:rsidTr="00487E2E">
        <w:trPr>
          <w:jc w:val="center"/>
        </w:trPr>
        <w:tc>
          <w:tcPr>
            <w:tcW w:w="2132" w:type="dxa"/>
          </w:tcPr>
          <w:p w:rsidR="0040081F" w:rsidRDefault="0040081F" w:rsidP="00487E2E">
            <w:pPr>
              <w:pStyle w:val="Tabletext"/>
              <w:jc w:val="center"/>
              <w:rPr>
                <w:lang w:val="en-US"/>
              </w:rPr>
            </w:pPr>
            <w:r>
              <w:rPr>
                <w:lang w:val="en-US"/>
              </w:rPr>
              <w:t>–0.75</w:t>
            </w:r>
          </w:p>
        </w:tc>
        <w:tc>
          <w:tcPr>
            <w:tcW w:w="2132" w:type="dxa"/>
          </w:tcPr>
          <w:p w:rsidR="0040081F" w:rsidRDefault="0040081F" w:rsidP="00487E2E">
            <w:pPr>
              <w:pStyle w:val="Tabletext"/>
              <w:jc w:val="center"/>
              <w:rPr>
                <w:lang w:val="en-US"/>
              </w:rPr>
            </w:pPr>
            <w:r>
              <w:rPr>
                <w:lang w:val="en-US"/>
              </w:rPr>
              <w:t>–3.5</w:t>
            </w:r>
          </w:p>
        </w:tc>
        <w:tc>
          <w:tcPr>
            <w:tcW w:w="2132" w:type="dxa"/>
          </w:tcPr>
          <w:p w:rsidR="0040081F" w:rsidRDefault="0040081F" w:rsidP="00487E2E">
            <w:pPr>
              <w:pStyle w:val="Tabletext"/>
              <w:jc w:val="center"/>
              <w:rPr>
                <w:lang w:val="en-US"/>
              </w:rPr>
            </w:pPr>
            <w:r>
              <w:rPr>
                <w:lang w:val="en-US"/>
              </w:rPr>
              <w:t>–13</w:t>
            </w:r>
          </w:p>
        </w:tc>
        <w:tc>
          <w:tcPr>
            <w:tcW w:w="2132" w:type="dxa"/>
          </w:tcPr>
          <w:p w:rsidR="0040081F" w:rsidRDefault="0040081F" w:rsidP="00487E2E">
            <w:pPr>
              <w:pStyle w:val="Tabletext"/>
              <w:jc w:val="center"/>
              <w:rPr>
                <w:lang w:val="en-US"/>
              </w:rPr>
            </w:pPr>
            <w:r>
              <w:rPr>
                <w:lang w:val="en-US"/>
              </w:rPr>
              <w:t>–13</w:t>
            </w:r>
          </w:p>
        </w:tc>
      </w:tr>
      <w:tr w:rsidR="0040081F" w:rsidTr="00487E2E">
        <w:trPr>
          <w:jc w:val="center"/>
        </w:trPr>
        <w:tc>
          <w:tcPr>
            <w:tcW w:w="2132" w:type="dxa"/>
          </w:tcPr>
          <w:p w:rsidR="0040081F" w:rsidRDefault="0040081F" w:rsidP="00487E2E">
            <w:pPr>
              <w:pStyle w:val="Tabletext"/>
              <w:jc w:val="center"/>
              <w:rPr>
                <w:lang w:val="en-US"/>
              </w:rPr>
            </w:pPr>
            <w:r>
              <w:rPr>
                <w:lang w:val="en-US"/>
              </w:rPr>
              <w:t>–0.18</w:t>
            </w:r>
          </w:p>
        </w:tc>
        <w:tc>
          <w:tcPr>
            <w:tcW w:w="2132" w:type="dxa"/>
          </w:tcPr>
          <w:p w:rsidR="0040081F" w:rsidRDefault="0040081F" w:rsidP="00487E2E">
            <w:pPr>
              <w:pStyle w:val="Tabletext"/>
              <w:jc w:val="center"/>
              <w:rPr>
                <w:lang w:val="en-US"/>
              </w:rPr>
            </w:pPr>
            <w:r>
              <w:rPr>
                <w:lang w:val="en-US"/>
              </w:rPr>
              <w:t>–2.93</w:t>
            </w:r>
          </w:p>
        </w:tc>
        <w:tc>
          <w:tcPr>
            <w:tcW w:w="2132" w:type="dxa"/>
          </w:tcPr>
          <w:p w:rsidR="0040081F" w:rsidRDefault="0040081F" w:rsidP="00487E2E">
            <w:pPr>
              <w:pStyle w:val="Tabletext"/>
              <w:jc w:val="center"/>
              <w:rPr>
                <w:lang w:val="en-US"/>
              </w:rPr>
            </w:pPr>
            <w:r>
              <w:rPr>
                <w:lang w:val="en-US"/>
              </w:rPr>
              <w:t>–13</w:t>
            </w:r>
          </w:p>
        </w:tc>
        <w:tc>
          <w:tcPr>
            <w:tcW w:w="2132" w:type="dxa"/>
          </w:tcPr>
          <w:p w:rsidR="0040081F" w:rsidRDefault="0040081F" w:rsidP="00487E2E">
            <w:pPr>
              <w:pStyle w:val="Tabletext"/>
              <w:jc w:val="center"/>
              <w:rPr>
                <w:lang w:val="en-US"/>
              </w:rPr>
            </w:pPr>
            <w:r>
              <w:rPr>
                <w:lang w:val="en-US"/>
              </w:rPr>
              <w:t>–13</w:t>
            </w:r>
          </w:p>
        </w:tc>
      </w:tr>
      <w:tr w:rsidR="0040081F" w:rsidTr="00487E2E">
        <w:trPr>
          <w:jc w:val="center"/>
        </w:trPr>
        <w:tc>
          <w:tcPr>
            <w:tcW w:w="2132" w:type="dxa"/>
          </w:tcPr>
          <w:p w:rsidR="0040081F" w:rsidRDefault="0040081F" w:rsidP="00487E2E">
            <w:pPr>
              <w:pStyle w:val="Tabletext"/>
              <w:jc w:val="center"/>
              <w:rPr>
                <w:lang w:val="en-US"/>
              </w:rPr>
            </w:pPr>
            <w:r>
              <w:rPr>
                <w:lang w:val="en-US"/>
              </w:rPr>
              <w:t>0</w:t>
            </w:r>
          </w:p>
        </w:tc>
        <w:tc>
          <w:tcPr>
            <w:tcW w:w="2132" w:type="dxa"/>
          </w:tcPr>
          <w:p w:rsidR="0040081F" w:rsidRDefault="0040081F" w:rsidP="00487E2E">
            <w:pPr>
              <w:pStyle w:val="Tabletext"/>
              <w:jc w:val="center"/>
              <w:rPr>
                <w:lang w:val="en-US"/>
              </w:rPr>
            </w:pPr>
            <w:r>
              <w:rPr>
                <w:lang w:val="en-US"/>
              </w:rPr>
              <w:t>–2.75</w:t>
            </w:r>
          </w:p>
        </w:tc>
        <w:tc>
          <w:tcPr>
            <w:tcW w:w="2132" w:type="dxa"/>
          </w:tcPr>
          <w:p w:rsidR="0040081F" w:rsidRDefault="0040081F" w:rsidP="00487E2E">
            <w:pPr>
              <w:pStyle w:val="Tabletext"/>
              <w:jc w:val="center"/>
              <w:rPr>
                <w:lang w:val="en-US"/>
              </w:rPr>
            </w:pPr>
            <w:r>
              <w:rPr>
                <w:lang w:val="en-US"/>
              </w:rPr>
              <w:t>0</w:t>
            </w:r>
          </w:p>
        </w:tc>
        <w:tc>
          <w:tcPr>
            <w:tcW w:w="2132" w:type="dxa"/>
          </w:tcPr>
          <w:p w:rsidR="0040081F" w:rsidRDefault="0040081F" w:rsidP="00487E2E">
            <w:pPr>
              <w:pStyle w:val="Tabletext"/>
              <w:jc w:val="center"/>
              <w:rPr>
                <w:lang w:val="en-US"/>
              </w:rPr>
            </w:pPr>
            <w:r>
              <w:rPr>
                <w:lang w:val="en-US"/>
              </w:rPr>
              <w:t>0</w:t>
            </w:r>
          </w:p>
        </w:tc>
      </w:tr>
      <w:tr w:rsidR="0040081F" w:rsidTr="00487E2E">
        <w:trPr>
          <w:jc w:val="center"/>
        </w:trPr>
        <w:tc>
          <w:tcPr>
            <w:tcW w:w="2132" w:type="dxa"/>
          </w:tcPr>
          <w:p w:rsidR="0040081F" w:rsidRDefault="0040081F" w:rsidP="00487E2E">
            <w:pPr>
              <w:pStyle w:val="Tabletext"/>
              <w:jc w:val="center"/>
              <w:rPr>
                <w:lang w:val="en-US"/>
              </w:rPr>
            </w:pPr>
            <w:r>
              <w:rPr>
                <w:lang w:val="en-US"/>
              </w:rPr>
              <w:t>0.18</w:t>
            </w:r>
          </w:p>
        </w:tc>
        <w:tc>
          <w:tcPr>
            <w:tcW w:w="2132" w:type="dxa"/>
          </w:tcPr>
          <w:p w:rsidR="0040081F" w:rsidRDefault="0040081F" w:rsidP="00487E2E">
            <w:pPr>
              <w:pStyle w:val="Tabletext"/>
              <w:jc w:val="center"/>
              <w:rPr>
                <w:lang w:val="en-US"/>
              </w:rPr>
            </w:pPr>
            <w:r>
              <w:rPr>
                <w:lang w:val="en-US"/>
              </w:rPr>
              <w:t>–2.57</w:t>
            </w:r>
          </w:p>
        </w:tc>
        <w:tc>
          <w:tcPr>
            <w:tcW w:w="2132" w:type="dxa"/>
          </w:tcPr>
          <w:p w:rsidR="0040081F" w:rsidRDefault="0040081F" w:rsidP="00487E2E">
            <w:pPr>
              <w:pStyle w:val="Tabletext"/>
              <w:jc w:val="center"/>
              <w:rPr>
                <w:lang w:val="en-US"/>
              </w:rPr>
            </w:pPr>
            <w:r>
              <w:rPr>
                <w:lang w:val="en-US"/>
              </w:rPr>
              <w:t>–13</w:t>
            </w:r>
          </w:p>
        </w:tc>
        <w:tc>
          <w:tcPr>
            <w:tcW w:w="2132" w:type="dxa"/>
          </w:tcPr>
          <w:p w:rsidR="0040081F" w:rsidRDefault="0040081F" w:rsidP="00487E2E">
            <w:pPr>
              <w:pStyle w:val="Tabletext"/>
              <w:jc w:val="center"/>
              <w:rPr>
                <w:lang w:val="en-US"/>
              </w:rPr>
            </w:pPr>
            <w:r>
              <w:rPr>
                <w:lang w:val="en-US"/>
              </w:rPr>
              <w:t>–13</w:t>
            </w:r>
          </w:p>
        </w:tc>
      </w:tr>
      <w:tr w:rsidR="0040081F" w:rsidTr="00487E2E">
        <w:trPr>
          <w:jc w:val="center"/>
        </w:trPr>
        <w:tc>
          <w:tcPr>
            <w:tcW w:w="2132" w:type="dxa"/>
          </w:tcPr>
          <w:p w:rsidR="0040081F" w:rsidRDefault="0040081F" w:rsidP="00487E2E">
            <w:pPr>
              <w:pStyle w:val="Tabletext"/>
              <w:jc w:val="center"/>
              <w:rPr>
                <w:lang w:val="en-US"/>
              </w:rPr>
            </w:pPr>
            <w:r>
              <w:rPr>
                <w:lang w:val="en-US"/>
              </w:rPr>
              <w:t>6</w:t>
            </w:r>
          </w:p>
        </w:tc>
        <w:tc>
          <w:tcPr>
            <w:tcW w:w="2132" w:type="dxa"/>
          </w:tcPr>
          <w:p w:rsidR="0040081F" w:rsidRDefault="0040081F" w:rsidP="00487E2E">
            <w:pPr>
              <w:pStyle w:val="Tabletext"/>
              <w:jc w:val="center"/>
              <w:rPr>
                <w:lang w:val="en-US"/>
              </w:rPr>
            </w:pPr>
            <w:r>
              <w:rPr>
                <w:lang w:val="en-US"/>
              </w:rPr>
              <w:t>3.25</w:t>
            </w:r>
          </w:p>
        </w:tc>
        <w:tc>
          <w:tcPr>
            <w:tcW w:w="2132" w:type="dxa"/>
          </w:tcPr>
          <w:p w:rsidR="0040081F" w:rsidRDefault="0040081F" w:rsidP="00487E2E">
            <w:pPr>
              <w:pStyle w:val="Tabletext"/>
              <w:jc w:val="center"/>
              <w:rPr>
                <w:lang w:val="en-US"/>
              </w:rPr>
            </w:pPr>
            <w:r>
              <w:rPr>
                <w:lang w:val="en-US"/>
              </w:rPr>
              <w:t>–13</w:t>
            </w:r>
          </w:p>
        </w:tc>
        <w:tc>
          <w:tcPr>
            <w:tcW w:w="2132" w:type="dxa"/>
          </w:tcPr>
          <w:p w:rsidR="0040081F" w:rsidRDefault="0040081F" w:rsidP="00487E2E">
            <w:pPr>
              <w:pStyle w:val="Tabletext"/>
              <w:jc w:val="center"/>
              <w:rPr>
                <w:lang w:val="en-US"/>
              </w:rPr>
            </w:pPr>
            <w:r>
              <w:rPr>
                <w:lang w:val="en-US"/>
              </w:rPr>
              <w:t>–13</w:t>
            </w:r>
          </w:p>
        </w:tc>
      </w:tr>
      <w:tr w:rsidR="0040081F" w:rsidTr="00487E2E">
        <w:trPr>
          <w:jc w:val="center"/>
        </w:trPr>
        <w:tc>
          <w:tcPr>
            <w:tcW w:w="2132" w:type="dxa"/>
          </w:tcPr>
          <w:p w:rsidR="0040081F" w:rsidRDefault="0040081F" w:rsidP="00487E2E">
            <w:pPr>
              <w:pStyle w:val="Tabletext"/>
              <w:jc w:val="center"/>
              <w:rPr>
                <w:lang w:val="en-US"/>
              </w:rPr>
            </w:pPr>
            <w:r>
              <w:rPr>
                <w:lang w:val="en-US"/>
              </w:rPr>
              <w:t>6.435</w:t>
            </w:r>
          </w:p>
        </w:tc>
        <w:tc>
          <w:tcPr>
            <w:tcW w:w="2132" w:type="dxa"/>
          </w:tcPr>
          <w:p w:rsidR="0040081F" w:rsidRDefault="0040081F" w:rsidP="00487E2E">
            <w:pPr>
              <w:pStyle w:val="Tabletext"/>
              <w:jc w:val="center"/>
              <w:rPr>
                <w:lang w:val="en-US"/>
              </w:rPr>
            </w:pPr>
            <w:r>
              <w:rPr>
                <w:lang w:val="en-US"/>
              </w:rPr>
              <w:t>3.685</w:t>
            </w:r>
          </w:p>
        </w:tc>
        <w:tc>
          <w:tcPr>
            <w:tcW w:w="2132" w:type="dxa"/>
          </w:tcPr>
          <w:p w:rsidR="0040081F" w:rsidRDefault="0040081F" w:rsidP="00487E2E">
            <w:pPr>
              <w:pStyle w:val="Tabletext"/>
              <w:jc w:val="center"/>
              <w:rPr>
                <w:lang w:val="en-US"/>
              </w:rPr>
            </w:pPr>
            <w:r>
              <w:rPr>
                <w:lang w:val="en-US"/>
              </w:rPr>
              <w:t>–10</w:t>
            </w:r>
          </w:p>
        </w:tc>
        <w:tc>
          <w:tcPr>
            <w:tcW w:w="2132" w:type="dxa"/>
          </w:tcPr>
          <w:p w:rsidR="0040081F" w:rsidRDefault="0040081F" w:rsidP="00487E2E">
            <w:pPr>
              <w:pStyle w:val="Tabletext"/>
              <w:jc w:val="center"/>
              <w:rPr>
                <w:lang w:val="en-US"/>
              </w:rPr>
            </w:pPr>
            <w:r>
              <w:rPr>
                <w:lang w:val="en-US"/>
              </w:rPr>
              <w:t>–10</w:t>
            </w:r>
          </w:p>
        </w:tc>
      </w:tr>
      <w:tr w:rsidR="0040081F" w:rsidTr="00487E2E">
        <w:trPr>
          <w:jc w:val="center"/>
        </w:trPr>
        <w:tc>
          <w:tcPr>
            <w:tcW w:w="2132" w:type="dxa"/>
          </w:tcPr>
          <w:p w:rsidR="0040081F" w:rsidRDefault="0040081F" w:rsidP="00487E2E">
            <w:pPr>
              <w:pStyle w:val="Tabletext"/>
              <w:jc w:val="center"/>
              <w:rPr>
                <w:lang w:val="en-US"/>
              </w:rPr>
            </w:pPr>
            <w:r>
              <w:rPr>
                <w:lang w:val="en-US"/>
              </w:rPr>
              <w:t>6.565</w:t>
            </w:r>
          </w:p>
        </w:tc>
        <w:tc>
          <w:tcPr>
            <w:tcW w:w="2132" w:type="dxa"/>
          </w:tcPr>
          <w:p w:rsidR="0040081F" w:rsidRDefault="0040081F" w:rsidP="00487E2E">
            <w:pPr>
              <w:pStyle w:val="Tabletext"/>
              <w:jc w:val="center"/>
              <w:rPr>
                <w:lang w:val="en-US"/>
              </w:rPr>
            </w:pPr>
            <w:r>
              <w:rPr>
                <w:lang w:val="en-US"/>
              </w:rPr>
              <w:t>3.815</w:t>
            </w:r>
          </w:p>
        </w:tc>
        <w:tc>
          <w:tcPr>
            <w:tcW w:w="2132" w:type="dxa"/>
          </w:tcPr>
          <w:p w:rsidR="0040081F" w:rsidRDefault="0040081F" w:rsidP="00487E2E">
            <w:pPr>
              <w:pStyle w:val="Tabletext"/>
              <w:jc w:val="center"/>
              <w:rPr>
                <w:lang w:val="en-US"/>
              </w:rPr>
            </w:pPr>
            <w:r>
              <w:rPr>
                <w:lang w:val="en-US"/>
              </w:rPr>
              <w:t>–10</w:t>
            </w:r>
          </w:p>
        </w:tc>
        <w:tc>
          <w:tcPr>
            <w:tcW w:w="2132" w:type="dxa"/>
          </w:tcPr>
          <w:p w:rsidR="0040081F" w:rsidRDefault="0040081F" w:rsidP="00487E2E">
            <w:pPr>
              <w:pStyle w:val="Tabletext"/>
              <w:jc w:val="center"/>
              <w:rPr>
                <w:lang w:val="en-US"/>
              </w:rPr>
            </w:pPr>
            <w:r>
              <w:rPr>
                <w:lang w:val="en-US"/>
              </w:rPr>
              <w:t>–10</w:t>
            </w:r>
          </w:p>
        </w:tc>
      </w:tr>
      <w:tr w:rsidR="0040081F" w:rsidTr="00487E2E">
        <w:trPr>
          <w:jc w:val="center"/>
        </w:trPr>
        <w:tc>
          <w:tcPr>
            <w:tcW w:w="2132" w:type="dxa"/>
          </w:tcPr>
          <w:p w:rsidR="0040081F" w:rsidRDefault="0040081F" w:rsidP="00487E2E">
            <w:pPr>
              <w:pStyle w:val="Tabletext"/>
              <w:jc w:val="center"/>
              <w:rPr>
                <w:lang w:val="en-US"/>
              </w:rPr>
            </w:pPr>
            <w:r>
              <w:rPr>
                <w:lang w:val="en-US"/>
              </w:rPr>
              <w:t>6.75</w:t>
            </w:r>
          </w:p>
        </w:tc>
        <w:tc>
          <w:tcPr>
            <w:tcW w:w="2132" w:type="dxa"/>
          </w:tcPr>
          <w:p w:rsidR="0040081F" w:rsidRDefault="0040081F" w:rsidP="00487E2E">
            <w:pPr>
              <w:pStyle w:val="Tabletext"/>
              <w:jc w:val="center"/>
              <w:rPr>
                <w:lang w:val="en-US"/>
              </w:rPr>
            </w:pPr>
            <w:r>
              <w:rPr>
                <w:lang w:val="en-US"/>
              </w:rPr>
              <w:t>4</w:t>
            </w:r>
          </w:p>
        </w:tc>
        <w:tc>
          <w:tcPr>
            <w:tcW w:w="2132" w:type="dxa"/>
          </w:tcPr>
          <w:p w:rsidR="0040081F" w:rsidRDefault="0040081F" w:rsidP="00487E2E">
            <w:pPr>
              <w:pStyle w:val="Tabletext"/>
              <w:jc w:val="center"/>
              <w:rPr>
                <w:lang w:val="en-US"/>
              </w:rPr>
            </w:pPr>
            <w:r>
              <w:rPr>
                <w:lang w:val="en-US"/>
              </w:rPr>
              <w:t>–50</w:t>
            </w:r>
          </w:p>
        </w:tc>
        <w:tc>
          <w:tcPr>
            <w:tcW w:w="2132" w:type="dxa"/>
          </w:tcPr>
          <w:p w:rsidR="0040081F" w:rsidRDefault="0040081F" w:rsidP="00487E2E">
            <w:pPr>
              <w:pStyle w:val="Tabletext"/>
              <w:jc w:val="center"/>
              <w:rPr>
                <w:lang w:val="en-US"/>
              </w:rPr>
            </w:pPr>
            <w:r>
              <w:rPr>
                <w:lang w:val="en-US"/>
              </w:rPr>
              <w:t>–50</w:t>
            </w:r>
          </w:p>
        </w:tc>
      </w:tr>
      <w:tr w:rsidR="0040081F" w:rsidTr="00487E2E">
        <w:trPr>
          <w:jc w:val="center"/>
        </w:trPr>
        <w:tc>
          <w:tcPr>
            <w:tcW w:w="2132" w:type="dxa"/>
          </w:tcPr>
          <w:p w:rsidR="0040081F" w:rsidRDefault="0040081F" w:rsidP="00487E2E">
            <w:pPr>
              <w:pStyle w:val="Tabletext"/>
              <w:jc w:val="center"/>
              <w:rPr>
                <w:lang w:val="en-US"/>
              </w:rPr>
            </w:pPr>
            <w:r>
              <w:rPr>
                <w:lang w:val="en-US"/>
              </w:rPr>
              <w:t>13</w:t>
            </w:r>
          </w:p>
        </w:tc>
        <w:tc>
          <w:tcPr>
            <w:tcW w:w="2132" w:type="dxa"/>
          </w:tcPr>
          <w:p w:rsidR="0040081F" w:rsidRDefault="0040081F" w:rsidP="00487E2E">
            <w:pPr>
              <w:pStyle w:val="Tabletext"/>
              <w:jc w:val="center"/>
              <w:rPr>
                <w:lang w:val="en-US"/>
              </w:rPr>
            </w:pPr>
            <w:r>
              <w:rPr>
                <w:lang w:val="en-US"/>
              </w:rPr>
              <w:t>10.25</w:t>
            </w:r>
          </w:p>
        </w:tc>
        <w:tc>
          <w:tcPr>
            <w:tcW w:w="2132" w:type="dxa"/>
          </w:tcPr>
          <w:p w:rsidR="0040081F" w:rsidRDefault="0040081F" w:rsidP="00487E2E">
            <w:pPr>
              <w:pStyle w:val="Tabletext"/>
              <w:jc w:val="center"/>
              <w:rPr>
                <w:lang w:val="en-US"/>
              </w:rPr>
            </w:pPr>
            <w:r>
              <w:rPr>
                <w:lang w:val="en-US"/>
              </w:rPr>
              <w:t>–56</w:t>
            </w:r>
          </w:p>
        </w:tc>
        <w:tc>
          <w:tcPr>
            <w:tcW w:w="2132" w:type="dxa"/>
          </w:tcPr>
          <w:p w:rsidR="0040081F" w:rsidRDefault="0040081F" w:rsidP="00487E2E">
            <w:pPr>
              <w:pStyle w:val="Tabletext"/>
              <w:jc w:val="center"/>
              <w:rPr>
                <w:lang w:val="en-US"/>
              </w:rPr>
            </w:pPr>
            <w:r>
              <w:rPr>
                <w:lang w:val="en-US"/>
              </w:rPr>
              <w:t>–56</w:t>
            </w:r>
          </w:p>
        </w:tc>
      </w:tr>
      <w:tr w:rsidR="0040081F" w:rsidTr="00487E2E">
        <w:trPr>
          <w:jc w:val="center"/>
        </w:trPr>
        <w:tc>
          <w:tcPr>
            <w:tcW w:w="2132" w:type="dxa"/>
          </w:tcPr>
          <w:p w:rsidR="0040081F" w:rsidRDefault="0040081F" w:rsidP="00487E2E">
            <w:pPr>
              <w:pStyle w:val="Tabletext"/>
              <w:jc w:val="center"/>
              <w:rPr>
                <w:lang w:val="en-US"/>
              </w:rPr>
            </w:pPr>
            <w:r>
              <w:rPr>
                <w:lang w:val="en-US"/>
              </w:rPr>
              <w:t>14.75</w:t>
            </w:r>
          </w:p>
        </w:tc>
        <w:tc>
          <w:tcPr>
            <w:tcW w:w="2132" w:type="dxa"/>
          </w:tcPr>
          <w:p w:rsidR="0040081F" w:rsidRDefault="0040081F" w:rsidP="00487E2E">
            <w:pPr>
              <w:pStyle w:val="Tabletext"/>
              <w:jc w:val="center"/>
              <w:rPr>
                <w:lang w:val="en-US"/>
              </w:rPr>
            </w:pPr>
            <w:r>
              <w:rPr>
                <w:lang w:val="en-US"/>
              </w:rPr>
              <w:t>12</w:t>
            </w:r>
          </w:p>
        </w:tc>
        <w:tc>
          <w:tcPr>
            <w:tcW w:w="2132" w:type="dxa"/>
          </w:tcPr>
          <w:p w:rsidR="0040081F" w:rsidRDefault="0040081F" w:rsidP="00487E2E">
            <w:pPr>
              <w:pStyle w:val="Tabletext"/>
              <w:jc w:val="center"/>
              <w:rPr>
                <w:lang w:val="en-US"/>
              </w:rPr>
            </w:pPr>
            <w:r>
              <w:rPr>
                <w:lang w:val="en-US"/>
              </w:rPr>
              <w:t>–64.2</w:t>
            </w:r>
          </w:p>
        </w:tc>
        <w:tc>
          <w:tcPr>
            <w:tcW w:w="2132" w:type="dxa"/>
          </w:tcPr>
          <w:p w:rsidR="0040081F" w:rsidRDefault="0040081F" w:rsidP="00487E2E">
            <w:pPr>
              <w:pStyle w:val="Tabletext"/>
              <w:jc w:val="center"/>
              <w:rPr>
                <w:lang w:val="en-US"/>
              </w:rPr>
            </w:pPr>
            <w:r>
              <w:rPr>
                <w:lang w:val="en-US"/>
              </w:rPr>
              <w:t>–64.2</w:t>
            </w:r>
          </w:p>
        </w:tc>
      </w:tr>
      <w:tr w:rsidR="0040081F" w:rsidTr="00487E2E">
        <w:trPr>
          <w:jc w:val="center"/>
        </w:trPr>
        <w:tc>
          <w:tcPr>
            <w:tcW w:w="2132" w:type="dxa"/>
          </w:tcPr>
          <w:p w:rsidR="0040081F" w:rsidRDefault="0040081F" w:rsidP="00487E2E">
            <w:pPr>
              <w:pStyle w:val="Tabletext"/>
              <w:jc w:val="center"/>
              <w:rPr>
                <w:lang w:val="en-US"/>
              </w:rPr>
            </w:pPr>
            <w:r>
              <w:rPr>
                <w:lang w:val="en-US"/>
              </w:rPr>
              <w:t>22.75</w:t>
            </w:r>
          </w:p>
        </w:tc>
        <w:tc>
          <w:tcPr>
            <w:tcW w:w="2132" w:type="dxa"/>
          </w:tcPr>
          <w:p w:rsidR="0040081F" w:rsidRDefault="0040081F" w:rsidP="00487E2E">
            <w:pPr>
              <w:pStyle w:val="Tabletext"/>
              <w:jc w:val="center"/>
              <w:rPr>
                <w:lang w:val="en-US"/>
              </w:rPr>
            </w:pPr>
            <w:r>
              <w:rPr>
                <w:lang w:val="en-US"/>
              </w:rPr>
              <w:t>20</w:t>
            </w:r>
          </w:p>
        </w:tc>
        <w:tc>
          <w:tcPr>
            <w:tcW w:w="2132" w:type="dxa"/>
          </w:tcPr>
          <w:p w:rsidR="0040081F" w:rsidRDefault="0040081F" w:rsidP="00487E2E">
            <w:pPr>
              <w:pStyle w:val="Tabletext"/>
              <w:jc w:val="center"/>
              <w:rPr>
                <w:lang w:val="en-US"/>
              </w:rPr>
            </w:pPr>
            <w:r>
              <w:rPr>
                <w:lang w:val="en-US"/>
              </w:rPr>
              <w:t>–89.2</w:t>
            </w:r>
          </w:p>
        </w:tc>
        <w:tc>
          <w:tcPr>
            <w:tcW w:w="2132" w:type="dxa"/>
          </w:tcPr>
          <w:p w:rsidR="0040081F" w:rsidRDefault="0040081F" w:rsidP="00487E2E">
            <w:pPr>
              <w:pStyle w:val="Tabletext"/>
              <w:jc w:val="center"/>
              <w:rPr>
                <w:lang w:val="en-US"/>
              </w:rPr>
            </w:pPr>
            <w:r>
              <w:rPr>
                <w:lang w:val="en-US"/>
              </w:rPr>
              <w:t>–89.2</w:t>
            </w:r>
          </w:p>
        </w:tc>
      </w:tr>
    </w:tbl>
    <w:p w:rsidR="0040081F" w:rsidRDefault="0040081F" w:rsidP="0040081F">
      <w:pPr>
        <w:pStyle w:val="Tablefin"/>
      </w:pPr>
    </w:p>
    <w:p w:rsidR="0040081F" w:rsidRDefault="0040081F" w:rsidP="00701FC2">
      <w:pPr>
        <w:rPr>
          <w:lang w:val="en-US"/>
        </w:rPr>
      </w:pPr>
      <w:r>
        <w:rPr>
          <w:lang w:val="en-US"/>
        </w:rPr>
        <w:t>Table 13 provides end point values to be used in conjunction with Table 12 and Fig. 2</w:t>
      </w:r>
      <w:r w:rsidR="00701FC2">
        <w:rPr>
          <w:lang w:val="en-US"/>
        </w:rPr>
        <w:t>1</w:t>
      </w:r>
      <w:r>
        <w:rPr>
          <w:lang w:val="en-US"/>
        </w:rPr>
        <w:t>, applicable to a range of transmitter output powers, for 8 MHz analogue television, positive modulation.</w:t>
      </w:r>
    </w:p>
    <w:p w:rsidR="0040081F" w:rsidRDefault="0040081F" w:rsidP="0040081F">
      <w:pPr>
        <w:pStyle w:val="TableNo"/>
        <w:rPr>
          <w:lang w:val="en-US"/>
        </w:rPr>
      </w:pPr>
      <w:r>
        <w:rPr>
          <w:lang w:val="en-US"/>
        </w:rPr>
        <w:t>TABLE  13</w:t>
      </w:r>
    </w:p>
    <w:p w:rsidR="0040081F" w:rsidRDefault="0040081F" w:rsidP="0040081F">
      <w:pPr>
        <w:pStyle w:val="Tabletitle"/>
        <w:rPr>
          <w:lang w:val="en-US"/>
        </w:rPr>
      </w:pPr>
      <w:r>
        <w:rPr>
          <w:lang w:val="en-US"/>
        </w:rPr>
        <w:t>End point values for 8 MHz analogue television, positive modulation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1"/>
      </w:tblGrid>
      <w:tr w:rsidR="0040081F" w:rsidRPr="00620821" w:rsidTr="00DC4EB6">
        <w:trPr>
          <w:jc w:val="center"/>
        </w:trPr>
        <w:tc>
          <w:tcPr>
            <w:tcW w:w="2840" w:type="dxa"/>
            <w:vAlign w:val="center"/>
          </w:tcPr>
          <w:p w:rsidR="0040081F" w:rsidRDefault="0040081F" w:rsidP="00701FC2">
            <w:pPr>
              <w:pStyle w:val="Tablehead"/>
              <w:rPr>
                <w:lang w:val="en-US"/>
              </w:rPr>
            </w:pPr>
            <w:r>
              <w:rPr>
                <w:lang w:val="en-US"/>
              </w:rPr>
              <w:t>End point value</w:t>
            </w:r>
            <w:r w:rsidRPr="00487E2E">
              <w:rPr>
                <w:position w:val="6"/>
                <w:sz w:val="18"/>
                <w:vertAlign w:val="superscript"/>
                <w:lang w:val="en-US"/>
              </w:rPr>
              <w:t>(1)</w:t>
            </w:r>
            <w:r>
              <w:rPr>
                <w:lang w:val="en-US"/>
              </w:rPr>
              <w:br/>
              <w:t>(50 kHz measurement bandwidth)</w:t>
            </w:r>
            <w:r>
              <w:rPr>
                <w:lang w:val="en-US"/>
              </w:rPr>
              <w:br/>
              <w:t>(dB)</w:t>
            </w:r>
          </w:p>
        </w:tc>
        <w:tc>
          <w:tcPr>
            <w:tcW w:w="2840" w:type="dxa"/>
            <w:vAlign w:val="center"/>
          </w:tcPr>
          <w:p w:rsidR="0040081F" w:rsidRDefault="0040081F" w:rsidP="00701FC2">
            <w:pPr>
              <w:pStyle w:val="Tablehead"/>
              <w:rPr>
                <w:lang w:val="en-US"/>
              </w:rPr>
            </w:pPr>
            <w:r>
              <w:rPr>
                <w:lang w:val="en-US"/>
              </w:rPr>
              <w:t>Power range</w:t>
            </w:r>
            <w:r>
              <w:rPr>
                <w:lang w:val="en-US"/>
              </w:rPr>
              <w:br/>
              <w:t>(dBW)</w:t>
            </w:r>
          </w:p>
        </w:tc>
        <w:tc>
          <w:tcPr>
            <w:tcW w:w="2841" w:type="dxa"/>
            <w:vAlign w:val="center"/>
          </w:tcPr>
          <w:p w:rsidR="0040081F" w:rsidRDefault="0040081F" w:rsidP="00701FC2">
            <w:pPr>
              <w:pStyle w:val="Tablehead"/>
              <w:rPr>
                <w:lang w:val="en-US"/>
              </w:rPr>
            </w:pPr>
            <w:r>
              <w:rPr>
                <w:lang w:val="en-US"/>
              </w:rPr>
              <w:t>Corresponding spurious level (in 100 kHz measurement bandwidth)</w:t>
            </w:r>
          </w:p>
        </w:tc>
      </w:tr>
      <w:tr w:rsidR="0040081F" w:rsidTr="00DC4EB6">
        <w:trPr>
          <w:jc w:val="center"/>
        </w:trPr>
        <w:tc>
          <w:tcPr>
            <w:tcW w:w="2840" w:type="dxa"/>
          </w:tcPr>
          <w:p w:rsidR="0040081F" w:rsidRDefault="0040081F" w:rsidP="00487E2E">
            <w:pPr>
              <w:pStyle w:val="Tabletext"/>
              <w:jc w:val="center"/>
              <w:rPr>
                <w:lang w:val="en-US"/>
              </w:rPr>
            </w:pPr>
            <w:r>
              <w:rPr>
                <w:lang w:val="en-US"/>
              </w:rPr>
              <w:t>–79.2 – (</w:t>
            </w:r>
            <w:r>
              <w:rPr>
                <w:i/>
                <w:iCs/>
                <w:lang w:val="en-US"/>
              </w:rPr>
              <w:t>P</w:t>
            </w:r>
            <w:r>
              <w:rPr>
                <w:lang w:val="en-US"/>
              </w:rPr>
              <w:t> – 9)</w:t>
            </w:r>
          </w:p>
        </w:tc>
        <w:tc>
          <w:tcPr>
            <w:tcW w:w="2840" w:type="dxa"/>
          </w:tcPr>
          <w:p w:rsidR="0040081F" w:rsidRDefault="00487E2E" w:rsidP="00487E2E">
            <w:pPr>
              <w:pStyle w:val="Tabletext"/>
              <w:tabs>
                <w:tab w:val="clear" w:pos="284"/>
              </w:tabs>
              <w:rPr>
                <w:lang w:val="en-US"/>
              </w:rPr>
            </w:pPr>
            <w:r>
              <w:rPr>
                <w:i/>
                <w:iCs/>
                <w:szCs w:val="24"/>
                <w:lang w:val="en-US"/>
              </w:rPr>
              <w:tab/>
            </w:r>
            <w:r w:rsidR="0040081F">
              <w:rPr>
                <w:i/>
                <w:iCs/>
                <w:szCs w:val="24"/>
                <w:lang w:val="en-US"/>
              </w:rPr>
              <w:tab/>
            </w:r>
            <w:r w:rsidR="0040081F">
              <w:rPr>
                <w:i/>
                <w:iCs/>
                <w:szCs w:val="24"/>
                <w:lang w:val="en-US"/>
              </w:rPr>
              <w:tab/>
              <w:t>P</w:t>
            </w:r>
            <w:r w:rsidR="0040081F">
              <w:rPr>
                <w:szCs w:val="24"/>
                <w:lang w:val="en-US"/>
              </w:rPr>
              <w:t> </w:t>
            </w:r>
            <w:r w:rsidR="0040081F">
              <w:rPr>
                <w:rFonts w:ascii="Symbol" w:hAnsi="Symbol"/>
              </w:rPr>
              <w:sym w:font="Symbol" w:char="F0A3"/>
            </w:r>
            <w:r w:rsidR="0040081F">
              <w:rPr>
                <w:szCs w:val="24"/>
                <w:lang w:val="en-US"/>
              </w:rPr>
              <w:t> 9</w:t>
            </w:r>
          </w:p>
        </w:tc>
        <w:tc>
          <w:tcPr>
            <w:tcW w:w="2841" w:type="dxa"/>
          </w:tcPr>
          <w:p w:rsidR="0040081F" w:rsidRDefault="0040081F" w:rsidP="00487E2E">
            <w:pPr>
              <w:pStyle w:val="Tabletext"/>
              <w:jc w:val="center"/>
              <w:rPr>
                <w:lang w:val="en-US"/>
              </w:rPr>
            </w:pPr>
            <w:r>
              <w:rPr>
                <w:lang w:val="en-US"/>
              </w:rPr>
              <w:t>–36 dBm</w:t>
            </w:r>
          </w:p>
        </w:tc>
      </w:tr>
      <w:tr w:rsidR="0040081F" w:rsidTr="00DC4EB6">
        <w:trPr>
          <w:jc w:val="center"/>
        </w:trPr>
        <w:tc>
          <w:tcPr>
            <w:tcW w:w="2840" w:type="dxa"/>
          </w:tcPr>
          <w:p w:rsidR="0040081F" w:rsidRDefault="0040081F" w:rsidP="00487E2E">
            <w:pPr>
              <w:pStyle w:val="Tabletext"/>
              <w:jc w:val="center"/>
              <w:rPr>
                <w:lang w:val="en-US"/>
              </w:rPr>
            </w:pPr>
            <w:r>
              <w:rPr>
                <w:lang w:val="en-US"/>
              </w:rPr>
              <w:t>–79.2</w:t>
            </w:r>
          </w:p>
        </w:tc>
        <w:tc>
          <w:tcPr>
            <w:tcW w:w="2840" w:type="dxa"/>
          </w:tcPr>
          <w:p w:rsidR="0040081F" w:rsidRDefault="0040081F" w:rsidP="00487E2E">
            <w:pPr>
              <w:pStyle w:val="Tabletext"/>
              <w:tabs>
                <w:tab w:val="clear" w:pos="284"/>
              </w:tabs>
              <w:rPr>
                <w:lang w:val="en-US"/>
              </w:rPr>
            </w:pPr>
            <w:r>
              <w:rPr>
                <w:szCs w:val="24"/>
                <w:lang w:val="en-US"/>
              </w:rPr>
              <w:tab/>
              <w:t>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2841" w:type="dxa"/>
          </w:tcPr>
          <w:p w:rsidR="0040081F" w:rsidRDefault="0040081F" w:rsidP="00487E2E">
            <w:pPr>
              <w:pStyle w:val="Tabletext"/>
              <w:jc w:val="center"/>
              <w:rPr>
                <w:lang w:val="en-US"/>
              </w:rPr>
            </w:pPr>
            <w:r>
              <w:rPr>
                <w:lang w:val="en-US"/>
              </w:rPr>
              <w:t>75 dBc</w:t>
            </w:r>
          </w:p>
        </w:tc>
      </w:tr>
      <w:tr w:rsidR="0040081F" w:rsidTr="00DC4EB6">
        <w:trPr>
          <w:jc w:val="center"/>
        </w:trPr>
        <w:tc>
          <w:tcPr>
            <w:tcW w:w="2840" w:type="dxa"/>
          </w:tcPr>
          <w:p w:rsidR="0040081F" w:rsidRDefault="0040081F" w:rsidP="00487E2E">
            <w:pPr>
              <w:pStyle w:val="Tabletext"/>
              <w:jc w:val="center"/>
              <w:rPr>
                <w:lang w:val="en-US"/>
              </w:rPr>
            </w:pPr>
            <w:r>
              <w:rPr>
                <w:lang w:val="en-US"/>
              </w:rPr>
              <w:t>–79.2 – (</w:t>
            </w:r>
            <w:r>
              <w:rPr>
                <w:i/>
                <w:iCs/>
                <w:lang w:val="en-US"/>
              </w:rPr>
              <w:t>P</w:t>
            </w:r>
            <w:r>
              <w:rPr>
                <w:lang w:val="en-US"/>
              </w:rPr>
              <w:t> – 29)</w:t>
            </w:r>
          </w:p>
        </w:tc>
        <w:tc>
          <w:tcPr>
            <w:tcW w:w="2840" w:type="dxa"/>
          </w:tcPr>
          <w:p w:rsidR="0040081F" w:rsidRDefault="0040081F" w:rsidP="00487E2E">
            <w:pPr>
              <w:pStyle w:val="Tabletext"/>
              <w:tabs>
                <w:tab w:val="clear" w:pos="284"/>
                <w:tab w:val="clear" w:pos="851"/>
                <w:tab w:val="left" w:pos="845"/>
              </w:tabs>
              <w:rPr>
                <w:lang w:val="en-US"/>
              </w:rPr>
            </w:pP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2841" w:type="dxa"/>
          </w:tcPr>
          <w:p w:rsidR="0040081F" w:rsidRDefault="0040081F" w:rsidP="00487E2E">
            <w:pPr>
              <w:pStyle w:val="Tabletext"/>
              <w:jc w:val="center"/>
              <w:rPr>
                <w:lang w:val="en-US"/>
              </w:rPr>
            </w:pPr>
            <w:r>
              <w:rPr>
                <w:lang w:val="en-US"/>
              </w:rPr>
              <w:t>–16 dBm</w:t>
            </w:r>
          </w:p>
        </w:tc>
      </w:tr>
      <w:tr w:rsidR="0040081F" w:rsidTr="00DC4EB6">
        <w:trPr>
          <w:jc w:val="center"/>
        </w:trPr>
        <w:tc>
          <w:tcPr>
            <w:tcW w:w="2840" w:type="dxa"/>
          </w:tcPr>
          <w:p w:rsidR="0040081F" w:rsidRDefault="0040081F" w:rsidP="00487E2E">
            <w:pPr>
              <w:pStyle w:val="Tabletext"/>
              <w:jc w:val="center"/>
              <w:rPr>
                <w:lang w:val="en-US"/>
              </w:rPr>
            </w:pPr>
            <w:r>
              <w:rPr>
                <w:lang w:val="en-US"/>
              </w:rPr>
              <w:t>–89.2</w:t>
            </w:r>
          </w:p>
        </w:tc>
        <w:tc>
          <w:tcPr>
            <w:tcW w:w="2840" w:type="dxa"/>
          </w:tcPr>
          <w:p w:rsidR="0040081F" w:rsidRDefault="0040081F" w:rsidP="00487E2E">
            <w:pPr>
              <w:pStyle w:val="Tabletext"/>
              <w:tabs>
                <w:tab w:val="clear" w:pos="284"/>
                <w:tab w:val="clear" w:pos="851"/>
                <w:tab w:val="left" w:pos="845"/>
              </w:tabs>
              <w:rPr>
                <w:lang w:val="en-US"/>
              </w:rPr>
            </w:pP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2841" w:type="dxa"/>
          </w:tcPr>
          <w:p w:rsidR="0040081F" w:rsidRDefault="0040081F" w:rsidP="00487E2E">
            <w:pPr>
              <w:pStyle w:val="Tabletext"/>
              <w:jc w:val="center"/>
              <w:rPr>
                <w:lang w:val="en-US"/>
              </w:rPr>
            </w:pPr>
            <w:r>
              <w:rPr>
                <w:lang w:val="en-US"/>
              </w:rPr>
              <w:t>85 dBc</w:t>
            </w:r>
          </w:p>
        </w:tc>
      </w:tr>
      <w:tr w:rsidR="0040081F" w:rsidTr="00DC4EB6">
        <w:trPr>
          <w:jc w:val="center"/>
        </w:trPr>
        <w:tc>
          <w:tcPr>
            <w:tcW w:w="2840" w:type="dxa"/>
            <w:tcBorders>
              <w:bottom w:val="single" w:sz="6" w:space="0" w:color="auto"/>
            </w:tcBorders>
          </w:tcPr>
          <w:p w:rsidR="0040081F" w:rsidRDefault="0040081F" w:rsidP="00487E2E">
            <w:pPr>
              <w:pStyle w:val="Tabletext"/>
              <w:jc w:val="center"/>
              <w:rPr>
                <w:lang w:val="en-US"/>
              </w:rPr>
            </w:pPr>
            <w:r>
              <w:rPr>
                <w:lang w:val="en-US"/>
              </w:rPr>
              <w:t>–89.2 – (</w:t>
            </w:r>
            <w:r>
              <w:rPr>
                <w:i/>
                <w:iCs/>
                <w:lang w:val="en-US"/>
              </w:rPr>
              <w:t>P</w:t>
            </w:r>
            <w:r>
              <w:rPr>
                <w:lang w:val="en-US"/>
              </w:rPr>
              <w:t> – 50)</w:t>
            </w:r>
          </w:p>
        </w:tc>
        <w:tc>
          <w:tcPr>
            <w:tcW w:w="2840" w:type="dxa"/>
            <w:tcBorders>
              <w:bottom w:val="single" w:sz="6" w:space="0" w:color="auto"/>
            </w:tcBorders>
          </w:tcPr>
          <w:p w:rsidR="0040081F" w:rsidRDefault="0040081F" w:rsidP="00487E2E">
            <w:pPr>
              <w:pStyle w:val="Tabletext"/>
              <w:tabs>
                <w:tab w:val="clear" w:pos="284"/>
                <w:tab w:val="clear" w:pos="851"/>
                <w:tab w:val="left" w:pos="845"/>
              </w:tabs>
              <w:rPr>
                <w:lang w:val="en-US"/>
              </w:rPr>
            </w:pPr>
            <w:r>
              <w:rPr>
                <w:szCs w:val="24"/>
                <w:lang w:val="en-US"/>
              </w:rPr>
              <w:tab/>
              <w:t>50 </w:t>
            </w:r>
            <w:r>
              <w:rPr>
                <w:rFonts w:ascii="Symbol" w:hAnsi="Symbol"/>
                <w:szCs w:val="24"/>
                <w:lang w:val="en-US"/>
              </w:rPr>
              <w:t></w:t>
            </w:r>
            <w:r>
              <w:rPr>
                <w:szCs w:val="24"/>
                <w:lang w:val="en-US"/>
              </w:rPr>
              <w:tab/>
            </w:r>
            <w:r>
              <w:rPr>
                <w:i/>
                <w:iCs/>
                <w:szCs w:val="24"/>
                <w:lang w:val="en-US"/>
              </w:rPr>
              <w:t>P</w:t>
            </w:r>
          </w:p>
        </w:tc>
        <w:tc>
          <w:tcPr>
            <w:tcW w:w="2841" w:type="dxa"/>
            <w:tcBorders>
              <w:bottom w:val="single" w:sz="6" w:space="0" w:color="auto"/>
            </w:tcBorders>
          </w:tcPr>
          <w:p w:rsidR="0040081F" w:rsidRDefault="0040081F" w:rsidP="00487E2E">
            <w:pPr>
              <w:pStyle w:val="Tabletext"/>
              <w:jc w:val="center"/>
              <w:rPr>
                <w:lang w:val="en-US"/>
              </w:rPr>
            </w:pPr>
            <w:r>
              <w:rPr>
                <w:lang w:val="en-US"/>
              </w:rPr>
              <w:t>–5 dBm</w:t>
            </w:r>
          </w:p>
        </w:tc>
      </w:tr>
      <w:tr w:rsidR="0040081F" w:rsidRPr="00620821" w:rsidTr="00DC4EB6">
        <w:trPr>
          <w:jc w:val="center"/>
        </w:trPr>
        <w:tc>
          <w:tcPr>
            <w:tcW w:w="8521" w:type="dxa"/>
            <w:gridSpan w:val="3"/>
            <w:tcBorders>
              <w:left w:val="nil"/>
              <w:bottom w:val="nil"/>
              <w:right w:val="nil"/>
            </w:tcBorders>
          </w:tcPr>
          <w:p w:rsidR="0040081F" w:rsidRDefault="0040081F" w:rsidP="00E95CDC">
            <w:pPr>
              <w:pStyle w:val="Tablelegend"/>
              <w:rPr>
                <w:lang w:val="en-US"/>
              </w:rPr>
            </w:pPr>
            <w:r w:rsidRPr="00487E2E">
              <w:rPr>
                <w:position w:val="6"/>
                <w:sz w:val="18"/>
                <w:vertAlign w:val="superscript"/>
                <w:lang w:val="en-US"/>
              </w:rPr>
              <w:t>(1)</w:t>
            </w:r>
            <w:r>
              <w:rPr>
                <w:lang w:val="en-US"/>
              </w:rPr>
              <w:tab/>
              <w:t>The end point value is subject to an upper limit of 64.2 dB.</w:t>
            </w:r>
          </w:p>
        </w:tc>
      </w:tr>
    </w:tbl>
    <w:p w:rsidR="0040081F" w:rsidRDefault="0040081F" w:rsidP="0040081F">
      <w:pPr>
        <w:pStyle w:val="Tablefin"/>
      </w:pPr>
    </w:p>
    <w:p w:rsidR="0040081F" w:rsidRDefault="0040081F" w:rsidP="00701FC2">
      <w:pPr>
        <w:pStyle w:val="Heading2"/>
        <w:rPr>
          <w:lang w:val="en-US"/>
        </w:rPr>
      </w:pPr>
      <w:r>
        <w:rPr>
          <w:lang w:val="en-US"/>
        </w:rPr>
        <w:lastRenderedPageBreak/>
        <w:t>2.2</w:t>
      </w:r>
      <w:r>
        <w:rPr>
          <w:lang w:val="en-US"/>
        </w:rPr>
        <w:tab/>
        <w:t>Digital television systems</w:t>
      </w:r>
    </w:p>
    <w:p w:rsidR="0040081F" w:rsidRPr="0047049C" w:rsidRDefault="0040081F" w:rsidP="0040081F">
      <w:pPr>
        <w:pStyle w:val="Heading3"/>
        <w:rPr>
          <w:lang w:val="en-US"/>
        </w:rPr>
      </w:pPr>
      <w:r>
        <w:rPr>
          <w:lang w:val="en-US"/>
        </w:rPr>
        <w:t>2.2.1</w:t>
      </w:r>
      <w:r>
        <w:rPr>
          <w:lang w:val="en-US"/>
        </w:rPr>
        <w:tab/>
        <w:t>7 and 8 MHz DVB-T systems</w:t>
      </w:r>
    </w:p>
    <w:p w:rsidR="0040081F" w:rsidRDefault="0040081F" w:rsidP="0040081F">
      <w:pPr>
        <w:rPr>
          <w:lang w:val="en-US"/>
        </w:rPr>
      </w:pPr>
      <w:r>
        <w:rPr>
          <w:lang w:val="en-US"/>
        </w:rPr>
        <w:t xml:space="preserve">For 7 MHz digital television, the OoB domain extends from </w:t>
      </w:r>
      <w:r>
        <w:rPr>
          <w:rFonts w:ascii="Symbol" w:hAnsi="Symbol"/>
          <w:lang w:val="en-US"/>
        </w:rPr>
        <w:t></w:t>
      </w:r>
      <w:r>
        <w:rPr>
          <w:rFonts w:ascii="Tms Rmn" w:hAnsi="Tms Rmn"/>
          <w:sz w:val="4"/>
          <w:lang w:val="en-US"/>
        </w:rPr>
        <w:t> </w:t>
      </w:r>
      <w:r>
        <w:rPr>
          <w:lang w:val="en-US"/>
        </w:rPr>
        <w:t xml:space="preserve">3.5 MHz (i.e. </w:t>
      </w:r>
      <w:r>
        <w:rPr>
          <w:rFonts w:ascii="Symbol" w:hAnsi="Symbol"/>
          <w:lang w:val="en-US"/>
        </w:rPr>
        <w:t></w:t>
      </w:r>
      <w:r>
        <w:rPr>
          <w:rFonts w:ascii="Tms Rmn" w:hAnsi="Tms Rmn"/>
          <w:sz w:val="4"/>
          <w:lang w:val="en-US"/>
        </w:rPr>
        <w:t> </w:t>
      </w:r>
      <w:r>
        <w:rPr>
          <w:lang w:val="en-US"/>
        </w:rPr>
        <w:t xml:space="preserve">0.5 × 7 MHz) to </w:t>
      </w:r>
      <w:r>
        <w:rPr>
          <w:rFonts w:ascii="Symbol" w:hAnsi="Symbol"/>
          <w:lang w:val="en-US"/>
        </w:rPr>
        <w:t></w:t>
      </w:r>
      <w:r>
        <w:rPr>
          <w:rFonts w:ascii="Tms Rmn" w:hAnsi="Tms Rmn"/>
          <w:sz w:val="4"/>
          <w:lang w:val="en-US"/>
        </w:rPr>
        <w:t> </w:t>
      </w:r>
      <w:r>
        <w:rPr>
          <w:lang w:val="en-US"/>
        </w:rPr>
        <w:t xml:space="preserve">17.5 MHz (i.e. </w:t>
      </w:r>
      <w:r>
        <w:rPr>
          <w:rFonts w:ascii="Symbol" w:hAnsi="Symbol"/>
          <w:lang w:val="en-US"/>
        </w:rPr>
        <w:t></w:t>
      </w:r>
      <w:r>
        <w:rPr>
          <w:rFonts w:ascii="Tms Rmn" w:hAnsi="Tms Rmn"/>
          <w:sz w:val="4"/>
          <w:lang w:val="en-US"/>
        </w:rPr>
        <w:t> </w:t>
      </w:r>
      <w:r>
        <w:rPr>
          <w:lang w:val="en-US"/>
        </w:rPr>
        <w:t>2.5 × 7 MHz).</w:t>
      </w:r>
    </w:p>
    <w:p w:rsidR="0040081F" w:rsidRDefault="0040081F" w:rsidP="0040081F">
      <w:pPr>
        <w:rPr>
          <w:lang w:val="en-US"/>
        </w:rPr>
      </w:pPr>
      <w:r>
        <w:rPr>
          <w:lang w:val="en-US"/>
        </w:rPr>
        <w:t xml:space="preserve">For 8 MHz digital television, the OoB domain extends from </w:t>
      </w:r>
      <w:r>
        <w:rPr>
          <w:rFonts w:ascii="Symbol" w:hAnsi="Symbol"/>
          <w:lang w:val="en-US"/>
        </w:rPr>
        <w:t></w:t>
      </w:r>
      <w:r>
        <w:rPr>
          <w:rFonts w:ascii="Tms Rmn" w:hAnsi="Tms Rmn"/>
          <w:sz w:val="4"/>
          <w:lang w:val="en-US"/>
        </w:rPr>
        <w:t> </w:t>
      </w:r>
      <w:r>
        <w:rPr>
          <w:lang w:val="en-US"/>
        </w:rPr>
        <w:t xml:space="preserve">4 MHz (i.e. </w:t>
      </w:r>
      <w:r>
        <w:rPr>
          <w:rFonts w:ascii="Symbol" w:hAnsi="Symbol"/>
          <w:lang w:val="en-US"/>
        </w:rPr>
        <w:t></w:t>
      </w:r>
      <w:r>
        <w:rPr>
          <w:rFonts w:ascii="Tms Rmn" w:hAnsi="Tms Rmn"/>
          <w:sz w:val="4"/>
          <w:lang w:val="en-US"/>
        </w:rPr>
        <w:t> </w:t>
      </w:r>
      <w:r>
        <w:rPr>
          <w:lang w:val="en-US"/>
        </w:rPr>
        <w:t xml:space="preserve">0.5 × 8 MHz) to </w:t>
      </w:r>
      <w:r>
        <w:rPr>
          <w:rFonts w:ascii="Symbol" w:hAnsi="Symbol"/>
          <w:lang w:val="en-US"/>
        </w:rPr>
        <w:t></w:t>
      </w:r>
      <w:r>
        <w:rPr>
          <w:rFonts w:ascii="Tms Rmn" w:hAnsi="Tms Rmn"/>
          <w:sz w:val="4"/>
          <w:lang w:val="en-US"/>
        </w:rPr>
        <w:t> </w:t>
      </w:r>
      <w:r>
        <w:rPr>
          <w:lang w:val="en-US"/>
        </w:rPr>
        <w:t xml:space="preserve">20 MHz (i.e. </w:t>
      </w:r>
      <w:r>
        <w:rPr>
          <w:rFonts w:ascii="Symbol" w:hAnsi="Symbol"/>
          <w:lang w:val="en-US"/>
        </w:rPr>
        <w:t></w:t>
      </w:r>
      <w:r>
        <w:rPr>
          <w:rFonts w:ascii="Tms Rmn" w:hAnsi="Tms Rmn"/>
          <w:sz w:val="4"/>
          <w:lang w:val="en-US"/>
        </w:rPr>
        <w:t> </w:t>
      </w:r>
      <w:r>
        <w:rPr>
          <w:lang w:val="en-US"/>
        </w:rPr>
        <w:t>2.5 × 8 MHz).</w:t>
      </w:r>
    </w:p>
    <w:p w:rsidR="0040081F" w:rsidRDefault="0040081F" w:rsidP="0040081F">
      <w:pPr>
        <w:rPr>
          <w:lang w:val="en-US"/>
        </w:rPr>
      </w:pPr>
      <w:r>
        <w:rPr>
          <w:lang w:val="en-US"/>
        </w:rPr>
        <w:t>For both 7 MHz and 8 MHz digital television, a 4 kHz measurement bandwidth is used to measure unwanted emi</w:t>
      </w:r>
      <w:r w:rsidR="00B9476C">
        <w:rPr>
          <w:lang w:val="en-US"/>
        </w:rPr>
        <w:t>s</w:t>
      </w:r>
      <w:r>
        <w:rPr>
          <w:lang w:val="en-US"/>
        </w:rPr>
        <w:t>sion levels. The 0 dB reference level corresponds to the mean output power measured in the channel bandwidth.</w:t>
      </w:r>
    </w:p>
    <w:p w:rsidR="0040081F" w:rsidRDefault="0040081F" w:rsidP="00701FC2">
      <w:pPr>
        <w:rPr>
          <w:lang w:val="en-US"/>
        </w:rPr>
      </w:pPr>
      <w:r>
        <w:rPr>
          <w:lang w:val="en-US"/>
        </w:rPr>
        <w:t xml:space="preserve">Spectrum limit masks for 7 MHz and 8 MHz </w:t>
      </w:r>
      <w:r w:rsidR="00701FC2">
        <w:rPr>
          <w:lang w:val="en-US"/>
        </w:rPr>
        <w:t>DVB-T systems are shown in Figs</w:t>
      </w:r>
      <w:r>
        <w:rPr>
          <w:lang w:val="en-US"/>
        </w:rPr>
        <w:t> 2</w:t>
      </w:r>
      <w:r w:rsidR="00701FC2">
        <w:rPr>
          <w:lang w:val="en-US"/>
        </w:rPr>
        <w:t>2</w:t>
      </w:r>
      <w:r>
        <w:rPr>
          <w:lang w:val="en-US"/>
        </w:rPr>
        <w:t xml:space="preserve"> and 2</w:t>
      </w:r>
      <w:r w:rsidR="00701FC2">
        <w:rPr>
          <w:lang w:val="en-US"/>
        </w:rPr>
        <w:t>3</w:t>
      </w:r>
      <w:r>
        <w:rPr>
          <w:lang w:val="en-US"/>
        </w:rPr>
        <w:t xml:space="preserve"> respectively. Each graph is drawn to represent the spectrum limits for transmitters in the output power range 39 dBW to 50 dBW. Associated with each graph is a table of break points and a table of end point and next-to-end point values, together with the corresponding spurious levels, for a range of transmitter output powers.</w:t>
      </w:r>
    </w:p>
    <w:p w:rsidR="00701FC2" w:rsidRPr="000D4195" w:rsidRDefault="00701FC2" w:rsidP="0040081F">
      <w:pPr>
        <w:pStyle w:val="FigureNo"/>
        <w:rPr>
          <w:lang w:val="en-US"/>
        </w:rPr>
      </w:pPr>
      <w:r w:rsidRPr="000D4195">
        <w:rPr>
          <w:lang w:val="en-US"/>
        </w:rPr>
        <w:t>FIGURE 22</w:t>
      </w:r>
    </w:p>
    <w:p w:rsidR="00701FC2" w:rsidRPr="000D4195" w:rsidRDefault="00701FC2" w:rsidP="00701FC2">
      <w:pPr>
        <w:pStyle w:val="Figuretitle"/>
        <w:rPr>
          <w:lang w:val="en-US"/>
        </w:rPr>
      </w:pPr>
      <w:r w:rsidRPr="000D4195">
        <w:rPr>
          <w:lang w:val="en-US"/>
        </w:rPr>
        <w:t xml:space="preserve">Spectrum limit mask for 7 MHz DVB-T systems (for </w:t>
      </w:r>
      <w:r w:rsidRPr="000D4195">
        <w:rPr>
          <w:i/>
          <w:iCs/>
          <w:lang w:val="en-US"/>
        </w:rPr>
        <w:t>P</w:t>
      </w:r>
      <w:r w:rsidRPr="000D4195">
        <w:rPr>
          <w:lang w:val="en-US"/>
        </w:rPr>
        <w:t xml:space="preserve"> = 39 to 50 dBW)</w:t>
      </w:r>
    </w:p>
    <w:p w:rsidR="00701FC2" w:rsidRPr="00701FC2" w:rsidRDefault="00273E2F" w:rsidP="00701FC2">
      <w:pPr>
        <w:pStyle w:val="Figure"/>
      </w:pPr>
      <w:r>
        <w:rPr>
          <w:noProof/>
          <w:lang w:val="en-US" w:eastAsia="zh-CN"/>
        </w:rPr>
        <w:drawing>
          <wp:inline distT="0" distB="0" distL="0" distR="0" wp14:anchorId="5FCE0319" wp14:editId="7D59C499">
            <wp:extent cx="5924550" cy="49593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24550" cy="4959350"/>
                    </a:xfrm>
                    <a:prstGeom prst="rect">
                      <a:avLst/>
                    </a:prstGeom>
                    <a:noFill/>
                    <a:ln>
                      <a:noFill/>
                    </a:ln>
                  </pic:spPr>
                </pic:pic>
              </a:graphicData>
            </a:graphic>
          </wp:inline>
        </w:drawing>
      </w:r>
    </w:p>
    <w:p w:rsidR="0040081F" w:rsidRDefault="0040081F" w:rsidP="00E95CDC">
      <w:pPr>
        <w:rPr>
          <w:lang w:val="en-US"/>
        </w:rPr>
      </w:pPr>
      <w:r>
        <w:rPr>
          <w:lang w:val="en-US"/>
        </w:rPr>
        <w:t>Table 14 provides break points corresponding to Fig. 2</w:t>
      </w:r>
      <w:r w:rsidR="00701FC2">
        <w:rPr>
          <w:lang w:val="en-US"/>
        </w:rPr>
        <w:t>2</w:t>
      </w:r>
      <w:r>
        <w:rPr>
          <w:lang w:val="en-US"/>
        </w:rPr>
        <w:t>, for 7 MHz DVB-T systems.</w:t>
      </w:r>
    </w:p>
    <w:p w:rsidR="0040081F" w:rsidRDefault="0040081F" w:rsidP="0040081F">
      <w:pPr>
        <w:pStyle w:val="TableNo"/>
        <w:rPr>
          <w:lang w:val="en-US"/>
        </w:rPr>
      </w:pPr>
      <w:r>
        <w:rPr>
          <w:lang w:val="en-US"/>
        </w:rPr>
        <w:lastRenderedPageBreak/>
        <w:t>TABLE  14</w:t>
      </w:r>
    </w:p>
    <w:p w:rsidR="0040081F" w:rsidRDefault="0040081F" w:rsidP="0040081F">
      <w:pPr>
        <w:pStyle w:val="Tabletitle"/>
        <w:rPr>
          <w:lang w:val="en-US"/>
        </w:rPr>
      </w:pPr>
      <w:r>
        <w:rPr>
          <w:lang w:val="en-US"/>
        </w:rPr>
        <w:t>Break points for 7 MHz DVB-T systems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40081F" w:rsidRPr="00620821" w:rsidTr="00DC4EB6">
        <w:trPr>
          <w:jc w:val="center"/>
        </w:trPr>
        <w:tc>
          <w:tcPr>
            <w:tcW w:w="4264" w:type="dxa"/>
            <w:vAlign w:val="center"/>
          </w:tcPr>
          <w:p w:rsidR="0040081F" w:rsidRDefault="0040081F" w:rsidP="00701FC2">
            <w:pPr>
              <w:pStyle w:val="Tablehead"/>
              <w:rPr>
                <w:lang w:val="en-US"/>
              </w:rPr>
            </w:pPr>
            <w:r>
              <w:rPr>
                <w:lang w:val="en-US"/>
              </w:rPr>
              <w:t>Frequency relative to the centre of the 7 MHz channel</w:t>
            </w:r>
          </w:p>
        </w:tc>
        <w:tc>
          <w:tcPr>
            <w:tcW w:w="4264" w:type="dxa"/>
            <w:vAlign w:val="center"/>
          </w:tcPr>
          <w:p w:rsidR="0040081F" w:rsidRDefault="0040081F" w:rsidP="00701FC2">
            <w:pPr>
              <w:pStyle w:val="Tablehead"/>
              <w:rPr>
                <w:lang w:val="en-US"/>
              </w:rPr>
            </w:pPr>
            <w:r>
              <w:rPr>
                <w:lang w:val="en-US"/>
              </w:rPr>
              <w:t>Relative level in 4 kHz measurement bandwidth</w:t>
            </w:r>
            <w:r>
              <w:rPr>
                <w:lang w:val="en-US"/>
              </w:rPr>
              <w:br/>
              <w:t>(dB)</w:t>
            </w:r>
          </w:p>
        </w:tc>
      </w:tr>
      <w:tr w:rsidR="0040081F" w:rsidTr="00DC4EB6">
        <w:trPr>
          <w:jc w:val="center"/>
        </w:trPr>
        <w:tc>
          <w:tcPr>
            <w:tcW w:w="4264" w:type="dxa"/>
          </w:tcPr>
          <w:p w:rsidR="0040081F" w:rsidRDefault="0040081F" w:rsidP="00727401">
            <w:pPr>
              <w:pStyle w:val="Tabletext"/>
              <w:jc w:val="center"/>
              <w:rPr>
                <w:lang w:val="en-US"/>
              </w:rPr>
            </w:pPr>
            <w:r>
              <w:rPr>
                <w:lang w:val="en-US"/>
              </w:rPr>
              <w:t>–17.5</w:t>
            </w:r>
          </w:p>
        </w:tc>
        <w:tc>
          <w:tcPr>
            <w:tcW w:w="4264" w:type="dxa"/>
          </w:tcPr>
          <w:p w:rsidR="0040081F" w:rsidRDefault="0040081F" w:rsidP="00727401">
            <w:pPr>
              <w:pStyle w:val="Tabletext"/>
              <w:jc w:val="center"/>
              <w:rPr>
                <w:lang w:val="en-US"/>
              </w:rPr>
            </w:pPr>
            <w:r>
              <w:rPr>
                <w:lang w:val="en-US"/>
              </w:rPr>
              <w:t>–99</w:t>
            </w:r>
          </w:p>
        </w:tc>
      </w:tr>
      <w:tr w:rsidR="0040081F" w:rsidTr="00DC4EB6">
        <w:trPr>
          <w:jc w:val="center"/>
        </w:trPr>
        <w:tc>
          <w:tcPr>
            <w:tcW w:w="4264" w:type="dxa"/>
          </w:tcPr>
          <w:p w:rsidR="0040081F" w:rsidRDefault="0040081F" w:rsidP="00727401">
            <w:pPr>
              <w:pStyle w:val="Tabletext"/>
              <w:jc w:val="center"/>
              <w:rPr>
                <w:lang w:val="en-US"/>
              </w:rPr>
            </w:pPr>
            <w:r>
              <w:rPr>
                <w:lang w:val="en-US"/>
              </w:rPr>
              <w:t>–10.5</w:t>
            </w:r>
          </w:p>
        </w:tc>
        <w:tc>
          <w:tcPr>
            <w:tcW w:w="4264" w:type="dxa"/>
          </w:tcPr>
          <w:p w:rsidR="0040081F" w:rsidRDefault="0040081F" w:rsidP="00727401">
            <w:pPr>
              <w:pStyle w:val="Tabletext"/>
              <w:jc w:val="center"/>
              <w:rPr>
                <w:lang w:val="en-US"/>
              </w:rPr>
            </w:pPr>
            <w:r>
              <w:rPr>
                <w:lang w:val="en-US"/>
              </w:rPr>
              <w:t>–91</w:t>
            </w:r>
          </w:p>
        </w:tc>
      </w:tr>
      <w:tr w:rsidR="0040081F" w:rsidTr="00DC4EB6">
        <w:trPr>
          <w:jc w:val="center"/>
        </w:trPr>
        <w:tc>
          <w:tcPr>
            <w:tcW w:w="4264" w:type="dxa"/>
          </w:tcPr>
          <w:p w:rsidR="0040081F" w:rsidRDefault="0040081F" w:rsidP="00727401">
            <w:pPr>
              <w:pStyle w:val="Tabletext"/>
              <w:jc w:val="center"/>
              <w:rPr>
                <w:lang w:val="en-US"/>
              </w:rPr>
            </w:pPr>
            <w:r>
              <w:rPr>
                <w:lang w:val="en-US"/>
              </w:rPr>
              <w:t>–3.7</w:t>
            </w:r>
          </w:p>
        </w:tc>
        <w:tc>
          <w:tcPr>
            <w:tcW w:w="4264" w:type="dxa"/>
          </w:tcPr>
          <w:p w:rsidR="0040081F" w:rsidRDefault="0040081F" w:rsidP="00727401">
            <w:pPr>
              <w:pStyle w:val="Tabletext"/>
              <w:jc w:val="center"/>
              <w:rPr>
                <w:lang w:val="en-US"/>
              </w:rPr>
            </w:pPr>
            <w:r>
              <w:rPr>
                <w:lang w:val="en-US"/>
              </w:rPr>
              <w:t>–67.2</w:t>
            </w:r>
          </w:p>
        </w:tc>
      </w:tr>
      <w:tr w:rsidR="0040081F" w:rsidTr="00DC4EB6">
        <w:trPr>
          <w:jc w:val="center"/>
        </w:trPr>
        <w:tc>
          <w:tcPr>
            <w:tcW w:w="4264" w:type="dxa"/>
          </w:tcPr>
          <w:p w:rsidR="0040081F" w:rsidRDefault="0040081F" w:rsidP="00727401">
            <w:pPr>
              <w:pStyle w:val="Tabletext"/>
              <w:jc w:val="center"/>
              <w:rPr>
                <w:lang w:val="en-US"/>
              </w:rPr>
            </w:pPr>
            <w:r>
              <w:rPr>
                <w:lang w:val="en-US"/>
              </w:rPr>
              <w:t>–3.35</w:t>
            </w:r>
          </w:p>
        </w:tc>
        <w:tc>
          <w:tcPr>
            <w:tcW w:w="4264" w:type="dxa"/>
          </w:tcPr>
          <w:p w:rsidR="0040081F" w:rsidRDefault="0040081F" w:rsidP="00727401">
            <w:pPr>
              <w:pStyle w:val="Tabletext"/>
              <w:jc w:val="center"/>
              <w:rPr>
                <w:lang w:val="en-US"/>
              </w:rPr>
            </w:pPr>
            <w:r>
              <w:rPr>
                <w:lang w:val="en-US"/>
              </w:rPr>
              <w:t>–32.2</w:t>
            </w:r>
          </w:p>
        </w:tc>
      </w:tr>
      <w:tr w:rsidR="0040081F" w:rsidTr="00DC4EB6">
        <w:trPr>
          <w:jc w:val="center"/>
        </w:trPr>
        <w:tc>
          <w:tcPr>
            <w:tcW w:w="4264" w:type="dxa"/>
          </w:tcPr>
          <w:p w:rsidR="0040081F" w:rsidRDefault="0040081F" w:rsidP="00727401">
            <w:pPr>
              <w:pStyle w:val="Tabletext"/>
              <w:jc w:val="center"/>
              <w:rPr>
                <w:lang w:val="en-US"/>
              </w:rPr>
            </w:pPr>
            <w:r>
              <w:rPr>
                <w:lang w:val="en-US"/>
              </w:rPr>
              <w:t>3.35</w:t>
            </w:r>
          </w:p>
        </w:tc>
        <w:tc>
          <w:tcPr>
            <w:tcW w:w="4264" w:type="dxa"/>
          </w:tcPr>
          <w:p w:rsidR="0040081F" w:rsidRDefault="0040081F" w:rsidP="00727401">
            <w:pPr>
              <w:pStyle w:val="Tabletext"/>
              <w:jc w:val="center"/>
              <w:rPr>
                <w:lang w:val="en-US"/>
              </w:rPr>
            </w:pPr>
            <w:r>
              <w:rPr>
                <w:lang w:val="en-US"/>
              </w:rPr>
              <w:t>–32.2</w:t>
            </w:r>
          </w:p>
        </w:tc>
      </w:tr>
      <w:tr w:rsidR="0040081F" w:rsidTr="00DC4EB6">
        <w:trPr>
          <w:jc w:val="center"/>
        </w:trPr>
        <w:tc>
          <w:tcPr>
            <w:tcW w:w="4264" w:type="dxa"/>
          </w:tcPr>
          <w:p w:rsidR="0040081F" w:rsidRDefault="0040081F" w:rsidP="00727401">
            <w:pPr>
              <w:pStyle w:val="Tabletext"/>
              <w:jc w:val="center"/>
              <w:rPr>
                <w:lang w:val="en-US"/>
              </w:rPr>
            </w:pPr>
            <w:r>
              <w:rPr>
                <w:lang w:val="en-US"/>
              </w:rPr>
              <w:t>3.7</w:t>
            </w:r>
          </w:p>
        </w:tc>
        <w:tc>
          <w:tcPr>
            <w:tcW w:w="4264" w:type="dxa"/>
          </w:tcPr>
          <w:p w:rsidR="0040081F" w:rsidRDefault="0040081F" w:rsidP="00727401">
            <w:pPr>
              <w:pStyle w:val="Tabletext"/>
              <w:jc w:val="center"/>
              <w:rPr>
                <w:lang w:val="en-US"/>
              </w:rPr>
            </w:pPr>
            <w:r>
              <w:rPr>
                <w:lang w:val="en-US"/>
              </w:rPr>
              <w:t>–67.2</w:t>
            </w:r>
          </w:p>
        </w:tc>
      </w:tr>
      <w:tr w:rsidR="0040081F" w:rsidTr="00DC4EB6">
        <w:trPr>
          <w:jc w:val="center"/>
        </w:trPr>
        <w:tc>
          <w:tcPr>
            <w:tcW w:w="4264" w:type="dxa"/>
          </w:tcPr>
          <w:p w:rsidR="0040081F" w:rsidRDefault="0040081F" w:rsidP="00727401">
            <w:pPr>
              <w:pStyle w:val="Tabletext"/>
              <w:jc w:val="center"/>
              <w:rPr>
                <w:lang w:val="en-US"/>
              </w:rPr>
            </w:pPr>
            <w:r>
              <w:rPr>
                <w:lang w:val="en-US"/>
              </w:rPr>
              <w:t>10.5</w:t>
            </w:r>
          </w:p>
        </w:tc>
        <w:tc>
          <w:tcPr>
            <w:tcW w:w="4264" w:type="dxa"/>
          </w:tcPr>
          <w:p w:rsidR="0040081F" w:rsidRDefault="0040081F" w:rsidP="00727401">
            <w:pPr>
              <w:pStyle w:val="Tabletext"/>
              <w:jc w:val="center"/>
              <w:rPr>
                <w:lang w:val="en-US"/>
              </w:rPr>
            </w:pPr>
            <w:r>
              <w:rPr>
                <w:lang w:val="en-US"/>
              </w:rPr>
              <w:t>–91</w:t>
            </w:r>
          </w:p>
        </w:tc>
      </w:tr>
      <w:tr w:rsidR="0040081F" w:rsidTr="00DC4EB6">
        <w:trPr>
          <w:jc w:val="center"/>
        </w:trPr>
        <w:tc>
          <w:tcPr>
            <w:tcW w:w="4264" w:type="dxa"/>
          </w:tcPr>
          <w:p w:rsidR="0040081F" w:rsidRDefault="0040081F" w:rsidP="00727401">
            <w:pPr>
              <w:pStyle w:val="Tabletext"/>
              <w:jc w:val="center"/>
              <w:rPr>
                <w:lang w:val="en-US"/>
              </w:rPr>
            </w:pPr>
            <w:r>
              <w:rPr>
                <w:lang w:val="en-US"/>
              </w:rPr>
              <w:t>17.5</w:t>
            </w:r>
          </w:p>
        </w:tc>
        <w:tc>
          <w:tcPr>
            <w:tcW w:w="4264" w:type="dxa"/>
          </w:tcPr>
          <w:p w:rsidR="0040081F" w:rsidRDefault="0040081F" w:rsidP="00727401">
            <w:pPr>
              <w:pStyle w:val="Tabletext"/>
              <w:jc w:val="center"/>
              <w:rPr>
                <w:lang w:val="en-US"/>
              </w:rPr>
            </w:pPr>
            <w:r>
              <w:rPr>
                <w:lang w:val="en-US"/>
              </w:rPr>
              <w:t>–99</w:t>
            </w:r>
          </w:p>
        </w:tc>
      </w:tr>
    </w:tbl>
    <w:p w:rsidR="0040081F" w:rsidRDefault="0040081F" w:rsidP="0040081F">
      <w:pPr>
        <w:pStyle w:val="Tablefin"/>
      </w:pPr>
    </w:p>
    <w:p w:rsidR="0040081F" w:rsidRDefault="0040081F" w:rsidP="00E95CDC">
      <w:pPr>
        <w:rPr>
          <w:lang w:val="en-US"/>
        </w:rPr>
      </w:pPr>
    </w:p>
    <w:p w:rsidR="0040081F" w:rsidRDefault="0040081F" w:rsidP="00701FC2">
      <w:pPr>
        <w:rPr>
          <w:lang w:val="en-US"/>
        </w:rPr>
      </w:pPr>
      <w:r>
        <w:rPr>
          <w:lang w:val="en-US"/>
        </w:rPr>
        <w:t>Table 15 provides end point value and next-to-end point values to be used in conjunction with Fig. 2</w:t>
      </w:r>
      <w:r w:rsidR="00701FC2">
        <w:rPr>
          <w:lang w:val="en-US"/>
        </w:rPr>
        <w:t>2</w:t>
      </w:r>
      <w:r>
        <w:rPr>
          <w:lang w:val="en-US"/>
        </w:rPr>
        <w:t xml:space="preserve"> and Table 14, applicable a range of transmitter output powers, for 7 MHz DVB</w:t>
      </w:r>
      <w:r>
        <w:rPr>
          <w:lang w:val="en-US"/>
        </w:rPr>
        <w:noBreakHyphen/>
        <w:t>T systems.</w:t>
      </w:r>
    </w:p>
    <w:p w:rsidR="0040081F" w:rsidRDefault="0040081F" w:rsidP="00E95CDC">
      <w:pPr>
        <w:rPr>
          <w:lang w:val="en-US"/>
        </w:rPr>
      </w:pPr>
    </w:p>
    <w:p w:rsidR="0040081F" w:rsidRDefault="0040081F" w:rsidP="0040081F">
      <w:pPr>
        <w:pStyle w:val="TableNo"/>
        <w:rPr>
          <w:lang w:val="en-US"/>
        </w:rPr>
      </w:pPr>
      <w:r>
        <w:rPr>
          <w:lang w:val="en-US"/>
        </w:rPr>
        <w:t>TABLE  15</w:t>
      </w:r>
    </w:p>
    <w:p w:rsidR="0040081F" w:rsidRDefault="0040081F" w:rsidP="0040081F">
      <w:pPr>
        <w:pStyle w:val="Tabletitle"/>
        <w:rPr>
          <w:lang w:val="en-US"/>
        </w:rPr>
      </w:pPr>
      <w:r>
        <w:rPr>
          <w:lang w:val="en-US"/>
        </w:rPr>
        <w:t xml:space="preserve">End point value and next-to-end point values </w:t>
      </w:r>
      <w:r>
        <w:rPr>
          <w:lang w:val="en-US"/>
        </w:rPr>
        <w:br/>
        <w:t>for 7 MHz DVB-T systems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556"/>
        <w:gridCol w:w="3130"/>
      </w:tblGrid>
      <w:tr w:rsidR="0040081F" w:rsidRPr="00620821" w:rsidTr="00727401">
        <w:trPr>
          <w:jc w:val="center"/>
        </w:trPr>
        <w:tc>
          <w:tcPr>
            <w:tcW w:w="2843" w:type="dxa"/>
            <w:vAlign w:val="center"/>
          </w:tcPr>
          <w:p w:rsidR="0040081F" w:rsidRDefault="0040081F" w:rsidP="00701FC2">
            <w:pPr>
              <w:pStyle w:val="Tablehead"/>
              <w:rPr>
                <w:lang w:val="en-US"/>
              </w:rPr>
            </w:pPr>
            <w:r>
              <w:rPr>
                <w:lang w:val="en-US"/>
              </w:rPr>
              <w:t>End point value</w:t>
            </w:r>
            <w:r>
              <w:rPr>
                <w:position w:val="6"/>
                <w:sz w:val="18"/>
                <w:lang w:val="en-US"/>
              </w:rPr>
              <w:t>(1)</w:t>
            </w:r>
            <w:r>
              <w:rPr>
                <w:lang w:val="en-US"/>
              </w:rPr>
              <w:br/>
              <w:t>(4 kHz measurement bandwidth)</w:t>
            </w:r>
            <w:r>
              <w:rPr>
                <w:lang w:val="en-US"/>
              </w:rPr>
              <w:br/>
              <w:t>(dB)</w:t>
            </w:r>
          </w:p>
        </w:tc>
        <w:tc>
          <w:tcPr>
            <w:tcW w:w="2556" w:type="dxa"/>
            <w:vAlign w:val="center"/>
          </w:tcPr>
          <w:p w:rsidR="0040081F" w:rsidRDefault="0040081F" w:rsidP="00701FC2">
            <w:pPr>
              <w:pStyle w:val="Tablehead"/>
              <w:rPr>
                <w:lang w:val="en-US"/>
              </w:rPr>
            </w:pPr>
            <w:r>
              <w:rPr>
                <w:lang w:val="en-US"/>
              </w:rPr>
              <w:t>Power range</w:t>
            </w:r>
            <w:r>
              <w:rPr>
                <w:lang w:val="en-US"/>
              </w:rPr>
              <w:br/>
              <w:t>(dBW)</w:t>
            </w:r>
          </w:p>
        </w:tc>
        <w:tc>
          <w:tcPr>
            <w:tcW w:w="3130" w:type="dxa"/>
            <w:vAlign w:val="center"/>
          </w:tcPr>
          <w:p w:rsidR="0040081F" w:rsidRDefault="0040081F" w:rsidP="00701FC2">
            <w:pPr>
              <w:pStyle w:val="Tablehead"/>
              <w:rPr>
                <w:lang w:val="en-US"/>
              </w:rPr>
            </w:pPr>
            <w:r>
              <w:rPr>
                <w:lang w:val="en-US"/>
              </w:rPr>
              <w:t>Corresponding spurious level (100 kHz measurement bandwidth)</w:t>
            </w:r>
          </w:p>
        </w:tc>
      </w:tr>
      <w:tr w:rsidR="0040081F" w:rsidTr="00727401">
        <w:trPr>
          <w:jc w:val="center"/>
        </w:trPr>
        <w:tc>
          <w:tcPr>
            <w:tcW w:w="2843" w:type="dxa"/>
          </w:tcPr>
          <w:p w:rsidR="0040081F" w:rsidRDefault="0040081F" w:rsidP="00487E2E">
            <w:pPr>
              <w:pStyle w:val="Tabletext"/>
              <w:jc w:val="center"/>
              <w:rPr>
                <w:lang w:val="en-US"/>
              </w:rPr>
            </w:pPr>
            <w:r>
              <w:rPr>
                <w:lang w:val="en-US"/>
              </w:rPr>
              <w:t>–89 – (</w:t>
            </w:r>
            <w:r>
              <w:rPr>
                <w:i/>
                <w:iCs/>
                <w:lang w:val="en-US"/>
              </w:rPr>
              <w:t>P</w:t>
            </w:r>
            <w:r>
              <w:rPr>
                <w:lang w:val="en-US"/>
              </w:rPr>
              <w:t> – 9)</w:t>
            </w:r>
          </w:p>
        </w:tc>
        <w:tc>
          <w:tcPr>
            <w:tcW w:w="2556" w:type="dxa"/>
          </w:tcPr>
          <w:p w:rsidR="0040081F" w:rsidRDefault="00487E2E" w:rsidP="00E95CDC">
            <w:pPr>
              <w:pStyle w:val="Tabletext"/>
              <w:rPr>
                <w:lang w:val="en-US"/>
              </w:rPr>
            </w:pPr>
            <w:r>
              <w:rPr>
                <w:i/>
                <w:iCs/>
                <w:szCs w:val="24"/>
                <w:lang w:val="en-US"/>
              </w:rPr>
              <w:tab/>
            </w:r>
            <w:r w:rsidR="0040081F">
              <w:rPr>
                <w:i/>
                <w:iCs/>
                <w:szCs w:val="24"/>
                <w:lang w:val="en-US"/>
              </w:rPr>
              <w:tab/>
            </w:r>
            <w:r>
              <w:rPr>
                <w:i/>
                <w:iCs/>
                <w:szCs w:val="24"/>
                <w:lang w:val="en-US"/>
              </w:rPr>
              <w:tab/>
            </w:r>
            <w:r w:rsidR="0040081F">
              <w:rPr>
                <w:i/>
                <w:iCs/>
                <w:szCs w:val="24"/>
                <w:lang w:val="en-US"/>
              </w:rPr>
              <w:tab/>
              <w:t>P</w:t>
            </w:r>
            <w:r w:rsidR="0040081F">
              <w:rPr>
                <w:szCs w:val="24"/>
                <w:lang w:val="en-US"/>
              </w:rPr>
              <w:t> </w:t>
            </w:r>
            <w:r w:rsidR="0040081F">
              <w:rPr>
                <w:rFonts w:ascii="Symbol" w:hAnsi="Symbol"/>
              </w:rPr>
              <w:sym w:font="Symbol" w:char="F0A3"/>
            </w:r>
            <w:r w:rsidR="0040081F">
              <w:rPr>
                <w:szCs w:val="24"/>
                <w:lang w:val="en-US"/>
              </w:rPr>
              <w:t> 9</w:t>
            </w:r>
          </w:p>
        </w:tc>
        <w:tc>
          <w:tcPr>
            <w:tcW w:w="3130" w:type="dxa"/>
          </w:tcPr>
          <w:p w:rsidR="0040081F" w:rsidRDefault="0040081F" w:rsidP="00487E2E">
            <w:pPr>
              <w:pStyle w:val="Tabletext"/>
              <w:jc w:val="center"/>
              <w:rPr>
                <w:lang w:val="en-US"/>
              </w:rPr>
            </w:pPr>
            <w:r>
              <w:rPr>
                <w:lang w:val="en-US"/>
              </w:rPr>
              <w:t>–36 dBm</w:t>
            </w:r>
          </w:p>
        </w:tc>
      </w:tr>
      <w:tr w:rsidR="0040081F" w:rsidTr="00727401">
        <w:trPr>
          <w:jc w:val="center"/>
        </w:trPr>
        <w:tc>
          <w:tcPr>
            <w:tcW w:w="2843" w:type="dxa"/>
          </w:tcPr>
          <w:p w:rsidR="0040081F" w:rsidRDefault="0040081F" w:rsidP="00487E2E">
            <w:pPr>
              <w:pStyle w:val="Tabletext"/>
              <w:jc w:val="center"/>
              <w:rPr>
                <w:lang w:val="en-US"/>
              </w:rPr>
            </w:pPr>
            <w:r>
              <w:rPr>
                <w:lang w:val="en-US"/>
              </w:rPr>
              <w:t>–89</w:t>
            </w:r>
          </w:p>
        </w:tc>
        <w:tc>
          <w:tcPr>
            <w:tcW w:w="2556" w:type="dxa"/>
          </w:tcPr>
          <w:p w:rsidR="0040081F" w:rsidRDefault="00487E2E" w:rsidP="00E95CDC">
            <w:pPr>
              <w:pStyle w:val="Tabletext"/>
              <w:rPr>
                <w:lang w:val="en-US"/>
              </w:rPr>
            </w:pPr>
            <w:r>
              <w:rPr>
                <w:szCs w:val="24"/>
                <w:lang w:val="en-US"/>
              </w:rPr>
              <w:tab/>
            </w:r>
            <w:r w:rsidR="0040081F">
              <w:rPr>
                <w:szCs w:val="24"/>
                <w:lang w:val="en-US"/>
              </w:rPr>
              <w:tab/>
              <w:t>9 </w:t>
            </w:r>
            <w:r w:rsidR="0040081F">
              <w:rPr>
                <w:rFonts w:ascii="Symbol" w:hAnsi="Symbol"/>
                <w:szCs w:val="24"/>
                <w:lang w:val="en-US"/>
              </w:rPr>
              <w:t></w:t>
            </w:r>
            <w:r w:rsidR="0040081F">
              <w:rPr>
                <w:szCs w:val="24"/>
                <w:lang w:val="en-US"/>
              </w:rPr>
              <w:tab/>
            </w:r>
            <w:r w:rsidR="0040081F">
              <w:rPr>
                <w:i/>
                <w:iCs/>
                <w:szCs w:val="24"/>
                <w:lang w:val="en-US"/>
              </w:rPr>
              <w:t>P</w:t>
            </w:r>
            <w:r w:rsidR="0040081F">
              <w:rPr>
                <w:szCs w:val="24"/>
                <w:lang w:val="en-US"/>
              </w:rPr>
              <w:t> </w:t>
            </w:r>
            <w:r w:rsidR="0040081F">
              <w:rPr>
                <w:rFonts w:ascii="Symbol" w:hAnsi="Symbol"/>
              </w:rPr>
              <w:sym w:font="Symbol" w:char="F0A3"/>
            </w:r>
            <w:r w:rsidR="0040081F">
              <w:rPr>
                <w:szCs w:val="24"/>
                <w:lang w:val="en-US"/>
              </w:rPr>
              <w:t> 29</w:t>
            </w:r>
          </w:p>
        </w:tc>
        <w:tc>
          <w:tcPr>
            <w:tcW w:w="3130" w:type="dxa"/>
          </w:tcPr>
          <w:p w:rsidR="0040081F" w:rsidRDefault="0040081F" w:rsidP="00487E2E">
            <w:pPr>
              <w:pStyle w:val="Tabletext"/>
              <w:jc w:val="center"/>
              <w:rPr>
                <w:lang w:val="en-US"/>
              </w:rPr>
            </w:pPr>
            <w:r>
              <w:rPr>
                <w:lang w:val="en-US"/>
              </w:rPr>
              <w:t>75 dBc</w:t>
            </w:r>
          </w:p>
        </w:tc>
      </w:tr>
      <w:tr w:rsidR="0040081F" w:rsidTr="00727401">
        <w:trPr>
          <w:jc w:val="center"/>
        </w:trPr>
        <w:tc>
          <w:tcPr>
            <w:tcW w:w="2843" w:type="dxa"/>
          </w:tcPr>
          <w:p w:rsidR="0040081F" w:rsidRDefault="0040081F" w:rsidP="00487E2E">
            <w:pPr>
              <w:pStyle w:val="Tabletext"/>
              <w:jc w:val="center"/>
              <w:rPr>
                <w:lang w:val="en-US"/>
              </w:rPr>
            </w:pPr>
            <w:r>
              <w:rPr>
                <w:lang w:val="en-US"/>
              </w:rPr>
              <w:t>–89 – (</w:t>
            </w:r>
            <w:r>
              <w:rPr>
                <w:i/>
                <w:iCs/>
                <w:lang w:val="en-US"/>
              </w:rPr>
              <w:t>P</w:t>
            </w:r>
            <w:r>
              <w:rPr>
                <w:lang w:val="en-US"/>
              </w:rPr>
              <w:t> – 29)</w:t>
            </w:r>
          </w:p>
        </w:tc>
        <w:tc>
          <w:tcPr>
            <w:tcW w:w="2556" w:type="dxa"/>
          </w:tcPr>
          <w:p w:rsidR="0040081F" w:rsidRDefault="00487E2E" w:rsidP="00E95CDC">
            <w:pPr>
              <w:pStyle w:val="Tabletext"/>
              <w:tabs>
                <w:tab w:val="clear" w:pos="851"/>
                <w:tab w:val="left" w:pos="845"/>
              </w:tabs>
              <w:rPr>
                <w:lang w:val="en-US"/>
              </w:rPr>
            </w:pPr>
            <w:r>
              <w:rPr>
                <w:szCs w:val="24"/>
                <w:lang w:val="en-US"/>
              </w:rPr>
              <w:tab/>
            </w:r>
            <w:r w:rsidR="0040081F">
              <w:rPr>
                <w:szCs w:val="24"/>
                <w:lang w:val="en-US"/>
              </w:rPr>
              <w:tab/>
              <w:t>29 </w:t>
            </w:r>
            <w:r w:rsidR="0040081F">
              <w:rPr>
                <w:rFonts w:ascii="Symbol" w:hAnsi="Symbol"/>
                <w:szCs w:val="24"/>
                <w:lang w:val="en-US"/>
              </w:rPr>
              <w:t></w:t>
            </w:r>
            <w:r w:rsidR="0040081F">
              <w:rPr>
                <w:szCs w:val="24"/>
                <w:lang w:val="en-US"/>
              </w:rPr>
              <w:tab/>
            </w:r>
            <w:r w:rsidR="0040081F">
              <w:rPr>
                <w:i/>
                <w:iCs/>
                <w:szCs w:val="24"/>
                <w:lang w:val="en-US"/>
              </w:rPr>
              <w:t>P</w:t>
            </w:r>
            <w:r w:rsidR="0040081F">
              <w:rPr>
                <w:szCs w:val="24"/>
                <w:lang w:val="en-US"/>
              </w:rPr>
              <w:t> </w:t>
            </w:r>
            <w:r w:rsidR="0040081F">
              <w:rPr>
                <w:rFonts w:ascii="Symbol" w:hAnsi="Symbol"/>
              </w:rPr>
              <w:sym w:font="Symbol" w:char="F0A3"/>
            </w:r>
            <w:r w:rsidR="0040081F">
              <w:rPr>
                <w:szCs w:val="24"/>
                <w:lang w:val="en-US"/>
              </w:rPr>
              <w:t> 39</w:t>
            </w:r>
          </w:p>
        </w:tc>
        <w:tc>
          <w:tcPr>
            <w:tcW w:w="3130" w:type="dxa"/>
          </w:tcPr>
          <w:p w:rsidR="0040081F" w:rsidRDefault="0040081F" w:rsidP="00487E2E">
            <w:pPr>
              <w:pStyle w:val="Tabletext"/>
              <w:jc w:val="center"/>
              <w:rPr>
                <w:lang w:val="en-US"/>
              </w:rPr>
            </w:pPr>
            <w:r>
              <w:rPr>
                <w:lang w:val="en-US"/>
              </w:rPr>
              <w:t>–16 dBm</w:t>
            </w:r>
          </w:p>
        </w:tc>
      </w:tr>
      <w:tr w:rsidR="0040081F" w:rsidTr="00727401">
        <w:trPr>
          <w:jc w:val="center"/>
        </w:trPr>
        <w:tc>
          <w:tcPr>
            <w:tcW w:w="2843" w:type="dxa"/>
          </w:tcPr>
          <w:p w:rsidR="0040081F" w:rsidRDefault="0040081F" w:rsidP="00487E2E">
            <w:pPr>
              <w:pStyle w:val="Tabletext"/>
              <w:jc w:val="center"/>
              <w:rPr>
                <w:lang w:val="en-US"/>
              </w:rPr>
            </w:pPr>
            <w:r>
              <w:rPr>
                <w:lang w:val="en-US"/>
              </w:rPr>
              <w:t>–99</w:t>
            </w:r>
          </w:p>
        </w:tc>
        <w:tc>
          <w:tcPr>
            <w:tcW w:w="2556" w:type="dxa"/>
          </w:tcPr>
          <w:p w:rsidR="0040081F" w:rsidRDefault="00487E2E" w:rsidP="00E95CDC">
            <w:pPr>
              <w:pStyle w:val="Tabletext"/>
              <w:tabs>
                <w:tab w:val="clear" w:pos="851"/>
                <w:tab w:val="left" w:pos="845"/>
              </w:tabs>
              <w:rPr>
                <w:lang w:val="en-US"/>
              </w:rPr>
            </w:pPr>
            <w:r>
              <w:rPr>
                <w:szCs w:val="24"/>
                <w:lang w:val="en-US"/>
              </w:rPr>
              <w:tab/>
            </w:r>
            <w:r w:rsidR="0040081F">
              <w:rPr>
                <w:szCs w:val="24"/>
                <w:lang w:val="en-US"/>
              </w:rPr>
              <w:tab/>
              <w:t>39 </w:t>
            </w:r>
            <w:r w:rsidR="0040081F">
              <w:rPr>
                <w:rFonts w:ascii="Symbol" w:hAnsi="Symbol"/>
                <w:szCs w:val="24"/>
                <w:lang w:val="en-US"/>
              </w:rPr>
              <w:t></w:t>
            </w:r>
            <w:r w:rsidR="0040081F">
              <w:rPr>
                <w:szCs w:val="24"/>
                <w:lang w:val="en-US"/>
              </w:rPr>
              <w:tab/>
            </w:r>
            <w:r w:rsidR="0040081F">
              <w:rPr>
                <w:i/>
                <w:iCs/>
                <w:szCs w:val="24"/>
                <w:lang w:val="en-US"/>
              </w:rPr>
              <w:t>P</w:t>
            </w:r>
            <w:r w:rsidR="0040081F">
              <w:rPr>
                <w:szCs w:val="24"/>
                <w:lang w:val="en-US"/>
              </w:rPr>
              <w:t> </w:t>
            </w:r>
            <w:r w:rsidR="0040081F">
              <w:rPr>
                <w:rFonts w:ascii="Symbol" w:hAnsi="Symbol"/>
              </w:rPr>
              <w:sym w:font="Symbol" w:char="F0A3"/>
            </w:r>
            <w:r w:rsidR="0040081F">
              <w:rPr>
                <w:szCs w:val="24"/>
                <w:lang w:val="en-US"/>
              </w:rPr>
              <w:t> 50</w:t>
            </w:r>
          </w:p>
        </w:tc>
        <w:tc>
          <w:tcPr>
            <w:tcW w:w="3130" w:type="dxa"/>
          </w:tcPr>
          <w:p w:rsidR="0040081F" w:rsidRDefault="0040081F" w:rsidP="00487E2E">
            <w:pPr>
              <w:pStyle w:val="Tabletext"/>
              <w:jc w:val="center"/>
              <w:rPr>
                <w:lang w:val="en-US"/>
              </w:rPr>
            </w:pPr>
            <w:r>
              <w:rPr>
                <w:lang w:val="en-US"/>
              </w:rPr>
              <w:t>85 dBc</w:t>
            </w:r>
          </w:p>
        </w:tc>
      </w:tr>
      <w:tr w:rsidR="0040081F" w:rsidTr="00727401">
        <w:trPr>
          <w:jc w:val="center"/>
        </w:trPr>
        <w:tc>
          <w:tcPr>
            <w:tcW w:w="2843" w:type="dxa"/>
            <w:tcBorders>
              <w:bottom w:val="single" w:sz="6" w:space="0" w:color="auto"/>
            </w:tcBorders>
          </w:tcPr>
          <w:p w:rsidR="0040081F" w:rsidRDefault="0040081F" w:rsidP="00487E2E">
            <w:pPr>
              <w:pStyle w:val="Tabletext"/>
              <w:jc w:val="center"/>
              <w:rPr>
                <w:lang w:val="en-US"/>
              </w:rPr>
            </w:pPr>
            <w:r>
              <w:rPr>
                <w:lang w:val="en-US"/>
              </w:rPr>
              <w:t>–99 – (</w:t>
            </w:r>
            <w:r>
              <w:rPr>
                <w:i/>
                <w:iCs/>
                <w:lang w:val="en-US"/>
              </w:rPr>
              <w:t>P</w:t>
            </w:r>
            <w:r>
              <w:rPr>
                <w:lang w:val="en-US"/>
              </w:rPr>
              <w:t> – 50)</w:t>
            </w:r>
          </w:p>
        </w:tc>
        <w:tc>
          <w:tcPr>
            <w:tcW w:w="2556" w:type="dxa"/>
            <w:tcBorders>
              <w:bottom w:val="single" w:sz="6" w:space="0" w:color="auto"/>
            </w:tcBorders>
          </w:tcPr>
          <w:p w:rsidR="0040081F" w:rsidRDefault="0040081F" w:rsidP="00E95CDC">
            <w:pPr>
              <w:pStyle w:val="Tabletext"/>
              <w:tabs>
                <w:tab w:val="clear" w:pos="851"/>
                <w:tab w:val="left" w:pos="845"/>
              </w:tabs>
              <w:rPr>
                <w:lang w:val="en-US"/>
              </w:rPr>
            </w:pPr>
            <w:r>
              <w:rPr>
                <w:szCs w:val="24"/>
                <w:lang w:val="en-US"/>
              </w:rPr>
              <w:tab/>
            </w:r>
            <w:r w:rsidR="00487E2E">
              <w:rPr>
                <w:szCs w:val="24"/>
                <w:lang w:val="en-US"/>
              </w:rPr>
              <w:tab/>
            </w:r>
            <w:r>
              <w:rPr>
                <w:szCs w:val="24"/>
                <w:lang w:val="en-US"/>
              </w:rPr>
              <w:t>50 </w:t>
            </w:r>
            <w:r>
              <w:rPr>
                <w:rFonts w:ascii="Symbol" w:hAnsi="Symbol"/>
                <w:szCs w:val="24"/>
                <w:lang w:val="en-US"/>
              </w:rPr>
              <w:sym w:font="Symbol" w:char="F0A3"/>
            </w:r>
            <w:r>
              <w:rPr>
                <w:szCs w:val="24"/>
                <w:lang w:val="en-US"/>
              </w:rPr>
              <w:tab/>
            </w:r>
            <w:r>
              <w:rPr>
                <w:i/>
                <w:iCs/>
                <w:szCs w:val="24"/>
                <w:lang w:val="en-US"/>
              </w:rPr>
              <w:t>P</w:t>
            </w:r>
          </w:p>
        </w:tc>
        <w:tc>
          <w:tcPr>
            <w:tcW w:w="3130" w:type="dxa"/>
            <w:tcBorders>
              <w:bottom w:val="single" w:sz="6" w:space="0" w:color="auto"/>
            </w:tcBorders>
          </w:tcPr>
          <w:p w:rsidR="0040081F" w:rsidRDefault="0040081F" w:rsidP="00487E2E">
            <w:pPr>
              <w:pStyle w:val="Tabletext"/>
              <w:jc w:val="center"/>
              <w:rPr>
                <w:lang w:val="en-US"/>
              </w:rPr>
            </w:pPr>
            <w:r>
              <w:rPr>
                <w:lang w:val="en-US"/>
              </w:rPr>
              <w:t>–5 dBm</w:t>
            </w:r>
          </w:p>
        </w:tc>
      </w:tr>
      <w:tr w:rsidR="0040081F" w:rsidRPr="00620821" w:rsidTr="00DC4EB6">
        <w:trPr>
          <w:jc w:val="center"/>
        </w:trPr>
        <w:tc>
          <w:tcPr>
            <w:tcW w:w="8529" w:type="dxa"/>
            <w:gridSpan w:val="3"/>
            <w:tcBorders>
              <w:left w:val="nil"/>
              <w:bottom w:val="nil"/>
              <w:right w:val="nil"/>
            </w:tcBorders>
          </w:tcPr>
          <w:p w:rsidR="0040081F" w:rsidRDefault="0040081F" w:rsidP="00E95CDC">
            <w:pPr>
              <w:pStyle w:val="Tablelegend"/>
              <w:rPr>
                <w:lang w:val="en-US"/>
              </w:rPr>
            </w:pPr>
            <w:r>
              <w:rPr>
                <w:position w:val="6"/>
                <w:sz w:val="18"/>
                <w:lang w:val="en-US"/>
              </w:rPr>
              <w:t>(1)</w:t>
            </w:r>
            <w:r>
              <w:rPr>
                <w:lang w:val="en-US"/>
              </w:rPr>
              <w:tab/>
              <w:t>The next-to-end point value is 8 dB higher than the end point value and all of these values are subject to an upper limit equal to –67.2 dB.</w:t>
            </w:r>
          </w:p>
        </w:tc>
      </w:tr>
    </w:tbl>
    <w:p w:rsidR="0040081F" w:rsidRDefault="0040081F" w:rsidP="0040081F">
      <w:pPr>
        <w:pStyle w:val="Tablefin"/>
        <w:rPr>
          <w:lang w:val="en-US"/>
        </w:rPr>
      </w:pPr>
    </w:p>
    <w:p w:rsidR="0040081F" w:rsidRDefault="0040081F" w:rsidP="00E95CDC">
      <w:pPr>
        <w:rPr>
          <w:lang w:val="en-US"/>
        </w:rPr>
      </w:pPr>
      <w:r>
        <w:rPr>
          <w:lang w:val="en-US"/>
        </w:rPr>
        <w:t>Table 16 provides break points corresponding to Fig. 2</w:t>
      </w:r>
      <w:r w:rsidR="00701FC2">
        <w:rPr>
          <w:lang w:val="en-US"/>
        </w:rPr>
        <w:t>3</w:t>
      </w:r>
      <w:r>
        <w:rPr>
          <w:lang w:val="en-US"/>
        </w:rPr>
        <w:t>, for 8 MHz DVB-T systems.</w:t>
      </w:r>
    </w:p>
    <w:p w:rsidR="00701FC2" w:rsidRPr="000D4195" w:rsidRDefault="00701FC2" w:rsidP="0040081F">
      <w:pPr>
        <w:pStyle w:val="FigureNo"/>
        <w:rPr>
          <w:lang w:val="en-US"/>
        </w:rPr>
      </w:pPr>
      <w:r w:rsidRPr="000D4195">
        <w:rPr>
          <w:lang w:val="en-US"/>
        </w:rPr>
        <w:lastRenderedPageBreak/>
        <w:t>FIGURE 23</w:t>
      </w:r>
    </w:p>
    <w:p w:rsidR="00701FC2" w:rsidRPr="000D4195" w:rsidRDefault="00701FC2" w:rsidP="00701FC2">
      <w:pPr>
        <w:pStyle w:val="Figuretitle"/>
        <w:rPr>
          <w:lang w:val="en-US"/>
        </w:rPr>
      </w:pPr>
      <w:r w:rsidRPr="000D4195">
        <w:rPr>
          <w:lang w:val="en-US"/>
        </w:rPr>
        <w:t xml:space="preserve">Spectrum limit mask for 8 MHz DVB-T (for </w:t>
      </w:r>
      <w:r w:rsidRPr="000D4195">
        <w:rPr>
          <w:i/>
          <w:iCs/>
          <w:lang w:val="en-US"/>
        </w:rPr>
        <w:t>P</w:t>
      </w:r>
      <w:r w:rsidRPr="000D4195">
        <w:rPr>
          <w:lang w:val="en-US"/>
        </w:rPr>
        <w:t xml:space="preserve"> = 39 to 50 dBW)</w:t>
      </w:r>
    </w:p>
    <w:p w:rsidR="00701FC2" w:rsidRPr="00701FC2" w:rsidRDefault="00273E2F" w:rsidP="00701FC2">
      <w:pPr>
        <w:pStyle w:val="Figure"/>
      </w:pPr>
      <w:r>
        <w:rPr>
          <w:noProof/>
          <w:lang w:val="en-US" w:eastAsia="zh-CN"/>
        </w:rPr>
        <w:drawing>
          <wp:inline distT="0" distB="0" distL="0" distR="0" wp14:anchorId="77D81EB6" wp14:editId="391F12FF">
            <wp:extent cx="5892800" cy="4965700"/>
            <wp:effectExtent l="0" t="0" r="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892800" cy="4965700"/>
                    </a:xfrm>
                    <a:prstGeom prst="rect">
                      <a:avLst/>
                    </a:prstGeom>
                    <a:noFill/>
                    <a:ln>
                      <a:noFill/>
                    </a:ln>
                  </pic:spPr>
                </pic:pic>
              </a:graphicData>
            </a:graphic>
          </wp:inline>
        </w:drawing>
      </w:r>
    </w:p>
    <w:p w:rsidR="0040081F" w:rsidRDefault="0040081F" w:rsidP="0040081F">
      <w:pPr>
        <w:pStyle w:val="TableNo"/>
        <w:rPr>
          <w:lang w:val="en-US"/>
        </w:rPr>
      </w:pPr>
      <w:r>
        <w:rPr>
          <w:lang w:val="en-US"/>
        </w:rPr>
        <w:t>TABLE  16</w:t>
      </w:r>
    </w:p>
    <w:p w:rsidR="0040081F" w:rsidRDefault="0040081F" w:rsidP="0040081F">
      <w:pPr>
        <w:pStyle w:val="Tabletitle"/>
        <w:rPr>
          <w:lang w:val="en-US"/>
        </w:rPr>
      </w:pPr>
      <w:r>
        <w:rPr>
          <w:lang w:val="en-US"/>
        </w:rPr>
        <w:t>Break points for 8 MHz DVB-T systems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40081F" w:rsidRPr="00620821" w:rsidTr="00DC4EB6">
        <w:trPr>
          <w:jc w:val="center"/>
        </w:trPr>
        <w:tc>
          <w:tcPr>
            <w:tcW w:w="4264" w:type="dxa"/>
            <w:vAlign w:val="center"/>
          </w:tcPr>
          <w:p w:rsidR="0040081F" w:rsidRDefault="0040081F" w:rsidP="00701FC2">
            <w:pPr>
              <w:pStyle w:val="Tablehead"/>
              <w:rPr>
                <w:lang w:val="en-US"/>
              </w:rPr>
            </w:pPr>
            <w:r>
              <w:rPr>
                <w:lang w:val="en-US"/>
              </w:rPr>
              <w:t>Frequency relative to the centre of the 8 MHz channel</w:t>
            </w:r>
          </w:p>
        </w:tc>
        <w:tc>
          <w:tcPr>
            <w:tcW w:w="4264" w:type="dxa"/>
            <w:vAlign w:val="center"/>
          </w:tcPr>
          <w:p w:rsidR="0040081F" w:rsidRDefault="0040081F" w:rsidP="00701FC2">
            <w:pPr>
              <w:pStyle w:val="Tablehead"/>
              <w:rPr>
                <w:lang w:val="en-US"/>
              </w:rPr>
            </w:pPr>
            <w:r>
              <w:rPr>
                <w:lang w:val="en-US"/>
              </w:rPr>
              <w:t>Relative level in 4 kHz measurement bandwidth</w:t>
            </w:r>
            <w:r>
              <w:rPr>
                <w:lang w:val="en-US"/>
              </w:rPr>
              <w:br/>
              <w:t>(dB)</w:t>
            </w:r>
          </w:p>
        </w:tc>
      </w:tr>
      <w:tr w:rsidR="0040081F" w:rsidTr="00DC4EB6">
        <w:trPr>
          <w:jc w:val="center"/>
        </w:trPr>
        <w:tc>
          <w:tcPr>
            <w:tcW w:w="4264" w:type="dxa"/>
          </w:tcPr>
          <w:p w:rsidR="0040081F" w:rsidRDefault="0040081F" w:rsidP="00111811">
            <w:pPr>
              <w:pStyle w:val="Tabletext"/>
              <w:jc w:val="center"/>
              <w:rPr>
                <w:lang w:val="en-US"/>
              </w:rPr>
            </w:pPr>
            <w:r>
              <w:rPr>
                <w:lang w:val="en-US"/>
              </w:rPr>
              <w:t>–20</w:t>
            </w:r>
          </w:p>
        </w:tc>
        <w:tc>
          <w:tcPr>
            <w:tcW w:w="4264" w:type="dxa"/>
          </w:tcPr>
          <w:p w:rsidR="0040081F" w:rsidRDefault="0040081F" w:rsidP="00111811">
            <w:pPr>
              <w:pStyle w:val="Tabletext"/>
              <w:jc w:val="center"/>
              <w:rPr>
                <w:lang w:val="en-US"/>
              </w:rPr>
            </w:pPr>
            <w:r>
              <w:rPr>
                <w:lang w:val="en-US"/>
              </w:rPr>
              <w:t>–99</w:t>
            </w:r>
          </w:p>
        </w:tc>
      </w:tr>
      <w:tr w:rsidR="0040081F" w:rsidTr="00DC4EB6">
        <w:trPr>
          <w:jc w:val="center"/>
        </w:trPr>
        <w:tc>
          <w:tcPr>
            <w:tcW w:w="4264" w:type="dxa"/>
          </w:tcPr>
          <w:p w:rsidR="0040081F" w:rsidRDefault="0040081F" w:rsidP="00111811">
            <w:pPr>
              <w:pStyle w:val="Tabletext"/>
              <w:jc w:val="center"/>
              <w:rPr>
                <w:lang w:val="en-US"/>
              </w:rPr>
            </w:pPr>
            <w:r>
              <w:rPr>
                <w:lang w:val="en-US"/>
              </w:rPr>
              <w:t>–12</w:t>
            </w:r>
          </w:p>
        </w:tc>
        <w:tc>
          <w:tcPr>
            <w:tcW w:w="4264" w:type="dxa"/>
          </w:tcPr>
          <w:p w:rsidR="0040081F" w:rsidRDefault="0040081F" w:rsidP="00111811">
            <w:pPr>
              <w:pStyle w:val="Tabletext"/>
              <w:jc w:val="center"/>
              <w:rPr>
                <w:lang w:val="en-US"/>
              </w:rPr>
            </w:pPr>
            <w:r>
              <w:rPr>
                <w:lang w:val="en-US"/>
              </w:rPr>
              <w:t>–91</w:t>
            </w:r>
          </w:p>
        </w:tc>
      </w:tr>
      <w:tr w:rsidR="0040081F" w:rsidTr="00DC4EB6">
        <w:trPr>
          <w:jc w:val="center"/>
        </w:trPr>
        <w:tc>
          <w:tcPr>
            <w:tcW w:w="4264" w:type="dxa"/>
          </w:tcPr>
          <w:p w:rsidR="0040081F" w:rsidRDefault="0040081F" w:rsidP="00111811">
            <w:pPr>
              <w:pStyle w:val="Tabletext"/>
              <w:jc w:val="center"/>
              <w:rPr>
                <w:lang w:val="en-US"/>
              </w:rPr>
            </w:pPr>
            <w:r>
              <w:rPr>
                <w:lang w:val="en-US"/>
              </w:rPr>
              <w:t>–4.2</w:t>
            </w:r>
          </w:p>
        </w:tc>
        <w:tc>
          <w:tcPr>
            <w:tcW w:w="4264" w:type="dxa"/>
          </w:tcPr>
          <w:p w:rsidR="0040081F" w:rsidRDefault="0040081F" w:rsidP="00111811">
            <w:pPr>
              <w:pStyle w:val="Tabletext"/>
              <w:jc w:val="center"/>
              <w:rPr>
                <w:lang w:val="en-US"/>
              </w:rPr>
            </w:pPr>
            <w:r>
              <w:rPr>
                <w:lang w:val="en-US"/>
              </w:rPr>
              <w:t>–67.8</w:t>
            </w:r>
          </w:p>
        </w:tc>
      </w:tr>
      <w:tr w:rsidR="0040081F" w:rsidTr="00DC4EB6">
        <w:trPr>
          <w:jc w:val="center"/>
        </w:trPr>
        <w:tc>
          <w:tcPr>
            <w:tcW w:w="4264" w:type="dxa"/>
          </w:tcPr>
          <w:p w:rsidR="0040081F" w:rsidRDefault="0040081F" w:rsidP="00111811">
            <w:pPr>
              <w:pStyle w:val="Tabletext"/>
              <w:jc w:val="center"/>
              <w:rPr>
                <w:lang w:val="en-US"/>
              </w:rPr>
            </w:pPr>
            <w:r>
              <w:rPr>
                <w:lang w:val="en-US"/>
              </w:rPr>
              <w:t>–3.81</w:t>
            </w:r>
          </w:p>
        </w:tc>
        <w:tc>
          <w:tcPr>
            <w:tcW w:w="4264" w:type="dxa"/>
          </w:tcPr>
          <w:p w:rsidR="0040081F" w:rsidRDefault="0040081F" w:rsidP="00111811">
            <w:pPr>
              <w:pStyle w:val="Tabletext"/>
              <w:jc w:val="center"/>
              <w:rPr>
                <w:lang w:val="en-US"/>
              </w:rPr>
            </w:pPr>
            <w:r>
              <w:rPr>
                <w:lang w:val="en-US"/>
              </w:rPr>
              <w:t>–32.8</w:t>
            </w:r>
          </w:p>
        </w:tc>
      </w:tr>
      <w:tr w:rsidR="0040081F" w:rsidTr="00DC4EB6">
        <w:trPr>
          <w:jc w:val="center"/>
        </w:trPr>
        <w:tc>
          <w:tcPr>
            <w:tcW w:w="4264" w:type="dxa"/>
          </w:tcPr>
          <w:p w:rsidR="0040081F" w:rsidRDefault="0040081F" w:rsidP="00111811">
            <w:pPr>
              <w:pStyle w:val="Tabletext"/>
              <w:jc w:val="center"/>
              <w:rPr>
                <w:lang w:val="en-US"/>
              </w:rPr>
            </w:pPr>
            <w:r>
              <w:rPr>
                <w:lang w:val="en-US"/>
              </w:rPr>
              <w:t>3.81</w:t>
            </w:r>
          </w:p>
        </w:tc>
        <w:tc>
          <w:tcPr>
            <w:tcW w:w="4264" w:type="dxa"/>
          </w:tcPr>
          <w:p w:rsidR="0040081F" w:rsidRDefault="0040081F" w:rsidP="00111811">
            <w:pPr>
              <w:pStyle w:val="Tabletext"/>
              <w:jc w:val="center"/>
              <w:rPr>
                <w:lang w:val="en-US"/>
              </w:rPr>
            </w:pPr>
            <w:r>
              <w:rPr>
                <w:lang w:val="en-US"/>
              </w:rPr>
              <w:t>–32.8</w:t>
            </w:r>
          </w:p>
        </w:tc>
      </w:tr>
      <w:tr w:rsidR="0040081F" w:rsidTr="00DC4EB6">
        <w:trPr>
          <w:jc w:val="center"/>
        </w:trPr>
        <w:tc>
          <w:tcPr>
            <w:tcW w:w="4264" w:type="dxa"/>
          </w:tcPr>
          <w:p w:rsidR="0040081F" w:rsidRDefault="0040081F" w:rsidP="00111811">
            <w:pPr>
              <w:pStyle w:val="Tabletext"/>
              <w:jc w:val="center"/>
              <w:rPr>
                <w:lang w:val="en-US"/>
              </w:rPr>
            </w:pPr>
            <w:r>
              <w:rPr>
                <w:lang w:val="en-US"/>
              </w:rPr>
              <w:t>4.2</w:t>
            </w:r>
          </w:p>
        </w:tc>
        <w:tc>
          <w:tcPr>
            <w:tcW w:w="4264" w:type="dxa"/>
          </w:tcPr>
          <w:p w:rsidR="0040081F" w:rsidRDefault="0040081F" w:rsidP="00111811">
            <w:pPr>
              <w:pStyle w:val="Tabletext"/>
              <w:jc w:val="center"/>
              <w:rPr>
                <w:lang w:val="en-US"/>
              </w:rPr>
            </w:pPr>
            <w:r>
              <w:rPr>
                <w:lang w:val="en-US"/>
              </w:rPr>
              <w:t>–67.8</w:t>
            </w:r>
          </w:p>
        </w:tc>
      </w:tr>
      <w:tr w:rsidR="0040081F" w:rsidTr="00DC4EB6">
        <w:trPr>
          <w:jc w:val="center"/>
        </w:trPr>
        <w:tc>
          <w:tcPr>
            <w:tcW w:w="4264" w:type="dxa"/>
          </w:tcPr>
          <w:p w:rsidR="0040081F" w:rsidRDefault="0040081F" w:rsidP="00111811">
            <w:pPr>
              <w:pStyle w:val="Tabletext"/>
              <w:jc w:val="center"/>
              <w:rPr>
                <w:lang w:val="en-US"/>
              </w:rPr>
            </w:pPr>
            <w:r>
              <w:rPr>
                <w:lang w:val="en-US"/>
              </w:rPr>
              <w:t>12</w:t>
            </w:r>
          </w:p>
        </w:tc>
        <w:tc>
          <w:tcPr>
            <w:tcW w:w="4264" w:type="dxa"/>
          </w:tcPr>
          <w:p w:rsidR="0040081F" w:rsidRDefault="0040081F" w:rsidP="00111811">
            <w:pPr>
              <w:pStyle w:val="Tabletext"/>
              <w:jc w:val="center"/>
              <w:rPr>
                <w:lang w:val="en-US"/>
              </w:rPr>
            </w:pPr>
            <w:r>
              <w:rPr>
                <w:lang w:val="en-US"/>
              </w:rPr>
              <w:t>–91</w:t>
            </w:r>
          </w:p>
        </w:tc>
      </w:tr>
      <w:tr w:rsidR="0040081F" w:rsidTr="00DC4EB6">
        <w:trPr>
          <w:jc w:val="center"/>
        </w:trPr>
        <w:tc>
          <w:tcPr>
            <w:tcW w:w="4264" w:type="dxa"/>
          </w:tcPr>
          <w:p w:rsidR="0040081F" w:rsidRDefault="0040081F" w:rsidP="00111811">
            <w:pPr>
              <w:pStyle w:val="Tabletext"/>
              <w:jc w:val="center"/>
              <w:rPr>
                <w:lang w:val="en-US"/>
              </w:rPr>
            </w:pPr>
            <w:r>
              <w:rPr>
                <w:lang w:val="en-US"/>
              </w:rPr>
              <w:t>20</w:t>
            </w:r>
          </w:p>
        </w:tc>
        <w:tc>
          <w:tcPr>
            <w:tcW w:w="4264" w:type="dxa"/>
          </w:tcPr>
          <w:p w:rsidR="0040081F" w:rsidRDefault="0040081F" w:rsidP="00111811">
            <w:pPr>
              <w:pStyle w:val="Tabletext"/>
              <w:jc w:val="center"/>
              <w:rPr>
                <w:lang w:val="en-US"/>
              </w:rPr>
            </w:pPr>
            <w:r>
              <w:rPr>
                <w:lang w:val="en-US"/>
              </w:rPr>
              <w:t>–99</w:t>
            </w:r>
          </w:p>
        </w:tc>
      </w:tr>
    </w:tbl>
    <w:p w:rsidR="0040081F" w:rsidRPr="00807481" w:rsidRDefault="0040081F" w:rsidP="0040081F">
      <w:pPr>
        <w:pStyle w:val="Tablefin"/>
        <w:rPr>
          <w:sz w:val="2"/>
        </w:rPr>
      </w:pPr>
    </w:p>
    <w:p w:rsidR="0040081F" w:rsidRDefault="0040081F" w:rsidP="00701FC2">
      <w:pPr>
        <w:rPr>
          <w:lang w:val="en-US"/>
        </w:rPr>
      </w:pPr>
      <w:r>
        <w:rPr>
          <w:lang w:val="en-US"/>
        </w:rPr>
        <w:lastRenderedPageBreak/>
        <w:t>Table 17 provides end point value and next-to-end point values to be used in conjunction with Fig. 2</w:t>
      </w:r>
      <w:r w:rsidR="00701FC2">
        <w:rPr>
          <w:lang w:val="en-US"/>
        </w:rPr>
        <w:t>3</w:t>
      </w:r>
      <w:r>
        <w:rPr>
          <w:lang w:val="en-US"/>
        </w:rPr>
        <w:t xml:space="preserve"> and Table 16, applicable to a range of transmitter output powers, for 8 MHz DVB</w:t>
      </w:r>
      <w:r>
        <w:rPr>
          <w:lang w:val="en-US"/>
        </w:rPr>
        <w:noBreakHyphen/>
        <w:t>T systems.</w:t>
      </w:r>
    </w:p>
    <w:p w:rsidR="0040081F" w:rsidRDefault="0040081F" w:rsidP="00E95CDC">
      <w:pPr>
        <w:rPr>
          <w:lang w:val="en-US"/>
        </w:rPr>
      </w:pPr>
    </w:p>
    <w:p w:rsidR="0040081F" w:rsidRDefault="0040081F" w:rsidP="0040081F">
      <w:pPr>
        <w:pStyle w:val="TableNo"/>
        <w:rPr>
          <w:lang w:val="en-US"/>
        </w:rPr>
      </w:pPr>
      <w:r>
        <w:rPr>
          <w:lang w:val="en-US"/>
        </w:rPr>
        <w:t>TABLE  17</w:t>
      </w:r>
    </w:p>
    <w:p w:rsidR="0040081F" w:rsidRDefault="0040081F" w:rsidP="0040081F">
      <w:pPr>
        <w:pStyle w:val="Tabletitle"/>
        <w:rPr>
          <w:lang w:val="en-US"/>
        </w:rPr>
      </w:pPr>
      <w:r>
        <w:rPr>
          <w:lang w:val="en-US"/>
        </w:rPr>
        <w:t>End point value and next-to-end point values for 8 MHz DVB-T systems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698"/>
        <w:gridCol w:w="2988"/>
      </w:tblGrid>
      <w:tr w:rsidR="0040081F" w:rsidRPr="00620821" w:rsidTr="00727401">
        <w:trPr>
          <w:jc w:val="center"/>
        </w:trPr>
        <w:tc>
          <w:tcPr>
            <w:tcW w:w="2843" w:type="dxa"/>
            <w:vAlign w:val="center"/>
          </w:tcPr>
          <w:p w:rsidR="0040081F" w:rsidRDefault="0040081F" w:rsidP="00701FC2">
            <w:pPr>
              <w:pStyle w:val="Tablehead"/>
              <w:rPr>
                <w:lang w:val="en-US"/>
              </w:rPr>
            </w:pPr>
            <w:r>
              <w:rPr>
                <w:lang w:val="en-US"/>
              </w:rPr>
              <w:t>End point value</w:t>
            </w:r>
            <w:r>
              <w:rPr>
                <w:position w:val="6"/>
                <w:sz w:val="18"/>
                <w:lang w:val="en-US"/>
              </w:rPr>
              <w:t>(1)</w:t>
            </w:r>
            <w:r>
              <w:rPr>
                <w:lang w:val="en-US"/>
              </w:rPr>
              <w:br/>
              <w:t>(4 kHz measurement bandwidth)</w:t>
            </w:r>
            <w:r>
              <w:rPr>
                <w:lang w:val="en-US"/>
              </w:rPr>
              <w:br/>
              <w:t>(dB)</w:t>
            </w:r>
          </w:p>
        </w:tc>
        <w:tc>
          <w:tcPr>
            <w:tcW w:w="2698" w:type="dxa"/>
            <w:vAlign w:val="center"/>
          </w:tcPr>
          <w:p w:rsidR="0040081F" w:rsidRDefault="0040081F" w:rsidP="00701FC2">
            <w:pPr>
              <w:pStyle w:val="Tablehead"/>
              <w:rPr>
                <w:lang w:val="en-US"/>
              </w:rPr>
            </w:pPr>
            <w:r>
              <w:rPr>
                <w:lang w:val="en-US"/>
              </w:rPr>
              <w:t>Power range</w:t>
            </w:r>
            <w:r>
              <w:rPr>
                <w:lang w:val="en-US"/>
              </w:rPr>
              <w:br/>
              <w:t>(dBW)</w:t>
            </w:r>
          </w:p>
        </w:tc>
        <w:tc>
          <w:tcPr>
            <w:tcW w:w="2988" w:type="dxa"/>
            <w:vAlign w:val="center"/>
          </w:tcPr>
          <w:p w:rsidR="0040081F" w:rsidRDefault="0040081F" w:rsidP="00701FC2">
            <w:pPr>
              <w:pStyle w:val="Tablehead"/>
              <w:rPr>
                <w:lang w:val="en-US"/>
              </w:rPr>
            </w:pPr>
            <w:r>
              <w:rPr>
                <w:lang w:val="en-US"/>
              </w:rPr>
              <w:t>Corresponding spurious level (100 kHz measurement bandwidth)</w:t>
            </w:r>
          </w:p>
        </w:tc>
      </w:tr>
      <w:tr w:rsidR="0040081F" w:rsidTr="00727401">
        <w:trPr>
          <w:jc w:val="center"/>
        </w:trPr>
        <w:tc>
          <w:tcPr>
            <w:tcW w:w="2843" w:type="dxa"/>
          </w:tcPr>
          <w:p w:rsidR="0040081F" w:rsidRDefault="0040081F" w:rsidP="00111811">
            <w:pPr>
              <w:pStyle w:val="Tabletext"/>
              <w:jc w:val="center"/>
              <w:rPr>
                <w:lang w:val="en-US"/>
              </w:rPr>
            </w:pPr>
            <w:r>
              <w:rPr>
                <w:lang w:val="en-US"/>
              </w:rPr>
              <w:t>–89 – (</w:t>
            </w:r>
            <w:r>
              <w:rPr>
                <w:i/>
                <w:iCs/>
                <w:lang w:val="en-US"/>
              </w:rPr>
              <w:t>P</w:t>
            </w:r>
            <w:r>
              <w:rPr>
                <w:lang w:val="en-US"/>
              </w:rPr>
              <w:t> – 9)</w:t>
            </w:r>
          </w:p>
        </w:tc>
        <w:tc>
          <w:tcPr>
            <w:tcW w:w="2698" w:type="dxa"/>
          </w:tcPr>
          <w:p w:rsidR="0040081F" w:rsidRDefault="00111811" w:rsidP="00E95CDC">
            <w:pPr>
              <w:pStyle w:val="Tabletext"/>
              <w:rPr>
                <w:lang w:val="en-US"/>
              </w:rPr>
            </w:pPr>
            <w:r>
              <w:rPr>
                <w:i/>
                <w:iCs/>
                <w:szCs w:val="24"/>
                <w:lang w:val="en-US"/>
              </w:rPr>
              <w:tab/>
            </w:r>
            <w:r w:rsidR="0040081F">
              <w:rPr>
                <w:i/>
                <w:iCs/>
                <w:szCs w:val="24"/>
                <w:lang w:val="en-US"/>
              </w:rPr>
              <w:tab/>
            </w:r>
            <w:r>
              <w:rPr>
                <w:i/>
                <w:iCs/>
                <w:szCs w:val="24"/>
                <w:lang w:val="en-US"/>
              </w:rPr>
              <w:tab/>
            </w:r>
            <w:r w:rsidR="0040081F">
              <w:rPr>
                <w:i/>
                <w:iCs/>
                <w:szCs w:val="24"/>
                <w:lang w:val="en-US"/>
              </w:rPr>
              <w:tab/>
              <w:t>P</w:t>
            </w:r>
            <w:r w:rsidR="0040081F">
              <w:rPr>
                <w:szCs w:val="24"/>
                <w:lang w:val="en-US"/>
              </w:rPr>
              <w:t> </w:t>
            </w:r>
            <w:r w:rsidR="0040081F">
              <w:rPr>
                <w:rFonts w:ascii="Symbol" w:hAnsi="Symbol"/>
              </w:rPr>
              <w:sym w:font="Symbol" w:char="F0A3"/>
            </w:r>
            <w:r w:rsidR="0040081F">
              <w:rPr>
                <w:szCs w:val="24"/>
                <w:lang w:val="en-US"/>
              </w:rPr>
              <w:t> 9</w:t>
            </w:r>
          </w:p>
        </w:tc>
        <w:tc>
          <w:tcPr>
            <w:tcW w:w="2988" w:type="dxa"/>
          </w:tcPr>
          <w:p w:rsidR="0040081F" w:rsidRDefault="0040081F" w:rsidP="00111811">
            <w:pPr>
              <w:pStyle w:val="Tabletext"/>
              <w:jc w:val="center"/>
              <w:rPr>
                <w:lang w:val="en-US"/>
              </w:rPr>
            </w:pPr>
            <w:r>
              <w:rPr>
                <w:lang w:val="en-US"/>
              </w:rPr>
              <w:t>–36 dBm</w:t>
            </w:r>
          </w:p>
        </w:tc>
      </w:tr>
      <w:tr w:rsidR="0040081F" w:rsidTr="00727401">
        <w:trPr>
          <w:jc w:val="center"/>
        </w:trPr>
        <w:tc>
          <w:tcPr>
            <w:tcW w:w="2843" w:type="dxa"/>
          </w:tcPr>
          <w:p w:rsidR="0040081F" w:rsidRDefault="0040081F" w:rsidP="00111811">
            <w:pPr>
              <w:pStyle w:val="Tabletext"/>
              <w:jc w:val="center"/>
              <w:rPr>
                <w:lang w:val="en-US"/>
              </w:rPr>
            </w:pPr>
            <w:r>
              <w:rPr>
                <w:lang w:val="en-US"/>
              </w:rPr>
              <w:t>–89</w:t>
            </w:r>
          </w:p>
        </w:tc>
        <w:tc>
          <w:tcPr>
            <w:tcW w:w="2698" w:type="dxa"/>
          </w:tcPr>
          <w:p w:rsidR="0040081F" w:rsidRDefault="0040081F" w:rsidP="00E95CDC">
            <w:pPr>
              <w:pStyle w:val="Tabletext"/>
              <w:rPr>
                <w:lang w:val="en-US"/>
              </w:rPr>
            </w:pPr>
            <w:r>
              <w:rPr>
                <w:szCs w:val="24"/>
                <w:lang w:val="en-US"/>
              </w:rPr>
              <w:tab/>
            </w:r>
            <w:r w:rsidR="00111811">
              <w:rPr>
                <w:szCs w:val="24"/>
                <w:lang w:val="en-US"/>
              </w:rPr>
              <w:tab/>
            </w:r>
            <w:r>
              <w:rPr>
                <w:szCs w:val="24"/>
                <w:lang w:val="en-US"/>
              </w:rPr>
              <w:t>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2988" w:type="dxa"/>
          </w:tcPr>
          <w:p w:rsidR="0040081F" w:rsidRDefault="0040081F" w:rsidP="00111811">
            <w:pPr>
              <w:pStyle w:val="Tabletext"/>
              <w:jc w:val="center"/>
              <w:rPr>
                <w:lang w:val="en-US"/>
              </w:rPr>
            </w:pPr>
            <w:r>
              <w:rPr>
                <w:lang w:val="en-US"/>
              </w:rPr>
              <w:t>75 dBc</w:t>
            </w:r>
          </w:p>
        </w:tc>
      </w:tr>
      <w:tr w:rsidR="0040081F" w:rsidTr="00727401">
        <w:trPr>
          <w:jc w:val="center"/>
        </w:trPr>
        <w:tc>
          <w:tcPr>
            <w:tcW w:w="2843" w:type="dxa"/>
          </w:tcPr>
          <w:p w:rsidR="0040081F" w:rsidRDefault="0040081F" w:rsidP="00111811">
            <w:pPr>
              <w:pStyle w:val="Tabletext"/>
              <w:jc w:val="center"/>
              <w:rPr>
                <w:lang w:val="en-US"/>
              </w:rPr>
            </w:pPr>
            <w:r>
              <w:rPr>
                <w:lang w:val="en-US"/>
              </w:rPr>
              <w:t>–89 – (</w:t>
            </w:r>
            <w:r>
              <w:rPr>
                <w:i/>
                <w:iCs/>
                <w:lang w:val="en-US"/>
              </w:rPr>
              <w:t>P</w:t>
            </w:r>
            <w:r>
              <w:rPr>
                <w:lang w:val="en-US"/>
              </w:rPr>
              <w:t> – 29)</w:t>
            </w:r>
          </w:p>
        </w:tc>
        <w:tc>
          <w:tcPr>
            <w:tcW w:w="2698" w:type="dxa"/>
          </w:tcPr>
          <w:p w:rsidR="0040081F" w:rsidRDefault="00111811" w:rsidP="00E95CDC">
            <w:pPr>
              <w:pStyle w:val="Tabletext"/>
              <w:tabs>
                <w:tab w:val="clear" w:pos="851"/>
                <w:tab w:val="left" w:pos="845"/>
              </w:tabs>
              <w:rPr>
                <w:lang w:val="en-US"/>
              </w:rPr>
            </w:pPr>
            <w:r>
              <w:rPr>
                <w:szCs w:val="24"/>
                <w:lang w:val="en-US"/>
              </w:rPr>
              <w:tab/>
            </w:r>
            <w:r w:rsidR="0040081F">
              <w:rPr>
                <w:szCs w:val="24"/>
                <w:lang w:val="en-US"/>
              </w:rPr>
              <w:tab/>
              <w:t>29 </w:t>
            </w:r>
            <w:r w:rsidR="0040081F">
              <w:rPr>
                <w:rFonts w:ascii="Symbol" w:hAnsi="Symbol"/>
                <w:szCs w:val="24"/>
                <w:lang w:val="en-US"/>
              </w:rPr>
              <w:t></w:t>
            </w:r>
            <w:r w:rsidR="0040081F">
              <w:rPr>
                <w:szCs w:val="24"/>
                <w:lang w:val="en-US"/>
              </w:rPr>
              <w:tab/>
            </w:r>
            <w:r w:rsidR="0040081F">
              <w:rPr>
                <w:i/>
                <w:iCs/>
                <w:szCs w:val="24"/>
                <w:lang w:val="en-US"/>
              </w:rPr>
              <w:t>P</w:t>
            </w:r>
            <w:r w:rsidR="0040081F">
              <w:rPr>
                <w:szCs w:val="24"/>
                <w:lang w:val="en-US"/>
              </w:rPr>
              <w:t> </w:t>
            </w:r>
            <w:r w:rsidR="0040081F">
              <w:rPr>
                <w:rFonts w:ascii="Symbol" w:hAnsi="Symbol"/>
              </w:rPr>
              <w:sym w:font="Symbol" w:char="F0A3"/>
            </w:r>
            <w:r w:rsidR="0040081F">
              <w:rPr>
                <w:szCs w:val="24"/>
                <w:lang w:val="en-US"/>
              </w:rPr>
              <w:t> 39</w:t>
            </w:r>
          </w:p>
        </w:tc>
        <w:tc>
          <w:tcPr>
            <w:tcW w:w="2988" w:type="dxa"/>
          </w:tcPr>
          <w:p w:rsidR="0040081F" w:rsidRDefault="0040081F" w:rsidP="00111811">
            <w:pPr>
              <w:pStyle w:val="Tabletext"/>
              <w:jc w:val="center"/>
              <w:rPr>
                <w:lang w:val="en-US"/>
              </w:rPr>
            </w:pPr>
            <w:r>
              <w:rPr>
                <w:lang w:val="en-US"/>
              </w:rPr>
              <w:t>–16 dBm</w:t>
            </w:r>
          </w:p>
        </w:tc>
      </w:tr>
      <w:tr w:rsidR="0040081F" w:rsidTr="00727401">
        <w:trPr>
          <w:jc w:val="center"/>
        </w:trPr>
        <w:tc>
          <w:tcPr>
            <w:tcW w:w="2843" w:type="dxa"/>
          </w:tcPr>
          <w:p w:rsidR="0040081F" w:rsidRDefault="0040081F" w:rsidP="00111811">
            <w:pPr>
              <w:pStyle w:val="Tabletext"/>
              <w:jc w:val="center"/>
              <w:rPr>
                <w:lang w:val="en-US"/>
              </w:rPr>
            </w:pPr>
            <w:r>
              <w:rPr>
                <w:lang w:val="en-US"/>
              </w:rPr>
              <w:t>–99</w:t>
            </w:r>
          </w:p>
        </w:tc>
        <w:tc>
          <w:tcPr>
            <w:tcW w:w="2698" w:type="dxa"/>
          </w:tcPr>
          <w:p w:rsidR="0040081F" w:rsidRDefault="0040081F" w:rsidP="00E95CDC">
            <w:pPr>
              <w:pStyle w:val="Tabletext"/>
              <w:tabs>
                <w:tab w:val="clear" w:pos="851"/>
                <w:tab w:val="left" w:pos="845"/>
              </w:tabs>
              <w:rPr>
                <w:lang w:val="en-US"/>
              </w:rPr>
            </w:pPr>
            <w:r>
              <w:rPr>
                <w:szCs w:val="24"/>
                <w:lang w:val="en-US"/>
              </w:rPr>
              <w:tab/>
            </w:r>
            <w:r w:rsidR="00111811">
              <w:rPr>
                <w:szCs w:val="24"/>
                <w:lang w:val="en-US"/>
              </w:rPr>
              <w:tab/>
            </w:r>
            <w:r>
              <w:rPr>
                <w:szCs w:val="24"/>
                <w:lang w:val="en-US"/>
              </w:rPr>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2988" w:type="dxa"/>
          </w:tcPr>
          <w:p w:rsidR="0040081F" w:rsidRDefault="0040081F" w:rsidP="00111811">
            <w:pPr>
              <w:pStyle w:val="Tabletext"/>
              <w:jc w:val="center"/>
              <w:rPr>
                <w:lang w:val="en-US"/>
              </w:rPr>
            </w:pPr>
            <w:r>
              <w:rPr>
                <w:lang w:val="en-US"/>
              </w:rPr>
              <w:t>85 dBc</w:t>
            </w:r>
          </w:p>
        </w:tc>
      </w:tr>
      <w:tr w:rsidR="0040081F" w:rsidTr="00727401">
        <w:trPr>
          <w:jc w:val="center"/>
        </w:trPr>
        <w:tc>
          <w:tcPr>
            <w:tcW w:w="2843" w:type="dxa"/>
            <w:tcBorders>
              <w:bottom w:val="single" w:sz="6" w:space="0" w:color="auto"/>
            </w:tcBorders>
          </w:tcPr>
          <w:p w:rsidR="0040081F" w:rsidRDefault="0040081F" w:rsidP="00111811">
            <w:pPr>
              <w:pStyle w:val="Tabletext"/>
              <w:jc w:val="center"/>
              <w:rPr>
                <w:lang w:val="en-US"/>
              </w:rPr>
            </w:pPr>
            <w:r>
              <w:rPr>
                <w:lang w:val="en-US"/>
              </w:rPr>
              <w:t>–99 – (</w:t>
            </w:r>
            <w:r>
              <w:rPr>
                <w:i/>
                <w:iCs/>
                <w:lang w:val="en-US"/>
              </w:rPr>
              <w:t>P</w:t>
            </w:r>
            <w:r>
              <w:rPr>
                <w:lang w:val="en-US"/>
              </w:rPr>
              <w:t> – 50)</w:t>
            </w:r>
          </w:p>
        </w:tc>
        <w:tc>
          <w:tcPr>
            <w:tcW w:w="2698" w:type="dxa"/>
            <w:tcBorders>
              <w:bottom w:val="single" w:sz="6" w:space="0" w:color="auto"/>
            </w:tcBorders>
          </w:tcPr>
          <w:p w:rsidR="0040081F" w:rsidRDefault="00111811" w:rsidP="00E95CDC">
            <w:pPr>
              <w:pStyle w:val="Tabletext"/>
              <w:tabs>
                <w:tab w:val="clear" w:pos="851"/>
                <w:tab w:val="left" w:pos="845"/>
              </w:tabs>
              <w:rPr>
                <w:lang w:val="en-US"/>
              </w:rPr>
            </w:pPr>
            <w:r>
              <w:rPr>
                <w:szCs w:val="24"/>
                <w:lang w:val="en-US"/>
              </w:rPr>
              <w:tab/>
            </w:r>
            <w:r w:rsidR="0040081F">
              <w:rPr>
                <w:szCs w:val="24"/>
                <w:lang w:val="en-US"/>
              </w:rPr>
              <w:tab/>
              <w:t>50 </w:t>
            </w:r>
            <w:r w:rsidR="0040081F">
              <w:rPr>
                <w:rFonts w:ascii="Symbol" w:hAnsi="Symbol"/>
                <w:szCs w:val="24"/>
                <w:lang w:val="en-US"/>
              </w:rPr>
              <w:sym w:font="Symbol" w:char="F0A3"/>
            </w:r>
            <w:r w:rsidR="0040081F">
              <w:rPr>
                <w:szCs w:val="24"/>
                <w:lang w:val="en-US"/>
              </w:rPr>
              <w:tab/>
            </w:r>
            <w:r w:rsidR="0040081F">
              <w:rPr>
                <w:i/>
                <w:iCs/>
                <w:szCs w:val="24"/>
                <w:lang w:val="en-US"/>
              </w:rPr>
              <w:t>P</w:t>
            </w:r>
          </w:p>
        </w:tc>
        <w:tc>
          <w:tcPr>
            <w:tcW w:w="2988" w:type="dxa"/>
            <w:tcBorders>
              <w:bottom w:val="single" w:sz="6" w:space="0" w:color="auto"/>
            </w:tcBorders>
          </w:tcPr>
          <w:p w:rsidR="0040081F" w:rsidRDefault="0040081F" w:rsidP="00111811">
            <w:pPr>
              <w:pStyle w:val="Tabletext"/>
              <w:jc w:val="center"/>
              <w:rPr>
                <w:lang w:val="en-US"/>
              </w:rPr>
            </w:pPr>
            <w:r>
              <w:rPr>
                <w:lang w:val="en-US"/>
              </w:rPr>
              <w:t>–5 dBm</w:t>
            </w:r>
          </w:p>
        </w:tc>
      </w:tr>
      <w:tr w:rsidR="0040081F" w:rsidRPr="00620821" w:rsidTr="00DC4EB6">
        <w:trPr>
          <w:jc w:val="center"/>
        </w:trPr>
        <w:tc>
          <w:tcPr>
            <w:tcW w:w="8529" w:type="dxa"/>
            <w:gridSpan w:val="3"/>
            <w:tcBorders>
              <w:left w:val="nil"/>
              <w:bottom w:val="nil"/>
              <w:right w:val="nil"/>
            </w:tcBorders>
          </w:tcPr>
          <w:p w:rsidR="0040081F" w:rsidRDefault="0040081F" w:rsidP="00E95CDC">
            <w:pPr>
              <w:pStyle w:val="Tablelegend"/>
              <w:rPr>
                <w:lang w:val="en-US"/>
              </w:rPr>
            </w:pPr>
            <w:r>
              <w:rPr>
                <w:position w:val="6"/>
                <w:sz w:val="18"/>
                <w:lang w:val="en-US"/>
              </w:rPr>
              <w:t>(1)</w:t>
            </w:r>
            <w:r>
              <w:rPr>
                <w:lang w:val="en-US"/>
              </w:rPr>
              <w:tab/>
              <w:t>The next-to-end point value is 8 dB higher than the end point value and all of these values are subject to an upper limit equal to –67.8 dB.</w:t>
            </w:r>
          </w:p>
        </w:tc>
      </w:tr>
    </w:tbl>
    <w:p w:rsidR="0040081F" w:rsidRDefault="0040081F" w:rsidP="0040081F">
      <w:pPr>
        <w:pStyle w:val="Tablefin"/>
      </w:pPr>
    </w:p>
    <w:p w:rsidR="0040081F" w:rsidRPr="00BB1479" w:rsidRDefault="0040081F" w:rsidP="0040081F">
      <w:pPr>
        <w:rPr>
          <w:lang w:val="en-GB"/>
        </w:rPr>
      </w:pPr>
    </w:p>
    <w:p w:rsidR="0040081F" w:rsidRPr="00581DCB" w:rsidRDefault="0040081F" w:rsidP="0040081F">
      <w:pPr>
        <w:pStyle w:val="Heading3"/>
        <w:rPr>
          <w:lang w:val="en-US"/>
        </w:rPr>
      </w:pPr>
      <w:r w:rsidRPr="00581DCB">
        <w:rPr>
          <w:lang w:val="en-US" w:eastAsia="ja-JP"/>
        </w:rPr>
        <w:t>2</w:t>
      </w:r>
      <w:r w:rsidRPr="00581DCB">
        <w:rPr>
          <w:lang w:val="en-US"/>
        </w:rPr>
        <w:t>.</w:t>
      </w:r>
      <w:r w:rsidRPr="00581DCB">
        <w:rPr>
          <w:lang w:val="en-US" w:eastAsia="ja-JP"/>
        </w:rPr>
        <w:t>2.2</w:t>
      </w:r>
      <w:r w:rsidRPr="00581DCB">
        <w:rPr>
          <w:lang w:val="en-US"/>
        </w:rPr>
        <w:tab/>
      </w:r>
      <w:r w:rsidRPr="00581DCB">
        <w:rPr>
          <w:lang w:val="en-US" w:eastAsia="ja-JP"/>
        </w:rPr>
        <w:t>7 and 8 </w:t>
      </w:r>
      <w:r w:rsidRPr="00581DCB">
        <w:rPr>
          <w:lang w:val="en-US"/>
        </w:rPr>
        <w:t xml:space="preserve">MHz </w:t>
      </w:r>
      <w:r w:rsidRPr="00581DCB">
        <w:rPr>
          <w:lang w:val="en-US" w:eastAsia="ja-JP"/>
        </w:rPr>
        <w:t>ISDB-T</w:t>
      </w:r>
      <w:r w:rsidRPr="00581DCB">
        <w:rPr>
          <w:lang w:val="en-US"/>
        </w:rPr>
        <w:t xml:space="preserve"> systems</w:t>
      </w:r>
    </w:p>
    <w:p w:rsidR="0040081F" w:rsidRPr="00581DCB" w:rsidRDefault="0040081F" w:rsidP="0040081F">
      <w:pPr>
        <w:rPr>
          <w:lang w:val="en-US"/>
        </w:rPr>
      </w:pPr>
      <w:r w:rsidRPr="00581DCB">
        <w:rPr>
          <w:lang w:val="en-US"/>
        </w:rPr>
        <w:t xml:space="preserve">For 7 MHz digital television, the OoB domain extends from </w:t>
      </w:r>
      <w:r w:rsidRPr="00720A59">
        <w:rPr>
          <w:rFonts w:ascii="Symbol" w:hAnsi="Symbol"/>
        </w:rPr>
        <w:t></w:t>
      </w:r>
      <w:r w:rsidRPr="00581DCB">
        <w:rPr>
          <w:lang w:val="en-US"/>
        </w:rPr>
        <w:t>3.5 MHz (i.e. </w:t>
      </w:r>
      <w:r w:rsidRPr="00720A59">
        <w:rPr>
          <w:rFonts w:ascii="Symbol" w:hAnsi="Symbol"/>
        </w:rPr>
        <w:t></w:t>
      </w:r>
      <w:r w:rsidRPr="00581DCB">
        <w:rPr>
          <w:lang w:val="en-US"/>
        </w:rPr>
        <w:t>0.5 </w:t>
      </w:r>
      <w:r>
        <w:rPr>
          <w:lang w:val="en-US"/>
        </w:rPr>
        <w:sym w:font="Symbol" w:char="F0B4"/>
      </w:r>
      <w:r w:rsidRPr="00581DCB">
        <w:rPr>
          <w:lang w:val="en-US"/>
        </w:rPr>
        <w:t xml:space="preserve"> 7 MHz) to </w:t>
      </w:r>
      <w:r w:rsidRPr="00720A59">
        <w:rPr>
          <w:rFonts w:ascii="Symbol" w:hAnsi="Symbol"/>
        </w:rPr>
        <w:t></w:t>
      </w:r>
      <w:r w:rsidRPr="00581DCB">
        <w:rPr>
          <w:lang w:val="en-US"/>
        </w:rPr>
        <w:t>17.5 MHz (i.e. </w:t>
      </w:r>
      <w:r w:rsidRPr="00720A59">
        <w:rPr>
          <w:rFonts w:ascii="Symbol" w:hAnsi="Symbol"/>
        </w:rPr>
        <w:t></w:t>
      </w:r>
      <w:r w:rsidRPr="00581DCB">
        <w:rPr>
          <w:lang w:val="en-US"/>
        </w:rPr>
        <w:t>2.5 </w:t>
      </w:r>
      <w:r>
        <w:rPr>
          <w:lang w:val="en-US"/>
        </w:rPr>
        <w:sym w:font="Symbol" w:char="F0B4"/>
      </w:r>
      <w:r w:rsidRPr="00581DCB">
        <w:rPr>
          <w:lang w:val="en-US"/>
        </w:rPr>
        <w:t> 7 MHz).</w:t>
      </w:r>
    </w:p>
    <w:p w:rsidR="0040081F" w:rsidRPr="00581DCB" w:rsidRDefault="0040081F" w:rsidP="0040081F">
      <w:pPr>
        <w:rPr>
          <w:lang w:val="en-US"/>
        </w:rPr>
      </w:pPr>
      <w:r w:rsidRPr="00581DCB">
        <w:rPr>
          <w:lang w:val="en-US"/>
        </w:rPr>
        <w:t xml:space="preserve">For 8 MHz digital television, the OoB domain extends from </w:t>
      </w:r>
      <w:r w:rsidRPr="00720A59">
        <w:rPr>
          <w:rFonts w:ascii="Symbol" w:hAnsi="Symbol"/>
        </w:rPr>
        <w:t></w:t>
      </w:r>
      <w:r w:rsidRPr="00581DCB">
        <w:rPr>
          <w:lang w:val="en-US"/>
        </w:rPr>
        <w:t>4 MHz (i.e. </w:t>
      </w:r>
      <w:r w:rsidRPr="00720A59">
        <w:rPr>
          <w:rFonts w:ascii="Symbol" w:hAnsi="Symbol"/>
        </w:rPr>
        <w:t></w:t>
      </w:r>
      <w:r w:rsidRPr="00581DCB">
        <w:rPr>
          <w:lang w:val="en-US"/>
        </w:rPr>
        <w:t>0.5 </w:t>
      </w:r>
      <w:r>
        <w:rPr>
          <w:lang w:val="en-US"/>
        </w:rPr>
        <w:sym w:font="Symbol" w:char="F0B4"/>
      </w:r>
      <w:r w:rsidRPr="00581DCB">
        <w:rPr>
          <w:lang w:val="en-US"/>
        </w:rPr>
        <w:t xml:space="preserve"> 8 MHz) to </w:t>
      </w:r>
      <w:r w:rsidRPr="00720A59">
        <w:rPr>
          <w:rFonts w:ascii="Symbol" w:hAnsi="Symbol"/>
        </w:rPr>
        <w:t></w:t>
      </w:r>
      <w:r w:rsidRPr="00581DCB">
        <w:rPr>
          <w:lang w:val="en-US"/>
        </w:rPr>
        <w:t>20 MHz (i.e. </w:t>
      </w:r>
      <w:r w:rsidRPr="00720A59">
        <w:rPr>
          <w:rFonts w:ascii="Symbol" w:hAnsi="Symbol"/>
        </w:rPr>
        <w:t></w:t>
      </w:r>
      <w:r w:rsidRPr="00581DCB">
        <w:rPr>
          <w:lang w:val="en-US"/>
        </w:rPr>
        <w:t>2.5 </w:t>
      </w:r>
      <w:r>
        <w:rPr>
          <w:lang w:val="en-US"/>
        </w:rPr>
        <w:sym w:font="Symbol" w:char="F0B4"/>
      </w:r>
      <w:r w:rsidRPr="00581DCB">
        <w:rPr>
          <w:lang w:val="en-US"/>
        </w:rPr>
        <w:t> 8 MHz).</w:t>
      </w:r>
    </w:p>
    <w:p w:rsidR="0040081F" w:rsidRDefault="0040081F" w:rsidP="00701FC2">
      <w:pPr>
        <w:rPr>
          <w:lang w:val="en-US"/>
        </w:rPr>
      </w:pPr>
      <w:r w:rsidRPr="00581DCB">
        <w:rPr>
          <w:lang w:val="en-US"/>
        </w:rPr>
        <w:t xml:space="preserve">Spectrum limit masks for 7 MHz and 8 MHz </w:t>
      </w:r>
      <w:r w:rsidRPr="00581DCB">
        <w:rPr>
          <w:lang w:val="en-US" w:eastAsia="ja-JP"/>
        </w:rPr>
        <w:t>ISDB</w:t>
      </w:r>
      <w:r w:rsidRPr="00581DCB">
        <w:rPr>
          <w:lang w:val="en-US" w:eastAsia="ja-JP"/>
        </w:rPr>
        <w:noBreakHyphen/>
      </w:r>
      <w:r w:rsidRPr="00581DCB">
        <w:rPr>
          <w:lang w:val="en-US"/>
        </w:rPr>
        <w:t>T systems are shown in Figs 2</w:t>
      </w:r>
      <w:r w:rsidR="00701FC2">
        <w:rPr>
          <w:lang w:val="en-US"/>
        </w:rPr>
        <w:t>4</w:t>
      </w:r>
      <w:r w:rsidRPr="00581DCB">
        <w:rPr>
          <w:lang w:val="en-US" w:eastAsia="ja-JP"/>
        </w:rPr>
        <w:t xml:space="preserve"> </w:t>
      </w:r>
      <w:r w:rsidRPr="00581DCB">
        <w:rPr>
          <w:lang w:val="en-US"/>
        </w:rPr>
        <w:t>and 2</w:t>
      </w:r>
      <w:r w:rsidR="00701FC2">
        <w:rPr>
          <w:lang w:val="en-US"/>
        </w:rPr>
        <w:t>5</w:t>
      </w:r>
      <w:r w:rsidRPr="00581DCB">
        <w:rPr>
          <w:lang w:val="en-US"/>
        </w:rPr>
        <w:t xml:space="preserve"> respectively. Table</w:t>
      </w:r>
      <w:r w:rsidRPr="00581DCB">
        <w:rPr>
          <w:lang w:val="en-US" w:eastAsia="ja-JP"/>
        </w:rPr>
        <w:t>s </w:t>
      </w:r>
      <w:r>
        <w:rPr>
          <w:lang w:val="en-US" w:eastAsia="ja-JP"/>
        </w:rPr>
        <w:t>1</w:t>
      </w:r>
      <w:r w:rsidRPr="00581DCB">
        <w:rPr>
          <w:lang w:val="en-US" w:eastAsia="ja-JP"/>
        </w:rPr>
        <w:t>8 and</w:t>
      </w:r>
      <w:r w:rsidRPr="00581DCB">
        <w:rPr>
          <w:lang w:val="en-US"/>
        </w:rPr>
        <w:t> </w:t>
      </w:r>
      <w:r>
        <w:rPr>
          <w:lang w:val="en-US"/>
        </w:rPr>
        <w:t>1</w:t>
      </w:r>
      <w:r w:rsidRPr="00581DCB">
        <w:rPr>
          <w:lang w:val="en-US"/>
        </w:rPr>
        <w:t xml:space="preserve">9 </w:t>
      </w:r>
      <w:r w:rsidRPr="00581DCB">
        <w:rPr>
          <w:lang w:val="en-US" w:eastAsia="ja-JP"/>
        </w:rPr>
        <w:t xml:space="preserve">provide break points corresponding to </w:t>
      </w:r>
      <w:r w:rsidRPr="00581DCB">
        <w:rPr>
          <w:lang w:val="en-US"/>
        </w:rPr>
        <w:t>Figs 2</w:t>
      </w:r>
      <w:r w:rsidR="00701FC2">
        <w:rPr>
          <w:lang w:val="en-US"/>
        </w:rPr>
        <w:t>4</w:t>
      </w:r>
      <w:r w:rsidRPr="00581DCB">
        <w:rPr>
          <w:lang w:val="en-US"/>
        </w:rPr>
        <w:t xml:space="preserve"> and 2</w:t>
      </w:r>
      <w:r w:rsidR="00701FC2">
        <w:rPr>
          <w:lang w:val="en-US"/>
        </w:rPr>
        <w:t>5</w:t>
      </w:r>
      <w:r w:rsidRPr="00581DCB">
        <w:rPr>
          <w:lang w:val="en-US"/>
        </w:rPr>
        <w:t xml:space="preserve">, respectively. The relative power level is defined in a reference bandwidth of </w:t>
      </w:r>
      <w:r w:rsidRPr="00581DCB">
        <w:rPr>
          <w:lang w:val="en-US" w:eastAsia="ja-JP"/>
        </w:rPr>
        <w:t>4</w:t>
      </w:r>
      <w:r w:rsidRPr="00581DCB">
        <w:rPr>
          <w:lang w:val="en-US"/>
        </w:rPr>
        <w:t> </w:t>
      </w:r>
      <w:r w:rsidRPr="00581DCB">
        <w:rPr>
          <w:lang w:val="en-US" w:eastAsia="ja-JP"/>
        </w:rPr>
        <w:t>kHz</w:t>
      </w:r>
      <w:r w:rsidRPr="00581DCB">
        <w:rPr>
          <w:lang w:val="en-US"/>
        </w:rPr>
        <w:t>. The 0 dB reference level corresponds to the mean output power measured in the channel bandwidth. These emission limits apply when transmitter power is above 39 dBW.</w:t>
      </w:r>
    </w:p>
    <w:p w:rsidR="0040081F" w:rsidRDefault="0040081F" w:rsidP="00701FC2">
      <w:pPr>
        <w:pStyle w:val="FigureNo"/>
        <w:rPr>
          <w:lang w:val="en-US"/>
        </w:rPr>
      </w:pPr>
      <w:r>
        <w:rPr>
          <w:lang w:val="en-US"/>
        </w:rPr>
        <w:lastRenderedPageBreak/>
        <w:t>FIGURE 2</w:t>
      </w:r>
      <w:r w:rsidR="00701FC2">
        <w:rPr>
          <w:lang w:val="en-US"/>
        </w:rPr>
        <w:t>4</w:t>
      </w:r>
    </w:p>
    <w:p w:rsidR="0040081F" w:rsidRDefault="0040081F" w:rsidP="0040081F">
      <w:pPr>
        <w:pStyle w:val="Figuretitle"/>
        <w:rPr>
          <w:lang w:val="en-US"/>
        </w:rPr>
      </w:pPr>
      <w:r>
        <w:rPr>
          <w:lang w:val="en-US"/>
        </w:rPr>
        <w:t xml:space="preserve">Spectrum limit mask for 7 MHz ISDB-T (for </w:t>
      </w:r>
      <w:r w:rsidRPr="008473E3">
        <w:rPr>
          <w:i/>
          <w:lang w:val="en-US"/>
        </w:rPr>
        <w:t>P</w:t>
      </w:r>
      <w:r>
        <w:rPr>
          <w:lang w:val="en-US"/>
        </w:rPr>
        <w:t xml:space="preserve"> &gt; 39 dBW)</w:t>
      </w:r>
    </w:p>
    <w:p w:rsidR="0040081F" w:rsidRPr="008473E3" w:rsidRDefault="00273E2F" w:rsidP="0040081F">
      <w:pPr>
        <w:pStyle w:val="Figure"/>
        <w:rPr>
          <w:lang w:val="en-US"/>
        </w:rPr>
      </w:pPr>
      <w:r>
        <w:rPr>
          <w:noProof/>
          <w:lang w:val="en-US" w:eastAsia="zh-CN"/>
        </w:rPr>
        <w:drawing>
          <wp:inline distT="0" distB="0" distL="0" distR="0" wp14:anchorId="7828833F" wp14:editId="453FF415">
            <wp:extent cx="5956300" cy="3657600"/>
            <wp:effectExtent l="0" t="0" r="635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56300" cy="3657600"/>
                    </a:xfrm>
                    <a:prstGeom prst="rect">
                      <a:avLst/>
                    </a:prstGeom>
                    <a:noFill/>
                    <a:ln>
                      <a:noFill/>
                    </a:ln>
                  </pic:spPr>
                </pic:pic>
              </a:graphicData>
            </a:graphic>
          </wp:inline>
        </w:drawing>
      </w:r>
    </w:p>
    <w:p w:rsidR="0040081F" w:rsidRDefault="0040081F" w:rsidP="0040081F"/>
    <w:p w:rsidR="0040081F" w:rsidRDefault="0040081F" w:rsidP="0040081F"/>
    <w:p w:rsidR="0040081F" w:rsidRPr="008473E3" w:rsidRDefault="0040081F" w:rsidP="0040081F">
      <w:pPr>
        <w:pStyle w:val="TableNo"/>
        <w:rPr>
          <w:lang w:val="en-US" w:eastAsia="ja-JP"/>
        </w:rPr>
      </w:pPr>
      <w:r w:rsidRPr="008473E3">
        <w:rPr>
          <w:lang w:val="en-US"/>
        </w:rPr>
        <w:t>TABLE</w:t>
      </w:r>
      <w:r w:rsidRPr="008473E3">
        <w:rPr>
          <w:lang w:val="en-US" w:eastAsia="ja-JP"/>
        </w:rPr>
        <w:t xml:space="preserve"> </w:t>
      </w:r>
      <w:r>
        <w:rPr>
          <w:lang w:val="en-US" w:eastAsia="ja-JP"/>
        </w:rPr>
        <w:t>1</w:t>
      </w:r>
      <w:r w:rsidRPr="008473E3">
        <w:rPr>
          <w:caps/>
          <w:lang w:val="en-US" w:eastAsia="ja-JP"/>
        </w:rPr>
        <w:t>8</w:t>
      </w:r>
    </w:p>
    <w:p w:rsidR="0040081F" w:rsidRPr="008473E3" w:rsidRDefault="0040081F" w:rsidP="00701FC2">
      <w:pPr>
        <w:pStyle w:val="Tabletitle"/>
        <w:rPr>
          <w:lang w:val="en-US" w:eastAsia="ja-JP"/>
        </w:rPr>
      </w:pPr>
      <w:r w:rsidRPr="008473E3">
        <w:rPr>
          <w:lang w:val="en-US" w:eastAsia="ja-JP"/>
        </w:rPr>
        <w:t>Table of break points corresponding to Fig. 2</w:t>
      </w:r>
      <w:r w:rsidR="00701FC2">
        <w:rPr>
          <w:lang w:val="en-US" w:eastAsia="ja-JP"/>
        </w:rPr>
        <w:t>4</w:t>
      </w:r>
      <w:r w:rsidRPr="008473E3">
        <w:rPr>
          <w:lang w:val="en-US" w:eastAsia="ja-JP"/>
        </w:rPr>
        <w:t xml:space="preserve"> for 7</w:t>
      </w:r>
      <w:r w:rsidRPr="008473E3">
        <w:rPr>
          <w:lang w:val="en-US"/>
        </w:rPr>
        <w:t> MHz ISDB-T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3"/>
      </w:tblGrid>
      <w:tr w:rsidR="0040081F" w:rsidRPr="00620821" w:rsidTr="00976F5D">
        <w:trPr>
          <w:jc w:val="center"/>
        </w:trPr>
        <w:tc>
          <w:tcPr>
            <w:tcW w:w="4253" w:type="dxa"/>
          </w:tcPr>
          <w:p w:rsidR="0040081F" w:rsidRPr="008473E3" w:rsidRDefault="0040081F" w:rsidP="00DC4EB6">
            <w:pPr>
              <w:pStyle w:val="Tablehead"/>
              <w:rPr>
                <w:lang w:val="en-US"/>
              </w:rPr>
            </w:pPr>
            <w:r w:rsidRPr="008473E3">
              <w:rPr>
                <w:lang w:val="en-US"/>
              </w:rPr>
              <w:t xml:space="preserve">Frequency relative to the centre </w:t>
            </w:r>
            <w:r w:rsidRPr="008473E3">
              <w:rPr>
                <w:lang w:val="en-US" w:eastAsia="ja-JP"/>
              </w:rPr>
              <w:br/>
            </w:r>
            <w:r w:rsidRPr="008473E3">
              <w:rPr>
                <w:lang w:val="en-US"/>
              </w:rPr>
              <w:t xml:space="preserve">of the </w:t>
            </w:r>
            <w:r w:rsidRPr="008473E3">
              <w:rPr>
                <w:lang w:val="en-US" w:eastAsia="ja-JP"/>
              </w:rPr>
              <w:t>7</w:t>
            </w:r>
            <w:r w:rsidRPr="008473E3">
              <w:rPr>
                <w:lang w:val="en-US"/>
              </w:rPr>
              <w:t xml:space="preserve"> MHz channel </w:t>
            </w:r>
            <w:r w:rsidRPr="008473E3">
              <w:rPr>
                <w:lang w:val="en-US" w:eastAsia="ja-JP"/>
              </w:rPr>
              <w:br/>
              <w:t>(MHz)</w:t>
            </w:r>
          </w:p>
        </w:tc>
        <w:tc>
          <w:tcPr>
            <w:tcW w:w="4253" w:type="dxa"/>
          </w:tcPr>
          <w:p w:rsidR="0040081F" w:rsidRPr="008473E3" w:rsidRDefault="0040081F" w:rsidP="00DC4EB6">
            <w:pPr>
              <w:pStyle w:val="Tablehead"/>
              <w:rPr>
                <w:lang w:val="en-US"/>
              </w:rPr>
            </w:pPr>
            <w:r w:rsidRPr="008473E3">
              <w:rPr>
                <w:lang w:val="en-US"/>
              </w:rPr>
              <w:t xml:space="preserve">Relative level in </w:t>
            </w:r>
            <w:r w:rsidRPr="008473E3">
              <w:rPr>
                <w:lang w:val="en-US" w:eastAsia="ja-JP"/>
              </w:rPr>
              <w:t xml:space="preserve">a 4 </w:t>
            </w:r>
            <w:r w:rsidRPr="008473E3">
              <w:rPr>
                <w:lang w:val="en-US"/>
              </w:rPr>
              <w:t>kHz reference bandwidth</w:t>
            </w:r>
            <w:r w:rsidRPr="008473E3">
              <w:rPr>
                <w:lang w:val="en-US" w:eastAsia="ja-JP"/>
              </w:rPr>
              <w:br/>
            </w:r>
            <w:r w:rsidRPr="008473E3">
              <w:rPr>
                <w:lang w:val="en-US"/>
              </w:rPr>
              <w:t>(dB)</w:t>
            </w:r>
          </w:p>
        </w:tc>
      </w:tr>
      <w:tr w:rsidR="0040081F" w:rsidRPr="00720A59" w:rsidTr="00976F5D">
        <w:trPr>
          <w:jc w:val="center"/>
        </w:trPr>
        <w:tc>
          <w:tcPr>
            <w:tcW w:w="4253" w:type="dxa"/>
          </w:tcPr>
          <w:p w:rsidR="0040081F" w:rsidRPr="00720A59" w:rsidRDefault="0040081F" w:rsidP="00111811">
            <w:pPr>
              <w:pStyle w:val="Tabletext"/>
              <w:jc w:val="center"/>
            </w:pPr>
            <w:r w:rsidRPr="00720A59">
              <w:t>–</w:t>
            </w:r>
            <w:r w:rsidRPr="00720A59">
              <w:rPr>
                <w:lang w:eastAsia="ja-JP"/>
              </w:rPr>
              <w:t>17.5</w:t>
            </w:r>
          </w:p>
        </w:tc>
        <w:tc>
          <w:tcPr>
            <w:tcW w:w="4253" w:type="dxa"/>
          </w:tcPr>
          <w:p w:rsidR="0040081F" w:rsidRPr="00720A59" w:rsidRDefault="0040081F" w:rsidP="00111811">
            <w:pPr>
              <w:pStyle w:val="Tabletext"/>
              <w:jc w:val="center"/>
            </w:pPr>
            <w:r w:rsidRPr="00720A59">
              <w:t>–</w:t>
            </w:r>
            <w:r w:rsidRPr="00720A59">
              <w:rPr>
                <w:lang w:eastAsia="ja-JP"/>
              </w:rPr>
              <w:t>82.1</w:t>
            </w:r>
          </w:p>
        </w:tc>
      </w:tr>
      <w:tr w:rsidR="0040081F" w:rsidRPr="00720A59" w:rsidTr="00976F5D">
        <w:trPr>
          <w:jc w:val="center"/>
        </w:trPr>
        <w:tc>
          <w:tcPr>
            <w:tcW w:w="4253" w:type="dxa"/>
          </w:tcPr>
          <w:p w:rsidR="0040081F" w:rsidRPr="00720A59" w:rsidRDefault="0040081F" w:rsidP="00111811">
            <w:pPr>
              <w:pStyle w:val="Tabletext"/>
              <w:jc w:val="center"/>
            </w:pPr>
            <w:r w:rsidRPr="00720A59">
              <w:t>–</w:t>
            </w:r>
            <w:r w:rsidRPr="00720A59">
              <w:rPr>
                <w:lang w:eastAsia="ja-JP"/>
              </w:rPr>
              <w:t>5.09</w:t>
            </w:r>
          </w:p>
        </w:tc>
        <w:tc>
          <w:tcPr>
            <w:tcW w:w="4253" w:type="dxa"/>
          </w:tcPr>
          <w:p w:rsidR="0040081F" w:rsidRPr="00720A59" w:rsidRDefault="0040081F" w:rsidP="00111811">
            <w:pPr>
              <w:pStyle w:val="Tabletext"/>
              <w:jc w:val="center"/>
            </w:pPr>
            <w:r w:rsidRPr="00720A59">
              <w:t>–</w:t>
            </w:r>
            <w:r w:rsidRPr="00720A59">
              <w:rPr>
                <w:lang w:eastAsia="ja-JP"/>
              </w:rPr>
              <w:t>82.1</w:t>
            </w:r>
          </w:p>
        </w:tc>
      </w:tr>
      <w:tr w:rsidR="0040081F" w:rsidRPr="00720A59" w:rsidTr="00976F5D">
        <w:trPr>
          <w:jc w:val="center"/>
        </w:trPr>
        <w:tc>
          <w:tcPr>
            <w:tcW w:w="4253" w:type="dxa"/>
          </w:tcPr>
          <w:p w:rsidR="0040081F" w:rsidRPr="00720A59" w:rsidRDefault="0040081F" w:rsidP="00111811">
            <w:pPr>
              <w:pStyle w:val="Tabletext"/>
              <w:jc w:val="center"/>
            </w:pPr>
            <w:r w:rsidRPr="00720A59">
              <w:t>–</w:t>
            </w:r>
            <w:r w:rsidRPr="00720A59">
              <w:rPr>
                <w:lang w:eastAsia="ja-JP"/>
              </w:rPr>
              <w:t>3.50</w:t>
            </w:r>
          </w:p>
        </w:tc>
        <w:tc>
          <w:tcPr>
            <w:tcW w:w="4253" w:type="dxa"/>
          </w:tcPr>
          <w:p w:rsidR="0040081F" w:rsidRPr="00720A59" w:rsidRDefault="0040081F" w:rsidP="00111811">
            <w:pPr>
              <w:pStyle w:val="Tabletext"/>
              <w:jc w:val="center"/>
            </w:pPr>
            <w:r w:rsidRPr="00720A59">
              <w:t>–</w:t>
            </w:r>
            <w:r w:rsidRPr="00720A59">
              <w:rPr>
                <w:lang w:eastAsia="ja-JP"/>
              </w:rPr>
              <w:t>59.1</w:t>
            </w:r>
          </w:p>
        </w:tc>
      </w:tr>
      <w:tr w:rsidR="0040081F" w:rsidRPr="00720A59" w:rsidTr="00976F5D">
        <w:trPr>
          <w:jc w:val="center"/>
        </w:trPr>
        <w:tc>
          <w:tcPr>
            <w:tcW w:w="4253" w:type="dxa"/>
          </w:tcPr>
          <w:p w:rsidR="0040081F" w:rsidRPr="00720A59" w:rsidRDefault="0040081F" w:rsidP="00111811">
            <w:pPr>
              <w:pStyle w:val="Tabletext"/>
              <w:jc w:val="center"/>
            </w:pPr>
            <w:r w:rsidRPr="00720A59">
              <w:t>–</w:t>
            </w:r>
            <w:r w:rsidRPr="00720A59">
              <w:rPr>
                <w:lang w:eastAsia="ja-JP"/>
              </w:rPr>
              <w:t>3.34</w:t>
            </w:r>
          </w:p>
        </w:tc>
        <w:tc>
          <w:tcPr>
            <w:tcW w:w="4253" w:type="dxa"/>
          </w:tcPr>
          <w:p w:rsidR="0040081F" w:rsidRPr="00720A59" w:rsidRDefault="0040081F" w:rsidP="00111811">
            <w:pPr>
              <w:pStyle w:val="Tabletext"/>
              <w:jc w:val="center"/>
            </w:pPr>
            <w:r w:rsidRPr="00720A59">
              <w:t>–</w:t>
            </w:r>
            <w:r w:rsidRPr="00720A59">
              <w:rPr>
                <w:lang w:eastAsia="ja-JP"/>
              </w:rPr>
              <w:t>52.1</w:t>
            </w:r>
          </w:p>
        </w:tc>
      </w:tr>
      <w:tr w:rsidR="0040081F" w:rsidRPr="00720A59" w:rsidTr="00976F5D">
        <w:trPr>
          <w:jc w:val="center"/>
        </w:trPr>
        <w:tc>
          <w:tcPr>
            <w:tcW w:w="4253" w:type="dxa"/>
          </w:tcPr>
          <w:p w:rsidR="0040081F" w:rsidRPr="00720A59" w:rsidRDefault="0040081F" w:rsidP="00111811">
            <w:pPr>
              <w:pStyle w:val="Tabletext"/>
              <w:jc w:val="center"/>
            </w:pPr>
            <w:r w:rsidRPr="00720A59">
              <w:t>–</w:t>
            </w:r>
            <w:r w:rsidRPr="00720A59">
              <w:rPr>
                <w:lang w:eastAsia="ja-JP"/>
              </w:rPr>
              <w:t>3.26</w:t>
            </w:r>
          </w:p>
        </w:tc>
        <w:tc>
          <w:tcPr>
            <w:tcW w:w="4253" w:type="dxa"/>
          </w:tcPr>
          <w:p w:rsidR="0040081F" w:rsidRPr="00720A59" w:rsidRDefault="0040081F" w:rsidP="00111811">
            <w:pPr>
              <w:pStyle w:val="Tabletext"/>
              <w:jc w:val="center"/>
            </w:pPr>
            <w:r w:rsidRPr="00720A59">
              <w:t>–</w:t>
            </w:r>
            <w:r w:rsidRPr="00720A59">
              <w:rPr>
                <w:lang w:eastAsia="ja-JP"/>
              </w:rPr>
              <w:t>32.1</w:t>
            </w:r>
          </w:p>
        </w:tc>
      </w:tr>
      <w:tr w:rsidR="0040081F" w:rsidRPr="00720A59" w:rsidTr="00976F5D">
        <w:trPr>
          <w:jc w:val="center"/>
        </w:trPr>
        <w:tc>
          <w:tcPr>
            <w:tcW w:w="4253" w:type="dxa"/>
          </w:tcPr>
          <w:p w:rsidR="0040081F" w:rsidRPr="00720A59" w:rsidRDefault="0040081F" w:rsidP="00111811">
            <w:pPr>
              <w:pStyle w:val="Tabletext"/>
              <w:jc w:val="center"/>
            </w:pPr>
            <w:r w:rsidRPr="00720A59">
              <w:t>+</w:t>
            </w:r>
            <w:r w:rsidRPr="00720A59">
              <w:rPr>
                <w:lang w:eastAsia="ja-JP"/>
              </w:rPr>
              <w:t>3.26</w:t>
            </w:r>
          </w:p>
        </w:tc>
        <w:tc>
          <w:tcPr>
            <w:tcW w:w="4253" w:type="dxa"/>
          </w:tcPr>
          <w:p w:rsidR="0040081F" w:rsidRPr="00720A59" w:rsidRDefault="0040081F" w:rsidP="00111811">
            <w:pPr>
              <w:pStyle w:val="Tabletext"/>
              <w:jc w:val="center"/>
            </w:pPr>
            <w:r w:rsidRPr="00720A59">
              <w:t>–</w:t>
            </w:r>
            <w:r w:rsidRPr="00720A59">
              <w:rPr>
                <w:lang w:eastAsia="ja-JP"/>
              </w:rPr>
              <w:t>32.1</w:t>
            </w:r>
          </w:p>
        </w:tc>
      </w:tr>
      <w:tr w:rsidR="0040081F" w:rsidRPr="00720A59" w:rsidTr="00976F5D">
        <w:trPr>
          <w:jc w:val="center"/>
        </w:trPr>
        <w:tc>
          <w:tcPr>
            <w:tcW w:w="4253" w:type="dxa"/>
          </w:tcPr>
          <w:p w:rsidR="0040081F" w:rsidRPr="00720A59" w:rsidRDefault="0040081F" w:rsidP="00111811">
            <w:pPr>
              <w:pStyle w:val="Tabletext"/>
              <w:jc w:val="center"/>
            </w:pPr>
            <w:r w:rsidRPr="00720A59">
              <w:rPr>
                <w:lang w:eastAsia="ja-JP"/>
              </w:rPr>
              <w:t>+3.34</w:t>
            </w:r>
          </w:p>
        </w:tc>
        <w:tc>
          <w:tcPr>
            <w:tcW w:w="4253" w:type="dxa"/>
          </w:tcPr>
          <w:p w:rsidR="0040081F" w:rsidRPr="00720A59" w:rsidRDefault="0040081F" w:rsidP="00111811">
            <w:pPr>
              <w:pStyle w:val="Tabletext"/>
              <w:jc w:val="center"/>
            </w:pPr>
            <w:r w:rsidRPr="00720A59">
              <w:t>–</w:t>
            </w:r>
            <w:r w:rsidRPr="00720A59">
              <w:rPr>
                <w:lang w:eastAsia="ja-JP"/>
              </w:rPr>
              <w:t>52.1</w:t>
            </w:r>
          </w:p>
        </w:tc>
      </w:tr>
      <w:tr w:rsidR="0040081F" w:rsidRPr="00720A59" w:rsidTr="00976F5D">
        <w:trPr>
          <w:jc w:val="center"/>
        </w:trPr>
        <w:tc>
          <w:tcPr>
            <w:tcW w:w="4253" w:type="dxa"/>
          </w:tcPr>
          <w:p w:rsidR="0040081F" w:rsidRPr="00720A59" w:rsidRDefault="0040081F" w:rsidP="00111811">
            <w:pPr>
              <w:pStyle w:val="Tabletext"/>
              <w:jc w:val="center"/>
            </w:pPr>
            <w:r w:rsidRPr="00720A59">
              <w:rPr>
                <w:lang w:eastAsia="ja-JP"/>
              </w:rPr>
              <w:t>+3.50</w:t>
            </w:r>
          </w:p>
        </w:tc>
        <w:tc>
          <w:tcPr>
            <w:tcW w:w="4253" w:type="dxa"/>
          </w:tcPr>
          <w:p w:rsidR="0040081F" w:rsidRPr="00720A59" w:rsidRDefault="0040081F" w:rsidP="00111811">
            <w:pPr>
              <w:pStyle w:val="Tabletext"/>
              <w:jc w:val="center"/>
            </w:pPr>
            <w:r w:rsidRPr="00720A59">
              <w:t>–</w:t>
            </w:r>
            <w:r w:rsidRPr="00720A59">
              <w:rPr>
                <w:lang w:eastAsia="ja-JP"/>
              </w:rPr>
              <w:t>59.1</w:t>
            </w:r>
          </w:p>
        </w:tc>
      </w:tr>
      <w:tr w:rsidR="0040081F" w:rsidRPr="00720A59" w:rsidTr="00976F5D">
        <w:trPr>
          <w:jc w:val="center"/>
        </w:trPr>
        <w:tc>
          <w:tcPr>
            <w:tcW w:w="4253" w:type="dxa"/>
          </w:tcPr>
          <w:p w:rsidR="0040081F" w:rsidRPr="00720A59" w:rsidRDefault="0040081F" w:rsidP="00111811">
            <w:pPr>
              <w:pStyle w:val="Tabletext"/>
              <w:jc w:val="center"/>
            </w:pPr>
            <w:r w:rsidRPr="00720A59">
              <w:rPr>
                <w:lang w:eastAsia="ja-JP"/>
              </w:rPr>
              <w:t>+5.09</w:t>
            </w:r>
          </w:p>
        </w:tc>
        <w:tc>
          <w:tcPr>
            <w:tcW w:w="4253" w:type="dxa"/>
          </w:tcPr>
          <w:p w:rsidR="0040081F" w:rsidRPr="00720A59" w:rsidRDefault="0040081F" w:rsidP="00111811">
            <w:pPr>
              <w:pStyle w:val="Tabletext"/>
              <w:jc w:val="center"/>
            </w:pPr>
            <w:r w:rsidRPr="00720A59">
              <w:t>–</w:t>
            </w:r>
            <w:r w:rsidRPr="00720A59">
              <w:rPr>
                <w:lang w:eastAsia="ja-JP"/>
              </w:rPr>
              <w:t>82.1</w:t>
            </w:r>
          </w:p>
        </w:tc>
      </w:tr>
      <w:tr w:rsidR="0040081F" w:rsidRPr="00720A59" w:rsidTr="00976F5D">
        <w:trPr>
          <w:jc w:val="center"/>
        </w:trPr>
        <w:tc>
          <w:tcPr>
            <w:tcW w:w="4253" w:type="dxa"/>
          </w:tcPr>
          <w:p w:rsidR="0040081F" w:rsidRPr="00720A59" w:rsidRDefault="0040081F" w:rsidP="00111811">
            <w:pPr>
              <w:pStyle w:val="Tabletext"/>
              <w:jc w:val="center"/>
            </w:pPr>
            <w:r w:rsidRPr="00720A59">
              <w:rPr>
                <w:lang w:eastAsia="ja-JP"/>
              </w:rPr>
              <w:t>+</w:t>
            </w:r>
            <w:r w:rsidRPr="00720A59">
              <w:t>1</w:t>
            </w:r>
            <w:r w:rsidRPr="00720A59">
              <w:rPr>
                <w:lang w:eastAsia="ja-JP"/>
              </w:rPr>
              <w:t>7.5</w:t>
            </w:r>
          </w:p>
        </w:tc>
        <w:tc>
          <w:tcPr>
            <w:tcW w:w="4253" w:type="dxa"/>
          </w:tcPr>
          <w:p w:rsidR="0040081F" w:rsidRPr="00720A59" w:rsidRDefault="0040081F" w:rsidP="00111811">
            <w:pPr>
              <w:pStyle w:val="Tabletext"/>
              <w:jc w:val="center"/>
            </w:pPr>
            <w:r w:rsidRPr="00720A59">
              <w:t>–</w:t>
            </w:r>
            <w:r w:rsidRPr="00720A59">
              <w:rPr>
                <w:lang w:eastAsia="ja-JP"/>
              </w:rPr>
              <w:t>82.1</w:t>
            </w:r>
          </w:p>
        </w:tc>
      </w:tr>
    </w:tbl>
    <w:p w:rsidR="0040081F" w:rsidRDefault="0040081F" w:rsidP="00111811">
      <w:pPr>
        <w:pStyle w:val="Tablefin"/>
        <w:jc w:val="center"/>
      </w:pPr>
    </w:p>
    <w:p w:rsidR="0040081F" w:rsidRDefault="0040081F" w:rsidP="00B9476C">
      <w:pPr>
        <w:pStyle w:val="FigureNo"/>
        <w:rPr>
          <w:lang w:val="en-US"/>
        </w:rPr>
      </w:pPr>
      <w:r>
        <w:rPr>
          <w:lang w:val="en-US"/>
        </w:rPr>
        <w:lastRenderedPageBreak/>
        <w:t>FIGURE 2</w:t>
      </w:r>
      <w:r w:rsidR="00701FC2">
        <w:rPr>
          <w:lang w:val="en-US"/>
        </w:rPr>
        <w:t>5</w:t>
      </w:r>
    </w:p>
    <w:p w:rsidR="0040081F" w:rsidRDefault="0040081F" w:rsidP="0040081F">
      <w:pPr>
        <w:pStyle w:val="Figuretitle"/>
        <w:rPr>
          <w:lang w:val="en-US"/>
        </w:rPr>
      </w:pPr>
      <w:r>
        <w:rPr>
          <w:lang w:val="en-US"/>
        </w:rPr>
        <w:t xml:space="preserve">Spectrum limit mask for 8 MHz ISDB-T (for </w:t>
      </w:r>
      <w:r w:rsidRPr="008473E3">
        <w:rPr>
          <w:i/>
          <w:lang w:val="en-US"/>
        </w:rPr>
        <w:t>P</w:t>
      </w:r>
      <w:r>
        <w:rPr>
          <w:lang w:val="en-US"/>
        </w:rPr>
        <w:t xml:space="preserve"> &gt; 39 dBW)</w:t>
      </w:r>
    </w:p>
    <w:p w:rsidR="0040081F" w:rsidRPr="008473E3" w:rsidRDefault="00273E2F" w:rsidP="0040081F">
      <w:pPr>
        <w:pStyle w:val="Figure"/>
        <w:rPr>
          <w:lang w:val="en-US"/>
        </w:rPr>
      </w:pPr>
      <w:r>
        <w:rPr>
          <w:noProof/>
          <w:lang w:val="en-US" w:eastAsia="zh-CN"/>
        </w:rPr>
        <w:drawing>
          <wp:inline distT="0" distB="0" distL="0" distR="0" wp14:anchorId="4183AE8F" wp14:editId="73CC711F">
            <wp:extent cx="5924550" cy="36576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24550" cy="3657600"/>
                    </a:xfrm>
                    <a:prstGeom prst="rect">
                      <a:avLst/>
                    </a:prstGeom>
                    <a:noFill/>
                    <a:ln>
                      <a:noFill/>
                    </a:ln>
                  </pic:spPr>
                </pic:pic>
              </a:graphicData>
            </a:graphic>
          </wp:inline>
        </w:drawing>
      </w:r>
    </w:p>
    <w:p w:rsidR="0040081F" w:rsidRDefault="0040081F" w:rsidP="0040081F"/>
    <w:p w:rsidR="0040081F" w:rsidRDefault="0040081F" w:rsidP="0040081F"/>
    <w:p w:rsidR="0040081F" w:rsidRPr="008473E3" w:rsidRDefault="0040081F" w:rsidP="0040081F">
      <w:pPr>
        <w:pStyle w:val="TableNo"/>
        <w:rPr>
          <w:lang w:val="en-US" w:eastAsia="ja-JP"/>
        </w:rPr>
      </w:pPr>
      <w:r w:rsidRPr="008473E3">
        <w:rPr>
          <w:lang w:val="en-US"/>
        </w:rPr>
        <w:t>TABLE</w:t>
      </w:r>
      <w:r w:rsidRPr="008473E3">
        <w:rPr>
          <w:lang w:val="en-US" w:eastAsia="ja-JP"/>
        </w:rPr>
        <w:t xml:space="preserve"> </w:t>
      </w:r>
      <w:r>
        <w:rPr>
          <w:lang w:val="en-US" w:eastAsia="ja-JP"/>
        </w:rPr>
        <w:t>1</w:t>
      </w:r>
      <w:r w:rsidRPr="008473E3">
        <w:rPr>
          <w:caps/>
          <w:lang w:val="en-US" w:eastAsia="ja-JP"/>
        </w:rPr>
        <w:t>9</w:t>
      </w:r>
    </w:p>
    <w:p w:rsidR="0040081F" w:rsidRPr="008473E3" w:rsidRDefault="0040081F" w:rsidP="00701FC2">
      <w:pPr>
        <w:pStyle w:val="Tabletitle"/>
        <w:rPr>
          <w:lang w:val="en-US" w:eastAsia="ja-JP"/>
        </w:rPr>
      </w:pPr>
      <w:r w:rsidRPr="008473E3">
        <w:rPr>
          <w:lang w:val="en-US" w:eastAsia="ja-JP"/>
        </w:rPr>
        <w:t>Table of break points corresponding to Fig. 2</w:t>
      </w:r>
      <w:r w:rsidR="00701FC2">
        <w:rPr>
          <w:lang w:val="en-US" w:eastAsia="ja-JP"/>
        </w:rPr>
        <w:t>5</w:t>
      </w:r>
      <w:r w:rsidRPr="008473E3">
        <w:rPr>
          <w:lang w:val="en-US" w:eastAsia="ja-JP"/>
        </w:rPr>
        <w:t xml:space="preserve"> for 8</w:t>
      </w:r>
      <w:r w:rsidRPr="008473E3">
        <w:rPr>
          <w:lang w:val="en-US"/>
        </w:rPr>
        <w:t> MHz ISDB-T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3"/>
      </w:tblGrid>
      <w:tr w:rsidR="0040081F" w:rsidRPr="00620821" w:rsidTr="00976F5D">
        <w:trPr>
          <w:jc w:val="center"/>
        </w:trPr>
        <w:tc>
          <w:tcPr>
            <w:tcW w:w="4253" w:type="dxa"/>
          </w:tcPr>
          <w:p w:rsidR="0040081F" w:rsidRPr="008473E3" w:rsidRDefault="0040081F" w:rsidP="00DC4EB6">
            <w:pPr>
              <w:pStyle w:val="Tablehead"/>
              <w:rPr>
                <w:lang w:val="en-US"/>
              </w:rPr>
            </w:pPr>
            <w:r w:rsidRPr="008473E3">
              <w:rPr>
                <w:lang w:val="en-US"/>
              </w:rPr>
              <w:t xml:space="preserve">Frequency relative to the centre </w:t>
            </w:r>
            <w:r w:rsidRPr="008473E3">
              <w:rPr>
                <w:lang w:val="en-US" w:eastAsia="ja-JP"/>
              </w:rPr>
              <w:br/>
            </w:r>
            <w:r w:rsidRPr="008473E3">
              <w:rPr>
                <w:lang w:val="en-US"/>
              </w:rPr>
              <w:t xml:space="preserve">of the </w:t>
            </w:r>
            <w:r w:rsidRPr="008473E3">
              <w:rPr>
                <w:lang w:val="en-US" w:eastAsia="ja-JP"/>
              </w:rPr>
              <w:t>8</w:t>
            </w:r>
            <w:r w:rsidRPr="008473E3">
              <w:rPr>
                <w:lang w:val="en-US"/>
              </w:rPr>
              <w:t xml:space="preserve"> MHz channel </w:t>
            </w:r>
            <w:r w:rsidRPr="008473E3">
              <w:rPr>
                <w:lang w:val="en-US" w:eastAsia="ja-JP"/>
              </w:rPr>
              <w:br/>
              <w:t>(MHz)</w:t>
            </w:r>
          </w:p>
        </w:tc>
        <w:tc>
          <w:tcPr>
            <w:tcW w:w="4253" w:type="dxa"/>
          </w:tcPr>
          <w:p w:rsidR="0040081F" w:rsidRPr="008473E3" w:rsidRDefault="0040081F" w:rsidP="00DC4EB6">
            <w:pPr>
              <w:pStyle w:val="Tablehead"/>
              <w:rPr>
                <w:lang w:val="en-US"/>
              </w:rPr>
            </w:pPr>
            <w:r w:rsidRPr="008473E3">
              <w:rPr>
                <w:lang w:val="en-US"/>
              </w:rPr>
              <w:t xml:space="preserve">Relative level in </w:t>
            </w:r>
            <w:r w:rsidRPr="008473E3">
              <w:rPr>
                <w:lang w:val="en-US" w:eastAsia="ja-JP"/>
              </w:rPr>
              <w:t>a 4</w:t>
            </w:r>
            <w:r w:rsidRPr="008473E3">
              <w:rPr>
                <w:lang w:val="en-US"/>
              </w:rPr>
              <w:t> kHz reference bandwidth</w:t>
            </w:r>
            <w:r w:rsidRPr="008473E3">
              <w:rPr>
                <w:lang w:val="en-US" w:eastAsia="ja-JP"/>
              </w:rPr>
              <w:br/>
            </w:r>
            <w:r w:rsidRPr="008473E3">
              <w:rPr>
                <w:lang w:val="en-US"/>
              </w:rPr>
              <w:t>(dB)</w:t>
            </w:r>
          </w:p>
        </w:tc>
      </w:tr>
      <w:tr w:rsidR="0040081F" w:rsidRPr="00720A59" w:rsidTr="00976F5D">
        <w:trPr>
          <w:jc w:val="center"/>
        </w:trPr>
        <w:tc>
          <w:tcPr>
            <w:tcW w:w="4253" w:type="dxa"/>
          </w:tcPr>
          <w:p w:rsidR="0040081F" w:rsidRPr="00720A59" w:rsidRDefault="0040081F" w:rsidP="00111811">
            <w:pPr>
              <w:pStyle w:val="Tabletext"/>
              <w:jc w:val="center"/>
            </w:pPr>
            <w:r w:rsidRPr="00720A59">
              <w:t>–</w:t>
            </w:r>
            <w:r w:rsidRPr="00720A59">
              <w:rPr>
                <w:lang w:eastAsia="ja-JP"/>
              </w:rPr>
              <w:t>20</w:t>
            </w:r>
            <w:r w:rsidRPr="00720A59">
              <w:t>.0</w:t>
            </w:r>
          </w:p>
        </w:tc>
        <w:tc>
          <w:tcPr>
            <w:tcW w:w="4253" w:type="dxa"/>
          </w:tcPr>
          <w:p w:rsidR="0040081F" w:rsidRPr="00720A59" w:rsidRDefault="0040081F" w:rsidP="00111811">
            <w:pPr>
              <w:pStyle w:val="Tabletext"/>
              <w:jc w:val="center"/>
            </w:pPr>
            <w:r w:rsidRPr="00720A59">
              <w:t>–</w:t>
            </w:r>
            <w:r w:rsidRPr="00720A59">
              <w:rPr>
                <w:lang w:eastAsia="ja-JP"/>
              </w:rPr>
              <w:t>82.7</w:t>
            </w:r>
          </w:p>
        </w:tc>
      </w:tr>
      <w:tr w:rsidR="0040081F" w:rsidRPr="00720A59" w:rsidTr="00976F5D">
        <w:trPr>
          <w:jc w:val="center"/>
        </w:trPr>
        <w:tc>
          <w:tcPr>
            <w:tcW w:w="4253" w:type="dxa"/>
          </w:tcPr>
          <w:p w:rsidR="0040081F" w:rsidRPr="00720A59" w:rsidRDefault="0040081F" w:rsidP="00111811">
            <w:pPr>
              <w:pStyle w:val="Tabletext"/>
              <w:jc w:val="center"/>
            </w:pPr>
            <w:r w:rsidRPr="00720A59">
              <w:t>–</w:t>
            </w:r>
            <w:r w:rsidRPr="00720A59">
              <w:rPr>
                <w:lang w:eastAsia="ja-JP"/>
              </w:rPr>
              <w:t>5.81</w:t>
            </w:r>
          </w:p>
        </w:tc>
        <w:tc>
          <w:tcPr>
            <w:tcW w:w="4253" w:type="dxa"/>
          </w:tcPr>
          <w:p w:rsidR="0040081F" w:rsidRPr="00720A59" w:rsidRDefault="0040081F" w:rsidP="00111811">
            <w:pPr>
              <w:pStyle w:val="Tabletext"/>
              <w:jc w:val="center"/>
            </w:pPr>
            <w:r w:rsidRPr="00720A59">
              <w:t>–</w:t>
            </w:r>
            <w:r w:rsidRPr="00720A59">
              <w:rPr>
                <w:lang w:eastAsia="ja-JP"/>
              </w:rPr>
              <w:t>82.7</w:t>
            </w:r>
          </w:p>
        </w:tc>
      </w:tr>
      <w:tr w:rsidR="0040081F" w:rsidRPr="00720A59" w:rsidTr="00976F5D">
        <w:trPr>
          <w:jc w:val="center"/>
        </w:trPr>
        <w:tc>
          <w:tcPr>
            <w:tcW w:w="4253" w:type="dxa"/>
          </w:tcPr>
          <w:p w:rsidR="0040081F" w:rsidRPr="00720A59" w:rsidRDefault="0040081F" w:rsidP="00111811">
            <w:pPr>
              <w:pStyle w:val="Tabletext"/>
              <w:jc w:val="center"/>
            </w:pPr>
            <w:r w:rsidRPr="00720A59">
              <w:t>–</w:t>
            </w:r>
            <w:r w:rsidRPr="00720A59">
              <w:rPr>
                <w:lang w:eastAsia="ja-JP"/>
              </w:rPr>
              <w:t>4.00</w:t>
            </w:r>
          </w:p>
        </w:tc>
        <w:tc>
          <w:tcPr>
            <w:tcW w:w="4253" w:type="dxa"/>
          </w:tcPr>
          <w:p w:rsidR="0040081F" w:rsidRPr="00720A59" w:rsidRDefault="0040081F" w:rsidP="00111811">
            <w:pPr>
              <w:pStyle w:val="Tabletext"/>
              <w:jc w:val="center"/>
            </w:pPr>
            <w:r w:rsidRPr="00720A59">
              <w:t>–</w:t>
            </w:r>
            <w:r w:rsidRPr="00720A59">
              <w:rPr>
                <w:lang w:eastAsia="ja-JP"/>
              </w:rPr>
              <w:t>59.7</w:t>
            </w:r>
          </w:p>
        </w:tc>
      </w:tr>
      <w:tr w:rsidR="0040081F" w:rsidRPr="00720A59" w:rsidTr="00976F5D">
        <w:trPr>
          <w:jc w:val="center"/>
        </w:trPr>
        <w:tc>
          <w:tcPr>
            <w:tcW w:w="4253" w:type="dxa"/>
          </w:tcPr>
          <w:p w:rsidR="0040081F" w:rsidRPr="00720A59" w:rsidRDefault="0040081F" w:rsidP="00111811">
            <w:pPr>
              <w:pStyle w:val="Tabletext"/>
              <w:jc w:val="center"/>
            </w:pPr>
            <w:r w:rsidRPr="00720A59">
              <w:t>–</w:t>
            </w:r>
            <w:r w:rsidRPr="00720A59">
              <w:rPr>
                <w:lang w:eastAsia="ja-JP"/>
              </w:rPr>
              <w:t>3.81</w:t>
            </w:r>
          </w:p>
        </w:tc>
        <w:tc>
          <w:tcPr>
            <w:tcW w:w="4253" w:type="dxa"/>
          </w:tcPr>
          <w:p w:rsidR="0040081F" w:rsidRPr="00720A59" w:rsidRDefault="0040081F" w:rsidP="00111811">
            <w:pPr>
              <w:pStyle w:val="Tabletext"/>
              <w:jc w:val="center"/>
            </w:pPr>
            <w:r w:rsidRPr="00720A59">
              <w:t>–</w:t>
            </w:r>
            <w:r w:rsidRPr="00720A59">
              <w:rPr>
                <w:lang w:eastAsia="ja-JP"/>
              </w:rPr>
              <w:t>52.7</w:t>
            </w:r>
          </w:p>
        </w:tc>
      </w:tr>
      <w:tr w:rsidR="0040081F" w:rsidRPr="00720A59" w:rsidTr="00976F5D">
        <w:trPr>
          <w:jc w:val="center"/>
        </w:trPr>
        <w:tc>
          <w:tcPr>
            <w:tcW w:w="4253" w:type="dxa"/>
          </w:tcPr>
          <w:p w:rsidR="0040081F" w:rsidRPr="00720A59" w:rsidRDefault="0040081F" w:rsidP="00111811">
            <w:pPr>
              <w:pStyle w:val="Tabletext"/>
              <w:jc w:val="center"/>
            </w:pPr>
            <w:r w:rsidRPr="00720A59">
              <w:t>–</w:t>
            </w:r>
            <w:r w:rsidRPr="00720A59">
              <w:rPr>
                <w:lang w:eastAsia="ja-JP"/>
              </w:rPr>
              <w:t>3.72</w:t>
            </w:r>
          </w:p>
        </w:tc>
        <w:tc>
          <w:tcPr>
            <w:tcW w:w="4253" w:type="dxa"/>
          </w:tcPr>
          <w:p w:rsidR="0040081F" w:rsidRPr="00720A59" w:rsidRDefault="0040081F" w:rsidP="00111811">
            <w:pPr>
              <w:pStyle w:val="Tabletext"/>
              <w:jc w:val="center"/>
            </w:pPr>
            <w:r w:rsidRPr="00720A59">
              <w:t>–</w:t>
            </w:r>
            <w:r w:rsidRPr="00720A59">
              <w:rPr>
                <w:lang w:eastAsia="ja-JP"/>
              </w:rPr>
              <w:t>32.7</w:t>
            </w:r>
          </w:p>
        </w:tc>
      </w:tr>
      <w:tr w:rsidR="0040081F" w:rsidRPr="00720A59" w:rsidTr="00976F5D">
        <w:trPr>
          <w:jc w:val="center"/>
        </w:trPr>
        <w:tc>
          <w:tcPr>
            <w:tcW w:w="4253" w:type="dxa"/>
          </w:tcPr>
          <w:p w:rsidR="0040081F" w:rsidRPr="00720A59" w:rsidRDefault="0040081F" w:rsidP="00111811">
            <w:pPr>
              <w:pStyle w:val="Tabletext"/>
              <w:jc w:val="center"/>
            </w:pPr>
            <w:r w:rsidRPr="00720A59">
              <w:t>+</w:t>
            </w:r>
            <w:r w:rsidRPr="00720A59">
              <w:rPr>
                <w:lang w:eastAsia="ja-JP"/>
              </w:rPr>
              <w:t>3.72</w:t>
            </w:r>
          </w:p>
        </w:tc>
        <w:tc>
          <w:tcPr>
            <w:tcW w:w="4253" w:type="dxa"/>
          </w:tcPr>
          <w:p w:rsidR="0040081F" w:rsidRPr="00720A59" w:rsidRDefault="0040081F" w:rsidP="00111811">
            <w:pPr>
              <w:pStyle w:val="Tabletext"/>
              <w:jc w:val="center"/>
            </w:pPr>
            <w:r w:rsidRPr="00720A59">
              <w:t>–</w:t>
            </w:r>
            <w:r w:rsidRPr="00720A59">
              <w:rPr>
                <w:lang w:eastAsia="ja-JP"/>
              </w:rPr>
              <w:t>32.7</w:t>
            </w:r>
          </w:p>
        </w:tc>
      </w:tr>
      <w:tr w:rsidR="0040081F" w:rsidRPr="00720A59" w:rsidTr="00976F5D">
        <w:trPr>
          <w:jc w:val="center"/>
        </w:trPr>
        <w:tc>
          <w:tcPr>
            <w:tcW w:w="4253" w:type="dxa"/>
          </w:tcPr>
          <w:p w:rsidR="0040081F" w:rsidRPr="00720A59" w:rsidRDefault="0040081F" w:rsidP="00111811">
            <w:pPr>
              <w:pStyle w:val="Tabletext"/>
              <w:jc w:val="center"/>
            </w:pPr>
            <w:r w:rsidRPr="00720A59">
              <w:rPr>
                <w:lang w:eastAsia="ja-JP"/>
              </w:rPr>
              <w:t>+3.81</w:t>
            </w:r>
          </w:p>
        </w:tc>
        <w:tc>
          <w:tcPr>
            <w:tcW w:w="4253" w:type="dxa"/>
          </w:tcPr>
          <w:p w:rsidR="0040081F" w:rsidRPr="00720A59" w:rsidRDefault="0040081F" w:rsidP="00111811">
            <w:pPr>
              <w:pStyle w:val="Tabletext"/>
              <w:jc w:val="center"/>
            </w:pPr>
            <w:r w:rsidRPr="00720A59">
              <w:t>–</w:t>
            </w:r>
            <w:r w:rsidRPr="00720A59">
              <w:rPr>
                <w:lang w:eastAsia="ja-JP"/>
              </w:rPr>
              <w:t>52.7</w:t>
            </w:r>
          </w:p>
        </w:tc>
      </w:tr>
      <w:tr w:rsidR="0040081F" w:rsidRPr="00720A59" w:rsidTr="00976F5D">
        <w:trPr>
          <w:jc w:val="center"/>
        </w:trPr>
        <w:tc>
          <w:tcPr>
            <w:tcW w:w="4253" w:type="dxa"/>
          </w:tcPr>
          <w:p w:rsidR="0040081F" w:rsidRPr="00720A59" w:rsidRDefault="0040081F" w:rsidP="00111811">
            <w:pPr>
              <w:pStyle w:val="Tabletext"/>
              <w:jc w:val="center"/>
            </w:pPr>
            <w:r w:rsidRPr="00720A59">
              <w:rPr>
                <w:lang w:eastAsia="ja-JP"/>
              </w:rPr>
              <w:t>+4.00</w:t>
            </w:r>
          </w:p>
        </w:tc>
        <w:tc>
          <w:tcPr>
            <w:tcW w:w="4253" w:type="dxa"/>
          </w:tcPr>
          <w:p w:rsidR="0040081F" w:rsidRPr="00720A59" w:rsidRDefault="0040081F" w:rsidP="00111811">
            <w:pPr>
              <w:pStyle w:val="Tabletext"/>
              <w:jc w:val="center"/>
            </w:pPr>
            <w:r w:rsidRPr="00720A59">
              <w:t>–</w:t>
            </w:r>
            <w:r w:rsidRPr="00720A59">
              <w:rPr>
                <w:lang w:eastAsia="ja-JP"/>
              </w:rPr>
              <w:t>59.7</w:t>
            </w:r>
          </w:p>
        </w:tc>
      </w:tr>
      <w:tr w:rsidR="0040081F" w:rsidRPr="00720A59" w:rsidTr="00976F5D">
        <w:trPr>
          <w:jc w:val="center"/>
        </w:trPr>
        <w:tc>
          <w:tcPr>
            <w:tcW w:w="4253" w:type="dxa"/>
          </w:tcPr>
          <w:p w:rsidR="0040081F" w:rsidRPr="00720A59" w:rsidRDefault="0040081F" w:rsidP="00111811">
            <w:pPr>
              <w:pStyle w:val="Tabletext"/>
              <w:jc w:val="center"/>
            </w:pPr>
            <w:r w:rsidRPr="00720A59">
              <w:rPr>
                <w:lang w:eastAsia="ja-JP"/>
              </w:rPr>
              <w:t>+5.81</w:t>
            </w:r>
          </w:p>
        </w:tc>
        <w:tc>
          <w:tcPr>
            <w:tcW w:w="4253" w:type="dxa"/>
          </w:tcPr>
          <w:p w:rsidR="0040081F" w:rsidRPr="00720A59" w:rsidRDefault="0040081F" w:rsidP="00111811">
            <w:pPr>
              <w:pStyle w:val="Tabletext"/>
              <w:jc w:val="center"/>
            </w:pPr>
            <w:r w:rsidRPr="00720A59">
              <w:t>–</w:t>
            </w:r>
            <w:r w:rsidRPr="00720A59">
              <w:rPr>
                <w:lang w:eastAsia="ja-JP"/>
              </w:rPr>
              <w:t>82.7</w:t>
            </w:r>
          </w:p>
        </w:tc>
      </w:tr>
      <w:tr w:rsidR="0040081F" w:rsidRPr="00720A59" w:rsidTr="00976F5D">
        <w:trPr>
          <w:jc w:val="center"/>
        </w:trPr>
        <w:tc>
          <w:tcPr>
            <w:tcW w:w="4253" w:type="dxa"/>
          </w:tcPr>
          <w:p w:rsidR="0040081F" w:rsidRPr="00720A59" w:rsidRDefault="0040081F" w:rsidP="00111811">
            <w:pPr>
              <w:pStyle w:val="Tabletext"/>
              <w:jc w:val="center"/>
            </w:pPr>
            <w:r w:rsidRPr="00720A59">
              <w:rPr>
                <w:lang w:eastAsia="ja-JP"/>
              </w:rPr>
              <w:t>+20</w:t>
            </w:r>
            <w:r w:rsidRPr="00720A59">
              <w:t>.0</w:t>
            </w:r>
          </w:p>
        </w:tc>
        <w:tc>
          <w:tcPr>
            <w:tcW w:w="4253" w:type="dxa"/>
          </w:tcPr>
          <w:p w:rsidR="0040081F" w:rsidRPr="00720A59" w:rsidRDefault="0040081F" w:rsidP="00111811">
            <w:pPr>
              <w:pStyle w:val="Tabletext"/>
              <w:jc w:val="center"/>
            </w:pPr>
            <w:r w:rsidRPr="00720A59">
              <w:t>–</w:t>
            </w:r>
            <w:r w:rsidRPr="00720A59">
              <w:rPr>
                <w:lang w:eastAsia="ja-JP"/>
              </w:rPr>
              <w:t>82.7</w:t>
            </w:r>
          </w:p>
        </w:tc>
      </w:tr>
    </w:tbl>
    <w:p w:rsidR="0040081F" w:rsidRDefault="0040081F" w:rsidP="0040081F">
      <w:pPr>
        <w:pStyle w:val="Tablefin"/>
      </w:pPr>
    </w:p>
    <w:p w:rsidR="0040081F" w:rsidRDefault="0040081F" w:rsidP="0040081F">
      <w:pPr>
        <w:rPr>
          <w:lang w:val="en-US"/>
        </w:rPr>
      </w:pPr>
    </w:p>
    <w:p w:rsidR="0040081F" w:rsidRPr="00581DCB" w:rsidRDefault="0040081F" w:rsidP="0040081F">
      <w:pPr>
        <w:rPr>
          <w:lang w:val="en-US"/>
        </w:rPr>
      </w:pPr>
    </w:p>
    <w:p w:rsidR="0040081F" w:rsidRDefault="0040081F" w:rsidP="0040081F">
      <w:pPr>
        <w:pStyle w:val="AnnexNoTitle"/>
        <w:rPr>
          <w:lang w:val="en-US"/>
        </w:rPr>
      </w:pPr>
      <w:r>
        <w:rPr>
          <w:lang w:val="en-US"/>
        </w:rPr>
        <w:lastRenderedPageBreak/>
        <w:t>Annex  7</w:t>
      </w:r>
      <w:r>
        <w:rPr>
          <w:lang w:val="en-US"/>
        </w:rPr>
        <w:br/>
      </w:r>
      <w:r>
        <w:rPr>
          <w:lang w:val="en-US"/>
        </w:rPr>
        <w:br/>
        <w:t>OoB domain emission limits for sound broadcasting systems</w:t>
      </w:r>
    </w:p>
    <w:p w:rsidR="0040081F" w:rsidRDefault="0040081F" w:rsidP="0040081F">
      <w:pPr>
        <w:pStyle w:val="Normalaftertitle"/>
        <w:rPr>
          <w:lang w:val="en-US"/>
        </w:rPr>
      </w:pPr>
      <w:r>
        <w:rPr>
          <w:lang w:val="en-US"/>
        </w:rPr>
        <w:t xml:space="preserve">This Annex provides the OoB domain emission limits to be applied to sound broadcasting. According to the safety net principle (see </w:t>
      </w:r>
      <w:r>
        <w:rPr>
          <w:i/>
          <w:iCs/>
          <w:lang w:val="en-US"/>
        </w:rPr>
        <w:t>recommends </w:t>
      </w:r>
      <w:r>
        <w:rPr>
          <w:lang w:val="en-US"/>
        </w:rPr>
        <w:t>4), it should be noted that more stringent limits are not affected in cases where special agreements for the broadcasting services for coordination and compatibility reasons exist. The more stringent limits specified in the relevant agreements and standards shall be used in all cases where a special need can be indicated and the scope of an agreement would be affected.</w:t>
      </w:r>
    </w:p>
    <w:p w:rsidR="0040081F" w:rsidRDefault="0040081F" w:rsidP="0040081F">
      <w:pPr>
        <w:pStyle w:val="Heading1"/>
        <w:rPr>
          <w:lang w:val="en-US"/>
        </w:rPr>
      </w:pPr>
      <w:r>
        <w:rPr>
          <w:lang w:val="en-US"/>
        </w:rPr>
        <w:t>1</w:t>
      </w:r>
      <w:r>
        <w:rPr>
          <w:lang w:val="en-US"/>
        </w:rPr>
        <w:tab/>
        <w:t>VHF FM sound broadcasting</w:t>
      </w:r>
    </w:p>
    <w:p w:rsidR="0040081F" w:rsidRDefault="0040081F" w:rsidP="00701FC2">
      <w:pPr>
        <w:rPr>
          <w:lang w:val="en-US"/>
        </w:rPr>
      </w:pPr>
      <w:r>
        <w:rPr>
          <w:lang w:val="en-US"/>
        </w:rPr>
        <w:t>The spectrum limit mask for VHF FM sound broadcasting is shown in Fig. 2</w:t>
      </w:r>
      <w:r w:rsidR="00701FC2">
        <w:rPr>
          <w:lang w:val="en-US"/>
        </w:rPr>
        <w:t>6</w:t>
      </w:r>
      <w:r>
        <w:rPr>
          <w:lang w:val="en-US"/>
        </w:rPr>
        <w:t>. The related break points are given in Table 20.</w:t>
      </w:r>
    </w:p>
    <w:p w:rsidR="0040081F" w:rsidRPr="00111811" w:rsidRDefault="0040081F" w:rsidP="00111811">
      <w:pPr>
        <w:rPr>
          <w:rFonts w:asciiTheme="majorBidi" w:hAnsiTheme="majorBidi" w:cstheme="majorBidi"/>
          <w:lang w:val="en-US"/>
        </w:rPr>
      </w:pPr>
      <w:r w:rsidRPr="00111811">
        <w:rPr>
          <w:rFonts w:asciiTheme="majorBidi" w:hAnsiTheme="majorBidi" w:cstheme="majorBidi"/>
          <w:lang w:val="en-US"/>
        </w:rPr>
        <w:t xml:space="preserve">For 200 kHz channelling VHF FM sound broadcasting, the OoB domain extends from </w:t>
      </w:r>
      <w:r w:rsidRPr="00111811">
        <w:rPr>
          <w:rFonts w:asciiTheme="majorBidi" w:hAnsiTheme="majorBidi" w:cstheme="majorBidi"/>
          <w:lang w:val="fr-CH"/>
        </w:rPr>
        <w:sym w:font="Symbol" w:char="F0B1"/>
      </w:r>
      <w:r w:rsidRPr="00111811">
        <w:rPr>
          <w:rFonts w:asciiTheme="majorBidi" w:hAnsiTheme="majorBidi" w:cstheme="majorBidi"/>
          <w:sz w:val="4"/>
          <w:lang w:val="en-US"/>
        </w:rPr>
        <w:t> </w:t>
      </w:r>
      <w:r w:rsidRPr="00111811">
        <w:rPr>
          <w:rFonts w:asciiTheme="majorBidi" w:hAnsiTheme="majorBidi" w:cstheme="majorBidi"/>
          <w:lang w:val="en-US"/>
        </w:rPr>
        <w:t xml:space="preserve">100 kHz (i.e. </w:t>
      </w:r>
      <w:r w:rsidRPr="00111811">
        <w:rPr>
          <w:rFonts w:asciiTheme="majorBidi" w:hAnsiTheme="majorBidi" w:cstheme="majorBidi"/>
          <w:lang w:val="fr-CH"/>
        </w:rPr>
        <w:sym w:font="Symbol" w:char="F0B1"/>
      </w:r>
      <w:r w:rsidRPr="00111811">
        <w:rPr>
          <w:rFonts w:asciiTheme="majorBidi" w:hAnsiTheme="majorBidi" w:cstheme="majorBidi"/>
          <w:sz w:val="4"/>
          <w:lang w:val="en-US"/>
        </w:rPr>
        <w:t> </w:t>
      </w:r>
      <w:r w:rsidRPr="00111811">
        <w:rPr>
          <w:rFonts w:asciiTheme="majorBidi" w:hAnsiTheme="majorBidi" w:cstheme="majorBidi"/>
          <w:lang w:val="en-US"/>
        </w:rPr>
        <w:t>0.5 </w:t>
      </w:r>
      <w:r w:rsidR="00111811">
        <w:rPr>
          <w:rFonts w:asciiTheme="majorBidi" w:hAnsiTheme="majorBidi" w:cstheme="majorBidi"/>
          <w:lang w:val="en-US"/>
        </w:rPr>
        <w:sym w:font="Symbol" w:char="F0B4"/>
      </w:r>
      <w:r w:rsidRPr="00111811">
        <w:rPr>
          <w:rFonts w:asciiTheme="majorBidi" w:hAnsiTheme="majorBidi" w:cstheme="majorBidi"/>
          <w:lang w:val="en-US"/>
        </w:rPr>
        <w:t xml:space="preserve"> 200 kHz) to </w:t>
      </w:r>
      <w:r w:rsidRPr="00111811">
        <w:rPr>
          <w:rFonts w:asciiTheme="majorBidi" w:hAnsiTheme="majorBidi" w:cstheme="majorBidi"/>
          <w:lang w:val="fr-CH"/>
        </w:rPr>
        <w:sym w:font="Symbol" w:char="F0B1"/>
      </w:r>
      <w:r w:rsidRPr="00111811">
        <w:rPr>
          <w:rFonts w:asciiTheme="majorBidi" w:hAnsiTheme="majorBidi" w:cstheme="majorBidi"/>
          <w:sz w:val="4"/>
          <w:lang w:val="en-US"/>
        </w:rPr>
        <w:t> </w:t>
      </w:r>
      <w:r w:rsidRPr="00111811">
        <w:rPr>
          <w:rFonts w:asciiTheme="majorBidi" w:hAnsiTheme="majorBidi" w:cstheme="majorBidi"/>
          <w:lang w:val="en-US"/>
        </w:rPr>
        <w:t xml:space="preserve">500 kHz (i.e. </w:t>
      </w:r>
      <w:r w:rsidRPr="00111811">
        <w:rPr>
          <w:rFonts w:asciiTheme="majorBidi" w:hAnsiTheme="majorBidi" w:cstheme="majorBidi"/>
          <w:lang w:val="fr-CH"/>
        </w:rPr>
        <w:sym w:font="Symbol" w:char="F0B1"/>
      </w:r>
      <w:r w:rsidRPr="00111811">
        <w:rPr>
          <w:rFonts w:asciiTheme="majorBidi" w:hAnsiTheme="majorBidi" w:cstheme="majorBidi"/>
          <w:sz w:val="4"/>
          <w:lang w:val="en-US"/>
        </w:rPr>
        <w:t> </w:t>
      </w:r>
      <w:r w:rsidRPr="00111811">
        <w:rPr>
          <w:rFonts w:asciiTheme="majorBidi" w:hAnsiTheme="majorBidi" w:cstheme="majorBidi"/>
          <w:lang w:val="en-US"/>
        </w:rPr>
        <w:t>2.5 </w:t>
      </w:r>
      <w:r w:rsidR="00111811">
        <w:rPr>
          <w:rFonts w:asciiTheme="majorBidi" w:hAnsiTheme="majorBidi" w:cstheme="majorBidi"/>
          <w:lang w:val="en-US"/>
        </w:rPr>
        <w:sym w:font="Symbol" w:char="F0B4"/>
      </w:r>
      <w:r w:rsidRPr="00111811">
        <w:rPr>
          <w:rFonts w:asciiTheme="majorBidi" w:hAnsiTheme="majorBidi" w:cstheme="majorBidi"/>
          <w:lang w:val="en-US"/>
        </w:rPr>
        <w:t> 200 kHz).</w:t>
      </w:r>
    </w:p>
    <w:p w:rsidR="0040081F" w:rsidRDefault="0040081F" w:rsidP="0040081F">
      <w:pPr>
        <w:rPr>
          <w:lang w:val="en-US"/>
        </w:rPr>
      </w:pPr>
      <w:r>
        <w:rPr>
          <w:lang w:val="en-US"/>
        </w:rPr>
        <w:t>Power level is measured in a 1 kHz bandwidth. The 0 dB reference level corresponds to the mean output power measured in the channel bandwidth (200 kHz).</w:t>
      </w:r>
    </w:p>
    <w:p w:rsidR="00807481" w:rsidRDefault="00807481" w:rsidP="0040081F">
      <w:pPr>
        <w:rPr>
          <w:lang w:val="en-US"/>
        </w:rPr>
      </w:pPr>
    </w:p>
    <w:p w:rsidR="00701FC2" w:rsidRPr="000D4195" w:rsidRDefault="00701FC2" w:rsidP="0040081F">
      <w:pPr>
        <w:pStyle w:val="FigureNo"/>
        <w:rPr>
          <w:lang w:val="en-US"/>
        </w:rPr>
      </w:pPr>
      <w:r w:rsidRPr="000D4195">
        <w:rPr>
          <w:lang w:val="en-US"/>
        </w:rPr>
        <w:t>figure 26</w:t>
      </w:r>
    </w:p>
    <w:p w:rsidR="00701FC2" w:rsidRPr="000D4195" w:rsidRDefault="00701FC2" w:rsidP="00701FC2">
      <w:pPr>
        <w:pStyle w:val="Figuretitle"/>
        <w:rPr>
          <w:lang w:val="en-US"/>
        </w:rPr>
      </w:pPr>
      <w:r w:rsidRPr="000D4195">
        <w:rPr>
          <w:lang w:val="en-US"/>
        </w:rPr>
        <w:t>Spectrum limit mask for VHF FM sound broadcasting</w:t>
      </w:r>
      <w:r w:rsidRPr="000D4195">
        <w:rPr>
          <w:lang w:val="en-US"/>
        </w:rPr>
        <w:br/>
        <w:t>transmitters (preliminary proposal)</w:t>
      </w:r>
    </w:p>
    <w:p w:rsidR="00701FC2" w:rsidRPr="00701FC2" w:rsidRDefault="00273E2F" w:rsidP="00701FC2">
      <w:pPr>
        <w:pStyle w:val="Figure"/>
      </w:pPr>
      <w:r>
        <w:rPr>
          <w:noProof/>
          <w:lang w:val="en-US" w:eastAsia="zh-CN"/>
        </w:rPr>
        <w:drawing>
          <wp:inline distT="0" distB="0" distL="0" distR="0" wp14:anchorId="051CB5EA" wp14:editId="397B8B07">
            <wp:extent cx="4349750" cy="36385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349750" cy="3638550"/>
                    </a:xfrm>
                    <a:prstGeom prst="rect">
                      <a:avLst/>
                    </a:prstGeom>
                    <a:noFill/>
                    <a:ln>
                      <a:noFill/>
                    </a:ln>
                  </pic:spPr>
                </pic:pic>
              </a:graphicData>
            </a:graphic>
          </wp:inline>
        </w:drawing>
      </w:r>
    </w:p>
    <w:p w:rsidR="0040081F" w:rsidRDefault="0040081F" w:rsidP="0040081F">
      <w:pPr>
        <w:pStyle w:val="TableNo"/>
        <w:rPr>
          <w:lang w:val="en-US"/>
        </w:rPr>
      </w:pPr>
      <w:r>
        <w:rPr>
          <w:lang w:val="en-US"/>
        </w:rPr>
        <w:lastRenderedPageBreak/>
        <w:t>TABLE  20</w:t>
      </w:r>
    </w:p>
    <w:p w:rsidR="0040081F" w:rsidRDefault="0040081F" w:rsidP="0040081F">
      <w:pPr>
        <w:pStyle w:val="Tabletitle"/>
        <w:rPr>
          <w:lang w:val="en-US"/>
        </w:rPr>
      </w:pPr>
      <w:r>
        <w:rPr>
          <w:lang w:val="en-US"/>
        </w:rPr>
        <w:t>Break points of spectrum limit mask</w:t>
      </w:r>
      <w:r>
        <w:rPr>
          <w:lang w:val="en-US"/>
        </w:rPr>
        <w:br/>
        <w:t>for VHF FM sound broadcasting</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40081F" w:rsidTr="00976F5D">
        <w:trPr>
          <w:jc w:val="center"/>
        </w:trPr>
        <w:tc>
          <w:tcPr>
            <w:tcW w:w="4264" w:type="dxa"/>
            <w:tcBorders>
              <w:top w:val="single" w:sz="6" w:space="0" w:color="auto"/>
              <w:left w:val="single" w:sz="4" w:space="0" w:color="auto"/>
            </w:tcBorders>
            <w:vAlign w:val="center"/>
          </w:tcPr>
          <w:p w:rsidR="0040081F" w:rsidRDefault="0040081F" w:rsidP="00701FC2">
            <w:pPr>
              <w:pStyle w:val="Tablehead"/>
              <w:rPr>
                <w:lang w:val="en-US"/>
              </w:rPr>
            </w:pPr>
            <w:r>
              <w:rPr>
                <w:lang w:val="en-US"/>
              </w:rPr>
              <w:t>Frequency relative to the centre of the 200 kHz channel</w:t>
            </w:r>
            <w:r>
              <w:rPr>
                <w:lang w:val="en-US"/>
              </w:rPr>
              <w:br/>
              <w:t>(kHz)</w:t>
            </w:r>
          </w:p>
        </w:tc>
        <w:tc>
          <w:tcPr>
            <w:tcW w:w="4264" w:type="dxa"/>
            <w:tcBorders>
              <w:top w:val="single" w:sz="6" w:space="0" w:color="auto"/>
              <w:right w:val="single" w:sz="4" w:space="0" w:color="auto"/>
            </w:tcBorders>
            <w:vAlign w:val="center"/>
          </w:tcPr>
          <w:p w:rsidR="0040081F" w:rsidRDefault="0040081F" w:rsidP="00701FC2">
            <w:pPr>
              <w:pStyle w:val="Tablehead"/>
              <w:rPr>
                <w:lang w:val="en-US"/>
              </w:rPr>
            </w:pPr>
            <w:r>
              <w:rPr>
                <w:lang w:val="en-US"/>
              </w:rPr>
              <w:t>Relative level</w:t>
            </w:r>
            <w:r>
              <w:rPr>
                <w:lang w:val="en-US"/>
              </w:rPr>
              <w:br/>
              <w:t>(dB)</w:t>
            </w:r>
          </w:p>
        </w:tc>
      </w:tr>
      <w:tr w:rsidR="0040081F" w:rsidTr="00976F5D">
        <w:trPr>
          <w:jc w:val="center"/>
        </w:trPr>
        <w:tc>
          <w:tcPr>
            <w:tcW w:w="4264" w:type="dxa"/>
            <w:tcBorders>
              <w:left w:val="single" w:sz="4" w:space="0" w:color="auto"/>
            </w:tcBorders>
          </w:tcPr>
          <w:p w:rsidR="0040081F" w:rsidRDefault="0040081F" w:rsidP="00111811">
            <w:pPr>
              <w:pStyle w:val="Tabletext"/>
              <w:jc w:val="center"/>
              <w:rPr>
                <w:lang w:val="en-US"/>
              </w:rPr>
            </w:pPr>
            <w:r>
              <w:rPr>
                <w:lang w:val="en-US"/>
              </w:rPr>
              <w:t>–0.5</w:t>
            </w:r>
          </w:p>
        </w:tc>
        <w:tc>
          <w:tcPr>
            <w:tcW w:w="4264" w:type="dxa"/>
            <w:tcBorders>
              <w:right w:val="single" w:sz="4" w:space="0" w:color="auto"/>
            </w:tcBorders>
          </w:tcPr>
          <w:p w:rsidR="0040081F" w:rsidRDefault="0040081F" w:rsidP="00111811">
            <w:pPr>
              <w:pStyle w:val="Tabletext"/>
              <w:jc w:val="center"/>
              <w:rPr>
                <w:lang w:val="en-US"/>
              </w:rPr>
            </w:pPr>
            <w:r>
              <w:rPr>
                <w:lang w:val="en-US"/>
              </w:rPr>
              <w:t>–105</w:t>
            </w:r>
          </w:p>
        </w:tc>
      </w:tr>
      <w:tr w:rsidR="0040081F" w:rsidTr="00976F5D">
        <w:trPr>
          <w:jc w:val="center"/>
        </w:trPr>
        <w:tc>
          <w:tcPr>
            <w:tcW w:w="4264" w:type="dxa"/>
            <w:tcBorders>
              <w:left w:val="single" w:sz="4" w:space="0" w:color="auto"/>
            </w:tcBorders>
          </w:tcPr>
          <w:p w:rsidR="0040081F" w:rsidRDefault="0040081F" w:rsidP="00111811">
            <w:pPr>
              <w:pStyle w:val="Tabletext"/>
              <w:jc w:val="center"/>
              <w:rPr>
                <w:lang w:val="en-US"/>
              </w:rPr>
            </w:pPr>
            <w:r>
              <w:rPr>
                <w:lang w:val="en-US"/>
              </w:rPr>
              <w:t>–0.3</w:t>
            </w:r>
          </w:p>
        </w:tc>
        <w:tc>
          <w:tcPr>
            <w:tcW w:w="4264" w:type="dxa"/>
            <w:tcBorders>
              <w:right w:val="single" w:sz="4" w:space="0" w:color="auto"/>
            </w:tcBorders>
          </w:tcPr>
          <w:p w:rsidR="0040081F" w:rsidRDefault="0040081F" w:rsidP="00111811">
            <w:pPr>
              <w:pStyle w:val="Tabletext"/>
              <w:jc w:val="center"/>
              <w:rPr>
                <w:lang w:val="en-US"/>
              </w:rPr>
            </w:pPr>
            <w:r>
              <w:rPr>
                <w:lang w:val="en-US"/>
              </w:rPr>
              <w:t>–94</w:t>
            </w:r>
          </w:p>
        </w:tc>
      </w:tr>
      <w:tr w:rsidR="0040081F" w:rsidTr="00976F5D">
        <w:trPr>
          <w:jc w:val="center"/>
        </w:trPr>
        <w:tc>
          <w:tcPr>
            <w:tcW w:w="4264" w:type="dxa"/>
            <w:tcBorders>
              <w:left w:val="single" w:sz="4" w:space="0" w:color="auto"/>
            </w:tcBorders>
          </w:tcPr>
          <w:p w:rsidR="0040081F" w:rsidRDefault="0040081F" w:rsidP="00111811">
            <w:pPr>
              <w:pStyle w:val="Tabletext"/>
              <w:jc w:val="center"/>
              <w:rPr>
                <w:lang w:val="en-US"/>
              </w:rPr>
            </w:pPr>
            <w:r>
              <w:rPr>
                <w:lang w:val="en-US"/>
              </w:rPr>
              <w:t>–0.2</w:t>
            </w:r>
          </w:p>
        </w:tc>
        <w:tc>
          <w:tcPr>
            <w:tcW w:w="4264" w:type="dxa"/>
            <w:tcBorders>
              <w:right w:val="single" w:sz="4" w:space="0" w:color="auto"/>
            </w:tcBorders>
          </w:tcPr>
          <w:p w:rsidR="0040081F" w:rsidRDefault="0040081F" w:rsidP="00111811">
            <w:pPr>
              <w:pStyle w:val="Tabletext"/>
              <w:jc w:val="center"/>
              <w:rPr>
                <w:lang w:val="en-US"/>
              </w:rPr>
            </w:pPr>
            <w:r>
              <w:rPr>
                <w:lang w:val="en-US"/>
              </w:rPr>
              <w:t>–80</w:t>
            </w:r>
          </w:p>
        </w:tc>
      </w:tr>
      <w:tr w:rsidR="0040081F" w:rsidTr="00976F5D">
        <w:trPr>
          <w:jc w:val="center"/>
        </w:trPr>
        <w:tc>
          <w:tcPr>
            <w:tcW w:w="4264" w:type="dxa"/>
            <w:tcBorders>
              <w:left w:val="single" w:sz="4" w:space="0" w:color="auto"/>
            </w:tcBorders>
          </w:tcPr>
          <w:p w:rsidR="0040081F" w:rsidRDefault="0040081F" w:rsidP="00111811">
            <w:pPr>
              <w:pStyle w:val="Tabletext"/>
              <w:jc w:val="center"/>
              <w:rPr>
                <w:lang w:val="en-US"/>
              </w:rPr>
            </w:pPr>
            <w:r>
              <w:rPr>
                <w:lang w:val="en-US"/>
              </w:rPr>
              <w:t>–0.1</w:t>
            </w:r>
          </w:p>
        </w:tc>
        <w:tc>
          <w:tcPr>
            <w:tcW w:w="4264" w:type="dxa"/>
            <w:tcBorders>
              <w:right w:val="single" w:sz="4" w:space="0" w:color="auto"/>
            </w:tcBorders>
          </w:tcPr>
          <w:p w:rsidR="0040081F" w:rsidRDefault="0040081F" w:rsidP="00111811">
            <w:pPr>
              <w:pStyle w:val="Tabletext"/>
              <w:jc w:val="center"/>
              <w:rPr>
                <w:lang w:val="en-US"/>
              </w:rPr>
            </w:pPr>
            <w:r>
              <w:rPr>
                <w:lang w:val="en-US"/>
              </w:rPr>
              <w:t>–23</w:t>
            </w:r>
          </w:p>
        </w:tc>
      </w:tr>
      <w:tr w:rsidR="0040081F" w:rsidTr="00976F5D">
        <w:trPr>
          <w:jc w:val="center"/>
        </w:trPr>
        <w:tc>
          <w:tcPr>
            <w:tcW w:w="4264" w:type="dxa"/>
            <w:tcBorders>
              <w:left w:val="single" w:sz="4" w:space="0" w:color="auto"/>
            </w:tcBorders>
          </w:tcPr>
          <w:p w:rsidR="0040081F" w:rsidRDefault="0040081F" w:rsidP="00111811">
            <w:pPr>
              <w:pStyle w:val="Tabletext"/>
              <w:jc w:val="center"/>
              <w:rPr>
                <w:lang w:val="en-US"/>
              </w:rPr>
            </w:pPr>
            <w:r>
              <w:rPr>
                <w:lang w:val="en-US"/>
              </w:rPr>
              <w:t>0.1</w:t>
            </w:r>
          </w:p>
        </w:tc>
        <w:tc>
          <w:tcPr>
            <w:tcW w:w="4264" w:type="dxa"/>
            <w:tcBorders>
              <w:right w:val="single" w:sz="4" w:space="0" w:color="auto"/>
            </w:tcBorders>
          </w:tcPr>
          <w:p w:rsidR="0040081F" w:rsidRDefault="0040081F" w:rsidP="00111811">
            <w:pPr>
              <w:pStyle w:val="Tabletext"/>
              <w:jc w:val="center"/>
              <w:rPr>
                <w:lang w:val="en-US"/>
              </w:rPr>
            </w:pPr>
            <w:r>
              <w:rPr>
                <w:lang w:val="en-US"/>
              </w:rPr>
              <w:t>–23</w:t>
            </w:r>
          </w:p>
        </w:tc>
      </w:tr>
      <w:tr w:rsidR="0040081F" w:rsidTr="00976F5D">
        <w:trPr>
          <w:jc w:val="center"/>
        </w:trPr>
        <w:tc>
          <w:tcPr>
            <w:tcW w:w="4264" w:type="dxa"/>
            <w:tcBorders>
              <w:left w:val="single" w:sz="4" w:space="0" w:color="auto"/>
            </w:tcBorders>
          </w:tcPr>
          <w:p w:rsidR="0040081F" w:rsidRDefault="0040081F" w:rsidP="00111811">
            <w:pPr>
              <w:pStyle w:val="Tabletext"/>
              <w:jc w:val="center"/>
              <w:rPr>
                <w:lang w:val="en-US"/>
              </w:rPr>
            </w:pPr>
            <w:r>
              <w:rPr>
                <w:lang w:val="en-US"/>
              </w:rPr>
              <w:t>0.2</w:t>
            </w:r>
          </w:p>
        </w:tc>
        <w:tc>
          <w:tcPr>
            <w:tcW w:w="4264" w:type="dxa"/>
            <w:tcBorders>
              <w:right w:val="single" w:sz="4" w:space="0" w:color="auto"/>
            </w:tcBorders>
          </w:tcPr>
          <w:p w:rsidR="0040081F" w:rsidRDefault="0040081F" w:rsidP="00111811">
            <w:pPr>
              <w:pStyle w:val="Tabletext"/>
              <w:jc w:val="center"/>
              <w:rPr>
                <w:lang w:val="en-US"/>
              </w:rPr>
            </w:pPr>
            <w:r>
              <w:rPr>
                <w:lang w:val="en-US"/>
              </w:rPr>
              <w:t>–80</w:t>
            </w:r>
          </w:p>
        </w:tc>
      </w:tr>
      <w:tr w:rsidR="0040081F" w:rsidTr="00976F5D">
        <w:trPr>
          <w:jc w:val="center"/>
        </w:trPr>
        <w:tc>
          <w:tcPr>
            <w:tcW w:w="4264" w:type="dxa"/>
            <w:tcBorders>
              <w:left w:val="single" w:sz="4" w:space="0" w:color="auto"/>
            </w:tcBorders>
          </w:tcPr>
          <w:p w:rsidR="0040081F" w:rsidRDefault="0040081F" w:rsidP="00111811">
            <w:pPr>
              <w:pStyle w:val="Tabletext"/>
              <w:jc w:val="center"/>
              <w:rPr>
                <w:lang w:val="en-US"/>
              </w:rPr>
            </w:pPr>
            <w:r>
              <w:rPr>
                <w:lang w:val="en-US"/>
              </w:rPr>
              <w:t>0.3</w:t>
            </w:r>
          </w:p>
        </w:tc>
        <w:tc>
          <w:tcPr>
            <w:tcW w:w="4264" w:type="dxa"/>
            <w:tcBorders>
              <w:right w:val="single" w:sz="4" w:space="0" w:color="auto"/>
            </w:tcBorders>
          </w:tcPr>
          <w:p w:rsidR="0040081F" w:rsidRDefault="0040081F" w:rsidP="00111811">
            <w:pPr>
              <w:pStyle w:val="Tabletext"/>
              <w:jc w:val="center"/>
              <w:rPr>
                <w:lang w:val="en-US"/>
              </w:rPr>
            </w:pPr>
            <w:r>
              <w:rPr>
                <w:lang w:val="en-US"/>
              </w:rPr>
              <w:t>–94</w:t>
            </w:r>
          </w:p>
        </w:tc>
      </w:tr>
      <w:tr w:rsidR="0040081F" w:rsidTr="00976F5D">
        <w:trPr>
          <w:jc w:val="center"/>
        </w:trPr>
        <w:tc>
          <w:tcPr>
            <w:tcW w:w="4264" w:type="dxa"/>
            <w:tcBorders>
              <w:left w:val="single" w:sz="4" w:space="0" w:color="auto"/>
              <w:bottom w:val="single" w:sz="4" w:space="0" w:color="auto"/>
            </w:tcBorders>
          </w:tcPr>
          <w:p w:rsidR="0040081F" w:rsidRDefault="0040081F" w:rsidP="00111811">
            <w:pPr>
              <w:pStyle w:val="Tabletext"/>
              <w:jc w:val="center"/>
              <w:rPr>
                <w:lang w:val="en-US"/>
              </w:rPr>
            </w:pPr>
            <w:r>
              <w:rPr>
                <w:lang w:val="en-US"/>
              </w:rPr>
              <w:t>0.5</w:t>
            </w:r>
          </w:p>
        </w:tc>
        <w:tc>
          <w:tcPr>
            <w:tcW w:w="4264" w:type="dxa"/>
            <w:tcBorders>
              <w:bottom w:val="single" w:sz="4" w:space="0" w:color="auto"/>
              <w:right w:val="single" w:sz="4" w:space="0" w:color="auto"/>
            </w:tcBorders>
          </w:tcPr>
          <w:p w:rsidR="0040081F" w:rsidRDefault="0040081F" w:rsidP="00111811">
            <w:pPr>
              <w:pStyle w:val="Tabletext"/>
              <w:jc w:val="center"/>
              <w:rPr>
                <w:lang w:val="en-US"/>
              </w:rPr>
            </w:pPr>
            <w:r>
              <w:rPr>
                <w:lang w:val="en-US"/>
              </w:rPr>
              <w:t>–105</w:t>
            </w:r>
          </w:p>
        </w:tc>
      </w:tr>
    </w:tbl>
    <w:p w:rsidR="0040081F" w:rsidRDefault="0040081F" w:rsidP="0040081F">
      <w:pPr>
        <w:pStyle w:val="Tablefin"/>
      </w:pPr>
    </w:p>
    <w:p w:rsidR="0040081F" w:rsidRDefault="0040081F" w:rsidP="0040081F">
      <w:pPr>
        <w:pStyle w:val="Heading1"/>
        <w:rPr>
          <w:lang w:val="en-US"/>
        </w:rPr>
      </w:pPr>
      <w:r>
        <w:rPr>
          <w:lang w:val="en-US"/>
        </w:rPr>
        <w:t>2</w:t>
      </w:r>
      <w:r>
        <w:rPr>
          <w:lang w:val="en-US"/>
        </w:rPr>
        <w:tab/>
        <w:t>Sound broadcasting below 30 MHz</w:t>
      </w:r>
    </w:p>
    <w:p w:rsidR="0040081F" w:rsidRDefault="0040081F" w:rsidP="0040081F">
      <w:pPr>
        <w:rPr>
          <w:lang w:val="en-US"/>
        </w:rPr>
      </w:pPr>
      <w:r>
        <w:rPr>
          <w:lang w:val="en-US"/>
        </w:rPr>
        <w:t xml:space="preserve">OoB domain emissions for double-sideband and single-sideband sound broadcasting transmitter operating below 30 MHz are estimated from Recommendation ITU-R SM.328. </w:t>
      </w:r>
    </w:p>
    <w:p w:rsidR="0040081F" w:rsidRPr="008473E3" w:rsidRDefault="0040081F" w:rsidP="0040081F">
      <w:pPr>
        <w:pStyle w:val="Heading2"/>
        <w:rPr>
          <w:lang w:val="en-US"/>
        </w:rPr>
      </w:pPr>
      <w:r w:rsidRPr="008473E3">
        <w:rPr>
          <w:lang w:val="en-US"/>
        </w:rPr>
        <w:t>2.</w:t>
      </w:r>
      <w:r>
        <w:rPr>
          <w:lang w:val="en-US"/>
        </w:rPr>
        <w:t>1</w:t>
      </w:r>
      <w:r w:rsidRPr="008473E3">
        <w:rPr>
          <w:lang w:val="en-US"/>
        </w:rPr>
        <w:tab/>
        <w:t>Digital Radio Mondiale systems</w:t>
      </w:r>
    </w:p>
    <w:p w:rsidR="0040081F" w:rsidRPr="008473E3" w:rsidRDefault="0040081F" w:rsidP="0040081F">
      <w:pPr>
        <w:rPr>
          <w:lang w:val="en-US"/>
        </w:rPr>
      </w:pPr>
      <w:r w:rsidRPr="008473E3">
        <w:rPr>
          <w:lang w:val="en-US"/>
        </w:rPr>
        <w:t>For Digital Radio Mondiale (DRM) systems, the OoB domain extends:</w:t>
      </w:r>
    </w:p>
    <w:p w:rsidR="0040081F" w:rsidRPr="00111811" w:rsidRDefault="0040081F" w:rsidP="0040081F">
      <w:pPr>
        <w:pStyle w:val="enumlev1"/>
        <w:rPr>
          <w:rFonts w:asciiTheme="majorBidi" w:hAnsiTheme="majorBidi" w:cstheme="majorBidi"/>
          <w:lang w:val="en-US"/>
        </w:rPr>
      </w:pPr>
      <w:r w:rsidRPr="00111811">
        <w:rPr>
          <w:rFonts w:asciiTheme="majorBidi" w:hAnsiTheme="majorBidi" w:cstheme="majorBidi"/>
          <w:lang w:val="en-US"/>
        </w:rPr>
        <w:t>–</w:t>
      </w:r>
      <w:r w:rsidRPr="00111811">
        <w:rPr>
          <w:rFonts w:asciiTheme="majorBidi" w:hAnsiTheme="majorBidi" w:cstheme="majorBidi"/>
          <w:lang w:val="en-US"/>
        </w:rPr>
        <w:tab/>
        <w:t xml:space="preserve">for 4.5 kHz channelling, from </w:t>
      </w:r>
      <w:r w:rsidRPr="00111811">
        <w:rPr>
          <w:rFonts w:asciiTheme="majorBidi" w:hAnsiTheme="majorBidi" w:cstheme="majorBidi"/>
        </w:rPr>
        <w:sym w:font="Symbol" w:char="F0B1"/>
      </w:r>
      <w:r w:rsidRPr="00111811">
        <w:rPr>
          <w:rFonts w:asciiTheme="majorBidi" w:hAnsiTheme="majorBidi" w:cstheme="majorBidi"/>
          <w:lang w:val="en-US"/>
        </w:rPr>
        <w:t>2.25 kHz (i.e. </w:t>
      </w:r>
      <w:r w:rsidRPr="00111811">
        <w:rPr>
          <w:rFonts w:asciiTheme="majorBidi" w:hAnsiTheme="majorBidi" w:cstheme="majorBidi"/>
        </w:rPr>
        <w:sym w:font="Symbol" w:char="F0B1"/>
      </w:r>
      <w:r w:rsidRPr="00111811">
        <w:rPr>
          <w:rFonts w:asciiTheme="majorBidi" w:hAnsiTheme="majorBidi" w:cstheme="majorBidi"/>
          <w:lang w:val="en-US"/>
        </w:rPr>
        <w:t>0.5 </w:t>
      </w:r>
      <w:r w:rsidRPr="00111811">
        <w:rPr>
          <w:rFonts w:asciiTheme="majorBidi" w:hAnsiTheme="majorBidi" w:cstheme="majorBidi"/>
          <w:lang w:val="en-US"/>
        </w:rPr>
        <w:sym w:font="Symbol" w:char="F0B4"/>
      </w:r>
      <w:r w:rsidRPr="00111811">
        <w:rPr>
          <w:rFonts w:asciiTheme="majorBidi" w:hAnsiTheme="majorBidi" w:cstheme="majorBidi"/>
          <w:lang w:val="en-US"/>
        </w:rPr>
        <w:t xml:space="preserve"> 4.5 kHz) to </w:t>
      </w:r>
      <w:r w:rsidRPr="00111811">
        <w:rPr>
          <w:rFonts w:asciiTheme="majorBidi" w:hAnsiTheme="majorBidi" w:cstheme="majorBidi"/>
        </w:rPr>
        <w:sym w:font="Symbol" w:char="F0B1"/>
      </w:r>
      <w:r w:rsidRPr="00111811">
        <w:rPr>
          <w:rFonts w:asciiTheme="majorBidi" w:hAnsiTheme="majorBidi" w:cstheme="majorBidi"/>
          <w:lang w:val="en-US"/>
        </w:rPr>
        <w:t>11.25 kHz (i.e. </w:t>
      </w:r>
      <w:r w:rsidRPr="00111811">
        <w:rPr>
          <w:rFonts w:asciiTheme="majorBidi" w:hAnsiTheme="majorBidi" w:cstheme="majorBidi"/>
        </w:rPr>
        <w:sym w:font="Symbol" w:char="F0B1"/>
      </w:r>
      <w:r w:rsidRPr="00111811">
        <w:rPr>
          <w:rFonts w:asciiTheme="majorBidi" w:hAnsiTheme="majorBidi" w:cstheme="majorBidi"/>
          <w:lang w:val="en-US"/>
        </w:rPr>
        <w:t>2.5 </w:t>
      </w:r>
      <w:r w:rsidRPr="00111811">
        <w:rPr>
          <w:rFonts w:asciiTheme="majorBidi" w:hAnsiTheme="majorBidi" w:cstheme="majorBidi"/>
          <w:lang w:val="en-US"/>
        </w:rPr>
        <w:sym w:font="Symbol" w:char="F0B4"/>
      </w:r>
      <w:r w:rsidRPr="00111811">
        <w:rPr>
          <w:rFonts w:asciiTheme="majorBidi" w:hAnsiTheme="majorBidi" w:cstheme="majorBidi"/>
          <w:lang w:val="en-US"/>
        </w:rPr>
        <w:t> 4.5 kHz);</w:t>
      </w:r>
    </w:p>
    <w:p w:rsidR="0040081F" w:rsidRPr="00111811" w:rsidRDefault="0040081F" w:rsidP="0040081F">
      <w:pPr>
        <w:pStyle w:val="enumlev1"/>
        <w:rPr>
          <w:rFonts w:asciiTheme="majorBidi" w:hAnsiTheme="majorBidi" w:cstheme="majorBidi"/>
          <w:lang w:val="en-US"/>
        </w:rPr>
      </w:pPr>
      <w:r w:rsidRPr="00111811">
        <w:rPr>
          <w:rFonts w:asciiTheme="majorBidi" w:hAnsiTheme="majorBidi" w:cstheme="majorBidi"/>
          <w:lang w:val="en-US"/>
        </w:rPr>
        <w:t>–</w:t>
      </w:r>
      <w:r w:rsidRPr="00111811">
        <w:rPr>
          <w:rFonts w:asciiTheme="majorBidi" w:hAnsiTheme="majorBidi" w:cstheme="majorBidi"/>
          <w:lang w:val="en-US"/>
        </w:rPr>
        <w:tab/>
        <w:t xml:space="preserve">for 5 kHz channelling, from </w:t>
      </w:r>
      <w:r w:rsidRPr="00111811">
        <w:rPr>
          <w:rFonts w:asciiTheme="majorBidi" w:hAnsiTheme="majorBidi" w:cstheme="majorBidi"/>
        </w:rPr>
        <w:sym w:font="Symbol" w:char="F0B1"/>
      </w:r>
      <w:r w:rsidRPr="00111811">
        <w:rPr>
          <w:rFonts w:asciiTheme="majorBidi" w:hAnsiTheme="majorBidi" w:cstheme="majorBidi"/>
          <w:lang w:val="en-US"/>
        </w:rPr>
        <w:t>2.5 kHz (i.e. </w:t>
      </w:r>
      <w:r w:rsidRPr="00111811">
        <w:rPr>
          <w:rFonts w:asciiTheme="majorBidi" w:hAnsiTheme="majorBidi" w:cstheme="majorBidi"/>
        </w:rPr>
        <w:sym w:font="Symbol" w:char="F0B1"/>
      </w:r>
      <w:r w:rsidRPr="00111811">
        <w:rPr>
          <w:rFonts w:asciiTheme="majorBidi" w:hAnsiTheme="majorBidi" w:cstheme="majorBidi"/>
          <w:lang w:val="en-US"/>
        </w:rPr>
        <w:t>0.5 </w:t>
      </w:r>
      <w:r w:rsidRPr="00111811">
        <w:rPr>
          <w:rFonts w:asciiTheme="majorBidi" w:hAnsiTheme="majorBidi" w:cstheme="majorBidi"/>
          <w:lang w:val="en-US"/>
        </w:rPr>
        <w:sym w:font="Symbol" w:char="F0B4"/>
      </w:r>
      <w:r w:rsidRPr="00111811">
        <w:rPr>
          <w:rFonts w:asciiTheme="majorBidi" w:hAnsiTheme="majorBidi" w:cstheme="majorBidi"/>
          <w:lang w:val="en-US"/>
        </w:rPr>
        <w:t xml:space="preserve"> 5 kHz) to </w:t>
      </w:r>
      <w:r w:rsidRPr="00111811">
        <w:rPr>
          <w:rFonts w:asciiTheme="majorBidi" w:hAnsiTheme="majorBidi" w:cstheme="majorBidi"/>
        </w:rPr>
        <w:sym w:font="Symbol" w:char="F0B1"/>
      </w:r>
      <w:r w:rsidRPr="00111811">
        <w:rPr>
          <w:rFonts w:asciiTheme="majorBidi" w:hAnsiTheme="majorBidi" w:cstheme="majorBidi"/>
          <w:lang w:val="en-US"/>
        </w:rPr>
        <w:t>12.5 kHz (i.e. </w:t>
      </w:r>
      <w:r w:rsidRPr="00111811">
        <w:rPr>
          <w:rFonts w:asciiTheme="majorBidi" w:hAnsiTheme="majorBidi" w:cstheme="majorBidi"/>
        </w:rPr>
        <w:sym w:font="Symbol" w:char="F0B1"/>
      </w:r>
      <w:r w:rsidRPr="00111811">
        <w:rPr>
          <w:rFonts w:asciiTheme="majorBidi" w:hAnsiTheme="majorBidi" w:cstheme="majorBidi"/>
          <w:lang w:val="en-US"/>
        </w:rPr>
        <w:t>2.5 </w:t>
      </w:r>
      <w:r w:rsidRPr="00111811">
        <w:rPr>
          <w:rFonts w:asciiTheme="majorBidi" w:hAnsiTheme="majorBidi" w:cstheme="majorBidi"/>
          <w:lang w:val="en-US"/>
        </w:rPr>
        <w:sym w:font="Symbol" w:char="F0B4"/>
      </w:r>
      <w:r w:rsidRPr="00111811">
        <w:rPr>
          <w:rFonts w:asciiTheme="majorBidi" w:hAnsiTheme="majorBidi" w:cstheme="majorBidi"/>
          <w:lang w:val="en-US"/>
        </w:rPr>
        <w:t> 5 kHz);</w:t>
      </w:r>
    </w:p>
    <w:p w:rsidR="0040081F" w:rsidRPr="00111811" w:rsidRDefault="0040081F" w:rsidP="0040081F">
      <w:pPr>
        <w:pStyle w:val="enumlev1"/>
        <w:rPr>
          <w:rFonts w:asciiTheme="majorBidi" w:hAnsiTheme="majorBidi" w:cstheme="majorBidi"/>
          <w:lang w:val="en-US"/>
        </w:rPr>
      </w:pPr>
      <w:r w:rsidRPr="00111811">
        <w:rPr>
          <w:rFonts w:asciiTheme="majorBidi" w:hAnsiTheme="majorBidi" w:cstheme="majorBidi"/>
          <w:lang w:val="en-US"/>
        </w:rPr>
        <w:t>–</w:t>
      </w:r>
      <w:r w:rsidRPr="00111811">
        <w:rPr>
          <w:rFonts w:asciiTheme="majorBidi" w:hAnsiTheme="majorBidi" w:cstheme="majorBidi"/>
          <w:lang w:val="en-US"/>
        </w:rPr>
        <w:tab/>
        <w:t xml:space="preserve">for 9 kHz channelling, from </w:t>
      </w:r>
      <w:r w:rsidRPr="00111811">
        <w:rPr>
          <w:rFonts w:asciiTheme="majorBidi" w:hAnsiTheme="majorBidi" w:cstheme="majorBidi"/>
        </w:rPr>
        <w:sym w:font="Symbol" w:char="F0B1"/>
      </w:r>
      <w:r w:rsidRPr="00111811">
        <w:rPr>
          <w:rFonts w:asciiTheme="majorBidi" w:hAnsiTheme="majorBidi" w:cstheme="majorBidi"/>
          <w:lang w:val="en-US"/>
        </w:rPr>
        <w:t>4.5 kHz (i.e. </w:t>
      </w:r>
      <w:r w:rsidRPr="00111811">
        <w:rPr>
          <w:rFonts w:asciiTheme="majorBidi" w:hAnsiTheme="majorBidi" w:cstheme="majorBidi"/>
        </w:rPr>
        <w:sym w:font="Symbol" w:char="F0B1"/>
      </w:r>
      <w:r w:rsidRPr="00111811">
        <w:rPr>
          <w:rFonts w:asciiTheme="majorBidi" w:hAnsiTheme="majorBidi" w:cstheme="majorBidi"/>
          <w:lang w:val="en-US"/>
        </w:rPr>
        <w:t>0.5 </w:t>
      </w:r>
      <w:r w:rsidRPr="00111811">
        <w:rPr>
          <w:rFonts w:asciiTheme="majorBidi" w:hAnsiTheme="majorBidi" w:cstheme="majorBidi"/>
          <w:lang w:val="en-US"/>
        </w:rPr>
        <w:sym w:font="Symbol" w:char="F0B4"/>
      </w:r>
      <w:r w:rsidRPr="00111811">
        <w:rPr>
          <w:rFonts w:asciiTheme="majorBidi" w:hAnsiTheme="majorBidi" w:cstheme="majorBidi"/>
          <w:lang w:val="en-US"/>
        </w:rPr>
        <w:t xml:space="preserve"> 9 kHz) to </w:t>
      </w:r>
      <w:r w:rsidRPr="00111811">
        <w:rPr>
          <w:rFonts w:asciiTheme="majorBidi" w:hAnsiTheme="majorBidi" w:cstheme="majorBidi"/>
        </w:rPr>
        <w:sym w:font="Symbol" w:char="F0B1"/>
      </w:r>
      <w:r w:rsidRPr="00111811">
        <w:rPr>
          <w:rFonts w:asciiTheme="majorBidi" w:hAnsiTheme="majorBidi" w:cstheme="majorBidi"/>
          <w:lang w:val="en-US"/>
        </w:rPr>
        <w:t>22.5 kHz (i.e. </w:t>
      </w:r>
      <w:r w:rsidRPr="00111811">
        <w:rPr>
          <w:rFonts w:asciiTheme="majorBidi" w:hAnsiTheme="majorBidi" w:cstheme="majorBidi"/>
        </w:rPr>
        <w:sym w:font="Symbol" w:char="F0B1"/>
      </w:r>
      <w:r w:rsidRPr="00111811">
        <w:rPr>
          <w:rFonts w:asciiTheme="majorBidi" w:hAnsiTheme="majorBidi" w:cstheme="majorBidi"/>
          <w:lang w:val="en-US"/>
        </w:rPr>
        <w:t>2.5 </w:t>
      </w:r>
      <w:r w:rsidRPr="00111811">
        <w:rPr>
          <w:rFonts w:asciiTheme="majorBidi" w:hAnsiTheme="majorBidi" w:cstheme="majorBidi"/>
          <w:lang w:val="en-US"/>
        </w:rPr>
        <w:sym w:font="Symbol" w:char="F0B4"/>
      </w:r>
      <w:r w:rsidRPr="00111811">
        <w:rPr>
          <w:rFonts w:asciiTheme="majorBidi" w:hAnsiTheme="majorBidi" w:cstheme="majorBidi"/>
          <w:lang w:val="en-US"/>
        </w:rPr>
        <w:t> 9 kHz);</w:t>
      </w:r>
    </w:p>
    <w:p w:rsidR="0040081F" w:rsidRPr="00111811" w:rsidRDefault="0040081F" w:rsidP="0040081F">
      <w:pPr>
        <w:pStyle w:val="enumlev1"/>
        <w:rPr>
          <w:rFonts w:asciiTheme="majorBidi" w:hAnsiTheme="majorBidi" w:cstheme="majorBidi"/>
          <w:lang w:val="en-US"/>
        </w:rPr>
      </w:pPr>
      <w:r w:rsidRPr="00111811">
        <w:rPr>
          <w:rFonts w:asciiTheme="majorBidi" w:hAnsiTheme="majorBidi" w:cstheme="majorBidi"/>
          <w:lang w:val="en-US"/>
        </w:rPr>
        <w:t>–</w:t>
      </w:r>
      <w:r w:rsidRPr="00111811">
        <w:rPr>
          <w:rFonts w:asciiTheme="majorBidi" w:hAnsiTheme="majorBidi" w:cstheme="majorBidi"/>
          <w:lang w:val="en-US"/>
        </w:rPr>
        <w:tab/>
        <w:t xml:space="preserve">for 10 kHz channelling, from </w:t>
      </w:r>
      <w:r w:rsidRPr="00111811">
        <w:rPr>
          <w:rFonts w:asciiTheme="majorBidi" w:hAnsiTheme="majorBidi" w:cstheme="majorBidi"/>
        </w:rPr>
        <w:sym w:font="Symbol" w:char="F0B1"/>
      </w:r>
      <w:r w:rsidRPr="00111811">
        <w:rPr>
          <w:rFonts w:asciiTheme="majorBidi" w:hAnsiTheme="majorBidi" w:cstheme="majorBidi"/>
          <w:lang w:val="en-US"/>
        </w:rPr>
        <w:t>5 kHz (i.e. </w:t>
      </w:r>
      <w:r w:rsidRPr="00111811">
        <w:rPr>
          <w:rFonts w:asciiTheme="majorBidi" w:hAnsiTheme="majorBidi" w:cstheme="majorBidi"/>
        </w:rPr>
        <w:sym w:font="Symbol" w:char="F0B1"/>
      </w:r>
      <w:r w:rsidRPr="00111811">
        <w:rPr>
          <w:rFonts w:asciiTheme="majorBidi" w:hAnsiTheme="majorBidi" w:cstheme="majorBidi"/>
          <w:lang w:val="en-US"/>
        </w:rPr>
        <w:t>0.5 </w:t>
      </w:r>
      <w:r w:rsidRPr="00111811">
        <w:rPr>
          <w:rFonts w:asciiTheme="majorBidi" w:hAnsiTheme="majorBidi" w:cstheme="majorBidi"/>
          <w:lang w:val="en-US"/>
        </w:rPr>
        <w:sym w:font="Symbol" w:char="F0B4"/>
      </w:r>
      <w:r w:rsidRPr="00111811">
        <w:rPr>
          <w:rFonts w:asciiTheme="majorBidi" w:hAnsiTheme="majorBidi" w:cstheme="majorBidi"/>
          <w:lang w:val="en-US"/>
        </w:rPr>
        <w:t xml:space="preserve"> 10 kHz) to </w:t>
      </w:r>
      <w:r w:rsidRPr="00111811">
        <w:rPr>
          <w:rFonts w:asciiTheme="majorBidi" w:hAnsiTheme="majorBidi" w:cstheme="majorBidi"/>
        </w:rPr>
        <w:sym w:font="Symbol" w:char="F0B1"/>
      </w:r>
      <w:r w:rsidRPr="00111811">
        <w:rPr>
          <w:rFonts w:asciiTheme="majorBidi" w:hAnsiTheme="majorBidi" w:cstheme="majorBidi"/>
          <w:lang w:val="en-US"/>
        </w:rPr>
        <w:t>25 kHz (i.e. </w:t>
      </w:r>
      <w:r w:rsidRPr="00111811">
        <w:rPr>
          <w:rFonts w:asciiTheme="majorBidi" w:hAnsiTheme="majorBidi" w:cstheme="majorBidi"/>
        </w:rPr>
        <w:sym w:font="Symbol" w:char="F0B1"/>
      </w:r>
      <w:r w:rsidRPr="00111811">
        <w:rPr>
          <w:rFonts w:asciiTheme="majorBidi" w:hAnsiTheme="majorBidi" w:cstheme="majorBidi"/>
          <w:lang w:val="en-US"/>
        </w:rPr>
        <w:t>2.5 </w:t>
      </w:r>
      <w:r w:rsidRPr="00111811">
        <w:rPr>
          <w:rFonts w:asciiTheme="majorBidi" w:hAnsiTheme="majorBidi" w:cstheme="majorBidi"/>
          <w:lang w:val="en-US"/>
        </w:rPr>
        <w:sym w:font="Symbol" w:char="F0B4"/>
      </w:r>
      <w:r w:rsidRPr="00111811">
        <w:rPr>
          <w:rFonts w:asciiTheme="majorBidi" w:hAnsiTheme="majorBidi" w:cstheme="majorBidi"/>
          <w:lang w:val="en-US"/>
        </w:rPr>
        <w:t> 10 kHz).</w:t>
      </w:r>
    </w:p>
    <w:p w:rsidR="0040081F" w:rsidRPr="008473E3" w:rsidRDefault="0040081F" w:rsidP="0040081F">
      <w:pPr>
        <w:rPr>
          <w:lang w:val="en-US"/>
        </w:rPr>
      </w:pPr>
      <w:r w:rsidRPr="008473E3">
        <w:rPr>
          <w:lang w:val="en-US"/>
        </w:rPr>
        <w:t>Recommendation ITU</w:t>
      </w:r>
      <w:r w:rsidRPr="008473E3">
        <w:rPr>
          <w:lang w:val="en-US"/>
        </w:rPr>
        <w:noBreakHyphen/>
        <w:t>R BS.1615 – “Planning parameters” for digital sound broadcasting at frequencies below 30 MHz (§ 2.2) provides guidance for defining the DRM spectrum limit masks.</w:t>
      </w:r>
    </w:p>
    <w:p w:rsidR="0040081F" w:rsidRPr="008473E3" w:rsidRDefault="0040081F" w:rsidP="0040081F">
      <w:pPr>
        <w:rPr>
          <w:lang w:val="en-US"/>
        </w:rPr>
      </w:pPr>
      <w:r w:rsidRPr="008473E3">
        <w:rPr>
          <w:lang w:val="en-US"/>
        </w:rPr>
        <w:t>The DRM spectrum limit masks are calculated according to Recommendation ITU</w:t>
      </w:r>
      <w:r w:rsidRPr="008473E3">
        <w:rPr>
          <w:lang w:val="en-US"/>
        </w:rPr>
        <w:noBreakHyphen/>
        <w:t xml:space="preserve">R SM.328, § 6.3.3 of Annex 1, using the channel bandwidths given above. This includes a 30 dB attenuation at </w:t>
      </w:r>
      <w:r w:rsidRPr="00720A59">
        <w:sym w:font="Symbol" w:char="F0B1"/>
      </w:r>
      <w:r w:rsidRPr="008473E3">
        <w:rPr>
          <w:lang w:val="en-US"/>
        </w:rPr>
        <w:t>0.53 </w:t>
      </w:r>
      <w:r>
        <w:rPr>
          <w:lang w:val="en-US"/>
        </w:rPr>
        <w:sym w:font="Symbol" w:char="F0B4"/>
      </w:r>
      <w:r w:rsidRPr="008473E3">
        <w:rPr>
          <w:lang w:val="en-US"/>
        </w:rPr>
        <w:t> channel bandwidth; beyond this point there is a slope of −12 dB/octave to −60 dB. The relative power level is defined in a reference bandwidth of 100 Hz. The 0 dB reference level corresponds to the mean output power measured in the channel bandwidth.</w:t>
      </w:r>
    </w:p>
    <w:p w:rsidR="0040081F" w:rsidRDefault="0040081F" w:rsidP="00701FC2">
      <w:pPr>
        <w:rPr>
          <w:lang w:val="en-US"/>
        </w:rPr>
      </w:pPr>
      <w:r w:rsidRPr="008473E3">
        <w:rPr>
          <w:lang w:val="en-US"/>
        </w:rPr>
        <w:t>An example of a spectrum limit mask for 10 kHz channelling DRM system is shown in Fig. 2</w:t>
      </w:r>
      <w:r w:rsidR="00701FC2">
        <w:rPr>
          <w:lang w:val="en-US"/>
        </w:rPr>
        <w:t>7</w:t>
      </w:r>
      <w:r w:rsidRPr="008473E3">
        <w:rPr>
          <w:lang w:val="en-US"/>
        </w:rPr>
        <w:t>.</w:t>
      </w:r>
    </w:p>
    <w:p w:rsidR="0040081F" w:rsidRDefault="0040081F" w:rsidP="00701FC2">
      <w:pPr>
        <w:pStyle w:val="FigureNo"/>
        <w:rPr>
          <w:lang w:val="en-US"/>
        </w:rPr>
      </w:pPr>
      <w:r>
        <w:rPr>
          <w:lang w:val="en-US"/>
        </w:rPr>
        <w:lastRenderedPageBreak/>
        <w:t>FIGURE 2</w:t>
      </w:r>
      <w:r w:rsidR="00701FC2">
        <w:rPr>
          <w:lang w:val="en-US"/>
        </w:rPr>
        <w:t>7</w:t>
      </w:r>
    </w:p>
    <w:p w:rsidR="0040081F" w:rsidRDefault="0040081F" w:rsidP="0040081F">
      <w:pPr>
        <w:pStyle w:val="Figuretitle"/>
        <w:rPr>
          <w:lang w:val="en-US"/>
        </w:rPr>
      </w:pPr>
      <w:r>
        <w:rPr>
          <w:lang w:val="en-US"/>
        </w:rPr>
        <w:t>Spectrum limit mask for 10 kHz chan</w:t>
      </w:r>
      <w:r w:rsidR="002D7B7F">
        <w:rPr>
          <w:lang w:val="en-US"/>
        </w:rPr>
        <w:t>n</w:t>
      </w:r>
      <w:r>
        <w:rPr>
          <w:lang w:val="en-US"/>
        </w:rPr>
        <w:t>elling DRM system</w:t>
      </w:r>
    </w:p>
    <w:p w:rsidR="0040081F" w:rsidRPr="008473E3" w:rsidRDefault="00273E2F" w:rsidP="0040081F">
      <w:pPr>
        <w:pStyle w:val="Figure"/>
        <w:rPr>
          <w:lang w:val="en-US"/>
        </w:rPr>
      </w:pPr>
      <w:r>
        <w:rPr>
          <w:noProof/>
          <w:lang w:val="en-US" w:eastAsia="zh-CN"/>
        </w:rPr>
        <w:drawing>
          <wp:inline distT="0" distB="0" distL="0" distR="0" wp14:anchorId="53916E26" wp14:editId="0D3B8325">
            <wp:extent cx="4832350" cy="4184650"/>
            <wp:effectExtent l="0" t="0" r="635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832350" cy="4184650"/>
                    </a:xfrm>
                    <a:prstGeom prst="rect">
                      <a:avLst/>
                    </a:prstGeom>
                    <a:noFill/>
                    <a:ln>
                      <a:noFill/>
                    </a:ln>
                  </pic:spPr>
                </pic:pic>
              </a:graphicData>
            </a:graphic>
          </wp:inline>
        </w:drawing>
      </w:r>
    </w:p>
    <w:p w:rsidR="0040081F" w:rsidRDefault="0040081F" w:rsidP="0040081F">
      <w:pPr>
        <w:rPr>
          <w:lang w:val="en-US"/>
        </w:rPr>
      </w:pPr>
    </w:p>
    <w:p w:rsidR="0040081F" w:rsidRDefault="0040081F" w:rsidP="0040081F">
      <w:pPr>
        <w:pStyle w:val="Heading1"/>
        <w:rPr>
          <w:lang w:val="en-US"/>
        </w:rPr>
      </w:pPr>
      <w:r>
        <w:rPr>
          <w:lang w:val="en-US"/>
        </w:rPr>
        <w:t>3</w:t>
      </w:r>
      <w:r>
        <w:rPr>
          <w:lang w:val="en-US"/>
        </w:rPr>
        <w:tab/>
        <w:t>Digital sound broadcasting</w:t>
      </w:r>
    </w:p>
    <w:p w:rsidR="0040081F" w:rsidRDefault="0040081F" w:rsidP="0040081F">
      <w:pPr>
        <w:pStyle w:val="Headingi"/>
        <w:rPr>
          <w:lang w:val="en-US"/>
        </w:rPr>
      </w:pPr>
      <w:r>
        <w:rPr>
          <w:lang w:val="en-US"/>
        </w:rPr>
        <w:t>Digital System A</w:t>
      </w:r>
    </w:p>
    <w:p w:rsidR="0040081F" w:rsidRDefault="0040081F" w:rsidP="00701FC2">
      <w:pPr>
        <w:rPr>
          <w:lang w:val="en-US"/>
        </w:rPr>
      </w:pPr>
      <w:r>
        <w:rPr>
          <w:lang w:val="en-US"/>
        </w:rPr>
        <w:t>The spectrum limit mask for Digital System A is shown in Fig. 2</w:t>
      </w:r>
      <w:r w:rsidR="00701FC2">
        <w:rPr>
          <w:lang w:val="en-US"/>
        </w:rPr>
        <w:t>8</w:t>
      </w:r>
      <w:r>
        <w:rPr>
          <w:lang w:val="en-US"/>
        </w:rPr>
        <w:t>. The related break points are given in Tables 21 and 22.</w:t>
      </w:r>
    </w:p>
    <w:p w:rsidR="0040081F" w:rsidRPr="00111811" w:rsidRDefault="0040081F" w:rsidP="00111811">
      <w:pPr>
        <w:rPr>
          <w:rFonts w:asciiTheme="majorBidi" w:hAnsiTheme="majorBidi" w:cstheme="majorBidi"/>
          <w:lang w:val="en-US"/>
        </w:rPr>
      </w:pPr>
      <w:r w:rsidRPr="00111811">
        <w:rPr>
          <w:rFonts w:asciiTheme="majorBidi" w:hAnsiTheme="majorBidi" w:cstheme="majorBidi"/>
          <w:lang w:val="en-US"/>
        </w:rPr>
        <w:t xml:space="preserve">For 1.54 MHz channelling Digital System A, the OoB domain extends from </w:t>
      </w:r>
      <w:r w:rsidRPr="00111811">
        <w:rPr>
          <w:rFonts w:asciiTheme="majorBidi" w:hAnsiTheme="majorBidi" w:cstheme="majorBidi"/>
          <w:lang w:val="fr-CH"/>
        </w:rPr>
        <w:sym w:font="Symbol" w:char="F0B1"/>
      </w:r>
      <w:r w:rsidRPr="00111811">
        <w:rPr>
          <w:rFonts w:asciiTheme="majorBidi" w:hAnsiTheme="majorBidi" w:cstheme="majorBidi"/>
          <w:sz w:val="4"/>
          <w:lang w:val="en-US"/>
        </w:rPr>
        <w:t> </w:t>
      </w:r>
      <w:r w:rsidRPr="00111811">
        <w:rPr>
          <w:rFonts w:asciiTheme="majorBidi" w:hAnsiTheme="majorBidi" w:cstheme="majorBidi"/>
          <w:lang w:val="en-US"/>
        </w:rPr>
        <w:t>0.77 MHz (i.e. </w:t>
      </w:r>
      <w:r w:rsidRPr="00111811">
        <w:rPr>
          <w:rFonts w:asciiTheme="majorBidi" w:hAnsiTheme="majorBidi" w:cstheme="majorBidi"/>
          <w:lang w:val="fr-CH"/>
        </w:rPr>
        <w:sym w:font="Symbol" w:char="F0B1"/>
      </w:r>
      <w:r w:rsidRPr="00111811">
        <w:rPr>
          <w:rFonts w:asciiTheme="majorBidi" w:hAnsiTheme="majorBidi" w:cstheme="majorBidi"/>
          <w:sz w:val="4"/>
          <w:lang w:val="en-US"/>
        </w:rPr>
        <w:t> </w:t>
      </w:r>
      <w:r w:rsidRPr="00111811">
        <w:rPr>
          <w:rFonts w:asciiTheme="majorBidi" w:hAnsiTheme="majorBidi" w:cstheme="majorBidi"/>
          <w:lang w:val="en-US"/>
        </w:rPr>
        <w:t>0.5 </w:t>
      </w:r>
      <w:r w:rsidR="00111811">
        <w:rPr>
          <w:rFonts w:asciiTheme="majorBidi" w:hAnsiTheme="majorBidi" w:cstheme="majorBidi"/>
          <w:lang w:val="en-US"/>
        </w:rPr>
        <w:sym w:font="Symbol" w:char="F0B4"/>
      </w:r>
      <w:r w:rsidRPr="00111811">
        <w:rPr>
          <w:rFonts w:asciiTheme="majorBidi" w:hAnsiTheme="majorBidi" w:cstheme="majorBidi"/>
          <w:lang w:val="en-US"/>
        </w:rPr>
        <w:t xml:space="preserve"> 1.54 MHz) to </w:t>
      </w:r>
      <w:r w:rsidRPr="00111811">
        <w:rPr>
          <w:rFonts w:asciiTheme="majorBidi" w:hAnsiTheme="majorBidi" w:cstheme="majorBidi"/>
          <w:lang w:val="fr-CH"/>
        </w:rPr>
        <w:sym w:font="Symbol" w:char="F0B1"/>
      </w:r>
      <w:r w:rsidRPr="00111811">
        <w:rPr>
          <w:rFonts w:asciiTheme="majorBidi" w:hAnsiTheme="majorBidi" w:cstheme="majorBidi"/>
          <w:sz w:val="4"/>
          <w:lang w:val="en-US"/>
        </w:rPr>
        <w:t> </w:t>
      </w:r>
      <w:r w:rsidRPr="00111811">
        <w:rPr>
          <w:rFonts w:asciiTheme="majorBidi" w:hAnsiTheme="majorBidi" w:cstheme="majorBidi"/>
          <w:lang w:val="en-US"/>
        </w:rPr>
        <w:t xml:space="preserve">3.85 MHz (i.e. </w:t>
      </w:r>
      <w:r w:rsidRPr="00111811">
        <w:rPr>
          <w:rFonts w:asciiTheme="majorBidi" w:hAnsiTheme="majorBidi" w:cstheme="majorBidi"/>
          <w:lang w:val="fr-CH"/>
        </w:rPr>
        <w:sym w:font="Symbol" w:char="F0B1"/>
      </w:r>
      <w:r w:rsidRPr="00111811">
        <w:rPr>
          <w:rFonts w:asciiTheme="majorBidi" w:hAnsiTheme="majorBidi" w:cstheme="majorBidi"/>
          <w:sz w:val="4"/>
          <w:lang w:val="en-US"/>
        </w:rPr>
        <w:t> </w:t>
      </w:r>
      <w:r w:rsidRPr="00111811">
        <w:rPr>
          <w:rFonts w:asciiTheme="majorBidi" w:hAnsiTheme="majorBidi" w:cstheme="majorBidi"/>
          <w:lang w:val="en-US"/>
        </w:rPr>
        <w:t>2.5 </w:t>
      </w:r>
      <w:r w:rsidR="00111811">
        <w:rPr>
          <w:rFonts w:asciiTheme="majorBidi" w:hAnsiTheme="majorBidi" w:cstheme="majorBidi"/>
          <w:lang w:val="en-US"/>
        </w:rPr>
        <w:sym w:font="Symbol" w:char="F0B4"/>
      </w:r>
      <w:r w:rsidRPr="00111811">
        <w:rPr>
          <w:rFonts w:asciiTheme="majorBidi" w:hAnsiTheme="majorBidi" w:cstheme="majorBidi"/>
          <w:lang w:val="en-US"/>
        </w:rPr>
        <w:t> 1.54 MHz).</w:t>
      </w:r>
    </w:p>
    <w:p w:rsidR="0040081F" w:rsidRDefault="0040081F" w:rsidP="0040081F">
      <w:pPr>
        <w:rPr>
          <w:lang w:val="en-US"/>
        </w:rPr>
      </w:pPr>
      <w:r>
        <w:rPr>
          <w:lang w:val="en-US"/>
        </w:rPr>
        <w:t>For Digital System A, a 4 kHz measurement bandwidth is used. The 0 dB reference level corresponds to the mean output power measured in the channel bandwidth (1.54 MHz).</w:t>
      </w:r>
    </w:p>
    <w:p w:rsidR="00976F5D" w:rsidRPr="000D4195" w:rsidRDefault="00976F5D" w:rsidP="0040081F">
      <w:pPr>
        <w:pStyle w:val="FigureNo"/>
        <w:rPr>
          <w:lang w:val="en-US"/>
        </w:rPr>
      </w:pPr>
      <w:r w:rsidRPr="000D4195">
        <w:rPr>
          <w:lang w:val="en-US"/>
        </w:rPr>
        <w:lastRenderedPageBreak/>
        <w:t>FIGURE 28</w:t>
      </w:r>
    </w:p>
    <w:p w:rsidR="00976F5D" w:rsidRPr="000D4195" w:rsidRDefault="00976F5D" w:rsidP="00976F5D">
      <w:pPr>
        <w:pStyle w:val="Figuretitle"/>
        <w:rPr>
          <w:lang w:val="en-US"/>
        </w:rPr>
      </w:pPr>
      <w:r w:rsidRPr="000D4195">
        <w:rPr>
          <w:lang w:val="en-US"/>
        </w:rPr>
        <w:t xml:space="preserve">Spectrum limit mask for Digital System A (9 dBW &lt; </w:t>
      </w:r>
      <w:r w:rsidRPr="000D4195">
        <w:rPr>
          <w:i/>
          <w:iCs/>
          <w:lang w:val="en-US"/>
        </w:rPr>
        <w:t>P</w:t>
      </w:r>
      <w:r w:rsidRPr="000D4195">
        <w:rPr>
          <w:lang w:val="en-US"/>
        </w:rPr>
        <w:t xml:space="preserve"> </w:t>
      </w:r>
      <w:r>
        <w:sym w:font="Symbol" w:char="F0A3"/>
      </w:r>
      <w:r w:rsidRPr="000D4195">
        <w:rPr>
          <w:lang w:val="en-US"/>
        </w:rPr>
        <w:t xml:space="preserve"> 29 dBW)</w:t>
      </w:r>
    </w:p>
    <w:p w:rsidR="00976F5D" w:rsidRPr="00976F5D" w:rsidRDefault="00273E2F" w:rsidP="00976F5D">
      <w:pPr>
        <w:pStyle w:val="Figure"/>
      </w:pPr>
      <w:r>
        <w:rPr>
          <w:noProof/>
          <w:lang w:val="en-US" w:eastAsia="zh-CN"/>
        </w:rPr>
        <w:drawing>
          <wp:inline distT="0" distB="0" distL="0" distR="0" wp14:anchorId="3F22E607" wp14:editId="38DF6E3D">
            <wp:extent cx="4368800" cy="4146550"/>
            <wp:effectExtent l="0" t="0" r="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368800" cy="4146550"/>
                    </a:xfrm>
                    <a:prstGeom prst="rect">
                      <a:avLst/>
                    </a:prstGeom>
                    <a:noFill/>
                    <a:ln>
                      <a:noFill/>
                    </a:ln>
                  </pic:spPr>
                </pic:pic>
              </a:graphicData>
            </a:graphic>
          </wp:inline>
        </w:drawing>
      </w:r>
    </w:p>
    <w:p w:rsidR="00976F5D" w:rsidRDefault="00976F5D" w:rsidP="00976F5D">
      <w:pPr>
        <w:rPr>
          <w:lang w:val="en-US"/>
        </w:rPr>
      </w:pPr>
    </w:p>
    <w:p w:rsidR="0040081F" w:rsidRDefault="0040081F" w:rsidP="00976F5D">
      <w:pPr>
        <w:rPr>
          <w:lang w:val="en-US"/>
        </w:rPr>
      </w:pPr>
      <w:r>
        <w:rPr>
          <w:lang w:val="en-US"/>
        </w:rPr>
        <w:t>Table 22 provides end point values to be used in conjunction with Table 21 and Fig. 2</w:t>
      </w:r>
      <w:r w:rsidR="00976F5D">
        <w:rPr>
          <w:lang w:val="en-US"/>
        </w:rPr>
        <w:t>8</w:t>
      </w:r>
      <w:r>
        <w:rPr>
          <w:lang w:val="en-US"/>
        </w:rPr>
        <w:t>, applicable to a range of transmitter output powers, for Digital System A.</w:t>
      </w:r>
    </w:p>
    <w:p w:rsidR="0040081F" w:rsidRDefault="0040081F" w:rsidP="0040081F">
      <w:pPr>
        <w:rPr>
          <w:lang w:val="en-US"/>
        </w:rPr>
      </w:pPr>
    </w:p>
    <w:p w:rsidR="0040081F" w:rsidRDefault="0040081F" w:rsidP="0040081F">
      <w:pPr>
        <w:pStyle w:val="TableNo"/>
        <w:rPr>
          <w:lang w:val="en-US"/>
        </w:rPr>
      </w:pPr>
      <w:r>
        <w:rPr>
          <w:lang w:val="en-US"/>
        </w:rPr>
        <w:t>TABLE  21</w:t>
      </w:r>
    </w:p>
    <w:p w:rsidR="0040081F" w:rsidRDefault="0040081F" w:rsidP="0040081F">
      <w:pPr>
        <w:pStyle w:val="Tabletitle"/>
        <w:rPr>
          <w:lang w:val="en-US"/>
        </w:rPr>
      </w:pPr>
      <w:r>
        <w:rPr>
          <w:color w:val="000000"/>
          <w:lang w:val="en-US"/>
        </w:rPr>
        <w:t xml:space="preserve">Break points of </w:t>
      </w:r>
      <w:r>
        <w:rPr>
          <w:lang w:val="en-US"/>
        </w:rPr>
        <w:t xml:space="preserve">spectrum limit mask for Digital System A, </w:t>
      </w:r>
      <w:r>
        <w:rPr>
          <w:lang w:val="en-US"/>
        </w:rPr>
        <w:br/>
        <w:t>all transmission modes (9 dBW </w:t>
      </w:r>
      <w:r>
        <w:rPr>
          <w:rFonts w:ascii="Symbol" w:hAnsi="Symbol"/>
          <w:lang w:val="en-US"/>
        </w:rPr>
        <w:t></w:t>
      </w:r>
      <w:r>
        <w:rPr>
          <w:lang w:val="en-US"/>
        </w:rPr>
        <w:t> </w:t>
      </w:r>
      <w:r>
        <w:rPr>
          <w:i/>
          <w:iCs/>
          <w:lang w:val="en-US"/>
        </w:rPr>
        <w:t>P</w:t>
      </w:r>
      <w:r>
        <w:rPr>
          <w:lang w:val="en-US"/>
        </w:rPr>
        <w:t> </w:t>
      </w:r>
      <w:r>
        <w:sym w:font="Symbol" w:char="F0A3"/>
      </w:r>
      <w:r>
        <w:rPr>
          <w:lang w:val="en-US"/>
        </w:rPr>
        <w:t> 29 dBW)</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40081F" w:rsidTr="00976F5D">
        <w:trPr>
          <w:trHeight w:val="20"/>
          <w:jc w:val="center"/>
        </w:trPr>
        <w:tc>
          <w:tcPr>
            <w:tcW w:w="4264" w:type="dxa"/>
            <w:shd w:val="solid" w:color="FFFFFF" w:fill="auto"/>
            <w:tcMar>
              <w:left w:w="108" w:type="dxa"/>
              <w:right w:w="108" w:type="dxa"/>
            </w:tcMar>
            <w:vAlign w:val="center"/>
          </w:tcPr>
          <w:p w:rsidR="0040081F" w:rsidRDefault="0040081F" w:rsidP="00976F5D">
            <w:pPr>
              <w:pStyle w:val="Tablehead"/>
              <w:rPr>
                <w:lang w:val="en-US"/>
              </w:rPr>
            </w:pPr>
            <w:r>
              <w:rPr>
                <w:lang w:val="en-US"/>
              </w:rPr>
              <w:t>Frequency relative to the centre of the 1.54 MHz channel</w:t>
            </w:r>
            <w:r>
              <w:rPr>
                <w:lang w:val="en-US"/>
              </w:rPr>
              <w:br/>
              <w:t>(MHz)</w:t>
            </w:r>
          </w:p>
        </w:tc>
        <w:tc>
          <w:tcPr>
            <w:tcW w:w="4264" w:type="dxa"/>
            <w:shd w:val="solid" w:color="FFFFFF" w:fill="auto"/>
            <w:tcMar>
              <w:left w:w="108" w:type="dxa"/>
              <w:right w:w="108" w:type="dxa"/>
            </w:tcMar>
            <w:vAlign w:val="center"/>
          </w:tcPr>
          <w:p w:rsidR="0040081F" w:rsidRDefault="0040081F" w:rsidP="00976F5D">
            <w:pPr>
              <w:pStyle w:val="Tablehead"/>
              <w:rPr>
                <w:lang w:val="en-US"/>
              </w:rPr>
            </w:pPr>
            <w:r>
              <w:rPr>
                <w:lang w:val="en-US"/>
              </w:rPr>
              <w:t>Relative level</w:t>
            </w:r>
            <w:r>
              <w:rPr>
                <w:lang w:val="en-US"/>
              </w:rPr>
              <w:br/>
              <w:t>(dB)</w:t>
            </w:r>
          </w:p>
        </w:tc>
      </w:tr>
      <w:tr w:rsidR="0040081F" w:rsidTr="00976F5D">
        <w:trPr>
          <w:trHeight w:val="20"/>
          <w:jc w:val="center"/>
        </w:trPr>
        <w:tc>
          <w:tcPr>
            <w:tcW w:w="4264" w:type="dxa"/>
            <w:shd w:val="solid" w:color="FFFFFF" w:fill="auto"/>
            <w:tcMar>
              <w:left w:w="108" w:type="dxa"/>
              <w:right w:w="108" w:type="dxa"/>
            </w:tcMar>
          </w:tcPr>
          <w:p w:rsidR="0040081F" w:rsidRDefault="0040081F" w:rsidP="00111811">
            <w:pPr>
              <w:pStyle w:val="Tabletext"/>
              <w:jc w:val="center"/>
              <w:rPr>
                <w:lang w:val="en-US"/>
              </w:rPr>
            </w:pPr>
            <w:r>
              <w:rPr>
                <w:lang w:val="fr-CH"/>
              </w:rPr>
              <w:sym w:font="Symbol" w:char="F02D"/>
            </w:r>
            <w:r>
              <w:rPr>
                <w:lang w:val="en-US"/>
              </w:rPr>
              <w:t>3.85</w:t>
            </w:r>
          </w:p>
        </w:tc>
        <w:tc>
          <w:tcPr>
            <w:tcW w:w="4264" w:type="dxa"/>
            <w:shd w:val="solid" w:color="FFFFFF" w:fill="auto"/>
            <w:tcMar>
              <w:left w:w="108" w:type="dxa"/>
              <w:right w:w="108" w:type="dxa"/>
            </w:tcMar>
          </w:tcPr>
          <w:p w:rsidR="0040081F" w:rsidRDefault="0040081F" w:rsidP="00111811">
            <w:pPr>
              <w:pStyle w:val="Tabletext"/>
              <w:jc w:val="center"/>
              <w:rPr>
                <w:lang w:val="en-US"/>
              </w:rPr>
            </w:pPr>
            <w:r>
              <w:rPr>
                <w:lang w:val="fr-CH"/>
              </w:rPr>
              <w:sym w:font="Symbol" w:char="F02D"/>
            </w:r>
            <w:r>
              <w:rPr>
                <w:lang w:val="en-US"/>
              </w:rPr>
              <w:t>89</w:t>
            </w:r>
          </w:p>
        </w:tc>
      </w:tr>
      <w:tr w:rsidR="0040081F" w:rsidTr="00976F5D">
        <w:trPr>
          <w:trHeight w:val="20"/>
          <w:jc w:val="center"/>
        </w:trPr>
        <w:tc>
          <w:tcPr>
            <w:tcW w:w="4264" w:type="dxa"/>
            <w:shd w:val="solid" w:color="FFFFFF" w:fill="auto"/>
            <w:tcMar>
              <w:left w:w="108" w:type="dxa"/>
              <w:right w:w="108" w:type="dxa"/>
            </w:tcMar>
          </w:tcPr>
          <w:p w:rsidR="0040081F" w:rsidRDefault="0040081F" w:rsidP="00111811">
            <w:pPr>
              <w:pStyle w:val="Tabletext"/>
              <w:jc w:val="center"/>
              <w:rPr>
                <w:lang w:val="en-US"/>
              </w:rPr>
            </w:pPr>
            <w:r>
              <w:rPr>
                <w:lang w:val="fr-CH"/>
              </w:rPr>
              <w:sym w:font="Symbol" w:char="F02D"/>
            </w:r>
            <w:r>
              <w:rPr>
                <w:lang w:val="en-US"/>
              </w:rPr>
              <w:t>0.97</w:t>
            </w:r>
          </w:p>
        </w:tc>
        <w:tc>
          <w:tcPr>
            <w:tcW w:w="4264" w:type="dxa"/>
            <w:shd w:val="solid" w:color="FFFFFF" w:fill="auto"/>
            <w:tcMar>
              <w:left w:w="108" w:type="dxa"/>
              <w:right w:w="108" w:type="dxa"/>
            </w:tcMar>
          </w:tcPr>
          <w:p w:rsidR="0040081F" w:rsidRDefault="0040081F" w:rsidP="00111811">
            <w:pPr>
              <w:pStyle w:val="Tabletext"/>
              <w:jc w:val="center"/>
              <w:rPr>
                <w:lang w:val="en-US"/>
              </w:rPr>
            </w:pPr>
            <w:r>
              <w:rPr>
                <w:lang w:val="fr-CH"/>
              </w:rPr>
              <w:sym w:font="Symbol" w:char="F02D"/>
            </w:r>
            <w:r>
              <w:rPr>
                <w:lang w:val="en-US"/>
              </w:rPr>
              <w:t>52</w:t>
            </w:r>
          </w:p>
        </w:tc>
      </w:tr>
      <w:tr w:rsidR="0040081F" w:rsidTr="00976F5D">
        <w:trPr>
          <w:trHeight w:val="20"/>
          <w:jc w:val="center"/>
        </w:trPr>
        <w:tc>
          <w:tcPr>
            <w:tcW w:w="4264" w:type="dxa"/>
            <w:shd w:val="solid" w:color="FFFFFF" w:fill="auto"/>
            <w:tcMar>
              <w:left w:w="108" w:type="dxa"/>
              <w:right w:w="108" w:type="dxa"/>
            </w:tcMar>
          </w:tcPr>
          <w:p w:rsidR="0040081F" w:rsidRDefault="0040081F" w:rsidP="00111811">
            <w:pPr>
              <w:pStyle w:val="Tabletext"/>
              <w:jc w:val="center"/>
              <w:rPr>
                <w:lang w:val="en-US"/>
              </w:rPr>
            </w:pPr>
            <w:r>
              <w:rPr>
                <w:lang w:val="fr-CH"/>
              </w:rPr>
              <w:sym w:font="Symbol" w:char="F02D"/>
            </w:r>
            <w:r>
              <w:rPr>
                <w:lang w:val="en-US"/>
              </w:rPr>
              <w:t>0.77</w:t>
            </w:r>
          </w:p>
        </w:tc>
        <w:tc>
          <w:tcPr>
            <w:tcW w:w="4264" w:type="dxa"/>
            <w:shd w:val="solid" w:color="FFFFFF" w:fill="auto"/>
            <w:tcMar>
              <w:left w:w="108" w:type="dxa"/>
              <w:right w:w="108" w:type="dxa"/>
            </w:tcMar>
          </w:tcPr>
          <w:p w:rsidR="0040081F" w:rsidRDefault="0040081F" w:rsidP="00111811">
            <w:pPr>
              <w:pStyle w:val="Tabletext"/>
              <w:jc w:val="center"/>
              <w:rPr>
                <w:lang w:val="en-US"/>
              </w:rPr>
            </w:pPr>
            <w:r>
              <w:rPr>
                <w:lang w:val="fr-CH"/>
              </w:rPr>
              <w:sym w:font="Symbol" w:char="F02D"/>
            </w:r>
            <w:r>
              <w:rPr>
                <w:lang w:val="en-US"/>
              </w:rPr>
              <w:t>26</w:t>
            </w:r>
          </w:p>
        </w:tc>
      </w:tr>
      <w:tr w:rsidR="0040081F" w:rsidTr="00976F5D">
        <w:trPr>
          <w:trHeight w:val="20"/>
          <w:jc w:val="center"/>
        </w:trPr>
        <w:tc>
          <w:tcPr>
            <w:tcW w:w="4264" w:type="dxa"/>
            <w:shd w:val="solid" w:color="FFFFFF" w:fill="auto"/>
            <w:tcMar>
              <w:left w:w="108" w:type="dxa"/>
              <w:right w:w="108" w:type="dxa"/>
            </w:tcMar>
          </w:tcPr>
          <w:p w:rsidR="0040081F" w:rsidRDefault="0040081F" w:rsidP="00111811">
            <w:pPr>
              <w:pStyle w:val="Tabletext"/>
              <w:jc w:val="center"/>
              <w:rPr>
                <w:lang w:val="en-US"/>
              </w:rPr>
            </w:pPr>
            <w:r>
              <w:rPr>
                <w:lang w:val="en-US"/>
              </w:rPr>
              <w:t>0.77</w:t>
            </w:r>
          </w:p>
        </w:tc>
        <w:tc>
          <w:tcPr>
            <w:tcW w:w="4264" w:type="dxa"/>
            <w:shd w:val="solid" w:color="FFFFFF" w:fill="auto"/>
            <w:tcMar>
              <w:left w:w="108" w:type="dxa"/>
              <w:right w:w="108" w:type="dxa"/>
            </w:tcMar>
          </w:tcPr>
          <w:p w:rsidR="0040081F" w:rsidRDefault="0040081F" w:rsidP="00111811">
            <w:pPr>
              <w:pStyle w:val="Tabletext"/>
              <w:jc w:val="center"/>
              <w:rPr>
                <w:lang w:val="en-US"/>
              </w:rPr>
            </w:pPr>
            <w:r>
              <w:rPr>
                <w:lang w:val="en-US"/>
              </w:rPr>
              <w:t>–26</w:t>
            </w:r>
          </w:p>
        </w:tc>
      </w:tr>
      <w:tr w:rsidR="0040081F" w:rsidTr="00976F5D">
        <w:trPr>
          <w:trHeight w:val="20"/>
          <w:jc w:val="center"/>
        </w:trPr>
        <w:tc>
          <w:tcPr>
            <w:tcW w:w="4264" w:type="dxa"/>
            <w:shd w:val="solid" w:color="FFFFFF" w:fill="auto"/>
            <w:tcMar>
              <w:left w:w="108" w:type="dxa"/>
              <w:right w:w="108" w:type="dxa"/>
            </w:tcMar>
          </w:tcPr>
          <w:p w:rsidR="0040081F" w:rsidRDefault="0040081F" w:rsidP="00111811">
            <w:pPr>
              <w:pStyle w:val="Tabletext"/>
              <w:jc w:val="center"/>
              <w:rPr>
                <w:lang w:val="en-US"/>
              </w:rPr>
            </w:pPr>
            <w:r>
              <w:rPr>
                <w:lang w:val="en-US"/>
              </w:rPr>
              <w:t>0.97</w:t>
            </w:r>
          </w:p>
        </w:tc>
        <w:tc>
          <w:tcPr>
            <w:tcW w:w="4264" w:type="dxa"/>
            <w:shd w:val="solid" w:color="FFFFFF" w:fill="auto"/>
            <w:tcMar>
              <w:left w:w="108" w:type="dxa"/>
              <w:right w:w="108" w:type="dxa"/>
            </w:tcMar>
          </w:tcPr>
          <w:p w:rsidR="0040081F" w:rsidRDefault="0040081F" w:rsidP="00111811">
            <w:pPr>
              <w:pStyle w:val="Tabletext"/>
              <w:jc w:val="center"/>
              <w:rPr>
                <w:lang w:val="en-US"/>
              </w:rPr>
            </w:pPr>
            <w:r>
              <w:rPr>
                <w:lang w:val="en-US"/>
              </w:rPr>
              <w:t>–52</w:t>
            </w:r>
          </w:p>
        </w:tc>
      </w:tr>
    </w:tbl>
    <w:p w:rsidR="0040081F" w:rsidRDefault="0040081F" w:rsidP="0040081F">
      <w:pPr>
        <w:pStyle w:val="Tablefin"/>
      </w:pPr>
    </w:p>
    <w:p w:rsidR="0040081F" w:rsidRDefault="0040081F" w:rsidP="0040081F">
      <w:pPr>
        <w:pStyle w:val="TableNo"/>
        <w:rPr>
          <w:lang w:val="en-US"/>
        </w:rPr>
      </w:pPr>
      <w:r>
        <w:rPr>
          <w:lang w:val="en-US"/>
        </w:rPr>
        <w:lastRenderedPageBreak/>
        <w:t>TABLE  22</w:t>
      </w:r>
    </w:p>
    <w:p w:rsidR="0040081F" w:rsidRDefault="0040081F" w:rsidP="0040081F">
      <w:pPr>
        <w:pStyle w:val="Tabletitle"/>
        <w:rPr>
          <w:lang w:val="en-US"/>
        </w:rPr>
      </w:pPr>
      <w:r>
        <w:rPr>
          <w:lang w:val="en-US"/>
        </w:rPr>
        <w:t>End point values to be used in conjunction with Table 21</w:t>
      </w:r>
    </w:p>
    <w:tbl>
      <w:tblPr>
        <w:tblW w:w="852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57"/>
        <w:gridCol w:w="2458"/>
        <w:gridCol w:w="3613"/>
      </w:tblGrid>
      <w:tr w:rsidR="0040081F" w:rsidRPr="00620821" w:rsidTr="00976F5D">
        <w:trPr>
          <w:trHeight w:val="247"/>
          <w:jc w:val="center"/>
        </w:trPr>
        <w:tc>
          <w:tcPr>
            <w:tcW w:w="8528" w:type="dxa"/>
            <w:gridSpan w:val="3"/>
            <w:vAlign w:val="center"/>
          </w:tcPr>
          <w:p w:rsidR="0040081F" w:rsidRDefault="0040081F" w:rsidP="00976F5D">
            <w:pPr>
              <w:pStyle w:val="Tablehead"/>
              <w:rPr>
                <w:lang w:val="en-US"/>
              </w:rPr>
            </w:pPr>
            <w:r>
              <w:rPr>
                <w:lang w:val="en-US"/>
              </w:rPr>
              <w:t>Digital System A operating in the bands</w:t>
            </w:r>
            <w:r>
              <w:rPr>
                <w:lang w:val="en-US"/>
              </w:rPr>
              <w:br/>
              <w:t>47-68 MHz and 174-240 MHz</w:t>
            </w:r>
          </w:p>
        </w:tc>
      </w:tr>
      <w:tr w:rsidR="0040081F" w:rsidRPr="00620821" w:rsidTr="00976F5D">
        <w:trPr>
          <w:trHeight w:val="247"/>
          <w:jc w:val="center"/>
        </w:trPr>
        <w:tc>
          <w:tcPr>
            <w:tcW w:w="2457" w:type="dxa"/>
            <w:vAlign w:val="center"/>
          </w:tcPr>
          <w:p w:rsidR="0040081F" w:rsidRDefault="0040081F" w:rsidP="00976F5D">
            <w:pPr>
              <w:pStyle w:val="Tablehead"/>
              <w:rPr>
                <w:lang w:val="en-US"/>
              </w:rPr>
            </w:pPr>
            <w:r>
              <w:rPr>
                <w:lang w:val="en-US"/>
              </w:rPr>
              <w:t>End point value</w:t>
            </w:r>
            <w:r>
              <w:rPr>
                <w:position w:val="6"/>
                <w:sz w:val="18"/>
                <w:lang w:val="en-US"/>
              </w:rPr>
              <w:t>(1)</w:t>
            </w:r>
            <w:r>
              <w:rPr>
                <w:lang w:val="en-US"/>
              </w:rPr>
              <w:t xml:space="preserve"> (dB/4 kHz)</w:t>
            </w:r>
          </w:p>
        </w:tc>
        <w:tc>
          <w:tcPr>
            <w:tcW w:w="2458" w:type="dxa"/>
            <w:vAlign w:val="center"/>
          </w:tcPr>
          <w:p w:rsidR="0040081F" w:rsidRDefault="0040081F" w:rsidP="00976F5D">
            <w:pPr>
              <w:pStyle w:val="Tablehead"/>
              <w:rPr>
                <w:lang w:val="en-US"/>
              </w:rPr>
            </w:pPr>
            <w:r>
              <w:rPr>
                <w:lang w:val="en-US"/>
              </w:rPr>
              <w:t>Power range</w:t>
            </w:r>
            <w:r>
              <w:rPr>
                <w:lang w:val="en-US"/>
              </w:rPr>
              <w:br/>
              <w:t>(dBW)</w:t>
            </w:r>
          </w:p>
        </w:tc>
        <w:tc>
          <w:tcPr>
            <w:tcW w:w="3613" w:type="dxa"/>
            <w:vAlign w:val="center"/>
          </w:tcPr>
          <w:p w:rsidR="0040081F" w:rsidRDefault="0040081F" w:rsidP="00976F5D">
            <w:pPr>
              <w:pStyle w:val="Tablehead"/>
              <w:rPr>
                <w:lang w:val="en-US"/>
              </w:rPr>
            </w:pPr>
            <w:r>
              <w:rPr>
                <w:lang w:val="en-US"/>
              </w:rPr>
              <w:t>Corresponding spurious level (100 kHz measurement bandwidth)</w:t>
            </w:r>
          </w:p>
        </w:tc>
      </w:tr>
      <w:tr w:rsidR="0040081F" w:rsidTr="00976F5D">
        <w:trPr>
          <w:trHeight w:val="247"/>
          <w:jc w:val="center"/>
        </w:trPr>
        <w:tc>
          <w:tcPr>
            <w:tcW w:w="2457" w:type="dxa"/>
            <w:vAlign w:val="center"/>
          </w:tcPr>
          <w:p w:rsidR="0040081F" w:rsidRDefault="0040081F" w:rsidP="00111811">
            <w:pPr>
              <w:pStyle w:val="Tabletext"/>
              <w:jc w:val="center"/>
              <w:rPr>
                <w:lang w:val="en-US"/>
              </w:rPr>
            </w:pPr>
            <w:r>
              <w:rPr>
                <w:lang w:val="fr-CH"/>
              </w:rPr>
              <w:sym w:font="Symbol" w:char="F02D"/>
            </w:r>
            <w:r>
              <w:rPr>
                <w:lang w:val="en-US"/>
              </w:rPr>
              <w:t>89 – (</w:t>
            </w:r>
            <w:r>
              <w:rPr>
                <w:i/>
                <w:iCs/>
                <w:lang w:val="en-US"/>
              </w:rPr>
              <w:t>P</w:t>
            </w:r>
            <w:r>
              <w:rPr>
                <w:lang w:val="en-US"/>
              </w:rPr>
              <w:t> – 9)</w:t>
            </w:r>
          </w:p>
        </w:tc>
        <w:tc>
          <w:tcPr>
            <w:tcW w:w="2458" w:type="dxa"/>
          </w:tcPr>
          <w:p w:rsidR="0040081F" w:rsidRDefault="00111811" w:rsidP="00E95CDC">
            <w:pPr>
              <w:pStyle w:val="Tabletext"/>
              <w:rPr>
                <w:lang w:val="en-US"/>
              </w:rPr>
            </w:pPr>
            <w:r>
              <w:rPr>
                <w:i/>
                <w:iCs/>
                <w:szCs w:val="24"/>
                <w:lang w:val="en-US"/>
              </w:rPr>
              <w:tab/>
            </w:r>
            <w:r>
              <w:rPr>
                <w:i/>
                <w:iCs/>
                <w:szCs w:val="24"/>
                <w:lang w:val="en-US"/>
              </w:rPr>
              <w:tab/>
            </w:r>
            <w:r w:rsidR="0040081F">
              <w:rPr>
                <w:i/>
                <w:iCs/>
                <w:szCs w:val="24"/>
                <w:lang w:val="en-US"/>
              </w:rPr>
              <w:tab/>
            </w:r>
            <w:r w:rsidR="0040081F">
              <w:rPr>
                <w:i/>
                <w:iCs/>
                <w:szCs w:val="24"/>
                <w:lang w:val="en-US"/>
              </w:rPr>
              <w:tab/>
              <w:t>P</w:t>
            </w:r>
            <w:r w:rsidR="0040081F">
              <w:rPr>
                <w:szCs w:val="24"/>
                <w:lang w:val="en-US"/>
              </w:rPr>
              <w:t> </w:t>
            </w:r>
            <w:r w:rsidR="0040081F">
              <w:rPr>
                <w:rFonts w:ascii="Symbol" w:hAnsi="Symbol"/>
              </w:rPr>
              <w:sym w:font="Symbol" w:char="F0A3"/>
            </w:r>
            <w:r w:rsidR="0040081F">
              <w:rPr>
                <w:szCs w:val="24"/>
                <w:lang w:val="en-US"/>
              </w:rPr>
              <w:t> 9</w:t>
            </w:r>
          </w:p>
        </w:tc>
        <w:tc>
          <w:tcPr>
            <w:tcW w:w="3613" w:type="dxa"/>
            <w:vAlign w:val="center"/>
          </w:tcPr>
          <w:p w:rsidR="0040081F" w:rsidRDefault="0040081F" w:rsidP="00111811">
            <w:pPr>
              <w:pStyle w:val="Tabletext"/>
              <w:jc w:val="center"/>
              <w:rPr>
                <w:lang w:val="en-US"/>
              </w:rPr>
            </w:pPr>
            <w:r>
              <w:rPr>
                <w:lang w:val="fr-CH"/>
              </w:rPr>
              <w:sym w:font="Symbol" w:char="F02D"/>
            </w:r>
            <w:r>
              <w:rPr>
                <w:lang w:val="en-US"/>
              </w:rPr>
              <w:t>36 dBm</w:t>
            </w:r>
          </w:p>
        </w:tc>
      </w:tr>
      <w:tr w:rsidR="0040081F" w:rsidTr="00976F5D">
        <w:trPr>
          <w:trHeight w:val="247"/>
          <w:jc w:val="center"/>
        </w:trPr>
        <w:tc>
          <w:tcPr>
            <w:tcW w:w="2457" w:type="dxa"/>
            <w:vAlign w:val="center"/>
          </w:tcPr>
          <w:p w:rsidR="0040081F" w:rsidRDefault="0040081F" w:rsidP="00111811">
            <w:pPr>
              <w:pStyle w:val="Tabletext"/>
              <w:jc w:val="center"/>
              <w:rPr>
                <w:lang w:val="en-US"/>
              </w:rPr>
            </w:pPr>
            <w:r>
              <w:rPr>
                <w:lang w:val="en-US"/>
              </w:rPr>
              <w:t>–89</w:t>
            </w:r>
          </w:p>
        </w:tc>
        <w:tc>
          <w:tcPr>
            <w:tcW w:w="2458" w:type="dxa"/>
          </w:tcPr>
          <w:p w:rsidR="0040081F" w:rsidRDefault="00111811" w:rsidP="00E95CDC">
            <w:pPr>
              <w:pStyle w:val="Tabletext"/>
              <w:rPr>
                <w:lang w:val="en-US"/>
              </w:rPr>
            </w:pPr>
            <w:r>
              <w:rPr>
                <w:szCs w:val="24"/>
                <w:lang w:val="en-US"/>
              </w:rPr>
              <w:tab/>
            </w:r>
            <w:r w:rsidR="0040081F">
              <w:rPr>
                <w:szCs w:val="24"/>
                <w:lang w:val="en-US"/>
              </w:rPr>
              <w:tab/>
              <w:t>9 </w:t>
            </w:r>
            <w:r w:rsidR="0040081F">
              <w:rPr>
                <w:rFonts w:ascii="Symbol" w:hAnsi="Symbol"/>
                <w:szCs w:val="24"/>
                <w:lang w:val="en-US"/>
              </w:rPr>
              <w:t></w:t>
            </w:r>
            <w:r w:rsidR="0040081F">
              <w:rPr>
                <w:szCs w:val="24"/>
                <w:lang w:val="en-US"/>
              </w:rPr>
              <w:tab/>
            </w:r>
            <w:r w:rsidR="0040081F">
              <w:rPr>
                <w:i/>
                <w:iCs/>
                <w:szCs w:val="24"/>
                <w:lang w:val="en-US"/>
              </w:rPr>
              <w:t>P</w:t>
            </w:r>
            <w:r w:rsidR="0040081F">
              <w:rPr>
                <w:szCs w:val="24"/>
                <w:lang w:val="en-US"/>
              </w:rPr>
              <w:t> </w:t>
            </w:r>
            <w:r w:rsidR="0040081F">
              <w:rPr>
                <w:rFonts w:ascii="Symbol" w:hAnsi="Symbol"/>
              </w:rPr>
              <w:sym w:font="Symbol" w:char="F0A3"/>
            </w:r>
            <w:r w:rsidR="0040081F">
              <w:rPr>
                <w:szCs w:val="24"/>
                <w:lang w:val="en-US"/>
              </w:rPr>
              <w:t> 29</w:t>
            </w:r>
          </w:p>
        </w:tc>
        <w:tc>
          <w:tcPr>
            <w:tcW w:w="3613" w:type="dxa"/>
            <w:vAlign w:val="center"/>
          </w:tcPr>
          <w:p w:rsidR="0040081F" w:rsidRDefault="0040081F" w:rsidP="00111811">
            <w:pPr>
              <w:pStyle w:val="Tabletext"/>
              <w:jc w:val="center"/>
              <w:rPr>
                <w:lang w:val="en-US"/>
              </w:rPr>
            </w:pPr>
            <w:r>
              <w:rPr>
                <w:lang w:val="en-US"/>
              </w:rPr>
              <w:t>75 dBc</w:t>
            </w:r>
          </w:p>
        </w:tc>
      </w:tr>
      <w:tr w:rsidR="0040081F" w:rsidTr="00976F5D">
        <w:trPr>
          <w:trHeight w:val="247"/>
          <w:jc w:val="center"/>
        </w:trPr>
        <w:tc>
          <w:tcPr>
            <w:tcW w:w="2457" w:type="dxa"/>
            <w:vAlign w:val="center"/>
          </w:tcPr>
          <w:p w:rsidR="0040081F" w:rsidRDefault="0040081F" w:rsidP="00111811">
            <w:pPr>
              <w:pStyle w:val="Tabletext"/>
              <w:jc w:val="center"/>
              <w:rPr>
                <w:lang w:val="en-US"/>
              </w:rPr>
            </w:pPr>
            <w:r>
              <w:rPr>
                <w:lang w:val="fr-CH"/>
              </w:rPr>
              <w:sym w:font="Symbol" w:char="F02D"/>
            </w:r>
            <w:r>
              <w:rPr>
                <w:lang w:val="en-US"/>
              </w:rPr>
              <w:t>89 – (</w:t>
            </w:r>
            <w:r>
              <w:rPr>
                <w:i/>
                <w:iCs/>
                <w:lang w:val="en-US"/>
              </w:rPr>
              <w:t>P</w:t>
            </w:r>
            <w:r>
              <w:rPr>
                <w:lang w:val="en-US"/>
              </w:rPr>
              <w:t> – 29)</w:t>
            </w:r>
          </w:p>
        </w:tc>
        <w:tc>
          <w:tcPr>
            <w:tcW w:w="2458" w:type="dxa"/>
          </w:tcPr>
          <w:p w:rsidR="0040081F" w:rsidRDefault="00111811" w:rsidP="00E95CDC">
            <w:pPr>
              <w:pStyle w:val="Tabletext"/>
              <w:tabs>
                <w:tab w:val="clear" w:pos="851"/>
                <w:tab w:val="left" w:pos="845"/>
              </w:tabs>
              <w:rPr>
                <w:lang w:val="en-US"/>
              </w:rPr>
            </w:pPr>
            <w:r>
              <w:rPr>
                <w:szCs w:val="24"/>
                <w:lang w:val="en-US"/>
              </w:rPr>
              <w:tab/>
            </w:r>
            <w:r w:rsidR="0040081F">
              <w:rPr>
                <w:szCs w:val="24"/>
                <w:lang w:val="en-US"/>
              </w:rPr>
              <w:tab/>
              <w:t>29 </w:t>
            </w:r>
            <w:r w:rsidR="0040081F">
              <w:rPr>
                <w:rFonts w:ascii="Symbol" w:hAnsi="Symbol"/>
                <w:szCs w:val="24"/>
                <w:lang w:val="en-US"/>
              </w:rPr>
              <w:t></w:t>
            </w:r>
            <w:r w:rsidR="0040081F">
              <w:rPr>
                <w:szCs w:val="24"/>
                <w:lang w:val="en-US"/>
              </w:rPr>
              <w:tab/>
            </w:r>
            <w:r w:rsidR="0040081F">
              <w:rPr>
                <w:i/>
                <w:iCs/>
                <w:szCs w:val="24"/>
                <w:lang w:val="en-US"/>
              </w:rPr>
              <w:t>P</w:t>
            </w:r>
            <w:r w:rsidR="0040081F">
              <w:rPr>
                <w:szCs w:val="24"/>
                <w:lang w:val="en-US"/>
              </w:rPr>
              <w:t> </w:t>
            </w:r>
            <w:r w:rsidR="0040081F">
              <w:rPr>
                <w:rFonts w:ascii="Symbol" w:hAnsi="Symbol"/>
              </w:rPr>
              <w:sym w:font="Symbol" w:char="F0A3"/>
            </w:r>
            <w:r w:rsidR="0040081F">
              <w:rPr>
                <w:szCs w:val="24"/>
                <w:lang w:val="en-US"/>
              </w:rPr>
              <w:t> 39</w:t>
            </w:r>
          </w:p>
        </w:tc>
        <w:tc>
          <w:tcPr>
            <w:tcW w:w="3613" w:type="dxa"/>
            <w:vAlign w:val="center"/>
          </w:tcPr>
          <w:p w:rsidR="0040081F" w:rsidRDefault="0040081F" w:rsidP="00111811">
            <w:pPr>
              <w:pStyle w:val="Tabletext"/>
              <w:jc w:val="center"/>
              <w:rPr>
                <w:lang w:val="en-US"/>
              </w:rPr>
            </w:pPr>
            <w:r>
              <w:rPr>
                <w:lang w:val="fr-CH"/>
              </w:rPr>
              <w:sym w:font="Symbol" w:char="F02D"/>
            </w:r>
            <w:r>
              <w:rPr>
                <w:lang w:val="en-US"/>
              </w:rPr>
              <w:t>16 dBm</w:t>
            </w:r>
          </w:p>
        </w:tc>
      </w:tr>
      <w:tr w:rsidR="0040081F" w:rsidTr="00976F5D">
        <w:trPr>
          <w:trHeight w:val="247"/>
          <w:jc w:val="center"/>
        </w:trPr>
        <w:tc>
          <w:tcPr>
            <w:tcW w:w="2457" w:type="dxa"/>
            <w:vAlign w:val="center"/>
          </w:tcPr>
          <w:p w:rsidR="0040081F" w:rsidRDefault="0040081F" w:rsidP="00111811">
            <w:pPr>
              <w:pStyle w:val="Tabletext"/>
              <w:jc w:val="center"/>
              <w:rPr>
                <w:lang w:val="en-US"/>
              </w:rPr>
            </w:pPr>
            <w:r>
              <w:rPr>
                <w:lang w:val="en-US"/>
              </w:rPr>
              <w:t>–99</w:t>
            </w:r>
          </w:p>
        </w:tc>
        <w:tc>
          <w:tcPr>
            <w:tcW w:w="2458" w:type="dxa"/>
          </w:tcPr>
          <w:p w:rsidR="0040081F" w:rsidRDefault="00111811" w:rsidP="00E95CDC">
            <w:pPr>
              <w:pStyle w:val="Tabletext"/>
              <w:tabs>
                <w:tab w:val="clear" w:pos="851"/>
                <w:tab w:val="left" w:pos="845"/>
              </w:tabs>
              <w:rPr>
                <w:lang w:val="en-US"/>
              </w:rPr>
            </w:pPr>
            <w:r>
              <w:rPr>
                <w:szCs w:val="24"/>
                <w:lang w:val="en-US"/>
              </w:rPr>
              <w:tab/>
            </w:r>
            <w:r w:rsidR="0040081F">
              <w:rPr>
                <w:szCs w:val="24"/>
                <w:lang w:val="en-US"/>
              </w:rPr>
              <w:tab/>
              <w:t>39 </w:t>
            </w:r>
            <w:r w:rsidR="0040081F">
              <w:rPr>
                <w:rFonts w:ascii="Symbol" w:hAnsi="Symbol"/>
                <w:szCs w:val="24"/>
                <w:lang w:val="en-US"/>
              </w:rPr>
              <w:t></w:t>
            </w:r>
            <w:r w:rsidR="0040081F">
              <w:rPr>
                <w:szCs w:val="24"/>
                <w:lang w:val="en-US"/>
              </w:rPr>
              <w:tab/>
            </w:r>
            <w:r w:rsidR="0040081F">
              <w:rPr>
                <w:i/>
                <w:iCs/>
                <w:szCs w:val="24"/>
                <w:lang w:val="en-US"/>
              </w:rPr>
              <w:t>P</w:t>
            </w:r>
            <w:r w:rsidR="0040081F">
              <w:rPr>
                <w:szCs w:val="24"/>
                <w:lang w:val="en-US"/>
              </w:rPr>
              <w:t> </w:t>
            </w:r>
            <w:r w:rsidR="0040081F">
              <w:rPr>
                <w:rFonts w:ascii="Symbol" w:hAnsi="Symbol"/>
              </w:rPr>
              <w:sym w:font="Symbol" w:char="F0A3"/>
            </w:r>
            <w:r w:rsidR="0040081F">
              <w:rPr>
                <w:szCs w:val="24"/>
                <w:lang w:val="en-US"/>
              </w:rPr>
              <w:t> 50</w:t>
            </w:r>
          </w:p>
        </w:tc>
        <w:tc>
          <w:tcPr>
            <w:tcW w:w="3613" w:type="dxa"/>
            <w:vAlign w:val="center"/>
          </w:tcPr>
          <w:p w:rsidR="0040081F" w:rsidRDefault="0040081F" w:rsidP="00111811">
            <w:pPr>
              <w:pStyle w:val="Tabletext"/>
              <w:jc w:val="center"/>
              <w:rPr>
                <w:lang w:val="en-US"/>
              </w:rPr>
            </w:pPr>
            <w:r>
              <w:rPr>
                <w:lang w:val="en-US"/>
              </w:rPr>
              <w:t>85 dBc</w:t>
            </w:r>
          </w:p>
        </w:tc>
      </w:tr>
      <w:tr w:rsidR="0040081F" w:rsidTr="00976F5D">
        <w:trPr>
          <w:trHeight w:val="247"/>
          <w:jc w:val="center"/>
        </w:trPr>
        <w:tc>
          <w:tcPr>
            <w:tcW w:w="2457" w:type="dxa"/>
            <w:tcBorders>
              <w:bottom w:val="single" w:sz="6" w:space="0" w:color="auto"/>
            </w:tcBorders>
            <w:vAlign w:val="center"/>
          </w:tcPr>
          <w:p w:rsidR="0040081F" w:rsidRDefault="0040081F" w:rsidP="00111811">
            <w:pPr>
              <w:pStyle w:val="Tabletext"/>
              <w:jc w:val="center"/>
              <w:rPr>
                <w:lang w:val="en-US"/>
              </w:rPr>
            </w:pPr>
            <w:r>
              <w:rPr>
                <w:lang w:val="fr-CH"/>
              </w:rPr>
              <w:sym w:font="Symbol" w:char="F02D"/>
            </w:r>
            <w:r>
              <w:rPr>
                <w:lang w:val="en-US"/>
              </w:rPr>
              <w:t>99 – (</w:t>
            </w:r>
            <w:r>
              <w:rPr>
                <w:i/>
                <w:iCs/>
                <w:lang w:val="en-US"/>
              </w:rPr>
              <w:t>P</w:t>
            </w:r>
            <w:r>
              <w:rPr>
                <w:lang w:val="en-US"/>
              </w:rPr>
              <w:t> – 50)</w:t>
            </w:r>
          </w:p>
        </w:tc>
        <w:tc>
          <w:tcPr>
            <w:tcW w:w="2458" w:type="dxa"/>
            <w:tcBorders>
              <w:bottom w:val="single" w:sz="6" w:space="0" w:color="auto"/>
            </w:tcBorders>
          </w:tcPr>
          <w:p w:rsidR="0040081F" w:rsidRDefault="00111811" w:rsidP="00E95CDC">
            <w:pPr>
              <w:pStyle w:val="Tabletext"/>
              <w:tabs>
                <w:tab w:val="clear" w:pos="851"/>
                <w:tab w:val="left" w:pos="845"/>
              </w:tabs>
              <w:rPr>
                <w:lang w:val="en-US"/>
              </w:rPr>
            </w:pPr>
            <w:r>
              <w:rPr>
                <w:szCs w:val="24"/>
                <w:lang w:val="en-US"/>
              </w:rPr>
              <w:tab/>
            </w:r>
            <w:r w:rsidR="0040081F">
              <w:rPr>
                <w:szCs w:val="24"/>
                <w:lang w:val="en-US"/>
              </w:rPr>
              <w:tab/>
              <w:t>50 </w:t>
            </w:r>
            <w:r w:rsidR="0040081F">
              <w:rPr>
                <w:rFonts w:ascii="Symbol" w:hAnsi="Symbol"/>
                <w:szCs w:val="24"/>
                <w:lang w:val="en-US"/>
              </w:rPr>
              <w:t></w:t>
            </w:r>
            <w:r w:rsidR="0040081F">
              <w:rPr>
                <w:szCs w:val="24"/>
                <w:lang w:val="en-US"/>
              </w:rPr>
              <w:tab/>
            </w:r>
            <w:r w:rsidR="0040081F">
              <w:rPr>
                <w:i/>
                <w:iCs/>
                <w:szCs w:val="24"/>
                <w:lang w:val="en-US"/>
              </w:rPr>
              <w:t>P</w:t>
            </w:r>
          </w:p>
        </w:tc>
        <w:tc>
          <w:tcPr>
            <w:tcW w:w="3613" w:type="dxa"/>
            <w:tcBorders>
              <w:bottom w:val="single" w:sz="6" w:space="0" w:color="auto"/>
            </w:tcBorders>
            <w:vAlign w:val="center"/>
          </w:tcPr>
          <w:p w:rsidR="0040081F" w:rsidRDefault="0040081F" w:rsidP="00111811">
            <w:pPr>
              <w:pStyle w:val="Tabletext"/>
              <w:jc w:val="center"/>
              <w:rPr>
                <w:lang w:val="en-US"/>
              </w:rPr>
            </w:pPr>
            <w:r>
              <w:rPr>
                <w:lang w:val="fr-CH"/>
              </w:rPr>
              <w:sym w:font="Symbol" w:char="F02D"/>
            </w:r>
            <w:r>
              <w:rPr>
                <w:lang w:val="en-US"/>
              </w:rPr>
              <w:t>5 dBm</w:t>
            </w:r>
          </w:p>
        </w:tc>
      </w:tr>
      <w:tr w:rsidR="0040081F" w:rsidRPr="00620821" w:rsidTr="00976F5D">
        <w:trPr>
          <w:trHeight w:val="247"/>
          <w:jc w:val="center"/>
        </w:trPr>
        <w:tc>
          <w:tcPr>
            <w:tcW w:w="8528" w:type="dxa"/>
            <w:gridSpan w:val="3"/>
            <w:vAlign w:val="center"/>
          </w:tcPr>
          <w:p w:rsidR="0040081F" w:rsidRDefault="0040081F" w:rsidP="00976F5D">
            <w:pPr>
              <w:pStyle w:val="Tablehead"/>
              <w:rPr>
                <w:lang w:val="en-US"/>
              </w:rPr>
            </w:pPr>
            <w:r>
              <w:rPr>
                <w:lang w:val="en-US"/>
              </w:rPr>
              <w:t>Digital System A operating in the band</w:t>
            </w:r>
            <w:r>
              <w:rPr>
                <w:lang w:val="en-US"/>
              </w:rPr>
              <w:br/>
              <w:t>1</w:t>
            </w:r>
            <w:r>
              <w:rPr>
                <w:rFonts w:ascii="Tms Rmn" w:hAnsi="Tms Rmn"/>
                <w:sz w:val="12"/>
                <w:lang w:val="en-US"/>
              </w:rPr>
              <w:t> </w:t>
            </w:r>
            <w:r>
              <w:rPr>
                <w:lang w:val="en-US"/>
              </w:rPr>
              <w:t>452-1</w:t>
            </w:r>
            <w:r>
              <w:rPr>
                <w:rFonts w:ascii="Tms Rmn" w:hAnsi="Tms Rmn"/>
                <w:sz w:val="12"/>
                <w:lang w:val="en-US"/>
              </w:rPr>
              <w:t> </w:t>
            </w:r>
            <w:r>
              <w:rPr>
                <w:lang w:val="en-US"/>
              </w:rPr>
              <w:t>467.5 MHz</w:t>
            </w:r>
          </w:p>
        </w:tc>
      </w:tr>
      <w:tr w:rsidR="0040081F" w:rsidRPr="00620821" w:rsidTr="00976F5D">
        <w:trPr>
          <w:trHeight w:val="247"/>
          <w:jc w:val="center"/>
        </w:trPr>
        <w:tc>
          <w:tcPr>
            <w:tcW w:w="2457" w:type="dxa"/>
            <w:vAlign w:val="center"/>
          </w:tcPr>
          <w:p w:rsidR="0040081F" w:rsidRDefault="0040081F" w:rsidP="00976F5D">
            <w:pPr>
              <w:pStyle w:val="Tablehead"/>
              <w:rPr>
                <w:lang w:val="en-US"/>
              </w:rPr>
            </w:pPr>
            <w:r>
              <w:rPr>
                <w:lang w:val="en-US"/>
              </w:rPr>
              <w:t>End point value</w:t>
            </w:r>
            <w:r>
              <w:rPr>
                <w:position w:val="6"/>
                <w:sz w:val="18"/>
                <w:lang w:val="en-US"/>
              </w:rPr>
              <w:t>(1)</w:t>
            </w:r>
            <w:r>
              <w:rPr>
                <w:lang w:val="en-US"/>
              </w:rPr>
              <w:t xml:space="preserve"> (dB/4 kHz)</w:t>
            </w:r>
          </w:p>
        </w:tc>
        <w:tc>
          <w:tcPr>
            <w:tcW w:w="2458" w:type="dxa"/>
            <w:vAlign w:val="center"/>
          </w:tcPr>
          <w:p w:rsidR="0040081F" w:rsidRDefault="0040081F" w:rsidP="00976F5D">
            <w:pPr>
              <w:pStyle w:val="Tablehead"/>
              <w:rPr>
                <w:lang w:val="en-US"/>
              </w:rPr>
            </w:pPr>
            <w:r>
              <w:rPr>
                <w:lang w:val="en-US"/>
              </w:rPr>
              <w:t>Power range</w:t>
            </w:r>
            <w:r>
              <w:rPr>
                <w:lang w:val="en-US"/>
              </w:rPr>
              <w:br/>
              <w:t>(dBW)</w:t>
            </w:r>
          </w:p>
        </w:tc>
        <w:tc>
          <w:tcPr>
            <w:tcW w:w="3613" w:type="dxa"/>
            <w:vAlign w:val="center"/>
          </w:tcPr>
          <w:p w:rsidR="0040081F" w:rsidRDefault="0040081F" w:rsidP="00976F5D">
            <w:pPr>
              <w:pStyle w:val="Tablehead"/>
              <w:rPr>
                <w:rFonts w:ascii="Times New Roman Bold" w:hAnsi="Times New Roman Bold"/>
                <w:lang w:val="en-US"/>
              </w:rPr>
            </w:pPr>
            <w:r>
              <w:rPr>
                <w:rFonts w:ascii="Times New Roman Bold" w:hAnsi="Times New Roman Bold"/>
                <w:lang w:val="en-US"/>
              </w:rPr>
              <w:t>Corresponding spurious level</w:t>
            </w:r>
            <w:r>
              <w:rPr>
                <w:rFonts w:ascii="Times New Roman Bold" w:hAnsi="Times New Roman Bold"/>
                <w:lang w:val="en-US"/>
              </w:rPr>
              <w:br/>
              <w:t>(1 MHz measurement bandwidth)</w:t>
            </w:r>
          </w:p>
        </w:tc>
      </w:tr>
      <w:tr w:rsidR="0040081F" w:rsidTr="00976F5D">
        <w:trPr>
          <w:trHeight w:val="247"/>
          <w:jc w:val="center"/>
        </w:trPr>
        <w:tc>
          <w:tcPr>
            <w:tcW w:w="2457" w:type="dxa"/>
            <w:vAlign w:val="center"/>
          </w:tcPr>
          <w:p w:rsidR="0040081F" w:rsidRDefault="0040081F" w:rsidP="00111811">
            <w:pPr>
              <w:pStyle w:val="Tabletext"/>
              <w:jc w:val="center"/>
              <w:rPr>
                <w:lang w:val="en-US"/>
              </w:rPr>
            </w:pPr>
            <w:r>
              <w:rPr>
                <w:lang w:val="fr-CH"/>
              </w:rPr>
              <w:sym w:font="Symbol" w:char="F02D"/>
            </w:r>
            <w:r>
              <w:rPr>
                <w:lang w:val="en-US"/>
              </w:rPr>
              <w:t>99 – (</w:t>
            </w:r>
            <w:r>
              <w:rPr>
                <w:i/>
                <w:iCs/>
                <w:lang w:val="en-US"/>
              </w:rPr>
              <w:t>P</w:t>
            </w:r>
            <w:r>
              <w:rPr>
                <w:lang w:val="en-US"/>
              </w:rPr>
              <w:t> – 9)</w:t>
            </w:r>
          </w:p>
        </w:tc>
        <w:tc>
          <w:tcPr>
            <w:tcW w:w="2458" w:type="dxa"/>
          </w:tcPr>
          <w:p w:rsidR="0040081F" w:rsidRDefault="00111811" w:rsidP="00E95CDC">
            <w:pPr>
              <w:pStyle w:val="Tabletext"/>
              <w:rPr>
                <w:lang w:val="en-US"/>
              </w:rPr>
            </w:pPr>
            <w:r>
              <w:rPr>
                <w:i/>
                <w:iCs/>
                <w:szCs w:val="24"/>
                <w:lang w:val="en-US"/>
              </w:rPr>
              <w:tab/>
            </w:r>
            <w:r w:rsidR="0040081F">
              <w:rPr>
                <w:i/>
                <w:iCs/>
                <w:szCs w:val="24"/>
                <w:lang w:val="en-US"/>
              </w:rPr>
              <w:tab/>
            </w:r>
            <w:r>
              <w:rPr>
                <w:i/>
                <w:iCs/>
                <w:szCs w:val="24"/>
                <w:lang w:val="en-US"/>
              </w:rPr>
              <w:tab/>
            </w:r>
            <w:r w:rsidR="0040081F">
              <w:rPr>
                <w:i/>
                <w:iCs/>
                <w:szCs w:val="24"/>
                <w:lang w:val="en-US"/>
              </w:rPr>
              <w:tab/>
              <w:t>P</w:t>
            </w:r>
            <w:r w:rsidR="0040081F">
              <w:rPr>
                <w:szCs w:val="24"/>
                <w:lang w:val="en-US"/>
              </w:rPr>
              <w:t> </w:t>
            </w:r>
            <w:r w:rsidR="0040081F">
              <w:rPr>
                <w:rFonts w:ascii="Symbol" w:hAnsi="Symbol"/>
              </w:rPr>
              <w:sym w:font="Symbol" w:char="F0A3"/>
            </w:r>
            <w:r w:rsidR="0040081F">
              <w:rPr>
                <w:szCs w:val="24"/>
                <w:lang w:val="en-US"/>
              </w:rPr>
              <w:t> 9</w:t>
            </w:r>
          </w:p>
        </w:tc>
        <w:tc>
          <w:tcPr>
            <w:tcW w:w="3613" w:type="dxa"/>
            <w:vAlign w:val="center"/>
          </w:tcPr>
          <w:p w:rsidR="0040081F" w:rsidRDefault="0040081F" w:rsidP="00111811">
            <w:pPr>
              <w:pStyle w:val="Tabletext"/>
              <w:jc w:val="center"/>
              <w:rPr>
                <w:lang w:val="en-US"/>
              </w:rPr>
            </w:pPr>
            <w:r>
              <w:rPr>
                <w:lang w:val="fr-CH"/>
              </w:rPr>
              <w:sym w:font="Symbol" w:char="F02D"/>
            </w:r>
            <w:r>
              <w:rPr>
                <w:lang w:val="en-US"/>
              </w:rPr>
              <w:t>36 dBm</w:t>
            </w:r>
          </w:p>
        </w:tc>
      </w:tr>
      <w:tr w:rsidR="0040081F" w:rsidTr="00976F5D">
        <w:trPr>
          <w:trHeight w:val="247"/>
          <w:jc w:val="center"/>
        </w:trPr>
        <w:tc>
          <w:tcPr>
            <w:tcW w:w="2457" w:type="dxa"/>
            <w:vAlign w:val="center"/>
          </w:tcPr>
          <w:p w:rsidR="0040081F" w:rsidRDefault="0040081F" w:rsidP="00111811">
            <w:pPr>
              <w:pStyle w:val="Tabletext"/>
              <w:jc w:val="center"/>
              <w:rPr>
                <w:lang w:val="en-US"/>
              </w:rPr>
            </w:pPr>
            <w:r>
              <w:rPr>
                <w:lang w:val="en-US"/>
              </w:rPr>
              <w:t>–99</w:t>
            </w:r>
          </w:p>
        </w:tc>
        <w:tc>
          <w:tcPr>
            <w:tcW w:w="2458" w:type="dxa"/>
          </w:tcPr>
          <w:p w:rsidR="0040081F" w:rsidRDefault="00111811" w:rsidP="00E95CDC">
            <w:pPr>
              <w:pStyle w:val="Tabletext"/>
              <w:rPr>
                <w:lang w:val="en-US"/>
              </w:rPr>
            </w:pPr>
            <w:r>
              <w:rPr>
                <w:szCs w:val="24"/>
                <w:lang w:val="en-US"/>
              </w:rPr>
              <w:tab/>
            </w:r>
            <w:r w:rsidR="0040081F">
              <w:rPr>
                <w:szCs w:val="24"/>
                <w:lang w:val="en-US"/>
              </w:rPr>
              <w:tab/>
              <w:t>9 </w:t>
            </w:r>
            <w:r w:rsidR="0040081F">
              <w:rPr>
                <w:rFonts w:ascii="Symbol" w:hAnsi="Symbol"/>
                <w:szCs w:val="24"/>
                <w:lang w:val="en-US"/>
              </w:rPr>
              <w:t></w:t>
            </w:r>
            <w:r w:rsidR="0040081F">
              <w:rPr>
                <w:szCs w:val="24"/>
                <w:lang w:val="en-US"/>
              </w:rPr>
              <w:tab/>
            </w:r>
            <w:r w:rsidR="0040081F">
              <w:rPr>
                <w:i/>
                <w:iCs/>
                <w:szCs w:val="24"/>
                <w:lang w:val="en-US"/>
              </w:rPr>
              <w:t>P</w:t>
            </w:r>
            <w:r w:rsidR="0040081F">
              <w:rPr>
                <w:szCs w:val="24"/>
                <w:lang w:val="en-US"/>
              </w:rPr>
              <w:t> </w:t>
            </w:r>
            <w:r w:rsidR="0040081F">
              <w:rPr>
                <w:rFonts w:ascii="Symbol" w:hAnsi="Symbol"/>
              </w:rPr>
              <w:sym w:font="Symbol" w:char="F0A3"/>
            </w:r>
            <w:r w:rsidR="0040081F">
              <w:rPr>
                <w:szCs w:val="24"/>
                <w:lang w:val="en-US"/>
              </w:rPr>
              <w:t> 29</w:t>
            </w:r>
          </w:p>
        </w:tc>
        <w:tc>
          <w:tcPr>
            <w:tcW w:w="3613" w:type="dxa"/>
            <w:vAlign w:val="center"/>
          </w:tcPr>
          <w:p w:rsidR="0040081F" w:rsidRDefault="0040081F" w:rsidP="00111811">
            <w:pPr>
              <w:pStyle w:val="Tabletext"/>
              <w:jc w:val="center"/>
              <w:rPr>
                <w:lang w:val="en-US"/>
              </w:rPr>
            </w:pPr>
            <w:r>
              <w:rPr>
                <w:lang w:val="en-US"/>
              </w:rPr>
              <w:t>75 dBc</w:t>
            </w:r>
          </w:p>
        </w:tc>
      </w:tr>
      <w:tr w:rsidR="0040081F" w:rsidTr="00976F5D">
        <w:trPr>
          <w:trHeight w:val="247"/>
          <w:jc w:val="center"/>
        </w:trPr>
        <w:tc>
          <w:tcPr>
            <w:tcW w:w="2457" w:type="dxa"/>
            <w:vAlign w:val="center"/>
          </w:tcPr>
          <w:p w:rsidR="0040081F" w:rsidRDefault="0040081F" w:rsidP="00111811">
            <w:pPr>
              <w:pStyle w:val="Tabletext"/>
              <w:jc w:val="center"/>
              <w:rPr>
                <w:lang w:val="en-US"/>
              </w:rPr>
            </w:pPr>
            <w:r>
              <w:rPr>
                <w:lang w:val="fr-CH"/>
              </w:rPr>
              <w:sym w:font="Symbol" w:char="F02D"/>
            </w:r>
            <w:r>
              <w:rPr>
                <w:lang w:val="en-US"/>
              </w:rPr>
              <w:t>99 – (</w:t>
            </w:r>
            <w:r>
              <w:rPr>
                <w:i/>
                <w:iCs/>
                <w:lang w:val="en-US"/>
              </w:rPr>
              <w:t>P</w:t>
            </w:r>
            <w:r>
              <w:rPr>
                <w:lang w:val="en-US"/>
              </w:rPr>
              <w:t> – 29)</w:t>
            </w:r>
          </w:p>
        </w:tc>
        <w:tc>
          <w:tcPr>
            <w:tcW w:w="2458" w:type="dxa"/>
          </w:tcPr>
          <w:p w:rsidR="0040081F" w:rsidRDefault="00111811" w:rsidP="00E95CDC">
            <w:pPr>
              <w:pStyle w:val="Tabletext"/>
              <w:tabs>
                <w:tab w:val="clear" w:pos="851"/>
                <w:tab w:val="left" w:pos="845"/>
              </w:tabs>
              <w:rPr>
                <w:lang w:val="en-US"/>
              </w:rPr>
            </w:pPr>
            <w:r>
              <w:rPr>
                <w:szCs w:val="24"/>
                <w:lang w:val="en-US"/>
              </w:rPr>
              <w:tab/>
            </w:r>
            <w:r w:rsidR="0040081F">
              <w:rPr>
                <w:szCs w:val="24"/>
                <w:lang w:val="en-US"/>
              </w:rPr>
              <w:tab/>
              <w:t>29 </w:t>
            </w:r>
            <w:r w:rsidR="0040081F">
              <w:rPr>
                <w:rFonts w:ascii="Symbol" w:hAnsi="Symbol"/>
                <w:szCs w:val="24"/>
                <w:lang w:val="en-US"/>
              </w:rPr>
              <w:t></w:t>
            </w:r>
            <w:r w:rsidR="0040081F">
              <w:rPr>
                <w:szCs w:val="24"/>
                <w:lang w:val="en-US"/>
              </w:rPr>
              <w:tab/>
            </w:r>
            <w:r w:rsidR="0040081F">
              <w:rPr>
                <w:i/>
                <w:iCs/>
                <w:szCs w:val="24"/>
                <w:lang w:val="en-US"/>
              </w:rPr>
              <w:t>P</w:t>
            </w:r>
            <w:r w:rsidR="0040081F">
              <w:rPr>
                <w:szCs w:val="24"/>
                <w:lang w:val="en-US"/>
              </w:rPr>
              <w:t> </w:t>
            </w:r>
            <w:r w:rsidR="0040081F">
              <w:rPr>
                <w:rFonts w:ascii="Symbol" w:hAnsi="Symbol"/>
              </w:rPr>
              <w:sym w:font="Symbol" w:char="F0A3"/>
            </w:r>
            <w:r w:rsidR="0040081F">
              <w:rPr>
                <w:szCs w:val="24"/>
                <w:lang w:val="en-US"/>
              </w:rPr>
              <w:t> 39</w:t>
            </w:r>
          </w:p>
        </w:tc>
        <w:tc>
          <w:tcPr>
            <w:tcW w:w="3613" w:type="dxa"/>
            <w:vAlign w:val="center"/>
          </w:tcPr>
          <w:p w:rsidR="0040081F" w:rsidRDefault="0040081F" w:rsidP="00111811">
            <w:pPr>
              <w:pStyle w:val="Tabletext"/>
              <w:jc w:val="center"/>
              <w:rPr>
                <w:lang w:val="en-US"/>
              </w:rPr>
            </w:pPr>
            <w:r>
              <w:rPr>
                <w:lang w:val="fr-CH"/>
              </w:rPr>
              <w:sym w:font="Symbol" w:char="F02D"/>
            </w:r>
            <w:r>
              <w:rPr>
                <w:lang w:val="en-US"/>
              </w:rPr>
              <w:t>16 dBm</w:t>
            </w:r>
          </w:p>
        </w:tc>
      </w:tr>
      <w:tr w:rsidR="0040081F" w:rsidTr="00976F5D">
        <w:trPr>
          <w:trHeight w:val="247"/>
          <w:jc w:val="center"/>
        </w:trPr>
        <w:tc>
          <w:tcPr>
            <w:tcW w:w="2457" w:type="dxa"/>
            <w:vAlign w:val="center"/>
          </w:tcPr>
          <w:p w:rsidR="0040081F" w:rsidRDefault="0040081F" w:rsidP="00111811">
            <w:pPr>
              <w:pStyle w:val="Tabletext"/>
              <w:jc w:val="center"/>
              <w:rPr>
                <w:lang w:val="en-US"/>
              </w:rPr>
            </w:pPr>
            <w:r>
              <w:rPr>
                <w:lang w:val="fr-CH"/>
              </w:rPr>
              <w:sym w:font="Symbol" w:char="F02D"/>
            </w:r>
            <w:r>
              <w:rPr>
                <w:lang w:val="en-US"/>
              </w:rPr>
              <w:t>106</w:t>
            </w:r>
          </w:p>
        </w:tc>
        <w:tc>
          <w:tcPr>
            <w:tcW w:w="2458" w:type="dxa"/>
          </w:tcPr>
          <w:p w:rsidR="0040081F" w:rsidRDefault="00111811" w:rsidP="00E95CDC">
            <w:pPr>
              <w:pStyle w:val="Tabletext"/>
              <w:tabs>
                <w:tab w:val="clear" w:pos="851"/>
                <w:tab w:val="left" w:pos="845"/>
              </w:tabs>
              <w:rPr>
                <w:lang w:val="en-US"/>
              </w:rPr>
            </w:pPr>
            <w:r>
              <w:rPr>
                <w:szCs w:val="24"/>
                <w:lang w:val="en-US"/>
              </w:rPr>
              <w:tab/>
            </w:r>
            <w:r w:rsidR="0040081F">
              <w:rPr>
                <w:szCs w:val="24"/>
                <w:lang w:val="en-US"/>
              </w:rPr>
              <w:tab/>
              <w:t>39 </w:t>
            </w:r>
            <w:r w:rsidR="0040081F">
              <w:rPr>
                <w:rFonts w:ascii="Symbol" w:hAnsi="Symbol"/>
                <w:szCs w:val="24"/>
                <w:lang w:val="en-US"/>
              </w:rPr>
              <w:t></w:t>
            </w:r>
            <w:r w:rsidR="0040081F">
              <w:rPr>
                <w:szCs w:val="24"/>
                <w:lang w:val="en-US"/>
              </w:rPr>
              <w:tab/>
            </w:r>
            <w:r w:rsidR="0040081F">
              <w:rPr>
                <w:i/>
                <w:iCs/>
                <w:szCs w:val="24"/>
                <w:lang w:val="en-US"/>
              </w:rPr>
              <w:t>P</w:t>
            </w:r>
            <w:r w:rsidR="0040081F">
              <w:rPr>
                <w:szCs w:val="24"/>
                <w:lang w:val="en-US"/>
              </w:rPr>
              <w:t> </w:t>
            </w:r>
            <w:r w:rsidR="0040081F">
              <w:rPr>
                <w:rFonts w:ascii="Symbol" w:hAnsi="Symbol"/>
              </w:rPr>
              <w:sym w:font="Symbol" w:char="F0A3"/>
            </w:r>
            <w:r w:rsidR="0040081F">
              <w:rPr>
                <w:szCs w:val="24"/>
                <w:lang w:val="en-US"/>
              </w:rPr>
              <w:t> 50</w:t>
            </w:r>
          </w:p>
        </w:tc>
        <w:tc>
          <w:tcPr>
            <w:tcW w:w="3613" w:type="dxa"/>
            <w:vAlign w:val="center"/>
          </w:tcPr>
          <w:p w:rsidR="0040081F" w:rsidRDefault="0040081F" w:rsidP="00111811">
            <w:pPr>
              <w:pStyle w:val="Tabletext"/>
              <w:jc w:val="center"/>
              <w:rPr>
                <w:lang w:val="en-US"/>
              </w:rPr>
            </w:pPr>
            <w:r>
              <w:rPr>
                <w:lang w:val="en-US"/>
              </w:rPr>
              <w:t>85 dBc</w:t>
            </w:r>
          </w:p>
        </w:tc>
      </w:tr>
      <w:tr w:rsidR="0040081F" w:rsidTr="00976F5D">
        <w:trPr>
          <w:trHeight w:val="247"/>
          <w:jc w:val="center"/>
        </w:trPr>
        <w:tc>
          <w:tcPr>
            <w:tcW w:w="2457" w:type="dxa"/>
            <w:tcBorders>
              <w:bottom w:val="single" w:sz="6" w:space="0" w:color="auto"/>
            </w:tcBorders>
            <w:vAlign w:val="center"/>
          </w:tcPr>
          <w:p w:rsidR="0040081F" w:rsidRDefault="0040081F" w:rsidP="00111811">
            <w:pPr>
              <w:pStyle w:val="Tabletext"/>
              <w:jc w:val="center"/>
              <w:rPr>
                <w:lang w:val="en-US"/>
              </w:rPr>
            </w:pPr>
            <w:r>
              <w:rPr>
                <w:lang w:val="fr-CH"/>
              </w:rPr>
              <w:sym w:font="Symbol" w:char="F02D"/>
            </w:r>
            <w:r>
              <w:rPr>
                <w:lang w:val="en-US"/>
              </w:rPr>
              <w:t>106</w:t>
            </w:r>
          </w:p>
        </w:tc>
        <w:tc>
          <w:tcPr>
            <w:tcW w:w="2458" w:type="dxa"/>
            <w:tcBorders>
              <w:bottom w:val="single" w:sz="6" w:space="0" w:color="auto"/>
            </w:tcBorders>
          </w:tcPr>
          <w:p w:rsidR="0040081F" w:rsidRDefault="00111811" w:rsidP="00E95CDC">
            <w:pPr>
              <w:pStyle w:val="Tabletext"/>
              <w:tabs>
                <w:tab w:val="clear" w:pos="851"/>
                <w:tab w:val="left" w:pos="845"/>
              </w:tabs>
              <w:rPr>
                <w:lang w:val="en-US"/>
              </w:rPr>
            </w:pPr>
            <w:r>
              <w:rPr>
                <w:szCs w:val="24"/>
                <w:lang w:val="en-US"/>
              </w:rPr>
              <w:tab/>
            </w:r>
            <w:r w:rsidR="0040081F">
              <w:rPr>
                <w:szCs w:val="24"/>
                <w:lang w:val="en-US"/>
              </w:rPr>
              <w:tab/>
              <w:t>50 </w:t>
            </w:r>
            <w:r w:rsidR="0040081F">
              <w:rPr>
                <w:rFonts w:ascii="Symbol" w:hAnsi="Symbol"/>
                <w:szCs w:val="24"/>
                <w:lang w:val="en-US"/>
              </w:rPr>
              <w:t></w:t>
            </w:r>
            <w:r w:rsidR="0040081F">
              <w:rPr>
                <w:szCs w:val="24"/>
                <w:lang w:val="en-US"/>
              </w:rPr>
              <w:tab/>
            </w:r>
            <w:r w:rsidR="0040081F">
              <w:rPr>
                <w:i/>
                <w:iCs/>
                <w:szCs w:val="24"/>
                <w:lang w:val="en-US"/>
              </w:rPr>
              <w:t>P</w:t>
            </w:r>
          </w:p>
        </w:tc>
        <w:tc>
          <w:tcPr>
            <w:tcW w:w="3613" w:type="dxa"/>
            <w:tcBorders>
              <w:bottom w:val="single" w:sz="6" w:space="0" w:color="auto"/>
            </w:tcBorders>
            <w:vAlign w:val="center"/>
          </w:tcPr>
          <w:p w:rsidR="0040081F" w:rsidRDefault="0040081F" w:rsidP="00111811">
            <w:pPr>
              <w:pStyle w:val="Tabletext"/>
              <w:jc w:val="center"/>
              <w:rPr>
                <w:lang w:val="en-US"/>
              </w:rPr>
            </w:pPr>
            <w:r>
              <w:rPr>
                <w:lang w:val="fr-CH"/>
              </w:rPr>
              <w:sym w:font="Symbol" w:char="F02D"/>
            </w:r>
            <w:r>
              <w:rPr>
                <w:lang w:val="en-US"/>
              </w:rPr>
              <w:t>5 dBm</w:t>
            </w:r>
          </w:p>
        </w:tc>
      </w:tr>
      <w:tr w:rsidR="0040081F" w:rsidRPr="00620821" w:rsidTr="00976F5D">
        <w:trPr>
          <w:trHeight w:val="247"/>
          <w:jc w:val="center"/>
        </w:trPr>
        <w:tc>
          <w:tcPr>
            <w:tcW w:w="8528" w:type="dxa"/>
            <w:gridSpan w:val="3"/>
            <w:tcBorders>
              <w:left w:val="nil"/>
              <w:bottom w:val="nil"/>
              <w:right w:val="nil"/>
            </w:tcBorders>
          </w:tcPr>
          <w:p w:rsidR="0040081F" w:rsidRPr="000D4195" w:rsidRDefault="0040081F" w:rsidP="00976F5D">
            <w:pPr>
              <w:pStyle w:val="Tablelegend"/>
              <w:rPr>
                <w:lang w:val="en-US"/>
              </w:rPr>
            </w:pPr>
            <w:r w:rsidRPr="000D4195">
              <w:rPr>
                <w:vertAlign w:val="superscript"/>
                <w:lang w:val="en-US"/>
              </w:rPr>
              <w:t>(1)</w:t>
            </w:r>
            <w:r w:rsidRPr="000D4195">
              <w:rPr>
                <w:lang w:val="en-US"/>
              </w:rPr>
              <w:tab/>
              <w:t>The end point value is subject to an upper limit equal to –52 dB and a lower limit equal to</w:t>
            </w:r>
            <w:r w:rsidRPr="000D4195">
              <w:rPr>
                <w:lang w:val="en-US"/>
              </w:rPr>
              <w:br/>
              <w:t>–106 dB.</w:t>
            </w:r>
          </w:p>
        </w:tc>
      </w:tr>
    </w:tbl>
    <w:p w:rsidR="0040081F" w:rsidRDefault="0040081F" w:rsidP="0040081F">
      <w:pPr>
        <w:pStyle w:val="Tablefin"/>
        <w:rPr>
          <w:lang w:val="en-US"/>
        </w:rPr>
      </w:pPr>
    </w:p>
    <w:p w:rsidR="0040081F" w:rsidRDefault="0040081F" w:rsidP="0040081F">
      <w:pPr>
        <w:rPr>
          <w:lang w:val="en-US"/>
        </w:rPr>
      </w:pPr>
    </w:p>
    <w:p w:rsidR="00727401" w:rsidRDefault="00727401" w:rsidP="0040081F">
      <w:pPr>
        <w:rPr>
          <w:lang w:val="en-US"/>
        </w:rPr>
      </w:pPr>
    </w:p>
    <w:p w:rsidR="00111811" w:rsidRDefault="00111811" w:rsidP="00111811">
      <w:pPr>
        <w:pStyle w:val="AnnexNoTitle"/>
        <w:rPr>
          <w:lang w:val="en-US"/>
        </w:rPr>
      </w:pPr>
      <w:r>
        <w:rPr>
          <w:lang w:val="en-US"/>
        </w:rPr>
        <w:t>Annex 8</w:t>
      </w:r>
      <w:r>
        <w:rPr>
          <w:lang w:val="en-US"/>
        </w:rPr>
        <w:br/>
      </w:r>
      <w:r>
        <w:rPr>
          <w:lang w:val="en-US"/>
        </w:rPr>
        <w:br/>
        <w:t>OoB domain emission limits for primary radar systems</w:t>
      </w:r>
    </w:p>
    <w:p w:rsidR="00111811" w:rsidRPr="00940F1D" w:rsidRDefault="00111811" w:rsidP="00111811">
      <w:pPr>
        <w:pStyle w:val="Heading1"/>
        <w:rPr>
          <w:lang w:val="en-US"/>
        </w:rPr>
      </w:pPr>
      <w:r w:rsidRPr="00940F1D">
        <w:rPr>
          <w:lang w:val="en-US"/>
        </w:rPr>
        <w:t>1</w:t>
      </w:r>
      <w:r w:rsidRPr="00940F1D">
        <w:rPr>
          <w:lang w:val="en-US"/>
        </w:rPr>
        <w:tab/>
        <w:t>Introduction</w:t>
      </w:r>
    </w:p>
    <w:p w:rsidR="00111811" w:rsidRPr="00940F1D" w:rsidRDefault="00111811" w:rsidP="00111811">
      <w:pPr>
        <w:rPr>
          <w:lang w:val="en-US"/>
        </w:rPr>
      </w:pPr>
      <w:r w:rsidRPr="00940F1D">
        <w:rPr>
          <w:lang w:val="en-US"/>
        </w:rPr>
        <w:t xml:space="preserve">The RR define “primary radar” as “A </w:t>
      </w:r>
      <w:r w:rsidRPr="00940F1D">
        <w:rPr>
          <w:i/>
          <w:iCs/>
          <w:lang w:val="en-US"/>
        </w:rPr>
        <w:t>radiodetermination</w:t>
      </w:r>
      <w:r w:rsidRPr="00940F1D">
        <w:rPr>
          <w:lang w:val="en-US"/>
        </w:rPr>
        <w:t xml:space="preserve"> system based on the comparison of reference signals with radio signals reflected from the position to be determined”.</w:t>
      </w:r>
    </w:p>
    <w:p w:rsidR="00111811" w:rsidRPr="00940F1D" w:rsidRDefault="00111811" w:rsidP="00111811">
      <w:pPr>
        <w:rPr>
          <w:lang w:val="en-US"/>
        </w:rPr>
      </w:pPr>
      <w:r w:rsidRPr="00940F1D">
        <w:rPr>
          <w:lang w:val="en-US"/>
        </w:rPr>
        <w:t>Terrestrial primary radars operate in the radionavigation service (air surveillance radars and navigation radars on aircraft and ships), the meteorological aids service (weather radars), and the radiolocation service (most other terrestrial radars). Space-based radars include active remote sensing satellites operating in the SRS (active) and EESS (active), and other radars in the SRS.</w:t>
      </w:r>
    </w:p>
    <w:p w:rsidR="00111811" w:rsidRPr="00940F1D" w:rsidRDefault="00111811" w:rsidP="00111811">
      <w:pPr>
        <w:rPr>
          <w:lang w:val="en-US"/>
        </w:rPr>
      </w:pPr>
      <w:r w:rsidRPr="00940F1D">
        <w:rPr>
          <w:lang w:val="en-US"/>
        </w:rPr>
        <w:t>The following limits are not applicable inside exclusive radiodetermination and/or EESS (active) and SRS (active) bands, but do apply at the band edges. The topic of primary radar emission limits within these exclusive service bands will be the subject of further studies.</w:t>
      </w:r>
    </w:p>
    <w:p w:rsidR="00111811" w:rsidRPr="00940F1D" w:rsidRDefault="00111811" w:rsidP="00111811">
      <w:pPr>
        <w:rPr>
          <w:lang w:val="en-US"/>
        </w:rPr>
      </w:pPr>
      <w:r w:rsidRPr="00940F1D">
        <w:rPr>
          <w:lang w:val="en-US"/>
        </w:rPr>
        <w:lastRenderedPageBreak/>
        <w:t>Several categories of primary radars are not included in the OoB emission limits defined in this Annex. These include pulsed radars with rated peak power of 1 kW or less, non-pulsed radars with rated average power of 40 W or less, radars operating above 4</w:t>
      </w:r>
      <w:r>
        <w:rPr>
          <w:lang w:val="en-US"/>
        </w:rPr>
        <w:t>0 GHz, man-portable radars, and </w:t>
      </w:r>
      <w:r w:rsidRPr="00940F1D">
        <w:rPr>
          <w:lang w:val="en-US"/>
        </w:rPr>
        <w:t>expendable radars on missiles. These categories of radars will also be the subject of further studies to establish the appropriate limits.</w:t>
      </w:r>
    </w:p>
    <w:p w:rsidR="00111811" w:rsidRPr="00940F1D" w:rsidRDefault="00111811" w:rsidP="00CA23FE">
      <w:pPr>
        <w:rPr>
          <w:lang w:val="en-US"/>
        </w:rPr>
      </w:pPr>
      <w:r w:rsidRPr="00940F1D">
        <w:rPr>
          <w:lang w:val="en-US"/>
        </w:rPr>
        <w:t xml:space="preserve">Throughout this </w:t>
      </w:r>
      <w:r w:rsidR="00701A4D">
        <w:rPr>
          <w:lang w:val="en-US"/>
        </w:rPr>
        <w:t>A</w:t>
      </w:r>
      <w:r w:rsidRPr="00940F1D">
        <w:rPr>
          <w:lang w:val="en-US"/>
        </w:rPr>
        <w:t>nnex, in all formulas, bandwidth (</w:t>
      </w:r>
      <w:r w:rsidRPr="00111811">
        <w:rPr>
          <w:i/>
          <w:iCs/>
          <w:lang w:val="en-US"/>
        </w:rPr>
        <w:t>B</w:t>
      </w:r>
      <w:r w:rsidR="00CA23FE" w:rsidRPr="00CA23FE">
        <w:rPr>
          <w:i/>
          <w:iCs/>
          <w:vertAlign w:val="subscript"/>
          <w:lang w:val="en-US"/>
        </w:rPr>
        <w:t>N</w:t>
      </w:r>
      <w:r w:rsidRPr="00111811">
        <w:rPr>
          <w:lang w:val="en-US"/>
        </w:rPr>
        <w:t xml:space="preserve">, </w:t>
      </w:r>
      <w:r w:rsidRPr="00111811">
        <w:rPr>
          <w:i/>
          <w:iCs/>
          <w:lang w:val="en-US"/>
        </w:rPr>
        <w:t>B</w:t>
      </w:r>
      <w:r w:rsidRPr="00111811">
        <w:rPr>
          <w:i/>
          <w:iCs/>
          <w:vertAlign w:val="subscript"/>
          <w:lang w:val="en-US"/>
        </w:rPr>
        <w:t>c</w:t>
      </w:r>
      <w:r w:rsidRPr="00111811">
        <w:rPr>
          <w:lang w:val="en-US"/>
        </w:rPr>
        <w:t xml:space="preserve">, </w:t>
      </w:r>
      <w:r w:rsidRPr="00111811">
        <w:rPr>
          <w:i/>
          <w:iCs/>
          <w:lang w:val="en-US"/>
        </w:rPr>
        <w:t>B</w:t>
      </w:r>
      <w:r w:rsidRPr="00111811">
        <w:rPr>
          <w:i/>
          <w:iCs/>
          <w:vertAlign w:val="subscript"/>
          <w:lang w:val="en-US"/>
        </w:rPr>
        <w:t>s</w:t>
      </w:r>
      <w:r w:rsidRPr="00111811">
        <w:rPr>
          <w:lang w:val="en-US"/>
        </w:rPr>
        <w:t xml:space="preserve">, </w:t>
      </w:r>
      <w:r w:rsidRPr="00111811">
        <w:rPr>
          <w:i/>
          <w:iCs/>
          <w:lang w:val="en-US"/>
        </w:rPr>
        <w:t>B</w:t>
      </w:r>
      <w:r w:rsidRPr="00111811">
        <w:rPr>
          <w:i/>
          <w:iCs/>
          <w:vertAlign w:val="subscript"/>
          <w:lang w:val="en-US"/>
        </w:rPr>
        <w:t>d</w:t>
      </w:r>
      <w:r w:rsidRPr="00111811">
        <w:rPr>
          <w:lang w:val="en-US"/>
        </w:rPr>
        <w:t xml:space="preserve">, </w:t>
      </w:r>
      <w:r w:rsidRPr="00111811">
        <w:rPr>
          <w:i/>
          <w:iCs/>
          <w:lang w:val="en-US"/>
        </w:rPr>
        <w:t>B</w:t>
      </w:r>
      <w:r w:rsidRPr="00111811">
        <w:rPr>
          <w:i/>
          <w:iCs/>
          <w:vertAlign w:val="subscript"/>
          <w:lang w:val="en-US"/>
        </w:rPr>
        <w:t>−</w:t>
      </w:r>
      <w:r w:rsidRPr="00111811">
        <w:rPr>
          <w:vertAlign w:val="subscript"/>
          <w:lang w:val="en-US"/>
        </w:rPr>
        <w:t>40</w:t>
      </w:r>
      <w:r w:rsidRPr="00111811">
        <w:rPr>
          <w:lang w:val="en-US"/>
        </w:rPr>
        <w:t>,</w:t>
      </w:r>
      <w:r w:rsidRPr="00111811">
        <w:rPr>
          <w:iCs/>
          <w:lang w:val="en-US"/>
        </w:rPr>
        <w:t xml:space="preserve"> </w:t>
      </w:r>
      <w:r w:rsidRPr="00111811">
        <w:rPr>
          <w:i/>
          <w:lang w:val="en-US"/>
        </w:rPr>
        <w:t>B</w:t>
      </w:r>
      <w:r w:rsidR="00CA23FE">
        <w:rPr>
          <w:i/>
          <w:vertAlign w:val="subscript"/>
          <w:lang w:val="en-US"/>
        </w:rPr>
        <w:t>r</w:t>
      </w:r>
      <w:r w:rsidRPr="00111811">
        <w:rPr>
          <w:i/>
          <w:vertAlign w:val="subscript"/>
          <w:lang w:val="en-US"/>
        </w:rPr>
        <w:t>ise</w:t>
      </w:r>
      <w:r w:rsidRPr="00111811">
        <w:rPr>
          <w:lang w:val="en-US"/>
        </w:rPr>
        <w:t xml:space="preserve">, </w:t>
      </w:r>
      <w:r w:rsidRPr="00111811">
        <w:rPr>
          <w:i/>
          <w:lang w:val="en-US"/>
        </w:rPr>
        <w:t>B</w:t>
      </w:r>
      <w:r w:rsidR="00CA23FE">
        <w:rPr>
          <w:i/>
          <w:vertAlign w:val="subscript"/>
          <w:lang w:val="en-US"/>
        </w:rPr>
        <w:t>f</w:t>
      </w:r>
      <w:r w:rsidRPr="00111811">
        <w:rPr>
          <w:i/>
          <w:vertAlign w:val="subscript"/>
          <w:lang w:val="en-US"/>
        </w:rPr>
        <w:t>all</w:t>
      </w:r>
      <w:r w:rsidRPr="00111811">
        <w:rPr>
          <w:lang w:val="en-US"/>
        </w:rPr>
        <w:t xml:space="preserve">, </w:t>
      </w:r>
      <w:r w:rsidRPr="00111811">
        <w:rPr>
          <w:i/>
          <w:lang w:val="en-US"/>
        </w:rPr>
        <w:t>B</w:t>
      </w:r>
      <w:r w:rsidR="00CA23FE">
        <w:rPr>
          <w:i/>
          <w:vertAlign w:val="subscript"/>
          <w:lang w:val="en-US"/>
        </w:rPr>
        <w:t>r</w:t>
      </w:r>
      <w:r w:rsidRPr="00111811">
        <w:rPr>
          <w:i/>
          <w:vertAlign w:val="subscript"/>
          <w:lang w:val="en-US"/>
        </w:rPr>
        <w:t>ise&amp;</w:t>
      </w:r>
      <w:r w:rsidR="00CA23FE">
        <w:rPr>
          <w:i/>
          <w:vertAlign w:val="subscript"/>
          <w:lang w:val="en-US"/>
        </w:rPr>
        <w:t>f</w:t>
      </w:r>
      <w:r w:rsidRPr="00111811">
        <w:rPr>
          <w:i/>
          <w:vertAlign w:val="subscript"/>
          <w:lang w:val="en-US"/>
        </w:rPr>
        <w:t>al</w:t>
      </w:r>
      <w:r w:rsidRPr="00111811">
        <w:rPr>
          <w:i/>
          <w:iCs/>
          <w:vertAlign w:val="subscript"/>
          <w:lang w:val="en-US"/>
        </w:rPr>
        <w:t>l</w:t>
      </w:r>
      <w:r w:rsidR="00CA23FE" w:rsidRPr="00CA23FE">
        <w:rPr>
          <w:lang w:val="en-US"/>
        </w:rPr>
        <w:t xml:space="preserve">, </w:t>
      </w:r>
      <w:r w:rsidR="00CA23FE">
        <w:rPr>
          <w:i/>
          <w:iCs/>
          <w:lang w:val="en-US"/>
        </w:rPr>
        <w:t>B</w:t>
      </w:r>
      <w:r w:rsidR="00CA23FE" w:rsidRPr="00CA23FE">
        <w:rPr>
          <w:i/>
          <w:iCs/>
          <w:vertAlign w:val="subscript"/>
          <w:lang w:val="en-US"/>
        </w:rPr>
        <w:t>R</w:t>
      </w:r>
      <w:r w:rsidRPr="00940F1D">
        <w:rPr>
          <w:lang w:val="en-US"/>
        </w:rPr>
        <w:t>) is expressed in Hertz, while pulse duration and rise/fall time are expressed in seconds</w:t>
      </w:r>
      <w:r w:rsidRPr="00111811">
        <w:rPr>
          <w:lang w:val="en-US"/>
        </w:rPr>
        <w:t>, unless otherwise noted</w:t>
      </w:r>
      <w:r>
        <w:rPr>
          <w:lang w:val="en-US"/>
        </w:rPr>
        <w:t>.</w:t>
      </w:r>
    </w:p>
    <w:p w:rsidR="00111811" w:rsidRPr="00940F1D" w:rsidRDefault="00111811" w:rsidP="00111811">
      <w:pPr>
        <w:pStyle w:val="Heading1"/>
        <w:rPr>
          <w:lang w:val="en-US"/>
        </w:rPr>
      </w:pPr>
      <w:r w:rsidRPr="00940F1D">
        <w:rPr>
          <w:lang w:val="en-US"/>
        </w:rPr>
        <w:t>2</w:t>
      </w:r>
      <w:r w:rsidRPr="00940F1D">
        <w:rPr>
          <w:lang w:val="en-US"/>
        </w:rPr>
        <w:tab/>
        <w:t>Necessary bandwidth</w:t>
      </w:r>
    </w:p>
    <w:p w:rsidR="00111811" w:rsidRPr="00940F1D" w:rsidRDefault="00111811" w:rsidP="00111811">
      <w:pPr>
        <w:rPr>
          <w:lang w:val="en-US"/>
        </w:rPr>
      </w:pPr>
      <w:r w:rsidRPr="00940F1D">
        <w:rPr>
          <w:lang w:val="en-US"/>
        </w:rPr>
        <w:t>Knowledge of the necessary bandwidth of a radar transmitter is required both for specifying the OoB domain emission limits and for specifying the boundary beyond which spurious limits apply.</w:t>
      </w:r>
    </w:p>
    <w:p w:rsidR="00111811" w:rsidRPr="00940F1D" w:rsidRDefault="00111811" w:rsidP="00111811">
      <w:pPr>
        <w:rPr>
          <w:lang w:val="en-US"/>
        </w:rPr>
      </w:pPr>
      <w:r w:rsidRPr="00940F1D">
        <w:rPr>
          <w:lang w:val="en-US"/>
        </w:rPr>
        <w:t>Recommendation ITU-R SM.1138, to which the RR</w:t>
      </w:r>
      <w:r w:rsidRPr="00940F1D">
        <w:rPr>
          <w:iCs/>
          <w:lang w:val="en-US"/>
        </w:rPr>
        <w:t xml:space="preserve"> </w:t>
      </w:r>
      <w:r w:rsidRPr="00940F1D">
        <w:rPr>
          <w:lang w:val="en-US"/>
        </w:rPr>
        <w:t>makes reference, provides formulas to be used to calculate the necessary bandwidth when required by the RR. However, the only formula applicable to radar gives results that can vary by a factor of ten based on a constant chosen by the user. Recommendation ITU-R SM.853, considering that the formulas in Recommendation ITU</w:t>
      </w:r>
      <w:r w:rsidRPr="00940F1D">
        <w:rPr>
          <w:lang w:val="en-US"/>
        </w:rPr>
        <w:noBreakHyphen/>
        <w:t>R SM.1138 are incomplete, recommends numerous supplemental formulas.</w:t>
      </w:r>
    </w:p>
    <w:p w:rsidR="00111811" w:rsidRPr="00940F1D" w:rsidRDefault="00111811" w:rsidP="00111811">
      <w:pPr>
        <w:pStyle w:val="Heading2"/>
        <w:rPr>
          <w:lang w:val="en-US"/>
        </w:rPr>
      </w:pPr>
      <w:r w:rsidRPr="00940F1D">
        <w:rPr>
          <w:lang w:val="en-US"/>
        </w:rPr>
        <w:t>2.1</w:t>
      </w:r>
      <w:r w:rsidRPr="00940F1D">
        <w:rPr>
          <w:lang w:val="en-US"/>
        </w:rPr>
        <w:tab/>
        <w:t>Un-modulated radar pulses</w:t>
      </w:r>
    </w:p>
    <w:p w:rsidR="00111811" w:rsidRPr="00940F1D" w:rsidRDefault="00111811" w:rsidP="00111811">
      <w:pPr>
        <w:rPr>
          <w:lang w:val="en-US"/>
        </w:rPr>
      </w:pPr>
      <w:r w:rsidRPr="00940F1D">
        <w:rPr>
          <w:lang w:val="en-US"/>
        </w:rPr>
        <w:t xml:space="preserve">Recommendation ITU-R SM.853 provides guidance for determining the necessary bandwidth (20 dB below the peak envelope value) for rectangular and trapezoidal pulses. For these systems, the necessary bandwidth </w:t>
      </w:r>
      <w:r w:rsidRPr="00940F1D">
        <w:rPr>
          <w:i/>
          <w:iCs/>
          <w:lang w:val="en-US"/>
        </w:rPr>
        <w:t>B</w:t>
      </w:r>
      <w:r w:rsidRPr="00940F1D">
        <w:rPr>
          <w:i/>
          <w:iCs/>
          <w:position w:val="-4"/>
          <w:sz w:val="20"/>
          <w:lang w:val="en-US"/>
        </w:rPr>
        <w:t>N</w:t>
      </w:r>
      <w:r w:rsidRPr="00940F1D">
        <w:rPr>
          <w:i/>
          <w:lang w:val="en-US"/>
        </w:rPr>
        <w:t xml:space="preserve"> </w:t>
      </w:r>
      <w:r w:rsidRPr="00940F1D">
        <w:rPr>
          <w:lang w:val="en-US"/>
        </w:rPr>
        <w:t>is the smaller of:</w:t>
      </w:r>
    </w:p>
    <w:p w:rsidR="00727401" w:rsidRDefault="00727401" w:rsidP="00727401">
      <w:pPr>
        <w:pStyle w:val="Blanc"/>
      </w:pPr>
    </w:p>
    <w:p w:rsidR="00111811" w:rsidRPr="00940F1D" w:rsidRDefault="00727401" w:rsidP="00727401">
      <w:pPr>
        <w:pStyle w:val="Equation"/>
        <w:rPr>
          <w:lang w:val="en-US"/>
        </w:rPr>
      </w:pPr>
      <w:r w:rsidRPr="00401D66">
        <w:rPr>
          <w:lang w:val="en-US"/>
        </w:rPr>
        <w:tab/>
      </w:r>
      <w:r w:rsidRPr="00401D66">
        <w:rPr>
          <w:lang w:val="en-US"/>
        </w:rPr>
        <w:tab/>
      </w:r>
      <w:r w:rsidRPr="00727401">
        <w:rPr>
          <w:position w:val="-38"/>
        </w:rPr>
        <w:object w:dxaOrig="2160" w:dyaOrig="760">
          <v:shape id="_x0000_i1071" type="#_x0000_t75" style="width:107.05pt;height:38.2pt" o:ole="">
            <v:imagedata r:id="rId136" o:title=""/>
          </v:shape>
          <o:OLEObject Type="Embed" ProgID="Equation.3" ShapeID="_x0000_i1071" DrawAspect="Content" ObjectID="_1392698822" r:id="rId137"/>
        </w:object>
      </w:r>
      <w:r w:rsidRPr="00401D66">
        <w:rPr>
          <w:lang w:val="en-US"/>
        </w:rPr>
        <w:tab/>
      </w:r>
      <w:r w:rsidR="00111811" w:rsidRPr="00940F1D">
        <w:rPr>
          <w:lang w:val="en-US"/>
        </w:rPr>
        <w:t>(35)</w:t>
      </w:r>
    </w:p>
    <w:p w:rsidR="00111811" w:rsidRPr="00940F1D" w:rsidRDefault="00111811" w:rsidP="00111811">
      <w:pPr>
        <w:rPr>
          <w:lang w:val="en-US"/>
        </w:rPr>
      </w:pPr>
      <w:r w:rsidRPr="00940F1D">
        <w:rPr>
          <w:lang w:val="en-US"/>
        </w:rPr>
        <w:t xml:space="preserve">where </w:t>
      </w:r>
      <w:r w:rsidRPr="00940F1D">
        <w:rPr>
          <w:i/>
          <w:lang w:val="en-US"/>
        </w:rPr>
        <w:t xml:space="preserve">t </w:t>
      </w:r>
      <w:r w:rsidRPr="00940F1D">
        <w:rPr>
          <w:lang w:val="en-US"/>
        </w:rPr>
        <w:t xml:space="preserve">is the pulse duration (at half amplitude) and </w:t>
      </w:r>
      <w:r w:rsidRPr="00940F1D">
        <w:rPr>
          <w:position w:val="-10"/>
          <w:lang w:val="fr-CH"/>
        </w:rPr>
        <w:object w:dxaOrig="220" w:dyaOrig="340">
          <v:shape id="_x0000_i1072" type="#_x0000_t75" style="width:11.25pt;height:18.15pt" o:ole="">
            <v:imagedata r:id="rId138" o:title=""/>
          </v:shape>
          <o:OLEObject Type="Embed" ProgID="Equation.3" ShapeID="_x0000_i1072" DrawAspect="Content" ObjectID="_1392698823" r:id="rId139"/>
        </w:object>
      </w:r>
      <w:r w:rsidRPr="00940F1D">
        <w:rPr>
          <w:i/>
          <w:lang w:val="en-US"/>
        </w:rPr>
        <w:t xml:space="preserve"> </w:t>
      </w:r>
      <w:r w:rsidRPr="00940F1D">
        <w:rPr>
          <w:lang w:val="en-US"/>
        </w:rPr>
        <w:t>is the rise time, both in seconds</w:t>
      </w:r>
      <w:r>
        <w:rPr>
          <w:rStyle w:val="FootnoteReference"/>
          <w:lang w:val="en-US"/>
        </w:rPr>
        <w:footnoteReference w:id="5"/>
      </w:r>
      <w:r w:rsidRPr="00940F1D">
        <w:rPr>
          <w:lang w:val="en-US"/>
        </w:rPr>
        <w:t xml:space="preserve">. </w:t>
      </w:r>
    </w:p>
    <w:p w:rsidR="00111811" w:rsidRPr="00940F1D" w:rsidRDefault="00111811" w:rsidP="00727401">
      <w:pPr>
        <w:pStyle w:val="Heading2"/>
        <w:rPr>
          <w:lang w:val="en-US"/>
        </w:rPr>
      </w:pPr>
      <w:r w:rsidRPr="00940F1D">
        <w:rPr>
          <w:lang w:val="en-US"/>
        </w:rPr>
        <w:t>2.2</w:t>
      </w:r>
      <w:r w:rsidRPr="00940F1D">
        <w:rPr>
          <w:lang w:val="en-US"/>
        </w:rPr>
        <w:tab/>
        <w:t>Other modulations</w:t>
      </w:r>
    </w:p>
    <w:p w:rsidR="00111811" w:rsidRPr="00940F1D" w:rsidRDefault="00111811" w:rsidP="00727401">
      <w:pPr>
        <w:keepNext/>
        <w:keepLines/>
        <w:rPr>
          <w:lang w:val="en-US"/>
        </w:rPr>
      </w:pPr>
      <w:r w:rsidRPr="00940F1D">
        <w:rPr>
          <w:lang w:val="en-US"/>
        </w:rPr>
        <w:t>Necessary bandwidth formulas for frequency modulated pulse radars, frequency hopping radars, and CW radars, both un-modulated and frequency modulated are presented below. For frequency modulated pulse radars, the necessary bandwidth (20 dB bandwidth) formula exceeds the symmetrical trapezoidal pulse case (equation (35)) by twice the frequency deviation</w:t>
      </w:r>
      <w:r w:rsidRPr="00940F1D">
        <w:rPr>
          <w:i/>
          <w:lang w:val="en-US"/>
        </w:rPr>
        <w:t xml:space="preserve"> B</w:t>
      </w:r>
      <w:r w:rsidRPr="00940F1D">
        <w:rPr>
          <w:i/>
          <w:position w:val="-4"/>
          <w:sz w:val="20"/>
          <w:lang w:val="en-US"/>
        </w:rPr>
        <w:t>c</w:t>
      </w:r>
      <w:r w:rsidRPr="00F15280">
        <w:rPr>
          <w:rStyle w:val="FootnoteReference"/>
          <w:iCs/>
          <w:lang w:val="en-US"/>
        </w:rPr>
        <w:footnoteReference w:id="6"/>
      </w:r>
      <w:r w:rsidRPr="00940F1D">
        <w:rPr>
          <w:lang w:val="en-US"/>
        </w:rPr>
        <w:t>:</w:t>
      </w:r>
    </w:p>
    <w:p w:rsidR="00111811" w:rsidRPr="00940F1D" w:rsidRDefault="00727401" w:rsidP="00727401">
      <w:pPr>
        <w:pStyle w:val="Equation"/>
        <w:rPr>
          <w:lang w:val="en-US"/>
        </w:rPr>
      </w:pPr>
      <w:r w:rsidRPr="00401D66">
        <w:rPr>
          <w:lang w:val="en-US"/>
        </w:rPr>
        <w:tab/>
      </w:r>
      <w:r w:rsidRPr="00401D66">
        <w:rPr>
          <w:lang w:val="en-US"/>
        </w:rPr>
        <w:tab/>
      </w:r>
      <w:r w:rsidRPr="00727401">
        <w:rPr>
          <w:position w:val="-38"/>
        </w:rPr>
        <w:object w:dxaOrig="1980" w:dyaOrig="760">
          <v:shape id="_x0000_i1073" type="#_x0000_t75" style="width:100.15pt;height:38.2pt" o:ole="">
            <v:imagedata r:id="rId140" o:title=""/>
          </v:shape>
          <o:OLEObject Type="Embed" ProgID="Equation.3" ShapeID="_x0000_i1073" DrawAspect="Content" ObjectID="_1392698824" r:id="rId141"/>
        </w:object>
      </w:r>
      <w:r w:rsidR="00111811" w:rsidRPr="00940F1D">
        <w:rPr>
          <w:lang w:val="en-US"/>
        </w:rPr>
        <w:tab/>
        <w:t>(36)</w:t>
      </w:r>
    </w:p>
    <w:p w:rsidR="00111811" w:rsidRPr="00940F1D" w:rsidRDefault="00111811" w:rsidP="00111811">
      <w:pPr>
        <w:rPr>
          <w:lang w:val="en-US"/>
        </w:rPr>
      </w:pPr>
      <w:r w:rsidRPr="00940F1D">
        <w:rPr>
          <w:lang w:val="en-US"/>
        </w:rPr>
        <w:lastRenderedPageBreak/>
        <w:t>The formula for frequency hopping radars has an additional term</w:t>
      </w:r>
      <w:r w:rsidRPr="00940F1D">
        <w:rPr>
          <w:i/>
          <w:lang w:val="en-US"/>
        </w:rPr>
        <w:t xml:space="preserve"> B</w:t>
      </w:r>
      <w:r w:rsidRPr="00940F1D">
        <w:rPr>
          <w:i/>
          <w:iCs/>
          <w:position w:val="-4"/>
          <w:sz w:val="20"/>
          <w:lang w:val="en-US"/>
        </w:rPr>
        <w:t>s</w:t>
      </w:r>
      <w:r w:rsidRPr="00940F1D">
        <w:rPr>
          <w:lang w:val="en-US"/>
        </w:rPr>
        <w:t>, the maximum range over which the carrier frequency will be shifted:</w:t>
      </w:r>
    </w:p>
    <w:p w:rsidR="00727401" w:rsidRDefault="00727401" w:rsidP="00727401">
      <w:pPr>
        <w:pStyle w:val="Blanc"/>
      </w:pPr>
    </w:p>
    <w:p w:rsidR="00111811" w:rsidRPr="00940F1D" w:rsidRDefault="00727401" w:rsidP="00727401">
      <w:pPr>
        <w:pStyle w:val="Equation"/>
        <w:rPr>
          <w:lang w:val="en-US"/>
        </w:rPr>
      </w:pPr>
      <w:r w:rsidRPr="00401D66">
        <w:rPr>
          <w:lang w:val="en-US"/>
        </w:rPr>
        <w:tab/>
      </w:r>
      <w:r w:rsidRPr="00401D66">
        <w:rPr>
          <w:lang w:val="en-US"/>
        </w:rPr>
        <w:tab/>
      </w:r>
      <w:r w:rsidRPr="00727401">
        <w:rPr>
          <w:position w:val="-38"/>
        </w:rPr>
        <w:object w:dxaOrig="2460" w:dyaOrig="760">
          <v:shape id="_x0000_i1074" type="#_x0000_t75" style="width:121.45pt;height:38.2pt" o:ole="">
            <v:imagedata r:id="rId142" o:title=""/>
          </v:shape>
          <o:OLEObject Type="Embed" ProgID="Equation.3" ShapeID="_x0000_i1074" DrawAspect="Content" ObjectID="_1392698825" r:id="rId143"/>
        </w:object>
      </w:r>
      <w:r w:rsidR="00111811" w:rsidRPr="00940F1D">
        <w:rPr>
          <w:lang w:val="en-US"/>
        </w:rPr>
        <w:tab/>
        <w:t>(37)</w:t>
      </w:r>
    </w:p>
    <w:p w:rsidR="00727401" w:rsidRDefault="00727401" w:rsidP="00727401">
      <w:pPr>
        <w:pStyle w:val="Blanc"/>
      </w:pPr>
    </w:p>
    <w:p w:rsidR="00111811" w:rsidRPr="00940F1D" w:rsidRDefault="00111811" w:rsidP="00111811">
      <w:pPr>
        <w:rPr>
          <w:lang w:val="en-US"/>
        </w:rPr>
      </w:pPr>
      <w:r w:rsidRPr="00940F1D">
        <w:rPr>
          <w:lang w:val="en-US"/>
        </w:rPr>
        <w:t>Although Recommendation ITU-R SM.1138 gives no formula under the heading of “continuous wave emission” (here meaning a carrier without modulation) a realistic value of necessary bandwidth for un-modulated continuous wave (CW) radars depends on the frequency tolerance and noise. For frequency modulated CW radars, the necessary bandwidth is twice</w:t>
      </w:r>
      <w:r w:rsidRPr="00940F1D">
        <w:rPr>
          <w:i/>
          <w:lang w:val="en-US"/>
        </w:rPr>
        <w:t xml:space="preserve"> B</w:t>
      </w:r>
      <w:r w:rsidRPr="00940F1D">
        <w:rPr>
          <w:i/>
          <w:position w:val="-4"/>
          <w:sz w:val="20"/>
          <w:lang w:val="en-US"/>
        </w:rPr>
        <w:t>d</w:t>
      </w:r>
      <w:r w:rsidRPr="00940F1D">
        <w:rPr>
          <w:lang w:val="en-US"/>
        </w:rPr>
        <w:t>, the maximum frequency deviation:</w:t>
      </w:r>
    </w:p>
    <w:p w:rsidR="00727401" w:rsidRDefault="00727401" w:rsidP="00727401">
      <w:pPr>
        <w:pStyle w:val="Blanc"/>
      </w:pPr>
    </w:p>
    <w:p w:rsidR="00111811" w:rsidRPr="00940F1D" w:rsidRDefault="00727401" w:rsidP="00727401">
      <w:pPr>
        <w:pStyle w:val="Equation"/>
        <w:rPr>
          <w:lang w:val="en-US"/>
        </w:rPr>
      </w:pPr>
      <w:r w:rsidRPr="00401D66">
        <w:rPr>
          <w:lang w:val="en-US"/>
        </w:rPr>
        <w:tab/>
      </w:r>
      <w:r w:rsidRPr="00401D66">
        <w:rPr>
          <w:lang w:val="en-US"/>
        </w:rPr>
        <w:tab/>
      </w:r>
      <w:r w:rsidRPr="00727401">
        <w:rPr>
          <w:position w:val="-12"/>
        </w:rPr>
        <w:object w:dxaOrig="1120" w:dyaOrig="360">
          <v:shape id="_x0000_i1075" type="#_x0000_t75" style="width:55.7pt;height:18.15pt" o:ole="">
            <v:imagedata r:id="rId144" o:title=""/>
          </v:shape>
          <o:OLEObject Type="Embed" ProgID="Equation.3" ShapeID="_x0000_i1075" DrawAspect="Content" ObjectID="_1392698826" r:id="rId145"/>
        </w:object>
      </w:r>
      <w:r w:rsidR="00111811" w:rsidRPr="00940F1D">
        <w:rPr>
          <w:lang w:val="en-US"/>
        </w:rPr>
        <w:tab/>
        <w:t>(38)</w:t>
      </w:r>
    </w:p>
    <w:p w:rsidR="00111811" w:rsidRPr="00940F1D" w:rsidRDefault="00111811" w:rsidP="00111811">
      <w:pPr>
        <w:pStyle w:val="Heading2"/>
        <w:rPr>
          <w:lang w:val="en-US"/>
        </w:rPr>
      </w:pPr>
      <w:r w:rsidRPr="00940F1D">
        <w:rPr>
          <w:lang w:val="en-US"/>
        </w:rPr>
        <w:t>2.3</w:t>
      </w:r>
      <w:r w:rsidRPr="00940F1D">
        <w:rPr>
          <w:lang w:val="en-US"/>
        </w:rPr>
        <w:tab/>
        <w:t>Typical values of necessary bandwidth</w:t>
      </w:r>
    </w:p>
    <w:p w:rsidR="00111811" w:rsidRPr="00940F1D" w:rsidRDefault="00111811" w:rsidP="00727401">
      <w:pPr>
        <w:rPr>
          <w:lang w:val="en-US"/>
        </w:rPr>
      </w:pPr>
      <w:r w:rsidRPr="00940F1D">
        <w:rPr>
          <w:lang w:val="en-US"/>
        </w:rPr>
        <w:t>Table 23 shows typical necessary bandwidths, followed by the ranges of the necessary bandwidth values, for four types of radars.</w:t>
      </w:r>
    </w:p>
    <w:p w:rsidR="00111811" w:rsidRPr="00940F1D" w:rsidRDefault="00111811" w:rsidP="00111811">
      <w:pPr>
        <w:pStyle w:val="TableNo"/>
        <w:rPr>
          <w:lang w:val="en-US"/>
        </w:rPr>
      </w:pPr>
      <w:r w:rsidRPr="00940F1D">
        <w:rPr>
          <w:lang w:val="en-US"/>
        </w:rPr>
        <w:t>TABLE 23</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6"/>
        <w:gridCol w:w="2529"/>
        <w:gridCol w:w="2952"/>
      </w:tblGrid>
      <w:tr w:rsidR="00111811" w:rsidRPr="00940F1D" w:rsidTr="00111811">
        <w:trPr>
          <w:jc w:val="center"/>
        </w:trPr>
        <w:tc>
          <w:tcPr>
            <w:tcW w:w="3396" w:type="dxa"/>
            <w:vAlign w:val="center"/>
          </w:tcPr>
          <w:p w:rsidR="00111811" w:rsidRPr="00727401" w:rsidRDefault="00111811" w:rsidP="00727401">
            <w:pPr>
              <w:pStyle w:val="Tablehead"/>
              <w:rPr>
                <w:sz w:val="20"/>
                <w:lang w:val="en-US"/>
              </w:rPr>
            </w:pPr>
            <w:r w:rsidRPr="00727401">
              <w:rPr>
                <w:sz w:val="20"/>
                <w:lang w:val="en-US"/>
              </w:rPr>
              <w:t>Type of radar</w:t>
            </w:r>
          </w:p>
        </w:tc>
        <w:tc>
          <w:tcPr>
            <w:tcW w:w="2529" w:type="dxa"/>
            <w:vAlign w:val="center"/>
          </w:tcPr>
          <w:p w:rsidR="00111811" w:rsidRPr="00727401" w:rsidRDefault="00111811" w:rsidP="00727401">
            <w:pPr>
              <w:pStyle w:val="Tablehead"/>
              <w:rPr>
                <w:sz w:val="20"/>
                <w:lang w:val="en-US"/>
              </w:rPr>
            </w:pPr>
            <w:r w:rsidRPr="00727401">
              <w:rPr>
                <w:sz w:val="20"/>
                <w:lang w:val="en-US"/>
              </w:rPr>
              <w:t xml:space="preserve">Typical </w:t>
            </w:r>
            <w:r w:rsidRPr="00727401">
              <w:rPr>
                <w:i/>
                <w:iCs/>
                <w:sz w:val="20"/>
                <w:lang w:val="en-US"/>
              </w:rPr>
              <w:t>B</w:t>
            </w:r>
            <w:r w:rsidRPr="00727401">
              <w:rPr>
                <w:i/>
                <w:iCs/>
                <w:position w:val="-4"/>
                <w:sz w:val="20"/>
                <w:lang w:val="en-US"/>
              </w:rPr>
              <w:t>N</w:t>
            </w:r>
            <w:r w:rsidRPr="00727401">
              <w:rPr>
                <w:sz w:val="20"/>
                <w:lang w:val="en-US"/>
              </w:rPr>
              <w:br/>
              <w:t>(MHz)</w:t>
            </w:r>
          </w:p>
        </w:tc>
        <w:tc>
          <w:tcPr>
            <w:tcW w:w="2952" w:type="dxa"/>
            <w:vAlign w:val="center"/>
          </w:tcPr>
          <w:p w:rsidR="00111811" w:rsidRPr="00727401" w:rsidRDefault="00111811" w:rsidP="00727401">
            <w:pPr>
              <w:pStyle w:val="Tablehead"/>
              <w:rPr>
                <w:sz w:val="20"/>
                <w:lang w:val="en-US"/>
              </w:rPr>
            </w:pPr>
            <w:r w:rsidRPr="00727401">
              <w:rPr>
                <w:sz w:val="20"/>
                <w:lang w:val="en-US"/>
              </w:rPr>
              <w:t xml:space="preserve">Range of </w:t>
            </w:r>
            <w:r w:rsidRPr="00727401">
              <w:rPr>
                <w:i/>
                <w:iCs/>
                <w:sz w:val="20"/>
                <w:lang w:val="en-US"/>
              </w:rPr>
              <w:t>B</w:t>
            </w:r>
            <w:r w:rsidRPr="00727401">
              <w:rPr>
                <w:i/>
                <w:iCs/>
                <w:position w:val="-4"/>
                <w:sz w:val="20"/>
                <w:lang w:val="en-US"/>
              </w:rPr>
              <w:t>N</w:t>
            </w:r>
          </w:p>
        </w:tc>
      </w:tr>
      <w:tr w:rsidR="00111811" w:rsidRPr="00620821" w:rsidTr="00111811">
        <w:trPr>
          <w:jc w:val="center"/>
        </w:trPr>
        <w:tc>
          <w:tcPr>
            <w:tcW w:w="3396" w:type="dxa"/>
          </w:tcPr>
          <w:p w:rsidR="00111811" w:rsidRPr="00727401" w:rsidRDefault="00111811" w:rsidP="00727401">
            <w:pPr>
              <w:pStyle w:val="Tabletext"/>
              <w:rPr>
                <w:sz w:val="20"/>
              </w:rPr>
            </w:pPr>
            <w:r w:rsidRPr="00727401">
              <w:rPr>
                <w:sz w:val="20"/>
              </w:rPr>
              <w:t>Fixed radiolocation radar</w:t>
            </w:r>
          </w:p>
          <w:p w:rsidR="00111811" w:rsidRPr="00727401" w:rsidRDefault="00111811" w:rsidP="00727401">
            <w:pPr>
              <w:pStyle w:val="Tabletext"/>
              <w:rPr>
                <w:sz w:val="20"/>
              </w:rPr>
            </w:pPr>
            <w:r w:rsidRPr="00727401">
              <w:rPr>
                <w:sz w:val="20"/>
              </w:rPr>
              <w:t>Mobile radiolocation radar</w:t>
            </w:r>
          </w:p>
          <w:p w:rsidR="00111811" w:rsidRPr="00727401" w:rsidRDefault="00111811" w:rsidP="00727401">
            <w:pPr>
              <w:pStyle w:val="Tabletext"/>
              <w:rPr>
                <w:sz w:val="20"/>
                <w:lang w:val="fr-CH"/>
              </w:rPr>
            </w:pPr>
            <w:r w:rsidRPr="00727401">
              <w:rPr>
                <w:sz w:val="20"/>
                <w:lang w:val="fr-CH"/>
              </w:rPr>
              <w:t>Airport surveillance radar</w:t>
            </w:r>
          </w:p>
          <w:p w:rsidR="00111811" w:rsidRPr="00727401" w:rsidRDefault="00111811" w:rsidP="00727401">
            <w:pPr>
              <w:pStyle w:val="Tabletext"/>
              <w:rPr>
                <w:sz w:val="20"/>
                <w:lang w:val="en-US"/>
              </w:rPr>
            </w:pPr>
            <w:r w:rsidRPr="00727401">
              <w:rPr>
                <w:sz w:val="20"/>
                <w:lang w:val="en-US"/>
              </w:rPr>
              <w:t>Weather radar</w:t>
            </w:r>
          </w:p>
        </w:tc>
        <w:tc>
          <w:tcPr>
            <w:tcW w:w="2529" w:type="dxa"/>
          </w:tcPr>
          <w:p w:rsidR="00111811" w:rsidRPr="00727401" w:rsidRDefault="00111811" w:rsidP="00727401">
            <w:pPr>
              <w:pStyle w:val="Tabletext"/>
              <w:jc w:val="center"/>
              <w:rPr>
                <w:sz w:val="20"/>
                <w:lang w:val="en-US"/>
              </w:rPr>
            </w:pPr>
            <w:r w:rsidRPr="00727401">
              <w:rPr>
                <w:sz w:val="20"/>
                <w:lang w:val="en-US"/>
              </w:rPr>
              <w:t>6</w:t>
            </w:r>
          </w:p>
          <w:p w:rsidR="00111811" w:rsidRPr="00727401" w:rsidRDefault="00111811" w:rsidP="00727401">
            <w:pPr>
              <w:pStyle w:val="Tabletext"/>
              <w:jc w:val="center"/>
              <w:rPr>
                <w:sz w:val="20"/>
                <w:lang w:val="en-US"/>
              </w:rPr>
            </w:pPr>
            <w:r w:rsidRPr="00727401">
              <w:rPr>
                <w:sz w:val="20"/>
                <w:lang w:val="en-US"/>
              </w:rPr>
              <w:t>5.75</w:t>
            </w:r>
          </w:p>
          <w:p w:rsidR="00111811" w:rsidRPr="00727401" w:rsidRDefault="00111811" w:rsidP="00727401">
            <w:pPr>
              <w:pStyle w:val="Tabletext"/>
              <w:jc w:val="center"/>
              <w:rPr>
                <w:sz w:val="20"/>
                <w:lang w:val="en-US"/>
              </w:rPr>
            </w:pPr>
            <w:r w:rsidRPr="00727401">
              <w:rPr>
                <w:sz w:val="20"/>
                <w:lang w:val="en-US"/>
              </w:rPr>
              <w:t>6</w:t>
            </w:r>
          </w:p>
          <w:p w:rsidR="00111811" w:rsidRPr="00727401" w:rsidRDefault="00111811" w:rsidP="00727401">
            <w:pPr>
              <w:pStyle w:val="Tabletext"/>
              <w:jc w:val="center"/>
              <w:rPr>
                <w:sz w:val="20"/>
                <w:lang w:val="en-US"/>
              </w:rPr>
            </w:pPr>
            <w:r w:rsidRPr="00727401">
              <w:rPr>
                <w:sz w:val="20"/>
                <w:lang w:val="en-US"/>
              </w:rPr>
              <w:t>1</w:t>
            </w:r>
          </w:p>
        </w:tc>
        <w:tc>
          <w:tcPr>
            <w:tcW w:w="2952" w:type="dxa"/>
          </w:tcPr>
          <w:p w:rsidR="00111811" w:rsidRPr="00727401" w:rsidRDefault="00111811" w:rsidP="00727401">
            <w:pPr>
              <w:pStyle w:val="Tabletext"/>
              <w:jc w:val="center"/>
              <w:rPr>
                <w:sz w:val="20"/>
                <w:lang w:val="en-US"/>
              </w:rPr>
            </w:pPr>
            <w:r w:rsidRPr="00727401">
              <w:rPr>
                <w:sz w:val="20"/>
                <w:lang w:val="en-US"/>
              </w:rPr>
              <w:t>20 kHz to 1.3 GHz</w:t>
            </w:r>
          </w:p>
          <w:p w:rsidR="00111811" w:rsidRPr="00727401" w:rsidRDefault="00111811" w:rsidP="00727401">
            <w:pPr>
              <w:pStyle w:val="Tabletext"/>
              <w:jc w:val="center"/>
              <w:rPr>
                <w:sz w:val="20"/>
                <w:lang w:val="en-US"/>
              </w:rPr>
            </w:pPr>
            <w:r w:rsidRPr="00727401">
              <w:rPr>
                <w:sz w:val="20"/>
                <w:lang w:val="en-US"/>
              </w:rPr>
              <w:t>250 kHz to 400 MHz</w:t>
            </w:r>
          </w:p>
          <w:p w:rsidR="00111811" w:rsidRPr="00727401" w:rsidRDefault="00111811" w:rsidP="00727401">
            <w:pPr>
              <w:pStyle w:val="Tabletext"/>
              <w:jc w:val="center"/>
              <w:rPr>
                <w:sz w:val="20"/>
                <w:lang w:val="en-US"/>
              </w:rPr>
            </w:pPr>
            <w:r w:rsidRPr="00727401">
              <w:rPr>
                <w:sz w:val="20"/>
                <w:lang w:val="en-US"/>
              </w:rPr>
              <w:t>2.8 MHz to 15 MHz</w:t>
            </w:r>
          </w:p>
          <w:p w:rsidR="00111811" w:rsidRPr="00727401" w:rsidRDefault="00111811" w:rsidP="00727401">
            <w:pPr>
              <w:pStyle w:val="Tabletext"/>
              <w:jc w:val="center"/>
              <w:rPr>
                <w:sz w:val="20"/>
                <w:lang w:val="en-US"/>
              </w:rPr>
            </w:pPr>
            <w:r w:rsidRPr="00727401">
              <w:rPr>
                <w:sz w:val="20"/>
                <w:lang w:val="en-US"/>
              </w:rPr>
              <w:t>250 kHz to 3.5 MHz</w:t>
            </w:r>
          </w:p>
        </w:tc>
      </w:tr>
    </w:tbl>
    <w:p w:rsidR="00111811" w:rsidRPr="00111811" w:rsidRDefault="00111811" w:rsidP="00727401">
      <w:pPr>
        <w:pStyle w:val="Tablefin"/>
      </w:pPr>
    </w:p>
    <w:p w:rsidR="00111811" w:rsidRPr="00940F1D" w:rsidRDefault="00111811" w:rsidP="00111811">
      <w:pPr>
        <w:pStyle w:val="Heading1"/>
        <w:rPr>
          <w:lang w:val="en-US"/>
        </w:rPr>
      </w:pPr>
      <w:r w:rsidRPr="00940F1D">
        <w:rPr>
          <w:lang w:val="en-US"/>
        </w:rPr>
        <w:t>3</w:t>
      </w:r>
      <w:r w:rsidRPr="00940F1D">
        <w:rPr>
          <w:lang w:val="en-US"/>
        </w:rPr>
        <w:tab/>
        <w:t>OoB domain emission limits for primary radars</w:t>
      </w:r>
    </w:p>
    <w:p w:rsidR="00111811" w:rsidRPr="00940F1D" w:rsidRDefault="00111811" w:rsidP="00111811">
      <w:pPr>
        <w:rPr>
          <w:lang w:val="en-US"/>
        </w:rPr>
      </w:pPr>
      <w:r w:rsidRPr="00940F1D">
        <w:rPr>
          <w:lang w:val="en-US"/>
        </w:rPr>
        <w:t xml:space="preserve">A major difficulty in establishing general OoB domain emission limits for primary radars is the diversity of systems and transmitted waveforms. OoB domain emission limits for primary radars are based on the 40 dB bandwidth </w:t>
      </w:r>
      <w:r w:rsidRPr="00940F1D">
        <w:rPr>
          <w:iCs/>
          <w:lang w:val="en-US"/>
        </w:rPr>
        <w:t>(</w:t>
      </w:r>
      <w:r w:rsidRPr="00111811">
        <w:rPr>
          <w:i/>
          <w:iCs/>
          <w:lang w:val="en-US"/>
        </w:rPr>
        <w:t>B</w:t>
      </w:r>
      <w:r w:rsidRPr="00111811">
        <w:rPr>
          <w:i/>
          <w:iCs/>
          <w:vertAlign w:val="subscript"/>
          <w:lang w:val="en-US"/>
        </w:rPr>
        <w:t>−</w:t>
      </w:r>
      <w:r w:rsidRPr="00111811">
        <w:rPr>
          <w:vertAlign w:val="subscript"/>
          <w:lang w:val="en-US"/>
        </w:rPr>
        <w:t>40</w:t>
      </w:r>
      <w:r w:rsidRPr="00940F1D">
        <w:rPr>
          <w:iCs/>
          <w:lang w:val="en-US"/>
        </w:rPr>
        <w:t>)</w:t>
      </w:r>
      <w:r w:rsidRPr="00111811">
        <w:rPr>
          <w:lang w:val="en-US"/>
        </w:rPr>
        <w:t xml:space="preserve"> </w:t>
      </w:r>
      <w:r w:rsidRPr="00940F1D">
        <w:rPr>
          <w:lang w:val="en-US"/>
        </w:rPr>
        <w:t>of the spectrum of the transmitted waveform.</w:t>
      </w:r>
    </w:p>
    <w:p w:rsidR="00111811" w:rsidRPr="00940F1D" w:rsidRDefault="00111811" w:rsidP="00111811">
      <w:pPr>
        <w:pStyle w:val="Heading2"/>
        <w:rPr>
          <w:lang w:val="en-US"/>
        </w:rPr>
      </w:pPr>
      <w:r w:rsidRPr="00940F1D">
        <w:rPr>
          <w:lang w:val="en-US"/>
        </w:rPr>
        <w:t>3.1</w:t>
      </w:r>
      <w:r w:rsidRPr="00940F1D">
        <w:rPr>
          <w:lang w:val="en-US"/>
        </w:rPr>
        <w:tab/>
        <w:t xml:space="preserve">Formulas for the </w:t>
      </w:r>
      <w:r w:rsidRPr="00111811">
        <w:rPr>
          <w:i/>
          <w:iCs/>
          <w:lang w:val="en-US"/>
        </w:rPr>
        <w:t>B</w:t>
      </w:r>
      <w:r w:rsidRPr="00111811">
        <w:rPr>
          <w:i/>
          <w:iCs/>
          <w:vertAlign w:val="subscript"/>
          <w:lang w:val="en-US"/>
        </w:rPr>
        <w:t>−</w:t>
      </w:r>
      <w:r w:rsidRPr="00111811">
        <w:rPr>
          <w:vertAlign w:val="subscript"/>
          <w:lang w:val="en-US"/>
        </w:rPr>
        <w:t>40</w:t>
      </w:r>
      <w:r w:rsidRPr="00940F1D">
        <w:rPr>
          <w:lang w:val="en-US"/>
        </w:rPr>
        <w:t> dB bandwidth</w:t>
      </w:r>
    </w:p>
    <w:p w:rsidR="00111811" w:rsidRPr="00940F1D" w:rsidRDefault="00111811" w:rsidP="00111811">
      <w:pPr>
        <w:rPr>
          <w:lang w:val="en-US"/>
        </w:rPr>
      </w:pPr>
      <w:r w:rsidRPr="00940F1D">
        <w:rPr>
          <w:lang w:val="en-US"/>
        </w:rPr>
        <w:t xml:space="preserve">Since the ratio of the </w:t>
      </w:r>
      <w:r w:rsidRPr="00111811">
        <w:rPr>
          <w:i/>
          <w:iCs/>
          <w:lang w:val="en-US"/>
        </w:rPr>
        <w:t>B</w:t>
      </w:r>
      <w:r w:rsidRPr="00111811">
        <w:rPr>
          <w:i/>
          <w:iCs/>
          <w:vertAlign w:val="subscript"/>
          <w:lang w:val="en-US"/>
        </w:rPr>
        <w:t>−</w:t>
      </w:r>
      <w:r w:rsidRPr="00111811">
        <w:rPr>
          <w:vertAlign w:val="subscript"/>
          <w:lang w:val="en-US"/>
        </w:rPr>
        <w:t>40</w:t>
      </w:r>
      <w:r w:rsidRPr="00940F1D">
        <w:rPr>
          <w:lang w:val="en-US"/>
        </w:rPr>
        <w:t xml:space="preserve"> dB and necessary bandwidths is not in general a constant, a formula for the </w:t>
      </w:r>
      <w:r w:rsidRPr="00111811">
        <w:rPr>
          <w:i/>
          <w:iCs/>
          <w:lang w:val="en-US"/>
        </w:rPr>
        <w:t>B</w:t>
      </w:r>
      <w:r w:rsidRPr="00111811">
        <w:rPr>
          <w:i/>
          <w:iCs/>
          <w:vertAlign w:val="subscript"/>
          <w:lang w:val="en-US"/>
        </w:rPr>
        <w:t>−</w:t>
      </w:r>
      <w:r w:rsidRPr="00111811">
        <w:rPr>
          <w:vertAlign w:val="subscript"/>
          <w:lang w:val="en-US"/>
        </w:rPr>
        <w:t>40</w:t>
      </w:r>
      <w:r w:rsidRPr="00940F1D">
        <w:rPr>
          <w:lang w:val="en-US"/>
        </w:rPr>
        <w:t xml:space="preserve"> dB bandwidth is needed to relate the mask to necessary bandwidth. The following formulas for the </w:t>
      </w:r>
      <w:r w:rsidRPr="00111811">
        <w:rPr>
          <w:i/>
          <w:iCs/>
          <w:lang w:val="en-US"/>
        </w:rPr>
        <w:t>B</w:t>
      </w:r>
      <w:r w:rsidRPr="00111811">
        <w:rPr>
          <w:i/>
          <w:iCs/>
          <w:vertAlign w:val="subscript"/>
          <w:lang w:val="en-US"/>
        </w:rPr>
        <w:t>−</w:t>
      </w:r>
      <w:r w:rsidRPr="00111811">
        <w:rPr>
          <w:vertAlign w:val="subscript"/>
          <w:lang w:val="en-US"/>
        </w:rPr>
        <w:t>40</w:t>
      </w:r>
      <w:r w:rsidRPr="00940F1D">
        <w:rPr>
          <w:lang w:val="en-US"/>
        </w:rPr>
        <w:t> dB bandwidth of primary radar transmitters have been established.</w:t>
      </w:r>
    </w:p>
    <w:p w:rsidR="00111811" w:rsidRPr="00940F1D" w:rsidRDefault="00111811" w:rsidP="00111811">
      <w:pPr>
        <w:rPr>
          <w:lang w:val="en-US"/>
        </w:rPr>
      </w:pPr>
      <w:r w:rsidRPr="00940F1D">
        <w:rPr>
          <w:lang w:val="en-US"/>
        </w:rPr>
        <w:t>For non-FM pulse radars, including spread spectrum or coded pulse radars, the bandwidth is the lesser of:</w:t>
      </w:r>
    </w:p>
    <w:p w:rsidR="00DF46D4" w:rsidRDefault="00DF46D4" w:rsidP="00DF46D4">
      <w:pPr>
        <w:pStyle w:val="Blanc"/>
      </w:pPr>
    </w:p>
    <w:p w:rsidR="00111811" w:rsidRPr="00940F1D" w:rsidRDefault="00727401" w:rsidP="00727401">
      <w:pPr>
        <w:pStyle w:val="Equation"/>
        <w:rPr>
          <w:lang w:val="en-US"/>
        </w:rPr>
      </w:pPr>
      <w:r w:rsidRPr="00401D66">
        <w:rPr>
          <w:lang w:val="en-US"/>
        </w:rPr>
        <w:tab/>
      </w:r>
      <w:r w:rsidRPr="00401D66">
        <w:rPr>
          <w:lang w:val="en-US"/>
        </w:rPr>
        <w:tab/>
      </w:r>
      <w:r w:rsidRPr="00727401">
        <w:rPr>
          <w:position w:val="-38"/>
        </w:rPr>
        <w:object w:dxaOrig="2100" w:dyaOrig="760">
          <v:shape id="_x0000_i1076" type="#_x0000_t75" style="width:105.8pt;height:38.8pt" o:ole="">
            <v:imagedata r:id="rId146" o:title=""/>
          </v:shape>
          <o:OLEObject Type="Embed" ProgID="Equation.3" ShapeID="_x0000_i1076" DrawAspect="Content" ObjectID="_1392698827" r:id="rId147"/>
        </w:object>
      </w:r>
      <w:r w:rsidR="00111811" w:rsidRPr="00940F1D">
        <w:rPr>
          <w:lang w:val="en-US"/>
        </w:rPr>
        <w:tab/>
        <w:t>(39)</w:t>
      </w:r>
    </w:p>
    <w:p w:rsidR="00DF46D4" w:rsidRDefault="00DF46D4" w:rsidP="00DF46D4">
      <w:pPr>
        <w:pStyle w:val="Blanc"/>
      </w:pPr>
    </w:p>
    <w:p w:rsidR="00111811" w:rsidRPr="00940F1D" w:rsidRDefault="00111811" w:rsidP="00727401">
      <w:pPr>
        <w:rPr>
          <w:lang w:val="en-US"/>
        </w:rPr>
      </w:pPr>
      <w:r w:rsidRPr="00940F1D">
        <w:rPr>
          <w:lang w:val="en-US"/>
        </w:rPr>
        <w:t>where the coefficient</w:t>
      </w:r>
      <w:r w:rsidRPr="00940F1D">
        <w:rPr>
          <w:i/>
          <w:lang w:val="en-US"/>
        </w:rPr>
        <w:t xml:space="preserve"> K</w:t>
      </w:r>
      <w:r w:rsidRPr="00940F1D">
        <w:rPr>
          <w:lang w:val="en-US"/>
        </w:rPr>
        <w:t xml:space="preserve"> is 6.2 for radars with output power greater than 100 kW and 7.6 for lower</w:t>
      </w:r>
      <w:r w:rsidRPr="00940F1D">
        <w:rPr>
          <w:lang w:val="en-US"/>
        </w:rPr>
        <w:noBreakHyphen/>
        <w:t>power radars and radars operating in the radionavigation service in the 2</w:t>
      </w:r>
      <w:r w:rsidRPr="00940F1D">
        <w:rPr>
          <w:rFonts w:ascii="Tms Rmn" w:hAnsi="Tms Rmn"/>
          <w:sz w:val="12"/>
          <w:lang w:val="en-US"/>
        </w:rPr>
        <w:t> </w:t>
      </w:r>
      <w:r w:rsidRPr="00940F1D">
        <w:rPr>
          <w:lang w:val="en-US"/>
        </w:rPr>
        <w:t>900-3</w:t>
      </w:r>
      <w:r w:rsidRPr="00940F1D">
        <w:rPr>
          <w:rFonts w:ascii="Tms Rmn" w:hAnsi="Tms Rmn"/>
          <w:sz w:val="12"/>
          <w:lang w:val="en-US"/>
        </w:rPr>
        <w:t> </w:t>
      </w:r>
      <w:r w:rsidRPr="00940F1D">
        <w:rPr>
          <w:lang w:val="en-US"/>
        </w:rPr>
        <w:t xml:space="preserve">100 MHz and </w:t>
      </w:r>
      <w:r w:rsidRPr="00940F1D">
        <w:rPr>
          <w:lang w:val="en-US"/>
        </w:rPr>
        <w:lastRenderedPageBreak/>
        <w:t>9</w:t>
      </w:r>
      <w:r w:rsidRPr="00940F1D">
        <w:rPr>
          <w:rFonts w:ascii="Tms Rmn" w:hAnsi="Tms Rmn"/>
          <w:sz w:val="12"/>
          <w:lang w:val="en-US"/>
        </w:rPr>
        <w:t> </w:t>
      </w:r>
      <w:r w:rsidRPr="00940F1D">
        <w:rPr>
          <w:lang w:val="en-US"/>
        </w:rPr>
        <w:t>200-9</w:t>
      </w:r>
      <w:r w:rsidRPr="00940F1D">
        <w:rPr>
          <w:rFonts w:ascii="Tms Rmn" w:hAnsi="Tms Rmn"/>
          <w:sz w:val="12"/>
          <w:lang w:val="en-US"/>
        </w:rPr>
        <w:t> </w:t>
      </w:r>
      <w:r w:rsidRPr="00940F1D">
        <w:rPr>
          <w:lang w:val="en-US"/>
        </w:rPr>
        <w:t>500 MHz bands</w:t>
      </w:r>
      <w:r>
        <w:rPr>
          <w:rStyle w:val="FootnoteReference"/>
          <w:lang w:val="en-US"/>
        </w:rPr>
        <w:footnoteReference w:id="7"/>
      </w:r>
      <w:r w:rsidRPr="00940F1D">
        <w:rPr>
          <w:lang w:val="en-US"/>
        </w:rPr>
        <w:t>. The latter expression applies if the rise time</w:t>
      </w:r>
      <w:r w:rsidRPr="00940F1D">
        <w:rPr>
          <w:i/>
          <w:lang w:val="en-US"/>
        </w:rPr>
        <w:t xml:space="preserve"> t</w:t>
      </w:r>
      <w:r w:rsidRPr="00940F1D">
        <w:rPr>
          <w:i/>
          <w:vertAlign w:val="subscript"/>
          <w:lang w:val="en-US"/>
        </w:rPr>
        <w:t>r</w:t>
      </w:r>
      <w:r w:rsidRPr="00940F1D">
        <w:rPr>
          <w:lang w:val="en-US"/>
        </w:rPr>
        <w:t xml:space="preserve"> is less than about 0.0094</w:t>
      </w:r>
      <w:r w:rsidRPr="00940F1D">
        <w:rPr>
          <w:i/>
          <w:lang w:val="en-US"/>
        </w:rPr>
        <w:t xml:space="preserve">t </w:t>
      </w:r>
      <w:r w:rsidRPr="00940F1D">
        <w:rPr>
          <w:lang w:val="en-US"/>
        </w:rPr>
        <w:t>when</w:t>
      </w:r>
      <w:r w:rsidRPr="00940F1D">
        <w:rPr>
          <w:i/>
          <w:lang w:val="en-US"/>
        </w:rPr>
        <w:t xml:space="preserve"> K</w:t>
      </w:r>
      <w:r w:rsidRPr="00940F1D">
        <w:rPr>
          <w:lang w:val="en-US"/>
        </w:rPr>
        <w:t xml:space="preserve"> is 6.2, or about 0.014</w:t>
      </w:r>
      <w:r w:rsidRPr="00940F1D">
        <w:rPr>
          <w:i/>
          <w:lang w:val="en-US"/>
        </w:rPr>
        <w:t>t</w:t>
      </w:r>
      <w:r w:rsidRPr="00940F1D">
        <w:rPr>
          <w:lang w:val="en-US"/>
        </w:rPr>
        <w:t xml:space="preserve"> when</w:t>
      </w:r>
      <w:r w:rsidRPr="00940F1D">
        <w:rPr>
          <w:i/>
          <w:lang w:val="en-US"/>
        </w:rPr>
        <w:t xml:space="preserve"> K</w:t>
      </w:r>
      <w:r w:rsidRPr="00940F1D">
        <w:rPr>
          <w:lang w:val="en-US"/>
        </w:rPr>
        <w:t xml:space="preserve"> is 7.6.</w:t>
      </w:r>
    </w:p>
    <w:p w:rsidR="00111811" w:rsidRPr="00940F1D" w:rsidRDefault="00111811" w:rsidP="00111811">
      <w:pPr>
        <w:rPr>
          <w:lang w:val="en-US"/>
        </w:rPr>
      </w:pPr>
      <w:r w:rsidRPr="00111811">
        <w:rPr>
          <w:lang w:val="en-US"/>
        </w:rPr>
        <w:t>For FM</w:t>
      </w:r>
      <w:r w:rsidRPr="00940F1D">
        <w:rPr>
          <w:lang w:val="en-US"/>
        </w:rPr>
        <w:t xml:space="preserve">-pulse radars, the </w:t>
      </w:r>
      <w:r w:rsidRPr="00111811">
        <w:rPr>
          <w:i/>
          <w:iCs/>
          <w:lang w:val="en-US"/>
        </w:rPr>
        <w:t>B</w:t>
      </w:r>
      <w:r w:rsidRPr="00111811">
        <w:rPr>
          <w:i/>
          <w:iCs/>
          <w:vertAlign w:val="subscript"/>
          <w:lang w:val="en-US"/>
        </w:rPr>
        <w:t>−</w:t>
      </w:r>
      <w:r w:rsidRPr="00111811">
        <w:rPr>
          <w:vertAlign w:val="subscript"/>
          <w:lang w:val="en-US"/>
        </w:rPr>
        <w:t>40</w:t>
      </w:r>
      <w:r w:rsidRPr="00940F1D">
        <w:rPr>
          <w:lang w:val="en-US"/>
        </w:rPr>
        <w:t> dB bandwidth is:</w:t>
      </w:r>
    </w:p>
    <w:p w:rsidR="00401D66" w:rsidRDefault="00401D66" w:rsidP="00401D66">
      <w:pPr>
        <w:pStyle w:val="Blanc"/>
      </w:pPr>
    </w:p>
    <w:p w:rsidR="00111811" w:rsidRPr="00940F1D" w:rsidRDefault="00111811" w:rsidP="00111811">
      <w:pPr>
        <w:pStyle w:val="Equation"/>
        <w:rPr>
          <w:lang w:val="en-US"/>
        </w:rPr>
      </w:pPr>
      <w:r w:rsidRPr="00940F1D">
        <w:rPr>
          <w:lang w:val="en-US"/>
        </w:rPr>
        <w:tab/>
      </w:r>
      <w:r w:rsidR="00CA23FE" w:rsidRPr="00DF46D4">
        <w:rPr>
          <w:position w:val="-14"/>
        </w:rPr>
        <w:object w:dxaOrig="8940" w:dyaOrig="440">
          <v:shape id="_x0000_i1077" type="#_x0000_t75" style="width:402.55pt;height:18.8pt" o:ole="">
            <v:imagedata r:id="rId148" o:title=""/>
          </v:shape>
          <o:OLEObject Type="Embed" ProgID="Equation.3" ShapeID="_x0000_i1077" DrawAspect="Content" ObjectID="_1392698828" r:id="rId149"/>
        </w:object>
      </w:r>
      <w:r w:rsidRPr="00940F1D">
        <w:rPr>
          <w:lang w:val="en-US"/>
        </w:rPr>
        <w:tab/>
      </w:r>
      <w:r w:rsidRPr="006A133B">
        <w:rPr>
          <w:lang w:val="en-US"/>
        </w:rPr>
        <w:t>(40</w:t>
      </w:r>
      <w:r w:rsidRPr="00940F1D">
        <w:rPr>
          <w:lang w:val="en-US"/>
        </w:rPr>
        <w:t>)</w:t>
      </w:r>
    </w:p>
    <w:p w:rsidR="00111811" w:rsidRPr="006A133B" w:rsidRDefault="00111811" w:rsidP="00111811">
      <w:pPr>
        <w:rPr>
          <w:lang w:val="en-US"/>
        </w:rPr>
      </w:pPr>
      <w:r w:rsidRPr="006A133B">
        <w:rPr>
          <w:lang w:val="en-US"/>
        </w:rPr>
        <w:t>where:</w:t>
      </w:r>
    </w:p>
    <w:p w:rsidR="00111811" w:rsidRPr="00F15280" w:rsidRDefault="00111811" w:rsidP="00111811">
      <w:pPr>
        <w:pStyle w:val="Equation"/>
        <w:rPr>
          <w:lang w:val="en-US" w:eastAsia="zh-CN"/>
        </w:rPr>
      </w:pPr>
      <w:r w:rsidRPr="006A133B">
        <w:rPr>
          <w:lang w:val="en-US" w:eastAsia="zh-CN"/>
        </w:rPr>
        <w:tab/>
      </w:r>
      <w:r w:rsidR="00DF46D4">
        <w:rPr>
          <w:lang w:val="en-US" w:eastAsia="zh-CN"/>
        </w:rPr>
        <w:tab/>
      </w:r>
      <w:r w:rsidR="00DF46D4" w:rsidRPr="00DF46D4">
        <w:rPr>
          <w:position w:val="-32"/>
        </w:rPr>
        <w:object w:dxaOrig="1400" w:dyaOrig="700">
          <v:shape id="_x0000_i1078" type="#_x0000_t75" style="width:62pt;height:31.95pt" o:ole="">
            <v:imagedata r:id="rId150" o:title=""/>
          </v:shape>
          <o:OLEObject Type="Embed" ProgID="Equation.3" ShapeID="_x0000_i1078" DrawAspect="Content" ObjectID="_1392698829" r:id="rId151"/>
        </w:object>
      </w:r>
      <w:r w:rsidRPr="00F15280">
        <w:rPr>
          <w:position w:val="-34"/>
          <w:lang w:val="en-US"/>
        </w:rPr>
        <w:t>              </w:t>
      </w:r>
      <w:r w:rsidRPr="001D4776">
        <w:rPr>
          <w:lang w:val="en-US"/>
        </w:rPr>
        <w:t>to account for the rise time</w:t>
      </w:r>
      <w:r w:rsidRPr="00F15280">
        <w:rPr>
          <w:lang w:val="en-US" w:eastAsia="zh-CN"/>
        </w:rPr>
        <w:tab/>
      </w:r>
      <w:r w:rsidRPr="00F15280">
        <w:rPr>
          <w:lang w:val="en-US"/>
        </w:rPr>
        <w:t>(41)</w:t>
      </w:r>
    </w:p>
    <w:p w:rsidR="00111811" w:rsidRPr="00F15280" w:rsidRDefault="00111811" w:rsidP="00111811">
      <w:pPr>
        <w:pStyle w:val="Equation"/>
        <w:rPr>
          <w:lang w:val="en-US" w:eastAsia="zh-CN"/>
        </w:rPr>
      </w:pPr>
      <w:r w:rsidRPr="00F15280">
        <w:rPr>
          <w:lang w:val="en-US" w:eastAsia="zh-CN"/>
        </w:rPr>
        <w:tab/>
      </w:r>
      <w:r w:rsidR="00DF46D4">
        <w:rPr>
          <w:lang w:val="en-US" w:eastAsia="zh-CN"/>
        </w:rPr>
        <w:tab/>
      </w:r>
      <w:r w:rsidR="00DF46D4" w:rsidRPr="00DF46D4">
        <w:rPr>
          <w:position w:val="-36"/>
        </w:rPr>
        <w:object w:dxaOrig="1460" w:dyaOrig="740">
          <v:shape id="_x0000_i1079" type="#_x0000_t75" style="width:63.85pt;height:31.95pt" o:ole="">
            <v:imagedata r:id="rId152" o:title=""/>
          </v:shape>
          <o:OLEObject Type="Embed" ProgID="Equation.3" ShapeID="_x0000_i1079" DrawAspect="Content" ObjectID="_1392698830" r:id="rId153"/>
        </w:object>
      </w:r>
      <w:r w:rsidRPr="00F15280">
        <w:rPr>
          <w:lang w:val="en-US"/>
        </w:rPr>
        <w:t xml:space="preserve"> </w:t>
      </w:r>
      <w:r>
        <w:rPr>
          <w:lang w:val="en-US"/>
        </w:rPr>
        <w:t>            </w:t>
      </w:r>
      <w:r w:rsidRPr="001D4776">
        <w:rPr>
          <w:lang w:val="en-US"/>
        </w:rPr>
        <w:t>to account for the fall time</w:t>
      </w:r>
      <w:r w:rsidRPr="00F15280">
        <w:rPr>
          <w:lang w:val="en-US" w:eastAsia="zh-CN"/>
        </w:rPr>
        <w:tab/>
      </w:r>
      <w:r w:rsidRPr="00F15280">
        <w:rPr>
          <w:lang w:val="en-US"/>
        </w:rPr>
        <w:t>(42)</w:t>
      </w:r>
    </w:p>
    <w:p w:rsidR="00401D66" w:rsidRDefault="00401D66" w:rsidP="00401D66">
      <w:pPr>
        <w:pStyle w:val="Blanc"/>
      </w:pPr>
    </w:p>
    <w:p w:rsidR="00111811" w:rsidRPr="00F15280" w:rsidRDefault="00111811" w:rsidP="00111811">
      <w:pPr>
        <w:pStyle w:val="Equation"/>
        <w:rPr>
          <w:lang w:val="en-US" w:eastAsia="zh-CN"/>
        </w:rPr>
      </w:pPr>
      <w:r w:rsidRPr="00F15280">
        <w:rPr>
          <w:lang w:val="en-US" w:eastAsia="zh-CN"/>
        </w:rPr>
        <w:tab/>
      </w:r>
      <w:r w:rsidRPr="00F15280">
        <w:rPr>
          <w:lang w:val="en-US" w:eastAsia="zh-CN"/>
        </w:rPr>
        <w:tab/>
      </w:r>
      <w:r w:rsidR="00DF46D4" w:rsidRPr="00DF46D4">
        <w:rPr>
          <w:position w:val="-36"/>
        </w:rPr>
        <w:object w:dxaOrig="2180" w:dyaOrig="740">
          <v:shape id="_x0000_i1080" type="#_x0000_t75" style="width:95.15pt;height:33.2pt" o:ole="">
            <v:imagedata r:id="rId154" o:title=""/>
          </v:shape>
          <o:OLEObject Type="Embed" ProgID="Equation.3" ShapeID="_x0000_i1080" DrawAspect="Content" ObjectID="_1392698831" r:id="rId155"/>
        </w:object>
      </w:r>
      <w:r w:rsidRPr="00F15280">
        <w:rPr>
          <w:lang w:val="en-US"/>
        </w:rPr>
        <w:t xml:space="preserve"> </w:t>
      </w:r>
      <w:r>
        <w:rPr>
          <w:lang w:val="en-US"/>
        </w:rPr>
        <w:t>    </w:t>
      </w:r>
      <w:r w:rsidRPr="001D4776">
        <w:rPr>
          <w:lang w:val="en-US"/>
        </w:rPr>
        <w:t>to account for both the rise and fall times combination</w:t>
      </w:r>
      <w:r w:rsidRPr="00F15280">
        <w:rPr>
          <w:lang w:val="en-US" w:eastAsia="zh-CN"/>
        </w:rPr>
        <w:tab/>
      </w:r>
      <w:r w:rsidRPr="00F15280">
        <w:rPr>
          <w:lang w:val="en-US"/>
        </w:rPr>
        <w:t>(43)</w:t>
      </w:r>
    </w:p>
    <w:p w:rsidR="00111811" w:rsidRDefault="00111811" w:rsidP="00111811">
      <w:pPr>
        <w:pStyle w:val="Equationlegend"/>
        <w:rPr>
          <w:lang w:eastAsia="zh-CN"/>
        </w:rPr>
      </w:pPr>
      <w:r w:rsidRPr="00F15280">
        <w:rPr>
          <w:i/>
          <w:iCs/>
          <w:szCs w:val="24"/>
        </w:rPr>
        <w:tab/>
      </w:r>
      <w:r w:rsidRPr="00F15280">
        <w:rPr>
          <w:szCs w:val="24"/>
          <w:lang w:val="fr-FR"/>
        </w:rPr>
        <w:sym w:font="Symbol" w:char="F074"/>
      </w:r>
      <w:r w:rsidRPr="00DF46D4">
        <w:rPr>
          <w:sz w:val="16"/>
          <w:szCs w:val="16"/>
        </w:rPr>
        <w:t> </w:t>
      </w:r>
      <w:r w:rsidRPr="00F15280">
        <w:rPr>
          <w:szCs w:val="24"/>
        </w:rPr>
        <w:t>:</w:t>
      </w:r>
      <w:r w:rsidRPr="00F15280">
        <w:rPr>
          <w:i/>
          <w:iCs/>
          <w:szCs w:val="24"/>
        </w:rPr>
        <w:tab/>
      </w:r>
      <w:r w:rsidRPr="001D4776">
        <w:t>pulse length including rise and fall times</w:t>
      </w:r>
    </w:p>
    <w:p w:rsidR="00111811" w:rsidRDefault="00111811" w:rsidP="00DF46D4">
      <w:pPr>
        <w:pStyle w:val="Equationlegend"/>
        <w:rPr>
          <w:lang w:eastAsia="zh-CN"/>
        </w:rPr>
      </w:pPr>
      <w:r>
        <w:rPr>
          <w:lang w:eastAsia="zh-CN"/>
        </w:rPr>
        <w:tab/>
      </w:r>
      <w:r w:rsidRPr="00F15280">
        <w:rPr>
          <w:i/>
          <w:iCs/>
        </w:rPr>
        <w:t>t</w:t>
      </w:r>
      <w:r w:rsidRPr="00F15280">
        <w:rPr>
          <w:i/>
          <w:iCs/>
          <w:vertAlign w:val="subscript"/>
        </w:rPr>
        <w:t>r</w:t>
      </w:r>
      <w:r w:rsidR="00DF46D4" w:rsidRPr="00DF46D4">
        <w:rPr>
          <w:sz w:val="16"/>
          <w:szCs w:val="16"/>
        </w:rPr>
        <w:t> </w:t>
      </w:r>
      <w:r w:rsidRPr="00F15280">
        <w:rPr>
          <w:szCs w:val="24"/>
        </w:rPr>
        <w:t>:</w:t>
      </w:r>
      <w:r>
        <w:rPr>
          <w:lang w:eastAsia="zh-CN"/>
        </w:rPr>
        <w:tab/>
      </w:r>
      <w:r w:rsidRPr="00F15280">
        <w:t>pulse rise time</w:t>
      </w:r>
    </w:p>
    <w:p w:rsidR="00111811" w:rsidRDefault="00111811" w:rsidP="00DF46D4">
      <w:pPr>
        <w:pStyle w:val="Equationlegend"/>
        <w:rPr>
          <w:lang w:eastAsia="zh-CN"/>
        </w:rPr>
      </w:pPr>
      <w:r>
        <w:rPr>
          <w:lang w:eastAsia="zh-CN"/>
        </w:rPr>
        <w:tab/>
      </w:r>
      <w:r w:rsidRPr="00F15280">
        <w:rPr>
          <w:i/>
          <w:iCs/>
        </w:rPr>
        <w:t>t</w:t>
      </w:r>
      <w:r w:rsidRPr="00F15280">
        <w:rPr>
          <w:i/>
          <w:iCs/>
          <w:vertAlign w:val="subscript"/>
        </w:rPr>
        <w:t>f</w:t>
      </w:r>
      <w:r w:rsidR="00DF46D4" w:rsidRPr="00DF46D4">
        <w:rPr>
          <w:sz w:val="16"/>
          <w:szCs w:val="16"/>
        </w:rPr>
        <w:t> </w:t>
      </w:r>
      <w:r w:rsidRPr="00F15280">
        <w:rPr>
          <w:szCs w:val="24"/>
        </w:rPr>
        <w:t>:</w:t>
      </w:r>
      <w:r>
        <w:rPr>
          <w:lang w:eastAsia="zh-CN"/>
        </w:rPr>
        <w:tab/>
      </w:r>
      <w:r w:rsidRPr="00F15280">
        <w:t>pulse fall time</w:t>
      </w:r>
    </w:p>
    <w:p w:rsidR="00111811" w:rsidRDefault="00111811" w:rsidP="00DF46D4">
      <w:pPr>
        <w:pStyle w:val="Equationlegend"/>
      </w:pPr>
      <w:r>
        <w:rPr>
          <w:lang w:eastAsia="zh-CN"/>
        </w:rPr>
        <w:tab/>
      </w:r>
      <w:r w:rsidRPr="00F15280">
        <w:rPr>
          <w:i/>
          <w:iCs/>
        </w:rPr>
        <w:t>B</w:t>
      </w:r>
      <w:r w:rsidRPr="00F15280">
        <w:rPr>
          <w:i/>
          <w:iCs/>
          <w:vertAlign w:val="subscript"/>
        </w:rPr>
        <w:t>c</w:t>
      </w:r>
      <w:r w:rsidR="00DF46D4" w:rsidRPr="00DF46D4">
        <w:rPr>
          <w:sz w:val="16"/>
          <w:szCs w:val="16"/>
        </w:rPr>
        <w:t> </w:t>
      </w:r>
      <w:r w:rsidRPr="00F15280">
        <w:rPr>
          <w:szCs w:val="24"/>
        </w:rPr>
        <w:t>:</w:t>
      </w:r>
      <w:r>
        <w:rPr>
          <w:lang w:eastAsia="zh-CN"/>
        </w:rPr>
        <w:tab/>
      </w:r>
      <w:r w:rsidRPr="001D4776">
        <w:t>bandwidth of the frequency deviation (total frequency shift during the pulse generation)</w:t>
      </w:r>
    </w:p>
    <w:p w:rsidR="00111811" w:rsidRDefault="00111811" w:rsidP="00DF46D4">
      <w:pPr>
        <w:pStyle w:val="Equationlegend"/>
        <w:rPr>
          <w:lang w:eastAsia="zh-CN"/>
        </w:rPr>
      </w:pPr>
      <w:r>
        <w:tab/>
      </w:r>
      <w:r w:rsidRPr="00F15280">
        <w:rPr>
          <w:i/>
          <w:iCs/>
        </w:rPr>
        <w:t>B</w:t>
      </w:r>
      <w:r w:rsidRPr="00F15280">
        <w:rPr>
          <w:i/>
          <w:iCs/>
          <w:vertAlign w:val="subscript"/>
        </w:rPr>
        <w:t>S</w:t>
      </w:r>
      <w:r w:rsidR="00DF46D4" w:rsidRPr="00DF46D4">
        <w:rPr>
          <w:sz w:val="16"/>
          <w:szCs w:val="16"/>
        </w:rPr>
        <w:t> </w:t>
      </w:r>
      <w:r w:rsidRPr="00F15280">
        <w:rPr>
          <w:szCs w:val="24"/>
        </w:rPr>
        <w:t>:</w:t>
      </w:r>
      <w:r>
        <w:tab/>
      </w:r>
      <w:r w:rsidRPr="00940F1D">
        <w:t>the maximum</w:t>
      </w:r>
      <w:r w:rsidRPr="00940F1D">
        <w:rPr>
          <w:vertAlign w:val="subscript"/>
        </w:rPr>
        <w:t xml:space="preserve"> </w:t>
      </w:r>
      <w:r w:rsidRPr="00940F1D">
        <w:t xml:space="preserve">range over which the carrier frequency will be shifted, </w:t>
      </w:r>
      <w:r w:rsidRPr="00BE1E6D">
        <w:rPr>
          <w:i/>
          <w:iCs/>
        </w:rPr>
        <w:t>B</w:t>
      </w:r>
      <w:r w:rsidRPr="00BE1E6D">
        <w:rPr>
          <w:i/>
          <w:iCs/>
          <w:vertAlign w:val="subscript"/>
        </w:rPr>
        <w:t xml:space="preserve">s </w:t>
      </w:r>
      <w:r w:rsidRPr="00940F1D">
        <w:t>equals zero</w:t>
      </w:r>
      <w:r w:rsidRPr="00111811">
        <w:t xml:space="preserve"> </w:t>
      </w:r>
      <w:r w:rsidRPr="00940F1D">
        <w:t>for non-frequency hopping cases</w:t>
      </w:r>
      <w:r>
        <w:t>.</w:t>
      </w:r>
    </w:p>
    <w:p w:rsidR="00111811" w:rsidRPr="00111811" w:rsidRDefault="00111811" w:rsidP="00111811">
      <w:pPr>
        <w:rPr>
          <w:lang w:val="en-US"/>
        </w:rPr>
      </w:pPr>
      <w:r w:rsidRPr="00111811">
        <w:rPr>
          <w:lang w:val="en-US"/>
        </w:rPr>
        <w:t xml:space="preserve">Equation </w:t>
      </w:r>
      <w:r>
        <w:rPr>
          <w:lang w:val="en-US"/>
        </w:rPr>
        <w:t>(</w:t>
      </w:r>
      <w:r w:rsidRPr="00111811">
        <w:rPr>
          <w:lang w:val="en-US"/>
        </w:rPr>
        <w:t>40</w:t>
      </w:r>
      <w:r>
        <w:rPr>
          <w:lang w:val="en-US"/>
        </w:rPr>
        <w:t>)</w:t>
      </w:r>
      <w:r w:rsidRPr="00111811">
        <w:rPr>
          <w:lang w:val="en-US"/>
        </w:rPr>
        <w:t xml:space="preserve"> is valid only when the following conditions are met:</w:t>
      </w:r>
    </w:p>
    <w:p w:rsidR="00111811" w:rsidRPr="00111811" w:rsidRDefault="00DF46D4" w:rsidP="00DF46D4">
      <w:pPr>
        <w:pStyle w:val="enumlev1"/>
        <w:rPr>
          <w:lang w:val="en-US"/>
        </w:rPr>
      </w:pPr>
      <w:r>
        <w:rPr>
          <w:lang w:val="en-US"/>
        </w:rPr>
        <w:t>1.</w:t>
      </w:r>
      <w:r w:rsidR="00111811" w:rsidRPr="00023C03">
        <w:rPr>
          <w:lang w:val="en-US"/>
        </w:rPr>
        <w:tab/>
      </w:r>
      <w:r w:rsidR="00111811" w:rsidRPr="00111811">
        <w:rPr>
          <w:lang w:val="en-US"/>
        </w:rPr>
        <w:t xml:space="preserve">the product </w:t>
      </w:r>
      <w:r w:rsidRPr="00DF46D4">
        <w:rPr>
          <w:noProof/>
          <w:position w:val="-14"/>
          <w:lang w:val="en-US" w:eastAsia="ja-JP"/>
        </w:rPr>
        <w:object w:dxaOrig="2180" w:dyaOrig="380">
          <v:shape id="_x0000_i1081" type="#_x0000_t75" style="width:107.05pt;height:18.8pt" o:ole="">
            <v:imagedata r:id="rId156" o:title=""/>
          </v:shape>
          <o:OLEObject Type="Embed" ProgID="Equation.3" ShapeID="_x0000_i1081" DrawAspect="Content" ObjectID="_1392698832" r:id="rId157"/>
        </w:object>
      </w:r>
      <w:r w:rsidR="00111811" w:rsidRPr="00111811">
        <w:rPr>
          <w:lang w:val="en-US"/>
        </w:rPr>
        <w:t xml:space="preserve"> is greater than or equal to 0.10; and</w:t>
      </w:r>
    </w:p>
    <w:p w:rsidR="00111811" w:rsidRPr="00111811" w:rsidRDefault="00DF46D4" w:rsidP="00DF46D4">
      <w:pPr>
        <w:pStyle w:val="enumlev1"/>
        <w:rPr>
          <w:lang w:val="en-US"/>
        </w:rPr>
      </w:pPr>
      <w:r>
        <w:rPr>
          <w:lang w:val="en-US"/>
        </w:rPr>
        <w:t>2.</w:t>
      </w:r>
      <w:r w:rsidR="00111811" w:rsidRPr="00023C03">
        <w:rPr>
          <w:lang w:val="en-US"/>
        </w:rPr>
        <w:tab/>
      </w:r>
      <w:r w:rsidR="00111811" w:rsidRPr="00111811">
        <w:rPr>
          <w:lang w:val="en-US"/>
        </w:rPr>
        <w:t xml:space="preserve">that the product of </w:t>
      </w:r>
      <w:r w:rsidR="00111811" w:rsidRPr="00940F1D">
        <w:rPr>
          <w:position w:val="-12"/>
        </w:rPr>
        <w:object w:dxaOrig="560" w:dyaOrig="360">
          <v:shape id="_x0000_i1082" type="#_x0000_t75" style="width:27.55pt;height:18.15pt" o:ole="">
            <v:imagedata r:id="rId158" o:title=""/>
          </v:shape>
          <o:OLEObject Type="Embed" ProgID="Equation.3" ShapeID="_x0000_i1082" DrawAspect="Content" ObjectID="_1392698833" r:id="rId159"/>
        </w:object>
      </w:r>
      <w:r w:rsidR="00111811" w:rsidRPr="00111811">
        <w:rPr>
          <w:lang w:val="en-US"/>
        </w:rPr>
        <w:t xml:space="preserve"> or compression ratio must be greater than 10. </w:t>
      </w:r>
    </w:p>
    <w:p w:rsidR="00111811" w:rsidRPr="00111811" w:rsidRDefault="00111811" w:rsidP="00DF46D4">
      <w:pPr>
        <w:keepNext/>
        <w:keepLines/>
        <w:rPr>
          <w:lang w:val="en-US" w:eastAsia="ja-JP"/>
        </w:rPr>
      </w:pPr>
      <w:r w:rsidRPr="00111811">
        <w:rPr>
          <w:lang w:val="en-US"/>
        </w:rPr>
        <w:lastRenderedPageBreak/>
        <w:t>In all other cases, the following equations should be used:</w:t>
      </w:r>
    </w:p>
    <w:p w:rsidR="00111811" w:rsidRPr="00111811" w:rsidRDefault="00111811" w:rsidP="00DF46D4">
      <w:pPr>
        <w:pStyle w:val="Equation"/>
        <w:rPr>
          <w:lang w:val="en-US"/>
        </w:rPr>
      </w:pPr>
      <w:r w:rsidRPr="00023C03">
        <w:rPr>
          <w:lang w:val="en-US"/>
        </w:rPr>
        <w:tab/>
      </w:r>
      <w:r w:rsidRPr="00023C03">
        <w:rPr>
          <w:lang w:val="en-US"/>
        </w:rPr>
        <w:tab/>
      </w:r>
      <w:r w:rsidR="00DF46D4" w:rsidRPr="00DF46D4">
        <w:rPr>
          <w:position w:val="-32"/>
          <w:lang w:val="fr-CH"/>
        </w:rPr>
        <w:object w:dxaOrig="2740" w:dyaOrig="760">
          <v:shape id="_x0000_i1083" type="#_x0000_t75" style="width:135.85pt;height:36.95pt" o:ole="" fillcolor="window">
            <v:imagedata r:id="rId160" o:title=""/>
          </v:shape>
          <o:OLEObject Type="Embed" ProgID="Equation.3" ShapeID="_x0000_i1083" DrawAspect="Content" ObjectID="_1392698834" r:id="rId161"/>
        </w:object>
      </w:r>
      <w:r w:rsidRPr="00023C03">
        <w:rPr>
          <w:lang w:val="en-US"/>
        </w:rPr>
        <w:tab/>
      </w:r>
      <w:r w:rsidRPr="00111811">
        <w:rPr>
          <w:lang w:val="en-US"/>
        </w:rPr>
        <w:t>(44)</w:t>
      </w:r>
    </w:p>
    <w:p w:rsidR="00111811" w:rsidRPr="00940F1D" w:rsidRDefault="00111811" w:rsidP="00111811">
      <w:pPr>
        <w:rPr>
          <w:lang w:val="en-US"/>
        </w:rPr>
      </w:pPr>
      <w:r w:rsidRPr="00111811">
        <w:rPr>
          <w:lang w:val="en-US"/>
        </w:rPr>
        <w:t>where</w:t>
      </w:r>
      <w:r w:rsidRPr="00111811">
        <w:rPr>
          <w:i/>
          <w:lang w:val="en-US"/>
        </w:rPr>
        <w:t xml:space="preserve"> A</w:t>
      </w:r>
      <w:r w:rsidRPr="00940F1D">
        <w:rPr>
          <w:iCs/>
          <w:position w:val="6"/>
          <w:sz w:val="18"/>
        </w:rPr>
        <w:footnoteReference w:id="8"/>
      </w:r>
      <w:r w:rsidRPr="00940F1D">
        <w:rPr>
          <w:lang w:val="en-US"/>
        </w:rPr>
        <w:t xml:space="preserve"> is 0.105 when</w:t>
      </w:r>
      <w:r w:rsidRPr="00940F1D">
        <w:rPr>
          <w:i/>
          <w:lang w:val="en-US"/>
        </w:rPr>
        <w:t xml:space="preserve"> K</w:t>
      </w:r>
      <w:r w:rsidRPr="00940F1D">
        <w:rPr>
          <w:lang w:val="en-US"/>
        </w:rPr>
        <w:t> </w:t>
      </w:r>
      <w:r w:rsidRPr="00940F1D">
        <w:rPr>
          <w:rFonts w:ascii="Symbol" w:hAnsi="Symbol"/>
          <w:lang w:val="en-US"/>
        </w:rPr>
        <w:t></w:t>
      </w:r>
      <w:r w:rsidRPr="00940F1D">
        <w:rPr>
          <w:lang w:val="en-US"/>
        </w:rPr>
        <w:t> 6.2, and 0.065 when</w:t>
      </w:r>
      <w:r w:rsidRPr="00940F1D">
        <w:rPr>
          <w:i/>
          <w:lang w:val="en-US"/>
        </w:rPr>
        <w:t xml:space="preserve"> K</w:t>
      </w:r>
      <w:r w:rsidRPr="00940F1D">
        <w:rPr>
          <w:lang w:val="en-US"/>
        </w:rPr>
        <w:t> </w:t>
      </w:r>
      <w:r w:rsidRPr="00940F1D">
        <w:rPr>
          <w:rFonts w:ascii="Symbol" w:hAnsi="Symbol"/>
          <w:lang w:val="en-US"/>
        </w:rPr>
        <w:t></w:t>
      </w:r>
      <w:r w:rsidRPr="00940F1D">
        <w:rPr>
          <w:lang w:val="en-US"/>
        </w:rPr>
        <w:t> 7.6</w:t>
      </w:r>
      <w:r>
        <w:rPr>
          <w:lang w:val="en-US"/>
        </w:rPr>
        <w:t>.</w:t>
      </w:r>
    </w:p>
    <w:p w:rsidR="00111811" w:rsidRPr="00940F1D" w:rsidRDefault="00111811" w:rsidP="00111811">
      <w:pPr>
        <w:rPr>
          <w:lang w:val="en-US"/>
        </w:rPr>
      </w:pPr>
      <w:r w:rsidRPr="00111811">
        <w:rPr>
          <w:lang w:val="en-US"/>
        </w:rPr>
        <w:t xml:space="preserve">For FM-pulse radars with frequency hopping, the value of </w:t>
      </w:r>
      <w:r w:rsidRPr="00111811">
        <w:rPr>
          <w:i/>
          <w:iCs/>
          <w:lang w:val="en-US"/>
        </w:rPr>
        <w:t>B</w:t>
      </w:r>
      <w:r w:rsidRPr="00111811">
        <w:rPr>
          <w:i/>
          <w:iCs/>
          <w:vertAlign w:val="subscript"/>
          <w:lang w:val="en-US"/>
        </w:rPr>
        <w:t>s</w:t>
      </w:r>
      <w:r w:rsidRPr="00111811">
        <w:rPr>
          <w:lang w:val="en-US"/>
        </w:rPr>
        <w:t xml:space="preserve"> needs to be added to the value of </w:t>
      </w:r>
      <w:r w:rsidRPr="00111811">
        <w:rPr>
          <w:i/>
          <w:iCs/>
          <w:lang w:val="en-US"/>
        </w:rPr>
        <w:t>B</w:t>
      </w:r>
      <w:r w:rsidRPr="00111811">
        <w:rPr>
          <w:i/>
          <w:iCs/>
          <w:vertAlign w:val="subscript"/>
          <w:lang w:val="en-US"/>
        </w:rPr>
        <w:t>−</w:t>
      </w:r>
      <w:r w:rsidRPr="00111811">
        <w:rPr>
          <w:vertAlign w:val="subscript"/>
          <w:lang w:val="en-US"/>
        </w:rPr>
        <w:t>40</w:t>
      </w:r>
      <w:r w:rsidRPr="00111811">
        <w:rPr>
          <w:iCs/>
          <w:lang w:val="en-US"/>
        </w:rPr>
        <w:t xml:space="preserve"> </w:t>
      </w:r>
      <w:r w:rsidRPr="00111811">
        <w:rPr>
          <w:lang w:val="en-US"/>
        </w:rPr>
        <w:t xml:space="preserve">(equation </w:t>
      </w:r>
      <w:r>
        <w:rPr>
          <w:lang w:val="en-US"/>
        </w:rPr>
        <w:t>(</w:t>
      </w:r>
      <w:r w:rsidRPr="00111811">
        <w:rPr>
          <w:lang w:val="en-US"/>
        </w:rPr>
        <w:t>40</w:t>
      </w:r>
      <w:r>
        <w:rPr>
          <w:lang w:val="en-US"/>
        </w:rPr>
        <w:t>)</w:t>
      </w:r>
      <w:r w:rsidRPr="00111811">
        <w:rPr>
          <w:lang w:val="en-US"/>
        </w:rPr>
        <w:t xml:space="preserve"> or equation </w:t>
      </w:r>
      <w:r>
        <w:rPr>
          <w:lang w:val="en-US"/>
        </w:rPr>
        <w:t>(</w:t>
      </w:r>
      <w:r w:rsidRPr="00111811">
        <w:rPr>
          <w:lang w:val="en-US"/>
        </w:rPr>
        <w:t>44</w:t>
      </w:r>
      <w:r>
        <w:rPr>
          <w:lang w:val="en-US"/>
        </w:rPr>
        <w:t>)</w:t>
      </w:r>
      <w:r w:rsidRPr="00111811">
        <w:rPr>
          <w:lang w:val="en-US"/>
        </w:rPr>
        <w:t xml:space="preserve">) for the frequency hopping radar </w:t>
      </w:r>
      <w:r w:rsidRPr="00111811">
        <w:rPr>
          <w:i/>
          <w:iCs/>
          <w:lang w:val="en-US"/>
        </w:rPr>
        <w:t>B</w:t>
      </w:r>
      <w:r w:rsidRPr="00111811">
        <w:rPr>
          <w:i/>
          <w:iCs/>
          <w:vertAlign w:val="subscript"/>
          <w:lang w:val="en-US"/>
        </w:rPr>
        <w:t>−</w:t>
      </w:r>
      <w:r w:rsidRPr="00111811">
        <w:rPr>
          <w:vertAlign w:val="subscript"/>
          <w:lang w:val="en-US"/>
        </w:rPr>
        <w:t>40</w:t>
      </w:r>
      <w:r w:rsidRPr="00111811">
        <w:rPr>
          <w:lang w:val="en-US"/>
        </w:rPr>
        <w:t xml:space="preserve"> dB bandwidth</w:t>
      </w:r>
      <w:r w:rsidRPr="00940F1D">
        <w:rPr>
          <w:position w:val="6"/>
          <w:sz w:val="18"/>
        </w:rPr>
        <w:footnoteReference w:id="9"/>
      </w:r>
      <w:r w:rsidRPr="00111811">
        <w:rPr>
          <w:lang w:val="en-US"/>
        </w:rPr>
        <w:t>.</w:t>
      </w:r>
      <w:r w:rsidRPr="00940F1D">
        <w:rPr>
          <w:lang w:val="en-US"/>
        </w:rPr>
        <w:t xml:space="preserve"> </w:t>
      </w:r>
    </w:p>
    <w:p w:rsidR="00111811" w:rsidRPr="00940F1D" w:rsidRDefault="00111811" w:rsidP="00111811">
      <w:pPr>
        <w:rPr>
          <w:lang w:val="en-US"/>
        </w:rPr>
      </w:pPr>
      <w:r w:rsidRPr="00940F1D">
        <w:rPr>
          <w:lang w:val="en-US"/>
        </w:rPr>
        <w:t>For unmodulated CW radars</w:t>
      </w:r>
      <w:r w:rsidRPr="00111811">
        <w:rPr>
          <w:lang w:val="en-US"/>
        </w:rPr>
        <w:t xml:space="preserve">, the </w:t>
      </w:r>
      <w:r w:rsidRPr="00111811">
        <w:rPr>
          <w:i/>
          <w:iCs/>
          <w:lang w:val="en-US"/>
        </w:rPr>
        <w:t>B</w:t>
      </w:r>
      <w:r w:rsidRPr="00111811">
        <w:rPr>
          <w:i/>
          <w:iCs/>
          <w:vertAlign w:val="subscript"/>
          <w:lang w:val="en-US"/>
        </w:rPr>
        <w:t>−</w:t>
      </w:r>
      <w:r w:rsidRPr="00111811">
        <w:rPr>
          <w:vertAlign w:val="subscript"/>
          <w:lang w:val="en-US"/>
        </w:rPr>
        <w:t>40</w:t>
      </w:r>
      <w:r w:rsidRPr="00111811">
        <w:rPr>
          <w:lang w:val="en-US"/>
        </w:rPr>
        <w:t xml:space="preserve"> dB bandwidth is</w:t>
      </w:r>
      <w:r w:rsidRPr="00940F1D">
        <w:rPr>
          <w:lang w:val="en-US"/>
        </w:rPr>
        <w:t>:</w:t>
      </w:r>
    </w:p>
    <w:p w:rsidR="00111811" w:rsidRPr="00111811" w:rsidRDefault="00DF46D4" w:rsidP="00DF46D4">
      <w:pPr>
        <w:pStyle w:val="Equation"/>
        <w:rPr>
          <w:lang w:val="en-US"/>
        </w:rPr>
      </w:pPr>
      <w:r>
        <w:rPr>
          <w:lang w:val="en-US"/>
        </w:rPr>
        <w:tab/>
      </w:r>
      <w:r>
        <w:rPr>
          <w:lang w:val="en-US"/>
        </w:rPr>
        <w:tab/>
      </w:r>
      <w:r w:rsidRPr="00DF46D4">
        <w:rPr>
          <w:position w:val="-12"/>
          <w:lang w:val="en-US"/>
        </w:rPr>
        <w:object w:dxaOrig="1680" w:dyaOrig="360">
          <v:shape id="_x0000_i1084" type="#_x0000_t75" style="width:84.5pt;height:18.15pt" o:ole="">
            <v:imagedata r:id="rId162" o:title=""/>
          </v:shape>
          <o:OLEObject Type="Embed" ProgID="Equation.3" ShapeID="_x0000_i1084" DrawAspect="Content" ObjectID="_1392698835" r:id="rId163"/>
        </w:object>
      </w:r>
      <w:r w:rsidR="00111811" w:rsidRPr="00940F1D">
        <w:rPr>
          <w:lang w:val="en-US"/>
        </w:rPr>
        <w:tab/>
      </w:r>
      <w:r w:rsidR="00111811" w:rsidRPr="00111811">
        <w:rPr>
          <w:lang w:val="en-US"/>
        </w:rPr>
        <w:t>(45)</w:t>
      </w:r>
    </w:p>
    <w:p w:rsidR="00111811" w:rsidRPr="00111811" w:rsidRDefault="00111811" w:rsidP="00111811">
      <w:pPr>
        <w:rPr>
          <w:lang w:val="en-US"/>
        </w:rPr>
      </w:pPr>
      <w:r w:rsidRPr="00111811">
        <w:rPr>
          <w:lang w:val="en-US"/>
        </w:rPr>
        <w:t xml:space="preserve">where </w:t>
      </w:r>
      <w:r w:rsidRPr="00111811">
        <w:rPr>
          <w:i/>
          <w:iCs/>
          <w:lang w:val="en-US"/>
        </w:rPr>
        <w:t>F</w:t>
      </w:r>
      <w:r w:rsidRPr="00111811">
        <w:rPr>
          <w:i/>
          <w:iCs/>
          <w:szCs w:val="24"/>
          <w:vertAlign w:val="subscript"/>
          <w:lang w:val="en-US"/>
        </w:rPr>
        <w:t>C</w:t>
      </w:r>
      <w:r w:rsidRPr="00111811">
        <w:rPr>
          <w:lang w:val="en-US"/>
        </w:rPr>
        <w:t xml:space="preserve"> is the carrier frequency.</w:t>
      </w:r>
    </w:p>
    <w:p w:rsidR="00111811" w:rsidRPr="00111811" w:rsidRDefault="00111811" w:rsidP="00111811">
      <w:pPr>
        <w:rPr>
          <w:lang w:val="en-US"/>
        </w:rPr>
      </w:pPr>
      <w:r w:rsidRPr="00940F1D">
        <w:rPr>
          <w:lang w:val="en-US"/>
        </w:rPr>
        <w:t>For f</w:t>
      </w:r>
      <w:r w:rsidRPr="00111811">
        <w:rPr>
          <w:lang w:val="en-US"/>
        </w:rPr>
        <w:t>requency modulated continuous wave (FMCW) radars</w:t>
      </w:r>
      <w:r w:rsidRPr="00940F1D">
        <w:rPr>
          <w:lang w:val="en-US"/>
        </w:rPr>
        <w:t xml:space="preserve">, </w:t>
      </w:r>
      <w:r w:rsidRPr="00111811">
        <w:rPr>
          <w:lang w:val="en-US"/>
        </w:rPr>
        <w:t xml:space="preserve">two different </w:t>
      </w:r>
      <w:r w:rsidRPr="00111811">
        <w:rPr>
          <w:i/>
          <w:iCs/>
          <w:lang w:val="en-US"/>
        </w:rPr>
        <w:t>B</w:t>
      </w:r>
      <w:r w:rsidRPr="00111811">
        <w:rPr>
          <w:i/>
          <w:iCs/>
          <w:vertAlign w:val="subscript"/>
          <w:lang w:val="en-US"/>
        </w:rPr>
        <w:t>−</w:t>
      </w:r>
      <w:r w:rsidRPr="00111811">
        <w:rPr>
          <w:vertAlign w:val="subscript"/>
          <w:lang w:val="en-US"/>
        </w:rPr>
        <w:t>40</w:t>
      </w:r>
      <w:r w:rsidRPr="00023C03">
        <w:rPr>
          <w:lang w:val="en-US"/>
        </w:rPr>
        <w:t> </w:t>
      </w:r>
      <w:r w:rsidRPr="00111811">
        <w:rPr>
          <w:lang w:val="en-US"/>
        </w:rPr>
        <w:t>dB bandwidth formulas apply. These are a general formula and a frequency hopping formula.</w:t>
      </w:r>
    </w:p>
    <w:p w:rsidR="00111811" w:rsidRDefault="00111811" w:rsidP="00111811">
      <w:pPr>
        <w:rPr>
          <w:lang w:val="en-US"/>
        </w:rPr>
      </w:pPr>
      <w:r w:rsidRPr="00111811">
        <w:rPr>
          <w:lang w:val="en-US"/>
        </w:rPr>
        <w:t xml:space="preserve">The general </w:t>
      </w:r>
      <w:r w:rsidRPr="00111811">
        <w:rPr>
          <w:i/>
          <w:iCs/>
          <w:lang w:val="en-US"/>
        </w:rPr>
        <w:t>B</w:t>
      </w:r>
      <w:r w:rsidRPr="00111811">
        <w:rPr>
          <w:i/>
          <w:iCs/>
          <w:vertAlign w:val="subscript"/>
          <w:lang w:val="en-US"/>
        </w:rPr>
        <w:t>−</w:t>
      </w:r>
      <w:r w:rsidRPr="00111811">
        <w:rPr>
          <w:vertAlign w:val="subscript"/>
          <w:lang w:val="en-US"/>
        </w:rPr>
        <w:t>40</w:t>
      </w:r>
      <w:r w:rsidRPr="00023C03">
        <w:rPr>
          <w:lang w:val="en-US"/>
        </w:rPr>
        <w:t> </w:t>
      </w:r>
      <w:r w:rsidRPr="00111811">
        <w:rPr>
          <w:lang w:val="en-US"/>
        </w:rPr>
        <w:t>dB bandwidth formula for FMCW radars is:</w:t>
      </w:r>
    </w:p>
    <w:p w:rsidR="00111811" w:rsidRPr="00940F1D" w:rsidRDefault="00DF46D4" w:rsidP="00DF46D4">
      <w:pPr>
        <w:pStyle w:val="Equation"/>
        <w:rPr>
          <w:lang w:val="en-US"/>
        </w:rPr>
      </w:pPr>
      <w:r w:rsidRPr="00401D66">
        <w:rPr>
          <w:lang w:val="en-US"/>
        </w:rPr>
        <w:tab/>
      </w:r>
      <w:r w:rsidRPr="00401D66">
        <w:rPr>
          <w:lang w:val="en-US"/>
        </w:rPr>
        <w:tab/>
      </w:r>
      <w:r w:rsidR="00D421EC" w:rsidRPr="00DF46D4">
        <w:rPr>
          <w:position w:val="-34"/>
        </w:rPr>
        <w:object w:dxaOrig="2880" w:dyaOrig="920">
          <v:shape id="_x0000_i1085" type="#_x0000_t75" style="width:139pt;height:44.45pt" o:ole="">
            <v:imagedata r:id="rId164" o:title=""/>
          </v:shape>
          <o:OLEObject Type="Embed" ProgID="Equation.3" ShapeID="_x0000_i1085" DrawAspect="Content" ObjectID="_1392698836" r:id="rId165"/>
        </w:object>
      </w:r>
      <w:r w:rsidR="00111811" w:rsidRPr="00940F1D">
        <w:rPr>
          <w:lang w:val="en-US"/>
        </w:rPr>
        <w:tab/>
        <w:t>(46)</w:t>
      </w:r>
    </w:p>
    <w:p w:rsidR="00111811" w:rsidRPr="00111811" w:rsidRDefault="00111811" w:rsidP="00D421EC">
      <w:pPr>
        <w:rPr>
          <w:lang w:val="en-US"/>
        </w:rPr>
      </w:pPr>
      <w:r w:rsidRPr="00111811">
        <w:rPr>
          <w:lang w:val="en-US"/>
        </w:rPr>
        <w:t xml:space="preserve">where </w:t>
      </w:r>
      <w:r w:rsidRPr="00111811">
        <w:rPr>
          <w:i/>
          <w:lang w:val="en-US"/>
        </w:rPr>
        <w:t>B</w:t>
      </w:r>
      <w:r w:rsidR="00D421EC">
        <w:rPr>
          <w:i/>
          <w:vertAlign w:val="subscript"/>
          <w:lang w:val="en-US" w:eastAsia="ja-JP"/>
        </w:rPr>
        <w:t>R</w:t>
      </w:r>
      <w:r w:rsidRPr="00111811">
        <w:rPr>
          <w:lang w:val="en-US"/>
        </w:rPr>
        <w:t xml:space="preserve"> is the total frequency deviation and </w:t>
      </w:r>
      <w:r w:rsidRPr="00111811">
        <w:rPr>
          <w:i/>
          <w:lang w:val="en-US"/>
        </w:rPr>
        <w:t>T</w:t>
      </w:r>
      <w:r w:rsidRPr="00111811">
        <w:rPr>
          <w:lang w:val="en-US"/>
        </w:rPr>
        <w:t xml:space="preserve"> is the chirp period. This formula </w:t>
      </w:r>
      <w:r w:rsidR="00D421EC">
        <w:rPr>
          <w:lang w:val="en-US"/>
        </w:rPr>
        <w:t xml:space="preserve">is based on linear FMCW and </w:t>
      </w:r>
      <w:r w:rsidRPr="00111811">
        <w:rPr>
          <w:lang w:val="en-US"/>
        </w:rPr>
        <w:t>can also be applied to amplitude modulated linear FMCW, flyback FMCW, and non</w:t>
      </w:r>
      <w:r w:rsidR="00D421EC">
        <w:rPr>
          <w:lang w:val="en-US"/>
        </w:rPr>
        <w:noBreakHyphen/>
      </w:r>
      <w:r w:rsidRPr="00111811">
        <w:rPr>
          <w:lang w:val="en-US"/>
        </w:rPr>
        <w:t>linear FMCW.</w:t>
      </w:r>
    </w:p>
    <w:p w:rsidR="00111811" w:rsidRPr="00940F1D" w:rsidRDefault="00111811" w:rsidP="00DF46D4">
      <w:pPr>
        <w:rPr>
          <w:lang w:val="en-US"/>
        </w:rPr>
      </w:pPr>
      <w:r w:rsidRPr="00111811">
        <w:rPr>
          <w:lang w:val="en-US"/>
        </w:rPr>
        <w:t>For FMCW</w:t>
      </w:r>
      <w:r w:rsidRPr="00940F1D">
        <w:rPr>
          <w:lang w:val="en-US"/>
        </w:rPr>
        <w:t xml:space="preserve"> radars with </w:t>
      </w:r>
      <w:r w:rsidRPr="00111811">
        <w:rPr>
          <w:lang w:val="en-US"/>
        </w:rPr>
        <w:t>frequency hopping</w:t>
      </w:r>
      <w:r>
        <w:rPr>
          <w:lang w:val="en-US"/>
        </w:rPr>
        <w:t>,</w:t>
      </w:r>
      <w:r w:rsidRPr="00111811">
        <w:rPr>
          <w:lang w:val="en-US"/>
        </w:rPr>
        <w:t xml:space="preserve"> the value of </w:t>
      </w:r>
      <w:r w:rsidRPr="00111811">
        <w:rPr>
          <w:i/>
          <w:iCs/>
          <w:lang w:val="en-US"/>
        </w:rPr>
        <w:t>B</w:t>
      </w:r>
      <w:r w:rsidRPr="00111811">
        <w:rPr>
          <w:i/>
          <w:iCs/>
          <w:vertAlign w:val="subscript"/>
          <w:lang w:val="en-US"/>
        </w:rPr>
        <w:t>s</w:t>
      </w:r>
      <w:r w:rsidRPr="00111811">
        <w:rPr>
          <w:lang w:val="en-US"/>
        </w:rPr>
        <w:t xml:space="preserve"> needs to be added to the </w:t>
      </w:r>
      <w:r w:rsidRPr="00111811">
        <w:rPr>
          <w:i/>
          <w:iCs/>
          <w:lang w:val="en-US"/>
        </w:rPr>
        <w:t>B</w:t>
      </w:r>
      <w:r w:rsidR="00DF46D4" w:rsidRPr="00DF46D4">
        <w:rPr>
          <w:iCs/>
          <w:vertAlign w:val="subscript"/>
          <w:lang w:val="en-US"/>
        </w:rPr>
        <w:t>–40</w:t>
      </w:r>
      <w:r w:rsidRPr="00940F1D">
        <w:rPr>
          <w:lang w:val="en-US"/>
        </w:rPr>
        <w:t xml:space="preserve"> dB bandwidth </w:t>
      </w:r>
      <w:r w:rsidRPr="00111811">
        <w:rPr>
          <w:lang w:val="en-US"/>
        </w:rPr>
        <w:t xml:space="preserve">formula, where </w:t>
      </w:r>
      <w:r w:rsidRPr="00111811">
        <w:rPr>
          <w:i/>
          <w:iCs/>
          <w:lang w:val="en-US"/>
        </w:rPr>
        <w:t>B</w:t>
      </w:r>
      <w:r w:rsidRPr="00111811">
        <w:rPr>
          <w:i/>
          <w:iCs/>
          <w:vertAlign w:val="subscript"/>
          <w:lang w:val="en-US"/>
        </w:rPr>
        <w:t>s</w:t>
      </w:r>
      <w:r w:rsidRPr="00111811">
        <w:rPr>
          <w:lang w:val="en-US"/>
        </w:rPr>
        <w:t xml:space="preserve"> is </w:t>
      </w:r>
      <w:r w:rsidRPr="00940F1D">
        <w:rPr>
          <w:lang w:val="en-US"/>
        </w:rPr>
        <w:t xml:space="preserve">the maximum </w:t>
      </w:r>
      <w:r w:rsidRPr="00111811">
        <w:rPr>
          <w:lang w:val="en-US"/>
        </w:rPr>
        <w:t>range over which the carrier frequency will be shifted</w:t>
      </w:r>
      <w:r w:rsidRPr="00940F1D">
        <w:rPr>
          <w:lang w:val="en-US"/>
        </w:rPr>
        <w:t>.</w:t>
      </w:r>
    </w:p>
    <w:p w:rsidR="00111811" w:rsidRPr="00940F1D" w:rsidRDefault="00111811" w:rsidP="00DF46D4">
      <w:pPr>
        <w:rPr>
          <w:lang w:val="en-US"/>
        </w:rPr>
      </w:pPr>
      <w:r w:rsidRPr="00940F1D">
        <w:rPr>
          <w:lang w:val="en-US"/>
        </w:rPr>
        <w:t xml:space="preserve">For radars with multiple pulse waveforms, the </w:t>
      </w:r>
      <w:r w:rsidRPr="00940F1D">
        <w:rPr>
          <w:i/>
          <w:lang w:val="en-US"/>
        </w:rPr>
        <w:t>B</w:t>
      </w:r>
      <w:r w:rsidR="00DF46D4" w:rsidRPr="00DF46D4">
        <w:rPr>
          <w:iCs/>
          <w:vertAlign w:val="subscript"/>
          <w:lang w:val="en-US"/>
        </w:rPr>
        <w:t>–40</w:t>
      </w:r>
      <w:r w:rsidRPr="00940F1D">
        <w:rPr>
          <w:i/>
          <w:vertAlign w:val="subscript"/>
          <w:lang w:val="en-US"/>
        </w:rPr>
        <w:t xml:space="preserve"> </w:t>
      </w:r>
      <w:r w:rsidRPr="00940F1D">
        <w:rPr>
          <w:lang w:val="en-US"/>
        </w:rPr>
        <w:t xml:space="preserve">dB bandwidth should be calculated for each individual pulse type and the maximum </w:t>
      </w:r>
      <w:r w:rsidRPr="00940F1D">
        <w:rPr>
          <w:i/>
          <w:lang w:val="en-US"/>
        </w:rPr>
        <w:t>B</w:t>
      </w:r>
      <w:r w:rsidR="00DF46D4" w:rsidRPr="00DF46D4">
        <w:rPr>
          <w:iCs/>
          <w:vertAlign w:val="subscript"/>
          <w:lang w:val="en-US"/>
        </w:rPr>
        <w:t>–40</w:t>
      </w:r>
      <w:r w:rsidRPr="00940F1D">
        <w:rPr>
          <w:i/>
          <w:lang w:val="en-US"/>
        </w:rPr>
        <w:t xml:space="preserve"> </w:t>
      </w:r>
      <w:r w:rsidRPr="00940F1D">
        <w:rPr>
          <w:lang w:val="en-US"/>
        </w:rPr>
        <w:t>dB bandwidth obtained shall be used to establish the shape of the emission mask.</w:t>
      </w:r>
    </w:p>
    <w:p w:rsidR="00111811" w:rsidRPr="00940F1D" w:rsidRDefault="00111811" w:rsidP="00111811">
      <w:pPr>
        <w:pStyle w:val="Heading1"/>
        <w:rPr>
          <w:lang w:val="en-US"/>
        </w:rPr>
      </w:pPr>
      <w:r w:rsidRPr="00940F1D">
        <w:rPr>
          <w:lang w:val="en-US"/>
        </w:rPr>
        <w:t>4</w:t>
      </w:r>
      <w:r w:rsidRPr="00940F1D">
        <w:rPr>
          <w:lang w:val="en-US"/>
        </w:rPr>
        <w:tab/>
        <w:t>OoB mask</w:t>
      </w:r>
    </w:p>
    <w:p w:rsidR="00111811" w:rsidRPr="00111811" w:rsidRDefault="00111811" w:rsidP="00DF46D4">
      <w:pPr>
        <w:rPr>
          <w:lang w:val="en-US"/>
        </w:rPr>
      </w:pPr>
      <w:r w:rsidRPr="00111811">
        <w:rPr>
          <w:lang w:val="en-US"/>
        </w:rPr>
        <w:t xml:space="preserve">The figures below show the OoB mask for primary radars, categorized by waveform types and specified in terms of psd and expressed in units of dBpp. The masks roll off from the </w:t>
      </w:r>
      <w:r w:rsidRPr="00111811">
        <w:rPr>
          <w:i/>
          <w:iCs/>
          <w:lang w:val="en-US"/>
        </w:rPr>
        <w:t>B</w:t>
      </w:r>
      <w:r w:rsidRPr="00111811">
        <w:rPr>
          <w:i/>
          <w:iCs/>
          <w:vertAlign w:val="subscript"/>
          <w:lang w:val="en-US"/>
        </w:rPr>
        <w:t>−</w:t>
      </w:r>
      <w:r w:rsidRPr="00111811">
        <w:rPr>
          <w:vertAlign w:val="subscript"/>
          <w:lang w:val="en-US"/>
        </w:rPr>
        <w:t>40</w:t>
      </w:r>
      <w:r w:rsidRPr="00111811">
        <w:rPr>
          <w:lang w:val="en-US"/>
        </w:rPr>
        <w:t> dB bandwidth to the spurious level specified in RR Appendix 3</w:t>
      </w:r>
      <w:r w:rsidRPr="00940F1D">
        <w:rPr>
          <w:position w:val="6"/>
          <w:sz w:val="18"/>
        </w:rPr>
        <w:footnoteReference w:id="10"/>
      </w:r>
      <w:r w:rsidRPr="00111811">
        <w:rPr>
          <w:lang w:val="en-US"/>
        </w:rPr>
        <w:t>.</w:t>
      </w:r>
    </w:p>
    <w:p w:rsidR="00111811" w:rsidRPr="00111811" w:rsidRDefault="00111811" w:rsidP="00DF46D4">
      <w:pPr>
        <w:rPr>
          <w:lang w:val="en-US"/>
        </w:rPr>
      </w:pPr>
      <w:r w:rsidRPr="00111811">
        <w:rPr>
          <w:lang w:val="en-US"/>
        </w:rPr>
        <w:t>The</w:t>
      </w:r>
      <w:r w:rsidRPr="00111811">
        <w:rPr>
          <w:i/>
          <w:lang w:val="en-US"/>
        </w:rPr>
        <w:t xml:space="preserve"> </w:t>
      </w:r>
      <w:r w:rsidRPr="00111811">
        <w:rPr>
          <w:i/>
          <w:iCs/>
          <w:lang w:val="en-US"/>
        </w:rPr>
        <w:t>B</w:t>
      </w:r>
      <w:r w:rsidRPr="00111811">
        <w:rPr>
          <w:i/>
          <w:iCs/>
          <w:vertAlign w:val="subscript"/>
          <w:lang w:val="en-US"/>
        </w:rPr>
        <w:t>−</w:t>
      </w:r>
      <w:r w:rsidRPr="00111811">
        <w:rPr>
          <w:vertAlign w:val="subscript"/>
          <w:lang w:val="en-US"/>
        </w:rPr>
        <w:t>40</w:t>
      </w:r>
      <w:r w:rsidRPr="00111811">
        <w:rPr>
          <w:lang w:val="en-US"/>
        </w:rPr>
        <w:t> dB bandwidth can be offset from the frequency of maximum emission level, but the necessary bandwidth (RR No. 1.152) and preferably the overall occupied bandwidth (RR</w:t>
      </w:r>
      <w:r w:rsidR="00DF46D4">
        <w:rPr>
          <w:lang w:val="en-US"/>
        </w:rPr>
        <w:t> </w:t>
      </w:r>
      <w:r w:rsidRPr="00111811">
        <w:rPr>
          <w:lang w:val="en-US"/>
        </w:rPr>
        <w:t>No. 1.153) should be contained completely within the allocated band.</w:t>
      </w:r>
    </w:p>
    <w:p w:rsidR="00111811" w:rsidRPr="00111811" w:rsidRDefault="00111811" w:rsidP="00111811">
      <w:pPr>
        <w:rPr>
          <w:lang w:val="en-US"/>
        </w:rPr>
      </w:pPr>
      <w:r w:rsidRPr="00111811">
        <w:rPr>
          <w:lang w:val="en-US"/>
        </w:rPr>
        <w:lastRenderedPageBreak/>
        <w:t xml:space="preserve">For guidance, the calculated value of the </w:t>
      </w:r>
      <w:r w:rsidRPr="00111811">
        <w:rPr>
          <w:i/>
          <w:iCs/>
          <w:lang w:val="en-US"/>
        </w:rPr>
        <w:t>B</w:t>
      </w:r>
      <w:r w:rsidRPr="00111811">
        <w:rPr>
          <w:i/>
          <w:iCs/>
          <w:vertAlign w:val="subscript"/>
          <w:lang w:val="en-US"/>
        </w:rPr>
        <w:t>−</w:t>
      </w:r>
      <w:r w:rsidRPr="00111811">
        <w:rPr>
          <w:vertAlign w:val="subscript"/>
          <w:lang w:val="en-US"/>
        </w:rPr>
        <w:t>40</w:t>
      </w:r>
      <w:r w:rsidRPr="00111811">
        <w:rPr>
          <w:lang w:val="en-US"/>
        </w:rPr>
        <w:t> dB bandwidth should be contained completely within the allocated band.</w:t>
      </w:r>
    </w:p>
    <w:p w:rsidR="00111811" w:rsidRPr="00111811" w:rsidRDefault="00111811" w:rsidP="004F19F2">
      <w:pPr>
        <w:pStyle w:val="Heading2"/>
        <w:rPr>
          <w:lang w:val="en-US"/>
        </w:rPr>
      </w:pPr>
      <w:r w:rsidRPr="00111811">
        <w:rPr>
          <w:lang w:val="en-US"/>
        </w:rPr>
        <w:t>4.1</w:t>
      </w:r>
      <w:r>
        <w:rPr>
          <w:lang w:val="en-US"/>
        </w:rPr>
        <w:tab/>
      </w:r>
      <w:r w:rsidRPr="00111811">
        <w:rPr>
          <w:lang w:val="en-US"/>
        </w:rPr>
        <w:t xml:space="preserve">All waveforms listed in </w:t>
      </w:r>
      <w:r w:rsidR="004F19F2">
        <w:rPr>
          <w:lang w:val="en-US"/>
        </w:rPr>
        <w:t>§</w:t>
      </w:r>
      <w:r w:rsidRPr="00111811">
        <w:rPr>
          <w:lang w:val="en-US"/>
        </w:rPr>
        <w:t xml:space="preserve"> 3</w:t>
      </w:r>
    </w:p>
    <w:p w:rsidR="00111811" w:rsidRPr="00111811" w:rsidRDefault="00111811" w:rsidP="004F19F2">
      <w:pPr>
        <w:rPr>
          <w:lang w:val="en-US"/>
        </w:rPr>
      </w:pPr>
      <w:r w:rsidRPr="00111811">
        <w:rPr>
          <w:lang w:val="en-US"/>
        </w:rPr>
        <w:t xml:space="preserve">The roll-off for all waveforms listed in </w:t>
      </w:r>
      <w:r w:rsidR="004F19F2">
        <w:rPr>
          <w:lang w:val="en-US"/>
        </w:rPr>
        <w:t>§</w:t>
      </w:r>
      <w:r w:rsidRPr="00111811">
        <w:rPr>
          <w:lang w:val="en-US"/>
        </w:rPr>
        <w:t xml:space="preserve"> 3, other than those listed in </w:t>
      </w:r>
      <w:r w:rsidR="004F19F2">
        <w:rPr>
          <w:lang w:val="en-US"/>
        </w:rPr>
        <w:t>§ </w:t>
      </w:r>
      <w:r w:rsidRPr="00111811">
        <w:rPr>
          <w:lang w:val="en-US"/>
        </w:rPr>
        <w:t>4.2, is 30 dB per decade, as shown in Fig. 29.</w:t>
      </w:r>
    </w:p>
    <w:p w:rsidR="00111811" w:rsidRPr="00111811" w:rsidRDefault="00111811" w:rsidP="00111811">
      <w:pPr>
        <w:pStyle w:val="FigureNo"/>
        <w:rPr>
          <w:lang w:val="en-US"/>
        </w:rPr>
      </w:pPr>
      <w:r w:rsidRPr="00111811">
        <w:rPr>
          <w:lang w:val="en-US"/>
        </w:rPr>
        <w:t>Figure 29</w:t>
      </w:r>
    </w:p>
    <w:p w:rsidR="00111811" w:rsidRPr="00111811" w:rsidRDefault="00111811" w:rsidP="004F19F2">
      <w:pPr>
        <w:pStyle w:val="Figuretitle"/>
        <w:rPr>
          <w:lang w:val="en-US"/>
        </w:rPr>
      </w:pPr>
      <w:r w:rsidRPr="00111811">
        <w:rPr>
          <w:lang w:val="en-US"/>
        </w:rPr>
        <w:t xml:space="preserve">OoB mask </w:t>
      </w:r>
      <w:r w:rsidRPr="00111811">
        <w:rPr>
          <w:sz w:val="20"/>
          <w:lang w:val="en-US"/>
        </w:rPr>
        <w:t xml:space="preserve">for all non-excluded radar waveforms listed in </w:t>
      </w:r>
      <w:r w:rsidR="004F19F2">
        <w:rPr>
          <w:sz w:val="20"/>
          <w:lang w:val="en-US"/>
        </w:rPr>
        <w:t xml:space="preserve">§ </w:t>
      </w:r>
      <w:r w:rsidRPr="00111811">
        <w:rPr>
          <w:sz w:val="20"/>
          <w:lang w:val="en-US"/>
        </w:rPr>
        <w:t>3</w:t>
      </w:r>
    </w:p>
    <w:p w:rsidR="00111811" w:rsidRPr="00940F1D" w:rsidRDefault="004F19F2" w:rsidP="00DF46D4">
      <w:pPr>
        <w:pStyle w:val="Figure"/>
      </w:pPr>
      <w:r>
        <w:object w:dxaOrig="5143" w:dyaOrig="3849">
          <v:shape id="_x0000_i1086" type="#_x0000_t75" style="width:289.25pt;height:3in" o:ole="">
            <v:imagedata r:id="rId166" o:title=""/>
          </v:shape>
          <o:OLEObject Type="Embed" ProgID="CorelDRAW.Graphic.14" ShapeID="_x0000_i1086" DrawAspect="Content" ObjectID="_1392698837" r:id="rId167"/>
        </w:object>
      </w:r>
    </w:p>
    <w:p w:rsidR="00111811" w:rsidRPr="00111811" w:rsidRDefault="00111811" w:rsidP="00111811">
      <w:pPr>
        <w:pStyle w:val="Heading2"/>
        <w:rPr>
          <w:lang w:val="en-US"/>
        </w:rPr>
      </w:pPr>
      <w:r w:rsidRPr="00111811">
        <w:rPr>
          <w:lang w:val="en-US"/>
        </w:rPr>
        <w:t>4.2</w:t>
      </w:r>
      <w:r>
        <w:rPr>
          <w:lang w:val="en-US"/>
        </w:rPr>
        <w:tab/>
      </w:r>
      <w:r w:rsidRPr="00111811">
        <w:rPr>
          <w:lang w:val="en-US"/>
        </w:rPr>
        <w:t>Excluded waveforms</w:t>
      </w:r>
    </w:p>
    <w:p w:rsidR="00111811" w:rsidRPr="004F19F2" w:rsidRDefault="00111811" w:rsidP="00111811">
      <w:pPr>
        <w:rPr>
          <w:lang w:val="en-US"/>
        </w:rPr>
      </w:pPr>
      <w:r w:rsidRPr="004F19F2">
        <w:rPr>
          <w:rFonts w:eastAsia="SimSun"/>
          <w:bCs/>
          <w:szCs w:val="26"/>
          <w:lang w:val="en-US"/>
        </w:rPr>
        <w:t>CW, FMCW, and phase coded waveforms</w:t>
      </w:r>
      <w:r w:rsidRPr="004F19F2">
        <w:rPr>
          <w:rFonts w:ascii="Cambria" w:eastAsia="SimSun" w:hAnsi="Cambria"/>
          <w:b/>
          <w:bCs/>
          <w:szCs w:val="26"/>
          <w:lang w:val="en-US"/>
        </w:rPr>
        <w:t xml:space="preserve"> </w:t>
      </w:r>
      <w:r w:rsidRPr="004F19F2">
        <w:rPr>
          <w:lang w:val="en-US"/>
        </w:rPr>
        <w:t xml:space="preserve">are excluded from the applicability of </w:t>
      </w:r>
      <w:r w:rsidR="00601FF0">
        <w:rPr>
          <w:lang w:val="en-US"/>
        </w:rPr>
        <w:t xml:space="preserve">§ </w:t>
      </w:r>
      <w:r w:rsidRPr="004F19F2">
        <w:rPr>
          <w:lang w:val="en-US"/>
        </w:rPr>
        <w:t>4.1. The rate of roll off for these is 20 dB per decade, as shown in Fig. 30.</w:t>
      </w:r>
    </w:p>
    <w:p w:rsidR="00111811" w:rsidRPr="00111811" w:rsidRDefault="00111811" w:rsidP="00111811">
      <w:pPr>
        <w:rPr>
          <w:rFonts w:eastAsia="BatangChe"/>
          <w:lang w:val="en-US"/>
        </w:rPr>
      </w:pPr>
      <w:r w:rsidRPr="00111811">
        <w:rPr>
          <w:rFonts w:eastAsia="BatangChe"/>
          <w:lang w:val="en-US"/>
        </w:rPr>
        <w:t xml:space="preserve">This exclusion should be reviewed in the study period before </w:t>
      </w:r>
      <w:r w:rsidRPr="00111811">
        <w:rPr>
          <w:rFonts w:eastAsia="MS Mincho"/>
          <w:lang w:val="en-US"/>
        </w:rPr>
        <w:t>the 2016 Radiocommunication Assembly.</w:t>
      </w:r>
    </w:p>
    <w:p w:rsidR="00401D66" w:rsidRPr="00940F1D" w:rsidRDefault="00401D66" w:rsidP="00401D66">
      <w:pPr>
        <w:pStyle w:val="Heading1"/>
        <w:rPr>
          <w:lang w:val="en-US"/>
        </w:rPr>
      </w:pPr>
      <w:r w:rsidRPr="00940F1D">
        <w:rPr>
          <w:lang w:val="en-US"/>
        </w:rPr>
        <w:t>5</w:t>
      </w:r>
      <w:r w:rsidRPr="00940F1D">
        <w:rPr>
          <w:lang w:val="en-US"/>
        </w:rPr>
        <w:tab/>
        <w:t>Boundary between the OoB and spurious domains</w:t>
      </w:r>
    </w:p>
    <w:p w:rsidR="00401D66" w:rsidRPr="00940F1D" w:rsidRDefault="00401D66" w:rsidP="00401D66">
      <w:pPr>
        <w:rPr>
          <w:lang w:val="en-US"/>
        </w:rPr>
      </w:pPr>
      <w:r w:rsidRPr="00940F1D">
        <w:rPr>
          <w:lang w:val="en-US"/>
        </w:rPr>
        <w:t xml:space="preserve">According to </w:t>
      </w:r>
      <w:r w:rsidRPr="00940F1D">
        <w:rPr>
          <w:i/>
          <w:lang w:val="en-US"/>
        </w:rPr>
        <w:t>recommends</w:t>
      </w:r>
      <w:r w:rsidRPr="00940F1D">
        <w:rPr>
          <w:lang w:val="en-US"/>
        </w:rPr>
        <w:t> 2.2 and RR Appendix </w:t>
      </w:r>
      <w:r w:rsidRPr="002C6902">
        <w:rPr>
          <w:lang w:val="en-US"/>
        </w:rPr>
        <w:t>3</w:t>
      </w:r>
      <w:r w:rsidRPr="00940F1D">
        <w:rPr>
          <w:lang w:val="en-US"/>
        </w:rPr>
        <w:t>, the spurious domain generally begins at a</w:t>
      </w:r>
      <w:r>
        <w:rPr>
          <w:lang w:val="en-US"/>
        </w:rPr>
        <w:t> </w:t>
      </w:r>
      <w:r w:rsidRPr="00940F1D">
        <w:rPr>
          <w:lang w:val="en-US"/>
        </w:rPr>
        <w:t>frequency separation equal to 250% of the necessary bandwidth, with exceptions for certain kinds of systems, including those with digital or pulsed modulation. However, it is difficult to apply the general boundary concept of 250% of the necessary bandwidth to primary radar stations in the radiodetermination and other services, such as the meteorological aids service, SRS and EESS.</w:t>
      </w:r>
    </w:p>
    <w:p w:rsidR="00401D66" w:rsidRPr="00940F1D" w:rsidRDefault="00401D66" w:rsidP="00401D66">
      <w:pPr>
        <w:rPr>
          <w:lang w:val="en-US"/>
        </w:rPr>
      </w:pPr>
      <w:r w:rsidRPr="00940F1D">
        <w:rPr>
          <w:lang w:val="en-US"/>
        </w:rPr>
        <w:t>For primary radar stations, the boundary between the OoB and spurious domains is defined as at the frequency where the OoB domain emission limits defined herein are equal to the spurious limit defined in Table II of RR Appendix </w:t>
      </w:r>
      <w:r w:rsidRPr="002C6902">
        <w:rPr>
          <w:lang w:val="en-US"/>
        </w:rPr>
        <w:t>3</w:t>
      </w:r>
      <w:r w:rsidRPr="00940F1D">
        <w:rPr>
          <w:lang w:val="en-US"/>
        </w:rPr>
        <w:t>.</w:t>
      </w:r>
    </w:p>
    <w:p w:rsidR="00401D66" w:rsidRPr="00940F1D" w:rsidRDefault="00401D66" w:rsidP="00401D66">
      <w:pPr>
        <w:rPr>
          <w:lang w:val="en-US"/>
        </w:rPr>
      </w:pPr>
      <w:r w:rsidRPr="00940F1D">
        <w:rPr>
          <w:lang w:val="en-US"/>
        </w:rPr>
        <w:t xml:space="preserve">The boundary between the OoB and spurious domains in the case of primary radars in the radiodetermination service and other relevant services can be defined as separated from the assigned frequency by 2.5 </w:t>
      </w:r>
      <w:r w:rsidRPr="00940F1D">
        <w:rPr>
          <w:iCs/>
          <w:szCs w:val="24"/>
        </w:rPr>
        <w:sym w:font="Symbol" w:char="F061"/>
      </w:r>
      <w:r w:rsidRPr="00940F1D">
        <w:rPr>
          <w:iCs/>
          <w:lang w:val="en-US"/>
        </w:rPr>
        <w:t xml:space="preserve"> </w:t>
      </w:r>
      <w:r w:rsidRPr="00940F1D">
        <w:rPr>
          <w:i/>
          <w:lang w:val="en-US"/>
        </w:rPr>
        <w:t>B</w:t>
      </w:r>
      <w:r w:rsidRPr="00940F1D">
        <w:rPr>
          <w:i/>
          <w:position w:val="-4"/>
          <w:sz w:val="20"/>
          <w:lang w:val="en-US"/>
        </w:rPr>
        <w:t>N</w:t>
      </w:r>
      <w:r w:rsidRPr="00940F1D">
        <w:rPr>
          <w:lang w:val="en-US"/>
        </w:rPr>
        <w:t xml:space="preserve">, where </w:t>
      </w:r>
      <w:r w:rsidRPr="00940F1D">
        <w:rPr>
          <w:iCs/>
          <w:szCs w:val="24"/>
        </w:rPr>
        <w:sym w:font="Symbol" w:char="F061"/>
      </w:r>
      <w:r w:rsidRPr="00940F1D">
        <w:rPr>
          <w:lang w:val="en-US"/>
        </w:rPr>
        <w:t xml:space="preserve"> is a boundary correction factor depending on the total system configuration, in particular the modulation waveform and modulating technique, the radar output device, waveguide components and the antenna type and its frequency dependent characteristics. The value of </w:t>
      </w:r>
      <w:r w:rsidRPr="00940F1D">
        <w:rPr>
          <w:iCs/>
          <w:szCs w:val="24"/>
        </w:rPr>
        <w:sym w:font="Symbol" w:char="F061"/>
      </w:r>
      <w:r w:rsidRPr="00940F1D">
        <w:rPr>
          <w:lang w:val="en-US"/>
        </w:rPr>
        <w:t xml:space="preserve"> will also depend on the way the necessary bandwidth is evaluated.</w:t>
      </w:r>
    </w:p>
    <w:p w:rsidR="00111811" w:rsidRPr="00111811" w:rsidRDefault="00111811" w:rsidP="00111811">
      <w:pPr>
        <w:pStyle w:val="FigureNo"/>
        <w:rPr>
          <w:lang w:val="en-US"/>
        </w:rPr>
      </w:pPr>
      <w:r w:rsidRPr="00111811">
        <w:rPr>
          <w:lang w:val="en-US"/>
        </w:rPr>
        <w:lastRenderedPageBreak/>
        <w:t>Figure 3</w:t>
      </w:r>
      <w:r w:rsidRPr="00111811">
        <w:rPr>
          <w:sz w:val="20"/>
          <w:lang w:val="en-US"/>
        </w:rPr>
        <w:t>0</w:t>
      </w:r>
    </w:p>
    <w:p w:rsidR="00111811" w:rsidRDefault="00111811" w:rsidP="00111811">
      <w:pPr>
        <w:pStyle w:val="Figuretitle"/>
        <w:rPr>
          <w:lang w:val="en-US"/>
        </w:rPr>
      </w:pPr>
      <w:r w:rsidRPr="00111811">
        <w:rPr>
          <w:lang w:val="en-US"/>
        </w:rPr>
        <w:t>OoB mask for radars using CW, FMCW and phase coded waveforms</w:t>
      </w:r>
    </w:p>
    <w:p w:rsidR="004F19F2" w:rsidRPr="004F19F2" w:rsidRDefault="004F19F2" w:rsidP="004F19F2">
      <w:pPr>
        <w:pStyle w:val="Figure"/>
        <w:rPr>
          <w:lang w:val="en-US"/>
        </w:rPr>
      </w:pPr>
      <w:r>
        <w:rPr>
          <w:lang w:val="en-US"/>
        </w:rPr>
        <w:object w:dxaOrig="6238" w:dyaOrig="3752">
          <v:shape id="_x0000_i1087" type="#_x0000_t75" style="width:347.5pt;height:207.85pt" o:ole="">
            <v:imagedata r:id="rId168" o:title=""/>
          </v:shape>
          <o:OLEObject Type="Embed" ProgID="CorelDRAW.Graphic.14" ShapeID="_x0000_i1087" DrawAspect="Content" ObjectID="_1392698838" r:id="rId169"/>
        </w:object>
      </w:r>
    </w:p>
    <w:p w:rsidR="00111811" w:rsidRPr="00940F1D" w:rsidRDefault="00111811" w:rsidP="00111811">
      <w:pPr>
        <w:rPr>
          <w:lang w:val="en-US"/>
        </w:rPr>
      </w:pPr>
      <w:r w:rsidRPr="00940F1D">
        <w:rPr>
          <w:lang w:val="en-US"/>
        </w:rPr>
        <w:t xml:space="preserve">The values of </w:t>
      </w:r>
      <w:r w:rsidRPr="00940F1D">
        <w:rPr>
          <w:szCs w:val="24"/>
        </w:rPr>
        <w:sym w:font="Symbol" w:char="F061"/>
      </w:r>
      <w:r w:rsidRPr="00940F1D">
        <w:rPr>
          <w:lang w:val="en-US"/>
        </w:rPr>
        <w:t xml:space="preserve"> corresponding to the mask in Fig. 30 can be determined by setting the 60 dB point equal to 2.5 </w:t>
      </w:r>
      <w:r w:rsidRPr="00940F1D">
        <w:rPr>
          <w:iCs/>
          <w:szCs w:val="24"/>
        </w:rPr>
        <w:sym w:font="Symbol" w:char="F061"/>
      </w:r>
      <w:r w:rsidRPr="00940F1D">
        <w:rPr>
          <w:iCs/>
          <w:lang w:val="en-US"/>
        </w:rPr>
        <w:t xml:space="preserve"> </w:t>
      </w:r>
      <w:r w:rsidRPr="00940F1D">
        <w:rPr>
          <w:i/>
          <w:lang w:val="en-US"/>
        </w:rPr>
        <w:t>B</w:t>
      </w:r>
      <w:r w:rsidRPr="00940F1D">
        <w:rPr>
          <w:i/>
          <w:position w:val="-4"/>
          <w:sz w:val="20"/>
          <w:lang w:val="en-US"/>
        </w:rPr>
        <w:t>N</w:t>
      </w:r>
      <w:r w:rsidRPr="00940F1D">
        <w:rPr>
          <w:lang w:val="en-US"/>
        </w:rPr>
        <w:t>. Assuming a 20 dB per decade roll-off:</w:t>
      </w:r>
    </w:p>
    <w:p w:rsidR="00111811" w:rsidRPr="00940F1D" w:rsidRDefault="004F19F2" w:rsidP="004F19F2">
      <w:pPr>
        <w:pStyle w:val="Equation"/>
        <w:rPr>
          <w:lang w:val="en-US"/>
        </w:rPr>
      </w:pPr>
      <w:r w:rsidRPr="00401D66">
        <w:rPr>
          <w:lang w:val="en-US"/>
        </w:rPr>
        <w:tab/>
      </w:r>
      <w:r w:rsidRPr="00401D66">
        <w:rPr>
          <w:lang w:val="en-US"/>
        </w:rPr>
        <w:tab/>
      </w:r>
      <w:r w:rsidRPr="004F19F2">
        <w:rPr>
          <w:position w:val="-30"/>
          <w:lang w:val="fr-CH"/>
        </w:rPr>
        <w:object w:dxaOrig="3360" w:dyaOrig="680">
          <v:shape id="_x0000_i1088" type="#_x0000_t75" style="width:168.4pt;height:34.45pt" o:ole="">
            <v:imagedata r:id="rId170" o:title=""/>
          </v:shape>
          <o:OLEObject Type="Embed" ProgID="Equation.3" ShapeID="_x0000_i1088" DrawAspect="Content" ObjectID="_1392698839" r:id="rId171"/>
        </w:object>
      </w:r>
      <w:r w:rsidR="00111811" w:rsidRPr="00940F1D">
        <w:rPr>
          <w:lang w:val="en-US"/>
        </w:rPr>
        <w:tab/>
        <w:t>(47)</w:t>
      </w:r>
    </w:p>
    <w:p w:rsidR="00111811" w:rsidRPr="00940F1D" w:rsidRDefault="00111811" w:rsidP="00111811">
      <w:pPr>
        <w:rPr>
          <w:lang w:val="en-US"/>
        </w:rPr>
      </w:pPr>
      <w:r w:rsidRPr="00940F1D">
        <w:rPr>
          <w:lang w:val="en-US"/>
        </w:rPr>
        <w:t xml:space="preserve">Using the examples above, </w:t>
      </w:r>
      <w:r w:rsidRPr="00940F1D">
        <w:rPr>
          <w:iCs/>
          <w:szCs w:val="24"/>
        </w:rPr>
        <w:sym w:font="Symbol" w:char="F061"/>
      </w:r>
      <w:r w:rsidRPr="00940F1D">
        <w:rPr>
          <w:lang w:val="en-US"/>
        </w:rPr>
        <w:t xml:space="preserve"> would be about 2.0 for the linear FM pulse radar and about 8.5 for the non-FM pulse radar. This equation does not apply to the frequency hopping case.</w:t>
      </w:r>
    </w:p>
    <w:p w:rsidR="00111811" w:rsidRPr="00940F1D" w:rsidRDefault="00111811" w:rsidP="00111811">
      <w:pPr>
        <w:rPr>
          <w:lang w:val="en-US"/>
        </w:rPr>
      </w:pPr>
      <w:r w:rsidRPr="00940F1D">
        <w:rPr>
          <w:lang w:val="en-US"/>
        </w:rPr>
        <w:t xml:space="preserve">Assuming that the necessary bandwidth is evaluated as the 20 dB bandwidth, technical information available so far has indicated that, for existing and planned primary radars, the value of </w:t>
      </w:r>
      <w:r w:rsidRPr="00940F1D">
        <w:rPr>
          <w:iCs/>
          <w:szCs w:val="24"/>
        </w:rPr>
        <w:sym w:font="Symbol" w:char="F061"/>
      </w:r>
      <w:r w:rsidRPr="00940F1D">
        <w:rPr>
          <w:lang w:val="en-US"/>
        </w:rPr>
        <w:t xml:space="preserve"> would range from 1 to 10, or more.</w:t>
      </w:r>
    </w:p>
    <w:p w:rsidR="00111811" w:rsidRPr="00940F1D" w:rsidRDefault="00111811" w:rsidP="00111811">
      <w:pPr>
        <w:rPr>
          <w:lang w:val="en-US"/>
        </w:rPr>
      </w:pPr>
      <w:r w:rsidRPr="00940F1D">
        <w:rPr>
          <w:lang w:val="en-US"/>
        </w:rPr>
        <w:t>From the standpoint of effective use of spectrum, it can be questioned:</w:t>
      </w:r>
    </w:p>
    <w:p w:rsidR="00111811" w:rsidRPr="00940F1D" w:rsidRDefault="00111811" w:rsidP="004F19F2">
      <w:pPr>
        <w:pStyle w:val="enumlev1"/>
        <w:rPr>
          <w:lang w:val="en-US"/>
        </w:rPr>
      </w:pPr>
      <w:r w:rsidRPr="00940F1D">
        <w:rPr>
          <w:lang w:val="en-US"/>
        </w:rPr>
        <w:t>–</w:t>
      </w:r>
      <w:r w:rsidRPr="00940F1D">
        <w:rPr>
          <w:lang w:val="en-US"/>
        </w:rPr>
        <w:tab/>
        <w:t xml:space="preserve">whether the future primary radars will be able to meet an </w:t>
      </w:r>
      <w:r w:rsidRPr="00940F1D">
        <w:rPr>
          <w:szCs w:val="24"/>
        </w:rPr>
        <w:sym w:font="Symbol" w:char="F061"/>
      </w:r>
      <w:r w:rsidRPr="00940F1D">
        <w:rPr>
          <w:lang w:val="en-US"/>
        </w:rPr>
        <w:t xml:space="preserve"> value closer to 1 or not;</w:t>
      </w:r>
    </w:p>
    <w:p w:rsidR="00111811" w:rsidRPr="00940F1D" w:rsidRDefault="00111811" w:rsidP="004F19F2">
      <w:pPr>
        <w:pStyle w:val="enumlev1"/>
        <w:rPr>
          <w:lang w:val="en-US"/>
        </w:rPr>
      </w:pPr>
      <w:r w:rsidRPr="00940F1D">
        <w:rPr>
          <w:lang w:val="en-US"/>
        </w:rPr>
        <w:t>–</w:t>
      </w:r>
      <w:r w:rsidRPr="00940F1D">
        <w:rPr>
          <w:lang w:val="en-US"/>
        </w:rPr>
        <w:tab/>
        <w:t xml:space="preserve">whether </w:t>
      </w:r>
      <w:r w:rsidRPr="00940F1D">
        <w:rPr>
          <w:iCs/>
          <w:szCs w:val="24"/>
        </w:rPr>
        <w:sym w:font="Symbol" w:char="F061"/>
      </w:r>
      <w:r w:rsidRPr="00940F1D">
        <w:rPr>
          <w:lang w:val="en-US"/>
        </w:rPr>
        <w:t xml:space="preserve"> should be different depending on whether the boundary between the OoB and spurious domains will be inside, outside or close to a primary radar allocated band.</w:t>
      </w:r>
    </w:p>
    <w:p w:rsidR="00111811" w:rsidRPr="00940F1D" w:rsidRDefault="00111811" w:rsidP="00111811">
      <w:pPr>
        <w:rPr>
          <w:lang w:val="en-US"/>
        </w:rPr>
      </w:pPr>
      <w:r w:rsidRPr="00940F1D">
        <w:rPr>
          <w:lang w:val="en-US"/>
        </w:rPr>
        <w:t xml:space="preserve">Further studies need to be conducted within the ITU-R to specify the definition of the necessary bandwidth to be used in the calculation of the boundary and to define the values of </w:t>
      </w:r>
      <w:r w:rsidRPr="00940F1D">
        <w:rPr>
          <w:szCs w:val="24"/>
        </w:rPr>
        <w:sym w:font="Symbol" w:char="F061"/>
      </w:r>
      <w:r w:rsidRPr="00940F1D">
        <w:rPr>
          <w:lang w:val="en-US"/>
        </w:rPr>
        <w:t xml:space="preserve"> for the different type of radars, missions and platforms.</w:t>
      </w:r>
    </w:p>
    <w:p w:rsidR="00111811" w:rsidRPr="00940F1D" w:rsidRDefault="00111811" w:rsidP="00111811">
      <w:pPr>
        <w:rPr>
          <w:lang w:val="en-US"/>
        </w:rPr>
      </w:pPr>
      <w:r w:rsidRPr="00940F1D">
        <w:rPr>
          <w:lang w:val="en-US"/>
        </w:rPr>
        <w:t xml:space="preserve">For non-FM pulsed radars, in a few exceptional cases where the system architecture permits the use of filters and unusual performance trade-offs can be tolerated, the value of </w:t>
      </w:r>
      <w:r w:rsidRPr="00940F1D">
        <w:rPr>
          <w:iCs/>
          <w:szCs w:val="24"/>
        </w:rPr>
        <w:sym w:font="Symbol" w:char="F061"/>
      </w:r>
      <w:r w:rsidRPr="00940F1D">
        <w:rPr>
          <w:i/>
          <w:lang w:val="en-US"/>
        </w:rPr>
        <w:t xml:space="preserve"> </w:t>
      </w:r>
      <w:r w:rsidRPr="00940F1D">
        <w:rPr>
          <w:lang w:val="en-US"/>
        </w:rPr>
        <w:t xml:space="preserve">may approach 1. Also, for wideband frequency agile radars, the value of </w:t>
      </w:r>
      <w:r w:rsidRPr="00940F1D">
        <w:rPr>
          <w:iCs/>
          <w:szCs w:val="24"/>
        </w:rPr>
        <w:sym w:font="Symbol" w:char="F061"/>
      </w:r>
      <w:r w:rsidRPr="00940F1D">
        <w:rPr>
          <w:i/>
          <w:lang w:val="en-US"/>
        </w:rPr>
        <w:t xml:space="preserve"> </w:t>
      </w:r>
      <w:r w:rsidRPr="00940F1D">
        <w:rPr>
          <w:lang w:val="en-US"/>
        </w:rPr>
        <w:t>may be close to 1.5.</w:t>
      </w:r>
    </w:p>
    <w:p w:rsidR="00111811" w:rsidRPr="00940F1D" w:rsidRDefault="00111811" w:rsidP="004F19F2">
      <w:pPr>
        <w:pStyle w:val="Heading1"/>
        <w:rPr>
          <w:lang w:val="en-US"/>
        </w:rPr>
      </w:pPr>
      <w:r w:rsidRPr="00940F1D">
        <w:rPr>
          <w:lang w:val="en-US"/>
        </w:rPr>
        <w:t>6</w:t>
      </w:r>
      <w:r w:rsidRPr="00940F1D">
        <w:rPr>
          <w:lang w:val="en-US"/>
        </w:rPr>
        <w:tab/>
        <w:t>Design objective</w:t>
      </w:r>
    </w:p>
    <w:p w:rsidR="00111811" w:rsidRPr="00940F1D" w:rsidRDefault="00111811" w:rsidP="004F19F2">
      <w:pPr>
        <w:rPr>
          <w:lang w:val="en-US" w:eastAsia="ja-JP"/>
        </w:rPr>
      </w:pPr>
      <w:r w:rsidRPr="00940F1D">
        <w:rPr>
          <w:lang w:val="en-US"/>
        </w:rPr>
        <w:t xml:space="preserve">The preceding sections of this </w:t>
      </w:r>
      <w:r w:rsidR="004F19F2">
        <w:rPr>
          <w:lang w:val="en-US"/>
        </w:rPr>
        <w:t>a</w:t>
      </w:r>
      <w:r w:rsidRPr="00940F1D">
        <w:rPr>
          <w:lang w:val="en-US"/>
        </w:rPr>
        <w:t>nnex are based on the safety-net principle of OoB domain emission limits. It is recognized that</w:t>
      </w:r>
      <w:r w:rsidRPr="00111811">
        <w:rPr>
          <w:lang w:val="en-US"/>
        </w:rPr>
        <w:t xml:space="preserve"> it is desirable to reduce the levels of unwanted emissions</w:t>
      </w:r>
      <w:r w:rsidRPr="00940F1D">
        <w:rPr>
          <w:lang w:val="en-US"/>
        </w:rPr>
        <w:t xml:space="preserve"> to enhance compatibility with other services.</w:t>
      </w:r>
    </w:p>
    <w:p w:rsidR="00111811" w:rsidRPr="00940F1D" w:rsidRDefault="00111811" w:rsidP="00111811">
      <w:pPr>
        <w:rPr>
          <w:lang w:val="en-US" w:eastAsia="ja-JP"/>
        </w:rPr>
      </w:pPr>
      <w:r w:rsidRPr="00111811">
        <w:rPr>
          <w:lang w:val="en-US"/>
        </w:rPr>
        <w:t>The mask in Fig.</w:t>
      </w:r>
      <w:r>
        <w:rPr>
          <w:lang w:val="en-US"/>
        </w:rPr>
        <w:t> </w:t>
      </w:r>
      <w:r w:rsidRPr="00111811">
        <w:rPr>
          <w:lang w:val="en-US"/>
        </w:rPr>
        <w:t xml:space="preserve">31 is the objective for the design of  radar systems. The mask rolls off at 40 dB per decade from the </w:t>
      </w:r>
      <w:r w:rsidRPr="00111811">
        <w:rPr>
          <w:i/>
          <w:iCs/>
          <w:lang w:val="en-US"/>
        </w:rPr>
        <w:t>B</w:t>
      </w:r>
      <w:r w:rsidRPr="00111811">
        <w:rPr>
          <w:i/>
          <w:iCs/>
          <w:vertAlign w:val="subscript"/>
          <w:lang w:val="en-US"/>
        </w:rPr>
        <w:t>−</w:t>
      </w:r>
      <w:r w:rsidRPr="00111811">
        <w:rPr>
          <w:vertAlign w:val="subscript"/>
          <w:lang w:val="en-US"/>
        </w:rPr>
        <w:t>40</w:t>
      </w:r>
      <w:r w:rsidRPr="00111811">
        <w:rPr>
          <w:lang w:val="en-US"/>
        </w:rPr>
        <w:t xml:space="preserve"> dB bandwidth to the spurious level specified in RR Appendix 3</w:t>
      </w:r>
      <w:r w:rsidRPr="00111811">
        <w:rPr>
          <w:lang w:val="en-US" w:eastAsia="ja-JP"/>
        </w:rPr>
        <w:t>.</w:t>
      </w:r>
    </w:p>
    <w:p w:rsidR="00111811" w:rsidRPr="00111811" w:rsidRDefault="00111811" w:rsidP="00111811">
      <w:pPr>
        <w:rPr>
          <w:lang w:val="en-US"/>
        </w:rPr>
      </w:pPr>
      <w:r w:rsidRPr="00111811">
        <w:rPr>
          <w:lang w:val="en-US"/>
        </w:rPr>
        <w:lastRenderedPageBreak/>
        <w:t>Radars should be designed to meet the requirement of the design objective mask. Where possible, radar design should avoid the use of technologies that are not capable of meeting the design objective.</w:t>
      </w:r>
    </w:p>
    <w:p w:rsidR="004F19F2" w:rsidRPr="004F19F2" w:rsidRDefault="004F19F2" w:rsidP="004F19F2">
      <w:pPr>
        <w:pStyle w:val="FigureNo"/>
        <w:rPr>
          <w:lang w:val="en-US"/>
        </w:rPr>
      </w:pPr>
      <w:r w:rsidRPr="004F19F2">
        <w:rPr>
          <w:lang w:val="en-US"/>
        </w:rPr>
        <w:t>Figure 31</w:t>
      </w:r>
    </w:p>
    <w:p w:rsidR="004F19F2" w:rsidRPr="004F19F2" w:rsidRDefault="006311A2" w:rsidP="004F19F2">
      <w:pPr>
        <w:pStyle w:val="Figuretitle"/>
        <w:rPr>
          <w:lang w:val="en-US"/>
        </w:rPr>
      </w:pPr>
      <w:r>
        <w:rPr>
          <w:lang w:val="en-US"/>
        </w:rPr>
        <w:t>Design objective for radar systems</w:t>
      </w:r>
    </w:p>
    <w:p w:rsidR="004F19F2" w:rsidRPr="004F19F2" w:rsidRDefault="004F19F2" w:rsidP="004F19F2">
      <w:pPr>
        <w:pStyle w:val="Figure"/>
      </w:pPr>
      <w:r>
        <w:object w:dxaOrig="6055" w:dyaOrig="3826">
          <v:shape id="_x0000_i1089" type="#_x0000_t75" style="width:340.6pt;height:3in" o:ole="">
            <v:imagedata r:id="rId172" o:title=""/>
          </v:shape>
          <o:OLEObject Type="Embed" ProgID="CorelDRAW.Graphic.14" ShapeID="_x0000_i1089" DrawAspect="Content" ObjectID="_1392698840" r:id="rId173"/>
        </w:object>
      </w:r>
    </w:p>
    <w:p w:rsidR="00111811" w:rsidRPr="00111811" w:rsidRDefault="00111811" w:rsidP="00111811">
      <w:pPr>
        <w:pStyle w:val="Note"/>
        <w:rPr>
          <w:sz w:val="24"/>
          <w:lang w:val="en-US"/>
        </w:rPr>
      </w:pPr>
      <w:r w:rsidRPr="004F19F2">
        <w:rPr>
          <w:i/>
          <w:iCs/>
          <w:lang w:val="en-US"/>
        </w:rPr>
        <w:t>N</w:t>
      </w:r>
      <w:r w:rsidR="004F19F2" w:rsidRPr="004F19F2">
        <w:rPr>
          <w:i/>
          <w:iCs/>
          <w:lang w:val="en-US"/>
        </w:rPr>
        <w:t>ote </w:t>
      </w:r>
      <w:r w:rsidRPr="004F19F2">
        <w:rPr>
          <w:i/>
          <w:iCs/>
          <w:lang w:val="en-US"/>
        </w:rPr>
        <w:t>1</w:t>
      </w:r>
      <w:r w:rsidRPr="00940F1D">
        <w:rPr>
          <w:lang w:val="en-US"/>
        </w:rPr>
        <w:t> – The feasibility of this mask is to be investigated in future studies within ITU-R, taking account of the practical experience of its application to some types of radar systems and technical developments in radar technology.</w:t>
      </w:r>
      <w:r w:rsidRPr="00111811">
        <w:rPr>
          <w:sz w:val="24"/>
          <w:lang w:val="en-US"/>
        </w:rPr>
        <w:t xml:space="preserve"> Inputs to ITU (</w:t>
      </w:r>
      <w:r>
        <w:rPr>
          <w:lang w:val="en-US"/>
        </w:rPr>
        <w:t>s</w:t>
      </w:r>
      <w:r w:rsidRPr="00111811">
        <w:rPr>
          <w:sz w:val="24"/>
          <w:lang w:val="en-US"/>
        </w:rPr>
        <w:t>tudy periods 2003-2007 and 2007-2011) have provided evidence that some types of radars can achieve the design objective. These include some klystron</w:t>
      </w:r>
      <w:r>
        <w:rPr>
          <w:lang w:val="en-US"/>
        </w:rPr>
        <w:t>-</w:t>
      </w:r>
      <w:r w:rsidRPr="00111811">
        <w:rPr>
          <w:sz w:val="24"/>
          <w:lang w:val="en-US"/>
        </w:rPr>
        <w:t xml:space="preserve">based radars and some radars using strapped vane magnetrons below 100 </w:t>
      </w:r>
      <w:r w:rsidRPr="00111811">
        <w:rPr>
          <w:sz w:val="24"/>
          <w:lang w:val="en-US" w:eastAsia="ja-JP"/>
        </w:rPr>
        <w:t>k</w:t>
      </w:r>
      <w:r w:rsidRPr="00111811">
        <w:rPr>
          <w:sz w:val="24"/>
          <w:lang w:val="en-US"/>
        </w:rPr>
        <w:t xml:space="preserve">W as the output device. </w:t>
      </w:r>
    </w:p>
    <w:p w:rsidR="00111811" w:rsidRPr="00940F1D" w:rsidRDefault="00111811" w:rsidP="00111811">
      <w:pPr>
        <w:pStyle w:val="Note"/>
        <w:rPr>
          <w:lang w:val="en-US"/>
        </w:rPr>
      </w:pPr>
      <w:r w:rsidRPr="004F19F2">
        <w:rPr>
          <w:i/>
          <w:iCs/>
          <w:lang w:val="en-US"/>
        </w:rPr>
        <w:t>N</w:t>
      </w:r>
      <w:r w:rsidR="004F19F2" w:rsidRPr="004F19F2">
        <w:rPr>
          <w:i/>
          <w:iCs/>
          <w:lang w:val="en-US"/>
        </w:rPr>
        <w:t>ote</w:t>
      </w:r>
      <w:r w:rsidRPr="004F19F2">
        <w:rPr>
          <w:i/>
          <w:iCs/>
          <w:lang w:val="en-US"/>
        </w:rPr>
        <w:t> 2</w:t>
      </w:r>
      <w:r w:rsidRPr="00940F1D">
        <w:rPr>
          <w:lang w:val="en-US"/>
        </w:rPr>
        <w:t> – OoB domain emission limits within bands allocated to the radiodetermination service on an exclusive basis are the subject of further study. This study may result in a different design objective mask inside these bands.</w:t>
      </w:r>
    </w:p>
    <w:p w:rsidR="00111811" w:rsidRPr="00940F1D" w:rsidRDefault="00111811" w:rsidP="00111811">
      <w:pPr>
        <w:pStyle w:val="Note"/>
        <w:rPr>
          <w:lang w:val="en-US"/>
        </w:rPr>
      </w:pPr>
      <w:r w:rsidRPr="004F19F2">
        <w:rPr>
          <w:i/>
          <w:iCs/>
          <w:lang w:val="en-US"/>
        </w:rPr>
        <w:t>N</w:t>
      </w:r>
      <w:r w:rsidR="004F19F2" w:rsidRPr="004F19F2">
        <w:rPr>
          <w:i/>
          <w:iCs/>
          <w:lang w:val="en-US"/>
        </w:rPr>
        <w:t>ote </w:t>
      </w:r>
      <w:r w:rsidRPr="004F19F2">
        <w:rPr>
          <w:i/>
          <w:iCs/>
          <w:lang w:val="en-US" w:eastAsia="ja-JP"/>
        </w:rPr>
        <w:t>3</w:t>
      </w:r>
      <w:r w:rsidRPr="00940F1D">
        <w:rPr>
          <w:lang w:val="en-US"/>
        </w:rPr>
        <w:t> – Some future systems may not be able to achieve the design objective taking account of such factors as:</w:t>
      </w:r>
    </w:p>
    <w:p w:rsidR="00111811" w:rsidRPr="00111811" w:rsidRDefault="00111811" w:rsidP="004F19F2">
      <w:pPr>
        <w:pStyle w:val="enumlev1"/>
        <w:rPr>
          <w:lang w:val="en-US"/>
        </w:rPr>
      </w:pPr>
      <w:r>
        <w:rPr>
          <w:lang w:val="en-US"/>
        </w:rPr>
        <w:t>–</w:t>
      </w:r>
      <w:r>
        <w:rPr>
          <w:lang w:val="en-US"/>
        </w:rPr>
        <w:tab/>
      </w:r>
      <w:r w:rsidRPr="00111811">
        <w:rPr>
          <w:lang w:val="en-US"/>
        </w:rPr>
        <w:t>radar mission (safety of life, target size to be detected, etc.);</w:t>
      </w:r>
    </w:p>
    <w:p w:rsidR="00111811" w:rsidRPr="00111811" w:rsidRDefault="00111811" w:rsidP="004F19F2">
      <w:pPr>
        <w:pStyle w:val="enumlev1"/>
        <w:rPr>
          <w:lang w:val="en-US"/>
        </w:rPr>
      </w:pPr>
      <w:r>
        <w:rPr>
          <w:lang w:val="en-US"/>
        </w:rPr>
        <w:t>–</w:t>
      </w:r>
      <w:r>
        <w:rPr>
          <w:lang w:val="en-US"/>
        </w:rPr>
        <w:tab/>
      </w:r>
      <w:r w:rsidRPr="00111811">
        <w:rPr>
          <w:lang w:val="en-US"/>
        </w:rPr>
        <w:t>type and size of the platform (e.g. fixed, mobile, ship-borne, airborne, etc.);</w:t>
      </w:r>
    </w:p>
    <w:p w:rsidR="00111811" w:rsidRPr="00111811" w:rsidRDefault="00111811" w:rsidP="004F19F2">
      <w:pPr>
        <w:pStyle w:val="enumlev1"/>
        <w:rPr>
          <w:lang w:val="en-US"/>
        </w:rPr>
      </w:pPr>
      <w:r>
        <w:rPr>
          <w:lang w:val="en-US"/>
        </w:rPr>
        <w:t>–</w:t>
      </w:r>
      <w:r>
        <w:rPr>
          <w:lang w:val="en-US"/>
        </w:rPr>
        <w:tab/>
      </w:r>
      <w:r w:rsidRPr="00111811">
        <w:rPr>
          <w:lang w:val="en-US"/>
        </w:rPr>
        <w:t>available technologies and their state of evolution;</w:t>
      </w:r>
    </w:p>
    <w:p w:rsidR="00111811" w:rsidRPr="00111811" w:rsidRDefault="00111811" w:rsidP="004F19F2">
      <w:pPr>
        <w:pStyle w:val="enumlev1"/>
        <w:rPr>
          <w:lang w:val="en-US" w:eastAsia="ja-JP"/>
        </w:rPr>
      </w:pPr>
      <w:r>
        <w:rPr>
          <w:lang w:val="en-US"/>
        </w:rPr>
        <w:t>–</w:t>
      </w:r>
      <w:r>
        <w:rPr>
          <w:lang w:val="en-US"/>
        </w:rPr>
        <w:tab/>
      </w:r>
      <w:r w:rsidRPr="00111811">
        <w:rPr>
          <w:lang w:val="en-US"/>
        </w:rPr>
        <w:t>affordability.</w:t>
      </w:r>
    </w:p>
    <w:p w:rsidR="00111811" w:rsidRPr="00111811" w:rsidRDefault="00111811" w:rsidP="00111811">
      <w:pPr>
        <w:pStyle w:val="Note"/>
        <w:rPr>
          <w:rFonts w:eastAsia="BatangChe"/>
          <w:lang w:val="en-US"/>
        </w:rPr>
      </w:pPr>
      <w:r w:rsidRPr="004F19F2">
        <w:rPr>
          <w:rFonts w:eastAsia="MS Mincho"/>
          <w:i/>
          <w:iCs/>
          <w:lang w:val="en-US"/>
        </w:rPr>
        <w:t>N</w:t>
      </w:r>
      <w:r w:rsidR="004F19F2" w:rsidRPr="004F19F2">
        <w:rPr>
          <w:rFonts w:eastAsia="MS Mincho"/>
          <w:i/>
          <w:iCs/>
          <w:lang w:val="en-US"/>
        </w:rPr>
        <w:t xml:space="preserve">ote </w:t>
      </w:r>
      <w:r w:rsidRPr="004F19F2">
        <w:rPr>
          <w:rFonts w:eastAsia="MS Mincho"/>
          <w:i/>
          <w:iCs/>
          <w:lang w:val="en-US"/>
        </w:rPr>
        <w:t>4</w:t>
      </w:r>
      <w:r w:rsidRPr="00940F1D">
        <w:rPr>
          <w:rFonts w:eastAsia="MS Mincho"/>
          <w:lang w:val="en-US"/>
        </w:rPr>
        <w:t xml:space="preserve"> –</w:t>
      </w:r>
      <w:r>
        <w:rPr>
          <w:rFonts w:eastAsia="MS Mincho"/>
          <w:lang w:val="en-US"/>
        </w:rPr>
        <w:t xml:space="preserve"> </w:t>
      </w:r>
      <w:r w:rsidRPr="00940F1D">
        <w:rPr>
          <w:rFonts w:eastAsia="MS Mincho"/>
          <w:lang w:val="en-US"/>
        </w:rPr>
        <w:t>The intention is that these studies will lead to the revision of this Recommendation to either replace the OoB masks in the preceding sections with the design objective mask; or to include other appropriate arrangements depending on the type of radar waveform</w:t>
      </w:r>
      <w:r w:rsidRPr="00111811">
        <w:rPr>
          <w:rFonts w:eastAsia="BatangChe"/>
          <w:lang w:val="en-US"/>
        </w:rPr>
        <w:t xml:space="preserve"> by </w:t>
      </w:r>
      <w:r w:rsidRPr="00940F1D">
        <w:rPr>
          <w:rFonts w:eastAsia="MS Mincho"/>
          <w:lang w:val="en-US"/>
        </w:rPr>
        <w:t xml:space="preserve">the </w:t>
      </w:r>
      <w:r w:rsidRPr="00111811">
        <w:rPr>
          <w:rFonts w:eastAsia="MS Mincho"/>
          <w:lang w:val="en-US" w:eastAsia="ja-JP"/>
        </w:rPr>
        <w:t>201</w:t>
      </w:r>
      <w:r w:rsidRPr="00940F1D">
        <w:rPr>
          <w:rFonts w:eastAsia="MS Mincho"/>
          <w:lang w:val="en-US" w:eastAsia="ja-JP"/>
        </w:rPr>
        <w:t>6</w:t>
      </w:r>
      <w:r w:rsidRPr="00940F1D">
        <w:rPr>
          <w:rFonts w:eastAsia="MS Mincho"/>
          <w:lang w:val="en-US"/>
        </w:rPr>
        <w:t xml:space="preserve"> Radiocommunication Assembly.</w:t>
      </w:r>
    </w:p>
    <w:p w:rsidR="00111811" w:rsidRPr="00940F1D" w:rsidRDefault="00111811" w:rsidP="00111811">
      <w:pPr>
        <w:pStyle w:val="Heading1"/>
        <w:rPr>
          <w:lang w:val="en-US"/>
        </w:rPr>
      </w:pPr>
      <w:r w:rsidRPr="00940F1D">
        <w:rPr>
          <w:lang w:val="en-US"/>
        </w:rPr>
        <w:t>7</w:t>
      </w:r>
      <w:r w:rsidRPr="00940F1D">
        <w:rPr>
          <w:lang w:val="en-US"/>
        </w:rPr>
        <w:tab/>
        <w:t>Measurement techniques</w:t>
      </w:r>
    </w:p>
    <w:p w:rsidR="009B14AA" w:rsidRDefault="00111811" w:rsidP="00111811">
      <w:pPr>
        <w:rPr>
          <w:lang w:val="en-US"/>
        </w:rPr>
      </w:pPr>
      <w:r w:rsidRPr="00940F1D">
        <w:rPr>
          <w:lang w:val="en-US"/>
        </w:rPr>
        <w:t>The most recent version of Recommendation ITU-R M.1177 provides guidance regarding the methods of measuring OoB domain emissions from radar systems.</w:t>
      </w:r>
    </w:p>
    <w:p w:rsidR="009B14AA" w:rsidRDefault="009B14AA">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9B14AA" w:rsidRDefault="009B14AA" w:rsidP="009B14AA">
      <w:pPr>
        <w:pStyle w:val="AnnexNoTitle"/>
        <w:rPr>
          <w:lang w:val="en-US"/>
        </w:rPr>
      </w:pPr>
      <w:r>
        <w:rPr>
          <w:lang w:val="en-US"/>
        </w:rPr>
        <w:lastRenderedPageBreak/>
        <w:t>Annex  9</w:t>
      </w:r>
      <w:r>
        <w:rPr>
          <w:lang w:val="en-US"/>
        </w:rPr>
        <w:br/>
      </w:r>
      <w:r>
        <w:rPr>
          <w:lang w:val="en-US"/>
        </w:rPr>
        <w:br/>
        <w:t>OoB domain emission limits for the amateur services</w:t>
      </w:r>
    </w:p>
    <w:p w:rsidR="009B14AA" w:rsidRDefault="009B14AA" w:rsidP="009B14AA">
      <w:pPr>
        <w:pStyle w:val="Normalaftertitle"/>
        <w:rPr>
          <w:lang w:val="en-US"/>
        </w:rPr>
      </w:pPr>
      <w:r>
        <w:rPr>
          <w:lang w:val="en-US"/>
        </w:rPr>
        <w:t>Stations operating in the amateur and amateur satellite services should meet the limits contained in the following spectrum masks.</w:t>
      </w:r>
    </w:p>
    <w:p w:rsidR="009B14AA" w:rsidRPr="00C813CD" w:rsidRDefault="00620821" w:rsidP="009B14AA">
      <w:pPr>
        <w:pStyle w:val="FigureNo"/>
        <w:rPr>
          <w:lang w:val="en-US"/>
        </w:rPr>
      </w:pPr>
      <w:r>
        <w:rPr>
          <w:lang w:val="en-US"/>
        </w:rPr>
        <w:t>FIGURE 32</w:t>
      </w:r>
    </w:p>
    <w:p w:rsidR="009B14AA" w:rsidRPr="00C813CD" w:rsidRDefault="009B14AA" w:rsidP="009B14AA">
      <w:pPr>
        <w:pStyle w:val="Figuretitle"/>
        <w:rPr>
          <w:lang w:val="en-US"/>
        </w:rPr>
      </w:pPr>
      <w:r w:rsidRPr="00C813CD">
        <w:rPr>
          <w:lang w:val="en-US"/>
        </w:rPr>
        <w:t>Stations operating below 30 MHz in the normal or narrow-band cases of</w:t>
      </w:r>
      <w:r w:rsidRPr="00C813CD">
        <w:rPr>
          <w:lang w:val="en-US"/>
        </w:rPr>
        <w:br/>
        <w:t>Recommendation ITU-R SM.1539</w:t>
      </w:r>
    </w:p>
    <w:p w:rsidR="009B14AA" w:rsidRPr="00976F5D" w:rsidRDefault="00EA1F14" w:rsidP="009B14AA">
      <w:pPr>
        <w:pStyle w:val="Figure"/>
      </w:pPr>
      <w:r>
        <w:rPr>
          <w:noProof/>
          <w:lang w:val="en-US" w:eastAsia="zh-CN"/>
        </w:rPr>
        <w:object w:dxaOrig="10763" w:dyaOrig="5943">
          <v:shape id="_x0000_i1101" type="#_x0000_t75" style="width:400.7pt;height:221pt" o:ole="">
            <v:imagedata r:id="rId174" o:title=""/>
          </v:shape>
          <o:OLEObject Type="Embed" ProgID="CorelDRAW.Graphic.14" ShapeID="_x0000_i1101" DrawAspect="Content" ObjectID="_1392698841" r:id="rId175"/>
        </w:object>
      </w:r>
    </w:p>
    <w:p w:rsidR="009B14AA" w:rsidRDefault="009B14AA" w:rsidP="009B14AA">
      <w:pPr>
        <w:rPr>
          <w:vertAlign w:val="subscript"/>
          <w:lang w:val="en-US"/>
        </w:rPr>
      </w:pPr>
      <w:r>
        <w:rPr>
          <w:lang w:val="en-US"/>
        </w:rPr>
        <w:t xml:space="preserve">Where </w:t>
      </w:r>
      <w:r>
        <w:rPr>
          <w:i/>
          <w:iCs/>
          <w:lang w:val="en-US"/>
        </w:rPr>
        <w:t>B</w:t>
      </w:r>
      <w:r w:rsidRPr="00F67ECF">
        <w:rPr>
          <w:i/>
          <w:iCs/>
          <w:vertAlign w:val="subscript"/>
          <w:lang w:val="en-US"/>
        </w:rPr>
        <w:t>N</w:t>
      </w:r>
      <w:r>
        <w:rPr>
          <w:lang w:val="en-US"/>
        </w:rPr>
        <w:t> </w:t>
      </w:r>
      <w:r>
        <w:rPr>
          <w:rFonts w:ascii="Symbol" w:hAnsi="Symbol"/>
          <w:lang w:val="en-US"/>
        </w:rPr>
        <w:t></w:t>
      </w:r>
      <w:r>
        <w:rPr>
          <w:lang w:val="en-US"/>
        </w:rPr>
        <w:t xml:space="preserve"> 4 kHz, the value of </w:t>
      </w:r>
      <w:r>
        <w:rPr>
          <w:i/>
          <w:iCs/>
          <w:lang w:val="en-US"/>
        </w:rPr>
        <w:t>B</w:t>
      </w:r>
      <w:r w:rsidRPr="00F67ECF">
        <w:rPr>
          <w:i/>
          <w:iCs/>
          <w:vertAlign w:val="subscript"/>
          <w:lang w:val="en-US"/>
        </w:rPr>
        <w:t>L</w:t>
      </w:r>
      <w:r>
        <w:rPr>
          <w:lang w:val="en-US"/>
        </w:rPr>
        <w:t xml:space="preserve"> from Recommendation ITU-R</w:t>
      </w:r>
      <w:r>
        <w:rPr>
          <w:b/>
          <w:lang w:val="en-US"/>
        </w:rPr>
        <w:t xml:space="preserve"> </w:t>
      </w:r>
      <w:r>
        <w:rPr>
          <w:lang w:val="en-US"/>
        </w:rPr>
        <w:t>SM.1539 is to be used instead of </w:t>
      </w:r>
      <w:r>
        <w:rPr>
          <w:i/>
          <w:iCs/>
          <w:lang w:val="en-US"/>
        </w:rPr>
        <w:t>B</w:t>
      </w:r>
      <w:r w:rsidRPr="00F67ECF">
        <w:rPr>
          <w:i/>
          <w:iCs/>
          <w:vertAlign w:val="subscript"/>
          <w:lang w:val="en-US"/>
        </w:rPr>
        <w:t>N</w:t>
      </w:r>
      <w:r>
        <w:rPr>
          <w:lang w:val="en-US"/>
        </w:rPr>
        <w:t>.</w:t>
      </w:r>
    </w:p>
    <w:p w:rsidR="009B14AA" w:rsidRPr="00C813CD" w:rsidRDefault="00EA1F14" w:rsidP="009B14AA">
      <w:pPr>
        <w:pStyle w:val="FigureNo"/>
        <w:rPr>
          <w:lang w:val="en-US"/>
        </w:rPr>
      </w:pPr>
      <w:r>
        <w:rPr>
          <w:lang w:val="en-US"/>
        </w:rPr>
        <w:t>FIGURE 33</w:t>
      </w:r>
    </w:p>
    <w:p w:rsidR="009B14AA" w:rsidRPr="00C813CD" w:rsidRDefault="009B14AA" w:rsidP="009B14AA">
      <w:pPr>
        <w:pStyle w:val="Figuretitle"/>
        <w:rPr>
          <w:lang w:val="en-US"/>
        </w:rPr>
      </w:pPr>
      <w:r w:rsidRPr="00C813CD">
        <w:rPr>
          <w:lang w:val="en-US"/>
        </w:rPr>
        <w:t>Stations operating below 30 MHz in the wideband cases of</w:t>
      </w:r>
      <w:r w:rsidRPr="00C813CD">
        <w:rPr>
          <w:lang w:val="en-US"/>
        </w:rPr>
        <w:br/>
        <w:t>Recommendation ITU-R SM.1539</w:t>
      </w:r>
    </w:p>
    <w:p w:rsidR="009B14AA" w:rsidRPr="00976F5D" w:rsidRDefault="00EA1F14" w:rsidP="009B14AA">
      <w:pPr>
        <w:pStyle w:val="Figure"/>
      </w:pPr>
      <w:r>
        <w:rPr>
          <w:noProof/>
          <w:lang w:val="en-US" w:eastAsia="zh-CN"/>
        </w:rPr>
        <w:object w:dxaOrig="10345" w:dyaOrig="5936">
          <v:shape id="_x0000_i1103" type="#_x0000_t75" style="width:385.05pt;height:221pt" o:ole="">
            <v:imagedata r:id="rId176" o:title=""/>
          </v:shape>
          <o:OLEObject Type="Embed" ProgID="CorelDRAW.Graphic.14" ShapeID="_x0000_i1103" DrawAspect="Content" ObjectID="_1392698842" r:id="rId177"/>
        </w:object>
      </w:r>
    </w:p>
    <w:p w:rsidR="009B14AA" w:rsidRPr="00C813CD" w:rsidRDefault="00EA1F14" w:rsidP="009B14AA">
      <w:pPr>
        <w:pStyle w:val="FigureNo"/>
        <w:rPr>
          <w:lang w:val="en-US"/>
        </w:rPr>
      </w:pPr>
      <w:r>
        <w:rPr>
          <w:lang w:val="en-US"/>
        </w:rPr>
        <w:lastRenderedPageBreak/>
        <w:t>FIGURE 34</w:t>
      </w:r>
    </w:p>
    <w:p w:rsidR="009B14AA" w:rsidRPr="00C813CD" w:rsidRDefault="009B14AA" w:rsidP="009B14AA">
      <w:pPr>
        <w:pStyle w:val="Figuretitle"/>
        <w:rPr>
          <w:lang w:val="en-US"/>
        </w:rPr>
      </w:pPr>
      <w:r w:rsidRPr="00C813CD">
        <w:rPr>
          <w:lang w:val="en-US"/>
        </w:rPr>
        <w:t>Stations operating above 30 MHz in the normal or narrow-band cases of</w:t>
      </w:r>
      <w:r w:rsidRPr="00C813CD">
        <w:rPr>
          <w:lang w:val="en-US"/>
        </w:rPr>
        <w:br/>
        <w:t>Recommendation ITU-R SM.1539</w:t>
      </w:r>
    </w:p>
    <w:p w:rsidR="009B14AA" w:rsidRPr="00976F5D" w:rsidRDefault="00EA1F14" w:rsidP="009B14AA">
      <w:pPr>
        <w:pStyle w:val="Figure"/>
      </w:pPr>
      <w:r>
        <w:rPr>
          <w:noProof/>
          <w:lang w:val="en-US" w:eastAsia="zh-CN"/>
        </w:rPr>
        <w:object w:dxaOrig="10354" w:dyaOrig="7758">
          <v:shape id="_x0000_i1105" type="#_x0000_t75" style="width:385.05pt;height:289.25pt" o:ole="">
            <v:imagedata r:id="rId178" o:title=""/>
          </v:shape>
          <o:OLEObject Type="Embed" ProgID="CorelDRAW.Graphic.14" ShapeID="_x0000_i1105" DrawAspect="Content" ObjectID="_1392698843" r:id="rId179"/>
        </w:object>
      </w:r>
    </w:p>
    <w:p w:rsidR="009B14AA" w:rsidRDefault="009B14AA" w:rsidP="009B14AA">
      <w:pPr>
        <w:keepNext/>
        <w:rPr>
          <w:lang w:val="en-US"/>
        </w:rPr>
      </w:pPr>
      <w:r>
        <w:rPr>
          <w:lang w:val="en-US"/>
        </w:rPr>
        <w:lastRenderedPageBreak/>
        <w:t xml:space="preserve">In the narrow-band case, the value of </w:t>
      </w:r>
      <w:r>
        <w:rPr>
          <w:i/>
          <w:iCs/>
          <w:lang w:val="en-US"/>
        </w:rPr>
        <w:t>B</w:t>
      </w:r>
      <w:r w:rsidRPr="00F67ECF">
        <w:rPr>
          <w:i/>
          <w:iCs/>
          <w:vertAlign w:val="subscript"/>
          <w:lang w:val="en-US"/>
        </w:rPr>
        <w:t>L</w:t>
      </w:r>
      <w:r>
        <w:rPr>
          <w:vertAlign w:val="subscript"/>
          <w:lang w:val="en-US"/>
        </w:rPr>
        <w:t xml:space="preserve"> </w:t>
      </w:r>
      <w:r>
        <w:rPr>
          <w:lang w:val="en-US"/>
        </w:rPr>
        <w:t>derived from Recommendation ITU-R</w:t>
      </w:r>
      <w:r>
        <w:rPr>
          <w:b/>
          <w:lang w:val="en-US"/>
        </w:rPr>
        <w:t xml:space="preserve"> </w:t>
      </w:r>
      <w:r>
        <w:rPr>
          <w:lang w:val="en-US"/>
        </w:rPr>
        <w:t xml:space="preserve">SM.1539 is to be used instead of </w:t>
      </w:r>
      <w:r>
        <w:rPr>
          <w:i/>
          <w:iCs/>
          <w:lang w:val="en-US"/>
        </w:rPr>
        <w:t>B</w:t>
      </w:r>
      <w:r w:rsidRPr="00F67ECF">
        <w:rPr>
          <w:i/>
          <w:iCs/>
          <w:vertAlign w:val="subscript"/>
          <w:lang w:val="en-US"/>
        </w:rPr>
        <w:t>N</w:t>
      </w:r>
      <w:r>
        <w:rPr>
          <w:lang w:val="en-US"/>
        </w:rPr>
        <w:t>.</w:t>
      </w:r>
    </w:p>
    <w:p w:rsidR="009B14AA" w:rsidRDefault="009B14AA" w:rsidP="009B14AA">
      <w:pPr>
        <w:keepNext/>
        <w:rPr>
          <w:lang w:val="en-US"/>
        </w:rPr>
      </w:pPr>
    </w:p>
    <w:p w:rsidR="009B14AA" w:rsidRPr="00C813CD" w:rsidRDefault="009B14AA" w:rsidP="00EA1F14">
      <w:pPr>
        <w:pStyle w:val="FigureNo"/>
        <w:rPr>
          <w:lang w:val="en-US"/>
        </w:rPr>
      </w:pPr>
      <w:r w:rsidRPr="00C813CD">
        <w:rPr>
          <w:lang w:val="en-US"/>
        </w:rPr>
        <w:t>FIGURE 3</w:t>
      </w:r>
      <w:r w:rsidR="00EA1F14">
        <w:rPr>
          <w:lang w:val="en-US"/>
        </w:rPr>
        <w:t>5</w:t>
      </w:r>
    </w:p>
    <w:p w:rsidR="009B14AA" w:rsidRPr="00C813CD" w:rsidRDefault="009B14AA" w:rsidP="009B14AA">
      <w:pPr>
        <w:pStyle w:val="Figuretitle"/>
        <w:rPr>
          <w:lang w:val="en-US"/>
        </w:rPr>
      </w:pPr>
      <w:r w:rsidRPr="00C813CD">
        <w:rPr>
          <w:lang w:val="en-US"/>
        </w:rPr>
        <w:t>Stations operating above 30 MHz in the wideband cases of</w:t>
      </w:r>
      <w:r w:rsidRPr="00C813CD">
        <w:rPr>
          <w:lang w:val="en-US"/>
        </w:rPr>
        <w:br/>
        <w:t>Recommendation ITU-R SM.1539</w:t>
      </w:r>
    </w:p>
    <w:p w:rsidR="009B14AA" w:rsidRPr="00976F5D" w:rsidRDefault="00EA1F14" w:rsidP="009B14AA">
      <w:pPr>
        <w:pStyle w:val="Figure"/>
      </w:pPr>
      <w:r>
        <w:rPr>
          <w:noProof/>
          <w:lang w:val="en-US" w:eastAsia="zh-CN"/>
        </w:rPr>
        <w:object w:dxaOrig="10352" w:dyaOrig="9867">
          <v:shape id="_x0000_i1108" type="#_x0000_t75" style="width:407.6pt;height:388.15pt;mso-position-vertical:absolute" o:ole="">
            <v:imagedata r:id="rId180" o:title=""/>
          </v:shape>
          <o:OLEObject Type="Embed" ProgID="CorelDRAW.Graphic.14" ShapeID="_x0000_i1108" DrawAspect="Content" ObjectID="_1392698844" r:id="rId181"/>
        </w:object>
      </w:r>
    </w:p>
    <w:p w:rsidR="009B14AA" w:rsidRDefault="009B14AA" w:rsidP="009B14AA">
      <w:pPr>
        <w:rPr>
          <w:lang w:val="en-US"/>
        </w:rPr>
      </w:pPr>
    </w:p>
    <w:p w:rsidR="009B14AA" w:rsidRDefault="009B14AA" w:rsidP="009B14AA">
      <w:pPr>
        <w:pStyle w:val="Note"/>
        <w:rPr>
          <w:lang w:val="en-US"/>
        </w:rPr>
      </w:pPr>
      <w:r>
        <w:rPr>
          <w:lang w:val="en-US"/>
        </w:rPr>
        <w:t>NOTE 1 – All classes of emission using single sideband (SSB) are included in the category SSB.</w:t>
      </w:r>
    </w:p>
    <w:p w:rsidR="009B14AA" w:rsidRDefault="009B14AA" w:rsidP="009B14AA">
      <w:pPr>
        <w:pStyle w:val="Note"/>
        <w:rPr>
          <w:lang w:val="en-US"/>
        </w:rPr>
      </w:pPr>
      <w:r>
        <w:rPr>
          <w:lang w:val="en-US"/>
        </w:rPr>
        <w:t>Where applicable, the modulation applied for test purposes is audio frequency tones of 1</w:t>
      </w:r>
      <w:r>
        <w:rPr>
          <w:rFonts w:ascii="Tms Rmn" w:hAnsi="Tms Rmn"/>
          <w:sz w:val="12"/>
          <w:lang w:val="en-US"/>
        </w:rPr>
        <w:t> </w:t>
      </w:r>
      <w:r>
        <w:rPr>
          <w:lang w:val="en-US"/>
        </w:rPr>
        <w:t>100 and 1</w:t>
      </w:r>
      <w:r>
        <w:rPr>
          <w:rFonts w:ascii="Tms Rmn" w:hAnsi="Tms Rmn"/>
          <w:sz w:val="12"/>
          <w:lang w:val="en-US"/>
        </w:rPr>
        <w:t> </w:t>
      </w:r>
      <w:r>
        <w:rPr>
          <w:lang w:val="en-US"/>
        </w:rPr>
        <w:t>700 Hz for SSB transmissions, with 1 kHz for emissions with a carrier, or in other cases, with modulation representative of normal use.</w:t>
      </w:r>
    </w:p>
    <w:p w:rsidR="009B14AA" w:rsidRDefault="009B14AA" w:rsidP="009B14AA">
      <w:pPr>
        <w:pStyle w:val="Note"/>
        <w:rPr>
          <w:lang w:val="en-US"/>
        </w:rPr>
      </w:pPr>
      <w:r>
        <w:rPr>
          <w:lang w:val="en-US"/>
        </w:rPr>
        <w:t>NOTE 2 – For stations using wideband frequency division multiple access (FDMA), such as space stations operating in the amateur satellite service, the necessary bandwidth shall be considered to be the 3 dB bandwidth of the transmitter final amplifier.</w:t>
      </w:r>
    </w:p>
    <w:p w:rsidR="009B14AA" w:rsidRDefault="009B14AA" w:rsidP="009B14AA">
      <w:pPr>
        <w:pStyle w:val="AnnexNoTitle"/>
        <w:rPr>
          <w:lang w:val="en-US"/>
        </w:rPr>
      </w:pPr>
      <w:r>
        <w:rPr>
          <w:lang w:val="en-US"/>
        </w:rPr>
        <w:lastRenderedPageBreak/>
        <w:t>Annex  10</w:t>
      </w:r>
      <w:r>
        <w:rPr>
          <w:lang w:val="en-US"/>
        </w:rPr>
        <w:br/>
      </w:r>
      <w:r>
        <w:rPr>
          <w:lang w:val="en-US"/>
        </w:rPr>
        <w:br/>
        <w:t>OoB domain emission limits land mobile radio services</w:t>
      </w:r>
    </w:p>
    <w:p w:rsidR="009B14AA" w:rsidRDefault="009B14AA" w:rsidP="009B14AA">
      <w:pPr>
        <w:pStyle w:val="Normalaftertitle"/>
        <w:rPr>
          <w:lang w:val="en-US"/>
        </w:rPr>
      </w:pPr>
      <w:r>
        <w:rPr>
          <w:lang w:val="en-US"/>
        </w:rPr>
        <w:t>The masks contained in this annex are examples of some OoB masks used for the land mobile service. A generic mask addressing all the systems in the land mobile service needs to be further studied. This service has indicated its preference to use adjacent band (or channel) power ratio limits rather than limit curves as it facilitates frequency coordination and system planning. Appendix 1 to Annex 1 shows how a band power limit can be derived from an emission mask.</w:t>
      </w:r>
    </w:p>
    <w:p w:rsidR="009B14AA" w:rsidRDefault="009B14AA" w:rsidP="00EA1F14">
      <w:pPr>
        <w:rPr>
          <w:lang w:val="en-US"/>
        </w:rPr>
      </w:pPr>
      <w:r>
        <w:rPr>
          <w:lang w:val="en-US"/>
        </w:rPr>
        <w:t>Table 24 provides break points corresponding to the graph shown in Fig. 3</w:t>
      </w:r>
      <w:r w:rsidR="00EA1F14">
        <w:rPr>
          <w:lang w:val="en-US"/>
        </w:rPr>
        <w:t>6</w:t>
      </w:r>
      <w:r>
        <w:rPr>
          <w:lang w:val="en-US"/>
        </w:rPr>
        <w:t xml:space="preserve"> for 12.5 kHz channel bandwidth land mobile systems.</w:t>
      </w:r>
    </w:p>
    <w:p w:rsidR="009B14AA" w:rsidRDefault="009B14AA" w:rsidP="009B14AA">
      <w:pPr>
        <w:rPr>
          <w:lang w:val="en-US"/>
        </w:rPr>
      </w:pPr>
    </w:p>
    <w:p w:rsidR="009B14AA" w:rsidRPr="00C813CD" w:rsidRDefault="009B14AA" w:rsidP="00EA1F14">
      <w:pPr>
        <w:pStyle w:val="FigureNo"/>
        <w:rPr>
          <w:lang w:val="en-US"/>
        </w:rPr>
      </w:pPr>
      <w:r w:rsidRPr="00C813CD">
        <w:rPr>
          <w:lang w:val="en-US"/>
        </w:rPr>
        <w:t>FIGURE 3</w:t>
      </w:r>
      <w:r w:rsidR="00EA1F14">
        <w:rPr>
          <w:lang w:val="en-US"/>
        </w:rPr>
        <w:t>6</w:t>
      </w:r>
    </w:p>
    <w:p w:rsidR="009B14AA" w:rsidRPr="00C813CD" w:rsidRDefault="009B14AA" w:rsidP="009B14AA">
      <w:pPr>
        <w:pStyle w:val="Figuretitle"/>
        <w:rPr>
          <w:lang w:val="en-US"/>
        </w:rPr>
      </w:pPr>
      <w:r w:rsidRPr="00C813CD">
        <w:rPr>
          <w:lang w:val="en-US"/>
        </w:rPr>
        <w:t>OoB mask for 12.5 kHz channel bandwidth land mobile systems</w:t>
      </w:r>
    </w:p>
    <w:p w:rsidR="009B14AA" w:rsidRPr="00976F5D" w:rsidRDefault="00EA1F14" w:rsidP="009B14AA">
      <w:pPr>
        <w:pStyle w:val="Figure"/>
      </w:pPr>
      <w:r>
        <w:rPr>
          <w:noProof/>
          <w:lang w:val="en-US" w:eastAsia="zh-CN"/>
        </w:rPr>
        <w:object w:dxaOrig="9235" w:dyaOrig="3916">
          <v:shape id="_x0000_i1110" type="#_x0000_t75" style="width:340.6pt;height:144.65pt" o:ole="">
            <v:imagedata r:id="rId182" o:title=""/>
          </v:shape>
          <o:OLEObject Type="Embed" ProgID="CorelDRAW.Graphic.14" ShapeID="_x0000_i1110" DrawAspect="Content" ObjectID="_1392698845" r:id="rId183"/>
        </w:object>
      </w:r>
    </w:p>
    <w:p w:rsidR="009B14AA" w:rsidRDefault="009B14AA" w:rsidP="009B14AA">
      <w:pPr>
        <w:rPr>
          <w:lang w:val="en-US"/>
        </w:rPr>
      </w:pPr>
    </w:p>
    <w:p w:rsidR="009B14AA" w:rsidRDefault="009B14AA" w:rsidP="009B14AA">
      <w:pPr>
        <w:rPr>
          <w:lang w:val="en-US"/>
        </w:rPr>
      </w:pPr>
    </w:p>
    <w:p w:rsidR="009B14AA" w:rsidRDefault="009B14AA" w:rsidP="009B14AA">
      <w:pPr>
        <w:pStyle w:val="TableNo"/>
        <w:rPr>
          <w:lang w:val="en-US"/>
        </w:rPr>
      </w:pPr>
      <w:r>
        <w:rPr>
          <w:lang w:val="en-US"/>
        </w:rPr>
        <w:t>TABLE  24</w:t>
      </w:r>
    </w:p>
    <w:p w:rsidR="009B14AA" w:rsidRDefault="009B14AA" w:rsidP="009B14AA">
      <w:pPr>
        <w:pStyle w:val="Tabletitle"/>
        <w:rPr>
          <w:lang w:val="en-US"/>
        </w:rPr>
      </w:pPr>
      <w:r>
        <w:rPr>
          <w:lang w:val="en-US"/>
        </w:rPr>
        <w:t>Break points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536"/>
        <w:gridCol w:w="2454"/>
      </w:tblGrid>
      <w:tr w:rsidR="009B14AA" w:rsidTr="00E94C3B">
        <w:trPr>
          <w:jc w:val="center"/>
        </w:trPr>
        <w:tc>
          <w:tcPr>
            <w:tcW w:w="4536" w:type="dxa"/>
            <w:tcBorders>
              <w:top w:val="single" w:sz="4" w:space="0" w:color="auto"/>
              <w:left w:val="single" w:sz="4" w:space="0" w:color="auto"/>
              <w:bottom w:val="single" w:sz="6" w:space="0" w:color="auto"/>
            </w:tcBorders>
            <w:vAlign w:val="center"/>
          </w:tcPr>
          <w:p w:rsidR="009B14AA" w:rsidRDefault="009B14AA" w:rsidP="00E94C3B">
            <w:pPr>
              <w:pStyle w:val="Tablehead"/>
              <w:spacing w:before="60" w:after="60"/>
              <w:rPr>
                <w:lang w:val="en-US"/>
              </w:rPr>
            </w:pPr>
            <w:r>
              <w:rPr>
                <w:lang w:val="en-US"/>
              </w:rPr>
              <w:t>Frequency offset from the centre frequency (% of channel bandwidth)</w:t>
            </w:r>
          </w:p>
        </w:tc>
        <w:tc>
          <w:tcPr>
            <w:tcW w:w="2454" w:type="dxa"/>
            <w:tcBorders>
              <w:top w:val="single" w:sz="4" w:space="0" w:color="auto"/>
              <w:bottom w:val="single" w:sz="6" w:space="0" w:color="auto"/>
              <w:right w:val="single" w:sz="4" w:space="0" w:color="auto"/>
            </w:tcBorders>
            <w:vAlign w:val="center"/>
          </w:tcPr>
          <w:p w:rsidR="009B14AA" w:rsidRDefault="009B14AA" w:rsidP="00E94C3B">
            <w:pPr>
              <w:pStyle w:val="Tablehead"/>
              <w:spacing w:before="60" w:after="60"/>
              <w:rPr>
                <w:lang w:val="en-US"/>
              </w:rPr>
            </w:pPr>
            <w:r>
              <w:rPr>
                <w:lang w:val="en-US"/>
              </w:rPr>
              <w:t>Attenuation</w:t>
            </w:r>
            <w:r>
              <w:rPr>
                <w:lang w:val="en-US"/>
              </w:rPr>
              <w:br/>
              <w:t>(dBsd)</w:t>
            </w:r>
          </w:p>
        </w:tc>
      </w:tr>
      <w:tr w:rsidR="009B14AA" w:rsidTr="00E94C3B">
        <w:trPr>
          <w:jc w:val="center"/>
        </w:trPr>
        <w:tc>
          <w:tcPr>
            <w:tcW w:w="4536" w:type="dxa"/>
            <w:tcBorders>
              <w:top w:val="single" w:sz="6" w:space="0" w:color="auto"/>
              <w:left w:val="single" w:sz="4"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50</w:t>
            </w:r>
          </w:p>
        </w:tc>
        <w:tc>
          <w:tcPr>
            <w:tcW w:w="2454" w:type="dxa"/>
            <w:tcBorders>
              <w:top w:val="single" w:sz="6" w:space="0" w:color="auto"/>
              <w:right w:val="single" w:sz="4"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3.5</w:t>
            </w:r>
          </w:p>
        </w:tc>
      </w:tr>
      <w:tr w:rsidR="009B14AA" w:rsidTr="00E94C3B">
        <w:trPr>
          <w:jc w:val="center"/>
        </w:trPr>
        <w:tc>
          <w:tcPr>
            <w:tcW w:w="4536" w:type="dxa"/>
            <w:tcBorders>
              <w:left w:val="single" w:sz="4"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78</w:t>
            </w:r>
          </w:p>
        </w:tc>
        <w:tc>
          <w:tcPr>
            <w:tcW w:w="2454" w:type="dxa"/>
            <w:tcBorders>
              <w:right w:val="single" w:sz="4"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29</w:t>
            </w:r>
          </w:p>
        </w:tc>
      </w:tr>
      <w:tr w:rsidR="009B14AA" w:rsidTr="00E94C3B">
        <w:trPr>
          <w:jc w:val="center"/>
        </w:trPr>
        <w:tc>
          <w:tcPr>
            <w:tcW w:w="4536" w:type="dxa"/>
            <w:tcBorders>
              <w:left w:val="single" w:sz="4" w:space="0" w:color="auto"/>
              <w:bottom w:val="single" w:sz="4"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250</w:t>
            </w:r>
          </w:p>
        </w:tc>
        <w:tc>
          <w:tcPr>
            <w:tcW w:w="2454" w:type="dxa"/>
            <w:tcBorders>
              <w:bottom w:val="single" w:sz="4" w:space="0" w:color="auto"/>
              <w:right w:val="single" w:sz="4"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29</w:t>
            </w:r>
          </w:p>
        </w:tc>
      </w:tr>
    </w:tbl>
    <w:p w:rsidR="009B14AA" w:rsidRDefault="009B14AA" w:rsidP="009B14AA">
      <w:pPr>
        <w:pStyle w:val="Tablefin"/>
        <w:rPr>
          <w:lang w:val="en-US"/>
        </w:rPr>
      </w:pPr>
    </w:p>
    <w:p w:rsidR="009B14AA" w:rsidRPr="00BB1479" w:rsidRDefault="009B14AA" w:rsidP="009B14AA">
      <w:pPr>
        <w:rPr>
          <w:lang w:val="en-US"/>
        </w:rPr>
      </w:pPr>
    </w:p>
    <w:p w:rsidR="009B14AA" w:rsidRDefault="009B14AA" w:rsidP="00EA1F14">
      <w:pPr>
        <w:rPr>
          <w:lang w:val="en-US"/>
        </w:rPr>
      </w:pPr>
      <w:r>
        <w:rPr>
          <w:lang w:val="en-US"/>
        </w:rPr>
        <w:t>Table 25 provides break points corresponding to the graph shown in Fig. 3</w:t>
      </w:r>
      <w:r w:rsidR="00EA1F14">
        <w:rPr>
          <w:lang w:val="en-US"/>
        </w:rPr>
        <w:t>7</w:t>
      </w:r>
      <w:r>
        <w:rPr>
          <w:lang w:val="en-US"/>
        </w:rPr>
        <w:t xml:space="preserve"> for 5 kHz channel bandwidth amplitude companded SSB.</w:t>
      </w:r>
    </w:p>
    <w:p w:rsidR="009B14AA" w:rsidRPr="00C813CD" w:rsidRDefault="009B14AA" w:rsidP="00EA1F14">
      <w:pPr>
        <w:pStyle w:val="FigureNo"/>
        <w:rPr>
          <w:lang w:val="en-US"/>
        </w:rPr>
      </w:pPr>
      <w:r w:rsidRPr="00C813CD">
        <w:rPr>
          <w:lang w:val="en-US"/>
        </w:rPr>
        <w:lastRenderedPageBreak/>
        <w:t>FIGURE 3</w:t>
      </w:r>
      <w:r w:rsidR="00EA1F14">
        <w:rPr>
          <w:lang w:val="en-US"/>
        </w:rPr>
        <w:t>7</w:t>
      </w:r>
    </w:p>
    <w:p w:rsidR="009B14AA" w:rsidRPr="00C813CD" w:rsidRDefault="009B14AA" w:rsidP="009B14AA">
      <w:pPr>
        <w:pStyle w:val="Figuretitle"/>
        <w:rPr>
          <w:lang w:val="en-US"/>
        </w:rPr>
      </w:pPr>
      <w:r w:rsidRPr="00C813CD">
        <w:rPr>
          <w:lang w:val="en-US"/>
        </w:rPr>
        <w:t>OoB mask for 5 kHz channel bandwidth amplitude companded SSB</w:t>
      </w:r>
    </w:p>
    <w:p w:rsidR="009B14AA" w:rsidRPr="00976F5D" w:rsidRDefault="00EA1F14" w:rsidP="009B14AA">
      <w:pPr>
        <w:pStyle w:val="Figure"/>
      </w:pPr>
      <w:r>
        <w:rPr>
          <w:noProof/>
          <w:lang w:val="en-US" w:eastAsia="zh-CN"/>
        </w:rPr>
        <w:object w:dxaOrig="8197" w:dyaOrig="4124">
          <v:shape id="_x0000_i1112" type="#_x0000_t75" style="width:304.3pt;height:152.75pt" o:ole="">
            <v:imagedata r:id="rId184" o:title=""/>
          </v:shape>
          <o:OLEObject Type="Embed" ProgID="CorelDRAW.Graphic.14" ShapeID="_x0000_i1112" DrawAspect="Content" ObjectID="_1392698846" r:id="rId185"/>
        </w:object>
      </w:r>
    </w:p>
    <w:p w:rsidR="009B14AA" w:rsidRDefault="009B14AA" w:rsidP="009B14AA">
      <w:pPr>
        <w:rPr>
          <w:lang w:val="en-US"/>
        </w:rPr>
      </w:pPr>
    </w:p>
    <w:p w:rsidR="009B14AA" w:rsidRDefault="009B14AA" w:rsidP="009B14AA">
      <w:pPr>
        <w:rPr>
          <w:lang w:val="en-US"/>
        </w:rPr>
      </w:pPr>
    </w:p>
    <w:p w:rsidR="009B14AA" w:rsidRDefault="009B14AA" w:rsidP="009B14AA">
      <w:pPr>
        <w:pStyle w:val="TableNo"/>
        <w:rPr>
          <w:lang w:val="en-US"/>
        </w:rPr>
      </w:pPr>
      <w:r>
        <w:rPr>
          <w:lang w:val="en-US"/>
        </w:rPr>
        <w:t>TABLE  25</w:t>
      </w:r>
    </w:p>
    <w:p w:rsidR="009B14AA" w:rsidRDefault="009B14AA" w:rsidP="009B14AA">
      <w:pPr>
        <w:pStyle w:val="Tabletitle"/>
        <w:rPr>
          <w:lang w:val="en-US"/>
        </w:rPr>
      </w:pPr>
      <w:r>
        <w:rPr>
          <w:lang w:val="en-US"/>
        </w:rPr>
        <w:t>Break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36"/>
        <w:gridCol w:w="2454"/>
      </w:tblGrid>
      <w:tr w:rsidR="009B14AA" w:rsidTr="00E94C3B">
        <w:trPr>
          <w:jc w:val="center"/>
        </w:trPr>
        <w:tc>
          <w:tcPr>
            <w:tcW w:w="4536" w:type="dxa"/>
            <w:vAlign w:val="center"/>
          </w:tcPr>
          <w:p w:rsidR="009B14AA" w:rsidRDefault="009B14AA" w:rsidP="00E94C3B">
            <w:pPr>
              <w:pStyle w:val="Tablehead"/>
              <w:rPr>
                <w:lang w:val="en-US"/>
              </w:rPr>
            </w:pPr>
            <w:r>
              <w:rPr>
                <w:lang w:val="en-US"/>
              </w:rPr>
              <w:t>Frequency offset from the centre frequency (% of channel bandwidth)</w:t>
            </w:r>
          </w:p>
        </w:tc>
        <w:tc>
          <w:tcPr>
            <w:tcW w:w="2454" w:type="dxa"/>
            <w:vAlign w:val="center"/>
          </w:tcPr>
          <w:p w:rsidR="009B14AA" w:rsidRDefault="009B14AA" w:rsidP="00E94C3B">
            <w:pPr>
              <w:pStyle w:val="Tablehead"/>
              <w:rPr>
                <w:lang w:val="en-US"/>
              </w:rPr>
            </w:pPr>
            <w:r>
              <w:rPr>
                <w:lang w:val="en-US"/>
              </w:rPr>
              <w:t>Attenuation</w:t>
            </w:r>
            <w:r>
              <w:rPr>
                <w:lang w:val="en-US"/>
              </w:rPr>
              <w:br/>
              <w:t>(dBc)</w:t>
            </w:r>
          </w:p>
        </w:tc>
      </w:tr>
      <w:tr w:rsidR="009B14AA" w:rsidTr="00E94C3B">
        <w:trPr>
          <w:jc w:val="center"/>
        </w:trPr>
        <w:tc>
          <w:tcPr>
            <w:tcW w:w="4536" w:type="dxa"/>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50</w:t>
            </w:r>
          </w:p>
        </w:tc>
        <w:tc>
          <w:tcPr>
            <w:tcW w:w="2454" w:type="dxa"/>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40</w:t>
            </w:r>
          </w:p>
        </w:tc>
      </w:tr>
      <w:tr w:rsidR="009B14AA" w:rsidTr="00E94C3B">
        <w:trPr>
          <w:jc w:val="center"/>
        </w:trPr>
        <w:tc>
          <w:tcPr>
            <w:tcW w:w="4536" w:type="dxa"/>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75</w:t>
            </w:r>
          </w:p>
        </w:tc>
        <w:tc>
          <w:tcPr>
            <w:tcW w:w="2454" w:type="dxa"/>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65</w:t>
            </w:r>
          </w:p>
        </w:tc>
      </w:tr>
      <w:tr w:rsidR="009B14AA" w:rsidTr="00E94C3B">
        <w:trPr>
          <w:jc w:val="center"/>
        </w:trPr>
        <w:tc>
          <w:tcPr>
            <w:tcW w:w="4536" w:type="dxa"/>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250</w:t>
            </w:r>
          </w:p>
        </w:tc>
        <w:tc>
          <w:tcPr>
            <w:tcW w:w="2454" w:type="dxa"/>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65</w:t>
            </w:r>
          </w:p>
        </w:tc>
      </w:tr>
    </w:tbl>
    <w:p w:rsidR="009B14AA" w:rsidRDefault="009B14AA" w:rsidP="009B14AA">
      <w:pPr>
        <w:pStyle w:val="Tablefin"/>
      </w:pPr>
    </w:p>
    <w:p w:rsidR="009B14AA" w:rsidRPr="00BB1479" w:rsidRDefault="009B14AA" w:rsidP="009B14AA">
      <w:pPr>
        <w:rPr>
          <w:lang w:val="en-GB"/>
        </w:rPr>
      </w:pPr>
    </w:p>
    <w:p w:rsidR="009B14AA" w:rsidRDefault="009B14AA" w:rsidP="00EA1F14">
      <w:pPr>
        <w:rPr>
          <w:lang w:val="en-US"/>
        </w:rPr>
      </w:pPr>
      <w:r>
        <w:rPr>
          <w:lang w:val="en-US"/>
        </w:rPr>
        <w:t>Table 26 provides break points corresponding to the graph shown in Fig. </w:t>
      </w:r>
      <w:r w:rsidR="00EA1F14">
        <w:rPr>
          <w:lang w:val="en-US"/>
        </w:rPr>
        <w:t>38</w:t>
      </w:r>
      <w:r>
        <w:rPr>
          <w:lang w:val="en-US"/>
        </w:rPr>
        <w:t xml:space="preserve"> for 6.5 kHz channel bandwidth land mobile systems.</w:t>
      </w:r>
    </w:p>
    <w:p w:rsidR="009B14AA" w:rsidRDefault="009B14AA" w:rsidP="009B14AA">
      <w:pPr>
        <w:rPr>
          <w:lang w:val="en-US"/>
        </w:rPr>
      </w:pPr>
    </w:p>
    <w:p w:rsidR="009B14AA" w:rsidRPr="00C813CD" w:rsidRDefault="009B14AA" w:rsidP="00EA1F14">
      <w:pPr>
        <w:pStyle w:val="FigureNo"/>
        <w:rPr>
          <w:lang w:val="en-US"/>
        </w:rPr>
      </w:pPr>
      <w:r w:rsidRPr="00C813CD">
        <w:rPr>
          <w:lang w:val="en-US"/>
        </w:rPr>
        <w:t xml:space="preserve">figure </w:t>
      </w:r>
      <w:r w:rsidR="00EA1F14">
        <w:rPr>
          <w:lang w:val="en-US"/>
        </w:rPr>
        <w:t>38</w:t>
      </w:r>
    </w:p>
    <w:p w:rsidR="009B14AA" w:rsidRPr="00C813CD" w:rsidRDefault="009B14AA" w:rsidP="009B14AA">
      <w:pPr>
        <w:pStyle w:val="Figuretitle"/>
        <w:rPr>
          <w:lang w:val="en-US"/>
        </w:rPr>
      </w:pPr>
      <w:r w:rsidRPr="00C813CD">
        <w:rPr>
          <w:lang w:val="en-US"/>
        </w:rPr>
        <w:t>OoB mask for 6.5 kHz channel bandwidth land mobile systems</w:t>
      </w:r>
    </w:p>
    <w:p w:rsidR="009B14AA" w:rsidRPr="00976F5D" w:rsidRDefault="00EA1F14" w:rsidP="009B14AA">
      <w:pPr>
        <w:pStyle w:val="Figure"/>
      </w:pPr>
      <w:r>
        <w:rPr>
          <w:noProof/>
          <w:lang w:val="en-US" w:eastAsia="zh-CN"/>
        </w:rPr>
        <w:object w:dxaOrig="8210" w:dyaOrig="4648">
          <v:shape id="_x0000_i1114" type="#_x0000_t75" style="width:305.55pt;height:172.8pt" o:ole="">
            <v:imagedata r:id="rId186" o:title=""/>
          </v:shape>
          <o:OLEObject Type="Embed" ProgID="CorelDRAW.Graphic.14" ShapeID="_x0000_i1114" DrawAspect="Content" ObjectID="_1392698847" r:id="rId187"/>
        </w:object>
      </w:r>
    </w:p>
    <w:p w:rsidR="009B14AA" w:rsidRDefault="009B14AA" w:rsidP="009B14AA">
      <w:pPr>
        <w:pStyle w:val="TableNo"/>
        <w:rPr>
          <w:lang w:val="en-US"/>
        </w:rPr>
      </w:pPr>
      <w:r>
        <w:rPr>
          <w:lang w:val="en-US"/>
        </w:rPr>
        <w:lastRenderedPageBreak/>
        <w:t>TABLE  26</w:t>
      </w:r>
    </w:p>
    <w:p w:rsidR="009B14AA" w:rsidRDefault="009B14AA" w:rsidP="009B14AA">
      <w:pPr>
        <w:pStyle w:val="Tabletitle"/>
        <w:rPr>
          <w:lang w:val="en-US"/>
        </w:rPr>
      </w:pPr>
      <w:r>
        <w:rPr>
          <w:lang w:val="en-US"/>
        </w:rPr>
        <w:t>Break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36"/>
        <w:gridCol w:w="2454"/>
      </w:tblGrid>
      <w:tr w:rsidR="009B14AA" w:rsidTr="00E94C3B">
        <w:trPr>
          <w:jc w:val="center"/>
        </w:trPr>
        <w:tc>
          <w:tcPr>
            <w:tcW w:w="4536" w:type="dxa"/>
            <w:vAlign w:val="center"/>
          </w:tcPr>
          <w:p w:rsidR="009B14AA" w:rsidRDefault="009B14AA" w:rsidP="00E94C3B">
            <w:pPr>
              <w:pStyle w:val="Tablehead"/>
              <w:spacing w:before="60" w:after="60"/>
              <w:rPr>
                <w:lang w:val="en-US"/>
              </w:rPr>
            </w:pPr>
            <w:r>
              <w:rPr>
                <w:lang w:val="en-US"/>
              </w:rPr>
              <w:t>Frequency offset from the centre frequency (% of channel bandwidth)</w:t>
            </w:r>
          </w:p>
        </w:tc>
        <w:tc>
          <w:tcPr>
            <w:tcW w:w="2454" w:type="dxa"/>
            <w:vAlign w:val="center"/>
          </w:tcPr>
          <w:p w:rsidR="009B14AA" w:rsidRDefault="009B14AA" w:rsidP="00E94C3B">
            <w:pPr>
              <w:pStyle w:val="Tablehead"/>
              <w:spacing w:before="60" w:after="60"/>
              <w:rPr>
                <w:lang w:val="en-US"/>
              </w:rPr>
            </w:pPr>
            <w:r>
              <w:rPr>
                <w:lang w:val="en-US"/>
              </w:rPr>
              <w:t>Attenuation</w:t>
            </w:r>
            <w:r>
              <w:rPr>
                <w:lang w:val="en-US"/>
              </w:rPr>
              <w:br/>
              <w:t>(dBsd)</w:t>
            </w:r>
          </w:p>
        </w:tc>
      </w:tr>
      <w:tr w:rsidR="009B14AA" w:rsidTr="00E94C3B">
        <w:trPr>
          <w:jc w:val="center"/>
        </w:trPr>
        <w:tc>
          <w:tcPr>
            <w:tcW w:w="4536" w:type="dxa"/>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50</w:t>
            </w:r>
          </w:p>
        </w:tc>
        <w:tc>
          <w:tcPr>
            <w:tcW w:w="2454" w:type="dxa"/>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14</w:t>
            </w:r>
          </w:p>
        </w:tc>
      </w:tr>
      <w:tr w:rsidR="009B14AA" w:rsidTr="00E94C3B">
        <w:trPr>
          <w:jc w:val="center"/>
        </w:trPr>
        <w:tc>
          <w:tcPr>
            <w:tcW w:w="4536" w:type="dxa"/>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72</w:t>
            </w:r>
          </w:p>
        </w:tc>
        <w:tc>
          <w:tcPr>
            <w:tcW w:w="2454" w:type="dxa"/>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37</w:t>
            </w:r>
          </w:p>
        </w:tc>
      </w:tr>
      <w:tr w:rsidR="009B14AA" w:rsidTr="00E94C3B">
        <w:trPr>
          <w:jc w:val="center"/>
        </w:trPr>
        <w:tc>
          <w:tcPr>
            <w:tcW w:w="4536" w:type="dxa"/>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250</w:t>
            </w:r>
          </w:p>
        </w:tc>
        <w:tc>
          <w:tcPr>
            <w:tcW w:w="2454" w:type="dxa"/>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37</w:t>
            </w:r>
          </w:p>
        </w:tc>
      </w:tr>
    </w:tbl>
    <w:p w:rsidR="009B14AA" w:rsidRDefault="009B14AA" w:rsidP="009B14AA">
      <w:pPr>
        <w:pStyle w:val="Tablefin"/>
      </w:pPr>
    </w:p>
    <w:p w:rsidR="009B14AA" w:rsidRDefault="009B14AA" w:rsidP="009B14AA">
      <w:pPr>
        <w:pStyle w:val="Tablefin"/>
      </w:pPr>
    </w:p>
    <w:p w:rsidR="009B14AA" w:rsidRDefault="009B14AA" w:rsidP="00EA1F14">
      <w:pPr>
        <w:keepNext/>
        <w:rPr>
          <w:lang w:val="en-US"/>
        </w:rPr>
      </w:pPr>
      <w:r>
        <w:rPr>
          <w:lang w:val="en-US"/>
        </w:rPr>
        <w:t>Table 27 provides break points corresponding to the graph shown in Fig. </w:t>
      </w:r>
      <w:r w:rsidR="00EA1F14">
        <w:rPr>
          <w:lang w:val="en-US"/>
        </w:rPr>
        <w:t>39</w:t>
      </w:r>
      <w:r>
        <w:rPr>
          <w:lang w:val="en-US"/>
        </w:rPr>
        <w:t xml:space="preserve"> for 30 kHz channel bandwidth analogue cellular systems.</w:t>
      </w:r>
    </w:p>
    <w:p w:rsidR="009B14AA" w:rsidRDefault="009B14AA" w:rsidP="009B14AA">
      <w:pPr>
        <w:pStyle w:val="Tablefin"/>
      </w:pPr>
    </w:p>
    <w:p w:rsidR="009B14AA" w:rsidRPr="00C813CD" w:rsidRDefault="009B14AA" w:rsidP="00EA1F14">
      <w:pPr>
        <w:pStyle w:val="FigureNo"/>
        <w:rPr>
          <w:lang w:val="en-US"/>
        </w:rPr>
      </w:pPr>
      <w:r w:rsidRPr="00C813CD">
        <w:rPr>
          <w:lang w:val="en-US"/>
        </w:rPr>
        <w:t xml:space="preserve">FIGURE </w:t>
      </w:r>
      <w:r w:rsidR="00EA1F14">
        <w:rPr>
          <w:lang w:val="en-US"/>
        </w:rPr>
        <w:t>39</w:t>
      </w:r>
    </w:p>
    <w:p w:rsidR="009B14AA" w:rsidRPr="00C813CD" w:rsidRDefault="009B14AA" w:rsidP="009B14AA">
      <w:pPr>
        <w:pStyle w:val="Figuretitle"/>
        <w:rPr>
          <w:lang w:val="en-US"/>
        </w:rPr>
      </w:pPr>
      <w:r w:rsidRPr="00C813CD">
        <w:rPr>
          <w:lang w:val="en-US"/>
        </w:rPr>
        <w:t>OoB mask for 30 kHz channel bandwidth analogue cellular systems</w:t>
      </w:r>
    </w:p>
    <w:p w:rsidR="009B14AA" w:rsidRPr="00976F5D" w:rsidRDefault="00EA1F14" w:rsidP="009B14AA">
      <w:pPr>
        <w:pStyle w:val="Figure"/>
      </w:pPr>
      <w:r>
        <w:rPr>
          <w:noProof/>
          <w:lang w:val="en-US" w:eastAsia="zh-CN"/>
        </w:rPr>
        <w:object w:dxaOrig="8198" w:dyaOrig="3387">
          <v:shape id="_x0000_i1116" type="#_x0000_t75" style="width:302.4pt;height:124.6pt;mso-position-vertical:absolute" o:ole="">
            <v:imagedata r:id="rId188" o:title=""/>
          </v:shape>
          <o:OLEObject Type="Embed" ProgID="CorelDRAW.Graphic.14" ShapeID="_x0000_i1116" DrawAspect="Content" ObjectID="_1392698848" r:id="rId189"/>
        </w:object>
      </w:r>
    </w:p>
    <w:p w:rsidR="009B14AA" w:rsidRDefault="009B14AA" w:rsidP="009B14AA">
      <w:pPr>
        <w:pStyle w:val="Tablefin"/>
      </w:pPr>
    </w:p>
    <w:p w:rsidR="009B14AA" w:rsidRDefault="009B14AA" w:rsidP="009B14AA"/>
    <w:p w:rsidR="009B14AA" w:rsidRDefault="009B14AA" w:rsidP="009B14AA"/>
    <w:p w:rsidR="009B14AA" w:rsidRDefault="009B14AA" w:rsidP="009B14AA">
      <w:pPr>
        <w:pStyle w:val="TableNo"/>
        <w:rPr>
          <w:lang w:val="en-US"/>
        </w:rPr>
      </w:pPr>
      <w:r>
        <w:rPr>
          <w:lang w:val="en-US"/>
        </w:rPr>
        <w:t>TABLE  27</w:t>
      </w:r>
    </w:p>
    <w:p w:rsidR="009B14AA" w:rsidRDefault="009B14AA" w:rsidP="009B14AA">
      <w:pPr>
        <w:pStyle w:val="Tabletitle"/>
        <w:rPr>
          <w:lang w:val="en-US"/>
        </w:rPr>
      </w:pPr>
      <w:r>
        <w:rPr>
          <w:lang w:val="en-US"/>
        </w:rPr>
        <w:t>Break points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536"/>
        <w:gridCol w:w="2454"/>
      </w:tblGrid>
      <w:tr w:rsidR="009B14AA" w:rsidTr="00E94C3B">
        <w:trPr>
          <w:jc w:val="center"/>
        </w:trPr>
        <w:tc>
          <w:tcPr>
            <w:tcW w:w="4536" w:type="dxa"/>
            <w:tcBorders>
              <w:top w:val="single" w:sz="4" w:space="0" w:color="auto"/>
              <w:left w:val="single" w:sz="6" w:space="0" w:color="auto"/>
              <w:bottom w:val="single" w:sz="6" w:space="0" w:color="auto"/>
            </w:tcBorders>
            <w:vAlign w:val="center"/>
          </w:tcPr>
          <w:p w:rsidR="009B14AA" w:rsidRDefault="009B14AA" w:rsidP="00E94C3B">
            <w:pPr>
              <w:pStyle w:val="Tablehead"/>
              <w:spacing w:before="60" w:after="60"/>
              <w:rPr>
                <w:lang w:val="en-US"/>
              </w:rPr>
            </w:pPr>
            <w:r>
              <w:rPr>
                <w:lang w:val="en-US"/>
              </w:rPr>
              <w:t>Frequency offset from the centre frequency (% of channel bandwidth)</w:t>
            </w:r>
          </w:p>
        </w:tc>
        <w:tc>
          <w:tcPr>
            <w:tcW w:w="2454" w:type="dxa"/>
            <w:tcBorders>
              <w:top w:val="single" w:sz="4" w:space="0" w:color="auto"/>
              <w:bottom w:val="single" w:sz="6" w:space="0" w:color="auto"/>
              <w:right w:val="single" w:sz="6" w:space="0" w:color="auto"/>
            </w:tcBorders>
            <w:vAlign w:val="center"/>
          </w:tcPr>
          <w:p w:rsidR="009B14AA" w:rsidRDefault="009B14AA" w:rsidP="00E94C3B">
            <w:pPr>
              <w:pStyle w:val="Tablehead"/>
              <w:spacing w:before="60" w:after="60"/>
              <w:rPr>
                <w:lang w:val="en-US"/>
              </w:rPr>
            </w:pPr>
            <w:r>
              <w:rPr>
                <w:lang w:val="en-US"/>
              </w:rPr>
              <w:t>Attenuation</w:t>
            </w:r>
            <w:r>
              <w:rPr>
                <w:lang w:val="en-US"/>
              </w:rPr>
              <w:br/>
              <w:t>(dBc)</w:t>
            </w:r>
          </w:p>
        </w:tc>
      </w:tr>
      <w:tr w:rsidR="009B14AA" w:rsidTr="00E94C3B">
        <w:trPr>
          <w:jc w:val="center"/>
        </w:trPr>
        <w:tc>
          <w:tcPr>
            <w:tcW w:w="4536" w:type="dxa"/>
            <w:tcBorders>
              <w:top w:val="single" w:sz="6" w:space="0" w:color="auto"/>
              <w:lef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67</w:t>
            </w:r>
          </w:p>
        </w:tc>
        <w:tc>
          <w:tcPr>
            <w:tcW w:w="2454" w:type="dxa"/>
            <w:tcBorders>
              <w:top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26</w:t>
            </w:r>
          </w:p>
        </w:tc>
      </w:tr>
      <w:tr w:rsidR="009B14AA" w:rsidTr="00E94C3B">
        <w:trPr>
          <w:jc w:val="center"/>
        </w:trPr>
        <w:tc>
          <w:tcPr>
            <w:tcW w:w="4536" w:type="dxa"/>
            <w:tcBorders>
              <w:lef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150</w:t>
            </w:r>
          </w:p>
        </w:tc>
        <w:tc>
          <w:tcPr>
            <w:tcW w:w="2454" w:type="dxa"/>
            <w:tcBorders>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26</w:t>
            </w:r>
          </w:p>
        </w:tc>
      </w:tr>
      <w:tr w:rsidR="009B14AA" w:rsidTr="00E94C3B">
        <w:trPr>
          <w:jc w:val="center"/>
        </w:trPr>
        <w:tc>
          <w:tcPr>
            <w:tcW w:w="4536" w:type="dxa"/>
            <w:tcBorders>
              <w:lef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150</w:t>
            </w:r>
          </w:p>
        </w:tc>
        <w:tc>
          <w:tcPr>
            <w:tcW w:w="2454" w:type="dxa"/>
            <w:tcBorders>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41</w:t>
            </w:r>
          </w:p>
        </w:tc>
      </w:tr>
      <w:tr w:rsidR="009B14AA" w:rsidTr="00E94C3B">
        <w:trPr>
          <w:jc w:val="center"/>
        </w:trPr>
        <w:tc>
          <w:tcPr>
            <w:tcW w:w="4536" w:type="dxa"/>
            <w:tcBorders>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250</w:t>
            </w:r>
          </w:p>
        </w:tc>
        <w:tc>
          <w:tcPr>
            <w:tcW w:w="2454" w:type="dxa"/>
            <w:tcBorders>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41</w:t>
            </w:r>
          </w:p>
        </w:tc>
      </w:tr>
    </w:tbl>
    <w:p w:rsidR="009B14AA" w:rsidRDefault="009B14AA" w:rsidP="009B14AA">
      <w:pPr>
        <w:pStyle w:val="Tablefin"/>
      </w:pPr>
    </w:p>
    <w:p w:rsidR="009B14AA" w:rsidRDefault="009B14AA" w:rsidP="009B14AA">
      <w:pPr>
        <w:pStyle w:val="AnnexNoTitle"/>
        <w:rPr>
          <w:lang w:val="en-US"/>
        </w:rPr>
      </w:pPr>
      <w:r>
        <w:rPr>
          <w:lang w:val="en-US"/>
        </w:rPr>
        <w:lastRenderedPageBreak/>
        <w:t>Annex  11</w:t>
      </w:r>
      <w:r>
        <w:rPr>
          <w:lang w:val="en-US"/>
        </w:rPr>
        <w:br/>
      </w:r>
      <w:r>
        <w:rPr>
          <w:lang w:val="en-US"/>
        </w:rPr>
        <w:br/>
        <w:t>OoB domain emission limits for aeronautical-mobile</w:t>
      </w:r>
      <w:r>
        <w:rPr>
          <w:lang w:val="en-US"/>
        </w:rPr>
        <w:br/>
        <w:t>and maritime-mobile services</w:t>
      </w:r>
    </w:p>
    <w:p w:rsidR="009B14AA" w:rsidRDefault="009B14AA" w:rsidP="009B14AA">
      <w:pPr>
        <w:pStyle w:val="Normalaftertitle"/>
        <w:rPr>
          <w:lang w:val="en-US"/>
        </w:rPr>
      </w:pPr>
      <w:r>
        <w:rPr>
          <w:lang w:val="en-US"/>
        </w:rPr>
        <w:t>These emission masks are specified in terms of power in a reference bandwidth relative to the total carrier power (dBc). OoB domain emissions are specified in a bandwidth of 4 kHz, except for those from single-sideband and aeronautical transmitters. Single-sideband emissions are specified in a narrower bandwidth and aeronautical telemetry emissions are specified in terms of the specific spectrum analyser settings: 10 kHz resolution bandwidth, 1 kHz video bandwidth and max hold. The boundary between the OoB and spurious domains for these emission masks is 250% of the necessary bandwidth, in agreement with RR Appendix </w:t>
      </w:r>
      <w:r>
        <w:rPr>
          <w:bCs/>
          <w:lang w:val="en-US"/>
        </w:rPr>
        <w:t>3</w:t>
      </w:r>
      <w:r>
        <w:rPr>
          <w:lang w:val="en-US"/>
        </w:rPr>
        <w:t>.</w:t>
      </w:r>
    </w:p>
    <w:p w:rsidR="009B14AA" w:rsidRDefault="009B14AA" w:rsidP="009B14AA">
      <w:pPr>
        <w:pStyle w:val="Heading1"/>
        <w:rPr>
          <w:lang w:val="en-US"/>
        </w:rPr>
      </w:pPr>
      <w:r>
        <w:rPr>
          <w:lang w:val="en-US"/>
        </w:rPr>
        <w:t>1</w:t>
      </w:r>
      <w:r>
        <w:rPr>
          <w:lang w:val="en-US"/>
        </w:rPr>
        <w:tab/>
        <w:t>Aeronautical telemetry</w:t>
      </w:r>
    </w:p>
    <w:p w:rsidR="009B14AA" w:rsidRDefault="009B14AA" w:rsidP="009B14AA">
      <w:pPr>
        <w:rPr>
          <w:lang w:val="en-US"/>
        </w:rPr>
      </w:pPr>
      <w:r>
        <w:rPr>
          <w:lang w:val="en-US"/>
        </w:rPr>
        <w:t>For aeronautical telemetry transmitters, the limits of any emission in the OoB domain (50% to 250%) relative to the mean power of the transmitter, are:</w:t>
      </w:r>
    </w:p>
    <w:p w:rsidR="009B14AA" w:rsidRDefault="009B14AA" w:rsidP="009B14AA">
      <w:pPr>
        <w:pStyle w:val="Blanc"/>
      </w:pPr>
    </w:p>
    <w:p w:rsidR="009B14AA" w:rsidRDefault="009B14AA" w:rsidP="009B14AA">
      <w:pPr>
        <w:pStyle w:val="Equation"/>
        <w:rPr>
          <w:lang w:val="fr-CH"/>
        </w:rPr>
      </w:pPr>
      <w:r>
        <w:rPr>
          <w:lang w:val="en-US"/>
        </w:rPr>
        <w:tab/>
      </w:r>
      <w:r>
        <w:rPr>
          <w:lang w:val="en-US"/>
        </w:rPr>
        <w:tab/>
      </w:r>
      <w:r>
        <w:rPr>
          <w:lang w:val="fr-CH"/>
        </w:rPr>
        <w:t>– (55 </w:t>
      </w:r>
      <w:r>
        <w:rPr>
          <w:rFonts w:ascii="Symbol" w:hAnsi="Symbol"/>
          <w:lang w:val="fr-CH"/>
        </w:rPr>
        <w:t></w:t>
      </w:r>
      <w:r>
        <w:rPr>
          <w:lang w:val="fr-CH"/>
        </w:rPr>
        <w:t> 10 log </w:t>
      </w:r>
      <w:r>
        <w:rPr>
          <w:i/>
          <w:lang w:val="fr-CH"/>
        </w:rPr>
        <w:t>P</w:t>
      </w:r>
      <w:r>
        <w:rPr>
          <w:iCs/>
          <w:lang w:val="fr-CH"/>
        </w:rPr>
        <w:t>)</w:t>
      </w:r>
    </w:p>
    <w:p w:rsidR="009B14AA" w:rsidRDefault="009B14AA" w:rsidP="009B14AA">
      <w:pPr>
        <w:rPr>
          <w:lang w:val="fr-CH"/>
        </w:rPr>
      </w:pPr>
      <w:r>
        <w:rPr>
          <w:lang w:val="fr-CH"/>
        </w:rPr>
        <w:t>or</w:t>
      </w:r>
    </w:p>
    <w:p w:rsidR="009B14AA" w:rsidRDefault="009B14AA" w:rsidP="009B14AA">
      <w:pPr>
        <w:pStyle w:val="Blanc"/>
      </w:pPr>
    </w:p>
    <w:p w:rsidR="009B14AA" w:rsidRDefault="009B14AA" w:rsidP="009B14AA">
      <w:pPr>
        <w:pStyle w:val="Equation"/>
      </w:pPr>
      <w:r>
        <w:tab/>
      </w:r>
      <w:r>
        <w:tab/>
      </w:r>
      <w:r w:rsidRPr="00AC23B9">
        <w:rPr>
          <w:position w:val="-24"/>
          <w:lang w:val="fr-CH"/>
        </w:rPr>
        <w:object w:dxaOrig="5460" w:dyaOrig="620">
          <v:shape id="_x0000_i1090" type="#_x0000_t75" style="width:272.95pt;height:31.3pt" o:ole="" fillcolor="window">
            <v:imagedata r:id="rId190" o:title=""/>
          </v:shape>
          <o:OLEObject Type="Embed" ProgID="Equation.3" ShapeID="_x0000_i1090" DrawAspect="Content" ObjectID="_1392698849" r:id="rId191"/>
        </w:object>
      </w:r>
    </w:p>
    <w:p w:rsidR="009B14AA" w:rsidRDefault="009B14AA" w:rsidP="009B14AA">
      <w:pPr>
        <w:pStyle w:val="Blanc"/>
      </w:pPr>
    </w:p>
    <w:p w:rsidR="009B14AA" w:rsidRDefault="009B14AA" w:rsidP="009B14AA">
      <w:pPr>
        <w:rPr>
          <w:lang w:val="en-US"/>
        </w:rPr>
      </w:pPr>
      <w:r>
        <w:rPr>
          <w:lang w:val="en-US"/>
        </w:rPr>
        <w:t>where:</w:t>
      </w:r>
    </w:p>
    <w:p w:rsidR="009B14AA" w:rsidRDefault="009B14AA" w:rsidP="009B14AA">
      <w:pPr>
        <w:pStyle w:val="Equationlegend"/>
      </w:pPr>
      <w:r>
        <w:rPr>
          <w:i/>
        </w:rPr>
        <w:tab/>
      </w:r>
      <w:r>
        <w:rPr>
          <w:i/>
          <w:iCs/>
        </w:rPr>
        <w:t>K </w:t>
      </w:r>
      <w:r>
        <w:rPr>
          <w:rFonts w:ascii="Symbol" w:hAnsi="Symbol"/>
        </w:rPr>
        <w:t></w:t>
      </w:r>
      <w:r>
        <w:tab/>
        <w:t>–20, for analogue signals</w:t>
      </w:r>
    </w:p>
    <w:p w:rsidR="009B14AA" w:rsidRDefault="009B14AA" w:rsidP="009B14AA">
      <w:pPr>
        <w:pStyle w:val="Equationlegend"/>
      </w:pPr>
      <w:r>
        <w:tab/>
      </w:r>
      <w:r>
        <w:rPr>
          <w:i/>
          <w:iCs/>
        </w:rPr>
        <w:t>K </w:t>
      </w:r>
      <w:r>
        <w:rPr>
          <w:rFonts w:ascii="Symbol" w:hAnsi="Symbol"/>
        </w:rPr>
        <w:t></w:t>
      </w:r>
      <w:r>
        <w:tab/>
        <w:t>–28, for binary signals</w:t>
      </w:r>
    </w:p>
    <w:p w:rsidR="009B14AA" w:rsidRDefault="009B14AA" w:rsidP="009B14AA">
      <w:pPr>
        <w:pStyle w:val="Equationlegend"/>
      </w:pPr>
      <w:r>
        <w:tab/>
      </w:r>
      <w:r>
        <w:rPr>
          <w:i/>
          <w:iCs/>
        </w:rPr>
        <w:t>K </w:t>
      </w:r>
      <w:r>
        <w:rPr>
          <w:rFonts w:ascii="Symbol" w:hAnsi="Symbol"/>
        </w:rPr>
        <w:t></w:t>
      </w:r>
      <w:r>
        <w:tab/>
        <w:t>–63, for quaternary signals (e.g. FQPSK-B)</w:t>
      </w:r>
    </w:p>
    <w:p w:rsidR="009B14AA" w:rsidRDefault="009B14AA" w:rsidP="009B14AA">
      <w:pPr>
        <w:pStyle w:val="Equationlegend"/>
      </w:pPr>
      <w:r>
        <w:rPr>
          <w:i/>
        </w:rPr>
        <w:tab/>
        <w:t>f</w:t>
      </w:r>
      <w:r w:rsidRPr="00F67ECF">
        <w:rPr>
          <w:i/>
          <w:vertAlign w:val="subscript"/>
        </w:rPr>
        <w:t>c</w:t>
      </w:r>
      <w:r>
        <w:rPr>
          <w:rFonts w:ascii="Tms Rmn" w:hAnsi="Tms Rmn"/>
          <w:sz w:val="12"/>
        </w:rPr>
        <w:t> </w:t>
      </w:r>
      <w:r>
        <w:t>:</w:t>
      </w:r>
      <w:r>
        <w:tab/>
        <w:t>transmitter centre frequency (MHz)</w:t>
      </w:r>
    </w:p>
    <w:p w:rsidR="009B14AA" w:rsidRDefault="009B14AA" w:rsidP="009B14AA">
      <w:pPr>
        <w:pStyle w:val="Equationlegend"/>
        <w:jc w:val="left"/>
      </w:pPr>
      <w:r>
        <w:rPr>
          <w:i/>
        </w:rPr>
        <w:tab/>
      </w:r>
      <w:r>
        <w:rPr>
          <w:i/>
          <w:iCs/>
        </w:rPr>
        <w:t>R</w:t>
      </w:r>
      <w:r>
        <w:rPr>
          <w:rFonts w:ascii="Tms Rmn" w:hAnsi="Tms Rmn"/>
          <w:sz w:val="12"/>
        </w:rPr>
        <w:t> </w:t>
      </w:r>
      <w:r>
        <w:t>:</w:t>
      </w:r>
      <w:r>
        <w:tab/>
        <w:t>bit rate (Mbit/s)</w:t>
      </w:r>
      <w:r>
        <w:fldChar w:fldCharType="begin"/>
      </w:r>
      <w:r>
        <w:instrText>ADVANCE \L 6.95</w:instrText>
      </w:r>
      <w:r>
        <w:fldChar w:fldCharType="end"/>
      </w:r>
      <w:r>
        <w:t xml:space="preserve">   for digital signals or</w:t>
      </w:r>
      <w:r>
        <w:br/>
      </w:r>
      <w:r w:rsidRPr="00AC23B9">
        <w:rPr>
          <w:position w:val="-12"/>
        </w:rPr>
        <w:object w:dxaOrig="1219" w:dyaOrig="360">
          <v:shape id="_x0000_i1091" type="#_x0000_t75" style="width:60.75pt;height:18.15pt" o:ole="" fillcolor="window">
            <v:imagedata r:id="rId192" o:title=""/>
          </v:shape>
          <o:OLEObject Type="Embed" ProgID="Equation.3" ShapeID="_x0000_i1091" DrawAspect="Content" ObjectID="_1392698850" r:id="rId193"/>
        </w:object>
      </w:r>
      <w:r>
        <w:t>(MHz) for analogue FM signals</w:t>
      </w:r>
    </w:p>
    <w:p w:rsidR="009B14AA" w:rsidRDefault="009B14AA" w:rsidP="009B14AA">
      <w:pPr>
        <w:pStyle w:val="Equationlegend"/>
      </w:pPr>
      <w:r>
        <w:tab/>
      </w:r>
      <w:r>
        <w:rPr>
          <w:i/>
          <w:iCs/>
        </w:rPr>
        <w:t>m</w:t>
      </w:r>
      <w:r>
        <w:rPr>
          <w:rFonts w:ascii="Tms Rmn" w:hAnsi="Tms Rmn"/>
          <w:sz w:val="12"/>
        </w:rPr>
        <w:t> </w:t>
      </w:r>
      <w:r>
        <w:t>:</w:t>
      </w:r>
      <w:r>
        <w:tab/>
        <w:t>number of states in modulating signal</w:t>
      </w:r>
    </w:p>
    <w:p w:rsidR="009B14AA" w:rsidRDefault="009B14AA" w:rsidP="009B14AA">
      <w:pPr>
        <w:pStyle w:val="Equationlegend"/>
      </w:pPr>
      <w:r>
        <w:tab/>
      </w:r>
      <w:r>
        <w:tab/>
      </w:r>
      <w:r>
        <w:rPr>
          <w:i/>
          <w:iCs/>
        </w:rPr>
        <w:t xml:space="preserve">m </w:t>
      </w:r>
      <w:r>
        <w:rPr>
          <w:rFonts w:ascii="Symbol" w:hAnsi="Symbol"/>
        </w:rPr>
        <w:t></w:t>
      </w:r>
      <w:r>
        <w:t xml:space="preserve">  2, for binary signals </w:t>
      </w:r>
    </w:p>
    <w:p w:rsidR="009B14AA" w:rsidRDefault="009B14AA" w:rsidP="009B14AA">
      <w:pPr>
        <w:pStyle w:val="Equationlegend"/>
      </w:pPr>
      <w:r>
        <w:tab/>
      </w:r>
      <w:r>
        <w:tab/>
      </w:r>
      <w:r>
        <w:rPr>
          <w:i/>
          <w:iCs/>
        </w:rPr>
        <w:t xml:space="preserve">m </w:t>
      </w:r>
      <w:r>
        <w:rPr>
          <w:rFonts w:ascii="Symbol" w:hAnsi="Symbol"/>
        </w:rPr>
        <w:t></w:t>
      </w:r>
      <w:r>
        <w:t xml:space="preserve">  4, for quaternary signals and analogue signals</w:t>
      </w:r>
    </w:p>
    <w:p w:rsidR="009B14AA" w:rsidRDefault="009B14AA" w:rsidP="009B14AA">
      <w:pPr>
        <w:pStyle w:val="Equationlegend"/>
      </w:pPr>
      <w:r>
        <w:tab/>
      </w:r>
      <w:r w:rsidRPr="00AC23B9">
        <w:rPr>
          <w:position w:val="-4"/>
        </w:rPr>
        <w:object w:dxaOrig="220" w:dyaOrig="260">
          <v:shape id="_x0000_i1092" type="#_x0000_t75" style="width:11.25pt;height:13.75pt" o:ole="">
            <v:imagedata r:id="rId194" o:title=""/>
          </v:shape>
          <o:OLEObject Type="Embed" ProgID="Equation.3" ShapeID="_x0000_i1092" DrawAspect="Content" ObjectID="_1392698851" r:id="rId195"/>
        </w:object>
      </w:r>
      <w:r>
        <w:rPr>
          <w:i/>
          <w:iCs/>
        </w:rPr>
        <w:t>f</w:t>
      </w:r>
      <w:r>
        <w:rPr>
          <w:rFonts w:ascii="Tms Rmn" w:hAnsi="Tms Rmn"/>
          <w:sz w:val="12"/>
        </w:rPr>
        <w:t> </w:t>
      </w:r>
      <w:r>
        <w:t>:</w:t>
      </w:r>
      <w:r>
        <w:tab/>
        <w:t>peak deviation</w:t>
      </w:r>
    </w:p>
    <w:p w:rsidR="009B14AA" w:rsidRDefault="009B14AA" w:rsidP="009B14AA">
      <w:pPr>
        <w:pStyle w:val="Equationlegend"/>
      </w:pPr>
      <w:r>
        <w:tab/>
      </w:r>
      <w:r>
        <w:rPr>
          <w:i/>
          <w:iCs/>
        </w:rPr>
        <w:t>f</w:t>
      </w:r>
      <w:r w:rsidRPr="00F67ECF">
        <w:rPr>
          <w:i/>
          <w:iCs/>
          <w:vertAlign w:val="subscript"/>
        </w:rPr>
        <w:t>max</w:t>
      </w:r>
      <w:r>
        <w:rPr>
          <w:rFonts w:ascii="Tms Rmn" w:hAnsi="Tms Rmn"/>
          <w:sz w:val="12"/>
          <w:vertAlign w:val="subscript"/>
        </w:rPr>
        <w:t> </w:t>
      </w:r>
      <w:r>
        <w:t>:</w:t>
      </w:r>
      <w:r>
        <w:tab/>
        <w:t>maximum modulation frequency</w:t>
      </w:r>
    </w:p>
    <w:p w:rsidR="009B14AA" w:rsidRDefault="009B14AA" w:rsidP="009B14AA">
      <w:pPr>
        <w:rPr>
          <w:lang w:val="en-US"/>
        </w:rPr>
      </w:pPr>
      <w:r>
        <w:rPr>
          <w:lang w:val="en-US"/>
        </w:rPr>
        <w:t>whichever is less restrictive.</w:t>
      </w:r>
    </w:p>
    <w:p w:rsidR="009B14AA" w:rsidRDefault="009B14AA" w:rsidP="002B71DF">
      <w:pPr>
        <w:rPr>
          <w:lang w:val="en-US"/>
        </w:rPr>
      </w:pPr>
      <w:r>
        <w:rPr>
          <w:lang w:val="en-US"/>
        </w:rPr>
        <w:t>Figure 4</w:t>
      </w:r>
      <w:r w:rsidR="002B71DF">
        <w:rPr>
          <w:lang w:val="en-US"/>
        </w:rPr>
        <w:t>0</w:t>
      </w:r>
      <w:r>
        <w:rPr>
          <w:lang w:val="en-US"/>
        </w:rPr>
        <w:t xml:space="preserve"> shows examples of OoB masks for aeronautical telemetry, specified in terms of dBc. The occupied bandwidths used in generating Fig. 4</w:t>
      </w:r>
      <w:r w:rsidR="002B71DF">
        <w:rPr>
          <w:lang w:val="en-US"/>
        </w:rPr>
        <w:t>0</w:t>
      </w:r>
      <w:r>
        <w:rPr>
          <w:lang w:val="en-US"/>
        </w:rPr>
        <w:t xml:space="preserve"> were 1.16 times the bit rate for binary signals and 0.78 times the bit rate for quaternary signals. Additional parameters used in Fig. 4</w:t>
      </w:r>
      <w:r w:rsidR="002B71DF">
        <w:rPr>
          <w:lang w:val="en-US"/>
        </w:rPr>
        <w:t>0</w:t>
      </w:r>
      <w:r>
        <w:rPr>
          <w:lang w:val="en-US"/>
        </w:rPr>
        <w:t xml:space="preserve"> were power, </w:t>
      </w:r>
      <w:r>
        <w:rPr>
          <w:i/>
          <w:iCs/>
          <w:lang w:val="en-US"/>
        </w:rPr>
        <w:t>P</w:t>
      </w:r>
      <w:r>
        <w:rPr>
          <w:lang w:val="en-US"/>
        </w:rPr>
        <w:t xml:space="preserve">, of 10 W and bit rate, </w:t>
      </w:r>
      <w:r>
        <w:rPr>
          <w:i/>
          <w:iCs/>
          <w:lang w:val="en-US"/>
        </w:rPr>
        <w:t>R</w:t>
      </w:r>
      <w:r>
        <w:rPr>
          <w:lang w:val="en-US"/>
        </w:rPr>
        <w:t>, of 5 Mbit/s. These values vary from system to system and the resulting emission masks vary according to the equation presented above. The emission masks roll off at 100 dB/decade.</w:t>
      </w:r>
    </w:p>
    <w:p w:rsidR="009B14AA" w:rsidRPr="00C813CD" w:rsidRDefault="002B71DF" w:rsidP="009B14AA">
      <w:pPr>
        <w:pStyle w:val="FigureNo"/>
        <w:rPr>
          <w:lang w:val="en-US"/>
        </w:rPr>
      </w:pPr>
      <w:r>
        <w:rPr>
          <w:lang w:val="en-US"/>
        </w:rPr>
        <w:lastRenderedPageBreak/>
        <w:t>FIGURE 40</w:t>
      </w:r>
    </w:p>
    <w:p w:rsidR="009B14AA" w:rsidRPr="00C813CD" w:rsidRDefault="009B14AA" w:rsidP="009B14AA">
      <w:pPr>
        <w:pStyle w:val="Figuretitle"/>
        <w:rPr>
          <w:lang w:val="en-US"/>
        </w:rPr>
      </w:pPr>
      <w:r w:rsidRPr="00C813CD">
        <w:rPr>
          <w:lang w:val="en-US"/>
        </w:rPr>
        <w:t>Examples of out-of-band masks for aeronautical telemetry</w:t>
      </w:r>
    </w:p>
    <w:p w:rsidR="009B14AA" w:rsidRPr="00976F5D" w:rsidRDefault="002B71DF" w:rsidP="009B14AA">
      <w:pPr>
        <w:pStyle w:val="Figure"/>
      </w:pPr>
      <w:r>
        <w:rPr>
          <w:noProof/>
          <w:lang w:val="en-US" w:eastAsia="zh-CN"/>
        </w:rPr>
        <w:object w:dxaOrig="7122" w:dyaOrig="4132">
          <v:shape id="_x0000_i1118" type="#_x0000_t75" style="width:263.6pt;height:153.4pt" o:ole="">
            <v:imagedata r:id="rId196" o:title=""/>
          </v:shape>
          <o:OLEObject Type="Embed" ProgID="CorelDRAW.Graphic.14" ShapeID="_x0000_i1118" DrawAspect="Content" ObjectID="_1392698852" r:id="rId197"/>
        </w:object>
      </w:r>
    </w:p>
    <w:p w:rsidR="009B14AA" w:rsidRDefault="009B14AA" w:rsidP="009B14AA">
      <w:pPr>
        <w:rPr>
          <w:lang w:val="en-US"/>
        </w:rPr>
      </w:pPr>
    </w:p>
    <w:p w:rsidR="009B14AA" w:rsidRDefault="009B14AA" w:rsidP="009B14AA">
      <w:pPr>
        <w:pStyle w:val="Heading1"/>
        <w:rPr>
          <w:lang w:val="en-US"/>
        </w:rPr>
      </w:pPr>
      <w:r>
        <w:rPr>
          <w:lang w:val="en-US"/>
        </w:rPr>
        <w:t>2</w:t>
      </w:r>
      <w:r>
        <w:rPr>
          <w:lang w:val="en-US"/>
        </w:rPr>
        <w:tab/>
        <w:t>Other aeronautical-mobile and maritime-mobile transmitters</w:t>
      </w:r>
    </w:p>
    <w:p w:rsidR="009B14AA" w:rsidRDefault="009B14AA" w:rsidP="009B14AA">
      <w:pPr>
        <w:keepNext/>
        <w:rPr>
          <w:lang w:val="en-US"/>
        </w:rPr>
      </w:pPr>
      <w:r>
        <w:rPr>
          <w:lang w:val="en-US"/>
        </w:rPr>
        <w:t>For aeronautical-mobile and maritime-mobile transmitters other than aeronautical telemetry and exempted systems, the required attenuation of the mean power of any emission in the OoB domain, relative to the mean power of the transmitter, is:</w:t>
      </w:r>
    </w:p>
    <w:p w:rsidR="009B14AA" w:rsidRPr="00C813CD" w:rsidRDefault="009B14AA" w:rsidP="009B14AA">
      <w:pPr>
        <w:pStyle w:val="Header"/>
        <w:keepNext/>
        <w:tabs>
          <w:tab w:val="clear" w:pos="4848"/>
          <w:tab w:val="clear" w:pos="9696"/>
          <w:tab w:val="left" w:pos="794"/>
          <w:tab w:val="left" w:pos="1191"/>
          <w:tab w:val="left" w:pos="1588"/>
          <w:tab w:val="left" w:pos="1985"/>
        </w:tabs>
        <w:spacing w:before="120"/>
        <w:rPr>
          <w:lang w:val="en-US"/>
        </w:rPr>
      </w:pPr>
      <w:r w:rsidRPr="00C813CD">
        <w:rPr>
          <w:lang w:val="en-US"/>
        </w:rPr>
        <w:t>50-150%</w:t>
      </w:r>
      <w:r w:rsidRPr="00C813CD">
        <w:rPr>
          <w:lang w:val="en-US"/>
        </w:rPr>
        <w:tab/>
      </w:r>
      <w:r w:rsidRPr="00C813CD">
        <w:rPr>
          <w:lang w:val="en-US"/>
        </w:rPr>
        <w:tab/>
        <w:t>25 dBc</w:t>
      </w:r>
    </w:p>
    <w:p w:rsidR="009B14AA" w:rsidRPr="00C813CD" w:rsidRDefault="009B14AA" w:rsidP="009B14AA">
      <w:pPr>
        <w:jc w:val="center"/>
        <w:rPr>
          <w:lang w:val="en-US"/>
        </w:rPr>
      </w:pPr>
      <w:r w:rsidRPr="00C813CD">
        <w:rPr>
          <w:lang w:val="en-US"/>
        </w:rPr>
        <w:t>150-250%</w:t>
      </w:r>
      <w:r w:rsidRPr="00C813CD">
        <w:rPr>
          <w:lang w:val="en-US"/>
        </w:rPr>
        <w:tab/>
      </w:r>
      <w:r w:rsidRPr="00C813CD">
        <w:rPr>
          <w:lang w:val="en-US"/>
        </w:rPr>
        <w:tab/>
        <w:t>35 dBc</w:t>
      </w:r>
    </w:p>
    <w:p w:rsidR="009B14AA" w:rsidRDefault="009B14AA" w:rsidP="009B14AA">
      <w:pPr>
        <w:rPr>
          <w:lang w:val="en-US"/>
        </w:rPr>
      </w:pPr>
    </w:p>
    <w:p w:rsidR="009B14AA" w:rsidRDefault="009B14AA" w:rsidP="009B14AA">
      <w:pPr>
        <w:rPr>
          <w:lang w:val="en-US"/>
        </w:rPr>
      </w:pPr>
    </w:p>
    <w:p w:rsidR="009B14AA" w:rsidRPr="00C813CD" w:rsidRDefault="002B71DF" w:rsidP="009B14AA">
      <w:pPr>
        <w:pStyle w:val="FigureNo"/>
        <w:rPr>
          <w:lang w:val="en-US"/>
        </w:rPr>
      </w:pPr>
      <w:r>
        <w:rPr>
          <w:lang w:val="en-US"/>
        </w:rPr>
        <w:t>FIGURE 41</w:t>
      </w:r>
    </w:p>
    <w:p w:rsidR="009B14AA" w:rsidRPr="00C813CD" w:rsidRDefault="009B14AA" w:rsidP="009B14AA">
      <w:pPr>
        <w:pStyle w:val="Figuretitle"/>
        <w:rPr>
          <w:lang w:val="en-US"/>
        </w:rPr>
      </w:pPr>
      <w:r w:rsidRPr="00C813CD">
        <w:rPr>
          <w:lang w:val="en-US"/>
        </w:rPr>
        <w:t>OoB mask for aeronautical and maritime mobile</w:t>
      </w:r>
    </w:p>
    <w:p w:rsidR="009B14AA" w:rsidRPr="00976F5D" w:rsidRDefault="002B71DF" w:rsidP="009B14AA">
      <w:pPr>
        <w:pStyle w:val="Figure"/>
      </w:pPr>
      <w:r>
        <w:rPr>
          <w:noProof/>
          <w:lang w:val="en-US" w:eastAsia="zh-CN"/>
        </w:rPr>
        <w:object w:dxaOrig="8197" w:dyaOrig="4548">
          <v:shape id="_x0000_i1120" type="#_x0000_t75" style="width:301.75pt;height:167.15pt" o:ole="">
            <v:imagedata r:id="rId198" o:title=""/>
          </v:shape>
          <o:OLEObject Type="Embed" ProgID="CorelDRAW.Graphic.14" ShapeID="_x0000_i1120" DrawAspect="Content" ObjectID="_1392698853" r:id="rId199"/>
        </w:object>
      </w:r>
    </w:p>
    <w:p w:rsidR="009B14AA" w:rsidRDefault="009B14AA" w:rsidP="009B14AA"/>
    <w:p w:rsidR="009B14AA" w:rsidRDefault="009B14AA" w:rsidP="009B14AA">
      <w:pPr>
        <w:pStyle w:val="AnnexNoTitle"/>
        <w:rPr>
          <w:lang w:val="en-US"/>
        </w:rPr>
      </w:pPr>
      <w:r>
        <w:rPr>
          <w:lang w:val="en-US"/>
        </w:rPr>
        <w:lastRenderedPageBreak/>
        <w:t>Annex  12</w:t>
      </w:r>
      <w:r>
        <w:rPr>
          <w:lang w:val="en-US"/>
        </w:rPr>
        <w:br/>
      </w:r>
      <w:r>
        <w:rPr>
          <w:lang w:val="en-US"/>
        </w:rPr>
        <w:br/>
        <w:t>OoB domain emission limits for the fixed service</w:t>
      </w:r>
    </w:p>
    <w:p w:rsidR="009B14AA" w:rsidRDefault="009B14AA" w:rsidP="009B14AA">
      <w:pPr>
        <w:pStyle w:val="Normalaftertitle"/>
        <w:spacing w:line="280" w:lineRule="exact"/>
        <w:rPr>
          <w:lang w:val="en-US"/>
        </w:rPr>
      </w:pPr>
      <w:r>
        <w:rPr>
          <w:lang w:val="en-US"/>
        </w:rPr>
        <w:t xml:space="preserve">Recommendation ITU-R F.1191 requires that, for digital radio relay systems, operating on a specific radio-frequency channel arrangement, the frequency boundaries between spurious and OoB domains are </w:t>
      </w:r>
      <w:r>
        <w:rPr>
          <w:lang w:val="fr-CH"/>
        </w:rPr>
        <w:sym w:font="Symbol" w:char="F0B1"/>
      </w:r>
      <w:r>
        <w:rPr>
          <w:rFonts w:ascii="Tms Rmn" w:hAnsi="Tms Rmn"/>
          <w:sz w:val="4"/>
          <w:lang w:val="en-US"/>
        </w:rPr>
        <w:t> </w:t>
      </w:r>
      <w:r>
        <w:rPr>
          <w:lang w:val="en-US"/>
        </w:rPr>
        <w:t xml:space="preserve">250% of the relevant channel separation (CS). Therefore, for the purpose of this Recommendation, the OoB domain emission limits of analogue and digital fixed service systems are defined, whenever applicable, up to the </w:t>
      </w:r>
      <w:r>
        <w:rPr>
          <w:lang w:val="fr-CH"/>
        </w:rPr>
        <w:sym w:font="Symbol" w:char="F0B1"/>
      </w:r>
      <w:r>
        <w:rPr>
          <w:rFonts w:ascii="Tms Rmn" w:hAnsi="Tms Rmn"/>
          <w:sz w:val="4"/>
          <w:lang w:val="en-US"/>
        </w:rPr>
        <w:t> </w:t>
      </w:r>
      <w:r>
        <w:rPr>
          <w:lang w:val="en-US"/>
        </w:rPr>
        <w:t>250% of the relevant CS of the radio</w:t>
      </w:r>
      <w:r>
        <w:rPr>
          <w:lang w:val="en-US"/>
        </w:rPr>
        <w:noBreakHyphen/>
        <w:t>frequency channel arrangement where the system is to be placed.</w:t>
      </w:r>
    </w:p>
    <w:p w:rsidR="009B14AA" w:rsidRDefault="009B14AA" w:rsidP="009B14AA">
      <w:pPr>
        <w:rPr>
          <w:lang w:val="en-US"/>
        </w:rPr>
      </w:pPr>
      <w:r>
        <w:rPr>
          <w:lang w:val="en-US"/>
        </w:rPr>
        <w:t xml:space="preserve">According to Recommendation ITU-R F.1191, the CS is taken as </w:t>
      </w:r>
      <w:r>
        <w:rPr>
          <w:i/>
          <w:lang w:val="en-US"/>
        </w:rPr>
        <w:t>XS</w:t>
      </w:r>
      <w:r>
        <w:rPr>
          <w:lang w:val="en-US"/>
        </w:rPr>
        <w:t xml:space="preserve">/2 for alternated frequency channel arrangements and </w:t>
      </w:r>
      <w:r>
        <w:rPr>
          <w:i/>
          <w:lang w:val="en-US"/>
        </w:rPr>
        <w:t>XS</w:t>
      </w:r>
      <w:r>
        <w:rPr>
          <w:lang w:val="en-US"/>
        </w:rPr>
        <w:t xml:space="preserve"> for co-channel and interleaved frequency channel arrangements as defined by Recommendation ITU-R F.746.</w:t>
      </w:r>
    </w:p>
    <w:p w:rsidR="009B14AA" w:rsidRDefault="009B14AA" w:rsidP="009B14AA">
      <w:pPr>
        <w:rPr>
          <w:lang w:val="en-US"/>
        </w:rPr>
      </w:pPr>
      <w:r>
        <w:rPr>
          <w:lang w:val="en-US"/>
        </w:rPr>
        <w:t>Where exclusive block assignments (see Note 1) are made, transmitters operating on sub-channels devised by the licensed operator could, in principle, be exempted, within the block, by the unwanted emissions limit required to be met outside the block; however at country borders this should require agreement between the administrations concerned due to the fact that they may have licensed the band in a different way.</w:t>
      </w:r>
    </w:p>
    <w:p w:rsidR="009B14AA" w:rsidRDefault="009B14AA" w:rsidP="009B14AA">
      <w:pPr>
        <w:rPr>
          <w:spacing w:val="-3"/>
          <w:lang w:val="en-US"/>
        </w:rPr>
      </w:pPr>
      <w:r>
        <w:rPr>
          <w:lang w:val="en-US"/>
        </w:rPr>
        <w:t xml:space="preserve">The spectrum masks specified in this annex are intended as generic limits, which generally constitute </w:t>
      </w:r>
      <w:r>
        <w:rPr>
          <w:spacing w:val="-3"/>
          <w:lang w:val="en-US"/>
        </w:rPr>
        <w:t xml:space="preserve">the least restrictive OoB emission limits successfully used as national or regional regulations. </w:t>
      </w:r>
      <w:r>
        <w:rPr>
          <w:lang w:val="en-US"/>
        </w:rPr>
        <w:t>These are sometimes called safety net limits. They are intended for use in bands where tighter masks are not otherwise required to protect specific applications.</w:t>
      </w:r>
    </w:p>
    <w:p w:rsidR="009B14AA" w:rsidRDefault="009B14AA" w:rsidP="009B14AA">
      <w:pPr>
        <w:rPr>
          <w:spacing w:val="-3"/>
          <w:lang w:val="en-US"/>
        </w:rPr>
      </w:pPr>
      <w:r>
        <w:rPr>
          <w:spacing w:val="-3"/>
          <w:lang w:val="en-US"/>
        </w:rPr>
        <w:t>These masks are a composite maximum limit for any application and frequency band of deployment in any climatic zone; however actual spectrum masks are usually designed more tightly according the adjacent channel interference rejection required by the specific application (e.g. frequency band, modulation format sensitivity and quality of service required) in different geo-climatic conditions (</w:t>
      </w:r>
      <w:r>
        <w:rPr>
          <w:i/>
          <w:iCs/>
          <w:spacing w:val="-3"/>
          <w:lang w:val="en-US"/>
        </w:rPr>
        <w:t>K</w:t>
      </w:r>
      <w:r>
        <w:rPr>
          <w:spacing w:val="-3"/>
          <w:lang w:val="en-US"/>
        </w:rPr>
        <w:t> factor as defined in Recommendation ITU-R P.530).</w:t>
      </w:r>
    </w:p>
    <w:p w:rsidR="009B14AA" w:rsidRDefault="009B14AA" w:rsidP="009B14AA">
      <w:pPr>
        <w:pStyle w:val="Note"/>
        <w:rPr>
          <w:lang w:val="en-US"/>
        </w:rPr>
      </w:pPr>
      <w:r>
        <w:rPr>
          <w:lang w:val="en-US"/>
        </w:rPr>
        <w:t>NOTE 1 – A block-assignment (see definition in Recommendation ITU-R F.1399) is the case of a block of spectrum assigned to one or more stations of an operator under a single exclusive licence (see examples in Recommendations ITU-R F.1488, ITU-R F.748 and ITU-R F.749). Inside a single block</w:t>
      </w:r>
      <w:r>
        <w:rPr>
          <w:lang w:val="en-US"/>
        </w:rPr>
        <w:noBreakHyphen/>
        <w:t>assignment, the operator may, in general, subdivide the block into suitable smaller sub-blocks or sub-channels in order to deploy a radio network in the geographical area where the assignment has been made.</w:t>
      </w:r>
    </w:p>
    <w:p w:rsidR="009B14AA" w:rsidRDefault="009B14AA" w:rsidP="009B14AA">
      <w:pPr>
        <w:pStyle w:val="Heading1"/>
        <w:rPr>
          <w:lang w:val="en-US"/>
        </w:rPr>
      </w:pPr>
      <w:r>
        <w:rPr>
          <w:lang w:val="en-US"/>
        </w:rPr>
        <w:t>1</w:t>
      </w:r>
      <w:r>
        <w:rPr>
          <w:lang w:val="en-US"/>
        </w:rPr>
        <w:tab/>
        <w:t>Digital fixed service: spectrum emission masks</w:t>
      </w:r>
    </w:p>
    <w:p w:rsidR="009B14AA" w:rsidRDefault="009B14AA" w:rsidP="009B14AA">
      <w:pPr>
        <w:pStyle w:val="Heading2"/>
        <w:rPr>
          <w:lang w:val="en-US"/>
        </w:rPr>
      </w:pPr>
      <w:r>
        <w:rPr>
          <w:lang w:val="en-US"/>
        </w:rPr>
        <w:t>1.1</w:t>
      </w:r>
      <w:r>
        <w:rPr>
          <w:lang w:val="en-US"/>
        </w:rPr>
        <w:tab/>
        <w:t>Systems operating above 30 MHz</w:t>
      </w:r>
    </w:p>
    <w:p w:rsidR="009B14AA" w:rsidRDefault="009B14AA" w:rsidP="002B71DF">
      <w:pPr>
        <w:rPr>
          <w:lang w:val="en-US"/>
        </w:rPr>
      </w:pPr>
      <w:r>
        <w:rPr>
          <w:lang w:val="en-US"/>
        </w:rPr>
        <w:t>Spectrum attenuation masks are shown in Fig. 4</w:t>
      </w:r>
      <w:r w:rsidR="002B71DF">
        <w:rPr>
          <w:lang w:val="en-US"/>
        </w:rPr>
        <w:t>2</w:t>
      </w:r>
      <w:r>
        <w:rPr>
          <w:lang w:val="en-US"/>
        </w:rPr>
        <w:t>.</w:t>
      </w:r>
    </w:p>
    <w:p w:rsidR="009B14AA" w:rsidRDefault="009B14AA" w:rsidP="009B14AA">
      <w:pPr>
        <w:rPr>
          <w:lang w:val="en-US"/>
        </w:rPr>
      </w:pPr>
      <w:r>
        <w:rPr>
          <w:lang w:val="en-US"/>
        </w:rPr>
        <w:t>The 0 dBsd reference level is taken as the maximum value of the psd inside the occupied bandwidth.</w:t>
      </w:r>
    </w:p>
    <w:p w:rsidR="009B14AA" w:rsidRDefault="009B14AA" w:rsidP="009B14AA">
      <w:pPr>
        <w:rPr>
          <w:lang w:val="en-US"/>
        </w:rPr>
      </w:pPr>
      <w:r>
        <w:rPr>
          <w:lang w:val="en-US"/>
        </w:rPr>
        <w:t>For measurement purposes the resolution bandwidth used should be around 1% of the occupied bandwidth.</w:t>
      </w:r>
    </w:p>
    <w:p w:rsidR="009B14AA" w:rsidRPr="00C813CD" w:rsidRDefault="002B71DF" w:rsidP="009B14AA">
      <w:pPr>
        <w:pStyle w:val="FigureNo"/>
        <w:rPr>
          <w:lang w:val="en-US"/>
        </w:rPr>
      </w:pPr>
      <w:r>
        <w:rPr>
          <w:lang w:val="en-US"/>
        </w:rPr>
        <w:lastRenderedPageBreak/>
        <w:t>FIGURE 42</w:t>
      </w:r>
    </w:p>
    <w:p w:rsidR="009B14AA" w:rsidRPr="00C813CD" w:rsidRDefault="009B14AA" w:rsidP="009B14AA">
      <w:pPr>
        <w:pStyle w:val="Figuretitle"/>
        <w:rPr>
          <w:b w:val="0"/>
          <w:bCs/>
          <w:lang w:val="en-US"/>
        </w:rPr>
      </w:pPr>
      <w:r w:rsidRPr="00C813CD">
        <w:rPr>
          <w:lang w:val="en-US"/>
        </w:rPr>
        <w:t>Generic spectrum masks for digital fixed service operating above 30 MHz</w:t>
      </w:r>
      <w:r w:rsidRPr="00C813CD">
        <w:rPr>
          <w:lang w:val="en-US"/>
        </w:rPr>
        <w:br/>
      </w:r>
      <w:r w:rsidRPr="00C813CD">
        <w:rPr>
          <w:rFonts w:ascii="Times New Roman" w:hAnsi="Times New Roman"/>
          <w:b w:val="0"/>
          <w:bCs/>
          <w:lang w:val="en-US"/>
        </w:rPr>
        <w:t>(see Table 28)</w:t>
      </w:r>
    </w:p>
    <w:p w:rsidR="009B14AA" w:rsidRPr="00976F5D" w:rsidRDefault="002B71DF" w:rsidP="009B14AA">
      <w:pPr>
        <w:pStyle w:val="Figure"/>
        <w:rPr>
          <w:b/>
          <w:bCs/>
        </w:rPr>
      </w:pPr>
      <w:r>
        <w:rPr>
          <w:b/>
          <w:bCs/>
          <w:noProof/>
          <w:lang w:val="en-US" w:eastAsia="zh-CN"/>
        </w:rPr>
        <w:object w:dxaOrig="8542" w:dyaOrig="11852">
          <v:shape id="_x0000_i1122" type="#_x0000_t75" style="width:320.55pt;height:445.15pt" o:ole="">
            <v:imagedata r:id="rId200" o:title=""/>
          </v:shape>
          <o:OLEObject Type="Embed" ProgID="CorelDRAW.Graphic.14" ShapeID="_x0000_i1122" DrawAspect="Content" ObjectID="_1392698854" r:id="rId201"/>
        </w:object>
      </w:r>
    </w:p>
    <w:p w:rsidR="009B14AA" w:rsidRDefault="009B14AA" w:rsidP="009B14AA">
      <w:pPr>
        <w:pStyle w:val="TableNo"/>
        <w:spacing w:before="200"/>
        <w:rPr>
          <w:lang w:val="en-US"/>
        </w:rPr>
      </w:pPr>
      <w:r>
        <w:rPr>
          <w:lang w:val="en-US"/>
        </w:rPr>
        <w:t>TABLE  28</w:t>
      </w:r>
    </w:p>
    <w:p w:rsidR="009B14AA" w:rsidRDefault="009B14AA" w:rsidP="002B71DF">
      <w:pPr>
        <w:pStyle w:val="Tabletitle"/>
        <w:rPr>
          <w:lang w:val="en-US"/>
        </w:rPr>
      </w:pPr>
      <w:r>
        <w:rPr>
          <w:lang w:val="en-US"/>
        </w:rPr>
        <w:t>Digital fixed service operating above 30 MHz</w:t>
      </w:r>
      <w:r>
        <w:rPr>
          <w:lang w:val="en-US"/>
        </w:rPr>
        <w:br/>
      </w:r>
      <w:r>
        <w:rPr>
          <w:b w:val="0"/>
          <w:lang w:val="en-US"/>
        </w:rPr>
        <w:t>(Reference to Fig. 4</w:t>
      </w:r>
      <w:r w:rsidR="002B71DF">
        <w:rPr>
          <w:b w:val="0"/>
          <w:lang w:val="en-US"/>
        </w:rPr>
        <w:t>2</w:t>
      </w:r>
      <w:r>
        <w:rPr>
          <w:b w:val="0"/>
          <w:lang w:val="en-US"/>
        </w:rPr>
        <w:t>)</w:t>
      </w:r>
    </w:p>
    <w:tbl>
      <w:tblPr>
        <w:tblW w:w="9639" w:type="dxa"/>
        <w:jc w:val="center"/>
        <w:tblLayout w:type="fixed"/>
        <w:tblLook w:val="0000" w:firstRow="0" w:lastRow="0" w:firstColumn="0" w:lastColumn="0" w:noHBand="0" w:noVBand="0"/>
      </w:tblPr>
      <w:tblGrid>
        <w:gridCol w:w="2380"/>
        <w:gridCol w:w="2490"/>
        <w:gridCol w:w="2373"/>
        <w:gridCol w:w="2396"/>
      </w:tblGrid>
      <w:tr w:rsidR="009B14AA" w:rsidTr="00E94C3B">
        <w:trPr>
          <w:cantSplit/>
          <w:jc w:val="center"/>
        </w:trPr>
        <w:tc>
          <w:tcPr>
            <w:tcW w:w="4870" w:type="dxa"/>
            <w:gridSpan w:val="2"/>
            <w:tcBorders>
              <w:top w:val="single" w:sz="6" w:space="0" w:color="auto"/>
              <w:left w:val="single" w:sz="6" w:space="0" w:color="auto"/>
              <w:bottom w:val="single" w:sz="6" w:space="0" w:color="auto"/>
              <w:right w:val="single" w:sz="6" w:space="0" w:color="auto"/>
            </w:tcBorders>
            <w:vAlign w:val="center"/>
          </w:tcPr>
          <w:p w:rsidR="009B14AA" w:rsidRDefault="009B14AA" w:rsidP="00E94C3B">
            <w:pPr>
              <w:pStyle w:val="Tablehead"/>
              <w:spacing w:before="20" w:after="20"/>
              <w:rPr>
                <w:sz w:val="20"/>
                <w:lang w:val="en-US"/>
              </w:rPr>
            </w:pPr>
            <w:r>
              <w:rPr>
                <w:sz w:val="20"/>
                <w:lang w:val="en-US"/>
              </w:rPr>
              <w:t>All systems (FDMA excluded)</w:t>
            </w:r>
          </w:p>
        </w:tc>
        <w:tc>
          <w:tcPr>
            <w:tcW w:w="4769" w:type="dxa"/>
            <w:gridSpan w:val="2"/>
            <w:tcBorders>
              <w:top w:val="single" w:sz="6" w:space="0" w:color="auto"/>
              <w:left w:val="single" w:sz="6" w:space="0" w:color="auto"/>
              <w:bottom w:val="single" w:sz="6" w:space="0" w:color="auto"/>
              <w:right w:val="single" w:sz="6" w:space="0" w:color="auto"/>
            </w:tcBorders>
            <w:vAlign w:val="center"/>
          </w:tcPr>
          <w:p w:rsidR="009B14AA" w:rsidRDefault="009B14AA" w:rsidP="00E94C3B">
            <w:pPr>
              <w:pStyle w:val="Tablehead"/>
              <w:spacing w:before="20" w:after="20"/>
              <w:rPr>
                <w:sz w:val="20"/>
                <w:lang w:val="en-US"/>
              </w:rPr>
            </w:pPr>
            <w:r>
              <w:rPr>
                <w:sz w:val="20"/>
                <w:lang w:val="en-US"/>
              </w:rPr>
              <w:t>FDMA systems only</w:t>
            </w:r>
          </w:p>
        </w:tc>
      </w:tr>
      <w:tr w:rsidR="009B14AA" w:rsidTr="00E94C3B">
        <w:trPr>
          <w:cantSplit/>
          <w:jc w:val="center"/>
        </w:trPr>
        <w:tc>
          <w:tcPr>
            <w:tcW w:w="2380" w:type="dxa"/>
            <w:tcBorders>
              <w:top w:val="single" w:sz="6" w:space="0" w:color="auto"/>
              <w:left w:val="single" w:sz="6" w:space="0" w:color="auto"/>
              <w:right w:val="single" w:sz="6" w:space="0" w:color="auto"/>
            </w:tcBorders>
            <w:vAlign w:val="center"/>
          </w:tcPr>
          <w:p w:rsidR="009B14AA" w:rsidRDefault="009B14AA" w:rsidP="00E94C3B">
            <w:pPr>
              <w:pStyle w:val="Tablehead"/>
              <w:spacing w:before="20" w:after="20"/>
              <w:rPr>
                <w:sz w:val="20"/>
                <w:lang w:val="en-US"/>
              </w:rPr>
            </w:pPr>
            <w:r>
              <w:rPr>
                <w:sz w:val="20"/>
                <w:lang w:val="en-US"/>
              </w:rPr>
              <w:t>Frequency</w:t>
            </w:r>
            <w:r>
              <w:rPr>
                <w:sz w:val="20"/>
                <w:lang w:val="en-US"/>
              </w:rPr>
              <w:br/>
              <w:t>offset (CS %)</w:t>
            </w:r>
          </w:p>
        </w:tc>
        <w:tc>
          <w:tcPr>
            <w:tcW w:w="2490" w:type="dxa"/>
            <w:tcBorders>
              <w:top w:val="single" w:sz="6" w:space="0" w:color="auto"/>
              <w:left w:val="single" w:sz="6" w:space="0" w:color="auto"/>
              <w:right w:val="single" w:sz="6" w:space="0" w:color="auto"/>
            </w:tcBorders>
            <w:vAlign w:val="center"/>
          </w:tcPr>
          <w:p w:rsidR="009B14AA" w:rsidRDefault="009B14AA" w:rsidP="00E94C3B">
            <w:pPr>
              <w:pStyle w:val="Tablehead"/>
              <w:spacing w:before="20" w:after="20"/>
              <w:rPr>
                <w:sz w:val="20"/>
                <w:lang w:val="en-US"/>
              </w:rPr>
            </w:pPr>
            <w:r>
              <w:rPr>
                <w:sz w:val="20"/>
                <w:lang w:val="en-US"/>
              </w:rPr>
              <w:t>Attenuation</w:t>
            </w:r>
            <w:r>
              <w:rPr>
                <w:sz w:val="20"/>
                <w:lang w:val="en-US"/>
              </w:rPr>
              <w:br/>
              <w:t>(dBsd)</w:t>
            </w:r>
          </w:p>
        </w:tc>
        <w:tc>
          <w:tcPr>
            <w:tcW w:w="2373" w:type="dxa"/>
            <w:tcBorders>
              <w:top w:val="single" w:sz="6" w:space="0" w:color="auto"/>
              <w:left w:val="single" w:sz="6" w:space="0" w:color="auto"/>
              <w:right w:val="single" w:sz="6" w:space="0" w:color="auto"/>
            </w:tcBorders>
            <w:vAlign w:val="center"/>
          </w:tcPr>
          <w:p w:rsidR="009B14AA" w:rsidRDefault="009B14AA" w:rsidP="00E94C3B">
            <w:pPr>
              <w:pStyle w:val="Tablehead"/>
              <w:spacing w:before="20" w:after="20"/>
              <w:rPr>
                <w:sz w:val="20"/>
                <w:lang w:val="en-US"/>
              </w:rPr>
            </w:pPr>
            <w:r>
              <w:rPr>
                <w:sz w:val="20"/>
                <w:lang w:val="en-US"/>
              </w:rPr>
              <w:t>Frequency</w:t>
            </w:r>
            <w:r>
              <w:rPr>
                <w:sz w:val="20"/>
                <w:lang w:val="en-US"/>
              </w:rPr>
              <w:br/>
              <w:t>offset (CS %)</w:t>
            </w:r>
          </w:p>
        </w:tc>
        <w:tc>
          <w:tcPr>
            <w:tcW w:w="2396" w:type="dxa"/>
            <w:tcBorders>
              <w:top w:val="single" w:sz="6" w:space="0" w:color="auto"/>
              <w:left w:val="single" w:sz="6" w:space="0" w:color="auto"/>
              <w:right w:val="single" w:sz="6" w:space="0" w:color="auto"/>
            </w:tcBorders>
            <w:vAlign w:val="center"/>
          </w:tcPr>
          <w:p w:rsidR="009B14AA" w:rsidRDefault="009B14AA" w:rsidP="00E94C3B">
            <w:pPr>
              <w:pStyle w:val="Tablehead"/>
              <w:spacing w:before="20" w:after="20"/>
              <w:rPr>
                <w:sz w:val="20"/>
                <w:lang w:val="en-US"/>
              </w:rPr>
            </w:pPr>
            <w:r>
              <w:rPr>
                <w:sz w:val="20"/>
                <w:lang w:val="en-US"/>
              </w:rPr>
              <w:t>Attenuation</w:t>
            </w:r>
            <w:r>
              <w:rPr>
                <w:sz w:val="20"/>
                <w:lang w:val="en-US"/>
              </w:rPr>
              <w:br/>
              <w:t>(dBsd)</w:t>
            </w:r>
          </w:p>
        </w:tc>
      </w:tr>
      <w:tr w:rsidR="009B14AA" w:rsidTr="00E94C3B">
        <w:trPr>
          <w:cantSplit/>
          <w:jc w:val="center"/>
        </w:trPr>
        <w:tc>
          <w:tcPr>
            <w:tcW w:w="2380"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0</w:t>
            </w:r>
          </w:p>
        </w:tc>
        <w:tc>
          <w:tcPr>
            <w:tcW w:w="2490"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0</w:t>
            </w:r>
          </w:p>
        </w:tc>
        <w:tc>
          <w:tcPr>
            <w:tcW w:w="2373"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0</w:t>
            </w:r>
          </w:p>
        </w:tc>
        <w:tc>
          <w:tcPr>
            <w:tcW w:w="2396"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0</w:t>
            </w:r>
          </w:p>
        </w:tc>
      </w:tr>
      <w:tr w:rsidR="009B14AA" w:rsidTr="00E94C3B">
        <w:trPr>
          <w:cantSplit/>
          <w:jc w:val="center"/>
        </w:trPr>
        <w:tc>
          <w:tcPr>
            <w:tcW w:w="2380"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55</w:t>
            </w:r>
          </w:p>
        </w:tc>
        <w:tc>
          <w:tcPr>
            <w:tcW w:w="2490"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0</w:t>
            </w:r>
          </w:p>
        </w:tc>
        <w:tc>
          <w:tcPr>
            <w:tcW w:w="2373"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50</w:t>
            </w:r>
          </w:p>
        </w:tc>
        <w:tc>
          <w:tcPr>
            <w:tcW w:w="2396"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0</w:t>
            </w:r>
          </w:p>
        </w:tc>
      </w:tr>
      <w:tr w:rsidR="009B14AA" w:rsidTr="00E94C3B">
        <w:trPr>
          <w:cantSplit/>
          <w:jc w:val="center"/>
        </w:trPr>
        <w:tc>
          <w:tcPr>
            <w:tcW w:w="2380"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120</w:t>
            </w:r>
          </w:p>
        </w:tc>
        <w:tc>
          <w:tcPr>
            <w:tcW w:w="2490"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25</w:t>
            </w:r>
          </w:p>
        </w:tc>
        <w:tc>
          <w:tcPr>
            <w:tcW w:w="2373"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65</w:t>
            </w:r>
          </w:p>
        </w:tc>
        <w:tc>
          <w:tcPr>
            <w:tcW w:w="2396"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25</w:t>
            </w:r>
          </w:p>
        </w:tc>
      </w:tr>
      <w:tr w:rsidR="009B14AA" w:rsidTr="00E94C3B">
        <w:trPr>
          <w:cantSplit/>
          <w:jc w:val="center"/>
        </w:trPr>
        <w:tc>
          <w:tcPr>
            <w:tcW w:w="2380"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180</w:t>
            </w:r>
          </w:p>
        </w:tc>
        <w:tc>
          <w:tcPr>
            <w:tcW w:w="2490"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40</w:t>
            </w:r>
          </w:p>
        </w:tc>
        <w:tc>
          <w:tcPr>
            <w:tcW w:w="2373"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150</w:t>
            </w:r>
          </w:p>
        </w:tc>
        <w:tc>
          <w:tcPr>
            <w:tcW w:w="2396"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25</w:t>
            </w:r>
          </w:p>
        </w:tc>
      </w:tr>
      <w:tr w:rsidR="009B14AA" w:rsidTr="00E94C3B">
        <w:trPr>
          <w:cantSplit/>
          <w:jc w:val="center"/>
        </w:trPr>
        <w:tc>
          <w:tcPr>
            <w:tcW w:w="2380" w:type="dxa"/>
            <w:tcBorders>
              <w:top w:val="single" w:sz="6" w:space="0" w:color="auto"/>
              <w:left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250</w:t>
            </w:r>
          </w:p>
        </w:tc>
        <w:tc>
          <w:tcPr>
            <w:tcW w:w="2490" w:type="dxa"/>
            <w:tcBorders>
              <w:top w:val="single" w:sz="6" w:space="0" w:color="auto"/>
              <w:left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40</w:t>
            </w:r>
          </w:p>
        </w:tc>
        <w:tc>
          <w:tcPr>
            <w:tcW w:w="2373" w:type="dxa"/>
            <w:tcBorders>
              <w:top w:val="single" w:sz="6" w:space="0" w:color="auto"/>
              <w:left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150</w:t>
            </w:r>
          </w:p>
        </w:tc>
        <w:tc>
          <w:tcPr>
            <w:tcW w:w="2396" w:type="dxa"/>
            <w:tcBorders>
              <w:top w:val="single" w:sz="6" w:space="0" w:color="auto"/>
              <w:left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40</w:t>
            </w:r>
          </w:p>
        </w:tc>
      </w:tr>
      <w:tr w:rsidR="009B14AA" w:rsidTr="00E94C3B">
        <w:trPr>
          <w:cantSplit/>
          <w:jc w:val="center"/>
        </w:trPr>
        <w:tc>
          <w:tcPr>
            <w:tcW w:w="2380"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spacing w:before="20" w:after="20"/>
              <w:rPr>
                <w:lang w:val="en-US"/>
              </w:rPr>
            </w:pPr>
          </w:p>
        </w:tc>
        <w:tc>
          <w:tcPr>
            <w:tcW w:w="2490"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p>
        </w:tc>
        <w:tc>
          <w:tcPr>
            <w:tcW w:w="2373"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250</w:t>
            </w:r>
          </w:p>
        </w:tc>
        <w:tc>
          <w:tcPr>
            <w:tcW w:w="2396"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40</w:t>
            </w:r>
          </w:p>
        </w:tc>
      </w:tr>
    </w:tbl>
    <w:p w:rsidR="009B14AA" w:rsidRDefault="009B14AA" w:rsidP="009B14AA">
      <w:pPr>
        <w:pStyle w:val="Tablefin"/>
        <w:rPr>
          <w:sz w:val="8"/>
        </w:rPr>
      </w:pPr>
    </w:p>
    <w:p w:rsidR="009B14AA" w:rsidRDefault="009B14AA" w:rsidP="009B14AA">
      <w:pPr>
        <w:pStyle w:val="Heading2"/>
        <w:rPr>
          <w:lang w:val="en-US"/>
        </w:rPr>
      </w:pPr>
      <w:r>
        <w:rPr>
          <w:lang w:val="en-US"/>
        </w:rPr>
        <w:lastRenderedPageBreak/>
        <w:t>1.2</w:t>
      </w:r>
      <w:r>
        <w:rPr>
          <w:lang w:val="en-US"/>
        </w:rPr>
        <w:tab/>
        <w:t>Systems operating below 30 MHz</w:t>
      </w:r>
    </w:p>
    <w:p w:rsidR="009B14AA" w:rsidRDefault="009B14AA" w:rsidP="009B14AA">
      <w:pPr>
        <w:rPr>
          <w:lang w:val="en-US"/>
        </w:rPr>
      </w:pPr>
      <w:r>
        <w:rPr>
          <w:lang w:val="en-US"/>
        </w:rPr>
        <w:t>Spectrum attenu</w:t>
      </w:r>
      <w:r w:rsidR="002B71DF">
        <w:rPr>
          <w:lang w:val="en-US"/>
        </w:rPr>
        <w:t>ation masks are shown in Fig. 43</w:t>
      </w:r>
      <w:r>
        <w:rPr>
          <w:lang w:val="en-US"/>
        </w:rPr>
        <w:t>.</w:t>
      </w:r>
    </w:p>
    <w:p w:rsidR="009B14AA" w:rsidRDefault="009B14AA" w:rsidP="009B14AA">
      <w:pPr>
        <w:rPr>
          <w:lang w:val="en-US"/>
        </w:rPr>
      </w:pPr>
      <w:r>
        <w:rPr>
          <w:lang w:val="en-US"/>
        </w:rPr>
        <w:t>The 0 dBsd reference level is taken as the maximum value of the psd inside the occupied bandwidth.</w:t>
      </w:r>
    </w:p>
    <w:p w:rsidR="009B14AA" w:rsidRPr="00C813CD" w:rsidRDefault="009B14AA" w:rsidP="002B71DF">
      <w:pPr>
        <w:pStyle w:val="FigureNo"/>
        <w:spacing w:before="240"/>
        <w:rPr>
          <w:lang w:val="en-US"/>
        </w:rPr>
      </w:pPr>
      <w:r w:rsidRPr="00C813CD">
        <w:rPr>
          <w:lang w:val="en-US"/>
        </w:rPr>
        <w:t>FIGURE 4</w:t>
      </w:r>
      <w:r w:rsidR="002B71DF">
        <w:rPr>
          <w:lang w:val="en-US"/>
        </w:rPr>
        <w:t>3</w:t>
      </w:r>
    </w:p>
    <w:p w:rsidR="009B14AA" w:rsidRPr="00C813CD" w:rsidRDefault="009B14AA" w:rsidP="009B14AA">
      <w:pPr>
        <w:pStyle w:val="Figuretitle"/>
        <w:rPr>
          <w:rFonts w:ascii="Times New Roman" w:hAnsi="Times New Roman"/>
          <w:b w:val="0"/>
          <w:bCs/>
          <w:lang w:val="en-US"/>
        </w:rPr>
      </w:pPr>
      <w:r w:rsidRPr="00C813CD">
        <w:rPr>
          <w:lang w:val="en-US"/>
        </w:rPr>
        <w:t>Generic spectrum masks for digital fixed service operating below 30 MHz</w:t>
      </w:r>
      <w:r w:rsidRPr="00C813CD">
        <w:rPr>
          <w:lang w:val="en-US"/>
        </w:rPr>
        <w:br/>
      </w:r>
      <w:r w:rsidRPr="00C813CD">
        <w:rPr>
          <w:rFonts w:ascii="Times New Roman" w:hAnsi="Times New Roman"/>
          <w:b w:val="0"/>
          <w:bCs/>
          <w:lang w:val="en-US"/>
        </w:rPr>
        <w:t>(see Table 29)</w:t>
      </w:r>
    </w:p>
    <w:p w:rsidR="009B14AA" w:rsidRPr="00976F5D" w:rsidRDefault="002B71DF" w:rsidP="009B14AA">
      <w:pPr>
        <w:pStyle w:val="Figure"/>
      </w:pPr>
      <w:r>
        <w:rPr>
          <w:noProof/>
          <w:lang w:val="en-US" w:eastAsia="zh-CN"/>
        </w:rPr>
        <w:object w:dxaOrig="8633" w:dyaOrig="11088">
          <v:shape id="_x0000_i1124" type="#_x0000_t75" style="width:321.8pt;height:413.85pt" o:ole="">
            <v:imagedata r:id="rId202" o:title=""/>
          </v:shape>
          <o:OLEObject Type="Embed" ProgID="CorelDRAW.Graphic.14" ShapeID="_x0000_i1124" DrawAspect="Content" ObjectID="_1392698855" r:id="rId203"/>
        </w:object>
      </w:r>
    </w:p>
    <w:p w:rsidR="009B14AA" w:rsidRDefault="009B14AA" w:rsidP="002B71DF">
      <w:pPr>
        <w:pStyle w:val="TableNo"/>
        <w:spacing w:before="240"/>
        <w:rPr>
          <w:lang w:val="en-US"/>
        </w:rPr>
      </w:pPr>
      <w:r>
        <w:rPr>
          <w:lang w:val="en-US"/>
        </w:rPr>
        <w:t>TABLE  29</w:t>
      </w:r>
    </w:p>
    <w:p w:rsidR="009B14AA" w:rsidRDefault="009B14AA" w:rsidP="002B71DF">
      <w:pPr>
        <w:pStyle w:val="Tabletitle"/>
        <w:rPr>
          <w:lang w:val="en-US"/>
        </w:rPr>
      </w:pPr>
      <w:r>
        <w:rPr>
          <w:lang w:val="en-US"/>
        </w:rPr>
        <w:t>Digital fixed service operating below 30 MHz</w:t>
      </w:r>
      <w:r>
        <w:rPr>
          <w:lang w:val="en-US"/>
        </w:rPr>
        <w:br/>
      </w:r>
      <w:r>
        <w:rPr>
          <w:b w:val="0"/>
          <w:lang w:val="en-US"/>
        </w:rPr>
        <w:t>(Reference to Fig. 4</w:t>
      </w:r>
      <w:r w:rsidR="002B71DF">
        <w:rPr>
          <w:b w:val="0"/>
          <w:lang w:val="en-US"/>
        </w:rPr>
        <w:t>3</w:t>
      </w:r>
      <w:r>
        <w:rPr>
          <w:b w:val="0"/>
          <w:lang w:val="en-US"/>
        </w:rPr>
        <w:t>)</w:t>
      </w:r>
    </w:p>
    <w:tbl>
      <w:tblPr>
        <w:tblW w:w="0" w:type="auto"/>
        <w:jc w:val="center"/>
        <w:tblLayout w:type="fixed"/>
        <w:tblLook w:val="0000" w:firstRow="0" w:lastRow="0" w:firstColumn="0" w:lastColumn="0" w:noHBand="0" w:noVBand="0"/>
      </w:tblPr>
      <w:tblGrid>
        <w:gridCol w:w="3119"/>
        <w:gridCol w:w="3119"/>
      </w:tblGrid>
      <w:tr w:rsidR="009B14AA" w:rsidTr="00E94C3B">
        <w:trPr>
          <w:cantSplit/>
          <w:jc w:val="center"/>
        </w:trPr>
        <w:tc>
          <w:tcPr>
            <w:tcW w:w="6238" w:type="dxa"/>
            <w:gridSpan w:val="2"/>
            <w:tcBorders>
              <w:top w:val="single" w:sz="6" w:space="0" w:color="auto"/>
              <w:left w:val="single" w:sz="6" w:space="0" w:color="auto"/>
              <w:right w:val="single" w:sz="6" w:space="0" w:color="auto"/>
            </w:tcBorders>
            <w:vAlign w:val="center"/>
          </w:tcPr>
          <w:p w:rsidR="009B14AA" w:rsidRDefault="009B14AA" w:rsidP="00E94C3B">
            <w:pPr>
              <w:pStyle w:val="Tablehead"/>
              <w:spacing w:before="20" w:after="20"/>
              <w:rPr>
                <w:sz w:val="20"/>
                <w:lang w:val="en-US"/>
              </w:rPr>
            </w:pPr>
            <w:bookmarkStart w:id="11" w:name="_Toc358617648"/>
            <w:bookmarkStart w:id="12" w:name="_Toc364824744"/>
            <w:bookmarkStart w:id="13" w:name="_Toc375295571"/>
            <w:r>
              <w:rPr>
                <w:sz w:val="20"/>
                <w:lang w:val="en-US"/>
              </w:rPr>
              <w:t>All systems</w:t>
            </w:r>
          </w:p>
        </w:tc>
      </w:tr>
      <w:tr w:rsidR="009B14AA" w:rsidTr="00E94C3B">
        <w:trPr>
          <w:cantSplit/>
          <w:jc w:val="center"/>
        </w:trPr>
        <w:tc>
          <w:tcPr>
            <w:tcW w:w="3119" w:type="dxa"/>
            <w:tcBorders>
              <w:top w:val="single" w:sz="6" w:space="0" w:color="auto"/>
              <w:left w:val="single" w:sz="6" w:space="0" w:color="auto"/>
              <w:right w:val="single" w:sz="6" w:space="0" w:color="auto"/>
            </w:tcBorders>
            <w:vAlign w:val="center"/>
          </w:tcPr>
          <w:p w:rsidR="009B14AA" w:rsidRDefault="009B14AA" w:rsidP="00E94C3B">
            <w:pPr>
              <w:pStyle w:val="Tablehead"/>
              <w:spacing w:before="20" w:after="20"/>
              <w:rPr>
                <w:sz w:val="20"/>
                <w:lang w:val="en-US"/>
              </w:rPr>
            </w:pPr>
            <w:r>
              <w:rPr>
                <w:sz w:val="20"/>
                <w:lang w:val="en-US"/>
              </w:rPr>
              <w:t>Frequency</w:t>
            </w:r>
            <w:r>
              <w:rPr>
                <w:sz w:val="20"/>
                <w:lang w:val="en-US"/>
              </w:rPr>
              <w:br/>
              <w:t>offset (CS %)</w:t>
            </w:r>
          </w:p>
        </w:tc>
        <w:tc>
          <w:tcPr>
            <w:tcW w:w="3119" w:type="dxa"/>
            <w:tcBorders>
              <w:top w:val="single" w:sz="6" w:space="0" w:color="auto"/>
              <w:left w:val="single" w:sz="6" w:space="0" w:color="auto"/>
              <w:right w:val="single" w:sz="6" w:space="0" w:color="auto"/>
            </w:tcBorders>
            <w:vAlign w:val="center"/>
          </w:tcPr>
          <w:p w:rsidR="009B14AA" w:rsidRDefault="009B14AA" w:rsidP="00E94C3B">
            <w:pPr>
              <w:pStyle w:val="Tablehead"/>
              <w:spacing w:before="20" w:after="20"/>
              <w:rPr>
                <w:sz w:val="20"/>
                <w:lang w:val="en-US"/>
              </w:rPr>
            </w:pPr>
            <w:r>
              <w:rPr>
                <w:sz w:val="20"/>
                <w:lang w:val="en-US"/>
              </w:rPr>
              <w:t>Attenuation</w:t>
            </w:r>
            <w:r>
              <w:rPr>
                <w:sz w:val="20"/>
                <w:lang w:val="en-US"/>
              </w:rPr>
              <w:br/>
              <w:t>(dBsd)</w:t>
            </w:r>
          </w:p>
        </w:tc>
      </w:tr>
      <w:tr w:rsidR="009B14AA" w:rsidTr="00E94C3B">
        <w:trPr>
          <w:cantSplit/>
          <w:jc w:val="center"/>
        </w:trPr>
        <w:tc>
          <w:tcPr>
            <w:tcW w:w="3119"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0</w:t>
            </w:r>
          </w:p>
        </w:tc>
        <w:tc>
          <w:tcPr>
            <w:tcW w:w="3119"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0</w:t>
            </w:r>
          </w:p>
        </w:tc>
      </w:tr>
      <w:tr w:rsidR="009B14AA" w:rsidTr="00E94C3B">
        <w:trPr>
          <w:cantSplit/>
          <w:jc w:val="center"/>
        </w:trPr>
        <w:tc>
          <w:tcPr>
            <w:tcW w:w="3119"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55</w:t>
            </w:r>
          </w:p>
        </w:tc>
        <w:tc>
          <w:tcPr>
            <w:tcW w:w="3119"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0</w:t>
            </w:r>
          </w:p>
        </w:tc>
      </w:tr>
      <w:tr w:rsidR="009B14AA" w:rsidTr="00E94C3B">
        <w:trPr>
          <w:cantSplit/>
          <w:jc w:val="center"/>
        </w:trPr>
        <w:tc>
          <w:tcPr>
            <w:tcW w:w="3119"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jc w:val="left"/>
              <w:rPr>
                <w:sz w:val="20"/>
                <w:lang w:val="en-US"/>
              </w:rPr>
            </w:pPr>
            <w:r>
              <w:rPr>
                <w:sz w:val="20"/>
                <w:lang w:val="en-US"/>
              </w:rPr>
              <w:tab/>
              <w:t>120</w:t>
            </w:r>
          </w:p>
        </w:tc>
        <w:tc>
          <w:tcPr>
            <w:tcW w:w="3119"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jc w:val="left"/>
              <w:rPr>
                <w:sz w:val="20"/>
                <w:lang w:val="en-US"/>
              </w:rPr>
            </w:pPr>
            <w:r>
              <w:rPr>
                <w:sz w:val="20"/>
                <w:lang w:val="en-US"/>
              </w:rPr>
              <w:tab/>
              <w:t>25</w:t>
            </w:r>
          </w:p>
        </w:tc>
      </w:tr>
      <w:tr w:rsidR="009B14AA" w:rsidTr="00E94C3B">
        <w:trPr>
          <w:cantSplit/>
          <w:jc w:val="center"/>
        </w:trPr>
        <w:tc>
          <w:tcPr>
            <w:tcW w:w="3119" w:type="dxa"/>
            <w:tcBorders>
              <w:top w:val="single" w:sz="6" w:space="0" w:color="auto"/>
              <w:left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180</w:t>
            </w:r>
          </w:p>
        </w:tc>
        <w:tc>
          <w:tcPr>
            <w:tcW w:w="3119" w:type="dxa"/>
            <w:tcBorders>
              <w:top w:val="single" w:sz="6" w:space="0" w:color="auto"/>
              <w:left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40</w:t>
            </w:r>
          </w:p>
        </w:tc>
      </w:tr>
      <w:tr w:rsidR="009B14AA" w:rsidTr="00E94C3B">
        <w:trPr>
          <w:cantSplit/>
          <w:jc w:val="center"/>
        </w:trPr>
        <w:tc>
          <w:tcPr>
            <w:tcW w:w="3119" w:type="dxa"/>
            <w:tcBorders>
              <w:top w:val="single" w:sz="6" w:space="0" w:color="auto"/>
              <w:left w:val="single" w:sz="6" w:space="0" w:color="auto"/>
              <w:bottom w:val="single" w:sz="4"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250</w:t>
            </w:r>
          </w:p>
        </w:tc>
        <w:tc>
          <w:tcPr>
            <w:tcW w:w="3119" w:type="dxa"/>
            <w:tcBorders>
              <w:top w:val="single" w:sz="6" w:space="0" w:color="auto"/>
              <w:left w:val="single" w:sz="6" w:space="0" w:color="auto"/>
              <w:bottom w:val="single" w:sz="4"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48</w:t>
            </w:r>
          </w:p>
        </w:tc>
      </w:tr>
    </w:tbl>
    <w:p w:rsidR="009B14AA" w:rsidRDefault="009B14AA" w:rsidP="009B14AA">
      <w:pPr>
        <w:pStyle w:val="Tablefin"/>
        <w:rPr>
          <w:sz w:val="2"/>
          <w:lang w:val="en-US"/>
        </w:rPr>
      </w:pPr>
    </w:p>
    <w:p w:rsidR="009B14AA" w:rsidRDefault="009B14AA" w:rsidP="009B14AA">
      <w:pPr>
        <w:pStyle w:val="Heading1"/>
        <w:rPr>
          <w:lang w:val="en-US"/>
        </w:rPr>
      </w:pPr>
      <w:r>
        <w:rPr>
          <w:lang w:val="en-US"/>
        </w:rPr>
        <w:t>2</w:t>
      </w:r>
      <w:r>
        <w:rPr>
          <w:lang w:val="en-US"/>
        </w:rPr>
        <w:tab/>
        <w:t>Digital fixed service: discrete spectral lines within OoB emission boundaries</w:t>
      </w:r>
      <w:bookmarkEnd w:id="11"/>
      <w:bookmarkEnd w:id="12"/>
      <w:bookmarkEnd w:id="13"/>
    </w:p>
    <w:p w:rsidR="009B14AA" w:rsidRDefault="009B14AA" w:rsidP="009B14AA">
      <w:pPr>
        <w:rPr>
          <w:lang w:val="en-US"/>
        </w:rPr>
      </w:pPr>
      <w:r>
        <w:rPr>
          <w:lang w:val="en-US"/>
        </w:rPr>
        <w:t>Discrete spectral lines are not considered within spectral density masks but should be limited not to impair the unwanted emission power produced by the spectrum itself as follows:</w:t>
      </w:r>
    </w:p>
    <w:p w:rsidR="009B14AA" w:rsidRDefault="009B14AA" w:rsidP="009B14AA">
      <w:pPr>
        <w:pStyle w:val="Heading2"/>
        <w:rPr>
          <w:lang w:val="en-US"/>
        </w:rPr>
      </w:pPr>
      <w:r>
        <w:rPr>
          <w:lang w:val="en-US"/>
        </w:rPr>
        <w:t>2.1</w:t>
      </w:r>
      <w:r>
        <w:rPr>
          <w:lang w:val="en-US"/>
        </w:rPr>
        <w:tab/>
        <w:t>Systems operating above 30 MHz</w:t>
      </w:r>
    </w:p>
    <w:p w:rsidR="009B14AA" w:rsidRDefault="009B14AA" w:rsidP="009B14AA">
      <w:pPr>
        <w:pStyle w:val="enumlev1"/>
        <w:rPr>
          <w:lang w:val="en-US"/>
        </w:rPr>
      </w:pPr>
      <w:r>
        <w:rPr>
          <w:lang w:val="en-US"/>
        </w:rPr>
        <w:t>–</w:t>
      </w:r>
      <w:r>
        <w:rPr>
          <w:lang w:val="en-US"/>
        </w:rPr>
        <w:tab/>
        <w:t xml:space="preserve">Spectral lines inside </w:t>
      </w:r>
      <w:r>
        <w:rPr>
          <w:lang w:val="fr-CH"/>
        </w:rPr>
        <w:sym w:font="Symbol" w:char="F0B1"/>
      </w:r>
      <w:r>
        <w:rPr>
          <w:rFonts w:ascii="Tms Rmn" w:hAnsi="Tms Rmn"/>
          <w:sz w:val="4"/>
          <w:lang w:val="en-US"/>
        </w:rPr>
        <w:t> </w:t>
      </w:r>
      <w:r>
        <w:rPr>
          <w:lang w:val="en-US"/>
        </w:rPr>
        <w:t>50% of channel separation: OoB domain emission limit is not applicable.</w:t>
      </w:r>
    </w:p>
    <w:p w:rsidR="009B14AA" w:rsidRDefault="009B14AA" w:rsidP="009B14AA">
      <w:pPr>
        <w:pStyle w:val="enumlev1"/>
        <w:spacing w:line="260" w:lineRule="exact"/>
        <w:rPr>
          <w:lang w:val="en-US"/>
        </w:rPr>
      </w:pPr>
      <w:r>
        <w:rPr>
          <w:lang w:val="en-US"/>
        </w:rPr>
        <w:t>–</w:t>
      </w:r>
      <w:r>
        <w:rPr>
          <w:lang w:val="en-US"/>
        </w:rPr>
        <w:tab/>
        <w:t xml:space="preserve">Total mean power of all spectral lines between </w:t>
      </w:r>
      <w:r>
        <w:rPr>
          <w:rFonts w:ascii="Symbol" w:hAnsi="Symbol"/>
          <w:lang w:val="en-US"/>
        </w:rPr>
        <w:t></w:t>
      </w:r>
      <w:r>
        <w:rPr>
          <w:lang w:val="en-US"/>
        </w:rPr>
        <w:t xml:space="preserve">50% and </w:t>
      </w:r>
      <w:r>
        <w:rPr>
          <w:rFonts w:ascii="Symbol" w:hAnsi="Symbol"/>
          <w:lang w:val="en-US"/>
        </w:rPr>
        <w:t></w:t>
      </w:r>
      <w:r>
        <w:rPr>
          <w:lang w:val="en-US"/>
        </w:rPr>
        <w:t xml:space="preserve">150% or between –50% and </w:t>
      </w:r>
      <w:r>
        <w:rPr>
          <w:lang w:val="en-US"/>
        </w:rPr>
        <w:fldChar w:fldCharType="begin"/>
      </w:r>
      <w:r>
        <w:rPr>
          <w:lang w:val="en-US"/>
        </w:rPr>
        <w:instrText xml:space="preserve"> EQ  –150%</w:instrText>
      </w:r>
      <w:r>
        <w:rPr>
          <w:lang w:val="en-US"/>
        </w:rPr>
        <w:fldChar w:fldCharType="end"/>
      </w:r>
      <w:r>
        <w:rPr>
          <w:lang w:val="en-US"/>
        </w:rPr>
        <w:t xml:space="preserve"> of channel separation: 23 dBc.</w:t>
      </w:r>
    </w:p>
    <w:p w:rsidR="009B14AA" w:rsidRDefault="009B14AA" w:rsidP="009B14AA">
      <w:pPr>
        <w:pStyle w:val="enumlev1"/>
        <w:spacing w:line="260" w:lineRule="exact"/>
        <w:rPr>
          <w:lang w:val="en-US"/>
        </w:rPr>
      </w:pPr>
      <w:r>
        <w:rPr>
          <w:lang w:val="en-US"/>
        </w:rPr>
        <w:t>–</w:t>
      </w:r>
      <w:r>
        <w:rPr>
          <w:lang w:val="en-US"/>
        </w:rPr>
        <w:tab/>
        <w:t xml:space="preserve">Total mean power of all spectral lines between </w:t>
      </w:r>
      <w:r>
        <w:rPr>
          <w:rFonts w:ascii="Symbol" w:hAnsi="Symbol"/>
          <w:lang w:val="en-US"/>
        </w:rPr>
        <w:t></w:t>
      </w:r>
      <w:r>
        <w:rPr>
          <w:lang w:val="en-US"/>
        </w:rPr>
        <w:t xml:space="preserve">150% and </w:t>
      </w:r>
      <w:r>
        <w:rPr>
          <w:rFonts w:ascii="Symbol" w:hAnsi="Symbol"/>
          <w:lang w:val="en-US"/>
        </w:rPr>
        <w:t></w:t>
      </w:r>
      <w:r>
        <w:rPr>
          <w:lang w:val="en-US"/>
        </w:rPr>
        <w:t xml:space="preserve">250% or between –150% and </w:t>
      </w:r>
      <w:r>
        <w:rPr>
          <w:lang w:val="en-US"/>
        </w:rPr>
        <w:fldChar w:fldCharType="begin"/>
      </w:r>
      <w:r>
        <w:rPr>
          <w:lang w:val="en-US"/>
        </w:rPr>
        <w:instrText xml:space="preserve"> EQ  –250%</w:instrText>
      </w:r>
      <w:r>
        <w:rPr>
          <w:lang w:val="en-US"/>
        </w:rPr>
        <w:fldChar w:fldCharType="end"/>
      </w:r>
      <w:r>
        <w:rPr>
          <w:lang w:val="en-US"/>
        </w:rPr>
        <w:t xml:space="preserve"> of Channel Separation: 45 dBc.</w:t>
      </w:r>
    </w:p>
    <w:p w:rsidR="009B14AA" w:rsidRDefault="009B14AA" w:rsidP="009B14AA">
      <w:pPr>
        <w:pStyle w:val="Note"/>
        <w:rPr>
          <w:lang w:val="en-US"/>
        </w:rPr>
      </w:pPr>
      <w:r>
        <w:rPr>
          <w:lang w:val="en-US"/>
        </w:rPr>
        <w:t>NOTE 1 – When no channel separation is defined the necessary bandwidth could be used.</w:t>
      </w:r>
    </w:p>
    <w:p w:rsidR="009B14AA" w:rsidRDefault="009B14AA" w:rsidP="009B14AA">
      <w:pPr>
        <w:pStyle w:val="Heading2"/>
        <w:rPr>
          <w:lang w:val="en-US"/>
        </w:rPr>
      </w:pPr>
      <w:r>
        <w:rPr>
          <w:lang w:val="en-US"/>
        </w:rPr>
        <w:t>2.2</w:t>
      </w:r>
      <w:r>
        <w:rPr>
          <w:lang w:val="en-US"/>
        </w:rPr>
        <w:tab/>
        <w:t>Systems operating below 30 MHz</w:t>
      </w:r>
    </w:p>
    <w:p w:rsidR="009B14AA" w:rsidRDefault="009B14AA" w:rsidP="009B14AA">
      <w:pPr>
        <w:spacing w:line="260" w:lineRule="exact"/>
        <w:rPr>
          <w:lang w:val="en-US"/>
        </w:rPr>
      </w:pPr>
      <w:r>
        <w:rPr>
          <w:lang w:val="en-US"/>
        </w:rPr>
        <w:t xml:space="preserve">The spectral lines falling in the OoB domain, between </w:t>
      </w:r>
      <w:r>
        <w:rPr>
          <w:rFonts w:ascii="Symbol" w:hAnsi="Symbol"/>
          <w:lang w:val="en-US"/>
        </w:rPr>
        <w:t></w:t>
      </w:r>
      <w:r>
        <w:rPr>
          <w:lang w:val="en-US"/>
        </w:rPr>
        <w:t xml:space="preserve">50% and </w:t>
      </w:r>
      <w:r>
        <w:rPr>
          <w:rFonts w:ascii="Symbol" w:hAnsi="Symbol"/>
          <w:lang w:val="en-US"/>
        </w:rPr>
        <w:t></w:t>
      </w:r>
      <w:r>
        <w:rPr>
          <w:lang w:val="en-US"/>
        </w:rPr>
        <w:t>250% or between –50% and</w:t>
      </w:r>
      <w:r>
        <w:rPr>
          <w:lang w:val="en-US"/>
        </w:rPr>
        <w:br/>
        <w:t>–250% of the necessary bandwidth should meet the spurious limit as defined by Recommendation ITU-R SM.329.</w:t>
      </w:r>
    </w:p>
    <w:p w:rsidR="009B14AA" w:rsidRDefault="009B14AA" w:rsidP="009B14AA">
      <w:pPr>
        <w:pStyle w:val="Heading1"/>
        <w:rPr>
          <w:lang w:val="en-US"/>
        </w:rPr>
      </w:pPr>
      <w:r>
        <w:rPr>
          <w:lang w:val="en-US"/>
        </w:rPr>
        <w:t>3</w:t>
      </w:r>
      <w:r>
        <w:rPr>
          <w:lang w:val="en-US"/>
        </w:rPr>
        <w:tab/>
        <w:t>Analogue fixed service</w:t>
      </w:r>
    </w:p>
    <w:p w:rsidR="009B14AA" w:rsidRDefault="009B14AA" w:rsidP="009B14AA">
      <w:pPr>
        <w:rPr>
          <w:lang w:val="en-US"/>
        </w:rPr>
      </w:pPr>
      <w:r>
        <w:rPr>
          <w:lang w:val="en-US"/>
        </w:rPr>
        <w:t>Radiocommunication Study Group 9 – Fixed Service, decided in 1991 not to support any longer development of Recommendations on analogue systems (see Recommendation ITU-R F.745).</w:t>
      </w:r>
    </w:p>
    <w:p w:rsidR="009B14AA" w:rsidRDefault="009B14AA" w:rsidP="009B14AA">
      <w:pPr>
        <w:rPr>
          <w:lang w:val="en-US"/>
        </w:rPr>
      </w:pPr>
      <w:r>
        <w:rPr>
          <w:lang w:val="en-US"/>
        </w:rPr>
        <w:t>Even if still in operation, new development of analogue systems are not likely to happen; therefore there is no need for safety net masks in this Recommendation.</w:t>
      </w:r>
    </w:p>
    <w:p w:rsidR="009B14AA" w:rsidRDefault="009B14AA" w:rsidP="009B14AA">
      <w:pPr>
        <w:rPr>
          <w:lang w:val="en-US"/>
        </w:rPr>
      </w:pPr>
    </w:p>
    <w:p w:rsidR="009B14AA" w:rsidRDefault="009B14AA" w:rsidP="009B14AA">
      <w:pPr>
        <w:rPr>
          <w:lang w:val="en-US"/>
        </w:rPr>
      </w:pPr>
    </w:p>
    <w:p w:rsidR="009B14AA" w:rsidRDefault="009B14AA" w:rsidP="009B14AA">
      <w:pPr>
        <w:rPr>
          <w:lang w:val="en-US"/>
        </w:rPr>
      </w:pPr>
    </w:p>
    <w:p w:rsidR="009B14AA" w:rsidRDefault="009B14AA" w:rsidP="009B14AA">
      <w:pPr>
        <w:rPr>
          <w:lang w:val="en-US"/>
        </w:rPr>
      </w:pPr>
    </w:p>
    <w:p w:rsidR="009B14AA" w:rsidRDefault="009B14AA" w:rsidP="009B14AA">
      <w:pPr>
        <w:rPr>
          <w:lang w:val="en-US"/>
        </w:rPr>
      </w:pPr>
    </w:p>
    <w:p w:rsidR="009B14AA" w:rsidRDefault="009B14AA" w:rsidP="009B14AA">
      <w:pPr>
        <w:rPr>
          <w:lang w:val="en-US"/>
        </w:rPr>
      </w:pPr>
    </w:p>
    <w:p w:rsidR="009B14AA" w:rsidRDefault="009B14AA" w:rsidP="009B14AA">
      <w:pPr>
        <w:pStyle w:val="AnnexNoTitle"/>
        <w:rPr>
          <w:lang w:val="en-US"/>
        </w:rPr>
      </w:pPr>
      <w:r>
        <w:rPr>
          <w:lang w:val="en-US"/>
        </w:rPr>
        <w:t>Annex  13</w:t>
      </w:r>
      <w:r>
        <w:rPr>
          <w:lang w:val="en-US"/>
        </w:rPr>
        <w:br/>
      </w:r>
      <w:r>
        <w:rPr>
          <w:lang w:val="en-US"/>
        </w:rPr>
        <w:br/>
        <w:t>OoB domain emission measurements</w:t>
      </w:r>
    </w:p>
    <w:p w:rsidR="009B14AA" w:rsidRDefault="009B14AA" w:rsidP="009B14AA">
      <w:pPr>
        <w:pStyle w:val="Heading1"/>
        <w:rPr>
          <w:lang w:val="en-US"/>
        </w:rPr>
      </w:pPr>
      <w:r>
        <w:rPr>
          <w:lang w:val="en-US"/>
        </w:rPr>
        <w:t>1</w:t>
      </w:r>
      <w:r>
        <w:rPr>
          <w:lang w:val="en-US"/>
        </w:rPr>
        <w:tab/>
        <w:t>Measuring equipment</w:t>
      </w:r>
    </w:p>
    <w:p w:rsidR="009B14AA" w:rsidRDefault="009B14AA" w:rsidP="009B14AA">
      <w:pPr>
        <w:pStyle w:val="Heading2"/>
        <w:rPr>
          <w:lang w:val="en-US"/>
        </w:rPr>
      </w:pPr>
      <w:r>
        <w:rPr>
          <w:lang w:val="en-US"/>
        </w:rPr>
        <w:t>1.1</w:t>
      </w:r>
      <w:r>
        <w:rPr>
          <w:lang w:val="en-US"/>
        </w:rPr>
        <w:tab/>
        <w:t>Selective measuring receiver</w:t>
      </w:r>
    </w:p>
    <w:p w:rsidR="009B14AA" w:rsidRDefault="009B14AA" w:rsidP="009B14AA">
      <w:pPr>
        <w:rPr>
          <w:lang w:val="en-US"/>
        </w:rPr>
      </w:pPr>
      <w:r>
        <w:rPr>
          <w:lang w:val="en-US"/>
        </w:rPr>
        <w:t xml:space="preserve">A spectrum analyser or other suitable equipment with sufficient amplitude dynamic range to accurately perform measurements over the range of attenuation specified for the chosen method should be used for the measurement of power supplied to the antenna. If the dynamic range is not </w:t>
      </w:r>
      <w:r>
        <w:rPr>
          <w:lang w:val="en-US"/>
        </w:rPr>
        <w:lastRenderedPageBreak/>
        <w:t>sufficient for the required measurements, filtering techniques (e.g. pre</w:t>
      </w:r>
      <w:r>
        <w:rPr>
          <w:lang w:val="en-US"/>
        </w:rPr>
        <w:noBreakHyphen/>
        <w:t>selection or notch filters) may be applicable to solve the measurement of OoB domain emissions.</w:t>
      </w:r>
    </w:p>
    <w:p w:rsidR="009B14AA" w:rsidRDefault="009B14AA" w:rsidP="009B14AA">
      <w:pPr>
        <w:rPr>
          <w:lang w:val="en-US"/>
        </w:rPr>
      </w:pPr>
      <w:r>
        <w:rPr>
          <w:lang w:val="en-US"/>
        </w:rPr>
        <w:t>Principally there are two ways of specifying OoB domain emission limits, a) the spectrum mask method and b) the method of specifying adjacent channel and alternate adjacent channel powers.</w:t>
      </w:r>
    </w:p>
    <w:p w:rsidR="009B14AA" w:rsidRDefault="009B14AA" w:rsidP="009B14AA">
      <w:pPr>
        <w:pStyle w:val="enumlev1"/>
        <w:rPr>
          <w:lang w:val="en-US"/>
        </w:rPr>
      </w:pPr>
      <w:r>
        <w:rPr>
          <w:lang w:val="en-US"/>
        </w:rPr>
        <w:t>a)</w:t>
      </w:r>
      <w:r>
        <w:rPr>
          <w:lang w:val="en-US"/>
        </w:rPr>
        <w:tab/>
        <w:t>For measurements using the OoB mask method (see Annex 1), the measuring receiver needs the ability to simultaneously display the limiting curve and the emission psd. Also needed is the ability to enter the line segments needed to describe and store the various segments of the limit curves, some of which need an algebraic equation.</w:t>
      </w:r>
    </w:p>
    <w:p w:rsidR="009B14AA" w:rsidRDefault="009B14AA" w:rsidP="009B14AA">
      <w:pPr>
        <w:pStyle w:val="enumlev1"/>
        <w:rPr>
          <w:lang w:val="en-US"/>
        </w:rPr>
      </w:pPr>
      <w:r>
        <w:rPr>
          <w:lang w:val="en-US"/>
        </w:rPr>
        <w:t>b)</w:t>
      </w:r>
      <w:r>
        <w:rPr>
          <w:lang w:val="en-US"/>
        </w:rPr>
        <w:tab/>
        <w:t>For measurements using the adjacent-channel and alternate-adjacent-channel-power method (see Annex 1), the measuring receiver needs the ability to compute the power in a specified bandwidth using numerical summation of a set of measurements made in smaller sub-bands. An alternative method is the use of channel filters for direct power measurement in an adjacent or alternate adjacent channel. Also needed is the ability to enter, store and display the channel edges.</w:t>
      </w:r>
    </w:p>
    <w:p w:rsidR="009B14AA" w:rsidRDefault="009B14AA" w:rsidP="009B14AA">
      <w:pPr>
        <w:pStyle w:val="Heading3"/>
        <w:rPr>
          <w:lang w:val="en-US"/>
        </w:rPr>
      </w:pPr>
      <w:r>
        <w:rPr>
          <w:lang w:val="en-US"/>
        </w:rPr>
        <w:t>1.1.1</w:t>
      </w:r>
      <w:r>
        <w:rPr>
          <w:lang w:val="en-US"/>
        </w:rPr>
        <w:tab/>
        <w:t>Detectors of measurement equipment</w:t>
      </w:r>
    </w:p>
    <w:p w:rsidR="009B14AA" w:rsidRDefault="009B14AA" w:rsidP="009B14AA">
      <w:pPr>
        <w:rPr>
          <w:lang w:val="en-US"/>
        </w:rPr>
      </w:pPr>
      <w:r>
        <w:rPr>
          <w:lang w:val="en-US"/>
        </w:rPr>
        <w:t>The measurement receiver may include the root mean square (r.m.s.), sample and peak detector functions. It is important to note that these will generally not report the same value depending on the characteristics of the signal analysed so it is important to correct readings for the detector function (i.e. the signal processing) requirement for a specific measurement, if only one of the detectors is provided.</w:t>
      </w:r>
    </w:p>
    <w:p w:rsidR="009B14AA" w:rsidRDefault="009B14AA" w:rsidP="009B14AA">
      <w:pPr>
        <w:rPr>
          <w:lang w:val="en-US"/>
        </w:rPr>
      </w:pPr>
      <w:r>
        <w:rPr>
          <w:lang w:val="en-US"/>
        </w:rPr>
        <w:t>Many analysers use the conventional detector function of the signal passing through a logarithmic amplifier, then through an envelope detector. This results in a signal processing error for non CW signals, as the mean of the logarithmic value will not be equal to the logarithm of the mean value. When measuring Gaussian noise this results in the log average value reported to be low by 1.45 dB and a further additional 1.05 dB needs to be added to correct for the difference between the linear average value and the mean power of this signal characteristic. So, if the linear average value of Gaussian noise is measured instead of the r.m.s. value, this results in a systematic error of –2.5 dB.</w:t>
      </w:r>
    </w:p>
    <w:p w:rsidR="009B14AA" w:rsidRDefault="009B14AA" w:rsidP="009B14AA">
      <w:pPr>
        <w:rPr>
          <w:lang w:val="en-US"/>
        </w:rPr>
      </w:pPr>
      <w:r>
        <w:rPr>
          <w:lang w:val="en-US"/>
        </w:rPr>
        <w:t>Those analysers which contain digital signal processing capability serve to eliminate the need to provide these corrections by performing a true mean power measurement function by prior digitizing of the incoming signal and performing the power conversion numerically.</w:t>
      </w:r>
    </w:p>
    <w:p w:rsidR="009B14AA" w:rsidRDefault="009B14AA" w:rsidP="00CD68F8">
      <w:pPr>
        <w:rPr>
          <w:lang w:val="en-US"/>
        </w:rPr>
      </w:pPr>
      <w:r>
        <w:rPr>
          <w:lang w:val="en-US"/>
        </w:rPr>
        <w:t>Errors of this type may be minimized or eliminated if a power ratio is measured, rather than absolute power, if the settings remain constant. This condition generally exists with those analysers equipped with an adjacent channel power ratio capability. This however applies only where the signal statistics of the occupied channel and the adjacent channel are the same (e.g. Gaussian). Figure 4</w:t>
      </w:r>
      <w:r w:rsidR="00CD68F8">
        <w:rPr>
          <w:lang w:val="en-US"/>
        </w:rPr>
        <w:t>0</w:t>
      </w:r>
      <w:r>
        <w:rPr>
          <w:lang w:val="en-US"/>
        </w:rPr>
        <w:t xml:space="preserve"> gives an example where this is not the case.</w:t>
      </w:r>
    </w:p>
    <w:p w:rsidR="009B14AA" w:rsidRPr="00C813CD" w:rsidRDefault="00CD68F8" w:rsidP="009B14AA">
      <w:pPr>
        <w:pStyle w:val="FigureNo"/>
        <w:rPr>
          <w:lang w:val="en-US"/>
        </w:rPr>
      </w:pPr>
      <w:r>
        <w:rPr>
          <w:lang w:val="en-US"/>
        </w:rPr>
        <w:lastRenderedPageBreak/>
        <w:t>FIGURE 44</w:t>
      </w:r>
    </w:p>
    <w:p w:rsidR="009B14AA" w:rsidRPr="00C813CD" w:rsidRDefault="009B14AA" w:rsidP="009B14AA">
      <w:pPr>
        <w:pStyle w:val="Figuretitle"/>
        <w:rPr>
          <w:lang w:val="en-US"/>
        </w:rPr>
      </w:pPr>
      <w:r w:rsidRPr="00C813CD">
        <w:rPr>
          <w:lang w:val="en-US"/>
        </w:rPr>
        <w:t>Code division multiple access (IS95) uplink spectrum measured with true mean power</w:t>
      </w:r>
      <w:r w:rsidRPr="00C813CD">
        <w:rPr>
          <w:lang w:val="en-US"/>
        </w:rPr>
        <w:br/>
        <w:t>measurement function (upper) and trace averaging (lower)</w:t>
      </w:r>
    </w:p>
    <w:p w:rsidR="009B14AA" w:rsidRPr="00976F5D" w:rsidRDefault="004C004A" w:rsidP="009B14AA">
      <w:pPr>
        <w:pStyle w:val="Figure"/>
      </w:pPr>
      <w:r>
        <w:rPr>
          <w:noProof/>
          <w:lang w:val="en-US" w:eastAsia="zh-CN"/>
        </w:rPr>
        <w:object w:dxaOrig="8996" w:dyaOrig="12606">
          <v:shape id="_x0000_i1126" type="#_x0000_t75" style="width:338.1pt;height:473.3pt" o:ole="">
            <v:imagedata r:id="rId204" o:title=""/>
          </v:shape>
          <o:OLEObject Type="Embed" ProgID="CorelDRAW.Graphic.14" ShapeID="_x0000_i1126" DrawAspect="Content" ObjectID="_1392698856" r:id="rId205"/>
        </w:object>
      </w:r>
    </w:p>
    <w:p w:rsidR="009B14AA" w:rsidRDefault="009B14AA" w:rsidP="009B14AA">
      <w:pPr>
        <w:rPr>
          <w:lang w:val="en-US"/>
        </w:rPr>
      </w:pPr>
    </w:p>
    <w:p w:rsidR="009B14AA" w:rsidRDefault="009B14AA" w:rsidP="009B14AA">
      <w:pPr>
        <w:rPr>
          <w:lang w:val="en-US"/>
        </w:rPr>
      </w:pPr>
      <w:r>
        <w:rPr>
          <w:lang w:val="en-US"/>
        </w:rPr>
        <w:t>The level differences are different between the occupied and the adjacent channels.</w:t>
      </w:r>
    </w:p>
    <w:p w:rsidR="009B14AA" w:rsidRDefault="009B14AA" w:rsidP="009B14AA">
      <w:pPr>
        <w:pStyle w:val="Heading3"/>
        <w:rPr>
          <w:lang w:val="en-US"/>
        </w:rPr>
      </w:pPr>
      <w:r>
        <w:rPr>
          <w:lang w:val="en-US"/>
        </w:rPr>
        <w:t>1.1.2</w:t>
      </w:r>
      <w:r>
        <w:rPr>
          <w:lang w:val="en-US"/>
        </w:rPr>
        <w:tab/>
        <w:t>Resolution bandwidths</w:t>
      </w:r>
    </w:p>
    <w:p w:rsidR="009B14AA" w:rsidRDefault="009B14AA" w:rsidP="009B14AA">
      <w:pPr>
        <w:rPr>
          <w:lang w:val="en-US"/>
        </w:rPr>
      </w:pPr>
      <w:r>
        <w:rPr>
          <w:lang w:val="en-US"/>
        </w:rPr>
        <w:t>The resolution bandwidth should be ideally the recommended value of the reference bandwidth. For the psd and the mean power (for dBc) the bandwidth should be the same for in</w:t>
      </w:r>
      <w:r>
        <w:rPr>
          <w:lang w:val="en-US"/>
        </w:rPr>
        <w:noBreakHyphen/>
        <w:t>band and OoB measurements. However, the actual value of the resolution bandwidth of the IF filter used in an analyser may not be equal to that specified even though the setting may agree. This will result in an error needing correction, generally not exceeding 1.5 dB, for improved accuracy when measuring the psd of a signal in the bandwidth of the filter.</w:t>
      </w:r>
    </w:p>
    <w:p w:rsidR="009B14AA" w:rsidRDefault="009B14AA" w:rsidP="004C004A">
      <w:pPr>
        <w:keepNext/>
        <w:keepLines/>
        <w:rPr>
          <w:lang w:val="en-US"/>
        </w:rPr>
      </w:pPr>
      <w:r>
        <w:rPr>
          <w:lang w:val="en-US"/>
        </w:rPr>
        <w:lastRenderedPageBreak/>
        <w:t>Since those analysers which containing digital signal processing functions also contain digital filtering, this type of analyser generally has a more accurate implementation of the filter bandwidth setting. Further any correction needed can be provided in the digital processing algorithm; for example, to correct for the effective noise bandwidth for the filter type employed in the analyser that is important to measuring noise-like emissions from digitally modulated transmissions.</w:t>
      </w:r>
    </w:p>
    <w:p w:rsidR="009B14AA" w:rsidRDefault="009B14AA" w:rsidP="009B14AA">
      <w:pPr>
        <w:rPr>
          <w:lang w:val="en-US"/>
        </w:rPr>
      </w:pPr>
      <w:r>
        <w:rPr>
          <w:lang w:val="en-US"/>
        </w:rPr>
        <w:t>Errors of this type may be minimized or eliminated if a power ratio is measured, rather than absolute power, if the settings remain constant. This condition generally exits in those signal analysers equipped with an adjacent channel power ratio capability. This however applies only where the signal statistics of the occupied channel and the adjacent channel are the same (e.g. Gaussian).</w:t>
      </w:r>
    </w:p>
    <w:p w:rsidR="009B14AA" w:rsidRDefault="009B14AA" w:rsidP="009B14AA">
      <w:pPr>
        <w:rPr>
          <w:lang w:val="en-US"/>
        </w:rPr>
      </w:pPr>
      <w:r>
        <w:rPr>
          <w:lang w:val="en-US"/>
        </w:rPr>
        <w:t>For the adjacent channel and alternate adjacent channel power method, high selectivity channel filters may be used for the measurement of the adjacent channel power.</w:t>
      </w:r>
    </w:p>
    <w:p w:rsidR="009B14AA" w:rsidRDefault="009B14AA" w:rsidP="009B14AA">
      <w:pPr>
        <w:pStyle w:val="Note"/>
        <w:rPr>
          <w:lang w:val="en-US"/>
        </w:rPr>
      </w:pPr>
      <w:r>
        <w:rPr>
          <w:lang w:val="en-US"/>
        </w:rPr>
        <w:t>NOTE 1 – If the measurement bandwidth differs from the reference bandwidth, then for conversion of the results to the reference bandwidth a methodology is required.</w:t>
      </w:r>
    </w:p>
    <w:p w:rsidR="009B14AA" w:rsidRDefault="009B14AA" w:rsidP="009B14AA">
      <w:pPr>
        <w:pStyle w:val="Note"/>
        <w:spacing w:line="240" w:lineRule="exact"/>
        <w:rPr>
          <w:lang w:val="en-US"/>
        </w:rPr>
      </w:pPr>
      <w:r>
        <w:rPr>
          <w:lang w:val="en-US"/>
        </w:rPr>
        <w:t xml:space="preserve">NOTE 2 – When using a measurement bandwidth in the order of </w:t>
      </w:r>
      <w:r>
        <w:rPr>
          <w:i/>
          <w:iCs/>
          <w:lang w:val="en-US"/>
        </w:rPr>
        <w:t>n</w:t>
      </w:r>
      <w:r>
        <w:rPr>
          <w:lang w:val="en-US"/>
        </w:rPr>
        <w:t>% of the occupied bandwidth, an overload factor depending on the signal type to be measured, should be taken into consideration. This overload factor will roughly be (10 log (100/</w:t>
      </w:r>
      <w:r>
        <w:rPr>
          <w:i/>
          <w:iCs/>
          <w:lang w:val="en-US"/>
        </w:rPr>
        <w:t>n</w:t>
      </w:r>
      <w:r>
        <w:rPr>
          <w:lang w:val="en-US"/>
        </w:rPr>
        <w:t>) </w:t>
      </w:r>
      <w:r>
        <w:rPr>
          <w:rFonts w:ascii="Symbol" w:hAnsi="Symbol"/>
          <w:lang w:val="en-US"/>
        </w:rPr>
        <w:t></w:t>
      </w:r>
      <w:r>
        <w:rPr>
          <w:lang w:val="en-US"/>
        </w:rPr>
        <w:t> 14) dB for noise-like emissions and can be up to 20 log (100/</w:t>
      </w:r>
      <w:r>
        <w:rPr>
          <w:i/>
          <w:iCs/>
          <w:lang w:val="en-US"/>
        </w:rPr>
        <w:t>n</w:t>
      </w:r>
      <w:r>
        <w:rPr>
          <w:lang w:val="en-US"/>
        </w:rPr>
        <w:t>) dB for impulsive emissions (e.g. for radar).</w:t>
      </w:r>
    </w:p>
    <w:p w:rsidR="009B14AA" w:rsidRDefault="009B14AA" w:rsidP="009B14AA">
      <w:pPr>
        <w:pStyle w:val="Heading3"/>
        <w:rPr>
          <w:lang w:val="en-US"/>
        </w:rPr>
      </w:pPr>
      <w:r>
        <w:rPr>
          <w:lang w:val="en-US"/>
        </w:rPr>
        <w:t>1.1.3</w:t>
      </w:r>
      <w:r>
        <w:rPr>
          <w:lang w:val="en-US"/>
        </w:rPr>
        <w:tab/>
        <w:t>Video bandwidth</w:t>
      </w:r>
    </w:p>
    <w:p w:rsidR="009B14AA" w:rsidRDefault="009B14AA" w:rsidP="009B14AA">
      <w:pPr>
        <w:rPr>
          <w:lang w:val="en-US"/>
        </w:rPr>
      </w:pPr>
      <w:r>
        <w:rPr>
          <w:lang w:val="en-US"/>
        </w:rPr>
        <w:t>For peak power measurements the video bandwidth must be at least as large as the resolution bandwidth, and preferably be three to five times as large as the resolution bandwidth. For adjacent and alternate adjacent channel peak power measurements the combination of highly selective channel filters and peak detection may be used.</w:t>
      </w:r>
    </w:p>
    <w:p w:rsidR="009B14AA" w:rsidRDefault="009B14AA" w:rsidP="009B14AA">
      <w:pPr>
        <w:rPr>
          <w:b/>
          <w:i/>
          <w:lang w:val="en-US"/>
        </w:rPr>
      </w:pPr>
      <w:r>
        <w:rPr>
          <w:lang w:val="en-US"/>
        </w:rPr>
        <w:t>For mean power measurement the use of a narrow-bandwidth filter (e.g. 10 Hz) involves logarithmic mean averaging. This means the mean power resultant is lower than the actual power, the error magnitude depending on the signal statistics. Analysers with true mean power measurement function can avoid this type of error. For the adjacent and alternate adjacent channel methods the use of highly selective channel filters or an integration approach can avoid this type of error.</w:t>
      </w:r>
    </w:p>
    <w:p w:rsidR="009B14AA" w:rsidRDefault="009B14AA" w:rsidP="009B14AA">
      <w:pPr>
        <w:pStyle w:val="Heading3"/>
        <w:rPr>
          <w:lang w:val="en-US"/>
        </w:rPr>
      </w:pPr>
      <w:r>
        <w:rPr>
          <w:lang w:val="en-US"/>
        </w:rPr>
        <w:t>1.1.4</w:t>
      </w:r>
      <w:r>
        <w:rPr>
          <w:lang w:val="en-US"/>
        </w:rPr>
        <w:tab/>
        <w:t>Sweep time</w:t>
      </w:r>
    </w:p>
    <w:p w:rsidR="009B14AA" w:rsidRDefault="009B14AA" w:rsidP="009B14AA">
      <w:pPr>
        <w:rPr>
          <w:lang w:val="en-US"/>
        </w:rPr>
      </w:pPr>
      <w:r>
        <w:rPr>
          <w:lang w:val="en-US"/>
        </w:rPr>
        <w:t>Using narrow-band resolution filters involves slow sweep times. In addition, r.m.s. weighting needs time for the averaging of noise-like signals and peak detection needs time until the highest peak occurs at each frequency, which may increase the required sweep time by a factor of 10 or more.</w:t>
      </w:r>
    </w:p>
    <w:p w:rsidR="009B14AA" w:rsidRDefault="009B14AA" w:rsidP="009B14AA">
      <w:pPr>
        <w:rPr>
          <w:lang w:val="en-US"/>
        </w:rPr>
      </w:pPr>
      <w:r>
        <w:rPr>
          <w:lang w:val="en-US"/>
        </w:rPr>
        <w:t xml:space="preserve">Assuming a resolution bandwidth </w:t>
      </w:r>
      <w:r>
        <w:rPr>
          <w:i/>
          <w:iCs/>
          <w:lang w:val="en-US"/>
        </w:rPr>
        <w:t>B</w:t>
      </w:r>
      <w:r w:rsidRPr="00F67ECF">
        <w:rPr>
          <w:i/>
          <w:iCs/>
          <w:vertAlign w:val="subscript"/>
          <w:lang w:val="en-US"/>
        </w:rPr>
        <w:t>res</w:t>
      </w:r>
      <w:r>
        <w:rPr>
          <w:lang w:val="en-US"/>
        </w:rPr>
        <w:t xml:space="preserve"> of 1% and a frequency span of 500% of the occupied bandwidth, the minimum sweep time </w:t>
      </w:r>
      <w:r>
        <w:rPr>
          <w:i/>
          <w:iCs/>
          <w:lang w:val="en-US"/>
        </w:rPr>
        <w:t>T</w:t>
      </w:r>
      <w:r w:rsidRPr="00F67ECF">
        <w:rPr>
          <w:i/>
          <w:iCs/>
          <w:vertAlign w:val="subscript"/>
          <w:lang w:val="en-US"/>
        </w:rPr>
        <w:t>smin</w:t>
      </w:r>
      <w:r>
        <w:rPr>
          <w:lang w:val="en-US"/>
        </w:rPr>
        <w:t xml:space="preserve"> will be approximately:</w:t>
      </w:r>
    </w:p>
    <w:p w:rsidR="009B14AA" w:rsidRDefault="009B14AA" w:rsidP="009B14AA">
      <w:pPr>
        <w:pStyle w:val="Blanc"/>
      </w:pPr>
    </w:p>
    <w:p w:rsidR="009B14AA" w:rsidRDefault="009B14AA" w:rsidP="009B14AA">
      <w:pPr>
        <w:pStyle w:val="Equation"/>
        <w:rPr>
          <w:lang w:val="en-US"/>
        </w:rPr>
      </w:pPr>
      <w:r>
        <w:rPr>
          <w:lang w:val="en-US"/>
        </w:rPr>
        <w:tab/>
      </w:r>
      <w:r>
        <w:rPr>
          <w:lang w:val="en-US"/>
        </w:rPr>
        <w:tab/>
      </w:r>
      <w:r>
        <w:rPr>
          <w:i/>
          <w:iCs/>
          <w:lang w:val="en-US"/>
        </w:rPr>
        <w:t>T</w:t>
      </w:r>
      <w:r w:rsidRPr="00F67ECF">
        <w:rPr>
          <w:i/>
          <w:iCs/>
          <w:vertAlign w:val="subscript"/>
          <w:lang w:val="en-US"/>
        </w:rPr>
        <w:t>smin</w:t>
      </w:r>
      <w:r>
        <w:rPr>
          <w:lang w:val="en-US"/>
        </w:rPr>
        <w:t> = 1</w:t>
      </w:r>
      <w:r>
        <w:rPr>
          <w:rFonts w:ascii="Tms Rmn" w:hAnsi="Tms Rmn"/>
          <w:sz w:val="12"/>
          <w:lang w:val="en-US"/>
        </w:rPr>
        <w:t> </w:t>
      </w:r>
      <w:r>
        <w:rPr>
          <w:lang w:val="en-US"/>
        </w:rPr>
        <w:t>000 (1/</w:t>
      </w:r>
      <w:r>
        <w:rPr>
          <w:i/>
          <w:iCs/>
          <w:lang w:val="en-US"/>
        </w:rPr>
        <w:t>B</w:t>
      </w:r>
      <w:r w:rsidRPr="00F67ECF">
        <w:rPr>
          <w:i/>
          <w:iCs/>
          <w:vertAlign w:val="subscript"/>
          <w:lang w:val="en-US"/>
        </w:rPr>
        <w:t>res</w:t>
      </w:r>
      <w:r>
        <w:rPr>
          <w:lang w:val="en-US"/>
        </w:rPr>
        <w:t>)</w:t>
      </w:r>
    </w:p>
    <w:p w:rsidR="009B14AA" w:rsidRDefault="009B14AA" w:rsidP="009B14AA">
      <w:pPr>
        <w:pStyle w:val="Blanc"/>
      </w:pPr>
    </w:p>
    <w:p w:rsidR="009B14AA" w:rsidRDefault="009B14AA" w:rsidP="009B14AA">
      <w:pPr>
        <w:rPr>
          <w:lang w:val="en-US"/>
        </w:rPr>
      </w:pPr>
      <w:r>
        <w:rPr>
          <w:lang w:val="en-US"/>
        </w:rPr>
        <w:t xml:space="preserve">e.g. for an occupied bandwidth of 10 kHz a resolution bandwidth of 100 Hz will be equal to the reference bandwidth. Consequently the minimum sweep time will be </w:t>
      </w:r>
      <w:r>
        <w:rPr>
          <w:i/>
          <w:iCs/>
          <w:lang w:val="en-US"/>
        </w:rPr>
        <w:t>T</w:t>
      </w:r>
      <w:r w:rsidRPr="00F67ECF">
        <w:rPr>
          <w:i/>
          <w:iCs/>
          <w:vertAlign w:val="subscript"/>
          <w:lang w:val="en-US"/>
        </w:rPr>
        <w:t>smin</w:t>
      </w:r>
      <w:r>
        <w:rPr>
          <w:lang w:val="en-US"/>
        </w:rPr>
        <w:t> = 10 s.</w:t>
      </w:r>
    </w:p>
    <w:p w:rsidR="009B14AA" w:rsidRDefault="009B14AA" w:rsidP="009B14AA">
      <w:pPr>
        <w:rPr>
          <w:spacing w:val="-2"/>
          <w:lang w:val="en-US"/>
        </w:rPr>
      </w:pPr>
      <w:r>
        <w:rPr>
          <w:spacing w:val="-2"/>
          <w:lang w:val="en-US"/>
        </w:rPr>
        <w:t>The sweep and averaging times can considerably be reduced by using fast Fourier transform (FFT) techniques especially for narrow-band signals and by using channel filters for direct power measure</w:t>
      </w:r>
      <w:r>
        <w:rPr>
          <w:spacing w:val="-2"/>
          <w:lang w:val="en-US"/>
        </w:rPr>
        <w:softHyphen/>
        <w:t>ments in adjacent or alternate adjacent filters.</w:t>
      </w:r>
    </w:p>
    <w:p w:rsidR="009B14AA" w:rsidRDefault="009B14AA" w:rsidP="009B14AA">
      <w:pPr>
        <w:keepLines/>
        <w:rPr>
          <w:lang w:val="en-US"/>
        </w:rPr>
      </w:pPr>
      <w:r>
        <w:rPr>
          <w:lang w:val="en-US"/>
        </w:rPr>
        <w:lastRenderedPageBreak/>
        <w:t xml:space="preserve">For deterministic impulsive signals (e.g. radar) at least one cycle time </w:t>
      </w:r>
      <w:r>
        <w:rPr>
          <w:i/>
          <w:iCs/>
          <w:lang w:val="en-US"/>
        </w:rPr>
        <w:t>T</w:t>
      </w:r>
      <w:r w:rsidRPr="00F67ECF">
        <w:rPr>
          <w:i/>
          <w:iCs/>
          <w:vertAlign w:val="subscript"/>
          <w:lang w:val="en-US"/>
        </w:rPr>
        <w:t>c</w:t>
      </w:r>
      <w:r>
        <w:rPr>
          <w:lang w:val="en-US"/>
        </w:rPr>
        <w:t xml:space="preserve"> has to be taken per measurement if synchronization between measurement and radar pulses occur. Assuming 500 measurements the minimum sweep or scan time </w:t>
      </w:r>
      <w:r>
        <w:rPr>
          <w:i/>
          <w:iCs/>
          <w:lang w:val="en-US"/>
        </w:rPr>
        <w:t>T</w:t>
      </w:r>
      <w:r w:rsidRPr="00F67ECF">
        <w:rPr>
          <w:i/>
          <w:iCs/>
          <w:vertAlign w:val="subscript"/>
          <w:lang w:val="en-US"/>
        </w:rPr>
        <w:t>smin</w:t>
      </w:r>
      <w:r>
        <w:rPr>
          <w:lang w:val="en-US"/>
        </w:rPr>
        <w:t xml:space="preserve"> = 500 </w:t>
      </w:r>
      <w:r>
        <w:rPr>
          <w:i/>
          <w:iCs/>
          <w:lang w:val="en-US"/>
        </w:rPr>
        <w:t>T</w:t>
      </w:r>
      <w:r w:rsidRPr="00F67ECF">
        <w:rPr>
          <w:i/>
          <w:iCs/>
          <w:vertAlign w:val="subscript"/>
          <w:lang w:val="en-US"/>
        </w:rPr>
        <w:t>c</w:t>
      </w:r>
      <w:r>
        <w:rPr>
          <w:lang w:val="en-US"/>
        </w:rPr>
        <w:t>. If synchronization does not occur, the minimum sweep or scan time will have to be multiplied by a factor of 2.</w:t>
      </w:r>
    </w:p>
    <w:p w:rsidR="009B14AA" w:rsidRDefault="009B14AA" w:rsidP="009B14AA">
      <w:pPr>
        <w:pStyle w:val="Heading2"/>
        <w:rPr>
          <w:lang w:val="en-US"/>
        </w:rPr>
      </w:pPr>
      <w:r>
        <w:rPr>
          <w:lang w:val="en-US"/>
        </w:rPr>
        <w:t>1.2</w:t>
      </w:r>
      <w:r>
        <w:rPr>
          <w:lang w:val="en-US"/>
        </w:rPr>
        <w:tab/>
        <w:t>Coupling device</w:t>
      </w:r>
    </w:p>
    <w:p w:rsidR="009B14AA" w:rsidRDefault="009B14AA" w:rsidP="004C004A">
      <w:pPr>
        <w:rPr>
          <w:lang w:val="en-US"/>
        </w:rPr>
      </w:pPr>
      <w:r>
        <w:rPr>
          <w:lang w:val="en-US"/>
        </w:rPr>
        <w:t>Measurements are made using a directional coupler capable of handling the power of the fundamental emission as illustrated in Fig. 4</w:t>
      </w:r>
      <w:r w:rsidR="004C004A">
        <w:rPr>
          <w:lang w:val="en-US"/>
        </w:rPr>
        <w:t>5</w:t>
      </w:r>
      <w:r>
        <w:rPr>
          <w:lang w:val="en-US"/>
        </w:rPr>
        <w:t>. To assure attainment of the proper measurement result it is necessary that this coupler present the proper impedance required for both states when switching between the signal generator and the transmitter under test.</w:t>
      </w:r>
    </w:p>
    <w:p w:rsidR="009B14AA" w:rsidRDefault="009B14AA" w:rsidP="009B14AA">
      <w:pPr>
        <w:pStyle w:val="Heading2"/>
        <w:rPr>
          <w:lang w:val="en-US"/>
        </w:rPr>
      </w:pPr>
      <w:r>
        <w:rPr>
          <w:lang w:val="en-US"/>
        </w:rPr>
        <w:t>1.3</w:t>
      </w:r>
      <w:r>
        <w:rPr>
          <w:lang w:val="en-US"/>
        </w:rPr>
        <w:tab/>
        <w:t>Terminal load</w:t>
      </w:r>
    </w:p>
    <w:p w:rsidR="009B14AA" w:rsidRDefault="009B14AA" w:rsidP="009B14AA">
      <w:pPr>
        <w:rPr>
          <w:lang w:val="en-US"/>
        </w:rPr>
      </w:pPr>
      <w:r>
        <w:rPr>
          <w:lang w:val="en-US"/>
        </w:rPr>
        <w:t>To measure the power of OoB domain emissions, while using measurement Method 1 (see § 3), the transmitter should be connected to a test load or terminal load. The level of spurious domain emission depends on proper impedance matching between the transmitter, the transmission line and the test load.</w:t>
      </w:r>
    </w:p>
    <w:p w:rsidR="009B14AA" w:rsidRDefault="009B14AA" w:rsidP="009B14AA">
      <w:pPr>
        <w:pStyle w:val="Heading2"/>
        <w:rPr>
          <w:lang w:val="en-US"/>
        </w:rPr>
      </w:pPr>
      <w:r>
        <w:rPr>
          <w:lang w:val="en-US"/>
        </w:rPr>
        <w:t>1.4</w:t>
      </w:r>
      <w:r>
        <w:rPr>
          <w:lang w:val="en-US"/>
        </w:rPr>
        <w:tab/>
        <w:t>Measuring antenna</w:t>
      </w:r>
    </w:p>
    <w:p w:rsidR="009B14AA" w:rsidRDefault="009B14AA" w:rsidP="009B14AA">
      <w:pPr>
        <w:rPr>
          <w:lang w:val="en-US"/>
        </w:rPr>
      </w:pPr>
      <w:r>
        <w:rPr>
          <w:lang w:val="en-US"/>
        </w:rPr>
        <w:t>Measurements are using Method 2 made with a tuned dipole antenna or a reference antenna with a known gain referenced to an isotropic antenna.</w:t>
      </w:r>
    </w:p>
    <w:p w:rsidR="009B14AA" w:rsidRDefault="009B14AA" w:rsidP="009B14AA">
      <w:pPr>
        <w:pStyle w:val="Heading2"/>
        <w:rPr>
          <w:u w:val="single"/>
          <w:lang w:val="en-US"/>
        </w:rPr>
      </w:pPr>
      <w:r>
        <w:rPr>
          <w:lang w:val="en-US"/>
        </w:rPr>
        <w:t>1.5</w:t>
      </w:r>
      <w:r>
        <w:rPr>
          <w:lang w:val="en-US"/>
        </w:rPr>
        <w:tab/>
        <w:t>Conditions of modulation</w:t>
      </w:r>
    </w:p>
    <w:p w:rsidR="009B14AA" w:rsidRDefault="009B14AA" w:rsidP="009B14AA">
      <w:pPr>
        <w:rPr>
          <w:lang w:val="en-US"/>
        </w:rPr>
      </w:pPr>
      <w:r>
        <w:rPr>
          <w:lang w:val="en-US"/>
        </w:rPr>
        <w:t>The modulation conditions may be critical in assessing equipment performance, and should be the same for both in-band and OoB power measurements. Whenever it is possible, the measurements are made in the presence of the maximum rated modulation under normal operating conditions. Some examples follow.</w:t>
      </w:r>
    </w:p>
    <w:p w:rsidR="009B14AA" w:rsidRDefault="009B14AA" w:rsidP="009B14AA">
      <w:pPr>
        <w:pStyle w:val="Heading3"/>
        <w:rPr>
          <w:lang w:val="en-US"/>
        </w:rPr>
      </w:pPr>
      <w:r>
        <w:rPr>
          <w:lang w:val="en-US"/>
        </w:rPr>
        <w:t>1.5.1</w:t>
      </w:r>
      <w:r>
        <w:rPr>
          <w:lang w:val="en-US"/>
        </w:rPr>
        <w:tab/>
        <w:t>Analogue voice modulation (e.g. A3E, F3E and J3E emission designators)</w:t>
      </w:r>
    </w:p>
    <w:p w:rsidR="009B14AA" w:rsidRDefault="009B14AA" w:rsidP="009B14AA">
      <w:pPr>
        <w:pStyle w:val="Heading4"/>
        <w:rPr>
          <w:lang w:val="en-US"/>
        </w:rPr>
      </w:pPr>
      <w:r>
        <w:rPr>
          <w:lang w:val="en-US"/>
        </w:rPr>
        <w:t>1.5.1.1</w:t>
      </w:r>
      <w:r>
        <w:rPr>
          <w:lang w:val="en-US"/>
        </w:rPr>
        <w:tab/>
        <w:t>Amplitude voice modulation (A3E, B8E, H3E, J3E and R3E emission designators)</w:t>
      </w:r>
    </w:p>
    <w:p w:rsidR="009B14AA" w:rsidRDefault="009B14AA" w:rsidP="009B14AA">
      <w:pPr>
        <w:rPr>
          <w:lang w:val="en-US"/>
        </w:rPr>
      </w:pPr>
      <w:r>
        <w:rPr>
          <w:lang w:val="en-US"/>
        </w:rPr>
        <w:t>Coloured Gaussian noise test signals may be employed in accordance with Recommendation ITU</w:t>
      </w:r>
      <w:r>
        <w:rPr>
          <w:lang w:val="en-US"/>
        </w:rPr>
        <w:noBreakHyphen/>
        <w:t>R SM.328, Annex 1. Some additional suggestions concerning adjustment of the input signal levels can be found in Annexes 2 and 5 of the same Recommendation.</w:t>
      </w:r>
    </w:p>
    <w:p w:rsidR="009B14AA" w:rsidRDefault="009B14AA" w:rsidP="009B14AA">
      <w:pPr>
        <w:rPr>
          <w:lang w:val="en-US"/>
        </w:rPr>
      </w:pPr>
      <w:r>
        <w:rPr>
          <w:lang w:val="en-US"/>
        </w:rPr>
        <w:t>However, a number of current international standards (e.g. European Telecommunication Standards Institute (ETSI) ETS 300 373) use multiple tones for testing, as does Annex 9 (OoB domain emissions limits for the amateur services) of this Recommendation on OoB domain emission limits.</w:t>
      </w:r>
    </w:p>
    <w:p w:rsidR="009B14AA" w:rsidRDefault="009B14AA" w:rsidP="009B14AA">
      <w:pPr>
        <w:pStyle w:val="Heading4"/>
        <w:rPr>
          <w:lang w:val="en-US"/>
        </w:rPr>
      </w:pPr>
      <w:r>
        <w:rPr>
          <w:lang w:val="en-US"/>
        </w:rPr>
        <w:t>1.5.1.2</w:t>
      </w:r>
      <w:r>
        <w:rPr>
          <w:lang w:val="en-US"/>
        </w:rPr>
        <w:tab/>
        <w:t>Frequency voice modulation (F3E and P3E emission designators)</w:t>
      </w:r>
    </w:p>
    <w:p w:rsidR="009B14AA" w:rsidRDefault="009B14AA" w:rsidP="009B14AA">
      <w:pPr>
        <w:rPr>
          <w:lang w:val="en-US"/>
        </w:rPr>
      </w:pPr>
      <w:r>
        <w:rPr>
          <w:lang w:val="en-US"/>
        </w:rPr>
        <w:t>For transmitters using narrow-band phase or frequency modulation, a single modulation frequency of e.g. 1 kHz may be used.</w:t>
      </w:r>
    </w:p>
    <w:p w:rsidR="009B14AA" w:rsidRDefault="009B14AA" w:rsidP="009B14AA">
      <w:pPr>
        <w:pStyle w:val="Heading3"/>
        <w:rPr>
          <w:lang w:val="en-US"/>
        </w:rPr>
      </w:pPr>
      <w:r>
        <w:rPr>
          <w:lang w:val="en-US"/>
        </w:rPr>
        <w:t>1.5.2</w:t>
      </w:r>
      <w:r>
        <w:rPr>
          <w:lang w:val="en-US"/>
        </w:rPr>
        <w:tab/>
        <w:t>Digital modulation (e.g. F1E, F7W, F9W, G1E, G7W, D7W emission designators)</w:t>
      </w:r>
    </w:p>
    <w:p w:rsidR="009B14AA" w:rsidRDefault="009B14AA" w:rsidP="009B14AA">
      <w:pPr>
        <w:rPr>
          <w:lang w:val="en-US"/>
        </w:rPr>
      </w:pPr>
      <w:r>
        <w:rPr>
          <w:lang w:val="en-US"/>
        </w:rPr>
        <w:t>A pseudo-random signal pattern such as that described in ITU-T Recommendation O.153 should be employed at the maximum modulation level. This may require the simultaneous employment of a set of multiple specific Walsh codes for code division multiple access transmitters.</w:t>
      </w:r>
    </w:p>
    <w:p w:rsidR="009B14AA" w:rsidRDefault="009B14AA" w:rsidP="009B14AA">
      <w:pPr>
        <w:pStyle w:val="Heading3"/>
        <w:rPr>
          <w:lang w:val="en-US"/>
        </w:rPr>
      </w:pPr>
      <w:r>
        <w:rPr>
          <w:lang w:val="en-US"/>
        </w:rPr>
        <w:t>1.5.3</w:t>
      </w:r>
      <w:r>
        <w:rPr>
          <w:lang w:val="en-US"/>
        </w:rPr>
        <w:tab/>
        <w:t>Other modulations</w:t>
      </w:r>
    </w:p>
    <w:p w:rsidR="009B14AA" w:rsidRDefault="009B14AA" w:rsidP="009B14AA">
      <w:pPr>
        <w:rPr>
          <w:lang w:val="en-US"/>
        </w:rPr>
      </w:pPr>
      <w:r>
        <w:rPr>
          <w:lang w:val="en-US"/>
        </w:rPr>
        <w:t>This subject is under study.</w:t>
      </w:r>
    </w:p>
    <w:p w:rsidR="009B14AA" w:rsidRDefault="009B14AA" w:rsidP="009B14AA">
      <w:pPr>
        <w:pStyle w:val="Heading3"/>
        <w:rPr>
          <w:lang w:val="en-US"/>
        </w:rPr>
      </w:pPr>
      <w:r>
        <w:rPr>
          <w:lang w:val="en-US"/>
        </w:rPr>
        <w:lastRenderedPageBreak/>
        <w:t>1.5.4</w:t>
      </w:r>
      <w:r>
        <w:rPr>
          <w:lang w:val="en-US"/>
        </w:rPr>
        <w:tab/>
        <w:t>Test input for multicarrier channels</w:t>
      </w:r>
    </w:p>
    <w:p w:rsidR="009B14AA" w:rsidRDefault="009B14AA" w:rsidP="009B14AA">
      <w:pPr>
        <w:rPr>
          <w:lang w:val="en-US"/>
        </w:rPr>
      </w:pPr>
      <w:r>
        <w:rPr>
          <w:lang w:val="en-US"/>
        </w:rPr>
        <w:t>In cases where an amplifier will be used to transmit multiple carriers, care must be taken to use an input to the system under test that adequately characterizes the OoB performance. In such a case, the OoB performance can be assessed using two unmodulated tones at the input of the transmitter as a worst</w:t>
      </w:r>
      <w:r>
        <w:rPr>
          <w:lang w:val="en-US"/>
        </w:rPr>
        <w:noBreakHyphen/>
        <w:t>case test. Both tones should be set to have a power level 6 dB below the peak envelope power of the transmitter. Other inputs can be used if deemed appropriate.</w:t>
      </w:r>
    </w:p>
    <w:p w:rsidR="009B14AA" w:rsidRDefault="009B14AA" w:rsidP="009B14AA">
      <w:pPr>
        <w:pStyle w:val="Heading1"/>
        <w:rPr>
          <w:lang w:val="en-US"/>
        </w:rPr>
      </w:pPr>
      <w:r>
        <w:rPr>
          <w:lang w:val="en-US"/>
        </w:rPr>
        <w:t>2</w:t>
      </w:r>
      <w:r>
        <w:rPr>
          <w:lang w:val="en-US"/>
        </w:rPr>
        <w:tab/>
        <w:t>Measurement limitations</w:t>
      </w:r>
    </w:p>
    <w:p w:rsidR="009B14AA" w:rsidRDefault="009B14AA" w:rsidP="009B14AA">
      <w:pPr>
        <w:pStyle w:val="Heading2"/>
        <w:rPr>
          <w:u w:val="single"/>
          <w:lang w:val="en-US"/>
        </w:rPr>
      </w:pPr>
      <w:r>
        <w:rPr>
          <w:lang w:val="en-US"/>
        </w:rPr>
        <w:t>2.1</w:t>
      </w:r>
      <w:r>
        <w:rPr>
          <w:lang w:val="en-US"/>
        </w:rPr>
        <w:tab/>
        <w:t>Measurement time limitations</w:t>
      </w:r>
    </w:p>
    <w:p w:rsidR="009B14AA" w:rsidRDefault="009B14AA" w:rsidP="009B14AA">
      <w:pPr>
        <w:rPr>
          <w:lang w:val="en-US"/>
        </w:rPr>
      </w:pPr>
      <w:r>
        <w:rPr>
          <w:lang w:val="en-US"/>
        </w:rPr>
        <w:t>For any desired signal, where the psd changes with time (e.g. non</w:t>
      </w:r>
      <w:r>
        <w:rPr>
          <w:lang w:val="en-US"/>
        </w:rPr>
        <w:noBreakHyphen/>
        <w:t>constant envelope modulation), ten or more averaged measurements should be used for consistency.</w:t>
      </w:r>
    </w:p>
    <w:p w:rsidR="009B14AA" w:rsidRDefault="009B14AA" w:rsidP="009B14AA">
      <w:pPr>
        <w:pStyle w:val="Heading2"/>
        <w:rPr>
          <w:lang w:val="en-US"/>
        </w:rPr>
      </w:pPr>
      <w:r>
        <w:rPr>
          <w:lang w:val="en-US"/>
        </w:rPr>
        <w:t>2.2</w:t>
      </w:r>
      <w:r>
        <w:rPr>
          <w:lang w:val="en-US"/>
        </w:rPr>
        <w:tab/>
        <w:t>Time division multiple access signals</w:t>
      </w:r>
    </w:p>
    <w:p w:rsidR="009B14AA" w:rsidRDefault="009B14AA" w:rsidP="009B14AA">
      <w:pPr>
        <w:rPr>
          <w:lang w:val="en-US"/>
        </w:rPr>
      </w:pPr>
      <w:r>
        <w:rPr>
          <w:lang w:val="en-US"/>
        </w:rPr>
        <w:t>For time division multiple access signals, the adjacent channel power will have to be measured during time slots using gated measurements. A distinction will have to be made between:</w:t>
      </w:r>
    </w:p>
    <w:p w:rsidR="009B14AA" w:rsidRDefault="009B14AA" w:rsidP="009B14AA">
      <w:pPr>
        <w:pStyle w:val="enumlev1"/>
        <w:rPr>
          <w:lang w:val="en-US"/>
        </w:rPr>
      </w:pPr>
      <w:r>
        <w:rPr>
          <w:lang w:val="en-US"/>
        </w:rPr>
        <w:t>–</w:t>
      </w:r>
      <w:r>
        <w:rPr>
          <w:lang w:val="en-US"/>
        </w:rPr>
        <w:tab/>
        <w:t>continuous modulation spectra and wideband noise, where averaging over a number of time slots is usually required; and</w:t>
      </w:r>
    </w:p>
    <w:p w:rsidR="009B14AA" w:rsidRDefault="009B14AA" w:rsidP="009B14AA">
      <w:pPr>
        <w:pStyle w:val="enumlev1"/>
        <w:rPr>
          <w:lang w:val="en-US"/>
        </w:rPr>
      </w:pPr>
      <w:r>
        <w:rPr>
          <w:lang w:val="en-US"/>
        </w:rPr>
        <w:t>–</w:t>
      </w:r>
      <w:r>
        <w:rPr>
          <w:lang w:val="en-US"/>
        </w:rPr>
        <w:tab/>
        <w:t>switching transients spectra where peak hold will be required (see e.g. ETSI EN 301 087).</w:t>
      </w:r>
    </w:p>
    <w:p w:rsidR="009B14AA" w:rsidRDefault="009B14AA" w:rsidP="009B14AA">
      <w:pPr>
        <w:pStyle w:val="Heading1"/>
        <w:rPr>
          <w:lang w:val="en-US"/>
        </w:rPr>
      </w:pPr>
      <w:r>
        <w:rPr>
          <w:lang w:val="en-US"/>
        </w:rPr>
        <w:t>3</w:t>
      </w:r>
      <w:r>
        <w:rPr>
          <w:lang w:val="en-US"/>
        </w:rPr>
        <w:tab/>
        <w:t>Methods of measurement</w:t>
      </w:r>
    </w:p>
    <w:p w:rsidR="009B14AA" w:rsidRDefault="009B14AA" w:rsidP="009B14AA">
      <w:pPr>
        <w:pStyle w:val="Heading2"/>
        <w:rPr>
          <w:lang w:val="en-US"/>
        </w:rPr>
      </w:pPr>
      <w:r>
        <w:rPr>
          <w:lang w:val="en-US"/>
        </w:rPr>
        <w:t>3.1</w:t>
      </w:r>
      <w:r>
        <w:rPr>
          <w:lang w:val="en-US"/>
        </w:rPr>
        <w:tab/>
        <w:t>Introduction</w:t>
      </w:r>
    </w:p>
    <w:p w:rsidR="009B14AA" w:rsidRDefault="009B14AA" w:rsidP="009B14AA">
      <w:pPr>
        <w:rPr>
          <w:lang w:val="en-US"/>
        </w:rPr>
      </w:pPr>
      <w:r>
        <w:rPr>
          <w:lang w:val="en-US"/>
        </w:rPr>
        <w:t>There are two methods for measurement of in-band and OoB emissions described in this Annex. Method 2 is described in the International Special Committee on Radio Interference (CISPR) Publication 16-2. Care must be taken with Methods 1 and 2 that emissions from the test do not cause interference to systems in the environment, nor receive interference from the environment impacting the results of the test and care must also be taken to utilize the appropriate weighting function (see § 1.1.1 above).</w:t>
      </w:r>
    </w:p>
    <w:p w:rsidR="009B14AA" w:rsidRDefault="009B14AA" w:rsidP="009B14AA">
      <w:pPr>
        <w:pStyle w:val="enumlev1"/>
        <w:rPr>
          <w:lang w:val="en-US"/>
        </w:rPr>
      </w:pPr>
      <w:r>
        <w:rPr>
          <w:lang w:val="en-US"/>
        </w:rPr>
        <w:t>–</w:t>
      </w:r>
      <w:r>
        <w:rPr>
          <w:lang w:val="en-US"/>
        </w:rPr>
        <w:tab/>
        <w:t>Method 1 is the measurement of emission power supplied to the antenna port of the equipment under test (EUT). This method should be used whenever it is practical and appropriate.</w:t>
      </w:r>
    </w:p>
    <w:p w:rsidR="009B14AA" w:rsidRDefault="009B14AA" w:rsidP="009B14AA">
      <w:pPr>
        <w:pStyle w:val="enumlev1"/>
        <w:rPr>
          <w:lang w:val="en-US"/>
        </w:rPr>
      </w:pPr>
      <w:r>
        <w:rPr>
          <w:lang w:val="en-US"/>
        </w:rPr>
        <w:t>–</w:t>
      </w:r>
      <w:r>
        <w:rPr>
          <w:lang w:val="en-US"/>
        </w:rPr>
        <w:tab/>
        <w:t xml:space="preserve">Method 2 is the measurement of the equivalent isotropic radiated power (e.i.r.p.), using a suitable test site. </w:t>
      </w:r>
    </w:p>
    <w:p w:rsidR="009B14AA" w:rsidRDefault="009B14AA" w:rsidP="009B14AA">
      <w:pPr>
        <w:pStyle w:val="enumlev1"/>
        <w:rPr>
          <w:sz w:val="22"/>
          <w:lang w:val="en-US"/>
        </w:rPr>
      </w:pPr>
      <w:r>
        <w:rPr>
          <w:lang w:val="en-US"/>
        </w:rPr>
        <w:tab/>
      </w:r>
      <w:r>
        <w:rPr>
          <w:sz w:val="22"/>
          <w:lang w:val="en-US"/>
        </w:rPr>
        <w:t>NOTE 1 – CISPR publication 16-2 describes the measurement of the effective radiated power (e.r.p.) in the frequency range 30 MHz to 18 GHz. Since for e.r.p. a tuned half-wave dipole is used as the reference antenna instead of the isotropic antenna, the e.r.p. is 2.1 dB lower than the e.i.r.p.</w:t>
      </w:r>
    </w:p>
    <w:p w:rsidR="009B14AA" w:rsidRDefault="009B14AA" w:rsidP="009B14AA">
      <w:pPr>
        <w:pStyle w:val="enumlev1"/>
        <w:rPr>
          <w:lang w:val="en-US"/>
        </w:rPr>
      </w:pPr>
      <w:r>
        <w:rPr>
          <w:lang w:val="en-US"/>
        </w:rPr>
        <w:tab/>
        <w:t>In most cases the radiated OoB emission measurements can be simplified to relative measurements, which do not require calibrated receiving antennas and the determination of the e.i.r.p. Care must however be taken when considering the use of active receiving antennas, since harmonics or intermodulation products might be generated at higher field strengths.</w:t>
      </w:r>
    </w:p>
    <w:p w:rsidR="009B14AA" w:rsidRDefault="009B14AA" w:rsidP="009B14AA">
      <w:pPr>
        <w:pStyle w:val="enumlev1"/>
        <w:rPr>
          <w:lang w:val="en-US"/>
        </w:rPr>
      </w:pPr>
      <w:r>
        <w:rPr>
          <w:lang w:val="en-US"/>
        </w:rPr>
        <w:tab/>
        <w:t>VLF/LF band transmitters should be measured using Method 2 since the boundary between the transmitter, feeder cable and antenna is not always clearly defined.</w:t>
      </w:r>
    </w:p>
    <w:p w:rsidR="009B14AA" w:rsidRDefault="009B14AA" w:rsidP="009B14AA">
      <w:pPr>
        <w:pStyle w:val="enumlev1"/>
        <w:rPr>
          <w:lang w:val="en-US"/>
        </w:rPr>
      </w:pPr>
      <w:r>
        <w:rPr>
          <w:lang w:val="en-US"/>
        </w:rPr>
        <w:lastRenderedPageBreak/>
        <w:tab/>
        <w:t xml:space="preserve">Method 2 can normally not be applied as an e.i.r.p. measurement in the frequency range below 30 MHz, since substitution antennas (such as tuned half-wave dipoles) do not exist. In most cases OoB domain emission measurements are relative measurements, they can be made in the near field. Moreover there is no need for </w:t>
      </w:r>
      <w:r>
        <w:rPr>
          <w:i/>
          <w:lang w:val="en-US"/>
        </w:rPr>
        <w:t>in situ</w:t>
      </w:r>
      <w:r>
        <w:rPr>
          <w:lang w:val="en-US"/>
        </w:rPr>
        <w:t xml:space="preserve"> field-strength measurements for systems below 30 MHz, since transmitters and antenna systems are frequently from different manufacturers. Measurements at the antenna port are generally acceptable and provide transmitter manufacturers with a means of meeting OoB emission limits.</w:t>
      </w:r>
    </w:p>
    <w:p w:rsidR="009B14AA" w:rsidRDefault="009B14AA" w:rsidP="009B14AA">
      <w:pPr>
        <w:pStyle w:val="Heading2"/>
        <w:rPr>
          <w:lang w:val="en-US"/>
        </w:rPr>
      </w:pPr>
      <w:r>
        <w:rPr>
          <w:lang w:val="en-US"/>
        </w:rPr>
        <w:t>3.2</w:t>
      </w:r>
      <w:r>
        <w:rPr>
          <w:lang w:val="en-US"/>
        </w:rPr>
        <w:tab/>
        <w:t>Method 1 – Measurement of the in-band and OoB emission power supplied to the antenna port</w:t>
      </w:r>
    </w:p>
    <w:p w:rsidR="009B14AA" w:rsidRDefault="009B14AA" w:rsidP="009B14AA">
      <w:pPr>
        <w:rPr>
          <w:lang w:val="en-US"/>
        </w:rPr>
      </w:pPr>
      <w:r>
        <w:rPr>
          <w:lang w:val="en-US"/>
        </w:rPr>
        <w:t xml:space="preserve">No particular test site or anechoic chamber is required and electromagnetic interferences should not affect the results of the tests. Whenever it is possible, the measurement should include the feeder cable. This method does not take into account attenuation due to antenna mismatch and radiation inefficiencies presented to any OoB domain emissions, or the active generation of OoB domain emissions by the antenna itself. The block-diagram of the measurement set-up for the OoB domain emission power to the </w:t>
      </w:r>
      <w:r w:rsidR="004C004A">
        <w:rPr>
          <w:lang w:val="en-US"/>
        </w:rPr>
        <w:t>antenna port is shown in Fig. 45</w:t>
      </w:r>
      <w:r>
        <w:rPr>
          <w:lang w:val="en-US"/>
        </w:rPr>
        <w:t>.</w:t>
      </w:r>
    </w:p>
    <w:p w:rsidR="009B14AA" w:rsidRPr="00C813CD" w:rsidRDefault="009B14AA" w:rsidP="004C004A">
      <w:pPr>
        <w:pStyle w:val="FigureNo"/>
        <w:rPr>
          <w:lang w:val="en-US"/>
        </w:rPr>
      </w:pPr>
      <w:r w:rsidRPr="00C813CD">
        <w:rPr>
          <w:lang w:val="en-US"/>
        </w:rPr>
        <w:t>FIGURE 4</w:t>
      </w:r>
      <w:r w:rsidR="004C004A">
        <w:rPr>
          <w:lang w:val="en-US"/>
        </w:rPr>
        <w:t>5</w:t>
      </w:r>
    </w:p>
    <w:p w:rsidR="009B14AA" w:rsidRPr="00C813CD" w:rsidRDefault="009B14AA" w:rsidP="009B14AA">
      <w:pPr>
        <w:pStyle w:val="Figuretitle"/>
        <w:rPr>
          <w:lang w:val="en-US"/>
        </w:rPr>
      </w:pPr>
      <w:r w:rsidRPr="00C813CD">
        <w:rPr>
          <w:lang w:val="en-US"/>
        </w:rPr>
        <w:t>Simplified measurement set-up for in-band and OoB</w:t>
      </w:r>
      <w:r w:rsidRPr="00C813CD">
        <w:rPr>
          <w:lang w:val="en-US"/>
        </w:rPr>
        <w:br/>
        <w:t>emission power to the antenna port</w:t>
      </w:r>
    </w:p>
    <w:p w:rsidR="009B14AA" w:rsidRPr="00976F5D" w:rsidRDefault="004C004A" w:rsidP="009B14AA">
      <w:pPr>
        <w:pStyle w:val="Figure"/>
      </w:pPr>
      <w:r>
        <w:object w:dxaOrig="9680" w:dyaOrig="7328">
          <v:shape id="_x0000_i1128" type="#_x0000_t75" style="width:359.35pt;height:272.35pt" o:ole="">
            <v:imagedata r:id="rId206" o:title=""/>
          </v:shape>
          <o:OLEObject Type="Embed" ProgID="CorelDRAW.Graphic.14" ShapeID="_x0000_i1128" DrawAspect="Content" ObjectID="_1392698857" r:id="rId207"/>
        </w:object>
      </w:r>
    </w:p>
    <w:p w:rsidR="009B14AA" w:rsidRDefault="009B14AA" w:rsidP="009B14AA">
      <w:pPr>
        <w:pStyle w:val="Heading3"/>
        <w:rPr>
          <w:lang w:val="en-US"/>
        </w:rPr>
      </w:pPr>
      <w:r>
        <w:rPr>
          <w:lang w:val="en-US"/>
        </w:rPr>
        <w:t>3.2.1</w:t>
      </w:r>
      <w:r>
        <w:rPr>
          <w:lang w:val="en-US"/>
        </w:rPr>
        <w:tab/>
        <w:t>Direct conducted method</w:t>
      </w:r>
    </w:p>
    <w:p w:rsidR="009B14AA" w:rsidRDefault="009B14AA" w:rsidP="009B14AA">
      <w:pPr>
        <w:rPr>
          <w:lang w:val="en-US"/>
        </w:rPr>
      </w:pPr>
      <w:r>
        <w:rPr>
          <w:lang w:val="en-US"/>
        </w:rPr>
        <w:t xml:space="preserve">In this approach, it is required to calibrate all the measuring components individually (filter(s), coupler, cables), or to calibrate these connecting devices as a whole. In either case, the calibration is performed by using a calibrated adjustable level generator at the input of the measurement receiver. At each frequency, </w:t>
      </w:r>
      <w:r>
        <w:rPr>
          <w:i/>
          <w:iCs/>
          <w:lang w:val="en-US"/>
        </w:rPr>
        <w:t>f</w:t>
      </w:r>
      <w:r>
        <w:rPr>
          <w:lang w:val="en-US"/>
        </w:rPr>
        <w:t xml:space="preserve">, the calibration factor, </w:t>
      </w:r>
      <w:r>
        <w:rPr>
          <w:i/>
          <w:iCs/>
          <w:lang w:val="en-US"/>
        </w:rPr>
        <w:t>k</w:t>
      </w:r>
      <w:r w:rsidRPr="005357F9">
        <w:rPr>
          <w:i/>
          <w:iCs/>
          <w:sz w:val="20"/>
          <w:vertAlign w:val="subscript"/>
          <w:lang w:val="en-US"/>
        </w:rPr>
        <w:t>f</w:t>
      </w:r>
      <w:r>
        <w:rPr>
          <w:lang w:val="en-US"/>
        </w:rPr>
        <w:t>, is then determined as follows:</w:t>
      </w:r>
    </w:p>
    <w:p w:rsidR="009B14AA" w:rsidRDefault="009B14AA" w:rsidP="009B14AA">
      <w:pPr>
        <w:pStyle w:val="Equation"/>
        <w:rPr>
          <w:i/>
          <w:iCs/>
          <w:lang w:val="en-US"/>
        </w:rPr>
      </w:pPr>
      <w:r>
        <w:rPr>
          <w:lang w:val="en-US"/>
        </w:rPr>
        <w:tab/>
      </w:r>
      <w:r>
        <w:rPr>
          <w:lang w:val="en-US"/>
        </w:rPr>
        <w:tab/>
      </w:r>
      <w:r w:rsidRPr="00AC23B9">
        <w:rPr>
          <w:position w:val="-16"/>
          <w:sz w:val="20"/>
          <w:lang w:val="fr-CH"/>
        </w:rPr>
        <w:object w:dxaOrig="1400" w:dyaOrig="400">
          <v:shape id="_x0000_i1093" type="#_x0000_t75" style="width:70.75pt;height:20.65pt" o:ole="" fillcolor="window">
            <v:imagedata r:id="rId208" o:title=""/>
          </v:shape>
          <o:OLEObject Type="Embed" ProgID="Equation.3" ShapeID="_x0000_i1093" DrawAspect="Content" ObjectID="_1392698858" r:id="rId209"/>
        </w:object>
      </w:r>
    </w:p>
    <w:p w:rsidR="009B14AA" w:rsidRDefault="009B14AA" w:rsidP="009B14AA">
      <w:pPr>
        <w:rPr>
          <w:lang w:val="en-US"/>
        </w:rPr>
      </w:pPr>
      <w:r>
        <w:rPr>
          <w:lang w:val="en-US"/>
        </w:rPr>
        <w:t>where:</w:t>
      </w:r>
    </w:p>
    <w:p w:rsidR="009B14AA" w:rsidRDefault="009B14AA" w:rsidP="009B14AA">
      <w:pPr>
        <w:pStyle w:val="Equationlegend"/>
      </w:pPr>
      <w:r>
        <w:lastRenderedPageBreak/>
        <w:tab/>
      </w:r>
      <w:r>
        <w:rPr>
          <w:i/>
          <w:iCs/>
        </w:rPr>
        <w:t>k</w:t>
      </w:r>
      <w:r w:rsidRPr="00F67ECF">
        <w:rPr>
          <w:i/>
          <w:iCs/>
          <w:vertAlign w:val="subscript"/>
        </w:rPr>
        <w:t>f</w:t>
      </w:r>
      <w:r>
        <w:t xml:space="preserve"> :</w:t>
      </w:r>
      <w:r>
        <w:tab/>
        <w:t xml:space="preserve">calibration factor at the frequency </w:t>
      </w:r>
      <w:r>
        <w:rPr>
          <w:i/>
          <w:iCs/>
        </w:rPr>
        <w:t xml:space="preserve">f </w:t>
      </w:r>
      <w:r>
        <w:t>(dB)</w:t>
      </w:r>
    </w:p>
    <w:p w:rsidR="009B14AA" w:rsidRDefault="009B14AA" w:rsidP="009B14AA">
      <w:pPr>
        <w:pStyle w:val="Equationlegend"/>
      </w:pPr>
      <w:r>
        <w:tab/>
      </w:r>
      <w:r>
        <w:rPr>
          <w:i/>
          <w:iCs/>
        </w:rPr>
        <w:t>I</w:t>
      </w:r>
      <w:r w:rsidRPr="00F67ECF">
        <w:rPr>
          <w:i/>
          <w:iCs/>
          <w:vertAlign w:val="subscript"/>
        </w:rPr>
        <w:t>f</w:t>
      </w:r>
      <w:r>
        <w:rPr>
          <w:rFonts w:ascii="Tms Rmn" w:hAnsi="Tms Rmn"/>
          <w:sz w:val="12"/>
        </w:rPr>
        <w:t> </w:t>
      </w:r>
      <w:r>
        <w:t>:</w:t>
      </w:r>
      <w:r>
        <w:tab/>
        <w:t xml:space="preserve">input power (delivered by the calibrated generator) at the frequency </w:t>
      </w:r>
      <w:r>
        <w:rPr>
          <w:i/>
          <w:iCs/>
        </w:rPr>
        <w:t>f</w:t>
      </w:r>
      <w:r>
        <w:t xml:space="preserve"> (dBW or dBm)</w:t>
      </w:r>
    </w:p>
    <w:p w:rsidR="009B14AA" w:rsidRDefault="009B14AA" w:rsidP="009B14AA">
      <w:pPr>
        <w:pStyle w:val="Equationlegend"/>
      </w:pPr>
      <w:r>
        <w:tab/>
      </w:r>
      <w:r>
        <w:rPr>
          <w:i/>
          <w:iCs/>
        </w:rPr>
        <w:t>O</w:t>
      </w:r>
      <w:r w:rsidRPr="00F67ECF">
        <w:rPr>
          <w:i/>
          <w:iCs/>
          <w:vertAlign w:val="subscript"/>
        </w:rPr>
        <w:t>f</w:t>
      </w:r>
      <w:r>
        <w:rPr>
          <w:rFonts w:ascii="Tms Rmn" w:hAnsi="Tms Rmn"/>
          <w:sz w:val="12"/>
        </w:rPr>
        <w:t> </w:t>
      </w:r>
      <w:r>
        <w:t>:</w:t>
      </w:r>
      <w:r>
        <w:tab/>
        <w:t xml:space="preserve">output power (determined by the measurement receiver) at the frequency </w:t>
      </w:r>
      <w:r>
        <w:rPr>
          <w:i/>
          <w:iCs/>
        </w:rPr>
        <w:t xml:space="preserve">f </w:t>
      </w:r>
      <w:r>
        <w:t>(dBW or dBm).</w:t>
      </w:r>
    </w:p>
    <w:p w:rsidR="009B14AA" w:rsidRDefault="009B14AA" w:rsidP="009B14AA">
      <w:pPr>
        <w:rPr>
          <w:lang w:val="en-US"/>
        </w:rPr>
      </w:pPr>
      <w:r>
        <w:rPr>
          <w:lang w:val="en-US"/>
        </w:rPr>
        <w:t>This calibration factor represents the total insertion loss of all the devices connected between the generator and the measurement receiver.</w:t>
      </w:r>
    </w:p>
    <w:p w:rsidR="009B14AA" w:rsidRDefault="009B14AA" w:rsidP="009B14AA">
      <w:pPr>
        <w:rPr>
          <w:lang w:val="en-US"/>
        </w:rPr>
      </w:pPr>
      <w:r>
        <w:rPr>
          <w:lang w:val="en-US"/>
        </w:rPr>
        <w:t>If making individual device calibration measurements, calibration of the whole measurement set-up is derived by using the following formula:</w:t>
      </w:r>
    </w:p>
    <w:p w:rsidR="009B14AA" w:rsidRDefault="009B14AA" w:rsidP="009B14AA">
      <w:pPr>
        <w:pStyle w:val="Blanc"/>
      </w:pPr>
    </w:p>
    <w:p w:rsidR="009B14AA" w:rsidRDefault="009B14AA" w:rsidP="009B14AA">
      <w:pPr>
        <w:pStyle w:val="Equation"/>
      </w:pPr>
      <w:r>
        <w:rPr>
          <w:lang w:val="en-US"/>
        </w:rPr>
        <w:tab/>
      </w:r>
      <w:r>
        <w:rPr>
          <w:lang w:val="en-US"/>
        </w:rPr>
        <w:tab/>
      </w:r>
      <w:r w:rsidRPr="00976F5D">
        <w:rPr>
          <w:position w:val="-32"/>
          <w:sz w:val="20"/>
          <w:lang w:val="fr-CH"/>
        </w:rPr>
        <w:object w:dxaOrig="1480" w:dyaOrig="580">
          <v:shape id="_x0000_i1094" type="#_x0000_t75" style="width:83.25pt;height:31.95pt" o:ole="" fillcolor="window">
            <v:imagedata r:id="rId210" o:title=""/>
          </v:shape>
          <o:OLEObject Type="Embed" ProgID="Equation.3" ShapeID="_x0000_i1094" DrawAspect="Content" ObjectID="_1392698859" r:id="rId211"/>
        </w:object>
      </w:r>
    </w:p>
    <w:p w:rsidR="009B14AA" w:rsidRDefault="009B14AA" w:rsidP="009B14AA">
      <w:pPr>
        <w:rPr>
          <w:lang w:val="en-US"/>
        </w:rPr>
      </w:pPr>
      <w:r>
        <w:rPr>
          <w:lang w:val="en-US"/>
        </w:rPr>
        <w:t>where:</w:t>
      </w:r>
    </w:p>
    <w:p w:rsidR="009B14AA" w:rsidRDefault="009B14AA" w:rsidP="009B14AA">
      <w:pPr>
        <w:pStyle w:val="Equationlegend"/>
      </w:pPr>
      <w:r>
        <w:tab/>
      </w:r>
      <w:r>
        <w:rPr>
          <w:i/>
          <w:iCs/>
        </w:rPr>
        <w:t>k</w:t>
      </w:r>
      <w:r w:rsidRPr="00F67ECF">
        <w:rPr>
          <w:i/>
          <w:iCs/>
          <w:vertAlign w:val="subscript"/>
        </w:rPr>
        <w:t>ms,</w:t>
      </w:r>
      <w:r>
        <w:rPr>
          <w:rFonts w:ascii="Tms Rmn" w:hAnsi="Tms Rmn"/>
          <w:i/>
          <w:iCs/>
          <w:position w:val="-4"/>
          <w:sz w:val="12"/>
        </w:rPr>
        <w:t> </w:t>
      </w:r>
      <w:r w:rsidRPr="00F67ECF">
        <w:rPr>
          <w:i/>
          <w:iCs/>
          <w:vertAlign w:val="subscript"/>
        </w:rPr>
        <w:t>f</w:t>
      </w:r>
      <w:r>
        <w:rPr>
          <w:rFonts w:ascii="Tms Rmn" w:hAnsi="Tms Rmn"/>
          <w:sz w:val="12"/>
        </w:rPr>
        <w:t> </w:t>
      </w:r>
      <w:r>
        <w:t>:</w:t>
      </w:r>
      <w:r>
        <w:tab/>
        <w:t xml:space="preserve">calibration factor of the measurement set-up at the frequency </w:t>
      </w:r>
      <w:r>
        <w:rPr>
          <w:i/>
          <w:iCs/>
        </w:rPr>
        <w:t>f</w:t>
      </w:r>
      <w:r>
        <w:t xml:space="preserve"> (dB)</w:t>
      </w:r>
    </w:p>
    <w:p w:rsidR="009B14AA" w:rsidRDefault="009B14AA" w:rsidP="009B14AA">
      <w:pPr>
        <w:pStyle w:val="Equationlegend"/>
      </w:pPr>
      <w:r>
        <w:tab/>
      </w:r>
      <w:r>
        <w:rPr>
          <w:i/>
          <w:iCs/>
        </w:rPr>
        <w:t>k</w:t>
      </w:r>
      <w:r w:rsidRPr="00F67ECF">
        <w:rPr>
          <w:i/>
          <w:iCs/>
          <w:vertAlign w:val="subscript"/>
        </w:rPr>
        <w:t>i,</w:t>
      </w:r>
      <w:r>
        <w:rPr>
          <w:rFonts w:ascii="Tms Rmn" w:hAnsi="Tms Rmn"/>
          <w:i/>
          <w:iCs/>
          <w:position w:val="-4"/>
          <w:sz w:val="12"/>
        </w:rPr>
        <w:t> </w:t>
      </w:r>
      <w:r w:rsidRPr="00F67ECF">
        <w:rPr>
          <w:i/>
          <w:iCs/>
          <w:vertAlign w:val="subscript"/>
        </w:rPr>
        <w:t>f</w:t>
      </w:r>
      <w:r>
        <w:rPr>
          <w:rFonts w:ascii="Tms Rmn" w:hAnsi="Tms Rmn"/>
          <w:sz w:val="12"/>
        </w:rPr>
        <w:t> </w:t>
      </w:r>
      <w:r>
        <w:t>:</w:t>
      </w:r>
      <w:r>
        <w:tab/>
        <w:t>individual calibration factor of each device in the measurement chain at the frequency </w:t>
      </w:r>
      <w:r>
        <w:rPr>
          <w:i/>
          <w:iCs/>
        </w:rPr>
        <w:t>f</w:t>
      </w:r>
      <w:r>
        <w:t> (dB).</w:t>
      </w:r>
    </w:p>
    <w:p w:rsidR="009B14AA" w:rsidRDefault="009B14AA" w:rsidP="009B14AA">
      <w:pPr>
        <w:rPr>
          <w:lang w:val="en-US"/>
        </w:rPr>
      </w:pPr>
      <w:r>
        <w:rPr>
          <w:lang w:val="en-US"/>
        </w:rPr>
        <w:t xml:space="preserve">During measurement of actual power levels, </w:t>
      </w:r>
      <w:r>
        <w:rPr>
          <w:i/>
          <w:iCs/>
          <w:lang w:val="en-US"/>
        </w:rPr>
        <w:t>P</w:t>
      </w:r>
      <w:r w:rsidRPr="00F67ECF">
        <w:rPr>
          <w:i/>
          <w:iCs/>
          <w:vertAlign w:val="subscript"/>
          <w:lang w:val="en-US"/>
        </w:rPr>
        <w:t>r,</w:t>
      </w:r>
      <w:r>
        <w:rPr>
          <w:rFonts w:ascii="Tms Rmn" w:hAnsi="Tms Rmn"/>
          <w:i/>
          <w:iCs/>
          <w:position w:val="-4"/>
          <w:sz w:val="12"/>
          <w:lang w:val="en-US"/>
        </w:rPr>
        <w:t> </w:t>
      </w:r>
      <w:r w:rsidRPr="00F67ECF">
        <w:rPr>
          <w:i/>
          <w:iCs/>
          <w:vertAlign w:val="subscript"/>
          <w:lang w:val="en-US"/>
        </w:rPr>
        <w:t xml:space="preserve">f </w:t>
      </w:r>
      <w:r>
        <w:rPr>
          <w:lang w:val="en-US"/>
        </w:rPr>
        <w:t xml:space="preserve">(dBW or dBm) is the power (read on the measuring receiver) from the OoB domain emission at the frequency </w:t>
      </w:r>
      <w:r>
        <w:rPr>
          <w:i/>
          <w:iCs/>
          <w:lang w:val="en-US"/>
        </w:rPr>
        <w:t>f</w:t>
      </w:r>
      <w:r>
        <w:rPr>
          <w:lang w:val="en-US"/>
        </w:rPr>
        <w:t xml:space="preserve">, the OoB domain emission power </w:t>
      </w:r>
      <w:r>
        <w:rPr>
          <w:i/>
          <w:iCs/>
          <w:lang w:val="en-US"/>
        </w:rPr>
        <w:t>P</w:t>
      </w:r>
      <w:r w:rsidRPr="00F67ECF">
        <w:rPr>
          <w:i/>
          <w:iCs/>
          <w:vertAlign w:val="subscript"/>
          <w:lang w:val="en-US"/>
        </w:rPr>
        <w:t>s,</w:t>
      </w:r>
      <w:r>
        <w:rPr>
          <w:rFonts w:ascii="Tms Rmn" w:hAnsi="Tms Rmn"/>
          <w:i/>
          <w:iCs/>
          <w:position w:val="-4"/>
          <w:sz w:val="12"/>
          <w:lang w:val="en-US"/>
        </w:rPr>
        <w:t> </w:t>
      </w:r>
      <w:r w:rsidRPr="00F67ECF">
        <w:rPr>
          <w:i/>
          <w:iCs/>
          <w:vertAlign w:val="subscript"/>
          <w:lang w:val="en-US"/>
        </w:rPr>
        <w:t>f</w:t>
      </w:r>
      <w:r>
        <w:rPr>
          <w:lang w:val="en-US"/>
        </w:rPr>
        <w:t xml:space="preserve">  (same unit as </w:t>
      </w:r>
      <w:r>
        <w:rPr>
          <w:i/>
          <w:iCs/>
          <w:lang w:val="en-US"/>
        </w:rPr>
        <w:t>P</w:t>
      </w:r>
      <w:r w:rsidRPr="00F67ECF">
        <w:rPr>
          <w:i/>
          <w:iCs/>
          <w:vertAlign w:val="subscript"/>
          <w:lang w:val="en-US"/>
        </w:rPr>
        <w:t>r,</w:t>
      </w:r>
      <w:r>
        <w:rPr>
          <w:rFonts w:ascii="Tms Rmn" w:hAnsi="Tms Rmn"/>
          <w:i/>
          <w:iCs/>
          <w:position w:val="-4"/>
          <w:sz w:val="12"/>
          <w:lang w:val="en-US"/>
        </w:rPr>
        <w:t> </w:t>
      </w:r>
      <w:r w:rsidRPr="00F67ECF">
        <w:rPr>
          <w:i/>
          <w:iCs/>
          <w:vertAlign w:val="subscript"/>
          <w:lang w:val="en-US"/>
        </w:rPr>
        <w:t>f</w:t>
      </w:r>
      <w:r>
        <w:rPr>
          <w:rFonts w:ascii="Tms Rmn" w:hAnsi="Tms Rmn"/>
          <w:i/>
          <w:iCs/>
          <w:position w:val="-4"/>
          <w:sz w:val="12"/>
          <w:lang w:val="en-US"/>
        </w:rPr>
        <w:t> </w:t>
      </w:r>
      <w:r>
        <w:rPr>
          <w:lang w:val="en-US"/>
        </w:rPr>
        <w:t xml:space="preserve">) at the frequency, </w:t>
      </w:r>
      <w:r>
        <w:rPr>
          <w:i/>
          <w:iCs/>
          <w:lang w:val="en-US"/>
        </w:rPr>
        <w:t>f</w:t>
      </w:r>
      <w:r>
        <w:rPr>
          <w:rFonts w:ascii="Tms Rmn" w:hAnsi="Tms Rmn"/>
          <w:sz w:val="12"/>
          <w:lang w:val="en-US"/>
        </w:rPr>
        <w:t> </w:t>
      </w:r>
      <w:r>
        <w:rPr>
          <w:lang w:val="en-US"/>
        </w:rPr>
        <w:t xml:space="preserve">, is calculated by using the following formula: </w:t>
      </w:r>
    </w:p>
    <w:p w:rsidR="009B14AA" w:rsidRDefault="009B14AA" w:rsidP="009B14AA">
      <w:pPr>
        <w:pStyle w:val="Blanc"/>
      </w:pPr>
    </w:p>
    <w:p w:rsidR="009B14AA" w:rsidRDefault="009B14AA" w:rsidP="009B14AA">
      <w:pPr>
        <w:pStyle w:val="Equation"/>
      </w:pPr>
      <w:r>
        <w:rPr>
          <w:lang w:val="en-US"/>
        </w:rPr>
        <w:tab/>
      </w:r>
      <w:r>
        <w:rPr>
          <w:lang w:val="en-US"/>
        </w:rPr>
        <w:tab/>
      </w:r>
      <w:r w:rsidRPr="00AC23B9">
        <w:rPr>
          <w:position w:val="-16"/>
          <w:lang w:val="fr-CH"/>
        </w:rPr>
        <w:object w:dxaOrig="2020" w:dyaOrig="400">
          <v:shape id="_x0000_i1095" type="#_x0000_t75" style="width:100.8pt;height:20.65pt" o:ole="">
            <v:imagedata r:id="rId212" o:title=""/>
          </v:shape>
          <o:OLEObject Type="Embed" ProgID="Equation.3" ShapeID="_x0000_i1095" DrawAspect="Content" ObjectID="_1392698860" r:id="rId213"/>
        </w:object>
      </w:r>
    </w:p>
    <w:p w:rsidR="009B14AA" w:rsidRDefault="009B14AA" w:rsidP="009B14AA">
      <w:pPr>
        <w:pStyle w:val="Heading3"/>
        <w:rPr>
          <w:lang w:val="en-US"/>
        </w:rPr>
      </w:pPr>
      <w:r>
        <w:rPr>
          <w:lang w:val="en-US"/>
        </w:rPr>
        <w:t>3.2.2</w:t>
      </w:r>
      <w:r>
        <w:rPr>
          <w:lang w:val="en-US"/>
        </w:rPr>
        <w:tab/>
        <w:t>Substitution method</w:t>
      </w:r>
    </w:p>
    <w:p w:rsidR="009B14AA" w:rsidRDefault="009B14AA" w:rsidP="009B14AA">
      <w:pPr>
        <w:rPr>
          <w:lang w:val="en-US"/>
        </w:rPr>
      </w:pPr>
      <w:r>
        <w:rPr>
          <w:lang w:val="en-US"/>
        </w:rPr>
        <w:t>This method does not require calibration of all measuring components. Instead, the output power is recorded from the measuring receiver. Then this power level is matched by a signal of the appropriate bandwidth from a calibrated signal generator which is substituted for the EUT. The power supplied by the generator is then equal to the power of the OoB domain emission.</w:t>
      </w:r>
    </w:p>
    <w:p w:rsidR="009B14AA" w:rsidRDefault="009B14AA" w:rsidP="009B14AA">
      <w:pPr>
        <w:pStyle w:val="Heading3"/>
        <w:rPr>
          <w:lang w:val="en-US"/>
        </w:rPr>
      </w:pPr>
      <w:r>
        <w:rPr>
          <w:lang w:val="en-US"/>
        </w:rPr>
        <w:t>3.2.3</w:t>
      </w:r>
      <w:r>
        <w:rPr>
          <w:lang w:val="en-US"/>
        </w:rPr>
        <w:tab/>
        <w:t>Specific measurements</w:t>
      </w:r>
    </w:p>
    <w:p w:rsidR="009B14AA" w:rsidRDefault="009B14AA" w:rsidP="009B14AA">
      <w:pPr>
        <w:rPr>
          <w:lang w:val="en-US"/>
        </w:rPr>
      </w:pPr>
      <w:r>
        <w:rPr>
          <w:lang w:val="en-US"/>
        </w:rPr>
        <w:t>Methodology follows for modulation and intermodulation generated emissions.</w:t>
      </w:r>
    </w:p>
    <w:p w:rsidR="009B14AA" w:rsidRDefault="009B14AA" w:rsidP="009B14AA">
      <w:pPr>
        <w:pStyle w:val="Heading4"/>
        <w:rPr>
          <w:lang w:val="en-US"/>
        </w:rPr>
      </w:pPr>
      <w:r>
        <w:rPr>
          <w:caps/>
          <w:lang w:val="en-US"/>
        </w:rPr>
        <w:t>3.2.3.1</w:t>
      </w:r>
      <w:r>
        <w:rPr>
          <w:caps/>
          <w:lang w:val="en-US"/>
        </w:rPr>
        <w:tab/>
        <w:t>O</w:t>
      </w:r>
      <w:r>
        <w:rPr>
          <w:lang w:val="en-US"/>
        </w:rPr>
        <w:t>ccupied bandwidth</w:t>
      </w:r>
    </w:p>
    <w:p w:rsidR="009B14AA" w:rsidRDefault="009B14AA" w:rsidP="009B14AA">
      <w:pPr>
        <w:pStyle w:val="enumlev1"/>
        <w:rPr>
          <w:lang w:val="en-US"/>
        </w:rPr>
      </w:pPr>
      <w:r>
        <w:rPr>
          <w:lang w:val="en-US"/>
        </w:rPr>
        <w:t>–</w:t>
      </w:r>
      <w:r>
        <w:rPr>
          <w:lang w:val="en-US"/>
        </w:rPr>
        <w:tab/>
        <w:t>Activate the transmitter into a matched load using the appropriate modulation condition (see § 1.5).</w:t>
      </w:r>
    </w:p>
    <w:p w:rsidR="009B14AA" w:rsidRDefault="009B14AA" w:rsidP="009B14AA">
      <w:pPr>
        <w:pStyle w:val="enumlev1"/>
        <w:rPr>
          <w:lang w:val="en-US"/>
        </w:rPr>
      </w:pPr>
      <w:r>
        <w:rPr>
          <w:lang w:val="en-US"/>
        </w:rPr>
        <w:t>–</w:t>
      </w:r>
      <w:r>
        <w:rPr>
          <w:lang w:val="en-US"/>
        </w:rPr>
        <w:tab/>
        <w:t xml:space="preserve">Using a spectrum analyser coupled to measure the power into the load, display the emission psd characteristic for a span equal to 500% of the emission necessary bandwidth. In that bandwidth integrate the total emission power throughout the whole frequency span and designate the result as </w:t>
      </w:r>
      <w:r>
        <w:rPr>
          <w:i/>
          <w:iCs/>
          <w:lang w:val="en-US"/>
        </w:rPr>
        <w:t>P</w:t>
      </w:r>
      <w:r w:rsidRPr="00F67ECF">
        <w:rPr>
          <w:i/>
          <w:iCs/>
          <w:vertAlign w:val="subscript"/>
          <w:lang w:val="en-US"/>
        </w:rPr>
        <w:t>REF</w:t>
      </w:r>
      <w:r>
        <w:rPr>
          <w:lang w:val="en-US"/>
        </w:rPr>
        <w:t>.</w:t>
      </w:r>
    </w:p>
    <w:p w:rsidR="009B14AA" w:rsidRDefault="009B14AA" w:rsidP="009B14AA">
      <w:pPr>
        <w:pStyle w:val="enumlev1"/>
        <w:rPr>
          <w:sz w:val="22"/>
          <w:lang w:val="en-US"/>
        </w:rPr>
      </w:pPr>
      <w:r>
        <w:rPr>
          <w:lang w:val="en-US"/>
        </w:rPr>
        <w:tab/>
      </w:r>
      <w:r>
        <w:rPr>
          <w:sz w:val="22"/>
          <w:lang w:val="en-US"/>
        </w:rPr>
        <w:t>NOTE 1 – The resolution bandwidth should be as close as possible to the reference bandwidth, but in any case be less than 5% of the occupied bandwidth if the measurement is to be used to verify an emission designator.</w:t>
      </w:r>
    </w:p>
    <w:p w:rsidR="009B14AA" w:rsidRDefault="009B14AA" w:rsidP="009B14AA">
      <w:pPr>
        <w:pStyle w:val="enumlev1"/>
        <w:rPr>
          <w:lang w:val="en-US"/>
        </w:rPr>
      </w:pPr>
      <w:r>
        <w:rPr>
          <w:lang w:val="en-US"/>
        </w:rPr>
        <w:t>–</w:t>
      </w:r>
      <w:r>
        <w:rPr>
          <w:lang w:val="en-US"/>
        </w:rPr>
        <w:tab/>
        <w:t xml:space="preserve">Note the frequency above the emission centre frequency at which the total power above that frequency is generally equal to 0.5% of </w:t>
      </w:r>
      <w:r>
        <w:rPr>
          <w:i/>
          <w:iCs/>
          <w:lang w:val="en-US"/>
        </w:rPr>
        <w:t>P</w:t>
      </w:r>
      <w:r w:rsidRPr="00F67ECF">
        <w:rPr>
          <w:i/>
          <w:iCs/>
          <w:vertAlign w:val="subscript"/>
          <w:lang w:val="en-US"/>
        </w:rPr>
        <w:t>REF</w:t>
      </w:r>
      <w:r>
        <w:rPr>
          <w:lang w:val="en-US"/>
        </w:rPr>
        <w:t>.</w:t>
      </w:r>
    </w:p>
    <w:p w:rsidR="009B14AA" w:rsidRDefault="009B14AA" w:rsidP="009B14AA">
      <w:pPr>
        <w:pStyle w:val="enumlev1"/>
        <w:rPr>
          <w:lang w:val="en-US"/>
        </w:rPr>
      </w:pPr>
      <w:r>
        <w:rPr>
          <w:lang w:val="en-US"/>
        </w:rPr>
        <w:t>–</w:t>
      </w:r>
      <w:r>
        <w:rPr>
          <w:lang w:val="en-US"/>
        </w:rPr>
        <w:tab/>
        <w:t xml:space="preserve">Note the frequency below the emission centre frequency at which the total power below that frequency is generally equal to 0.5% of </w:t>
      </w:r>
      <w:r>
        <w:rPr>
          <w:i/>
          <w:iCs/>
          <w:lang w:val="en-US"/>
        </w:rPr>
        <w:t>P</w:t>
      </w:r>
      <w:r w:rsidRPr="00F67ECF">
        <w:rPr>
          <w:i/>
          <w:iCs/>
          <w:vertAlign w:val="subscript"/>
          <w:lang w:val="en-US"/>
        </w:rPr>
        <w:t>REF</w:t>
      </w:r>
      <w:r>
        <w:rPr>
          <w:lang w:val="en-US"/>
        </w:rPr>
        <w:t>.</w:t>
      </w:r>
    </w:p>
    <w:p w:rsidR="009B14AA" w:rsidRDefault="009B14AA" w:rsidP="009B14AA">
      <w:pPr>
        <w:rPr>
          <w:lang w:val="en-US"/>
        </w:rPr>
      </w:pPr>
      <w:r>
        <w:rPr>
          <w:lang w:val="en-US"/>
        </w:rPr>
        <w:lastRenderedPageBreak/>
        <w:t>The difference between these frequencies is the occupied bandwidth measured for this emission.</w:t>
      </w:r>
    </w:p>
    <w:p w:rsidR="009B14AA" w:rsidRDefault="009B14AA" w:rsidP="009B14AA">
      <w:pPr>
        <w:pStyle w:val="Heading4"/>
        <w:rPr>
          <w:lang w:val="en-US"/>
        </w:rPr>
      </w:pPr>
      <w:r>
        <w:rPr>
          <w:lang w:val="en-US"/>
        </w:rPr>
        <w:t>3.2.3.2</w:t>
      </w:r>
      <w:r>
        <w:rPr>
          <w:lang w:val="en-US"/>
        </w:rPr>
        <w:tab/>
        <w:t>OoB emissions due to modulation</w:t>
      </w:r>
    </w:p>
    <w:p w:rsidR="009B14AA" w:rsidRPr="00BB1479" w:rsidRDefault="009B14AA" w:rsidP="009B14AA">
      <w:pPr>
        <w:keepNext/>
        <w:rPr>
          <w:lang w:val="en-US"/>
        </w:rPr>
      </w:pPr>
    </w:p>
    <w:p w:rsidR="009B14AA" w:rsidRPr="00C813CD" w:rsidRDefault="009B14AA" w:rsidP="004C004A">
      <w:pPr>
        <w:pStyle w:val="FigureNo"/>
        <w:rPr>
          <w:lang w:val="en-US"/>
        </w:rPr>
      </w:pPr>
      <w:r w:rsidRPr="00C813CD">
        <w:rPr>
          <w:lang w:val="en-US"/>
        </w:rPr>
        <w:t>FIGURE 4</w:t>
      </w:r>
      <w:r w:rsidR="004C004A">
        <w:rPr>
          <w:lang w:val="en-US"/>
        </w:rPr>
        <w:t>6</w:t>
      </w:r>
    </w:p>
    <w:p w:rsidR="009B14AA" w:rsidRPr="00C813CD" w:rsidRDefault="009B14AA" w:rsidP="009B14AA">
      <w:pPr>
        <w:pStyle w:val="Figuretitle"/>
        <w:rPr>
          <w:lang w:val="en-US"/>
        </w:rPr>
      </w:pPr>
      <w:r w:rsidRPr="00C813CD">
        <w:rPr>
          <w:lang w:val="en-US"/>
        </w:rPr>
        <w:t>Simplified method of measurement block diagram</w:t>
      </w:r>
    </w:p>
    <w:p w:rsidR="009B14AA" w:rsidRPr="00976F5D" w:rsidRDefault="004C004A" w:rsidP="009B14AA">
      <w:pPr>
        <w:pStyle w:val="Figure"/>
      </w:pPr>
      <w:r>
        <w:rPr>
          <w:noProof/>
          <w:lang w:val="en-US" w:eastAsia="zh-CN"/>
        </w:rPr>
        <w:object w:dxaOrig="10316" w:dyaOrig="1777">
          <v:shape id="_x0000_i1130" type="#_x0000_t75" style="width:361.9pt;height:62.6pt" o:ole="">
            <v:imagedata r:id="rId214" o:title=""/>
          </v:shape>
          <o:OLEObject Type="Embed" ProgID="CorelDRAW.Graphic.14" ShapeID="_x0000_i1130" DrawAspect="Content" ObjectID="_1392698861" r:id="rId215"/>
        </w:object>
      </w:r>
    </w:p>
    <w:p w:rsidR="009B14AA" w:rsidRDefault="009B14AA" w:rsidP="009B14AA">
      <w:pPr>
        <w:rPr>
          <w:lang w:val="en-US"/>
        </w:rPr>
      </w:pPr>
    </w:p>
    <w:p w:rsidR="009B14AA" w:rsidRDefault="009B14AA" w:rsidP="009B14AA">
      <w:pPr>
        <w:pStyle w:val="enumlev1"/>
        <w:rPr>
          <w:lang w:val="en-US"/>
        </w:rPr>
      </w:pPr>
      <w:r>
        <w:rPr>
          <w:lang w:val="en-US"/>
        </w:rPr>
        <w:t>a)</w:t>
      </w:r>
      <w:r>
        <w:rPr>
          <w:lang w:val="en-US"/>
        </w:rPr>
        <w:tab/>
        <w:t>Connect the equ</w:t>
      </w:r>
      <w:r w:rsidR="004C004A">
        <w:rPr>
          <w:lang w:val="en-US"/>
        </w:rPr>
        <w:t>ipment as illustrated in Fig. 46</w:t>
      </w:r>
      <w:r>
        <w:rPr>
          <w:lang w:val="en-US"/>
        </w:rPr>
        <w:t>. The transmitter is set to produce rated at the assigned frequency.</w:t>
      </w:r>
    </w:p>
    <w:p w:rsidR="009B14AA" w:rsidRDefault="009B14AA" w:rsidP="009B14AA">
      <w:pPr>
        <w:pStyle w:val="enumlev1"/>
        <w:rPr>
          <w:lang w:val="en-US"/>
        </w:rPr>
      </w:pPr>
      <w:r>
        <w:rPr>
          <w:lang w:val="en-US"/>
        </w:rPr>
        <w:t>b)</w:t>
      </w:r>
      <w:r>
        <w:rPr>
          <w:lang w:val="en-US"/>
        </w:rPr>
        <w:tab/>
        <w:t xml:space="preserve">The measurement bandwidth settings and markers of the analyser should be centred at the transmitter operating frequency, and simultaneously, at both the upper and lower adjacent band frequencies. The resolution and video bandwidths should be set appropriate to the bandwidth of the modulation. </w:t>
      </w:r>
    </w:p>
    <w:p w:rsidR="009B14AA" w:rsidRDefault="009B14AA" w:rsidP="009B14AA">
      <w:pPr>
        <w:pStyle w:val="enumlev1"/>
        <w:rPr>
          <w:lang w:val="en-US"/>
        </w:rPr>
      </w:pPr>
      <w:r>
        <w:rPr>
          <w:lang w:val="en-US"/>
        </w:rPr>
        <w:t>c)</w:t>
      </w:r>
      <w:r>
        <w:rPr>
          <w:lang w:val="en-US"/>
        </w:rPr>
        <w:tab/>
        <w:t>Activate the transmitter into a matched load using the appropriate modulation condition (see § 1.5).</w:t>
      </w:r>
    </w:p>
    <w:p w:rsidR="009B14AA" w:rsidRDefault="009B14AA" w:rsidP="009B14AA">
      <w:pPr>
        <w:pStyle w:val="enumlev1"/>
        <w:rPr>
          <w:lang w:val="en-US"/>
        </w:rPr>
      </w:pPr>
      <w:r>
        <w:rPr>
          <w:lang w:val="en-US"/>
        </w:rPr>
        <w:t>d)</w:t>
      </w:r>
      <w:r>
        <w:rPr>
          <w:lang w:val="en-US"/>
        </w:rPr>
        <w:tab/>
        <w:t xml:space="preserve">The power should be measured on the adjacent band power analyser in the transmitter authorized bandwidth, and should be recorded as </w:t>
      </w:r>
      <w:r>
        <w:rPr>
          <w:i/>
          <w:iCs/>
          <w:lang w:val="en-US"/>
        </w:rPr>
        <w:t>P</w:t>
      </w:r>
      <w:r w:rsidRPr="00F67ECF">
        <w:rPr>
          <w:i/>
          <w:iCs/>
          <w:vertAlign w:val="subscript"/>
          <w:lang w:val="en-US"/>
        </w:rPr>
        <w:t>REF</w:t>
      </w:r>
      <w:r>
        <w:rPr>
          <w:lang w:val="en-US"/>
        </w:rPr>
        <w:t>.</w:t>
      </w:r>
    </w:p>
    <w:p w:rsidR="009B14AA" w:rsidRDefault="009B14AA" w:rsidP="009B14AA">
      <w:pPr>
        <w:pStyle w:val="enumlev1"/>
        <w:rPr>
          <w:lang w:val="en-US"/>
        </w:rPr>
      </w:pPr>
      <w:r>
        <w:rPr>
          <w:lang w:val="en-US"/>
        </w:rPr>
        <w:t>e)</w:t>
      </w:r>
      <w:r>
        <w:rPr>
          <w:lang w:val="en-US"/>
        </w:rPr>
        <w:tab/>
        <w:t xml:space="preserve">The power should then be measured on the adjacent band power analyser in the specified measurement bandwidth centred at both the upper and lower adjacent band frequencies. The lower frequency value should be recorded as </w:t>
      </w:r>
      <w:r>
        <w:rPr>
          <w:i/>
          <w:iCs/>
          <w:lang w:val="en-US"/>
        </w:rPr>
        <w:t>P</w:t>
      </w:r>
      <w:r w:rsidRPr="00F67ECF">
        <w:rPr>
          <w:i/>
          <w:iCs/>
          <w:vertAlign w:val="subscript"/>
          <w:lang w:val="en-US"/>
        </w:rPr>
        <w:t>ADJL</w:t>
      </w:r>
      <w:r>
        <w:rPr>
          <w:lang w:val="en-US"/>
        </w:rPr>
        <w:t xml:space="preserve">, and the upper frequency value should be recorded as </w:t>
      </w:r>
      <w:r>
        <w:rPr>
          <w:i/>
          <w:iCs/>
          <w:lang w:val="en-US"/>
        </w:rPr>
        <w:t>P</w:t>
      </w:r>
      <w:r w:rsidRPr="00F67ECF">
        <w:rPr>
          <w:i/>
          <w:iCs/>
          <w:vertAlign w:val="subscript"/>
          <w:lang w:val="en-US"/>
        </w:rPr>
        <w:t>ADJU</w:t>
      </w:r>
      <w:r>
        <w:rPr>
          <w:lang w:val="en-US"/>
        </w:rPr>
        <w:t>.</w:t>
      </w:r>
    </w:p>
    <w:p w:rsidR="009B14AA" w:rsidRDefault="009B14AA" w:rsidP="009B14AA">
      <w:pPr>
        <w:pStyle w:val="enumlev1"/>
        <w:rPr>
          <w:lang w:val="en-US"/>
        </w:rPr>
      </w:pPr>
      <w:r>
        <w:rPr>
          <w:lang w:val="en-US"/>
        </w:rPr>
        <w:t>f)</w:t>
      </w:r>
      <w:r>
        <w:rPr>
          <w:lang w:val="en-US"/>
        </w:rPr>
        <w:tab/>
        <w:t xml:space="preserve">Calculate the lower adjacent band power ratio, </w:t>
      </w:r>
      <w:r>
        <w:rPr>
          <w:i/>
          <w:iCs/>
          <w:lang w:val="en-US"/>
        </w:rPr>
        <w:t>ABPR</w:t>
      </w:r>
      <w:r w:rsidRPr="00F67ECF">
        <w:rPr>
          <w:i/>
          <w:iCs/>
          <w:vertAlign w:val="subscript"/>
          <w:lang w:val="en-US"/>
        </w:rPr>
        <w:t>L</w:t>
      </w:r>
      <w:r>
        <w:rPr>
          <w:lang w:val="en-US"/>
        </w:rPr>
        <w:t>, as follows:</w:t>
      </w:r>
    </w:p>
    <w:p w:rsidR="009B14AA" w:rsidRDefault="009B14AA" w:rsidP="009B14AA">
      <w:pPr>
        <w:pStyle w:val="Blanc"/>
      </w:pPr>
    </w:p>
    <w:p w:rsidR="009B14AA" w:rsidRPr="005357F9" w:rsidRDefault="009B14AA" w:rsidP="009B14AA">
      <w:pPr>
        <w:pStyle w:val="Equation"/>
        <w:rPr>
          <w:lang w:val="en-US"/>
        </w:rPr>
      </w:pPr>
      <w:r>
        <w:rPr>
          <w:lang w:val="en-US"/>
        </w:rPr>
        <w:tab/>
      </w:r>
      <w:r>
        <w:rPr>
          <w:lang w:val="en-US"/>
        </w:rPr>
        <w:tab/>
      </w:r>
      <w:r w:rsidRPr="005357F9">
        <w:rPr>
          <w:i/>
          <w:iCs/>
          <w:lang w:val="en-US"/>
        </w:rPr>
        <w:t>ABPR</w:t>
      </w:r>
      <w:r w:rsidRPr="00F67ECF">
        <w:rPr>
          <w:i/>
          <w:iCs/>
          <w:vertAlign w:val="subscript"/>
          <w:lang w:val="en-US"/>
        </w:rPr>
        <w:t>L</w:t>
      </w:r>
      <w:r w:rsidRPr="005357F9">
        <w:rPr>
          <w:lang w:val="en-US"/>
        </w:rPr>
        <w:t> = </w:t>
      </w:r>
      <w:r w:rsidRPr="005357F9">
        <w:rPr>
          <w:i/>
          <w:iCs/>
          <w:lang w:val="en-US"/>
        </w:rPr>
        <w:t>P</w:t>
      </w:r>
      <w:r w:rsidRPr="00F67ECF">
        <w:rPr>
          <w:i/>
          <w:iCs/>
          <w:vertAlign w:val="subscript"/>
          <w:lang w:val="en-US"/>
        </w:rPr>
        <w:t>REF</w:t>
      </w:r>
      <w:r w:rsidRPr="005357F9">
        <w:rPr>
          <w:lang w:val="en-US"/>
        </w:rPr>
        <w:t> – </w:t>
      </w:r>
      <w:r w:rsidRPr="005357F9">
        <w:rPr>
          <w:i/>
          <w:iCs/>
          <w:lang w:val="en-US"/>
        </w:rPr>
        <w:t>P</w:t>
      </w:r>
      <w:r w:rsidRPr="00F67ECF">
        <w:rPr>
          <w:i/>
          <w:iCs/>
          <w:vertAlign w:val="subscript"/>
          <w:lang w:val="en-US"/>
        </w:rPr>
        <w:t>ADJL</w:t>
      </w:r>
    </w:p>
    <w:p w:rsidR="009B14AA" w:rsidRDefault="009B14AA" w:rsidP="009B14AA">
      <w:pPr>
        <w:pStyle w:val="Blanc"/>
      </w:pPr>
    </w:p>
    <w:p w:rsidR="009B14AA" w:rsidRDefault="009B14AA" w:rsidP="009B14AA">
      <w:pPr>
        <w:pStyle w:val="enumlev1"/>
        <w:rPr>
          <w:lang w:val="en-US"/>
        </w:rPr>
      </w:pPr>
      <w:r>
        <w:rPr>
          <w:lang w:val="en-US"/>
        </w:rPr>
        <w:t>g)</w:t>
      </w:r>
      <w:r>
        <w:rPr>
          <w:lang w:val="en-US"/>
        </w:rPr>
        <w:tab/>
        <w:t xml:space="preserve">Calculate the upper adjacent channel power ratio, </w:t>
      </w:r>
      <w:r>
        <w:rPr>
          <w:i/>
          <w:iCs/>
          <w:lang w:val="en-US"/>
        </w:rPr>
        <w:t>ABPR</w:t>
      </w:r>
      <w:r w:rsidRPr="00F67ECF">
        <w:rPr>
          <w:i/>
          <w:iCs/>
          <w:vertAlign w:val="subscript"/>
          <w:lang w:val="en-US"/>
        </w:rPr>
        <w:t>U</w:t>
      </w:r>
      <w:r>
        <w:rPr>
          <w:lang w:val="en-US"/>
        </w:rPr>
        <w:t>, as follows:</w:t>
      </w:r>
    </w:p>
    <w:p w:rsidR="009B14AA" w:rsidRDefault="009B14AA" w:rsidP="009B14AA">
      <w:pPr>
        <w:pStyle w:val="Blanc"/>
      </w:pPr>
    </w:p>
    <w:p w:rsidR="009B14AA" w:rsidRDefault="009B14AA" w:rsidP="009B14AA">
      <w:pPr>
        <w:pStyle w:val="Equation"/>
        <w:rPr>
          <w:lang w:val="en-US"/>
        </w:rPr>
      </w:pPr>
      <w:r>
        <w:rPr>
          <w:lang w:val="en-US"/>
        </w:rPr>
        <w:tab/>
      </w:r>
      <w:r>
        <w:rPr>
          <w:lang w:val="en-US"/>
        </w:rPr>
        <w:tab/>
      </w:r>
      <w:r>
        <w:rPr>
          <w:i/>
          <w:iCs/>
          <w:lang w:val="en-US"/>
        </w:rPr>
        <w:t>ABPR</w:t>
      </w:r>
      <w:r w:rsidRPr="00F67ECF">
        <w:rPr>
          <w:i/>
          <w:iCs/>
          <w:vertAlign w:val="subscript"/>
          <w:lang w:val="en-US"/>
        </w:rPr>
        <w:t>U</w:t>
      </w:r>
      <w:r>
        <w:rPr>
          <w:lang w:val="en-US"/>
        </w:rPr>
        <w:t> = </w:t>
      </w:r>
      <w:r>
        <w:rPr>
          <w:i/>
          <w:iCs/>
          <w:lang w:val="en-US"/>
        </w:rPr>
        <w:t>P</w:t>
      </w:r>
      <w:r w:rsidRPr="00F67ECF">
        <w:rPr>
          <w:i/>
          <w:iCs/>
          <w:vertAlign w:val="subscript"/>
          <w:lang w:val="en-US"/>
        </w:rPr>
        <w:t>REF</w:t>
      </w:r>
      <w:r>
        <w:rPr>
          <w:lang w:val="en-US"/>
        </w:rPr>
        <w:t> – </w:t>
      </w:r>
      <w:r>
        <w:rPr>
          <w:i/>
          <w:iCs/>
          <w:lang w:val="en-US"/>
        </w:rPr>
        <w:t>P</w:t>
      </w:r>
      <w:r w:rsidRPr="00F67ECF">
        <w:rPr>
          <w:i/>
          <w:iCs/>
          <w:vertAlign w:val="subscript"/>
          <w:lang w:val="en-US"/>
        </w:rPr>
        <w:t>ADJU</w:t>
      </w:r>
    </w:p>
    <w:p w:rsidR="009B14AA" w:rsidRDefault="009B14AA" w:rsidP="009B14AA">
      <w:pPr>
        <w:pStyle w:val="Blanc"/>
      </w:pPr>
    </w:p>
    <w:p w:rsidR="009B14AA" w:rsidRDefault="009B14AA" w:rsidP="009B14AA">
      <w:pPr>
        <w:pStyle w:val="enumlev1"/>
        <w:rPr>
          <w:lang w:val="en-US"/>
        </w:rPr>
      </w:pPr>
      <w:r>
        <w:rPr>
          <w:lang w:val="en-US"/>
        </w:rPr>
        <w:t>h)</w:t>
      </w:r>
      <w:r>
        <w:rPr>
          <w:lang w:val="en-US"/>
        </w:rPr>
        <w:tab/>
        <w:t xml:space="preserve">The adjacent band power ratio </w:t>
      </w:r>
      <w:r>
        <w:rPr>
          <w:i/>
          <w:iCs/>
          <w:lang w:val="en-US"/>
        </w:rPr>
        <w:t>ABPR</w:t>
      </w:r>
      <w:r w:rsidRPr="00F67ECF">
        <w:rPr>
          <w:vertAlign w:val="subscript"/>
          <w:lang w:val="en-US"/>
        </w:rPr>
        <w:t>1</w:t>
      </w:r>
      <w:r>
        <w:rPr>
          <w:lang w:val="en-US"/>
        </w:rPr>
        <w:t xml:space="preserve"> is the lesser of </w:t>
      </w:r>
      <w:r>
        <w:rPr>
          <w:i/>
          <w:iCs/>
          <w:lang w:val="en-US"/>
        </w:rPr>
        <w:t>ABPR</w:t>
      </w:r>
      <w:r w:rsidRPr="00F67ECF">
        <w:rPr>
          <w:i/>
          <w:iCs/>
          <w:vertAlign w:val="subscript"/>
          <w:lang w:val="en-US"/>
        </w:rPr>
        <w:t>L</w:t>
      </w:r>
      <w:r>
        <w:rPr>
          <w:lang w:val="en-US"/>
        </w:rPr>
        <w:t xml:space="preserve"> or </w:t>
      </w:r>
      <w:r>
        <w:rPr>
          <w:i/>
          <w:iCs/>
          <w:lang w:val="en-US"/>
        </w:rPr>
        <w:t>ABPR</w:t>
      </w:r>
      <w:r w:rsidRPr="00F67ECF">
        <w:rPr>
          <w:i/>
          <w:iCs/>
          <w:vertAlign w:val="subscript"/>
          <w:lang w:val="en-US"/>
        </w:rPr>
        <w:t>U</w:t>
      </w:r>
      <w:r>
        <w:rPr>
          <w:lang w:val="en-US"/>
        </w:rPr>
        <w:t>.</w:t>
      </w:r>
    </w:p>
    <w:p w:rsidR="009B14AA" w:rsidRDefault="009B14AA" w:rsidP="009B14AA">
      <w:pPr>
        <w:pStyle w:val="enumlev1"/>
        <w:rPr>
          <w:lang w:val="en-US"/>
        </w:rPr>
      </w:pPr>
      <w:r>
        <w:rPr>
          <w:lang w:val="en-US"/>
        </w:rPr>
        <w:t>i)</w:t>
      </w:r>
      <w:r>
        <w:rPr>
          <w:lang w:val="en-US"/>
        </w:rPr>
        <w:tab/>
        <w:t xml:space="preserve">Repeat the above steps for the </w:t>
      </w:r>
      <w:r>
        <w:rPr>
          <w:i/>
          <w:iCs/>
          <w:lang w:val="en-US"/>
        </w:rPr>
        <w:t>N</w:t>
      </w:r>
      <w:r>
        <w:rPr>
          <w:lang w:val="en-US"/>
        </w:rPr>
        <w:t>-th adjacent band.</w:t>
      </w:r>
    </w:p>
    <w:p w:rsidR="009B14AA" w:rsidRDefault="009B14AA" w:rsidP="009B14AA">
      <w:pPr>
        <w:pStyle w:val="Heading4"/>
        <w:rPr>
          <w:lang w:val="en-US"/>
        </w:rPr>
      </w:pPr>
      <w:r>
        <w:rPr>
          <w:lang w:val="en-US"/>
        </w:rPr>
        <w:t>3.2.3.3</w:t>
      </w:r>
      <w:r>
        <w:rPr>
          <w:lang w:val="en-US"/>
        </w:rPr>
        <w:tab/>
        <w:t>Measurement of the power spectral density</w:t>
      </w:r>
    </w:p>
    <w:p w:rsidR="009B14AA" w:rsidRDefault="009B14AA" w:rsidP="009B14AA">
      <w:pPr>
        <w:rPr>
          <w:lang w:val="en-US"/>
        </w:rPr>
      </w:pPr>
      <w:r>
        <w:rPr>
          <w:lang w:val="en-US"/>
        </w:rPr>
        <w:t>This measurement employs a spectrum analyser to simultaneously compare the psd of an emission with a set of limit line segments to verify that the emission does not exceed any limit at any given frequency in the measurement frequency range.</w:t>
      </w:r>
    </w:p>
    <w:p w:rsidR="009B14AA" w:rsidRDefault="009B14AA" w:rsidP="009B14AA">
      <w:pPr>
        <w:pStyle w:val="Heading2"/>
        <w:rPr>
          <w:lang w:val="en-US"/>
        </w:rPr>
      </w:pPr>
      <w:r>
        <w:rPr>
          <w:lang w:val="en-US"/>
        </w:rPr>
        <w:t>3.3</w:t>
      </w:r>
      <w:r>
        <w:rPr>
          <w:lang w:val="en-US"/>
        </w:rPr>
        <w:tab/>
        <w:t>Method 2 – Measurement of the in-band and OoB e.i.r.p.</w:t>
      </w:r>
    </w:p>
    <w:p w:rsidR="009B14AA" w:rsidRDefault="009B14AA" w:rsidP="004C004A">
      <w:pPr>
        <w:rPr>
          <w:lang w:val="en-US"/>
        </w:rPr>
      </w:pPr>
      <w:r>
        <w:rPr>
          <w:lang w:val="en-US"/>
        </w:rPr>
        <w:t>The block diagram of the measuring set-up for the OoB emission e.i.r.p. is shown in Fig. 4</w:t>
      </w:r>
      <w:r w:rsidR="004C004A">
        <w:rPr>
          <w:lang w:val="en-US"/>
        </w:rPr>
        <w:t>7</w:t>
      </w:r>
      <w:r>
        <w:rPr>
          <w:lang w:val="en-US"/>
        </w:rPr>
        <w:t>.</w:t>
      </w:r>
    </w:p>
    <w:p w:rsidR="009B14AA" w:rsidRPr="00C813CD" w:rsidRDefault="004C004A" w:rsidP="009B14AA">
      <w:pPr>
        <w:pStyle w:val="FigureNo"/>
        <w:rPr>
          <w:lang w:val="en-US"/>
        </w:rPr>
      </w:pPr>
      <w:r>
        <w:rPr>
          <w:lang w:val="en-US"/>
        </w:rPr>
        <w:lastRenderedPageBreak/>
        <w:t>FIGURE 47</w:t>
      </w:r>
    </w:p>
    <w:p w:rsidR="009B14AA" w:rsidRPr="00C813CD" w:rsidRDefault="009B14AA" w:rsidP="009B14AA">
      <w:pPr>
        <w:pStyle w:val="Figuretitle"/>
        <w:rPr>
          <w:lang w:val="en-US"/>
        </w:rPr>
      </w:pPr>
      <w:r w:rsidRPr="00C813CD">
        <w:rPr>
          <w:lang w:val="en-US"/>
        </w:rPr>
        <w:t>Simplified set-up for measuring OoB domain emission e.i.r.p.</w:t>
      </w:r>
    </w:p>
    <w:p w:rsidR="009B14AA" w:rsidRPr="00976F5D" w:rsidRDefault="004C004A" w:rsidP="009B14AA">
      <w:pPr>
        <w:pStyle w:val="Figure"/>
      </w:pPr>
      <w:r>
        <w:rPr>
          <w:noProof/>
          <w:lang w:val="en-US" w:eastAsia="zh-CN"/>
        </w:rPr>
        <w:object w:dxaOrig="9680" w:dyaOrig="5021">
          <v:shape id="_x0000_i1132" type="#_x0000_t75" style="width:360.65pt;height:187.2pt" o:ole="">
            <v:imagedata r:id="rId216" o:title=""/>
          </v:shape>
          <o:OLEObject Type="Embed" ProgID="CorelDRAW.Graphic.14" ShapeID="_x0000_i1132" DrawAspect="Content" ObjectID="_1392698862" r:id="rId217"/>
        </w:object>
      </w:r>
    </w:p>
    <w:p w:rsidR="009B14AA" w:rsidRDefault="009B14AA" w:rsidP="009B14AA">
      <w:pPr>
        <w:rPr>
          <w:lang w:val="en-US"/>
        </w:rPr>
      </w:pPr>
    </w:p>
    <w:p w:rsidR="009B14AA" w:rsidRDefault="009B14AA" w:rsidP="009B14AA">
      <w:pPr>
        <w:rPr>
          <w:lang w:val="en-US"/>
        </w:rPr>
      </w:pPr>
    </w:p>
    <w:p w:rsidR="009B14AA" w:rsidRDefault="009B14AA" w:rsidP="009B14AA">
      <w:pPr>
        <w:rPr>
          <w:lang w:val="en-US"/>
        </w:rPr>
      </w:pPr>
      <w:r>
        <w:rPr>
          <w:lang w:val="en-US"/>
        </w:rPr>
        <w:t>The OoB domain emission measurements may be made in the far field, but also in the near field, since in relatively narrow bands, the radiation conditions do not vary substantially and since only relative measurements have to be performed. The measurements of the e.i.r.p. of OoB domain emissions in any direction, in two polarizations and for any frequency could be very time consuming, although techniques to check compliance using relative measurements may reduce this workload. The use of this method to measure radars should be guided by Recommendation ITU</w:t>
      </w:r>
      <w:r>
        <w:rPr>
          <w:lang w:val="en-US"/>
        </w:rPr>
        <w:noBreakHyphen/>
        <w:t>R M.1177.</w:t>
      </w:r>
    </w:p>
    <w:p w:rsidR="009B14AA" w:rsidRDefault="009B14AA" w:rsidP="009B14AA">
      <w:pPr>
        <w:pStyle w:val="Heading3"/>
        <w:rPr>
          <w:lang w:val="en-US"/>
        </w:rPr>
      </w:pPr>
      <w:r>
        <w:rPr>
          <w:lang w:val="en-US"/>
        </w:rPr>
        <w:t>3.3.1</w:t>
      </w:r>
      <w:r>
        <w:rPr>
          <w:lang w:val="en-US"/>
        </w:rPr>
        <w:tab/>
        <w:t>Test sites for radiated emission measurements</w:t>
      </w:r>
    </w:p>
    <w:p w:rsidR="009B14AA" w:rsidRDefault="009B14AA" w:rsidP="009B14AA">
      <w:pPr>
        <w:pStyle w:val="Heading4"/>
        <w:rPr>
          <w:lang w:val="en-US"/>
        </w:rPr>
      </w:pPr>
      <w:r>
        <w:rPr>
          <w:lang w:val="en-US"/>
        </w:rPr>
        <w:t>3.3.1.1</w:t>
      </w:r>
      <w:r>
        <w:rPr>
          <w:lang w:val="en-US"/>
        </w:rPr>
        <w:tab/>
        <w:t>Test site for the frequency range below 30 MHz</w:t>
      </w:r>
    </w:p>
    <w:p w:rsidR="009B14AA" w:rsidRDefault="009B14AA" w:rsidP="009B14AA">
      <w:pPr>
        <w:rPr>
          <w:lang w:val="en-US"/>
        </w:rPr>
      </w:pPr>
      <w:r>
        <w:rPr>
          <w:lang w:val="en-US"/>
        </w:rPr>
        <w:t xml:space="preserve">Below about 30 MHz, usually </w:t>
      </w:r>
      <w:r>
        <w:rPr>
          <w:i/>
          <w:iCs/>
          <w:lang w:val="en-US"/>
        </w:rPr>
        <w:t xml:space="preserve">in-situ </w:t>
      </w:r>
      <w:r>
        <w:rPr>
          <w:lang w:val="en-US"/>
        </w:rPr>
        <w:t xml:space="preserve">measurements are conducted instead of measurements on a test site. </w:t>
      </w:r>
    </w:p>
    <w:p w:rsidR="009B14AA" w:rsidRDefault="009B14AA" w:rsidP="009B14AA">
      <w:pPr>
        <w:pStyle w:val="Heading4"/>
        <w:rPr>
          <w:lang w:val="en-US"/>
        </w:rPr>
      </w:pPr>
      <w:r>
        <w:rPr>
          <w:lang w:val="en-US"/>
        </w:rPr>
        <w:t>3.3.1.2</w:t>
      </w:r>
      <w:r>
        <w:rPr>
          <w:lang w:val="en-US"/>
        </w:rPr>
        <w:tab/>
        <w:t>Test site for radiated measurements in the frequency range 30 to 1</w:t>
      </w:r>
      <w:r>
        <w:rPr>
          <w:rFonts w:ascii="Tms Rmn" w:hAnsi="Tms Rmn"/>
          <w:sz w:val="12"/>
          <w:lang w:val="en-US"/>
        </w:rPr>
        <w:t> </w:t>
      </w:r>
      <w:r>
        <w:rPr>
          <w:lang w:val="en-US"/>
        </w:rPr>
        <w:t>000 MHz</w:t>
      </w:r>
    </w:p>
    <w:p w:rsidR="009B14AA" w:rsidRDefault="009B14AA" w:rsidP="009B14AA">
      <w:pPr>
        <w:spacing w:line="280" w:lineRule="exact"/>
        <w:rPr>
          <w:lang w:val="en-US"/>
        </w:rPr>
      </w:pPr>
      <w:r>
        <w:rPr>
          <w:lang w:val="en-US"/>
        </w:rPr>
        <w:t xml:space="preserve">The test site is to be validated by making site attenuation measurements for both horizontal and vertical polarization fields as described in CISPR Publication 16-1:1999-10. A measurement site is to be considered acceptable if the horizontal and vertical site attenuation measurements are within </w:t>
      </w:r>
      <w:r>
        <w:rPr>
          <w:rFonts w:ascii="Symbol" w:hAnsi="Symbol"/>
          <w:lang w:val="fr-CH"/>
        </w:rPr>
        <w:sym w:font="Symbol" w:char="F0B1"/>
      </w:r>
      <w:r>
        <w:rPr>
          <w:rFonts w:ascii="Tms Rmn" w:hAnsi="Tms Rmn"/>
          <w:sz w:val="4"/>
          <w:lang w:val="en-US"/>
        </w:rPr>
        <w:t> </w:t>
      </w:r>
      <w:r>
        <w:rPr>
          <w:lang w:val="en-US"/>
        </w:rPr>
        <w:t>4 dB of the theoretical site attenuation.</w:t>
      </w:r>
    </w:p>
    <w:p w:rsidR="009B14AA" w:rsidRDefault="009B14AA" w:rsidP="009B14AA">
      <w:pPr>
        <w:rPr>
          <w:lang w:val="en-US"/>
        </w:rPr>
      </w:pPr>
      <w:r>
        <w:rPr>
          <w:lang w:val="en-US"/>
        </w:rPr>
        <w:t>The test site is to be characteristically flat, free of overhead wires and nearby reflecting structures, sufficiently large to permit antenna placement at the specified distance and provide adequate separation between antenna, EUT and reflecting structures. Reflecting structures are defined as those whose construction material is primarily conductive. The test site is to be provided with a horizontal metal ground-plane. Since for OoB domain emission, only relative measurements are made, the measurement task is substantially alleviated.</w:t>
      </w:r>
    </w:p>
    <w:p w:rsidR="009B14AA" w:rsidRDefault="009B14AA" w:rsidP="009B14AA">
      <w:pPr>
        <w:spacing w:line="280" w:lineRule="exact"/>
        <w:rPr>
          <w:lang w:val="en-US"/>
        </w:rPr>
      </w:pPr>
      <w:r>
        <w:rPr>
          <w:lang w:val="en-US"/>
        </w:rPr>
        <w:t xml:space="preserve">Tests may also be conducted in an absorber lined shielded room. In that case, the walls and the ceiling of a shielded room are covered with absorber materials that ensure low reflections of power. Validation measurements of such anechoic chambers are very important to ensure that the site attenuation measurements can be performed within the </w:t>
      </w:r>
      <w:r>
        <w:rPr>
          <w:lang w:val="fr-CH"/>
        </w:rPr>
        <w:sym w:font="Symbol" w:char="F0B1"/>
      </w:r>
      <w:r>
        <w:rPr>
          <w:rFonts w:ascii="Tms Rmn" w:hAnsi="Tms Rmn"/>
          <w:sz w:val="4"/>
          <w:lang w:val="en-US"/>
        </w:rPr>
        <w:t> </w:t>
      </w:r>
      <w:r>
        <w:rPr>
          <w:lang w:val="en-US"/>
        </w:rPr>
        <w:t>4 dB criteria (see also International Electrotechnical Committee (IEC)/CISPR Publications 16-1 and 22).</w:t>
      </w:r>
    </w:p>
    <w:p w:rsidR="009B14AA" w:rsidRDefault="009B14AA" w:rsidP="009B14AA">
      <w:pPr>
        <w:rPr>
          <w:lang w:val="en-US"/>
        </w:rPr>
      </w:pPr>
      <w:r>
        <w:rPr>
          <w:lang w:val="en-US"/>
        </w:rPr>
        <w:lastRenderedPageBreak/>
        <w:t>A conducting ground-plane is to extend at least 1 m beyond the periphery of the EUT and the largest measuring antenna, and cover the entire area between the EUT and the antenna. It should be of metal with no holes or gaps, having dimensions larger than one-tenth of the wavelength at the highest frequency of measurement. A larger size conducting ground-plane may be required if the site attenuation requirements of the test site are not satisfied. These requirements are also applicable in the case of semi-anechoic chambers.</w:t>
      </w:r>
    </w:p>
    <w:p w:rsidR="009B14AA" w:rsidRDefault="009B14AA" w:rsidP="009B14AA">
      <w:pPr>
        <w:rPr>
          <w:lang w:val="en-US"/>
        </w:rPr>
      </w:pPr>
      <w:r>
        <w:rPr>
          <w:lang w:val="en-US"/>
        </w:rPr>
        <w:t>Additional equipment is becoming available as the site for spurious domain emission measurements. These are various chambers, such as fully anechoic rooms (FAR), stirred mode chambers (SMC), and transverse electromagnetic (TEM) or Gigahertz TEM (GTEM) systems. The SMC is described in IEC/CISPR Publication 16-1. Drafts have been published (in autumn 2000) for IEC 61000-4-20 (TEM) and IEC 61000-4-21 (SMC).</w:t>
      </w:r>
    </w:p>
    <w:p w:rsidR="009B14AA" w:rsidRDefault="009B14AA" w:rsidP="009B14AA">
      <w:pPr>
        <w:pStyle w:val="Heading4"/>
        <w:rPr>
          <w:lang w:val="en-US"/>
        </w:rPr>
      </w:pPr>
      <w:r>
        <w:rPr>
          <w:lang w:val="en-US"/>
        </w:rPr>
        <w:t>3.3.1.3</w:t>
      </w:r>
      <w:r>
        <w:rPr>
          <w:lang w:val="en-US"/>
        </w:rPr>
        <w:tab/>
        <w:t>Test site for the frequency range above 1 GHz</w:t>
      </w:r>
    </w:p>
    <w:p w:rsidR="009B14AA" w:rsidRDefault="009B14AA" w:rsidP="009B14AA">
      <w:pPr>
        <w:rPr>
          <w:lang w:val="en-US"/>
        </w:rPr>
      </w:pPr>
      <w:r>
        <w:rPr>
          <w:lang w:val="en-US"/>
        </w:rPr>
        <w:t>(See CISPR Publication 16-1:1999-10, validation requirements are under consideration.)</w:t>
      </w:r>
    </w:p>
    <w:p w:rsidR="009B14AA" w:rsidRDefault="009B14AA" w:rsidP="009B14AA">
      <w:pPr>
        <w:rPr>
          <w:lang w:val="en-US"/>
        </w:rPr>
      </w:pPr>
      <w:r>
        <w:rPr>
          <w:lang w:val="en-US"/>
        </w:rPr>
        <w:t>Tests may be made in a fully anechoic chamber. Reverberation chambers are also becoming available.</w:t>
      </w:r>
    </w:p>
    <w:p w:rsidR="009B14AA" w:rsidRDefault="009B14AA" w:rsidP="009B14AA">
      <w:pPr>
        <w:pStyle w:val="Heading3"/>
        <w:rPr>
          <w:lang w:val="en-US"/>
        </w:rPr>
      </w:pPr>
      <w:r>
        <w:rPr>
          <w:lang w:val="en-US"/>
        </w:rPr>
        <w:t>3.3.2</w:t>
      </w:r>
      <w:r>
        <w:rPr>
          <w:lang w:val="en-US"/>
        </w:rPr>
        <w:tab/>
        <w:t>Direct method</w:t>
      </w:r>
    </w:p>
    <w:p w:rsidR="009B14AA" w:rsidRDefault="009B14AA" w:rsidP="009B14AA">
      <w:pPr>
        <w:rPr>
          <w:lang w:val="en-US"/>
        </w:rPr>
      </w:pPr>
      <w:r>
        <w:rPr>
          <w:lang w:val="en-US"/>
        </w:rPr>
        <w:t xml:space="preserve">In this approach, it is required to calibrate all the measuring components individually (filter(s), cables), or to calibrate the whole measuring set. See the direct approach in § 3.2.1 for the determination of the calibration factor of the measuring set at the frequency </w:t>
      </w:r>
      <w:r>
        <w:rPr>
          <w:i/>
          <w:lang w:val="en-US"/>
        </w:rPr>
        <w:t>f</w:t>
      </w:r>
      <w:r>
        <w:rPr>
          <w:lang w:val="en-US"/>
        </w:rPr>
        <w:t>.</w:t>
      </w:r>
    </w:p>
    <w:p w:rsidR="009B14AA" w:rsidRDefault="009B14AA" w:rsidP="009B14AA">
      <w:pPr>
        <w:rPr>
          <w:lang w:val="en-US"/>
        </w:rPr>
      </w:pPr>
      <w:r>
        <w:rPr>
          <w:lang w:val="en-US"/>
        </w:rPr>
        <w:t xml:space="preserve">The OoB domain emission e.i.r.p., </w:t>
      </w:r>
      <w:r>
        <w:rPr>
          <w:i/>
          <w:iCs/>
          <w:lang w:val="en-US"/>
        </w:rPr>
        <w:t>P</w:t>
      </w:r>
      <w:r w:rsidRPr="00F67ECF">
        <w:rPr>
          <w:i/>
          <w:iCs/>
          <w:vertAlign w:val="subscript"/>
          <w:lang w:val="en-US"/>
        </w:rPr>
        <w:t>s,</w:t>
      </w:r>
      <w:r>
        <w:rPr>
          <w:rFonts w:ascii="Tms Rmn" w:hAnsi="Tms Rmn"/>
          <w:i/>
          <w:iCs/>
          <w:position w:val="-4"/>
          <w:sz w:val="12"/>
          <w:lang w:val="en-US"/>
        </w:rPr>
        <w:t> </w:t>
      </w:r>
      <w:r w:rsidRPr="00F67ECF">
        <w:rPr>
          <w:i/>
          <w:iCs/>
          <w:vertAlign w:val="subscript"/>
          <w:lang w:val="en-US"/>
        </w:rPr>
        <w:t>f</w:t>
      </w:r>
      <w:r>
        <w:rPr>
          <w:rFonts w:ascii="Tms Rmn" w:hAnsi="Tms Rmn"/>
          <w:position w:val="-6"/>
          <w:sz w:val="12"/>
          <w:lang w:val="en-US"/>
        </w:rPr>
        <w:t> </w:t>
      </w:r>
      <w:r>
        <w:rPr>
          <w:lang w:val="en-US"/>
        </w:rPr>
        <w:t xml:space="preserve">, at the frequency </w:t>
      </w:r>
      <w:r>
        <w:rPr>
          <w:i/>
          <w:lang w:val="en-US"/>
        </w:rPr>
        <w:t>f</w:t>
      </w:r>
      <w:r>
        <w:rPr>
          <w:lang w:val="en-US"/>
        </w:rPr>
        <w:t>, is given for free space conditions by the following formula:</w:t>
      </w:r>
    </w:p>
    <w:p w:rsidR="009B14AA" w:rsidRDefault="009B14AA" w:rsidP="009B14AA">
      <w:pPr>
        <w:pStyle w:val="Blanc"/>
      </w:pPr>
    </w:p>
    <w:p w:rsidR="009B14AA" w:rsidRDefault="009B14AA" w:rsidP="009B14AA">
      <w:pPr>
        <w:pStyle w:val="Equation"/>
        <w:rPr>
          <w:lang w:val="en-US"/>
        </w:rPr>
      </w:pPr>
      <w:r>
        <w:rPr>
          <w:lang w:val="en-US"/>
        </w:rPr>
        <w:tab/>
      </w:r>
      <w:r>
        <w:rPr>
          <w:lang w:val="en-US"/>
        </w:rPr>
        <w:tab/>
      </w:r>
      <w:r w:rsidRPr="00AC23B9">
        <w:rPr>
          <w:position w:val="-16"/>
          <w:sz w:val="20"/>
          <w:lang w:val="fr-CH"/>
        </w:rPr>
        <w:object w:dxaOrig="5280" w:dyaOrig="400">
          <v:shape id="_x0000_i1096" type="#_x0000_t75" style="width:264.2pt;height:20.65pt" o:ole="" fillcolor="window">
            <v:imagedata r:id="rId218" o:title=""/>
          </v:shape>
          <o:OLEObject Type="Embed" ProgID="Equation.3" ShapeID="_x0000_i1096" DrawAspect="Content" ObjectID="_1392698863" r:id="rId219"/>
        </w:object>
      </w:r>
    </w:p>
    <w:p w:rsidR="009B14AA" w:rsidRDefault="009B14AA" w:rsidP="009B14AA">
      <w:pPr>
        <w:pStyle w:val="Blanc"/>
      </w:pPr>
    </w:p>
    <w:p w:rsidR="009B14AA" w:rsidRDefault="009B14AA" w:rsidP="009B14AA">
      <w:pPr>
        <w:rPr>
          <w:lang w:val="en-US"/>
        </w:rPr>
      </w:pPr>
      <w:r>
        <w:rPr>
          <w:lang w:val="en-US"/>
        </w:rPr>
        <w:t xml:space="preserve">where: </w:t>
      </w:r>
    </w:p>
    <w:p w:rsidR="009B14AA" w:rsidRDefault="009B14AA" w:rsidP="009B14AA">
      <w:pPr>
        <w:pStyle w:val="Equationlegend"/>
      </w:pPr>
      <w:r>
        <w:tab/>
      </w:r>
      <w:r>
        <w:rPr>
          <w:i/>
          <w:iCs/>
        </w:rPr>
        <w:t>P</w:t>
      </w:r>
      <w:r w:rsidRPr="00F67ECF">
        <w:rPr>
          <w:i/>
          <w:iCs/>
          <w:vertAlign w:val="subscript"/>
        </w:rPr>
        <w:t>r,</w:t>
      </w:r>
      <w:r>
        <w:rPr>
          <w:rFonts w:ascii="Tms Rmn" w:hAnsi="Tms Rmn"/>
          <w:i/>
          <w:iCs/>
          <w:position w:val="-4"/>
          <w:sz w:val="12"/>
        </w:rPr>
        <w:t> </w:t>
      </w:r>
      <w:r w:rsidRPr="00F67ECF">
        <w:rPr>
          <w:i/>
          <w:iCs/>
          <w:vertAlign w:val="subscript"/>
        </w:rPr>
        <w:t>f</w:t>
      </w:r>
      <w:r>
        <w:rPr>
          <w:rFonts w:ascii="Tms Rmn" w:hAnsi="Tms Rmn"/>
          <w:sz w:val="12"/>
        </w:rPr>
        <w:t> </w:t>
      </w:r>
      <w:r>
        <w:t>:</w:t>
      </w:r>
      <w:r>
        <w:tab/>
        <w:t xml:space="preserve">power of the OoB domain emission read on the measuring receiver at the frequency </w:t>
      </w:r>
      <w:r>
        <w:rPr>
          <w:i/>
          <w:iCs/>
        </w:rPr>
        <w:t>f</w:t>
      </w:r>
      <w:r>
        <w:t xml:space="preserve"> (dBW or dBm, same units as </w:t>
      </w:r>
      <w:r>
        <w:rPr>
          <w:i/>
          <w:iCs/>
        </w:rPr>
        <w:t>P</w:t>
      </w:r>
      <w:r w:rsidRPr="00F67ECF">
        <w:rPr>
          <w:i/>
          <w:iCs/>
          <w:vertAlign w:val="subscript"/>
        </w:rPr>
        <w:t>s,</w:t>
      </w:r>
      <w:r>
        <w:rPr>
          <w:rFonts w:ascii="Tms Rmn" w:hAnsi="Tms Rmn"/>
          <w:i/>
          <w:iCs/>
          <w:position w:val="-4"/>
          <w:sz w:val="12"/>
        </w:rPr>
        <w:t> </w:t>
      </w:r>
      <w:r w:rsidRPr="00F67ECF">
        <w:rPr>
          <w:i/>
          <w:iCs/>
          <w:vertAlign w:val="subscript"/>
        </w:rPr>
        <w:t>f</w:t>
      </w:r>
      <w:r>
        <w:rPr>
          <w:rFonts w:ascii="Tms Rmn" w:hAnsi="Tms Rmn"/>
          <w:i/>
          <w:iCs/>
          <w:position w:val="-4"/>
          <w:sz w:val="12"/>
        </w:rPr>
        <w:t> </w:t>
      </w:r>
      <w:r>
        <w:t>)</w:t>
      </w:r>
    </w:p>
    <w:p w:rsidR="009B14AA" w:rsidRDefault="009B14AA" w:rsidP="009B14AA">
      <w:pPr>
        <w:pStyle w:val="Equationlegend"/>
      </w:pPr>
      <w:r>
        <w:tab/>
      </w:r>
      <w:r>
        <w:rPr>
          <w:i/>
          <w:iCs/>
        </w:rPr>
        <w:t>k</w:t>
      </w:r>
      <w:r w:rsidRPr="00F67ECF">
        <w:rPr>
          <w:i/>
          <w:iCs/>
          <w:vertAlign w:val="subscript"/>
        </w:rPr>
        <w:t>ms,</w:t>
      </w:r>
      <w:r>
        <w:rPr>
          <w:rFonts w:ascii="Tms Rmn" w:hAnsi="Tms Rmn"/>
          <w:i/>
          <w:iCs/>
          <w:position w:val="-4"/>
          <w:sz w:val="12"/>
        </w:rPr>
        <w:t> </w:t>
      </w:r>
      <w:r w:rsidRPr="00F67ECF">
        <w:rPr>
          <w:i/>
          <w:iCs/>
          <w:vertAlign w:val="subscript"/>
        </w:rPr>
        <w:t>f</w:t>
      </w:r>
      <w:r>
        <w:rPr>
          <w:rFonts w:ascii="Tms Rmn" w:hAnsi="Tms Rmn"/>
          <w:sz w:val="12"/>
        </w:rPr>
        <w:t> </w:t>
      </w:r>
      <w:r>
        <w:t>:</w:t>
      </w:r>
      <w:r>
        <w:tab/>
        <w:t xml:space="preserve">calibration factor of the measuring set-up at the frequency </w:t>
      </w:r>
      <w:r>
        <w:rPr>
          <w:i/>
          <w:iCs/>
        </w:rPr>
        <w:t>f</w:t>
      </w:r>
      <w:r>
        <w:t xml:space="preserve"> (dB)</w:t>
      </w:r>
    </w:p>
    <w:p w:rsidR="009B14AA" w:rsidRDefault="009B14AA" w:rsidP="009B14AA">
      <w:pPr>
        <w:pStyle w:val="Equationlegend"/>
      </w:pPr>
      <w:r>
        <w:tab/>
      </w:r>
      <w:r>
        <w:rPr>
          <w:i/>
          <w:iCs/>
        </w:rPr>
        <w:t>G</w:t>
      </w:r>
      <w:r w:rsidRPr="00F67ECF">
        <w:rPr>
          <w:i/>
          <w:iCs/>
          <w:vertAlign w:val="subscript"/>
        </w:rPr>
        <w:t>f</w:t>
      </w:r>
      <w:r>
        <w:rPr>
          <w:rFonts w:ascii="Tms Rmn" w:hAnsi="Tms Rmn"/>
          <w:sz w:val="12"/>
        </w:rPr>
        <w:t> </w:t>
      </w:r>
      <w:r>
        <w:t>:</w:t>
      </w:r>
      <w:r>
        <w:tab/>
        <w:t xml:space="preserve">gain of the calibrated measuring antenna at the frequency </w:t>
      </w:r>
      <w:r>
        <w:rPr>
          <w:i/>
          <w:iCs/>
        </w:rPr>
        <w:t>f</w:t>
      </w:r>
      <w:r>
        <w:t xml:space="preserve"> (dBi)</w:t>
      </w:r>
    </w:p>
    <w:p w:rsidR="009B14AA" w:rsidRDefault="009B14AA" w:rsidP="009B14AA">
      <w:pPr>
        <w:pStyle w:val="Equationlegend"/>
      </w:pPr>
      <w:r>
        <w:tab/>
      </w:r>
      <w:r>
        <w:rPr>
          <w:i/>
        </w:rPr>
        <w:t>f</w:t>
      </w:r>
      <w:r>
        <w:rPr>
          <w:rFonts w:ascii="Tms Rmn" w:hAnsi="Tms Rmn"/>
          <w:sz w:val="12"/>
        </w:rPr>
        <w:t> </w:t>
      </w:r>
      <w:r>
        <w:t>:</w:t>
      </w:r>
      <w:r>
        <w:tab/>
        <w:t>frequency of the OoB domain emission (MHz)</w:t>
      </w:r>
    </w:p>
    <w:p w:rsidR="009B14AA" w:rsidRDefault="009B14AA" w:rsidP="009B14AA">
      <w:pPr>
        <w:pStyle w:val="Equationlegend"/>
      </w:pPr>
      <w:r>
        <w:tab/>
      </w:r>
      <w:r>
        <w:rPr>
          <w:i/>
          <w:iCs/>
        </w:rPr>
        <w:t>d</w:t>
      </w:r>
      <w:r>
        <w:rPr>
          <w:rFonts w:ascii="Tms Rmn" w:hAnsi="Tms Rmn"/>
          <w:sz w:val="12"/>
        </w:rPr>
        <w:t> </w:t>
      </w:r>
      <w:r>
        <w:t>:</w:t>
      </w:r>
      <w:r>
        <w:tab/>
        <w:t>distance (m) between the transmitting antenna and the calibrated measuring antenna.</w:t>
      </w:r>
    </w:p>
    <w:p w:rsidR="009B14AA" w:rsidRDefault="009B14AA" w:rsidP="009B14AA">
      <w:pPr>
        <w:pStyle w:val="Heading3"/>
        <w:rPr>
          <w:lang w:val="en-US"/>
        </w:rPr>
      </w:pPr>
      <w:r>
        <w:rPr>
          <w:lang w:val="en-US"/>
        </w:rPr>
        <w:t>3.3.3</w:t>
      </w:r>
      <w:r>
        <w:rPr>
          <w:lang w:val="en-US"/>
        </w:rPr>
        <w:tab/>
        <w:t>Substitution method</w:t>
      </w:r>
    </w:p>
    <w:p w:rsidR="009B14AA" w:rsidRDefault="009B14AA" w:rsidP="009B14AA">
      <w:pPr>
        <w:rPr>
          <w:lang w:val="en-US"/>
        </w:rPr>
      </w:pPr>
      <w:r>
        <w:rPr>
          <w:lang w:val="en-US"/>
        </w:rPr>
        <w:t>In this approach, a calibrated substitution antenna and a calibrated generator are used, the test source being adjusted for the same received OoB signal (see CISPR Publication 16-2:1996-11 for details).</w:t>
      </w:r>
    </w:p>
    <w:p w:rsidR="009B14AA" w:rsidRDefault="009B14AA" w:rsidP="009B14AA">
      <w:pPr>
        <w:tabs>
          <w:tab w:val="clear" w:pos="794"/>
          <w:tab w:val="clear" w:pos="1191"/>
          <w:tab w:val="clear" w:pos="1588"/>
          <w:tab w:val="clear" w:pos="1985"/>
        </w:tabs>
        <w:overflowPunct/>
        <w:autoSpaceDE/>
        <w:autoSpaceDN/>
        <w:adjustRightInd/>
        <w:spacing w:before="0"/>
        <w:jc w:val="left"/>
        <w:textAlignment w:val="auto"/>
        <w:rPr>
          <w:b/>
          <w:sz w:val="28"/>
          <w:lang w:val="en-US"/>
        </w:rPr>
      </w:pPr>
      <w:r>
        <w:rPr>
          <w:lang w:val="en-US"/>
        </w:rPr>
        <w:br w:type="page"/>
      </w:r>
    </w:p>
    <w:p w:rsidR="009B14AA" w:rsidRDefault="009B14AA" w:rsidP="009B14AA">
      <w:pPr>
        <w:pStyle w:val="AnnexNoTitle"/>
        <w:rPr>
          <w:lang w:val="en-US"/>
        </w:rPr>
      </w:pPr>
      <w:r>
        <w:rPr>
          <w:lang w:val="en-US"/>
        </w:rPr>
        <w:lastRenderedPageBreak/>
        <w:t>Annex  14</w:t>
      </w:r>
      <w:r>
        <w:rPr>
          <w:lang w:val="en-US"/>
        </w:rPr>
        <w:br/>
      </w:r>
      <w:r>
        <w:rPr>
          <w:lang w:val="en-US"/>
        </w:rPr>
        <w:br/>
        <w:t>Application of Recommendations ITU-R SM.1540 and ITU-R SM.1541</w:t>
      </w:r>
    </w:p>
    <w:p w:rsidR="009B14AA" w:rsidRDefault="009B14AA" w:rsidP="009B14AA">
      <w:pPr>
        <w:pStyle w:val="Normalaftertitle"/>
        <w:rPr>
          <w:lang w:val="en-US"/>
        </w:rPr>
      </w:pPr>
      <w:r>
        <w:rPr>
          <w:lang w:val="en-US"/>
        </w:rPr>
        <w:t>These gen</w:t>
      </w:r>
      <w:bookmarkStart w:id="14" w:name="_GoBack"/>
      <w:bookmarkEnd w:id="14"/>
      <w:r>
        <w:rPr>
          <w:lang w:val="en-US"/>
        </w:rPr>
        <w:t>eric OoB masks are intended to be applied both:</w:t>
      </w:r>
    </w:p>
    <w:p w:rsidR="009B14AA" w:rsidRDefault="009B14AA" w:rsidP="009B14AA">
      <w:pPr>
        <w:pStyle w:val="enumlev1"/>
        <w:rPr>
          <w:lang w:val="en-US"/>
        </w:rPr>
      </w:pPr>
      <w:r>
        <w:rPr>
          <w:lang w:val="en-US"/>
        </w:rPr>
        <w:t>–</w:t>
      </w:r>
      <w:r>
        <w:rPr>
          <w:lang w:val="en-US"/>
        </w:rPr>
        <w:tab/>
        <w:t>outside the band assigned to the system whose OoB domain emissions are considered, but within the band allocated to the service in which the system considered operates; and</w:t>
      </w:r>
    </w:p>
    <w:p w:rsidR="009B14AA" w:rsidRDefault="009B14AA" w:rsidP="009B14AA">
      <w:pPr>
        <w:pStyle w:val="enumlev1"/>
        <w:rPr>
          <w:lang w:val="en-US"/>
        </w:rPr>
      </w:pPr>
      <w:r>
        <w:rPr>
          <w:lang w:val="en-US"/>
        </w:rPr>
        <w:t>–</w:t>
      </w:r>
      <w:r>
        <w:rPr>
          <w:lang w:val="en-US"/>
        </w:rPr>
        <w:tab/>
        <w:t>within the adjacent allocated bands. Recommendation ITU-R SM.1540 provides guidance in the case of emissions that are very close to the edges of the total assigned band and that have OoB domain emissions falling into an adjacent band allocated to another service.</w:t>
      </w:r>
    </w:p>
    <w:p w:rsidR="009B14AA" w:rsidRDefault="009B14AA" w:rsidP="004C004A">
      <w:pPr>
        <w:rPr>
          <w:lang w:val="en-US"/>
        </w:rPr>
      </w:pPr>
      <w:r>
        <w:rPr>
          <w:lang w:val="en-US"/>
        </w:rPr>
        <w:t>This is summarized in Fig. </w:t>
      </w:r>
      <w:r w:rsidR="004C004A">
        <w:rPr>
          <w:lang w:val="en-US"/>
        </w:rPr>
        <w:t>48</w:t>
      </w:r>
      <w:r>
        <w:rPr>
          <w:lang w:val="en-US"/>
        </w:rPr>
        <w:t>.</w:t>
      </w:r>
    </w:p>
    <w:p w:rsidR="009B14AA" w:rsidRPr="00C813CD" w:rsidRDefault="004C004A" w:rsidP="009B14AA">
      <w:pPr>
        <w:pStyle w:val="FigureNo"/>
        <w:rPr>
          <w:lang w:val="en-US"/>
        </w:rPr>
      </w:pPr>
      <w:r>
        <w:rPr>
          <w:lang w:val="en-US"/>
        </w:rPr>
        <w:t>FIGURE 48</w:t>
      </w:r>
    </w:p>
    <w:p w:rsidR="009B14AA" w:rsidRPr="00C813CD" w:rsidRDefault="009B14AA" w:rsidP="009B14AA">
      <w:pPr>
        <w:pStyle w:val="Figuretitle"/>
        <w:rPr>
          <w:lang w:val="en-US"/>
        </w:rPr>
      </w:pPr>
      <w:r w:rsidRPr="00C813CD">
        <w:rPr>
          <w:lang w:val="en-US"/>
        </w:rPr>
        <w:t>Frequency range where generic OoB masks may apply</w:t>
      </w:r>
    </w:p>
    <w:p w:rsidR="009B14AA" w:rsidRPr="00B9476C" w:rsidRDefault="009B14AA" w:rsidP="009B14AA">
      <w:pPr>
        <w:pStyle w:val="Blanc"/>
      </w:pPr>
    </w:p>
    <w:p w:rsidR="009B14AA" w:rsidRPr="00976F5D" w:rsidRDefault="004C004A" w:rsidP="009B14AA">
      <w:pPr>
        <w:pStyle w:val="Figure"/>
      </w:pPr>
      <w:r>
        <w:rPr>
          <w:noProof/>
          <w:lang w:val="en-US" w:eastAsia="zh-CN"/>
        </w:rPr>
        <w:object w:dxaOrig="12198" w:dyaOrig="4851">
          <v:shape id="_x0000_i1134" type="#_x0000_t75" style="width:449.55pt;height:178.45pt" o:ole="">
            <v:imagedata r:id="rId220" o:title=""/>
          </v:shape>
          <o:OLEObject Type="Embed" ProgID="CorelDRAW.Graphic.14" ShapeID="_x0000_i1134" DrawAspect="Content" ObjectID="_1392698864" r:id="rId221"/>
        </w:object>
      </w:r>
    </w:p>
    <w:p w:rsidR="009B14AA" w:rsidRDefault="009B14AA" w:rsidP="009B14AA">
      <w:pPr>
        <w:rPr>
          <w:lang w:val="en-US"/>
        </w:rPr>
      </w:pPr>
    </w:p>
    <w:p w:rsidR="00FB1A8E" w:rsidRDefault="00FB1A8E" w:rsidP="009B14AA">
      <w:pPr>
        <w:rPr>
          <w:lang w:val="en-US"/>
        </w:rPr>
      </w:pPr>
    </w:p>
    <w:p w:rsidR="009B14AA" w:rsidRPr="0040081F" w:rsidRDefault="009B14AA" w:rsidP="009B14AA">
      <w:pPr>
        <w:pStyle w:val="Line"/>
      </w:pPr>
    </w:p>
    <w:p w:rsidR="00111811" w:rsidRPr="00940F1D" w:rsidRDefault="00111811" w:rsidP="00111811">
      <w:pPr>
        <w:rPr>
          <w:lang w:val="en-US"/>
        </w:rPr>
      </w:pPr>
    </w:p>
    <w:sectPr w:rsidR="00111811" w:rsidRPr="00940F1D" w:rsidSect="002951C0">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1DF" w:rsidRDefault="002B71DF">
      <w:r>
        <w:separator/>
      </w:r>
    </w:p>
  </w:endnote>
  <w:endnote w:type="continuationSeparator" w:id="0">
    <w:p w:rsidR="002B71DF" w:rsidRDefault="002B7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BatangChe">
    <w:panose1 w:val="0203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1DF" w:rsidRDefault="002B71DF">
      <w:r>
        <w:separator/>
      </w:r>
    </w:p>
  </w:footnote>
  <w:footnote w:type="continuationSeparator" w:id="0">
    <w:p w:rsidR="002B71DF" w:rsidRDefault="002B71DF">
      <w:r>
        <w:continuationSeparator/>
      </w:r>
    </w:p>
  </w:footnote>
  <w:footnote w:id="1">
    <w:p w:rsidR="002B71DF" w:rsidRPr="00F67ECF" w:rsidRDefault="002B71DF" w:rsidP="00F67ECF">
      <w:pPr>
        <w:pStyle w:val="FootnoteText"/>
        <w:rPr>
          <w:lang w:val="en-US"/>
        </w:rPr>
      </w:pPr>
      <w:r w:rsidRPr="000D4195">
        <w:rPr>
          <w:rStyle w:val="FootnoteReference"/>
          <w:lang w:val="en-US"/>
        </w:rPr>
        <w:t>*</w:t>
      </w:r>
      <w:r w:rsidRPr="000D4195">
        <w:rPr>
          <w:lang w:val="en-US"/>
        </w:rPr>
        <w:tab/>
      </w:r>
      <w:r>
        <w:rPr>
          <w:lang w:val="en-US"/>
        </w:rPr>
        <w:t>This Recommendation should be brought to the attention of Radiocommunication Study Groups 4, 5, 6 and 7.</w:t>
      </w:r>
    </w:p>
  </w:footnote>
  <w:footnote w:id="2">
    <w:p w:rsidR="002B71DF" w:rsidRPr="00F67ECF" w:rsidRDefault="002B71DF">
      <w:pPr>
        <w:pStyle w:val="FootnoteText"/>
        <w:rPr>
          <w:lang w:val="en-US"/>
        </w:rPr>
      </w:pPr>
      <w:r w:rsidRPr="000D4195">
        <w:rPr>
          <w:rStyle w:val="FootnoteReference"/>
          <w:lang w:val="en-US"/>
        </w:rPr>
        <w:t>**</w:t>
      </w:r>
      <w:r w:rsidRPr="000D4195">
        <w:rPr>
          <w:lang w:val="en-US"/>
        </w:rPr>
        <w:tab/>
      </w:r>
      <w:r w:rsidRPr="008743C5">
        <w:rPr>
          <w:lang w:val="en-US"/>
        </w:rPr>
        <w:t>Although OoB emissions are generally predominant in the OoB domain, spurious emissions may also occur in the OoB domain. It is important to note that the limits in this Recommendation apply to all the unwanted emissions in the OoB domain, both OoB emissions and spurious emissions.</w:t>
      </w:r>
    </w:p>
  </w:footnote>
  <w:footnote w:id="3">
    <w:p w:rsidR="002B71DF" w:rsidRPr="00F67ECF" w:rsidRDefault="002B71DF" w:rsidP="00925DCD">
      <w:pPr>
        <w:pStyle w:val="FootnoteText"/>
        <w:rPr>
          <w:lang w:val="en-US"/>
        </w:rPr>
      </w:pPr>
      <w:r>
        <w:rPr>
          <w:rStyle w:val="FootnoteReference"/>
        </w:rPr>
        <w:footnoteRef/>
      </w:r>
      <w:r w:rsidRPr="000D4195">
        <w:rPr>
          <w:lang w:val="en-US"/>
        </w:rPr>
        <w:tab/>
      </w:r>
      <w:r>
        <w:rPr>
          <w:lang w:val="en-US"/>
        </w:rPr>
        <w:t>The terms “OoB domain” and “spurious domain” have been introduced in order to remove some inconsistency now existing between, on one hand, the definition of the terms “out-of-band emission” and “spurious emission” in RR Article 1 and, on the other hand, the actual use of these terms in RR Appendix 3, as revised by World Radiocommunication Conference (Istanbul, 2000) (WRC</w:t>
      </w:r>
      <w:r>
        <w:rPr>
          <w:lang w:val="en-US"/>
        </w:rPr>
        <w:noBreakHyphen/>
        <w:t>2000). OoB and spurious limits apply, respectively, to all unwanted emissions in the OoB and spurious domains.</w:t>
      </w:r>
    </w:p>
  </w:footnote>
  <w:footnote w:id="4">
    <w:p w:rsidR="002B71DF" w:rsidRPr="00F67ECF" w:rsidRDefault="002B71DF">
      <w:pPr>
        <w:pStyle w:val="FootnoteText"/>
        <w:rPr>
          <w:lang w:val="en-US"/>
        </w:rPr>
      </w:pPr>
      <w:r>
        <w:rPr>
          <w:rStyle w:val="FootnoteReference"/>
        </w:rPr>
        <w:footnoteRef/>
      </w:r>
      <w:r w:rsidRPr="000D4195">
        <w:rPr>
          <w:lang w:val="en-US"/>
        </w:rPr>
        <w:tab/>
      </w:r>
      <w:r>
        <w:rPr>
          <w:lang w:val="en-US"/>
        </w:rPr>
        <w:t>OoB domain emission limits apply to unwanted emissions (both OoB and spurious emissions) in the OoB domain.</w:t>
      </w:r>
    </w:p>
  </w:footnote>
  <w:footnote w:id="5">
    <w:p w:rsidR="002B71DF" w:rsidRPr="00111811" w:rsidRDefault="002B71DF" w:rsidP="00111811">
      <w:pPr>
        <w:pStyle w:val="FootnoteText"/>
        <w:rPr>
          <w:lang w:val="en-US"/>
        </w:rPr>
      </w:pPr>
      <w:r>
        <w:rPr>
          <w:rStyle w:val="FootnoteReference"/>
        </w:rPr>
        <w:footnoteRef/>
      </w:r>
      <w:r w:rsidRPr="00111811">
        <w:rPr>
          <w:lang w:val="en-US"/>
        </w:rPr>
        <w:t xml:space="preserve"> </w:t>
      </w:r>
      <w:r>
        <w:rPr>
          <w:lang w:val="en-US"/>
        </w:rPr>
        <w:tab/>
        <w:t>The pulse duration is the time, (s) between the 50% amplitude (voltage) points. For coded pulses, the pulse duration is the interval between 50% amplitude points of one chip (sub</w:t>
      </w:r>
      <w:r>
        <w:rPr>
          <w:lang w:val="en-US"/>
        </w:rPr>
        <w:noBreakHyphen/>
        <w:t>pulse). The rise time is the time taken (s) for the leading edge of the pulse to increase from 10% to 90% of the maximum amplitude on the leading edge. For coded pulses, it is the rise time of a sub-pulse; if the sub-pulse rise time is not discernable assume that it is 40% of the time to switch from one phase or sub-pulse to the next. When the fall time of the radar is less than the rise time, it should be used in place of the rise time in these equations. Using the smaller of the two expressions in equation (35) avoids excessively large calculated necessary bandwidth when the rise time is very short.</w:t>
      </w:r>
    </w:p>
  </w:footnote>
  <w:footnote w:id="6">
    <w:p w:rsidR="002B71DF" w:rsidRPr="00111811" w:rsidRDefault="002B71DF" w:rsidP="00111811">
      <w:pPr>
        <w:pStyle w:val="FootnoteText"/>
        <w:rPr>
          <w:lang w:val="en-US"/>
        </w:rPr>
      </w:pPr>
      <w:r>
        <w:rPr>
          <w:rStyle w:val="FootnoteReference"/>
        </w:rPr>
        <w:footnoteRef/>
      </w:r>
      <w:r w:rsidRPr="00111811">
        <w:rPr>
          <w:lang w:val="en-US"/>
        </w:rPr>
        <w:t xml:space="preserve"> </w:t>
      </w:r>
      <w:r>
        <w:rPr>
          <w:lang w:val="en-US"/>
        </w:rPr>
        <w:tab/>
        <w:t>This value is the total frequency shift during the pulse duration.</w:t>
      </w:r>
    </w:p>
  </w:footnote>
  <w:footnote w:id="7">
    <w:p w:rsidR="002B71DF" w:rsidRDefault="002B71DF" w:rsidP="00111811">
      <w:pPr>
        <w:pStyle w:val="FootnoteText"/>
        <w:rPr>
          <w:lang w:val="en-US"/>
        </w:rPr>
      </w:pPr>
      <w:r>
        <w:rPr>
          <w:rStyle w:val="FootnoteReference"/>
        </w:rPr>
        <w:footnoteRef/>
      </w:r>
      <w:r w:rsidRPr="00111811">
        <w:rPr>
          <w:lang w:val="en-US"/>
        </w:rPr>
        <w:t xml:space="preserve"> </w:t>
      </w:r>
      <w:r>
        <w:rPr>
          <w:lang w:val="en-US"/>
        </w:rPr>
        <w:tab/>
        <w:t xml:space="preserve">These coefficients, </w:t>
      </w:r>
      <w:r>
        <w:rPr>
          <w:i/>
          <w:iCs/>
          <w:lang w:val="en-US"/>
        </w:rPr>
        <w:t>K</w:t>
      </w:r>
      <w:r>
        <w:rPr>
          <w:lang w:val="en-US"/>
        </w:rPr>
        <w:t xml:space="preserve"> = 6.2 or 7.6 and 64, are related to theoretical values that would prevail in the case of constant frequency trapezoidal and rectangular pulses, respectively. Also, in the case of the trapezoidal pulses, the coefficient </w:t>
      </w:r>
      <w:r>
        <w:rPr>
          <w:i/>
          <w:iCs/>
          <w:lang w:val="en-US"/>
        </w:rPr>
        <w:t>K</w:t>
      </w:r>
      <w:r>
        <w:rPr>
          <w:lang w:val="en-US"/>
        </w:rPr>
        <w:t xml:space="preserve"> has been increased somewhat to allow for implementing output device characteristics. For ideal rectangular pulses, the spectrum falls off at 20 dB per decade leading to a 20 dB bandwidth of 6.4/</w:t>
      </w:r>
      <w:r>
        <w:rPr>
          <w:i/>
          <w:iCs/>
          <w:lang w:val="en-US"/>
        </w:rPr>
        <w:t>t</w:t>
      </w:r>
      <w:r>
        <w:rPr>
          <w:lang w:val="en-US"/>
        </w:rPr>
        <w:t xml:space="preserve"> and a </w:t>
      </w:r>
      <w:r w:rsidRPr="00111811">
        <w:rPr>
          <w:i/>
          <w:iCs/>
          <w:lang w:val="en-US"/>
        </w:rPr>
        <w:t>B</w:t>
      </w:r>
      <w:r w:rsidRPr="00111811">
        <w:rPr>
          <w:i/>
          <w:iCs/>
          <w:vertAlign w:val="subscript"/>
          <w:lang w:val="en-US"/>
        </w:rPr>
        <w:t>−</w:t>
      </w:r>
      <w:r w:rsidRPr="00111811">
        <w:rPr>
          <w:vertAlign w:val="subscript"/>
          <w:lang w:val="en-US"/>
        </w:rPr>
        <w:t>40</w:t>
      </w:r>
      <w:r>
        <w:rPr>
          <w:lang w:val="en-US"/>
        </w:rPr>
        <w:t xml:space="preserve"> dB bandwidth ten times as large, i.e. 64/</w:t>
      </w:r>
      <w:r>
        <w:rPr>
          <w:i/>
          <w:iCs/>
          <w:lang w:val="en-US"/>
        </w:rPr>
        <w:t>t</w:t>
      </w:r>
      <w:r>
        <w:rPr>
          <w:lang w:val="en-US"/>
        </w:rPr>
        <w:t xml:space="preserve">. To discourage the use of pulses with abrupt rise and fall times, no margin is allowed. The spectra of trapezoidal pulses fall off firstly at 20 dB per decade and then ultimately at 40 dB per decade. If the ratio of rise time to pulse width exceeds 0.008 the 40 dB points will fall on the 40 dB per decade slope, in which case the </w:t>
      </w:r>
      <w:r>
        <w:rPr>
          <w:i/>
          <w:iCs/>
          <w:lang w:val="en-US"/>
        </w:rPr>
        <w:t>B</w:t>
      </w:r>
      <w:r>
        <w:rPr>
          <w:position w:val="-4"/>
          <w:sz w:val="18"/>
          <w:lang w:val="en-US"/>
        </w:rPr>
        <w:t>–40</w:t>
      </w:r>
      <w:r>
        <w:rPr>
          <w:lang w:val="en-US"/>
        </w:rPr>
        <w:t xml:space="preserve"> would be:</w:t>
      </w:r>
    </w:p>
    <w:p w:rsidR="002B71DF" w:rsidRDefault="002B71DF" w:rsidP="00111811">
      <w:pPr>
        <w:pStyle w:val="FootnoteText"/>
        <w:jc w:val="center"/>
        <w:rPr>
          <w:sz w:val="20"/>
        </w:rPr>
      </w:pPr>
      <w:r w:rsidRPr="004D529E">
        <w:rPr>
          <w:position w:val="-32"/>
          <w:lang w:val="fr-CH"/>
        </w:rPr>
        <w:object w:dxaOrig="680" w:dyaOrig="700">
          <v:shape id="_x0000_i1098" type="#_x0000_t75" style="width:33.2pt;height:35.05pt" o:ole="" fillcolor="window">
            <v:imagedata r:id="rId1" o:title=""/>
          </v:shape>
          <o:OLEObject Type="Embed" ProgID="Equation.3" ShapeID="_x0000_i1098" DrawAspect="Content" ObjectID="_1392698865" r:id="rId2"/>
        </w:object>
      </w:r>
    </w:p>
    <w:p w:rsidR="002B71DF" w:rsidRDefault="002B71DF" w:rsidP="00DF46D4">
      <w:pPr>
        <w:pStyle w:val="FootnoteText"/>
        <w:ind w:left="0" w:firstLine="0"/>
        <w:rPr>
          <w:lang w:val="en-US"/>
        </w:rPr>
      </w:pPr>
      <w:r>
        <w:rPr>
          <w:lang w:val="en-US"/>
        </w:rPr>
        <w:t>Allowance for unavoidable imperfections in implementation requires that the mask be based on values of at least:</w:t>
      </w:r>
    </w:p>
    <w:p w:rsidR="002B71DF" w:rsidRDefault="002B71DF" w:rsidP="00401D66">
      <w:pPr>
        <w:pStyle w:val="FootnoteText"/>
        <w:jc w:val="center"/>
      </w:pPr>
      <w:r w:rsidRPr="004D529E">
        <w:rPr>
          <w:lang w:val="fr-CH"/>
        </w:rPr>
        <w:object w:dxaOrig="1680" w:dyaOrig="700">
          <v:shape id="_x0000_i1100" type="#_x0000_t75" style="width:84.5pt;height:35.05pt" o:ole="" fillcolor="window">
            <v:imagedata r:id="rId3" o:title=""/>
          </v:shape>
          <o:OLEObject Type="Embed" ProgID="Equation.3" ShapeID="_x0000_i1100" DrawAspect="Content" ObjectID="_1392698866" r:id="rId4"/>
        </w:object>
      </w:r>
    </w:p>
    <w:p w:rsidR="002B71DF" w:rsidRPr="00111811" w:rsidRDefault="002B71DF" w:rsidP="00111811">
      <w:pPr>
        <w:pStyle w:val="FootnoteText"/>
        <w:rPr>
          <w:lang w:val="en-US"/>
        </w:rPr>
      </w:pPr>
      <w:r>
        <w:rPr>
          <w:lang w:val="en-US"/>
        </w:rPr>
        <w:t>depending upon the category of radar.</w:t>
      </w:r>
    </w:p>
  </w:footnote>
  <w:footnote w:id="8">
    <w:p w:rsidR="002B71DF" w:rsidRPr="00111811" w:rsidRDefault="002B71DF" w:rsidP="00111811">
      <w:pPr>
        <w:pStyle w:val="FootnoteText"/>
        <w:rPr>
          <w:lang w:val="en-US"/>
        </w:rPr>
      </w:pPr>
      <w:r>
        <w:rPr>
          <w:rStyle w:val="FootnoteReference"/>
        </w:rPr>
        <w:footnoteRef/>
      </w:r>
      <w:r w:rsidRPr="00023C03">
        <w:rPr>
          <w:lang w:val="en-US"/>
        </w:rPr>
        <w:tab/>
      </w:r>
      <w:r w:rsidRPr="006D4349">
        <w:rPr>
          <w:szCs w:val="24"/>
          <w:lang w:val="en-US"/>
        </w:rPr>
        <w:t>The term</w:t>
      </w:r>
      <w:r w:rsidRPr="006D4349">
        <w:rPr>
          <w:i/>
          <w:szCs w:val="24"/>
          <w:lang w:val="en-US"/>
        </w:rPr>
        <w:t xml:space="preserve"> A</w:t>
      </w:r>
      <w:r w:rsidRPr="006D4349">
        <w:rPr>
          <w:iCs/>
          <w:szCs w:val="24"/>
          <w:lang w:val="en-US"/>
        </w:rPr>
        <w:t>/</w:t>
      </w:r>
      <w:r w:rsidRPr="006D4349">
        <w:rPr>
          <w:i/>
          <w:szCs w:val="24"/>
          <w:lang w:val="en-US"/>
        </w:rPr>
        <w:t>t</w:t>
      </w:r>
      <w:r w:rsidRPr="006D4349">
        <w:rPr>
          <w:i/>
          <w:position w:val="-4"/>
          <w:szCs w:val="24"/>
          <w:lang w:val="en-US"/>
        </w:rPr>
        <w:t>r</w:t>
      </w:r>
      <w:r w:rsidRPr="006D4349">
        <w:rPr>
          <w:szCs w:val="24"/>
          <w:lang w:val="en-US"/>
        </w:rPr>
        <w:t xml:space="preserve"> adjusts the value of </w:t>
      </w:r>
      <w:r w:rsidRPr="00111811">
        <w:rPr>
          <w:i/>
          <w:iCs/>
          <w:lang w:val="en-US"/>
        </w:rPr>
        <w:t>B</w:t>
      </w:r>
      <w:r w:rsidRPr="00111811">
        <w:rPr>
          <w:i/>
          <w:iCs/>
          <w:vertAlign w:val="subscript"/>
          <w:lang w:val="en-US"/>
        </w:rPr>
        <w:t>−</w:t>
      </w:r>
      <w:r w:rsidRPr="00111811">
        <w:rPr>
          <w:vertAlign w:val="subscript"/>
          <w:lang w:val="en-US"/>
        </w:rPr>
        <w:t>40</w:t>
      </w:r>
      <w:r w:rsidRPr="006D4349">
        <w:rPr>
          <w:i/>
          <w:szCs w:val="24"/>
          <w:lang w:val="en-US"/>
        </w:rPr>
        <w:t xml:space="preserve"> </w:t>
      </w:r>
      <w:r w:rsidRPr="006D4349">
        <w:rPr>
          <w:szCs w:val="24"/>
          <w:lang w:val="en-US"/>
        </w:rPr>
        <w:t>to account for the influence of the rise time, which is substantial when the time-bandwidth product</w:t>
      </w:r>
      <w:r w:rsidRPr="006D4349">
        <w:rPr>
          <w:i/>
          <w:szCs w:val="24"/>
          <w:lang w:val="en-US"/>
        </w:rPr>
        <w:t xml:space="preserve"> B</w:t>
      </w:r>
      <w:r w:rsidRPr="006D4349">
        <w:rPr>
          <w:i/>
          <w:position w:val="-4"/>
          <w:szCs w:val="24"/>
          <w:lang w:val="en-US"/>
        </w:rPr>
        <w:t>c</w:t>
      </w:r>
      <w:r w:rsidRPr="006D4349">
        <w:rPr>
          <w:i/>
          <w:szCs w:val="24"/>
          <w:lang w:val="en-US"/>
        </w:rPr>
        <w:t>t</w:t>
      </w:r>
      <w:r w:rsidRPr="006D4349">
        <w:rPr>
          <w:szCs w:val="24"/>
          <w:lang w:val="en-US"/>
        </w:rPr>
        <w:t>, is small or moderate and the rise time is short.</w:t>
      </w:r>
    </w:p>
  </w:footnote>
  <w:footnote w:id="9">
    <w:p w:rsidR="002B71DF" w:rsidRPr="00111811" w:rsidRDefault="002B71DF" w:rsidP="00111811">
      <w:pPr>
        <w:pStyle w:val="FootnoteText"/>
        <w:rPr>
          <w:lang w:val="en-US"/>
        </w:rPr>
      </w:pPr>
      <w:r>
        <w:rPr>
          <w:rStyle w:val="FootnoteReference"/>
        </w:rPr>
        <w:footnoteRef/>
      </w:r>
      <w:r w:rsidRPr="00023C03">
        <w:rPr>
          <w:lang w:val="en-US"/>
        </w:rPr>
        <w:tab/>
      </w:r>
      <w:r w:rsidRPr="006D4349">
        <w:rPr>
          <w:szCs w:val="24"/>
          <w:lang w:val="en-US"/>
        </w:rPr>
        <w:t>This yields the total composite</w:t>
      </w:r>
      <w:r w:rsidRPr="006D4349">
        <w:rPr>
          <w:i/>
          <w:szCs w:val="24"/>
          <w:lang w:val="en-US"/>
        </w:rPr>
        <w:t xml:space="preserve"> </w:t>
      </w:r>
      <w:r w:rsidRPr="00111811">
        <w:rPr>
          <w:i/>
          <w:iCs/>
          <w:lang w:val="en-US"/>
        </w:rPr>
        <w:t>B</w:t>
      </w:r>
      <w:r w:rsidRPr="00111811">
        <w:rPr>
          <w:i/>
          <w:iCs/>
          <w:vertAlign w:val="subscript"/>
          <w:lang w:val="en-US"/>
        </w:rPr>
        <w:t>−</w:t>
      </w:r>
      <w:r w:rsidRPr="00111811">
        <w:rPr>
          <w:vertAlign w:val="subscript"/>
          <w:lang w:val="en-US"/>
        </w:rPr>
        <w:t>40</w:t>
      </w:r>
      <w:r w:rsidRPr="006D4349">
        <w:rPr>
          <w:i/>
          <w:szCs w:val="24"/>
          <w:lang w:val="en-US"/>
        </w:rPr>
        <w:t xml:space="preserve"> </w:t>
      </w:r>
      <w:r w:rsidRPr="006D4349">
        <w:rPr>
          <w:szCs w:val="24"/>
          <w:lang w:val="en-US"/>
        </w:rPr>
        <w:t>bandwidth of frequency hopping radar as if all channels included within</w:t>
      </w:r>
      <w:r w:rsidRPr="006D4349">
        <w:rPr>
          <w:i/>
          <w:szCs w:val="24"/>
          <w:lang w:val="en-US"/>
        </w:rPr>
        <w:t xml:space="preserve"> B</w:t>
      </w:r>
      <w:r w:rsidRPr="006D4349">
        <w:rPr>
          <w:i/>
          <w:iCs/>
          <w:vertAlign w:val="subscript"/>
          <w:lang w:val="en-US"/>
        </w:rPr>
        <w:t>s</w:t>
      </w:r>
      <w:r w:rsidRPr="006D4349">
        <w:rPr>
          <w:i/>
          <w:szCs w:val="24"/>
          <w:lang w:val="en-US"/>
        </w:rPr>
        <w:t xml:space="preserve"> </w:t>
      </w:r>
      <w:r w:rsidRPr="006D4349">
        <w:rPr>
          <w:szCs w:val="24"/>
          <w:lang w:val="en-US"/>
        </w:rPr>
        <w:t xml:space="preserve">were operating simultaneously. For frequency hopping radars, the OoB emission mask falls off from the edge of the </w:t>
      </w:r>
      <w:r w:rsidRPr="00111811">
        <w:rPr>
          <w:i/>
          <w:iCs/>
          <w:lang w:val="en-US"/>
        </w:rPr>
        <w:t>B</w:t>
      </w:r>
      <w:r w:rsidRPr="00111811">
        <w:rPr>
          <w:i/>
          <w:iCs/>
          <w:vertAlign w:val="subscript"/>
          <w:lang w:val="en-US"/>
        </w:rPr>
        <w:t>−</w:t>
      </w:r>
      <w:r w:rsidRPr="00111811">
        <w:rPr>
          <w:vertAlign w:val="subscript"/>
          <w:lang w:val="en-US"/>
        </w:rPr>
        <w:t>40</w:t>
      </w:r>
      <w:r w:rsidRPr="00023C03">
        <w:rPr>
          <w:szCs w:val="24"/>
          <w:lang w:val="en-US"/>
        </w:rPr>
        <w:t> </w:t>
      </w:r>
      <w:r w:rsidRPr="006D4349">
        <w:rPr>
          <w:szCs w:val="24"/>
          <w:lang w:val="en-US"/>
        </w:rPr>
        <w:t>dB bandwidth as though the radar were a single frequency radar tuned to the edge of the frequency hopping range.</w:t>
      </w:r>
    </w:p>
  </w:footnote>
  <w:footnote w:id="10">
    <w:p w:rsidR="002B71DF" w:rsidRPr="006D4349" w:rsidRDefault="002B71DF" w:rsidP="006D4349">
      <w:pPr>
        <w:pStyle w:val="FootnoteText"/>
        <w:rPr>
          <w:lang w:val="en-US"/>
        </w:rPr>
      </w:pPr>
      <w:r>
        <w:rPr>
          <w:rStyle w:val="FootnoteReference"/>
        </w:rPr>
        <w:footnoteRef/>
      </w:r>
      <w:r>
        <w:rPr>
          <w:lang w:val="en-US"/>
        </w:rPr>
        <w:tab/>
        <w:t>RR Appendix</w:t>
      </w:r>
      <w:r>
        <w:rPr>
          <w:b/>
          <w:lang w:val="en-US"/>
        </w:rPr>
        <w:t> </w:t>
      </w:r>
      <w:r w:rsidRPr="003F1C62">
        <w:rPr>
          <w:bCs/>
          <w:lang w:val="en-US"/>
        </w:rPr>
        <w:t>3</w:t>
      </w:r>
      <w:r>
        <w:rPr>
          <w:lang w:val="en-US"/>
        </w:rPr>
        <w:t xml:space="preserve"> specifies a spurious attenuation of 43 </w:t>
      </w:r>
      <w:r w:rsidRPr="006D4349">
        <w:rPr>
          <w:rFonts w:asciiTheme="majorBidi" w:hAnsiTheme="majorBidi" w:cstheme="majorBidi"/>
          <w:lang w:val="en-US"/>
        </w:rPr>
        <w:t>+</w:t>
      </w:r>
      <w:r>
        <w:rPr>
          <w:lang w:val="en-US"/>
        </w:rPr>
        <w:t> 10 log</w:t>
      </w:r>
      <w:r>
        <w:rPr>
          <w:i/>
          <w:lang w:val="en-US"/>
        </w:rPr>
        <w:t> </w:t>
      </w:r>
      <w:r>
        <w:rPr>
          <w:lang w:val="en-US"/>
        </w:rPr>
        <w:t>(</w:t>
      </w:r>
      <w:r>
        <w:rPr>
          <w:i/>
          <w:lang w:val="en-US"/>
        </w:rPr>
        <w:t>PEP</w:t>
      </w:r>
      <w:r>
        <w:rPr>
          <w:lang w:val="en-US"/>
        </w:rPr>
        <w:t>), or 60 dB, whichever is less stringent. (PEP: peak envelope power.)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1DF" w:rsidRDefault="002B71D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1DF" w:rsidRDefault="002B71DF"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1DF" w:rsidRDefault="002B71D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C004A">
      <w:rPr>
        <w:rStyle w:val="PageNumber"/>
        <w:b/>
        <w:bCs/>
        <w:noProof/>
        <w:lang w:val="en-US"/>
      </w:rPr>
      <w:t>76</w:t>
    </w:r>
    <w:r>
      <w:rPr>
        <w:rStyle w:val="PageNumber"/>
        <w:b/>
        <w:bCs/>
      </w:rPr>
      <w:fldChar w:fldCharType="end"/>
    </w:r>
    <w:r>
      <w:rPr>
        <w:lang w:val="en-US"/>
      </w:rPr>
      <w:tab/>
    </w:r>
    <w:fldSimple w:instr=" DOCPROPERTY &quot;Header&quot; \* MERGEFORMAT ">
      <w:r w:rsidRPr="00E94C3B">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4C004A">
      <w:rPr>
        <w:b/>
        <w:bCs/>
        <w:noProof/>
      </w:rPr>
      <w:t>ITU-R  SM.1541-4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1DF" w:rsidRDefault="002B71DF">
    <w:pPr>
      <w:pStyle w:val="Header"/>
    </w:pPr>
    <w:r>
      <w:tab/>
    </w:r>
    <w:fldSimple w:instr=" DOCPROPERTY &quot;Header&quot; \* MERGEFORMAT ">
      <w:r w:rsidRPr="00E94C3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C004A">
      <w:rPr>
        <w:b/>
        <w:bCs/>
        <w:noProof/>
      </w:rPr>
      <w:t>ITU-R  SM.1541-4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C004A">
      <w:rPr>
        <w:rStyle w:val="PageNumber"/>
        <w:b/>
        <w:bCs/>
        <w:noProof/>
      </w:rPr>
      <w:t>77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evenAndOddHeaders/>
  <w:noPunctuationKerning/>
  <w:characterSpacingControl w:val="doNotCompress"/>
  <w:hdrShapeDefaults>
    <o:shapedefaults v:ext="edit" spidmax="6145">
      <o:colormru v:ext="edit" colors="#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61C87"/>
    <w:rsid w:val="00072484"/>
    <w:rsid w:val="00096612"/>
    <w:rsid w:val="000B7683"/>
    <w:rsid w:val="000C36E8"/>
    <w:rsid w:val="000D0677"/>
    <w:rsid w:val="000D1918"/>
    <w:rsid w:val="000D4195"/>
    <w:rsid w:val="000E6A6E"/>
    <w:rsid w:val="00102934"/>
    <w:rsid w:val="00111811"/>
    <w:rsid w:val="00147110"/>
    <w:rsid w:val="001511A6"/>
    <w:rsid w:val="001F35FF"/>
    <w:rsid w:val="00204C62"/>
    <w:rsid w:val="002058CE"/>
    <w:rsid w:val="002165F1"/>
    <w:rsid w:val="00273E2F"/>
    <w:rsid w:val="00276D21"/>
    <w:rsid w:val="002951C0"/>
    <w:rsid w:val="00296D7F"/>
    <w:rsid w:val="002B3CF6"/>
    <w:rsid w:val="002B71DF"/>
    <w:rsid w:val="002C768A"/>
    <w:rsid w:val="002D76C4"/>
    <w:rsid w:val="002D7B7F"/>
    <w:rsid w:val="002F5199"/>
    <w:rsid w:val="00305A41"/>
    <w:rsid w:val="00356B5D"/>
    <w:rsid w:val="0040081F"/>
    <w:rsid w:val="00401D66"/>
    <w:rsid w:val="00420DFD"/>
    <w:rsid w:val="00437A76"/>
    <w:rsid w:val="00470E28"/>
    <w:rsid w:val="00487E2E"/>
    <w:rsid w:val="004934C5"/>
    <w:rsid w:val="004C004A"/>
    <w:rsid w:val="004F19F2"/>
    <w:rsid w:val="0054495D"/>
    <w:rsid w:val="00556548"/>
    <w:rsid w:val="00586EF8"/>
    <w:rsid w:val="00596C9C"/>
    <w:rsid w:val="005A127F"/>
    <w:rsid w:val="005B49AB"/>
    <w:rsid w:val="005B50E7"/>
    <w:rsid w:val="005E7B4F"/>
    <w:rsid w:val="00601882"/>
    <w:rsid w:val="00601FF0"/>
    <w:rsid w:val="00607D68"/>
    <w:rsid w:val="0061276C"/>
    <w:rsid w:val="00613212"/>
    <w:rsid w:val="006149B1"/>
    <w:rsid w:val="00620821"/>
    <w:rsid w:val="006311A2"/>
    <w:rsid w:val="0064703D"/>
    <w:rsid w:val="00680D2B"/>
    <w:rsid w:val="00681B32"/>
    <w:rsid w:val="006B1D2B"/>
    <w:rsid w:val="006C4602"/>
    <w:rsid w:val="006D4349"/>
    <w:rsid w:val="006E1131"/>
    <w:rsid w:val="006E2037"/>
    <w:rsid w:val="006E6199"/>
    <w:rsid w:val="00701A4D"/>
    <w:rsid w:val="00701FC2"/>
    <w:rsid w:val="00712870"/>
    <w:rsid w:val="00727401"/>
    <w:rsid w:val="00743D85"/>
    <w:rsid w:val="00753CF4"/>
    <w:rsid w:val="007565CC"/>
    <w:rsid w:val="007619B2"/>
    <w:rsid w:val="00763B9A"/>
    <w:rsid w:val="00766F0A"/>
    <w:rsid w:val="0078392D"/>
    <w:rsid w:val="007A6AA8"/>
    <w:rsid w:val="00805E7E"/>
    <w:rsid w:val="00807481"/>
    <w:rsid w:val="008310C9"/>
    <w:rsid w:val="00847941"/>
    <w:rsid w:val="00853CC5"/>
    <w:rsid w:val="00870848"/>
    <w:rsid w:val="008C7848"/>
    <w:rsid w:val="00906589"/>
    <w:rsid w:val="00906AD6"/>
    <w:rsid w:val="00917AF2"/>
    <w:rsid w:val="0092418A"/>
    <w:rsid w:val="00925DCD"/>
    <w:rsid w:val="00934ED7"/>
    <w:rsid w:val="009427EE"/>
    <w:rsid w:val="009543C3"/>
    <w:rsid w:val="00966E1B"/>
    <w:rsid w:val="00976F5D"/>
    <w:rsid w:val="009947C0"/>
    <w:rsid w:val="009B14AA"/>
    <w:rsid w:val="009C3399"/>
    <w:rsid w:val="009E3058"/>
    <w:rsid w:val="009F2D2C"/>
    <w:rsid w:val="00A25DEC"/>
    <w:rsid w:val="00A31928"/>
    <w:rsid w:val="00A62A14"/>
    <w:rsid w:val="00A6617B"/>
    <w:rsid w:val="00A71FE5"/>
    <w:rsid w:val="00A971A1"/>
    <w:rsid w:val="00AA3AD8"/>
    <w:rsid w:val="00AB0DC8"/>
    <w:rsid w:val="00AC23B9"/>
    <w:rsid w:val="00B033C8"/>
    <w:rsid w:val="00B043EA"/>
    <w:rsid w:val="00B33425"/>
    <w:rsid w:val="00B44E24"/>
    <w:rsid w:val="00B54ECC"/>
    <w:rsid w:val="00B714F3"/>
    <w:rsid w:val="00B85A01"/>
    <w:rsid w:val="00B871C5"/>
    <w:rsid w:val="00B87B6B"/>
    <w:rsid w:val="00B9476C"/>
    <w:rsid w:val="00BA4F93"/>
    <w:rsid w:val="00BC5D77"/>
    <w:rsid w:val="00BE19F4"/>
    <w:rsid w:val="00BF487A"/>
    <w:rsid w:val="00C46BD9"/>
    <w:rsid w:val="00C55258"/>
    <w:rsid w:val="00C73560"/>
    <w:rsid w:val="00CA23FE"/>
    <w:rsid w:val="00CB0F14"/>
    <w:rsid w:val="00CD659B"/>
    <w:rsid w:val="00CD68F8"/>
    <w:rsid w:val="00CE0A43"/>
    <w:rsid w:val="00CE3EDB"/>
    <w:rsid w:val="00D1100A"/>
    <w:rsid w:val="00D17A55"/>
    <w:rsid w:val="00D20A96"/>
    <w:rsid w:val="00D23C01"/>
    <w:rsid w:val="00D421EC"/>
    <w:rsid w:val="00D715BA"/>
    <w:rsid w:val="00D83556"/>
    <w:rsid w:val="00DC4EB6"/>
    <w:rsid w:val="00DF4176"/>
    <w:rsid w:val="00DF46D4"/>
    <w:rsid w:val="00E17240"/>
    <w:rsid w:val="00E74595"/>
    <w:rsid w:val="00E94C3B"/>
    <w:rsid w:val="00E95CDC"/>
    <w:rsid w:val="00EA1F14"/>
    <w:rsid w:val="00EB7C57"/>
    <w:rsid w:val="00ED2695"/>
    <w:rsid w:val="00EF7616"/>
    <w:rsid w:val="00F074C2"/>
    <w:rsid w:val="00F23D05"/>
    <w:rsid w:val="00F30C9B"/>
    <w:rsid w:val="00F354B1"/>
    <w:rsid w:val="00F67ECF"/>
    <w:rsid w:val="00F76900"/>
    <w:rsid w:val="00FB0E4E"/>
    <w:rsid w:val="00FB1A8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hapeDefaults>
    <o:shapedefaults v:ext="edit" spidmax="6145">
      <o:colormru v:ext="edit" colors="#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19F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F19F2"/>
    <w:pPr>
      <w:keepNext/>
      <w:keepLines/>
      <w:spacing w:before="480"/>
      <w:ind w:left="794" w:hanging="794"/>
      <w:outlineLvl w:val="0"/>
    </w:pPr>
    <w:rPr>
      <w:b/>
    </w:rPr>
  </w:style>
  <w:style w:type="paragraph" w:styleId="Heading2">
    <w:name w:val="heading 2"/>
    <w:basedOn w:val="Heading1"/>
    <w:next w:val="Normal"/>
    <w:link w:val="Heading2Char"/>
    <w:qFormat/>
    <w:rsid w:val="004F19F2"/>
    <w:pPr>
      <w:spacing w:before="320"/>
      <w:outlineLvl w:val="1"/>
    </w:pPr>
  </w:style>
  <w:style w:type="paragraph" w:styleId="Heading3">
    <w:name w:val="heading 3"/>
    <w:basedOn w:val="Heading1"/>
    <w:next w:val="Normal"/>
    <w:link w:val="Heading3Char"/>
    <w:qFormat/>
    <w:rsid w:val="004F19F2"/>
    <w:pPr>
      <w:spacing w:before="200"/>
      <w:outlineLvl w:val="2"/>
    </w:pPr>
  </w:style>
  <w:style w:type="paragraph" w:styleId="Heading4">
    <w:name w:val="heading 4"/>
    <w:basedOn w:val="Heading3"/>
    <w:next w:val="Normal"/>
    <w:link w:val="Heading4Char"/>
    <w:qFormat/>
    <w:rsid w:val="004F19F2"/>
    <w:pPr>
      <w:tabs>
        <w:tab w:val="clear" w:pos="794"/>
        <w:tab w:val="left" w:pos="992"/>
      </w:tabs>
      <w:ind w:left="992" w:hanging="992"/>
      <w:outlineLvl w:val="3"/>
    </w:pPr>
  </w:style>
  <w:style w:type="paragraph" w:styleId="Heading5">
    <w:name w:val="heading 5"/>
    <w:basedOn w:val="Heading4"/>
    <w:next w:val="Normal"/>
    <w:link w:val="Heading5Char"/>
    <w:qFormat/>
    <w:rsid w:val="004F19F2"/>
    <w:pPr>
      <w:outlineLvl w:val="4"/>
    </w:pPr>
  </w:style>
  <w:style w:type="paragraph" w:styleId="Heading6">
    <w:name w:val="heading 6"/>
    <w:basedOn w:val="Heading4"/>
    <w:next w:val="Normal"/>
    <w:link w:val="Heading6Char"/>
    <w:qFormat/>
    <w:rsid w:val="004F19F2"/>
    <w:pPr>
      <w:tabs>
        <w:tab w:val="clear" w:pos="992"/>
        <w:tab w:val="clear" w:pos="1191"/>
      </w:tabs>
      <w:ind w:left="1588" w:hanging="1588"/>
      <w:outlineLvl w:val="5"/>
    </w:pPr>
  </w:style>
  <w:style w:type="paragraph" w:styleId="Heading7">
    <w:name w:val="heading 7"/>
    <w:basedOn w:val="Heading6"/>
    <w:next w:val="Normal"/>
    <w:link w:val="Heading7Char"/>
    <w:qFormat/>
    <w:rsid w:val="004F19F2"/>
    <w:pPr>
      <w:outlineLvl w:val="6"/>
    </w:pPr>
  </w:style>
  <w:style w:type="paragraph" w:styleId="Heading8">
    <w:name w:val="heading 8"/>
    <w:basedOn w:val="Heading6"/>
    <w:next w:val="Normal"/>
    <w:link w:val="Heading8Char"/>
    <w:qFormat/>
    <w:rsid w:val="004F19F2"/>
    <w:pPr>
      <w:outlineLvl w:val="7"/>
    </w:pPr>
  </w:style>
  <w:style w:type="paragraph" w:styleId="Heading9">
    <w:name w:val="heading 9"/>
    <w:basedOn w:val="Heading6"/>
    <w:next w:val="Normal"/>
    <w:link w:val="Heading9Char"/>
    <w:qFormat/>
    <w:rsid w:val="004F19F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F19F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4F19F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F19F2"/>
  </w:style>
  <w:style w:type="paragraph" w:customStyle="1" w:styleId="Headingb">
    <w:name w:val="Heading_b"/>
    <w:basedOn w:val="Heading3"/>
    <w:next w:val="Normal"/>
    <w:rsid w:val="004F19F2"/>
    <w:pPr>
      <w:spacing w:before="160"/>
      <w:ind w:left="0" w:firstLine="0"/>
      <w:outlineLvl w:val="9"/>
    </w:pPr>
  </w:style>
  <w:style w:type="paragraph" w:customStyle="1" w:styleId="Headingi">
    <w:name w:val="Heading_i"/>
    <w:basedOn w:val="Heading3"/>
    <w:next w:val="Normal"/>
    <w:rsid w:val="004F19F2"/>
    <w:pPr>
      <w:spacing w:before="160"/>
      <w:ind w:left="0" w:firstLine="0"/>
    </w:pPr>
    <w:rPr>
      <w:b w:val="0"/>
      <w:i/>
    </w:rPr>
  </w:style>
  <w:style w:type="character" w:customStyle="1" w:styleId="href">
    <w:name w:val="href"/>
    <w:basedOn w:val="DefaultParagraphFont"/>
    <w:rsid w:val="004F19F2"/>
  </w:style>
  <w:style w:type="paragraph" w:customStyle="1" w:styleId="AnnexNoTitle">
    <w:name w:val="Annex_NoTitle"/>
    <w:basedOn w:val="Normal"/>
    <w:next w:val="Normalaftertitle"/>
    <w:rsid w:val="004F19F2"/>
    <w:pPr>
      <w:keepNext/>
      <w:keepLines/>
      <w:spacing w:before="480" w:after="80"/>
      <w:jc w:val="center"/>
    </w:pPr>
    <w:rPr>
      <w:b/>
      <w:sz w:val="28"/>
    </w:rPr>
  </w:style>
  <w:style w:type="paragraph" w:customStyle="1" w:styleId="Normalaftertitle">
    <w:name w:val="Normal_after_title"/>
    <w:basedOn w:val="Normal"/>
    <w:next w:val="Normal"/>
    <w:rsid w:val="004F19F2"/>
    <w:pPr>
      <w:spacing w:before="320"/>
    </w:pPr>
  </w:style>
  <w:style w:type="paragraph" w:customStyle="1" w:styleId="enumlev2">
    <w:name w:val="enumlev2"/>
    <w:basedOn w:val="enumlev1"/>
    <w:rsid w:val="004F19F2"/>
    <w:pPr>
      <w:ind w:left="1191" w:hanging="397"/>
    </w:pPr>
  </w:style>
  <w:style w:type="paragraph" w:customStyle="1" w:styleId="enumlev1">
    <w:name w:val="enumlev1"/>
    <w:basedOn w:val="Normal"/>
    <w:link w:val="enumlev1Char"/>
    <w:rsid w:val="004F19F2"/>
    <w:pPr>
      <w:spacing w:before="80"/>
      <w:ind w:left="794" w:hanging="794"/>
    </w:pPr>
  </w:style>
  <w:style w:type="paragraph" w:customStyle="1" w:styleId="enumlev3">
    <w:name w:val="enumlev3"/>
    <w:basedOn w:val="enumlev2"/>
    <w:rsid w:val="004F19F2"/>
    <w:pPr>
      <w:ind w:left="1588"/>
    </w:pPr>
  </w:style>
  <w:style w:type="paragraph" w:customStyle="1" w:styleId="Note">
    <w:name w:val="Note"/>
    <w:basedOn w:val="Normal"/>
    <w:link w:val="NoteChar"/>
    <w:rsid w:val="004F19F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F19F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4F19F2"/>
    <w:pPr>
      <w:keepNext/>
      <w:keepLines/>
      <w:spacing w:before="240"/>
      <w:jc w:val="center"/>
    </w:pPr>
    <w:rPr>
      <w:b/>
      <w:sz w:val="28"/>
    </w:rPr>
  </w:style>
  <w:style w:type="paragraph" w:customStyle="1" w:styleId="Recref">
    <w:name w:val="Rec_ref"/>
    <w:basedOn w:val="Normal"/>
    <w:next w:val="Recdate"/>
    <w:rsid w:val="004F19F2"/>
    <w:pPr>
      <w:jc w:val="center"/>
    </w:pPr>
  </w:style>
  <w:style w:type="paragraph" w:customStyle="1" w:styleId="Recdate">
    <w:name w:val="Rec_date"/>
    <w:basedOn w:val="Recref"/>
    <w:next w:val="Normalaftertitle"/>
    <w:rsid w:val="004F19F2"/>
    <w:pPr>
      <w:jc w:val="right"/>
    </w:pPr>
  </w:style>
  <w:style w:type="paragraph" w:customStyle="1" w:styleId="HeadingSum">
    <w:name w:val="Heading_Sum"/>
    <w:basedOn w:val="Headingb"/>
    <w:next w:val="Normal"/>
    <w:rsid w:val="004F19F2"/>
    <w:pPr>
      <w:spacing w:before="240"/>
    </w:pPr>
    <w:rPr>
      <w:sz w:val="22"/>
      <w:lang w:val="es-ES_tradnl"/>
    </w:rPr>
  </w:style>
  <w:style w:type="paragraph" w:customStyle="1" w:styleId="AppendixNoTitle">
    <w:name w:val="Appendix_NoTitle"/>
    <w:basedOn w:val="AnnexNoTitle"/>
    <w:next w:val="Normal"/>
    <w:rsid w:val="004F19F2"/>
  </w:style>
  <w:style w:type="paragraph" w:customStyle="1" w:styleId="Tablefin">
    <w:name w:val="Table_fin"/>
    <w:basedOn w:val="Normal"/>
    <w:next w:val="Normal"/>
    <w:rsid w:val="004F19F2"/>
    <w:pPr>
      <w:spacing w:before="0"/>
    </w:pPr>
    <w:rPr>
      <w:sz w:val="20"/>
      <w:lang w:val="en-GB"/>
    </w:rPr>
  </w:style>
  <w:style w:type="paragraph" w:customStyle="1" w:styleId="Tablehead">
    <w:name w:val="Table_head"/>
    <w:basedOn w:val="Normal"/>
    <w:next w:val="Normal"/>
    <w:rsid w:val="004F19F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F19F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F19F2"/>
    <w:pPr>
      <w:keepNext/>
      <w:spacing w:before="360" w:after="120"/>
      <w:jc w:val="center"/>
    </w:pPr>
  </w:style>
  <w:style w:type="paragraph" w:customStyle="1" w:styleId="Tabletext">
    <w:name w:val="Table_text"/>
    <w:basedOn w:val="Normal"/>
    <w:rsid w:val="004F19F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F19F2"/>
    <w:pPr>
      <w:tabs>
        <w:tab w:val="clear" w:pos="1191"/>
        <w:tab w:val="clear" w:pos="1588"/>
        <w:tab w:val="clear" w:pos="1985"/>
        <w:tab w:val="center" w:pos="4820"/>
        <w:tab w:val="right" w:pos="9639"/>
      </w:tabs>
    </w:pPr>
  </w:style>
  <w:style w:type="paragraph" w:customStyle="1" w:styleId="Equationlegend">
    <w:name w:val="Equation_legend"/>
    <w:basedOn w:val="NormalIndent"/>
    <w:rsid w:val="004F19F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F19F2"/>
    <w:pPr>
      <w:ind w:left="794"/>
    </w:pPr>
  </w:style>
  <w:style w:type="paragraph" w:customStyle="1" w:styleId="Figurelegend">
    <w:name w:val="Figure_legend"/>
    <w:basedOn w:val="Normal"/>
    <w:rsid w:val="004F19F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4F19F2"/>
    <w:pPr>
      <w:keepNext/>
      <w:keepLines/>
      <w:spacing w:before="480" w:after="80"/>
      <w:jc w:val="center"/>
    </w:pPr>
    <w:rPr>
      <w:caps/>
      <w:sz w:val="18"/>
    </w:rPr>
  </w:style>
  <w:style w:type="paragraph" w:customStyle="1" w:styleId="Figuretitle">
    <w:name w:val="Figure_title"/>
    <w:basedOn w:val="Normal"/>
    <w:next w:val="Figure"/>
    <w:link w:val="FiguretitleChar"/>
    <w:rsid w:val="004F19F2"/>
    <w:pPr>
      <w:keepNext/>
      <w:spacing w:before="0" w:after="120"/>
      <w:jc w:val="center"/>
    </w:pPr>
    <w:rPr>
      <w:rFonts w:ascii="Times New Roman Bold" w:hAnsi="Times New Roman Bold"/>
      <w:b/>
      <w:sz w:val="18"/>
    </w:rPr>
  </w:style>
  <w:style w:type="paragraph" w:customStyle="1" w:styleId="Figure">
    <w:name w:val="Figure"/>
    <w:basedOn w:val="FigureNo"/>
    <w:next w:val="Normal"/>
    <w:rsid w:val="004F19F2"/>
    <w:pPr>
      <w:keepNext w:val="0"/>
      <w:spacing w:before="0" w:after="240"/>
    </w:pPr>
  </w:style>
  <w:style w:type="paragraph" w:customStyle="1" w:styleId="tocpart">
    <w:name w:val="tocpart"/>
    <w:basedOn w:val="Normal"/>
    <w:rsid w:val="004F19F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F19F2"/>
    <w:pPr>
      <w:keepNext/>
      <w:keepLines/>
      <w:spacing w:before="480"/>
      <w:jc w:val="center"/>
    </w:pPr>
    <w:rPr>
      <w:sz w:val="28"/>
    </w:rPr>
  </w:style>
  <w:style w:type="paragraph" w:customStyle="1" w:styleId="Arttitle">
    <w:name w:val="Art_title"/>
    <w:basedOn w:val="Normal"/>
    <w:next w:val="Normalaftertitle"/>
    <w:rsid w:val="004F19F2"/>
    <w:pPr>
      <w:keepNext/>
      <w:keepLines/>
      <w:spacing w:before="240"/>
      <w:jc w:val="center"/>
    </w:pPr>
    <w:rPr>
      <w:b/>
      <w:sz w:val="28"/>
    </w:rPr>
  </w:style>
  <w:style w:type="paragraph" w:customStyle="1" w:styleId="Blanc">
    <w:name w:val="Blanc"/>
    <w:basedOn w:val="Normal"/>
    <w:next w:val="Tabletext"/>
    <w:rsid w:val="004F19F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F19F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F19F2"/>
    <w:pPr>
      <w:keepNext/>
      <w:keepLines/>
      <w:spacing w:before="160"/>
      <w:ind w:left="794"/>
    </w:pPr>
    <w:rPr>
      <w:i/>
    </w:rPr>
  </w:style>
  <w:style w:type="paragraph" w:customStyle="1" w:styleId="ChapNo">
    <w:name w:val="Chap_No"/>
    <w:basedOn w:val="ArtNo"/>
    <w:next w:val="Chaptitle"/>
    <w:rsid w:val="004F19F2"/>
    <w:rPr>
      <w:b/>
    </w:rPr>
  </w:style>
  <w:style w:type="paragraph" w:customStyle="1" w:styleId="Chaptitle">
    <w:name w:val="Chap_title"/>
    <w:basedOn w:val="Arttitle"/>
    <w:next w:val="Normalaftertitle"/>
    <w:rsid w:val="004F19F2"/>
  </w:style>
  <w:style w:type="character" w:styleId="FootnoteReference">
    <w:name w:val="footnote reference"/>
    <w:basedOn w:val="DefaultParagraphFont"/>
    <w:rsid w:val="004F19F2"/>
    <w:rPr>
      <w:position w:val="6"/>
      <w:sz w:val="18"/>
    </w:rPr>
  </w:style>
  <w:style w:type="paragraph" w:styleId="FootnoteText">
    <w:name w:val="footnote text"/>
    <w:basedOn w:val="Normal"/>
    <w:link w:val="FootnoteTextChar"/>
    <w:rsid w:val="004F19F2"/>
    <w:pPr>
      <w:keepLines/>
      <w:tabs>
        <w:tab w:val="left" w:pos="255"/>
      </w:tabs>
      <w:ind w:left="255" w:hanging="255"/>
    </w:pPr>
    <w:rPr>
      <w:sz w:val="22"/>
    </w:rPr>
  </w:style>
  <w:style w:type="paragraph" w:styleId="Index1">
    <w:name w:val="index 1"/>
    <w:basedOn w:val="Normal"/>
    <w:next w:val="Normal"/>
    <w:semiHidden/>
    <w:rsid w:val="004F19F2"/>
  </w:style>
  <w:style w:type="paragraph" w:styleId="Index2">
    <w:name w:val="index 2"/>
    <w:basedOn w:val="Normal"/>
    <w:next w:val="Normal"/>
    <w:semiHidden/>
    <w:rsid w:val="004F19F2"/>
    <w:pPr>
      <w:ind w:left="283"/>
    </w:pPr>
  </w:style>
  <w:style w:type="paragraph" w:styleId="Index3">
    <w:name w:val="index 3"/>
    <w:basedOn w:val="Normal"/>
    <w:next w:val="Normal"/>
    <w:semiHidden/>
    <w:rsid w:val="004F19F2"/>
    <w:pPr>
      <w:ind w:left="566"/>
    </w:pPr>
  </w:style>
  <w:style w:type="paragraph" w:styleId="IndexHeading">
    <w:name w:val="index heading"/>
    <w:basedOn w:val="Normal"/>
    <w:next w:val="Index1"/>
    <w:semiHidden/>
    <w:rsid w:val="004F19F2"/>
  </w:style>
  <w:style w:type="paragraph" w:customStyle="1" w:styleId="Line">
    <w:name w:val="Line"/>
    <w:basedOn w:val="Normal"/>
    <w:next w:val="Normal"/>
    <w:rsid w:val="004F19F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F19F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F19F2"/>
  </w:style>
  <w:style w:type="paragraph" w:customStyle="1" w:styleId="Partref">
    <w:name w:val="Part_ref"/>
    <w:basedOn w:val="Normal"/>
    <w:next w:val="Normal"/>
    <w:rsid w:val="004F19F2"/>
    <w:pPr>
      <w:keepNext/>
      <w:keepLines/>
      <w:spacing w:after="280"/>
      <w:jc w:val="center"/>
    </w:pPr>
  </w:style>
  <w:style w:type="paragraph" w:customStyle="1" w:styleId="Parttitle">
    <w:name w:val="Part_title"/>
    <w:basedOn w:val="Normal"/>
    <w:next w:val="Normalaftertitle"/>
    <w:rsid w:val="004F19F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F19F2"/>
  </w:style>
  <w:style w:type="paragraph" w:customStyle="1" w:styleId="QuestionNo">
    <w:name w:val="Question_No"/>
    <w:basedOn w:val="RecNo"/>
    <w:next w:val="Normal"/>
    <w:rsid w:val="004F19F2"/>
  </w:style>
  <w:style w:type="paragraph" w:customStyle="1" w:styleId="Questionref">
    <w:name w:val="Question_ref"/>
    <w:basedOn w:val="Recref"/>
    <w:next w:val="Questiondate"/>
    <w:rsid w:val="004F19F2"/>
  </w:style>
  <w:style w:type="paragraph" w:customStyle="1" w:styleId="Questiontitle">
    <w:name w:val="Question_title"/>
    <w:basedOn w:val="Normal"/>
    <w:next w:val="Questionref"/>
    <w:rsid w:val="004F19F2"/>
  </w:style>
  <w:style w:type="paragraph" w:customStyle="1" w:styleId="Reftext">
    <w:name w:val="Ref_text"/>
    <w:basedOn w:val="Normal"/>
    <w:rsid w:val="004F19F2"/>
    <w:pPr>
      <w:ind w:left="794" w:hanging="794"/>
    </w:pPr>
    <w:rPr>
      <w:sz w:val="22"/>
    </w:rPr>
  </w:style>
  <w:style w:type="paragraph" w:customStyle="1" w:styleId="Reftitle">
    <w:name w:val="Ref_title"/>
    <w:basedOn w:val="Normal"/>
    <w:next w:val="Reftext"/>
    <w:rsid w:val="004F19F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F19F2"/>
  </w:style>
  <w:style w:type="paragraph" w:customStyle="1" w:styleId="RepNo">
    <w:name w:val="Rep_No"/>
    <w:basedOn w:val="RecNo"/>
    <w:next w:val="Reptitle"/>
    <w:rsid w:val="004F19F2"/>
  </w:style>
  <w:style w:type="paragraph" w:customStyle="1" w:styleId="Reptitle">
    <w:name w:val="Rep_title"/>
    <w:basedOn w:val="Rectitle"/>
    <w:next w:val="Repref"/>
    <w:rsid w:val="004F19F2"/>
  </w:style>
  <w:style w:type="paragraph" w:customStyle="1" w:styleId="Repref">
    <w:name w:val="Rep_ref"/>
    <w:basedOn w:val="Recref"/>
    <w:next w:val="Repdate"/>
    <w:rsid w:val="004F19F2"/>
  </w:style>
  <w:style w:type="paragraph" w:customStyle="1" w:styleId="Resdate">
    <w:name w:val="Res_date"/>
    <w:basedOn w:val="Recdate"/>
    <w:next w:val="Normalaftertitle"/>
    <w:rsid w:val="004F19F2"/>
  </w:style>
  <w:style w:type="paragraph" w:customStyle="1" w:styleId="ResNo">
    <w:name w:val="Res_No"/>
    <w:basedOn w:val="RecNo"/>
    <w:next w:val="Restitle"/>
    <w:rsid w:val="004F19F2"/>
  </w:style>
  <w:style w:type="paragraph" w:customStyle="1" w:styleId="Restitle">
    <w:name w:val="Res_title"/>
    <w:basedOn w:val="Normal"/>
    <w:next w:val="Resref"/>
    <w:rsid w:val="004F19F2"/>
    <w:pPr>
      <w:spacing w:before="240"/>
      <w:jc w:val="center"/>
    </w:pPr>
    <w:rPr>
      <w:b/>
      <w:sz w:val="28"/>
    </w:rPr>
  </w:style>
  <w:style w:type="paragraph" w:customStyle="1" w:styleId="Resref">
    <w:name w:val="Res_ref"/>
    <w:basedOn w:val="Recref"/>
    <w:next w:val="Resdate"/>
    <w:rsid w:val="004F19F2"/>
  </w:style>
  <w:style w:type="paragraph" w:customStyle="1" w:styleId="SectionNo">
    <w:name w:val="Section_No"/>
    <w:basedOn w:val="Normal"/>
    <w:next w:val="Normal"/>
    <w:rsid w:val="004F19F2"/>
  </w:style>
  <w:style w:type="paragraph" w:customStyle="1" w:styleId="Sectiontitle">
    <w:name w:val="Section_title"/>
    <w:basedOn w:val="Normal"/>
    <w:next w:val="Normalaftertitle"/>
    <w:rsid w:val="004F19F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F19F2"/>
    <w:pPr>
      <w:tabs>
        <w:tab w:val="clear" w:pos="794"/>
        <w:tab w:val="clear" w:pos="1191"/>
        <w:tab w:val="clear" w:pos="1588"/>
        <w:tab w:val="clear" w:pos="1985"/>
        <w:tab w:val="right" w:pos="9611"/>
      </w:tabs>
    </w:pPr>
    <w:rPr>
      <w:i/>
    </w:rPr>
  </w:style>
  <w:style w:type="paragraph" w:styleId="TOC1">
    <w:name w:val="toc 1"/>
    <w:basedOn w:val="Normal"/>
    <w:semiHidden/>
    <w:rsid w:val="004F19F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F19F2"/>
    <w:pPr>
      <w:tabs>
        <w:tab w:val="clear" w:pos="567"/>
        <w:tab w:val="left" w:pos="1276"/>
      </w:tabs>
      <w:spacing w:before="160"/>
      <w:ind w:left="1276" w:hanging="709"/>
    </w:pPr>
  </w:style>
  <w:style w:type="paragraph" w:styleId="TOC3">
    <w:name w:val="toc 3"/>
    <w:basedOn w:val="TOC2"/>
    <w:semiHidden/>
    <w:rsid w:val="004F19F2"/>
    <w:pPr>
      <w:tabs>
        <w:tab w:val="clear" w:pos="1276"/>
        <w:tab w:val="left" w:pos="2155"/>
      </w:tabs>
      <w:ind w:left="2155" w:hanging="879"/>
    </w:pPr>
  </w:style>
  <w:style w:type="paragraph" w:styleId="TOC4">
    <w:name w:val="toc 4"/>
    <w:basedOn w:val="TOC3"/>
    <w:semiHidden/>
    <w:rsid w:val="004F19F2"/>
    <w:pPr>
      <w:tabs>
        <w:tab w:val="left" w:pos="3261"/>
      </w:tabs>
      <w:spacing w:before="80"/>
      <w:ind w:left="3261" w:hanging="993"/>
    </w:pPr>
  </w:style>
  <w:style w:type="paragraph" w:styleId="TOC5">
    <w:name w:val="toc 5"/>
    <w:basedOn w:val="TOC4"/>
    <w:semiHidden/>
    <w:rsid w:val="004F19F2"/>
  </w:style>
  <w:style w:type="paragraph" w:styleId="TOC6">
    <w:name w:val="toc 6"/>
    <w:basedOn w:val="TOC4"/>
    <w:semiHidden/>
    <w:rsid w:val="004F19F2"/>
  </w:style>
  <w:style w:type="paragraph" w:styleId="TOC7">
    <w:name w:val="toc 7"/>
    <w:basedOn w:val="TOC4"/>
    <w:semiHidden/>
    <w:rsid w:val="004F19F2"/>
  </w:style>
  <w:style w:type="paragraph" w:styleId="TOC8">
    <w:name w:val="toc 8"/>
    <w:basedOn w:val="TOC4"/>
    <w:semiHidden/>
    <w:rsid w:val="004F19F2"/>
  </w:style>
  <w:style w:type="paragraph" w:customStyle="1" w:styleId="Annexref">
    <w:name w:val="Annex_ref"/>
    <w:basedOn w:val="Normal"/>
    <w:next w:val="Normalaftertitle"/>
    <w:rsid w:val="004F19F2"/>
    <w:pPr>
      <w:keepNext/>
      <w:keepLines/>
      <w:spacing w:after="280"/>
      <w:jc w:val="center"/>
    </w:pPr>
  </w:style>
  <w:style w:type="paragraph" w:customStyle="1" w:styleId="Appendixref">
    <w:name w:val="Appendix_ref"/>
    <w:basedOn w:val="Annexref"/>
    <w:next w:val="Normalaftertitle"/>
    <w:rsid w:val="004F19F2"/>
  </w:style>
  <w:style w:type="paragraph" w:customStyle="1" w:styleId="Tabletitle">
    <w:name w:val="Table_title"/>
    <w:basedOn w:val="Normal"/>
    <w:next w:val="Tablehead"/>
    <w:rsid w:val="004F19F2"/>
    <w:pPr>
      <w:keepNext/>
      <w:spacing w:before="0" w:after="120"/>
      <w:jc w:val="center"/>
    </w:pPr>
    <w:rPr>
      <w:b/>
    </w:rPr>
  </w:style>
  <w:style w:type="paragraph" w:customStyle="1" w:styleId="Summary">
    <w:name w:val="Summary"/>
    <w:basedOn w:val="Normal"/>
    <w:next w:val="Normalaftertitle"/>
    <w:rsid w:val="004F19F2"/>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4F19F2"/>
    <w:pPr>
      <w:ind w:left="-85" w:firstLine="0"/>
    </w:pPr>
    <w:rPr>
      <w:lang w:val="en-US"/>
    </w:rPr>
  </w:style>
  <w:style w:type="character" w:customStyle="1" w:styleId="FootnoteTextChar">
    <w:name w:val="Footnote Text Char"/>
    <w:basedOn w:val="DefaultParagraphFont"/>
    <w:link w:val="FootnoteText"/>
    <w:rsid w:val="00F67ECF"/>
    <w:rPr>
      <w:sz w:val="22"/>
      <w:lang w:val="fr-FR" w:eastAsia="en-US"/>
    </w:rPr>
  </w:style>
  <w:style w:type="character" w:customStyle="1" w:styleId="Heading1Char">
    <w:name w:val="Heading 1 Char"/>
    <w:basedOn w:val="DefaultParagraphFont"/>
    <w:link w:val="Heading1"/>
    <w:rsid w:val="0040081F"/>
    <w:rPr>
      <w:b/>
      <w:sz w:val="24"/>
      <w:lang w:val="fr-FR" w:eastAsia="en-US"/>
    </w:rPr>
  </w:style>
  <w:style w:type="character" w:customStyle="1" w:styleId="Heading2Char">
    <w:name w:val="Heading 2 Char"/>
    <w:basedOn w:val="DefaultParagraphFont"/>
    <w:link w:val="Heading2"/>
    <w:rsid w:val="0040081F"/>
    <w:rPr>
      <w:b/>
      <w:sz w:val="24"/>
      <w:lang w:val="fr-FR" w:eastAsia="en-US"/>
    </w:rPr>
  </w:style>
  <w:style w:type="character" w:customStyle="1" w:styleId="Heading3Char">
    <w:name w:val="Heading 3 Char"/>
    <w:basedOn w:val="DefaultParagraphFont"/>
    <w:link w:val="Heading3"/>
    <w:rsid w:val="0040081F"/>
    <w:rPr>
      <w:b/>
      <w:sz w:val="24"/>
      <w:lang w:val="fr-FR" w:eastAsia="en-US"/>
    </w:rPr>
  </w:style>
  <w:style w:type="character" w:customStyle="1" w:styleId="Heading4Char">
    <w:name w:val="Heading 4 Char"/>
    <w:basedOn w:val="DefaultParagraphFont"/>
    <w:link w:val="Heading4"/>
    <w:rsid w:val="0040081F"/>
    <w:rPr>
      <w:b/>
      <w:sz w:val="24"/>
      <w:lang w:val="fr-FR" w:eastAsia="en-US"/>
    </w:rPr>
  </w:style>
  <w:style w:type="character" w:customStyle="1" w:styleId="Heading5Char">
    <w:name w:val="Heading 5 Char"/>
    <w:basedOn w:val="DefaultParagraphFont"/>
    <w:link w:val="Heading5"/>
    <w:rsid w:val="0040081F"/>
    <w:rPr>
      <w:b/>
      <w:sz w:val="24"/>
      <w:lang w:val="fr-FR" w:eastAsia="en-US"/>
    </w:rPr>
  </w:style>
  <w:style w:type="character" w:customStyle="1" w:styleId="Heading6Char">
    <w:name w:val="Heading 6 Char"/>
    <w:basedOn w:val="DefaultParagraphFont"/>
    <w:link w:val="Heading6"/>
    <w:rsid w:val="0040081F"/>
    <w:rPr>
      <w:b/>
      <w:sz w:val="24"/>
      <w:lang w:val="fr-FR" w:eastAsia="en-US"/>
    </w:rPr>
  </w:style>
  <w:style w:type="character" w:customStyle="1" w:styleId="Heading7Char">
    <w:name w:val="Heading 7 Char"/>
    <w:basedOn w:val="DefaultParagraphFont"/>
    <w:link w:val="Heading7"/>
    <w:rsid w:val="0040081F"/>
    <w:rPr>
      <w:b/>
      <w:sz w:val="24"/>
      <w:lang w:val="fr-FR" w:eastAsia="en-US"/>
    </w:rPr>
  </w:style>
  <w:style w:type="character" w:customStyle="1" w:styleId="Heading8Char">
    <w:name w:val="Heading 8 Char"/>
    <w:basedOn w:val="DefaultParagraphFont"/>
    <w:link w:val="Heading8"/>
    <w:rsid w:val="0040081F"/>
    <w:rPr>
      <w:b/>
      <w:sz w:val="24"/>
      <w:lang w:val="fr-FR" w:eastAsia="en-US"/>
    </w:rPr>
  </w:style>
  <w:style w:type="character" w:customStyle="1" w:styleId="Heading9Char">
    <w:name w:val="Heading 9 Char"/>
    <w:basedOn w:val="DefaultParagraphFont"/>
    <w:link w:val="Heading9"/>
    <w:rsid w:val="0040081F"/>
    <w:rPr>
      <w:b/>
      <w:sz w:val="24"/>
      <w:lang w:val="fr-FR" w:eastAsia="en-US"/>
    </w:rPr>
  </w:style>
  <w:style w:type="character" w:customStyle="1" w:styleId="HeaderChar">
    <w:name w:val="Header Char"/>
    <w:basedOn w:val="DefaultParagraphFont"/>
    <w:link w:val="Header"/>
    <w:rsid w:val="0040081F"/>
    <w:rPr>
      <w:sz w:val="24"/>
      <w:lang w:val="fr-FR" w:eastAsia="en-US"/>
    </w:rPr>
  </w:style>
  <w:style w:type="character" w:customStyle="1" w:styleId="FooterChar">
    <w:name w:val="Footer Char"/>
    <w:basedOn w:val="DefaultParagraphFont"/>
    <w:link w:val="Footer"/>
    <w:rsid w:val="0040081F"/>
    <w:rPr>
      <w:noProof/>
      <w:sz w:val="18"/>
      <w:lang w:val="fr-FR" w:eastAsia="en-US"/>
    </w:rPr>
  </w:style>
  <w:style w:type="character" w:customStyle="1" w:styleId="enumlev1Char">
    <w:name w:val="enumlev1 Char"/>
    <w:basedOn w:val="DefaultParagraphFont"/>
    <w:link w:val="enumlev1"/>
    <w:locked/>
    <w:rsid w:val="00111811"/>
    <w:rPr>
      <w:sz w:val="24"/>
      <w:lang w:val="fr-FR" w:eastAsia="en-US"/>
    </w:rPr>
  </w:style>
  <w:style w:type="character" w:customStyle="1" w:styleId="FiguretitleChar">
    <w:name w:val="Figure_title Char"/>
    <w:basedOn w:val="DefaultParagraphFont"/>
    <w:link w:val="Figuretitle"/>
    <w:locked/>
    <w:rsid w:val="00111811"/>
    <w:rPr>
      <w:rFonts w:ascii="Times New Roman Bold" w:hAnsi="Times New Roman Bold"/>
      <w:b/>
      <w:sz w:val="18"/>
      <w:lang w:val="fr-FR" w:eastAsia="en-US"/>
    </w:rPr>
  </w:style>
  <w:style w:type="character" w:customStyle="1" w:styleId="FigureNoChar">
    <w:name w:val="Figure_No Char"/>
    <w:basedOn w:val="DefaultParagraphFont"/>
    <w:link w:val="FigureNo"/>
    <w:locked/>
    <w:rsid w:val="00111811"/>
    <w:rPr>
      <w:caps/>
      <w:sz w:val="18"/>
      <w:lang w:val="fr-FR" w:eastAsia="en-US"/>
    </w:rPr>
  </w:style>
  <w:style w:type="character" w:customStyle="1" w:styleId="NoteChar">
    <w:name w:val="Note Char"/>
    <w:link w:val="Note"/>
    <w:locked/>
    <w:rsid w:val="00111811"/>
    <w:rPr>
      <w:sz w:val="22"/>
      <w:lang w:val="fr-FR" w:eastAsia="en-US"/>
    </w:rPr>
  </w:style>
  <w:style w:type="paragraph" w:styleId="BalloonText">
    <w:name w:val="Balloon Text"/>
    <w:basedOn w:val="Normal"/>
    <w:link w:val="BalloonTextChar"/>
    <w:rsid w:val="00601FF0"/>
    <w:pPr>
      <w:spacing w:before="0"/>
    </w:pPr>
    <w:rPr>
      <w:rFonts w:ascii="Tahoma" w:hAnsi="Tahoma" w:cs="Tahoma"/>
      <w:sz w:val="16"/>
      <w:szCs w:val="16"/>
    </w:rPr>
  </w:style>
  <w:style w:type="character" w:customStyle="1" w:styleId="BalloonTextChar">
    <w:name w:val="Balloon Text Char"/>
    <w:basedOn w:val="DefaultParagraphFont"/>
    <w:link w:val="BalloonText"/>
    <w:rsid w:val="00601FF0"/>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19F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F19F2"/>
    <w:pPr>
      <w:keepNext/>
      <w:keepLines/>
      <w:spacing w:before="480"/>
      <w:ind w:left="794" w:hanging="794"/>
      <w:outlineLvl w:val="0"/>
    </w:pPr>
    <w:rPr>
      <w:b/>
    </w:rPr>
  </w:style>
  <w:style w:type="paragraph" w:styleId="Heading2">
    <w:name w:val="heading 2"/>
    <w:basedOn w:val="Heading1"/>
    <w:next w:val="Normal"/>
    <w:link w:val="Heading2Char"/>
    <w:qFormat/>
    <w:rsid w:val="004F19F2"/>
    <w:pPr>
      <w:spacing w:before="320"/>
      <w:outlineLvl w:val="1"/>
    </w:pPr>
  </w:style>
  <w:style w:type="paragraph" w:styleId="Heading3">
    <w:name w:val="heading 3"/>
    <w:basedOn w:val="Heading1"/>
    <w:next w:val="Normal"/>
    <w:link w:val="Heading3Char"/>
    <w:qFormat/>
    <w:rsid w:val="004F19F2"/>
    <w:pPr>
      <w:spacing w:before="200"/>
      <w:outlineLvl w:val="2"/>
    </w:pPr>
  </w:style>
  <w:style w:type="paragraph" w:styleId="Heading4">
    <w:name w:val="heading 4"/>
    <w:basedOn w:val="Heading3"/>
    <w:next w:val="Normal"/>
    <w:link w:val="Heading4Char"/>
    <w:qFormat/>
    <w:rsid w:val="004F19F2"/>
    <w:pPr>
      <w:tabs>
        <w:tab w:val="clear" w:pos="794"/>
        <w:tab w:val="left" w:pos="992"/>
      </w:tabs>
      <w:ind w:left="992" w:hanging="992"/>
      <w:outlineLvl w:val="3"/>
    </w:pPr>
  </w:style>
  <w:style w:type="paragraph" w:styleId="Heading5">
    <w:name w:val="heading 5"/>
    <w:basedOn w:val="Heading4"/>
    <w:next w:val="Normal"/>
    <w:link w:val="Heading5Char"/>
    <w:qFormat/>
    <w:rsid w:val="004F19F2"/>
    <w:pPr>
      <w:outlineLvl w:val="4"/>
    </w:pPr>
  </w:style>
  <w:style w:type="paragraph" w:styleId="Heading6">
    <w:name w:val="heading 6"/>
    <w:basedOn w:val="Heading4"/>
    <w:next w:val="Normal"/>
    <w:link w:val="Heading6Char"/>
    <w:qFormat/>
    <w:rsid w:val="004F19F2"/>
    <w:pPr>
      <w:tabs>
        <w:tab w:val="clear" w:pos="992"/>
        <w:tab w:val="clear" w:pos="1191"/>
      </w:tabs>
      <w:ind w:left="1588" w:hanging="1588"/>
      <w:outlineLvl w:val="5"/>
    </w:pPr>
  </w:style>
  <w:style w:type="paragraph" w:styleId="Heading7">
    <w:name w:val="heading 7"/>
    <w:basedOn w:val="Heading6"/>
    <w:next w:val="Normal"/>
    <w:link w:val="Heading7Char"/>
    <w:qFormat/>
    <w:rsid w:val="004F19F2"/>
    <w:pPr>
      <w:outlineLvl w:val="6"/>
    </w:pPr>
  </w:style>
  <w:style w:type="paragraph" w:styleId="Heading8">
    <w:name w:val="heading 8"/>
    <w:basedOn w:val="Heading6"/>
    <w:next w:val="Normal"/>
    <w:link w:val="Heading8Char"/>
    <w:qFormat/>
    <w:rsid w:val="004F19F2"/>
    <w:pPr>
      <w:outlineLvl w:val="7"/>
    </w:pPr>
  </w:style>
  <w:style w:type="paragraph" w:styleId="Heading9">
    <w:name w:val="heading 9"/>
    <w:basedOn w:val="Heading6"/>
    <w:next w:val="Normal"/>
    <w:link w:val="Heading9Char"/>
    <w:qFormat/>
    <w:rsid w:val="004F19F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F19F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4F19F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F19F2"/>
  </w:style>
  <w:style w:type="paragraph" w:customStyle="1" w:styleId="Headingb">
    <w:name w:val="Heading_b"/>
    <w:basedOn w:val="Heading3"/>
    <w:next w:val="Normal"/>
    <w:rsid w:val="004F19F2"/>
    <w:pPr>
      <w:spacing w:before="160"/>
      <w:ind w:left="0" w:firstLine="0"/>
      <w:outlineLvl w:val="9"/>
    </w:pPr>
  </w:style>
  <w:style w:type="paragraph" w:customStyle="1" w:styleId="Headingi">
    <w:name w:val="Heading_i"/>
    <w:basedOn w:val="Heading3"/>
    <w:next w:val="Normal"/>
    <w:rsid w:val="004F19F2"/>
    <w:pPr>
      <w:spacing w:before="160"/>
      <w:ind w:left="0" w:firstLine="0"/>
    </w:pPr>
    <w:rPr>
      <w:b w:val="0"/>
      <w:i/>
    </w:rPr>
  </w:style>
  <w:style w:type="character" w:customStyle="1" w:styleId="href">
    <w:name w:val="href"/>
    <w:basedOn w:val="DefaultParagraphFont"/>
    <w:rsid w:val="004F19F2"/>
  </w:style>
  <w:style w:type="paragraph" w:customStyle="1" w:styleId="AnnexNoTitle">
    <w:name w:val="Annex_NoTitle"/>
    <w:basedOn w:val="Normal"/>
    <w:next w:val="Normalaftertitle"/>
    <w:rsid w:val="004F19F2"/>
    <w:pPr>
      <w:keepNext/>
      <w:keepLines/>
      <w:spacing w:before="480" w:after="80"/>
      <w:jc w:val="center"/>
    </w:pPr>
    <w:rPr>
      <w:b/>
      <w:sz w:val="28"/>
    </w:rPr>
  </w:style>
  <w:style w:type="paragraph" w:customStyle="1" w:styleId="Normalaftertitle">
    <w:name w:val="Normal_after_title"/>
    <w:basedOn w:val="Normal"/>
    <w:next w:val="Normal"/>
    <w:rsid w:val="004F19F2"/>
    <w:pPr>
      <w:spacing w:before="320"/>
    </w:pPr>
  </w:style>
  <w:style w:type="paragraph" w:customStyle="1" w:styleId="enumlev2">
    <w:name w:val="enumlev2"/>
    <w:basedOn w:val="enumlev1"/>
    <w:rsid w:val="004F19F2"/>
    <w:pPr>
      <w:ind w:left="1191" w:hanging="397"/>
    </w:pPr>
  </w:style>
  <w:style w:type="paragraph" w:customStyle="1" w:styleId="enumlev1">
    <w:name w:val="enumlev1"/>
    <w:basedOn w:val="Normal"/>
    <w:link w:val="enumlev1Char"/>
    <w:rsid w:val="004F19F2"/>
    <w:pPr>
      <w:spacing w:before="80"/>
      <w:ind w:left="794" w:hanging="794"/>
    </w:pPr>
  </w:style>
  <w:style w:type="paragraph" w:customStyle="1" w:styleId="enumlev3">
    <w:name w:val="enumlev3"/>
    <w:basedOn w:val="enumlev2"/>
    <w:rsid w:val="004F19F2"/>
    <w:pPr>
      <w:ind w:left="1588"/>
    </w:pPr>
  </w:style>
  <w:style w:type="paragraph" w:customStyle="1" w:styleId="Note">
    <w:name w:val="Note"/>
    <w:basedOn w:val="Normal"/>
    <w:link w:val="NoteChar"/>
    <w:rsid w:val="004F19F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F19F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4F19F2"/>
    <w:pPr>
      <w:keepNext/>
      <w:keepLines/>
      <w:spacing w:before="240"/>
      <w:jc w:val="center"/>
    </w:pPr>
    <w:rPr>
      <w:b/>
      <w:sz w:val="28"/>
    </w:rPr>
  </w:style>
  <w:style w:type="paragraph" w:customStyle="1" w:styleId="Recref">
    <w:name w:val="Rec_ref"/>
    <w:basedOn w:val="Normal"/>
    <w:next w:val="Recdate"/>
    <w:rsid w:val="004F19F2"/>
    <w:pPr>
      <w:jc w:val="center"/>
    </w:pPr>
  </w:style>
  <w:style w:type="paragraph" w:customStyle="1" w:styleId="Recdate">
    <w:name w:val="Rec_date"/>
    <w:basedOn w:val="Recref"/>
    <w:next w:val="Normalaftertitle"/>
    <w:rsid w:val="004F19F2"/>
    <w:pPr>
      <w:jc w:val="right"/>
    </w:pPr>
  </w:style>
  <w:style w:type="paragraph" w:customStyle="1" w:styleId="HeadingSum">
    <w:name w:val="Heading_Sum"/>
    <w:basedOn w:val="Headingb"/>
    <w:next w:val="Normal"/>
    <w:rsid w:val="004F19F2"/>
    <w:pPr>
      <w:spacing w:before="240"/>
    </w:pPr>
    <w:rPr>
      <w:sz w:val="22"/>
      <w:lang w:val="es-ES_tradnl"/>
    </w:rPr>
  </w:style>
  <w:style w:type="paragraph" w:customStyle="1" w:styleId="AppendixNoTitle">
    <w:name w:val="Appendix_NoTitle"/>
    <w:basedOn w:val="AnnexNoTitle"/>
    <w:next w:val="Normal"/>
    <w:rsid w:val="004F19F2"/>
  </w:style>
  <w:style w:type="paragraph" w:customStyle="1" w:styleId="Tablefin">
    <w:name w:val="Table_fin"/>
    <w:basedOn w:val="Normal"/>
    <w:next w:val="Normal"/>
    <w:rsid w:val="004F19F2"/>
    <w:pPr>
      <w:spacing w:before="0"/>
    </w:pPr>
    <w:rPr>
      <w:sz w:val="20"/>
      <w:lang w:val="en-GB"/>
    </w:rPr>
  </w:style>
  <w:style w:type="paragraph" w:customStyle="1" w:styleId="Tablehead">
    <w:name w:val="Table_head"/>
    <w:basedOn w:val="Normal"/>
    <w:next w:val="Normal"/>
    <w:rsid w:val="004F19F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F19F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F19F2"/>
    <w:pPr>
      <w:keepNext/>
      <w:spacing w:before="360" w:after="120"/>
      <w:jc w:val="center"/>
    </w:pPr>
  </w:style>
  <w:style w:type="paragraph" w:customStyle="1" w:styleId="Tabletext">
    <w:name w:val="Table_text"/>
    <w:basedOn w:val="Normal"/>
    <w:rsid w:val="004F19F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F19F2"/>
    <w:pPr>
      <w:tabs>
        <w:tab w:val="clear" w:pos="1191"/>
        <w:tab w:val="clear" w:pos="1588"/>
        <w:tab w:val="clear" w:pos="1985"/>
        <w:tab w:val="center" w:pos="4820"/>
        <w:tab w:val="right" w:pos="9639"/>
      </w:tabs>
    </w:pPr>
  </w:style>
  <w:style w:type="paragraph" w:customStyle="1" w:styleId="Equationlegend">
    <w:name w:val="Equation_legend"/>
    <w:basedOn w:val="NormalIndent"/>
    <w:rsid w:val="004F19F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F19F2"/>
    <w:pPr>
      <w:ind w:left="794"/>
    </w:pPr>
  </w:style>
  <w:style w:type="paragraph" w:customStyle="1" w:styleId="Figurelegend">
    <w:name w:val="Figure_legend"/>
    <w:basedOn w:val="Normal"/>
    <w:rsid w:val="004F19F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4F19F2"/>
    <w:pPr>
      <w:keepNext/>
      <w:keepLines/>
      <w:spacing w:before="480" w:after="80"/>
      <w:jc w:val="center"/>
    </w:pPr>
    <w:rPr>
      <w:caps/>
      <w:sz w:val="18"/>
    </w:rPr>
  </w:style>
  <w:style w:type="paragraph" w:customStyle="1" w:styleId="Figuretitle">
    <w:name w:val="Figure_title"/>
    <w:basedOn w:val="Normal"/>
    <w:next w:val="Figure"/>
    <w:link w:val="FiguretitleChar"/>
    <w:rsid w:val="004F19F2"/>
    <w:pPr>
      <w:keepNext/>
      <w:spacing w:before="0" w:after="120"/>
      <w:jc w:val="center"/>
    </w:pPr>
    <w:rPr>
      <w:rFonts w:ascii="Times New Roman Bold" w:hAnsi="Times New Roman Bold"/>
      <w:b/>
      <w:sz w:val="18"/>
    </w:rPr>
  </w:style>
  <w:style w:type="paragraph" w:customStyle="1" w:styleId="Figure">
    <w:name w:val="Figure"/>
    <w:basedOn w:val="FigureNo"/>
    <w:next w:val="Normal"/>
    <w:rsid w:val="004F19F2"/>
    <w:pPr>
      <w:keepNext w:val="0"/>
      <w:spacing w:before="0" w:after="240"/>
    </w:pPr>
  </w:style>
  <w:style w:type="paragraph" w:customStyle="1" w:styleId="tocpart">
    <w:name w:val="tocpart"/>
    <w:basedOn w:val="Normal"/>
    <w:rsid w:val="004F19F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F19F2"/>
    <w:pPr>
      <w:keepNext/>
      <w:keepLines/>
      <w:spacing w:before="480"/>
      <w:jc w:val="center"/>
    </w:pPr>
    <w:rPr>
      <w:sz w:val="28"/>
    </w:rPr>
  </w:style>
  <w:style w:type="paragraph" w:customStyle="1" w:styleId="Arttitle">
    <w:name w:val="Art_title"/>
    <w:basedOn w:val="Normal"/>
    <w:next w:val="Normalaftertitle"/>
    <w:rsid w:val="004F19F2"/>
    <w:pPr>
      <w:keepNext/>
      <w:keepLines/>
      <w:spacing w:before="240"/>
      <w:jc w:val="center"/>
    </w:pPr>
    <w:rPr>
      <w:b/>
      <w:sz w:val="28"/>
    </w:rPr>
  </w:style>
  <w:style w:type="paragraph" w:customStyle="1" w:styleId="Blanc">
    <w:name w:val="Blanc"/>
    <w:basedOn w:val="Normal"/>
    <w:next w:val="Tabletext"/>
    <w:rsid w:val="004F19F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F19F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F19F2"/>
    <w:pPr>
      <w:keepNext/>
      <w:keepLines/>
      <w:spacing w:before="160"/>
      <w:ind w:left="794"/>
    </w:pPr>
    <w:rPr>
      <w:i/>
    </w:rPr>
  </w:style>
  <w:style w:type="paragraph" w:customStyle="1" w:styleId="ChapNo">
    <w:name w:val="Chap_No"/>
    <w:basedOn w:val="ArtNo"/>
    <w:next w:val="Chaptitle"/>
    <w:rsid w:val="004F19F2"/>
    <w:rPr>
      <w:b/>
    </w:rPr>
  </w:style>
  <w:style w:type="paragraph" w:customStyle="1" w:styleId="Chaptitle">
    <w:name w:val="Chap_title"/>
    <w:basedOn w:val="Arttitle"/>
    <w:next w:val="Normalaftertitle"/>
    <w:rsid w:val="004F19F2"/>
  </w:style>
  <w:style w:type="character" w:styleId="FootnoteReference">
    <w:name w:val="footnote reference"/>
    <w:basedOn w:val="DefaultParagraphFont"/>
    <w:rsid w:val="004F19F2"/>
    <w:rPr>
      <w:position w:val="6"/>
      <w:sz w:val="18"/>
    </w:rPr>
  </w:style>
  <w:style w:type="paragraph" w:styleId="FootnoteText">
    <w:name w:val="footnote text"/>
    <w:basedOn w:val="Normal"/>
    <w:link w:val="FootnoteTextChar"/>
    <w:rsid w:val="004F19F2"/>
    <w:pPr>
      <w:keepLines/>
      <w:tabs>
        <w:tab w:val="left" w:pos="255"/>
      </w:tabs>
      <w:ind w:left="255" w:hanging="255"/>
    </w:pPr>
    <w:rPr>
      <w:sz w:val="22"/>
    </w:rPr>
  </w:style>
  <w:style w:type="paragraph" w:styleId="Index1">
    <w:name w:val="index 1"/>
    <w:basedOn w:val="Normal"/>
    <w:next w:val="Normal"/>
    <w:semiHidden/>
    <w:rsid w:val="004F19F2"/>
  </w:style>
  <w:style w:type="paragraph" w:styleId="Index2">
    <w:name w:val="index 2"/>
    <w:basedOn w:val="Normal"/>
    <w:next w:val="Normal"/>
    <w:semiHidden/>
    <w:rsid w:val="004F19F2"/>
    <w:pPr>
      <w:ind w:left="283"/>
    </w:pPr>
  </w:style>
  <w:style w:type="paragraph" w:styleId="Index3">
    <w:name w:val="index 3"/>
    <w:basedOn w:val="Normal"/>
    <w:next w:val="Normal"/>
    <w:semiHidden/>
    <w:rsid w:val="004F19F2"/>
    <w:pPr>
      <w:ind w:left="566"/>
    </w:pPr>
  </w:style>
  <w:style w:type="paragraph" w:styleId="IndexHeading">
    <w:name w:val="index heading"/>
    <w:basedOn w:val="Normal"/>
    <w:next w:val="Index1"/>
    <w:semiHidden/>
    <w:rsid w:val="004F19F2"/>
  </w:style>
  <w:style w:type="paragraph" w:customStyle="1" w:styleId="Line">
    <w:name w:val="Line"/>
    <w:basedOn w:val="Normal"/>
    <w:next w:val="Normal"/>
    <w:rsid w:val="004F19F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F19F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F19F2"/>
  </w:style>
  <w:style w:type="paragraph" w:customStyle="1" w:styleId="Partref">
    <w:name w:val="Part_ref"/>
    <w:basedOn w:val="Normal"/>
    <w:next w:val="Normal"/>
    <w:rsid w:val="004F19F2"/>
    <w:pPr>
      <w:keepNext/>
      <w:keepLines/>
      <w:spacing w:after="280"/>
      <w:jc w:val="center"/>
    </w:pPr>
  </w:style>
  <w:style w:type="paragraph" w:customStyle="1" w:styleId="Parttitle">
    <w:name w:val="Part_title"/>
    <w:basedOn w:val="Normal"/>
    <w:next w:val="Normalaftertitle"/>
    <w:rsid w:val="004F19F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F19F2"/>
  </w:style>
  <w:style w:type="paragraph" w:customStyle="1" w:styleId="QuestionNo">
    <w:name w:val="Question_No"/>
    <w:basedOn w:val="RecNo"/>
    <w:next w:val="Normal"/>
    <w:rsid w:val="004F19F2"/>
  </w:style>
  <w:style w:type="paragraph" w:customStyle="1" w:styleId="Questionref">
    <w:name w:val="Question_ref"/>
    <w:basedOn w:val="Recref"/>
    <w:next w:val="Questiondate"/>
    <w:rsid w:val="004F19F2"/>
  </w:style>
  <w:style w:type="paragraph" w:customStyle="1" w:styleId="Questiontitle">
    <w:name w:val="Question_title"/>
    <w:basedOn w:val="Normal"/>
    <w:next w:val="Questionref"/>
    <w:rsid w:val="004F19F2"/>
  </w:style>
  <w:style w:type="paragraph" w:customStyle="1" w:styleId="Reftext">
    <w:name w:val="Ref_text"/>
    <w:basedOn w:val="Normal"/>
    <w:rsid w:val="004F19F2"/>
    <w:pPr>
      <w:ind w:left="794" w:hanging="794"/>
    </w:pPr>
    <w:rPr>
      <w:sz w:val="22"/>
    </w:rPr>
  </w:style>
  <w:style w:type="paragraph" w:customStyle="1" w:styleId="Reftitle">
    <w:name w:val="Ref_title"/>
    <w:basedOn w:val="Normal"/>
    <w:next w:val="Reftext"/>
    <w:rsid w:val="004F19F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F19F2"/>
  </w:style>
  <w:style w:type="paragraph" w:customStyle="1" w:styleId="RepNo">
    <w:name w:val="Rep_No"/>
    <w:basedOn w:val="RecNo"/>
    <w:next w:val="Reptitle"/>
    <w:rsid w:val="004F19F2"/>
  </w:style>
  <w:style w:type="paragraph" w:customStyle="1" w:styleId="Reptitle">
    <w:name w:val="Rep_title"/>
    <w:basedOn w:val="Rectitle"/>
    <w:next w:val="Repref"/>
    <w:rsid w:val="004F19F2"/>
  </w:style>
  <w:style w:type="paragraph" w:customStyle="1" w:styleId="Repref">
    <w:name w:val="Rep_ref"/>
    <w:basedOn w:val="Recref"/>
    <w:next w:val="Repdate"/>
    <w:rsid w:val="004F19F2"/>
  </w:style>
  <w:style w:type="paragraph" w:customStyle="1" w:styleId="Resdate">
    <w:name w:val="Res_date"/>
    <w:basedOn w:val="Recdate"/>
    <w:next w:val="Normalaftertitle"/>
    <w:rsid w:val="004F19F2"/>
  </w:style>
  <w:style w:type="paragraph" w:customStyle="1" w:styleId="ResNo">
    <w:name w:val="Res_No"/>
    <w:basedOn w:val="RecNo"/>
    <w:next w:val="Restitle"/>
    <w:rsid w:val="004F19F2"/>
  </w:style>
  <w:style w:type="paragraph" w:customStyle="1" w:styleId="Restitle">
    <w:name w:val="Res_title"/>
    <w:basedOn w:val="Normal"/>
    <w:next w:val="Resref"/>
    <w:rsid w:val="004F19F2"/>
    <w:pPr>
      <w:spacing w:before="240"/>
      <w:jc w:val="center"/>
    </w:pPr>
    <w:rPr>
      <w:b/>
      <w:sz w:val="28"/>
    </w:rPr>
  </w:style>
  <w:style w:type="paragraph" w:customStyle="1" w:styleId="Resref">
    <w:name w:val="Res_ref"/>
    <w:basedOn w:val="Recref"/>
    <w:next w:val="Resdate"/>
    <w:rsid w:val="004F19F2"/>
  </w:style>
  <w:style w:type="paragraph" w:customStyle="1" w:styleId="SectionNo">
    <w:name w:val="Section_No"/>
    <w:basedOn w:val="Normal"/>
    <w:next w:val="Normal"/>
    <w:rsid w:val="004F19F2"/>
  </w:style>
  <w:style w:type="paragraph" w:customStyle="1" w:styleId="Sectiontitle">
    <w:name w:val="Section_title"/>
    <w:basedOn w:val="Normal"/>
    <w:next w:val="Normalaftertitle"/>
    <w:rsid w:val="004F19F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F19F2"/>
    <w:pPr>
      <w:tabs>
        <w:tab w:val="clear" w:pos="794"/>
        <w:tab w:val="clear" w:pos="1191"/>
        <w:tab w:val="clear" w:pos="1588"/>
        <w:tab w:val="clear" w:pos="1985"/>
        <w:tab w:val="right" w:pos="9611"/>
      </w:tabs>
    </w:pPr>
    <w:rPr>
      <w:i/>
    </w:rPr>
  </w:style>
  <w:style w:type="paragraph" w:styleId="TOC1">
    <w:name w:val="toc 1"/>
    <w:basedOn w:val="Normal"/>
    <w:semiHidden/>
    <w:rsid w:val="004F19F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F19F2"/>
    <w:pPr>
      <w:tabs>
        <w:tab w:val="clear" w:pos="567"/>
        <w:tab w:val="left" w:pos="1276"/>
      </w:tabs>
      <w:spacing w:before="160"/>
      <w:ind w:left="1276" w:hanging="709"/>
    </w:pPr>
  </w:style>
  <w:style w:type="paragraph" w:styleId="TOC3">
    <w:name w:val="toc 3"/>
    <w:basedOn w:val="TOC2"/>
    <w:semiHidden/>
    <w:rsid w:val="004F19F2"/>
    <w:pPr>
      <w:tabs>
        <w:tab w:val="clear" w:pos="1276"/>
        <w:tab w:val="left" w:pos="2155"/>
      </w:tabs>
      <w:ind w:left="2155" w:hanging="879"/>
    </w:pPr>
  </w:style>
  <w:style w:type="paragraph" w:styleId="TOC4">
    <w:name w:val="toc 4"/>
    <w:basedOn w:val="TOC3"/>
    <w:semiHidden/>
    <w:rsid w:val="004F19F2"/>
    <w:pPr>
      <w:tabs>
        <w:tab w:val="left" w:pos="3261"/>
      </w:tabs>
      <w:spacing w:before="80"/>
      <w:ind w:left="3261" w:hanging="993"/>
    </w:pPr>
  </w:style>
  <w:style w:type="paragraph" w:styleId="TOC5">
    <w:name w:val="toc 5"/>
    <w:basedOn w:val="TOC4"/>
    <w:semiHidden/>
    <w:rsid w:val="004F19F2"/>
  </w:style>
  <w:style w:type="paragraph" w:styleId="TOC6">
    <w:name w:val="toc 6"/>
    <w:basedOn w:val="TOC4"/>
    <w:semiHidden/>
    <w:rsid w:val="004F19F2"/>
  </w:style>
  <w:style w:type="paragraph" w:styleId="TOC7">
    <w:name w:val="toc 7"/>
    <w:basedOn w:val="TOC4"/>
    <w:semiHidden/>
    <w:rsid w:val="004F19F2"/>
  </w:style>
  <w:style w:type="paragraph" w:styleId="TOC8">
    <w:name w:val="toc 8"/>
    <w:basedOn w:val="TOC4"/>
    <w:semiHidden/>
    <w:rsid w:val="004F19F2"/>
  </w:style>
  <w:style w:type="paragraph" w:customStyle="1" w:styleId="Annexref">
    <w:name w:val="Annex_ref"/>
    <w:basedOn w:val="Normal"/>
    <w:next w:val="Normalaftertitle"/>
    <w:rsid w:val="004F19F2"/>
    <w:pPr>
      <w:keepNext/>
      <w:keepLines/>
      <w:spacing w:after="280"/>
      <w:jc w:val="center"/>
    </w:pPr>
  </w:style>
  <w:style w:type="paragraph" w:customStyle="1" w:styleId="Appendixref">
    <w:name w:val="Appendix_ref"/>
    <w:basedOn w:val="Annexref"/>
    <w:next w:val="Normalaftertitle"/>
    <w:rsid w:val="004F19F2"/>
  </w:style>
  <w:style w:type="paragraph" w:customStyle="1" w:styleId="Tabletitle">
    <w:name w:val="Table_title"/>
    <w:basedOn w:val="Normal"/>
    <w:next w:val="Tablehead"/>
    <w:rsid w:val="004F19F2"/>
    <w:pPr>
      <w:keepNext/>
      <w:spacing w:before="0" w:after="120"/>
      <w:jc w:val="center"/>
    </w:pPr>
    <w:rPr>
      <w:b/>
    </w:rPr>
  </w:style>
  <w:style w:type="paragraph" w:customStyle="1" w:styleId="Summary">
    <w:name w:val="Summary"/>
    <w:basedOn w:val="Normal"/>
    <w:next w:val="Normalaftertitle"/>
    <w:rsid w:val="004F19F2"/>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4F19F2"/>
    <w:pPr>
      <w:ind w:left="-85" w:firstLine="0"/>
    </w:pPr>
    <w:rPr>
      <w:lang w:val="en-US"/>
    </w:rPr>
  </w:style>
  <w:style w:type="character" w:customStyle="1" w:styleId="FootnoteTextChar">
    <w:name w:val="Footnote Text Char"/>
    <w:basedOn w:val="DefaultParagraphFont"/>
    <w:link w:val="FootnoteText"/>
    <w:rsid w:val="00F67ECF"/>
    <w:rPr>
      <w:sz w:val="22"/>
      <w:lang w:val="fr-FR" w:eastAsia="en-US"/>
    </w:rPr>
  </w:style>
  <w:style w:type="character" w:customStyle="1" w:styleId="Heading1Char">
    <w:name w:val="Heading 1 Char"/>
    <w:basedOn w:val="DefaultParagraphFont"/>
    <w:link w:val="Heading1"/>
    <w:rsid w:val="0040081F"/>
    <w:rPr>
      <w:b/>
      <w:sz w:val="24"/>
      <w:lang w:val="fr-FR" w:eastAsia="en-US"/>
    </w:rPr>
  </w:style>
  <w:style w:type="character" w:customStyle="1" w:styleId="Heading2Char">
    <w:name w:val="Heading 2 Char"/>
    <w:basedOn w:val="DefaultParagraphFont"/>
    <w:link w:val="Heading2"/>
    <w:rsid w:val="0040081F"/>
    <w:rPr>
      <w:b/>
      <w:sz w:val="24"/>
      <w:lang w:val="fr-FR" w:eastAsia="en-US"/>
    </w:rPr>
  </w:style>
  <w:style w:type="character" w:customStyle="1" w:styleId="Heading3Char">
    <w:name w:val="Heading 3 Char"/>
    <w:basedOn w:val="DefaultParagraphFont"/>
    <w:link w:val="Heading3"/>
    <w:rsid w:val="0040081F"/>
    <w:rPr>
      <w:b/>
      <w:sz w:val="24"/>
      <w:lang w:val="fr-FR" w:eastAsia="en-US"/>
    </w:rPr>
  </w:style>
  <w:style w:type="character" w:customStyle="1" w:styleId="Heading4Char">
    <w:name w:val="Heading 4 Char"/>
    <w:basedOn w:val="DefaultParagraphFont"/>
    <w:link w:val="Heading4"/>
    <w:rsid w:val="0040081F"/>
    <w:rPr>
      <w:b/>
      <w:sz w:val="24"/>
      <w:lang w:val="fr-FR" w:eastAsia="en-US"/>
    </w:rPr>
  </w:style>
  <w:style w:type="character" w:customStyle="1" w:styleId="Heading5Char">
    <w:name w:val="Heading 5 Char"/>
    <w:basedOn w:val="DefaultParagraphFont"/>
    <w:link w:val="Heading5"/>
    <w:rsid w:val="0040081F"/>
    <w:rPr>
      <w:b/>
      <w:sz w:val="24"/>
      <w:lang w:val="fr-FR" w:eastAsia="en-US"/>
    </w:rPr>
  </w:style>
  <w:style w:type="character" w:customStyle="1" w:styleId="Heading6Char">
    <w:name w:val="Heading 6 Char"/>
    <w:basedOn w:val="DefaultParagraphFont"/>
    <w:link w:val="Heading6"/>
    <w:rsid w:val="0040081F"/>
    <w:rPr>
      <w:b/>
      <w:sz w:val="24"/>
      <w:lang w:val="fr-FR" w:eastAsia="en-US"/>
    </w:rPr>
  </w:style>
  <w:style w:type="character" w:customStyle="1" w:styleId="Heading7Char">
    <w:name w:val="Heading 7 Char"/>
    <w:basedOn w:val="DefaultParagraphFont"/>
    <w:link w:val="Heading7"/>
    <w:rsid w:val="0040081F"/>
    <w:rPr>
      <w:b/>
      <w:sz w:val="24"/>
      <w:lang w:val="fr-FR" w:eastAsia="en-US"/>
    </w:rPr>
  </w:style>
  <w:style w:type="character" w:customStyle="1" w:styleId="Heading8Char">
    <w:name w:val="Heading 8 Char"/>
    <w:basedOn w:val="DefaultParagraphFont"/>
    <w:link w:val="Heading8"/>
    <w:rsid w:val="0040081F"/>
    <w:rPr>
      <w:b/>
      <w:sz w:val="24"/>
      <w:lang w:val="fr-FR" w:eastAsia="en-US"/>
    </w:rPr>
  </w:style>
  <w:style w:type="character" w:customStyle="1" w:styleId="Heading9Char">
    <w:name w:val="Heading 9 Char"/>
    <w:basedOn w:val="DefaultParagraphFont"/>
    <w:link w:val="Heading9"/>
    <w:rsid w:val="0040081F"/>
    <w:rPr>
      <w:b/>
      <w:sz w:val="24"/>
      <w:lang w:val="fr-FR" w:eastAsia="en-US"/>
    </w:rPr>
  </w:style>
  <w:style w:type="character" w:customStyle="1" w:styleId="HeaderChar">
    <w:name w:val="Header Char"/>
    <w:basedOn w:val="DefaultParagraphFont"/>
    <w:link w:val="Header"/>
    <w:rsid w:val="0040081F"/>
    <w:rPr>
      <w:sz w:val="24"/>
      <w:lang w:val="fr-FR" w:eastAsia="en-US"/>
    </w:rPr>
  </w:style>
  <w:style w:type="character" w:customStyle="1" w:styleId="FooterChar">
    <w:name w:val="Footer Char"/>
    <w:basedOn w:val="DefaultParagraphFont"/>
    <w:link w:val="Footer"/>
    <w:rsid w:val="0040081F"/>
    <w:rPr>
      <w:noProof/>
      <w:sz w:val="18"/>
      <w:lang w:val="fr-FR" w:eastAsia="en-US"/>
    </w:rPr>
  </w:style>
  <w:style w:type="character" w:customStyle="1" w:styleId="enumlev1Char">
    <w:name w:val="enumlev1 Char"/>
    <w:basedOn w:val="DefaultParagraphFont"/>
    <w:link w:val="enumlev1"/>
    <w:locked/>
    <w:rsid w:val="00111811"/>
    <w:rPr>
      <w:sz w:val="24"/>
      <w:lang w:val="fr-FR" w:eastAsia="en-US"/>
    </w:rPr>
  </w:style>
  <w:style w:type="character" w:customStyle="1" w:styleId="FiguretitleChar">
    <w:name w:val="Figure_title Char"/>
    <w:basedOn w:val="DefaultParagraphFont"/>
    <w:link w:val="Figuretitle"/>
    <w:locked/>
    <w:rsid w:val="00111811"/>
    <w:rPr>
      <w:rFonts w:ascii="Times New Roman Bold" w:hAnsi="Times New Roman Bold"/>
      <w:b/>
      <w:sz w:val="18"/>
      <w:lang w:val="fr-FR" w:eastAsia="en-US"/>
    </w:rPr>
  </w:style>
  <w:style w:type="character" w:customStyle="1" w:styleId="FigureNoChar">
    <w:name w:val="Figure_No Char"/>
    <w:basedOn w:val="DefaultParagraphFont"/>
    <w:link w:val="FigureNo"/>
    <w:locked/>
    <w:rsid w:val="00111811"/>
    <w:rPr>
      <w:caps/>
      <w:sz w:val="18"/>
      <w:lang w:val="fr-FR" w:eastAsia="en-US"/>
    </w:rPr>
  </w:style>
  <w:style w:type="character" w:customStyle="1" w:styleId="NoteChar">
    <w:name w:val="Note Char"/>
    <w:link w:val="Note"/>
    <w:locked/>
    <w:rsid w:val="00111811"/>
    <w:rPr>
      <w:sz w:val="22"/>
      <w:lang w:val="fr-FR" w:eastAsia="en-US"/>
    </w:rPr>
  </w:style>
  <w:style w:type="paragraph" w:styleId="BalloonText">
    <w:name w:val="Balloon Text"/>
    <w:basedOn w:val="Normal"/>
    <w:link w:val="BalloonTextChar"/>
    <w:rsid w:val="00601FF0"/>
    <w:pPr>
      <w:spacing w:before="0"/>
    </w:pPr>
    <w:rPr>
      <w:rFonts w:ascii="Tahoma" w:hAnsi="Tahoma" w:cs="Tahoma"/>
      <w:sz w:val="16"/>
      <w:szCs w:val="16"/>
    </w:rPr>
  </w:style>
  <w:style w:type="character" w:customStyle="1" w:styleId="BalloonTextChar">
    <w:name w:val="Balloon Text Char"/>
    <w:basedOn w:val="DefaultParagraphFont"/>
    <w:link w:val="BalloonText"/>
    <w:rsid w:val="00601FF0"/>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1" Type="http://schemas.openxmlformats.org/officeDocument/2006/relationships/image" Target="media/image7.wmf"/><Relationship Id="rId42" Type="http://schemas.openxmlformats.org/officeDocument/2006/relationships/oleObject" Target="embeddings/oleObject11.bin"/><Relationship Id="rId63" Type="http://schemas.openxmlformats.org/officeDocument/2006/relationships/oleObject" Target="embeddings/oleObject21.bin"/><Relationship Id="rId84" Type="http://schemas.openxmlformats.org/officeDocument/2006/relationships/image" Target="media/image40.wmf"/><Relationship Id="rId138" Type="http://schemas.openxmlformats.org/officeDocument/2006/relationships/image" Target="media/image78.wmf"/><Relationship Id="rId159" Type="http://schemas.openxmlformats.org/officeDocument/2006/relationships/oleObject" Target="embeddings/oleObject60.bin"/><Relationship Id="rId170" Type="http://schemas.openxmlformats.org/officeDocument/2006/relationships/image" Target="media/image96.wmf"/><Relationship Id="rId191" Type="http://schemas.openxmlformats.org/officeDocument/2006/relationships/oleObject" Target="embeddings/oleObject76.bin"/><Relationship Id="rId205" Type="http://schemas.openxmlformats.org/officeDocument/2006/relationships/oleObject" Target="embeddings/oleObject83.bin"/><Relationship Id="rId107" Type="http://schemas.openxmlformats.org/officeDocument/2006/relationships/image" Target="media/image53.emf"/><Relationship Id="rId11" Type="http://schemas.openxmlformats.org/officeDocument/2006/relationships/hyperlink" Target="http://www.itu.int/ITU-R/go/patents/en" TargetMode="External"/><Relationship Id="rId32" Type="http://schemas.openxmlformats.org/officeDocument/2006/relationships/oleObject" Target="embeddings/oleObject6.bin"/><Relationship Id="rId53" Type="http://schemas.openxmlformats.org/officeDocument/2006/relationships/oleObject" Target="embeddings/oleObject16.bin"/><Relationship Id="rId74" Type="http://schemas.openxmlformats.org/officeDocument/2006/relationships/image" Target="media/image35.wmf"/><Relationship Id="rId128" Type="http://schemas.openxmlformats.org/officeDocument/2006/relationships/image" Target="media/image69.emf"/><Relationship Id="rId149" Type="http://schemas.openxmlformats.org/officeDocument/2006/relationships/oleObject" Target="embeddings/oleObject55.bin"/><Relationship Id="rId5" Type="http://schemas.openxmlformats.org/officeDocument/2006/relationships/settings" Target="settings.xml"/><Relationship Id="rId95" Type="http://schemas.openxmlformats.org/officeDocument/2006/relationships/image" Target="media/image46.wmf"/><Relationship Id="rId160" Type="http://schemas.openxmlformats.org/officeDocument/2006/relationships/image" Target="media/image91.wmf"/><Relationship Id="rId181" Type="http://schemas.openxmlformats.org/officeDocument/2006/relationships/oleObject" Target="embeddings/oleObject71.bin"/><Relationship Id="rId216" Type="http://schemas.openxmlformats.org/officeDocument/2006/relationships/image" Target="media/image119.emf"/><Relationship Id="rId211" Type="http://schemas.openxmlformats.org/officeDocument/2006/relationships/oleObject" Target="embeddings/oleObject86.bin"/><Relationship Id="rId22" Type="http://schemas.openxmlformats.org/officeDocument/2006/relationships/oleObject" Target="embeddings/oleObject2.bin"/><Relationship Id="rId27" Type="http://schemas.openxmlformats.org/officeDocument/2006/relationships/image" Target="media/image10.wmf"/><Relationship Id="rId43" Type="http://schemas.openxmlformats.org/officeDocument/2006/relationships/image" Target="media/image19.wmf"/><Relationship Id="rId48" Type="http://schemas.openxmlformats.org/officeDocument/2006/relationships/image" Target="media/image22.wmf"/><Relationship Id="rId64" Type="http://schemas.openxmlformats.org/officeDocument/2006/relationships/image" Target="media/image30.wmf"/><Relationship Id="rId69" Type="http://schemas.openxmlformats.org/officeDocument/2006/relationships/oleObject" Target="embeddings/oleObject24.bin"/><Relationship Id="rId113" Type="http://schemas.openxmlformats.org/officeDocument/2006/relationships/image" Target="media/image58.emf"/><Relationship Id="rId118" Type="http://schemas.openxmlformats.org/officeDocument/2006/relationships/oleObject" Target="embeddings/oleObject44.bin"/><Relationship Id="rId134" Type="http://schemas.openxmlformats.org/officeDocument/2006/relationships/image" Target="media/image75.emf"/><Relationship Id="rId139" Type="http://schemas.openxmlformats.org/officeDocument/2006/relationships/oleObject" Target="embeddings/oleObject48.bin"/><Relationship Id="rId80" Type="http://schemas.openxmlformats.org/officeDocument/2006/relationships/image" Target="media/image38.wmf"/><Relationship Id="rId85" Type="http://schemas.openxmlformats.org/officeDocument/2006/relationships/oleObject" Target="embeddings/oleObject32.bin"/><Relationship Id="rId150" Type="http://schemas.openxmlformats.org/officeDocument/2006/relationships/image" Target="media/image86.wmf"/><Relationship Id="rId155" Type="http://schemas.openxmlformats.org/officeDocument/2006/relationships/oleObject" Target="embeddings/oleObject58.bin"/><Relationship Id="rId171" Type="http://schemas.openxmlformats.org/officeDocument/2006/relationships/oleObject" Target="embeddings/oleObject66.bin"/><Relationship Id="rId176" Type="http://schemas.openxmlformats.org/officeDocument/2006/relationships/image" Target="media/image99.emf"/><Relationship Id="rId192" Type="http://schemas.openxmlformats.org/officeDocument/2006/relationships/image" Target="media/image107.wmf"/><Relationship Id="rId197" Type="http://schemas.openxmlformats.org/officeDocument/2006/relationships/oleObject" Target="embeddings/oleObject79.bin"/><Relationship Id="rId206" Type="http://schemas.openxmlformats.org/officeDocument/2006/relationships/image" Target="media/image114.emf"/><Relationship Id="rId201" Type="http://schemas.openxmlformats.org/officeDocument/2006/relationships/oleObject" Target="embeddings/oleObject81.bin"/><Relationship Id="rId222" Type="http://schemas.openxmlformats.org/officeDocument/2006/relationships/fontTable" Target="fontTable.xml"/><Relationship Id="rId12" Type="http://schemas.openxmlformats.org/officeDocument/2006/relationships/hyperlink" Target="http://www.itu.int/publ/R-REC/en" TargetMode="External"/><Relationship Id="rId17" Type="http://schemas.openxmlformats.org/officeDocument/2006/relationships/image" Target="media/image4.emf"/><Relationship Id="rId33" Type="http://schemas.openxmlformats.org/officeDocument/2006/relationships/image" Target="media/image14.wmf"/><Relationship Id="rId38" Type="http://schemas.openxmlformats.org/officeDocument/2006/relationships/oleObject" Target="embeddings/oleObject9.bin"/><Relationship Id="rId59" Type="http://schemas.openxmlformats.org/officeDocument/2006/relationships/oleObject" Target="embeddings/oleObject19.bin"/><Relationship Id="rId103" Type="http://schemas.openxmlformats.org/officeDocument/2006/relationships/image" Target="media/image50.wmf"/><Relationship Id="rId108" Type="http://schemas.openxmlformats.org/officeDocument/2006/relationships/image" Target="media/image54.emf"/><Relationship Id="rId124" Type="http://schemas.openxmlformats.org/officeDocument/2006/relationships/image" Target="media/image65.emf"/><Relationship Id="rId129" Type="http://schemas.openxmlformats.org/officeDocument/2006/relationships/image" Target="media/image70.emf"/><Relationship Id="rId54" Type="http://schemas.openxmlformats.org/officeDocument/2006/relationships/image" Target="media/image25.wmf"/><Relationship Id="rId70" Type="http://schemas.openxmlformats.org/officeDocument/2006/relationships/image" Target="media/image33.wmf"/><Relationship Id="rId75" Type="http://schemas.openxmlformats.org/officeDocument/2006/relationships/oleObject" Target="embeddings/oleObject27.bin"/><Relationship Id="rId91" Type="http://schemas.openxmlformats.org/officeDocument/2006/relationships/oleObject" Target="embeddings/oleObject35.bin"/><Relationship Id="rId96" Type="http://schemas.openxmlformats.org/officeDocument/2006/relationships/oleObject" Target="embeddings/oleObject37.bin"/><Relationship Id="rId140" Type="http://schemas.openxmlformats.org/officeDocument/2006/relationships/image" Target="media/image79.wmf"/><Relationship Id="rId145" Type="http://schemas.openxmlformats.org/officeDocument/2006/relationships/oleObject" Target="embeddings/oleObject51.bin"/><Relationship Id="rId161" Type="http://schemas.openxmlformats.org/officeDocument/2006/relationships/oleObject" Target="embeddings/oleObject61.bin"/><Relationship Id="rId166" Type="http://schemas.openxmlformats.org/officeDocument/2006/relationships/image" Target="media/image94.emf"/><Relationship Id="rId182" Type="http://schemas.openxmlformats.org/officeDocument/2006/relationships/image" Target="media/image102.emf"/><Relationship Id="rId187" Type="http://schemas.openxmlformats.org/officeDocument/2006/relationships/oleObject" Target="embeddings/oleObject74.bin"/><Relationship Id="rId217" Type="http://schemas.openxmlformats.org/officeDocument/2006/relationships/oleObject" Target="embeddings/oleObject89.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17.wmf"/><Relationship Id="rId23" Type="http://schemas.openxmlformats.org/officeDocument/2006/relationships/image" Target="media/image8.wmf"/><Relationship Id="rId28" Type="http://schemas.openxmlformats.org/officeDocument/2006/relationships/oleObject" Target="embeddings/oleObject5.bin"/><Relationship Id="rId49" Type="http://schemas.openxmlformats.org/officeDocument/2006/relationships/oleObject" Target="embeddings/oleObject14.bin"/><Relationship Id="rId114" Type="http://schemas.openxmlformats.org/officeDocument/2006/relationships/image" Target="media/image59.emf"/><Relationship Id="rId119" Type="http://schemas.openxmlformats.org/officeDocument/2006/relationships/image" Target="media/image62.emf"/><Relationship Id="rId44" Type="http://schemas.openxmlformats.org/officeDocument/2006/relationships/oleObject" Target="embeddings/oleObject12.bin"/><Relationship Id="rId60" Type="http://schemas.openxmlformats.org/officeDocument/2006/relationships/image" Target="media/image28.wmf"/><Relationship Id="rId65" Type="http://schemas.openxmlformats.org/officeDocument/2006/relationships/oleObject" Target="embeddings/oleObject22.bin"/><Relationship Id="rId81" Type="http://schemas.openxmlformats.org/officeDocument/2006/relationships/oleObject" Target="embeddings/oleObject30.bin"/><Relationship Id="rId86" Type="http://schemas.openxmlformats.org/officeDocument/2006/relationships/image" Target="media/image41.wmf"/><Relationship Id="rId130" Type="http://schemas.openxmlformats.org/officeDocument/2006/relationships/image" Target="media/image71.emf"/><Relationship Id="rId135" Type="http://schemas.openxmlformats.org/officeDocument/2006/relationships/image" Target="media/image76.emf"/><Relationship Id="rId151" Type="http://schemas.openxmlformats.org/officeDocument/2006/relationships/oleObject" Target="embeddings/oleObject56.bin"/><Relationship Id="rId156" Type="http://schemas.openxmlformats.org/officeDocument/2006/relationships/image" Target="media/image89.wmf"/><Relationship Id="rId177" Type="http://schemas.openxmlformats.org/officeDocument/2006/relationships/oleObject" Target="embeddings/oleObject69.bin"/><Relationship Id="rId198" Type="http://schemas.openxmlformats.org/officeDocument/2006/relationships/image" Target="media/image110.emf"/><Relationship Id="rId172" Type="http://schemas.openxmlformats.org/officeDocument/2006/relationships/image" Target="media/image97.emf"/><Relationship Id="rId193" Type="http://schemas.openxmlformats.org/officeDocument/2006/relationships/oleObject" Target="embeddings/oleObject77.bin"/><Relationship Id="rId202" Type="http://schemas.openxmlformats.org/officeDocument/2006/relationships/image" Target="media/image112.emf"/><Relationship Id="rId207" Type="http://schemas.openxmlformats.org/officeDocument/2006/relationships/oleObject" Target="embeddings/oleObject84.bin"/><Relationship Id="rId223" Type="http://schemas.openxmlformats.org/officeDocument/2006/relationships/theme" Target="theme/theme1.xml"/><Relationship Id="rId13" Type="http://schemas.openxmlformats.org/officeDocument/2006/relationships/header" Target="header3.xml"/><Relationship Id="rId18" Type="http://schemas.openxmlformats.org/officeDocument/2006/relationships/image" Target="media/image5.emf"/><Relationship Id="rId39" Type="http://schemas.openxmlformats.org/officeDocument/2006/relationships/image" Target="media/image17.wmf"/><Relationship Id="rId109" Type="http://schemas.openxmlformats.org/officeDocument/2006/relationships/image" Target="media/image55.emf"/><Relationship Id="rId34" Type="http://schemas.openxmlformats.org/officeDocument/2006/relationships/oleObject" Target="embeddings/oleObject7.bin"/><Relationship Id="rId50" Type="http://schemas.openxmlformats.org/officeDocument/2006/relationships/image" Target="media/image23.wmf"/><Relationship Id="rId55" Type="http://schemas.openxmlformats.org/officeDocument/2006/relationships/oleObject" Target="embeddings/oleObject17.bin"/><Relationship Id="rId76" Type="http://schemas.openxmlformats.org/officeDocument/2006/relationships/image" Target="media/image36.wmf"/><Relationship Id="rId97" Type="http://schemas.openxmlformats.org/officeDocument/2006/relationships/image" Target="media/image47.wmf"/><Relationship Id="rId104" Type="http://schemas.openxmlformats.org/officeDocument/2006/relationships/oleObject" Target="embeddings/oleObject41.bin"/><Relationship Id="rId120" Type="http://schemas.openxmlformats.org/officeDocument/2006/relationships/image" Target="media/image63.wmf"/><Relationship Id="rId125" Type="http://schemas.openxmlformats.org/officeDocument/2006/relationships/image" Target="media/image66.emf"/><Relationship Id="rId141" Type="http://schemas.openxmlformats.org/officeDocument/2006/relationships/oleObject" Target="embeddings/oleObject49.bin"/><Relationship Id="rId146" Type="http://schemas.openxmlformats.org/officeDocument/2006/relationships/image" Target="media/image82.wmf"/><Relationship Id="rId167" Type="http://schemas.openxmlformats.org/officeDocument/2006/relationships/oleObject" Target="embeddings/oleObject64.bin"/><Relationship Id="rId188" Type="http://schemas.openxmlformats.org/officeDocument/2006/relationships/image" Target="media/image105.emf"/><Relationship Id="rId7" Type="http://schemas.openxmlformats.org/officeDocument/2006/relationships/footnotes" Target="footnotes.xml"/><Relationship Id="rId71" Type="http://schemas.openxmlformats.org/officeDocument/2006/relationships/oleObject" Target="embeddings/oleObject25.bin"/><Relationship Id="rId92" Type="http://schemas.openxmlformats.org/officeDocument/2006/relationships/image" Target="media/image44.wmf"/><Relationship Id="rId162" Type="http://schemas.openxmlformats.org/officeDocument/2006/relationships/image" Target="media/image92.wmf"/><Relationship Id="rId183" Type="http://schemas.openxmlformats.org/officeDocument/2006/relationships/oleObject" Target="embeddings/oleObject72.bin"/><Relationship Id="rId213" Type="http://schemas.openxmlformats.org/officeDocument/2006/relationships/oleObject" Target="embeddings/oleObject87.bin"/><Relationship Id="rId218" Type="http://schemas.openxmlformats.org/officeDocument/2006/relationships/image" Target="media/image120.wmf"/><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oleObject" Target="embeddings/oleObject3.bin"/><Relationship Id="rId40" Type="http://schemas.openxmlformats.org/officeDocument/2006/relationships/oleObject" Target="embeddings/oleObject10.bin"/><Relationship Id="rId45" Type="http://schemas.openxmlformats.org/officeDocument/2006/relationships/image" Target="media/image20.wmf"/><Relationship Id="rId66" Type="http://schemas.openxmlformats.org/officeDocument/2006/relationships/image" Target="media/image31.wmf"/><Relationship Id="rId87" Type="http://schemas.openxmlformats.org/officeDocument/2006/relationships/oleObject" Target="embeddings/oleObject33.bin"/><Relationship Id="rId110" Type="http://schemas.openxmlformats.org/officeDocument/2006/relationships/image" Target="media/image56.emf"/><Relationship Id="rId115" Type="http://schemas.openxmlformats.org/officeDocument/2006/relationships/image" Target="media/image60.wmf"/><Relationship Id="rId131" Type="http://schemas.openxmlformats.org/officeDocument/2006/relationships/image" Target="media/image72.emf"/><Relationship Id="rId136" Type="http://schemas.openxmlformats.org/officeDocument/2006/relationships/image" Target="media/image77.wmf"/><Relationship Id="rId157" Type="http://schemas.openxmlformats.org/officeDocument/2006/relationships/oleObject" Target="embeddings/oleObject59.bin"/><Relationship Id="rId178" Type="http://schemas.openxmlformats.org/officeDocument/2006/relationships/image" Target="media/image100.emf"/><Relationship Id="rId61" Type="http://schemas.openxmlformats.org/officeDocument/2006/relationships/oleObject" Target="embeddings/oleObject20.bin"/><Relationship Id="rId82" Type="http://schemas.openxmlformats.org/officeDocument/2006/relationships/image" Target="media/image39.wmf"/><Relationship Id="rId152" Type="http://schemas.openxmlformats.org/officeDocument/2006/relationships/image" Target="media/image87.wmf"/><Relationship Id="rId173" Type="http://schemas.openxmlformats.org/officeDocument/2006/relationships/oleObject" Target="embeddings/oleObject67.bin"/><Relationship Id="rId194" Type="http://schemas.openxmlformats.org/officeDocument/2006/relationships/image" Target="media/image108.wmf"/><Relationship Id="rId199" Type="http://schemas.openxmlformats.org/officeDocument/2006/relationships/oleObject" Target="embeddings/oleObject80.bin"/><Relationship Id="rId203" Type="http://schemas.openxmlformats.org/officeDocument/2006/relationships/oleObject" Target="embeddings/oleObject82.bin"/><Relationship Id="rId208" Type="http://schemas.openxmlformats.org/officeDocument/2006/relationships/image" Target="media/image115.wmf"/><Relationship Id="rId19" Type="http://schemas.openxmlformats.org/officeDocument/2006/relationships/image" Target="media/image6.wmf"/><Relationship Id="rId14" Type="http://schemas.openxmlformats.org/officeDocument/2006/relationships/header" Target="header4.xml"/><Relationship Id="rId30" Type="http://schemas.openxmlformats.org/officeDocument/2006/relationships/image" Target="media/image12.emf"/><Relationship Id="rId35" Type="http://schemas.openxmlformats.org/officeDocument/2006/relationships/image" Target="media/image15.wmf"/><Relationship Id="rId56" Type="http://schemas.openxmlformats.org/officeDocument/2006/relationships/image" Target="media/image26.wmf"/><Relationship Id="rId77" Type="http://schemas.openxmlformats.org/officeDocument/2006/relationships/oleObject" Target="embeddings/oleObject28.bin"/><Relationship Id="rId100" Type="http://schemas.openxmlformats.org/officeDocument/2006/relationships/oleObject" Target="embeddings/oleObject39.bin"/><Relationship Id="rId105" Type="http://schemas.openxmlformats.org/officeDocument/2006/relationships/image" Target="media/image51.emf"/><Relationship Id="rId126" Type="http://schemas.openxmlformats.org/officeDocument/2006/relationships/image" Target="media/image67.emf"/><Relationship Id="rId147" Type="http://schemas.openxmlformats.org/officeDocument/2006/relationships/oleObject" Target="embeddings/oleObject52.bin"/><Relationship Id="rId168" Type="http://schemas.openxmlformats.org/officeDocument/2006/relationships/image" Target="media/image95.emf"/><Relationship Id="rId8" Type="http://schemas.openxmlformats.org/officeDocument/2006/relationships/endnotes" Target="endnotes.xml"/><Relationship Id="rId51" Type="http://schemas.openxmlformats.org/officeDocument/2006/relationships/oleObject" Target="embeddings/oleObject15.bin"/><Relationship Id="rId72" Type="http://schemas.openxmlformats.org/officeDocument/2006/relationships/image" Target="media/image34.wmf"/><Relationship Id="rId93" Type="http://schemas.openxmlformats.org/officeDocument/2006/relationships/image" Target="media/image45.wmf"/><Relationship Id="rId98" Type="http://schemas.openxmlformats.org/officeDocument/2006/relationships/oleObject" Target="embeddings/oleObject38.bin"/><Relationship Id="rId121" Type="http://schemas.openxmlformats.org/officeDocument/2006/relationships/oleObject" Target="embeddings/oleObject45.bin"/><Relationship Id="rId142" Type="http://schemas.openxmlformats.org/officeDocument/2006/relationships/image" Target="media/image80.wmf"/><Relationship Id="rId163" Type="http://schemas.openxmlformats.org/officeDocument/2006/relationships/oleObject" Target="embeddings/oleObject62.bin"/><Relationship Id="rId184" Type="http://schemas.openxmlformats.org/officeDocument/2006/relationships/image" Target="media/image103.emf"/><Relationship Id="rId189" Type="http://schemas.openxmlformats.org/officeDocument/2006/relationships/oleObject" Target="embeddings/oleObject75.bin"/><Relationship Id="rId219" Type="http://schemas.openxmlformats.org/officeDocument/2006/relationships/oleObject" Target="embeddings/oleObject90.bin"/><Relationship Id="rId3" Type="http://schemas.openxmlformats.org/officeDocument/2006/relationships/styles" Target="styles.xml"/><Relationship Id="rId214" Type="http://schemas.openxmlformats.org/officeDocument/2006/relationships/image" Target="media/image118.emf"/><Relationship Id="rId25" Type="http://schemas.openxmlformats.org/officeDocument/2006/relationships/image" Target="media/image9.wmf"/><Relationship Id="rId46" Type="http://schemas.openxmlformats.org/officeDocument/2006/relationships/oleObject" Target="embeddings/oleObject13.bin"/><Relationship Id="rId67" Type="http://schemas.openxmlformats.org/officeDocument/2006/relationships/oleObject" Target="embeddings/oleObject23.bin"/><Relationship Id="rId116" Type="http://schemas.openxmlformats.org/officeDocument/2006/relationships/oleObject" Target="embeddings/oleObject43.bin"/><Relationship Id="rId137" Type="http://schemas.openxmlformats.org/officeDocument/2006/relationships/oleObject" Target="embeddings/oleObject47.bin"/><Relationship Id="rId158" Type="http://schemas.openxmlformats.org/officeDocument/2006/relationships/image" Target="media/image90.wmf"/><Relationship Id="rId20" Type="http://schemas.openxmlformats.org/officeDocument/2006/relationships/oleObject" Target="embeddings/oleObject1.bin"/><Relationship Id="rId41" Type="http://schemas.openxmlformats.org/officeDocument/2006/relationships/image" Target="media/image18.wmf"/><Relationship Id="rId62" Type="http://schemas.openxmlformats.org/officeDocument/2006/relationships/image" Target="media/image29.wmf"/><Relationship Id="rId83" Type="http://schemas.openxmlformats.org/officeDocument/2006/relationships/oleObject" Target="embeddings/oleObject31.bin"/><Relationship Id="rId88" Type="http://schemas.openxmlformats.org/officeDocument/2006/relationships/image" Target="media/image42.wmf"/><Relationship Id="rId111" Type="http://schemas.openxmlformats.org/officeDocument/2006/relationships/image" Target="media/image57.wmf"/><Relationship Id="rId132" Type="http://schemas.openxmlformats.org/officeDocument/2006/relationships/image" Target="media/image73.emf"/><Relationship Id="rId153" Type="http://schemas.openxmlformats.org/officeDocument/2006/relationships/oleObject" Target="embeddings/oleObject57.bin"/><Relationship Id="rId174" Type="http://schemas.openxmlformats.org/officeDocument/2006/relationships/image" Target="media/image98.emf"/><Relationship Id="rId179" Type="http://schemas.openxmlformats.org/officeDocument/2006/relationships/oleObject" Target="embeddings/oleObject70.bin"/><Relationship Id="rId195" Type="http://schemas.openxmlformats.org/officeDocument/2006/relationships/oleObject" Target="embeddings/oleObject78.bin"/><Relationship Id="rId209" Type="http://schemas.openxmlformats.org/officeDocument/2006/relationships/oleObject" Target="embeddings/oleObject85.bin"/><Relationship Id="rId190" Type="http://schemas.openxmlformats.org/officeDocument/2006/relationships/image" Target="media/image106.wmf"/><Relationship Id="rId204" Type="http://schemas.openxmlformats.org/officeDocument/2006/relationships/image" Target="media/image113.emf"/><Relationship Id="rId220" Type="http://schemas.openxmlformats.org/officeDocument/2006/relationships/image" Target="media/image121.emf"/><Relationship Id="rId15" Type="http://schemas.openxmlformats.org/officeDocument/2006/relationships/image" Target="media/image2.emf"/><Relationship Id="rId36" Type="http://schemas.openxmlformats.org/officeDocument/2006/relationships/oleObject" Target="embeddings/oleObject8.bin"/><Relationship Id="rId57" Type="http://schemas.openxmlformats.org/officeDocument/2006/relationships/oleObject" Target="embeddings/oleObject18.bin"/><Relationship Id="rId106" Type="http://schemas.openxmlformats.org/officeDocument/2006/relationships/image" Target="media/image52.emf"/><Relationship Id="rId127" Type="http://schemas.openxmlformats.org/officeDocument/2006/relationships/image" Target="media/image68.emf"/><Relationship Id="rId10" Type="http://schemas.openxmlformats.org/officeDocument/2006/relationships/header" Target="header2.xml"/><Relationship Id="rId31" Type="http://schemas.openxmlformats.org/officeDocument/2006/relationships/image" Target="media/image13.wmf"/><Relationship Id="rId52" Type="http://schemas.openxmlformats.org/officeDocument/2006/relationships/image" Target="media/image24.wmf"/><Relationship Id="rId73" Type="http://schemas.openxmlformats.org/officeDocument/2006/relationships/oleObject" Target="embeddings/oleObject26.bin"/><Relationship Id="rId78" Type="http://schemas.openxmlformats.org/officeDocument/2006/relationships/image" Target="media/image37.wmf"/><Relationship Id="rId94" Type="http://schemas.openxmlformats.org/officeDocument/2006/relationships/oleObject" Target="embeddings/oleObject36.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image" Target="media/image64.wmf"/><Relationship Id="rId143" Type="http://schemas.openxmlformats.org/officeDocument/2006/relationships/oleObject" Target="embeddings/oleObject50.bin"/><Relationship Id="rId148" Type="http://schemas.openxmlformats.org/officeDocument/2006/relationships/image" Target="media/image85.wmf"/><Relationship Id="rId164" Type="http://schemas.openxmlformats.org/officeDocument/2006/relationships/image" Target="media/image93.wmf"/><Relationship Id="rId169" Type="http://schemas.openxmlformats.org/officeDocument/2006/relationships/oleObject" Target="embeddings/oleObject65.bin"/><Relationship Id="rId185" Type="http://schemas.openxmlformats.org/officeDocument/2006/relationships/oleObject" Target="embeddings/oleObject73.bin"/><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101.emf"/><Relationship Id="rId210" Type="http://schemas.openxmlformats.org/officeDocument/2006/relationships/image" Target="media/image116.wmf"/><Relationship Id="rId215" Type="http://schemas.openxmlformats.org/officeDocument/2006/relationships/oleObject" Target="embeddings/oleObject88.bin"/><Relationship Id="rId26" Type="http://schemas.openxmlformats.org/officeDocument/2006/relationships/oleObject" Target="embeddings/oleObject4.bin"/><Relationship Id="rId47" Type="http://schemas.openxmlformats.org/officeDocument/2006/relationships/image" Target="media/image21.emf"/><Relationship Id="rId68" Type="http://schemas.openxmlformats.org/officeDocument/2006/relationships/image" Target="media/image32.wmf"/><Relationship Id="rId89" Type="http://schemas.openxmlformats.org/officeDocument/2006/relationships/oleObject" Target="embeddings/oleObject34.bin"/><Relationship Id="rId112" Type="http://schemas.openxmlformats.org/officeDocument/2006/relationships/oleObject" Target="embeddings/oleObject42.bin"/><Relationship Id="rId133" Type="http://schemas.openxmlformats.org/officeDocument/2006/relationships/image" Target="media/image74.emf"/><Relationship Id="rId154" Type="http://schemas.openxmlformats.org/officeDocument/2006/relationships/image" Target="media/image88.wmf"/><Relationship Id="rId175" Type="http://schemas.openxmlformats.org/officeDocument/2006/relationships/oleObject" Target="embeddings/oleObject68.bin"/><Relationship Id="rId196" Type="http://schemas.openxmlformats.org/officeDocument/2006/relationships/image" Target="media/image109.emf"/><Relationship Id="rId200" Type="http://schemas.openxmlformats.org/officeDocument/2006/relationships/image" Target="media/image111.emf"/><Relationship Id="rId16" Type="http://schemas.openxmlformats.org/officeDocument/2006/relationships/image" Target="media/image3.emf"/><Relationship Id="rId221" Type="http://schemas.openxmlformats.org/officeDocument/2006/relationships/oleObject" Target="embeddings/oleObject91.bin"/><Relationship Id="rId37" Type="http://schemas.openxmlformats.org/officeDocument/2006/relationships/image" Target="media/image16.wmf"/><Relationship Id="rId58" Type="http://schemas.openxmlformats.org/officeDocument/2006/relationships/image" Target="media/image27.wmf"/><Relationship Id="rId79" Type="http://schemas.openxmlformats.org/officeDocument/2006/relationships/oleObject" Target="embeddings/oleObject29.bin"/><Relationship Id="rId102" Type="http://schemas.openxmlformats.org/officeDocument/2006/relationships/oleObject" Target="embeddings/oleObject40.bin"/><Relationship Id="rId123" Type="http://schemas.openxmlformats.org/officeDocument/2006/relationships/oleObject" Target="embeddings/oleObject46.bin"/><Relationship Id="rId144" Type="http://schemas.openxmlformats.org/officeDocument/2006/relationships/image" Target="media/image81.wmf"/><Relationship Id="rId90" Type="http://schemas.openxmlformats.org/officeDocument/2006/relationships/image" Target="media/image43.wmf"/><Relationship Id="rId165" Type="http://schemas.openxmlformats.org/officeDocument/2006/relationships/oleObject" Target="embeddings/oleObject63.bin"/><Relationship Id="rId186" Type="http://schemas.openxmlformats.org/officeDocument/2006/relationships/image" Target="media/image104.emf"/></Relationships>
</file>

<file path=word/_rels/footnotes.xml.rels><?xml version="1.0" encoding="UTF-8" standalone="yes"?>
<Relationships xmlns="http://schemas.openxmlformats.org/package/2006/relationships"><Relationship Id="rId3" Type="http://schemas.openxmlformats.org/officeDocument/2006/relationships/image" Target="media/image84.wmf"/><Relationship Id="rId2" Type="http://schemas.openxmlformats.org/officeDocument/2006/relationships/oleObject" Target="embeddings/oleObject53.bin"/><Relationship Id="rId1" Type="http://schemas.openxmlformats.org/officeDocument/2006/relationships/image" Target="media/image83.wmf"/><Relationship Id="rId4" Type="http://schemas.openxmlformats.org/officeDocument/2006/relationships/oleObject" Target="embeddings/oleObject5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5B334-465F-4E36-9FAD-84F5EC917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36</TotalTime>
  <Pages>79</Pages>
  <Words>17426</Words>
  <Characters>102294</Characters>
  <Application>Microsoft Office Word</Application>
  <DocSecurity>0</DocSecurity>
  <Lines>1549</Lines>
  <Paragraphs>490</Paragraphs>
  <ScaleCrop>false</ScaleCrop>
  <HeadingPairs>
    <vt:vector size="2" baseType="variant">
      <vt:variant>
        <vt:lpstr>Title</vt:lpstr>
      </vt:variant>
      <vt:variant>
        <vt:i4>1</vt:i4>
      </vt:variant>
    </vt:vector>
  </HeadingPairs>
  <TitlesOfParts>
    <vt:vector size="1" baseType="lpstr">
      <vt:lpstr>RECOMMENDATION  ITU-R  SM.1541-4* - Unwanted emissions in the out-of-band domain**</vt:lpstr>
    </vt:vector>
  </TitlesOfParts>
  <Manager/>
  <Company>ITU</Company>
  <LinksUpToDate>false</LinksUpToDate>
  <CharactersWithSpaces>119230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SM.1541-4* - Unwanted emissions in the out-of-band domain**</dc:title>
  <dc:subject>SM Series = Spectrum management</dc:subject>
  <dc:creator>ITU Radiocommunication Bureau (BR)</dc:creator>
  <cp:keywords>SM,1541-4*</cp:keywords>
  <dc:description>Santosbo, 19.07.2011, MSB106309</dc:description>
  <cp:lastModifiedBy>Gachet, Christelle</cp:lastModifiedBy>
  <cp:revision>5</cp:revision>
  <cp:lastPrinted>2011-10-27T10:35:00Z</cp:lastPrinted>
  <dcterms:created xsi:type="dcterms:W3CDTF">2012-03-08T06:16:00Z</dcterms:created>
  <dcterms:modified xsi:type="dcterms:W3CDTF">2012-03-08T06:53:00Z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January 2011</vt:lpwstr>
  </property>
</Properties>
</file>