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7169" w14:textId="77777777" w:rsidR="006A3425" w:rsidRPr="00B3254E" w:rsidRDefault="006A3425" w:rsidP="006A3425">
      <w:pPr>
        <w:rPr>
          <w:lang w:val="fr-FR"/>
        </w:rPr>
      </w:pPr>
    </w:p>
    <w:p w14:paraId="3D0F9499" w14:textId="77777777" w:rsidR="006A3425" w:rsidRDefault="006A3425" w:rsidP="006A3425">
      <w:pPr>
        <w:tabs>
          <w:tab w:val="clear" w:pos="794"/>
          <w:tab w:val="clear" w:pos="1191"/>
          <w:tab w:val="clear" w:pos="1588"/>
          <w:tab w:val="clear" w:pos="1985"/>
        </w:tabs>
      </w:pPr>
    </w:p>
    <w:p w14:paraId="19C4880D" w14:textId="3CEB3FC3" w:rsidR="006A3425" w:rsidRPr="004A6FEB" w:rsidRDefault="006A3425" w:rsidP="006A3425">
      <w:pPr>
        <w:pStyle w:val="CoverNumber"/>
      </w:pPr>
      <w:r w:rsidRPr="00A86DD2">
        <w:t>Recommendation</w:t>
      </w:r>
      <w:r w:rsidRPr="004A6FEB">
        <w:t xml:space="preserve"> ITU-R</w:t>
      </w:r>
      <w:r w:rsidRPr="0036627C">
        <w:t xml:space="preserve"> </w:t>
      </w:r>
      <w:r>
        <w:t>SM.</w:t>
      </w:r>
      <w:r w:rsidRPr="006A3425">
        <w:rPr>
          <w:lang w:val="en-GB"/>
        </w:rPr>
        <w:t>1539-2</w:t>
      </w:r>
    </w:p>
    <w:p w14:paraId="23A425BA" w14:textId="4249765C" w:rsidR="006A3425" w:rsidRPr="004A6FEB" w:rsidRDefault="006A3425" w:rsidP="006A3425">
      <w:pPr>
        <w:pStyle w:val="CoverDate"/>
      </w:pPr>
      <w:r w:rsidRPr="004A6FEB">
        <w:t>(</w:t>
      </w:r>
      <w:r>
        <w:t>09</w:t>
      </w:r>
      <w:r w:rsidRPr="004A6FEB">
        <w:t>/</w:t>
      </w:r>
      <w:r>
        <w:t>2024</w:t>
      </w:r>
      <w:r w:rsidRPr="004A6FEB">
        <w:t>)</w:t>
      </w:r>
    </w:p>
    <w:p w14:paraId="6B482397" w14:textId="77777777" w:rsidR="006A3425" w:rsidRPr="005432DB" w:rsidRDefault="006A3425" w:rsidP="006A3425">
      <w:pPr>
        <w:pStyle w:val="CoverSeries"/>
        <w:rPr>
          <w:bCs w:val="0"/>
        </w:rPr>
      </w:pPr>
      <w:r>
        <w:t>SM</w:t>
      </w:r>
      <w:r w:rsidRPr="00A86DD2">
        <w:t xml:space="preserve"> </w:t>
      </w:r>
      <w:r w:rsidRPr="004A6FEB">
        <w:t>Series:</w:t>
      </w:r>
      <w:r w:rsidRPr="00A86DD2">
        <w:t xml:space="preserve"> </w:t>
      </w:r>
      <w:r w:rsidRPr="00F9191E">
        <w:rPr>
          <w:iCs/>
          <w:lang w:val="en-GB"/>
        </w:rPr>
        <w:t>Spectrum management</w:t>
      </w:r>
    </w:p>
    <w:p w14:paraId="498A3B96" w14:textId="06111E94" w:rsidR="006A3425" w:rsidRPr="004A6FEB" w:rsidRDefault="006A3425" w:rsidP="006A3425">
      <w:pPr>
        <w:pStyle w:val="CoverTitle"/>
      </w:pPr>
      <w:r w:rsidRPr="006A3425">
        <w:rPr>
          <w:lang w:val="en-GB"/>
        </w:rPr>
        <w:t>Variation of the boundary between the out-of-band and spurious domains required for the application of Recommendations ITU-R SM.1541 and</w:t>
      </w:r>
      <w:r w:rsidR="00F9191E">
        <w:rPr>
          <w:lang w:val="en-GB"/>
        </w:rPr>
        <w:t xml:space="preserve"> </w:t>
      </w:r>
      <w:r w:rsidRPr="006A3425">
        <w:rPr>
          <w:lang w:val="en-GB"/>
        </w:rPr>
        <w:t>ITU</w:t>
      </w:r>
      <w:r w:rsidRPr="006A3425">
        <w:rPr>
          <w:lang w:val="en-GB"/>
        </w:rPr>
        <w:noBreakHyphen/>
        <w:t>R SM.329</w:t>
      </w:r>
    </w:p>
    <w:p w14:paraId="571CBA57" w14:textId="77777777" w:rsidR="006A3425" w:rsidRPr="005373E0" w:rsidRDefault="006A3425" w:rsidP="006A3425">
      <w:pPr>
        <w:rPr>
          <w:lang w:val="en-US"/>
        </w:rPr>
      </w:pPr>
    </w:p>
    <w:p w14:paraId="04257513" w14:textId="77777777" w:rsidR="006A3425" w:rsidRPr="005373E0" w:rsidRDefault="006A3425" w:rsidP="006A3425"/>
    <w:p w14:paraId="2C0908BC" w14:textId="77777777" w:rsidR="006A3425" w:rsidRPr="005373E0" w:rsidRDefault="006A3425" w:rsidP="006A3425">
      <w:pPr>
        <w:sectPr w:rsidR="006A3425" w:rsidRPr="005373E0" w:rsidSect="006A3425">
          <w:headerReference w:type="even" r:id="rId7"/>
          <w:headerReference w:type="default" r:id="rId8"/>
          <w:footerReference w:type="even" r:id="rId9"/>
          <w:footerReference w:type="default" r:id="rId10"/>
          <w:headerReference w:type="first" r:id="rId11"/>
          <w:footerReference w:type="first" r:id="rId12"/>
          <w:pgSz w:w="11907" w:h="16840" w:code="9"/>
          <w:pgMar w:top="1089" w:right="1089" w:bottom="284" w:left="1089" w:header="737" w:footer="284" w:gutter="0"/>
          <w:pgNumType w:start="1"/>
          <w:cols w:space="720"/>
          <w:docGrid w:linePitch="326"/>
        </w:sectPr>
      </w:pPr>
    </w:p>
    <w:p w14:paraId="71A0DBED" w14:textId="77777777" w:rsidR="006A3425" w:rsidRPr="00586EF8" w:rsidRDefault="006A3425" w:rsidP="006A342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432205D0" w14:textId="77777777" w:rsidR="006A3425" w:rsidRDefault="006A3425" w:rsidP="006A3425">
      <w:pPr>
        <w:spacing w:before="240"/>
        <w:rPr>
          <w:sz w:val="20"/>
          <w:lang w:val="en-US"/>
        </w:rPr>
      </w:pPr>
      <w:r>
        <w:rPr>
          <w:sz w:val="20"/>
          <w:lang w:val="en-US"/>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0B45DA00" w14:textId="77777777" w:rsidR="006A3425" w:rsidRDefault="006A3425" w:rsidP="006A3425">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11C8F8E3" w14:textId="77777777" w:rsidR="006A3425" w:rsidRPr="00B714F3" w:rsidRDefault="006A3425" w:rsidP="006A3425">
      <w:pPr>
        <w:pStyle w:val="Heading1"/>
        <w:spacing w:before="680"/>
        <w:jc w:val="center"/>
        <w:rPr>
          <w:szCs w:val="24"/>
          <w:lang w:val="en-US"/>
        </w:rPr>
      </w:pPr>
      <w:r w:rsidRPr="00B714F3">
        <w:rPr>
          <w:szCs w:val="24"/>
          <w:lang w:val="en-US"/>
        </w:rPr>
        <w:t>Policy on Intellectual Property Right (IPR)</w:t>
      </w:r>
    </w:p>
    <w:p w14:paraId="6600C97F" w14:textId="77777777" w:rsidR="006A3425" w:rsidRPr="00B714F3" w:rsidRDefault="006A3425" w:rsidP="006A3425">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473EED58" w14:textId="77777777" w:rsidR="006A3425" w:rsidRDefault="006A3425" w:rsidP="006A3425">
      <w:pPr>
        <w:jc w:val="center"/>
        <w:rPr>
          <w:sz w:val="22"/>
          <w:lang w:val="en-US"/>
        </w:rPr>
      </w:pPr>
    </w:p>
    <w:p w14:paraId="54242B80" w14:textId="77777777" w:rsidR="006A3425" w:rsidRDefault="006A3425" w:rsidP="006A3425">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A3425" w:rsidRPr="00576D47" w14:paraId="1944F92B" w14:textId="77777777" w:rsidTr="00BB48A0">
        <w:tc>
          <w:tcPr>
            <w:tcW w:w="9360" w:type="dxa"/>
            <w:gridSpan w:val="2"/>
          </w:tcPr>
          <w:p w14:paraId="0AA5A1DF" w14:textId="77777777" w:rsidR="006A3425" w:rsidRPr="00036EE3" w:rsidRDefault="006A3425" w:rsidP="00BB48A0">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0F3FAFB9" w14:textId="77777777" w:rsidR="006A3425" w:rsidRPr="00036EE3"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sidRPr="00590EE8">
                <w:rPr>
                  <w:rStyle w:val="Hyperlink"/>
                  <w:b w:val="0"/>
                  <w:sz w:val="18"/>
                  <w:szCs w:val="18"/>
                  <w:lang w:val="en-US"/>
                </w:rPr>
                <w:t>https://www.itu.int/publ/R-REC/en</w:t>
              </w:r>
            </w:hyperlink>
            <w:r w:rsidRPr="00CE0A43">
              <w:rPr>
                <w:b w:val="0"/>
                <w:sz w:val="18"/>
                <w:szCs w:val="18"/>
                <w:lang w:val="en-US"/>
              </w:rPr>
              <w:t>)</w:t>
            </w:r>
          </w:p>
        </w:tc>
      </w:tr>
      <w:tr w:rsidR="006A3425" w:rsidRPr="00036EE3" w14:paraId="0E94B061" w14:textId="77777777" w:rsidTr="00BB48A0">
        <w:tc>
          <w:tcPr>
            <w:tcW w:w="1140" w:type="dxa"/>
            <w:tcBorders>
              <w:bottom w:val="nil"/>
            </w:tcBorders>
            <w:vAlign w:val="bottom"/>
          </w:tcPr>
          <w:p w14:paraId="06179980" w14:textId="77777777" w:rsidR="006A3425" w:rsidRPr="00036EE3" w:rsidRDefault="006A3425" w:rsidP="00BB48A0">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26883CA" w14:textId="77777777" w:rsidR="006A3425" w:rsidRPr="00036EE3"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6A3425" w:rsidRPr="00F92A40" w14:paraId="292BE2F9" w14:textId="77777777" w:rsidTr="00BB48A0">
        <w:tc>
          <w:tcPr>
            <w:tcW w:w="1140" w:type="dxa"/>
            <w:tcBorders>
              <w:top w:val="nil"/>
              <w:bottom w:val="nil"/>
            </w:tcBorders>
            <w:shd w:val="clear" w:color="auto" w:fill="auto"/>
          </w:tcPr>
          <w:p w14:paraId="793F4477" w14:textId="77777777" w:rsidR="006A3425" w:rsidRPr="00F92A40" w:rsidRDefault="006A3425" w:rsidP="00BB48A0">
            <w:pPr>
              <w:spacing w:before="30" w:after="30"/>
              <w:ind w:left="57"/>
              <w:jc w:val="left"/>
              <w:rPr>
                <w:rFonts w:hAnsi="Times New Roman Bold"/>
                <w:b/>
                <w:color w:val="000080"/>
                <w:sz w:val="20"/>
                <w:lang w:val="en-US"/>
              </w:rPr>
            </w:pPr>
            <w:r w:rsidRPr="00477A11">
              <w:rPr>
                <w:b/>
                <w:bCs/>
                <w:sz w:val="20"/>
                <w:lang w:val="en-US"/>
              </w:rPr>
              <w:t>BO</w:t>
            </w:r>
          </w:p>
        </w:tc>
        <w:tc>
          <w:tcPr>
            <w:tcW w:w="8220" w:type="dxa"/>
            <w:tcBorders>
              <w:top w:val="nil"/>
              <w:bottom w:val="nil"/>
            </w:tcBorders>
            <w:shd w:val="clear" w:color="auto" w:fill="auto"/>
          </w:tcPr>
          <w:p w14:paraId="0B327129" w14:textId="77777777" w:rsidR="006A3425" w:rsidRPr="00F92A40"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477A11">
              <w:rPr>
                <w:b w:val="0"/>
                <w:sz w:val="20"/>
                <w:lang w:val="en-US"/>
              </w:rPr>
              <w:t>Satellite delivery</w:t>
            </w:r>
          </w:p>
        </w:tc>
      </w:tr>
      <w:tr w:rsidR="006A3425" w:rsidRPr="00576D47" w14:paraId="06FDE7F9" w14:textId="77777777" w:rsidTr="00BB48A0">
        <w:tc>
          <w:tcPr>
            <w:tcW w:w="1140" w:type="dxa"/>
            <w:tcBorders>
              <w:top w:val="nil"/>
            </w:tcBorders>
            <w:shd w:val="clear" w:color="auto" w:fill="FFFFFF" w:themeFill="background1"/>
          </w:tcPr>
          <w:p w14:paraId="13AF4353" w14:textId="77777777" w:rsidR="006A3425" w:rsidRPr="00B51DD9" w:rsidRDefault="006A3425" w:rsidP="00BB48A0">
            <w:pPr>
              <w:spacing w:before="30" w:after="30"/>
              <w:ind w:left="57"/>
              <w:jc w:val="left"/>
              <w:rPr>
                <w:b/>
                <w:bCs/>
                <w:sz w:val="20"/>
                <w:lang w:val="en-US"/>
              </w:rPr>
            </w:pPr>
            <w:r w:rsidRPr="00B51DD9">
              <w:rPr>
                <w:b/>
                <w:bCs/>
                <w:sz w:val="20"/>
                <w:lang w:val="en-US"/>
              </w:rPr>
              <w:t>BR</w:t>
            </w:r>
          </w:p>
        </w:tc>
        <w:tc>
          <w:tcPr>
            <w:tcW w:w="8220" w:type="dxa"/>
            <w:tcBorders>
              <w:top w:val="nil"/>
            </w:tcBorders>
            <w:shd w:val="clear" w:color="auto" w:fill="FFFFFF" w:themeFill="background1"/>
          </w:tcPr>
          <w:p w14:paraId="45B68AF6" w14:textId="77777777" w:rsidR="006A3425" w:rsidRPr="00B51DD9"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B51DD9">
              <w:rPr>
                <w:b w:val="0"/>
                <w:sz w:val="20"/>
                <w:lang w:val="en-US"/>
              </w:rPr>
              <w:t>Recording for production, archival and play-out; film for television</w:t>
            </w:r>
          </w:p>
        </w:tc>
      </w:tr>
      <w:tr w:rsidR="006A3425" w:rsidRPr="00036EE3" w14:paraId="573C9994" w14:textId="77777777" w:rsidTr="00BB48A0">
        <w:tc>
          <w:tcPr>
            <w:tcW w:w="1140" w:type="dxa"/>
          </w:tcPr>
          <w:p w14:paraId="55B8DE73" w14:textId="77777777" w:rsidR="006A3425" w:rsidRPr="00036EE3" w:rsidRDefault="006A3425" w:rsidP="00BB48A0">
            <w:pPr>
              <w:spacing w:before="30" w:after="30"/>
              <w:ind w:left="57"/>
              <w:jc w:val="left"/>
              <w:rPr>
                <w:b/>
                <w:bCs/>
                <w:sz w:val="20"/>
                <w:lang w:val="en-US"/>
              </w:rPr>
            </w:pPr>
            <w:r w:rsidRPr="00036EE3">
              <w:rPr>
                <w:b/>
                <w:bCs/>
                <w:sz w:val="20"/>
                <w:lang w:val="en-US"/>
              </w:rPr>
              <w:t>BS</w:t>
            </w:r>
          </w:p>
        </w:tc>
        <w:tc>
          <w:tcPr>
            <w:tcW w:w="8220" w:type="dxa"/>
          </w:tcPr>
          <w:p w14:paraId="303AB4F3" w14:textId="77777777" w:rsidR="006A3425" w:rsidRPr="00036EE3"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Broadcasting service (sound)</w:t>
            </w:r>
          </w:p>
        </w:tc>
      </w:tr>
      <w:tr w:rsidR="006A3425" w:rsidRPr="00ED2695" w14:paraId="66992CD9" w14:textId="77777777" w:rsidTr="00BB48A0">
        <w:tc>
          <w:tcPr>
            <w:tcW w:w="1140" w:type="dxa"/>
            <w:shd w:val="clear" w:color="auto" w:fill="auto"/>
          </w:tcPr>
          <w:p w14:paraId="4ADCB1A9" w14:textId="77777777" w:rsidR="006A3425" w:rsidRPr="00ED2695" w:rsidRDefault="006A3425" w:rsidP="00BB48A0">
            <w:pPr>
              <w:spacing w:before="30" w:after="30"/>
              <w:ind w:left="57"/>
              <w:jc w:val="left"/>
              <w:rPr>
                <w:b/>
                <w:bCs/>
                <w:sz w:val="20"/>
                <w:lang w:val="en-US"/>
              </w:rPr>
            </w:pPr>
            <w:r w:rsidRPr="00ED2695">
              <w:rPr>
                <w:b/>
                <w:bCs/>
                <w:sz w:val="20"/>
                <w:lang w:val="en-US"/>
              </w:rPr>
              <w:t>BT</w:t>
            </w:r>
          </w:p>
        </w:tc>
        <w:tc>
          <w:tcPr>
            <w:tcW w:w="8220" w:type="dxa"/>
            <w:shd w:val="clear" w:color="auto" w:fill="auto"/>
          </w:tcPr>
          <w:p w14:paraId="0F9873A5" w14:textId="77777777" w:rsidR="006A3425" w:rsidRPr="00ED2695"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ED2695">
              <w:rPr>
                <w:b w:val="0"/>
                <w:sz w:val="20"/>
                <w:lang w:val="en-US"/>
              </w:rPr>
              <w:t>Broadcasting service (television)</w:t>
            </w:r>
          </w:p>
        </w:tc>
      </w:tr>
      <w:tr w:rsidR="006A3425" w:rsidRPr="00036EE3" w14:paraId="73343535" w14:textId="77777777" w:rsidTr="00BB48A0">
        <w:tc>
          <w:tcPr>
            <w:tcW w:w="1140" w:type="dxa"/>
            <w:shd w:val="clear" w:color="auto" w:fill="auto"/>
          </w:tcPr>
          <w:p w14:paraId="1D5A6B9B" w14:textId="77777777" w:rsidR="006A3425" w:rsidRPr="00036EE3" w:rsidRDefault="006A3425" w:rsidP="00BB48A0">
            <w:pPr>
              <w:spacing w:before="30" w:after="30"/>
              <w:ind w:left="57"/>
              <w:jc w:val="left"/>
              <w:rPr>
                <w:b/>
                <w:bCs/>
                <w:sz w:val="20"/>
                <w:lang w:val="fr-CH"/>
              </w:rPr>
            </w:pPr>
            <w:r w:rsidRPr="00036EE3">
              <w:rPr>
                <w:b/>
                <w:bCs/>
                <w:sz w:val="20"/>
                <w:lang w:val="fr-CH"/>
              </w:rPr>
              <w:t>F</w:t>
            </w:r>
          </w:p>
        </w:tc>
        <w:tc>
          <w:tcPr>
            <w:tcW w:w="8220" w:type="dxa"/>
            <w:shd w:val="clear" w:color="auto" w:fill="auto"/>
          </w:tcPr>
          <w:p w14:paraId="30DEECEE" w14:textId="77777777" w:rsidR="006A3425" w:rsidRPr="00036EE3" w:rsidRDefault="006A3425" w:rsidP="00BB48A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6A3425" w:rsidRPr="00512A4E" w14:paraId="1BCD06D7" w14:textId="77777777" w:rsidTr="00FC3174">
        <w:tc>
          <w:tcPr>
            <w:tcW w:w="1140" w:type="dxa"/>
            <w:shd w:val="clear" w:color="auto" w:fill="auto"/>
          </w:tcPr>
          <w:p w14:paraId="34EA2EC9" w14:textId="77777777" w:rsidR="006A3425" w:rsidRPr="00512A4E" w:rsidRDefault="006A3425" w:rsidP="00BB48A0">
            <w:pPr>
              <w:spacing w:before="30" w:after="30"/>
              <w:ind w:left="57"/>
              <w:jc w:val="left"/>
              <w:rPr>
                <w:b/>
                <w:bCs/>
                <w:sz w:val="20"/>
                <w:lang w:val="en-US"/>
              </w:rPr>
            </w:pPr>
            <w:r w:rsidRPr="00512A4E">
              <w:rPr>
                <w:b/>
                <w:bCs/>
                <w:sz w:val="20"/>
                <w:lang w:val="en-US"/>
              </w:rPr>
              <w:t>M</w:t>
            </w:r>
          </w:p>
        </w:tc>
        <w:tc>
          <w:tcPr>
            <w:tcW w:w="8220" w:type="dxa"/>
            <w:shd w:val="clear" w:color="auto" w:fill="auto"/>
          </w:tcPr>
          <w:p w14:paraId="1711AAAA" w14:textId="77777777" w:rsidR="006A3425" w:rsidRPr="00512A4E" w:rsidRDefault="006A3425" w:rsidP="00BB48A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5432DB">
              <w:rPr>
                <w:sz w:val="20"/>
                <w:lang w:val="fr-CH"/>
              </w:rPr>
              <w:t>Mobile</w:t>
            </w:r>
            <w:r w:rsidRPr="00512A4E">
              <w:rPr>
                <w:sz w:val="20"/>
                <w:lang w:val="en-US"/>
              </w:rPr>
              <w:t>, radiodetermination, amateur and related satellite services</w:t>
            </w:r>
          </w:p>
        </w:tc>
      </w:tr>
      <w:tr w:rsidR="006A3425" w:rsidRPr="00512A4E" w14:paraId="096F77A6" w14:textId="77777777" w:rsidTr="00FC3174">
        <w:tc>
          <w:tcPr>
            <w:tcW w:w="1140" w:type="dxa"/>
            <w:shd w:val="clear" w:color="auto" w:fill="auto"/>
          </w:tcPr>
          <w:p w14:paraId="238C19BC" w14:textId="77777777" w:rsidR="006A3425" w:rsidRPr="00E830F9" w:rsidRDefault="006A3425" w:rsidP="00BB48A0">
            <w:pPr>
              <w:spacing w:before="30" w:after="30"/>
              <w:ind w:left="57"/>
              <w:jc w:val="left"/>
              <w:rPr>
                <w:b/>
                <w:bCs/>
                <w:sz w:val="20"/>
                <w:lang w:val="en-US"/>
              </w:rPr>
            </w:pPr>
            <w:r w:rsidRPr="00E830F9">
              <w:rPr>
                <w:b/>
                <w:bCs/>
                <w:sz w:val="20"/>
                <w:lang w:val="en-US"/>
              </w:rPr>
              <w:t>P</w:t>
            </w:r>
          </w:p>
        </w:tc>
        <w:tc>
          <w:tcPr>
            <w:tcW w:w="8220" w:type="dxa"/>
            <w:shd w:val="clear" w:color="auto" w:fill="auto"/>
          </w:tcPr>
          <w:p w14:paraId="50C3FA8B" w14:textId="77777777" w:rsidR="006A3425" w:rsidRPr="00512A4E" w:rsidRDefault="006A3425" w:rsidP="00BB48A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rFonts w:hAnsi="Times New Roman Bold"/>
                <w:color w:val="000080"/>
                <w:sz w:val="20"/>
                <w:lang w:val="en-US"/>
              </w:rPr>
            </w:pPr>
            <w:proofErr w:type="spellStart"/>
            <w:r w:rsidRPr="00E830F9">
              <w:rPr>
                <w:sz w:val="20"/>
                <w:lang w:val="en-US"/>
              </w:rPr>
              <w:t>Radiowave</w:t>
            </w:r>
            <w:proofErr w:type="spellEnd"/>
            <w:r w:rsidRPr="00E830F9">
              <w:rPr>
                <w:sz w:val="20"/>
                <w:lang w:val="en-US"/>
              </w:rPr>
              <w:t xml:space="preserve"> propagation</w:t>
            </w:r>
          </w:p>
        </w:tc>
      </w:tr>
      <w:tr w:rsidR="006A3425" w:rsidRPr="00036EE3" w14:paraId="71EB95C2" w14:textId="77777777" w:rsidTr="00FC3174">
        <w:tc>
          <w:tcPr>
            <w:tcW w:w="1140" w:type="dxa"/>
            <w:shd w:val="clear" w:color="auto" w:fill="auto"/>
          </w:tcPr>
          <w:p w14:paraId="144DC3EB" w14:textId="77777777" w:rsidR="006A3425" w:rsidRPr="00441DCF" w:rsidRDefault="006A3425" w:rsidP="00BB48A0">
            <w:pPr>
              <w:spacing w:before="30" w:after="30"/>
              <w:ind w:left="57"/>
              <w:jc w:val="left"/>
              <w:rPr>
                <w:b/>
                <w:bCs/>
                <w:sz w:val="20"/>
                <w:lang w:val="en-US"/>
              </w:rPr>
            </w:pPr>
            <w:r w:rsidRPr="00441DCF">
              <w:rPr>
                <w:b/>
                <w:bCs/>
                <w:sz w:val="20"/>
                <w:lang w:val="en-US"/>
              </w:rPr>
              <w:t>RA</w:t>
            </w:r>
          </w:p>
        </w:tc>
        <w:tc>
          <w:tcPr>
            <w:tcW w:w="8220" w:type="dxa"/>
            <w:shd w:val="clear" w:color="auto" w:fill="auto"/>
          </w:tcPr>
          <w:p w14:paraId="0661D316" w14:textId="77777777" w:rsidR="006A3425" w:rsidRPr="00036EE3" w:rsidRDefault="006A3425" w:rsidP="00BB48A0">
            <w:pPr>
              <w:spacing w:before="30" w:after="30"/>
              <w:jc w:val="left"/>
              <w:rPr>
                <w:sz w:val="20"/>
                <w:lang w:val="en-US"/>
              </w:rPr>
            </w:pPr>
            <w:r w:rsidRPr="00441DCF">
              <w:rPr>
                <w:sz w:val="20"/>
                <w:lang w:val="en-US"/>
              </w:rPr>
              <w:t>Radio astronomy</w:t>
            </w:r>
          </w:p>
        </w:tc>
      </w:tr>
      <w:tr w:rsidR="006A3425" w:rsidRPr="00036EE3" w14:paraId="1F463EAD" w14:textId="77777777" w:rsidTr="00FC3174">
        <w:tc>
          <w:tcPr>
            <w:tcW w:w="1140" w:type="dxa"/>
            <w:shd w:val="clear" w:color="auto" w:fill="auto"/>
          </w:tcPr>
          <w:p w14:paraId="75DD181A" w14:textId="77777777" w:rsidR="006A3425" w:rsidRPr="000D15AC" w:rsidRDefault="006A3425" w:rsidP="00BB48A0">
            <w:pPr>
              <w:spacing w:before="30" w:after="30"/>
              <w:ind w:left="57"/>
              <w:jc w:val="left"/>
              <w:rPr>
                <w:b/>
                <w:bCs/>
                <w:sz w:val="20"/>
                <w:lang w:val="en-US"/>
              </w:rPr>
            </w:pPr>
            <w:r w:rsidRPr="000D15AC">
              <w:rPr>
                <w:b/>
                <w:bCs/>
                <w:sz w:val="20"/>
                <w:lang w:val="en-US"/>
              </w:rPr>
              <w:t>RS</w:t>
            </w:r>
          </w:p>
        </w:tc>
        <w:tc>
          <w:tcPr>
            <w:tcW w:w="8220" w:type="dxa"/>
            <w:shd w:val="clear" w:color="auto" w:fill="auto"/>
          </w:tcPr>
          <w:p w14:paraId="3DF29B8D" w14:textId="77777777" w:rsidR="006A3425" w:rsidRPr="000D15AC" w:rsidRDefault="006A3425" w:rsidP="00BB48A0">
            <w:pPr>
              <w:spacing w:before="30" w:after="30"/>
              <w:jc w:val="left"/>
              <w:rPr>
                <w:sz w:val="20"/>
                <w:lang w:val="en-US"/>
              </w:rPr>
            </w:pPr>
            <w:r w:rsidRPr="000D15AC">
              <w:rPr>
                <w:sz w:val="20"/>
                <w:lang w:val="en-US"/>
              </w:rPr>
              <w:t>Remote sensing systems</w:t>
            </w:r>
          </w:p>
        </w:tc>
      </w:tr>
      <w:tr w:rsidR="006A3425" w:rsidRPr="00036EE3" w14:paraId="32498F18" w14:textId="77777777" w:rsidTr="00FC3174">
        <w:tc>
          <w:tcPr>
            <w:tcW w:w="1140" w:type="dxa"/>
            <w:shd w:val="clear" w:color="auto" w:fill="auto"/>
          </w:tcPr>
          <w:p w14:paraId="64DF2D24" w14:textId="77777777" w:rsidR="006A3425" w:rsidRPr="005432DB" w:rsidRDefault="006A3425" w:rsidP="00BB48A0">
            <w:pPr>
              <w:spacing w:before="30" w:after="30"/>
              <w:ind w:left="57"/>
              <w:jc w:val="left"/>
              <w:rPr>
                <w:b/>
                <w:bCs/>
                <w:sz w:val="20"/>
                <w:lang w:val="en-US"/>
              </w:rPr>
            </w:pPr>
            <w:r w:rsidRPr="005432DB">
              <w:rPr>
                <w:b/>
                <w:bCs/>
                <w:sz w:val="20"/>
                <w:lang w:val="en-US"/>
              </w:rPr>
              <w:t>S</w:t>
            </w:r>
          </w:p>
        </w:tc>
        <w:tc>
          <w:tcPr>
            <w:tcW w:w="8220" w:type="dxa"/>
            <w:shd w:val="clear" w:color="auto" w:fill="auto"/>
          </w:tcPr>
          <w:p w14:paraId="60D3A40E" w14:textId="77777777" w:rsidR="006A3425" w:rsidRPr="005432DB" w:rsidRDefault="006A3425" w:rsidP="00BB48A0">
            <w:pPr>
              <w:spacing w:before="30" w:after="30"/>
              <w:jc w:val="left"/>
              <w:rPr>
                <w:sz w:val="20"/>
                <w:lang w:val="en-US"/>
              </w:rPr>
            </w:pPr>
            <w:r w:rsidRPr="005432DB">
              <w:rPr>
                <w:sz w:val="20"/>
                <w:lang w:val="en-US"/>
              </w:rPr>
              <w:t>Fixed-satellite service</w:t>
            </w:r>
          </w:p>
        </w:tc>
      </w:tr>
      <w:tr w:rsidR="006A3425" w:rsidRPr="00036EE3" w14:paraId="7BDB2C54" w14:textId="77777777" w:rsidTr="00FC3174">
        <w:tc>
          <w:tcPr>
            <w:tcW w:w="1140" w:type="dxa"/>
            <w:shd w:val="clear" w:color="auto" w:fill="auto"/>
          </w:tcPr>
          <w:p w14:paraId="4B0355AC" w14:textId="77777777" w:rsidR="006A3425" w:rsidRPr="005432DB" w:rsidRDefault="006A3425" w:rsidP="00BB48A0">
            <w:pPr>
              <w:spacing w:before="30" w:after="30"/>
              <w:ind w:left="57"/>
              <w:jc w:val="left"/>
              <w:rPr>
                <w:rFonts w:ascii="Times New Roman Bold" w:hAnsi="Times New Roman Bold" w:cs="Times New Roman Bold"/>
                <w:b/>
                <w:bCs/>
                <w:sz w:val="20"/>
                <w:lang w:val="en-US"/>
              </w:rPr>
            </w:pPr>
            <w:r w:rsidRPr="005432DB">
              <w:rPr>
                <w:rFonts w:ascii="Times New Roman Bold" w:hAnsi="Times New Roman Bold" w:cs="Times New Roman Bold"/>
                <w:b/>
                <w:bCs/>
                <w:sz w:val="20"/>
                <w:lang w:val="en-US"/>
              </w:rPr>
              <w:t>SA</w:t>
            </w:r>
          </w:p>
        </w:tc>
        <w:tc>
          <w:tcPr>
            <w:tcW w:w="8220" w:type="dxa"/>
            <w:shd w:val="clear" w:color="auto" w:fill="auto"/>
          </w:tcPr>
          <w:p w14:paraId="59FA8C09" w14:textId="77777777" w:rsidR="006A3425" w:rsidRPr="005432DB" w:rsidRDefault="006A3425" w:rsidP="00BB48A0">
            <w:pPr>
              <w:spacing w:before="30" w:after="30"/>
              <w:jc w:val="left"/>
              <w:rPr>
                <w:rFonts w:hAnsi="Times New Roman Bold"/>
                <w:sz w:val="20"/>
                <w:lang w:val="en-US"/>
              </w:rPr>
            </w:pPr>
            <w:r w:rsidRPr="005432DB">
              <w:rPr>
                <w:rFonts w:hAnsi="Times New Roman Bold"/>
                <w:sz w:val="20"/>
                <w:lang w:val="en-US"/>
              </w:rPr>
              <w:t>Space applications and meteorology</w:t>
            </w:r>
          </w:p>
        </w:tc>
      </w:tr>
      <w:tr w:rsidR="006A3425" w:rsidRPr="00576D47" w14:paraId="2F98963A" w14:textId="77777777" w:rsidTr="00BB48A0">
        <w:tc>
          <w:tcPr>
            <w:tcW w:w="1140" w:type="dxa"/>
            <w:tcBorders>
              <w:bottom w:val="nil"/>
            </w:tcBorders>
            <w:shd w:val="clear" w:color="auto" w:fill="FFFFFF" w:themeFill="background1"/>
          </w:tcPr>
          <w:p w14:paraId="22408469" w14:textId="77777777" w:rsidR="006A3425" w:rsidRPr="0090739F" w:rsidRDefault="006A3425" w:rsidP="00BB48A0">
            <w:pPr>
              <w:spacing w:before="30" w:after="30"/>
              <w:ind w:left="57"/>
              <w:jc w:val="left"/>
              <w:rPr>
                <w:b/>
                <w:bCs/>
                <w:sz w:val="20"/>
                <w:lang w:val="en-US"/>
              </w:rPr>
            </w:pPr>
            <w:r w:rsidRPr="0090739F">
              <w:rPr>
                <w:b/>
                <w:bCs/>
                <w:sz w:val="20"/>
                <w:lang w:val="en-US"/>
              </w:rPr>
              <w:t>SF</w:t>
            </w:r>
          </w:p>
        </w:tc>
        <w:tc>
          <w:tcPr>
            <w:tcW w:w="8220" w:type="dxa"/>
            <w:tcBorders>
              <w:bottom w:val="nil"/>
            </w:tcBorders>
            <w:shd w:val="clear" w:color="auto" w:fill="FFFFFF" w:themeFill="background1"/>
          </w:tcPr>
          <w:p w14:paraId="20246738" w14:textId="77777777" w:rsidR="006A3425" w:rsidRPr="0090739F" w:rsidRDefault="006A3425" w:rsidP="00BB48A0">
            <w:pPr>
              <w:spacing w:before="30" w:after="30"/>
              <w:jc w:val="left"/>
              <w:rPr>
                <w:sz w:val="20"/>
                <w:lang w:val="en-US"/>
              </w:rPr>
            </w:pPr>
            <w:r w:rsidRPr="0090739F">
              <w:rPr>
                <w:sz w:val="20"/>
                <w:lang w:val="en-US"/>
              </w:rPr>
              <w:t>Frequency sharing and coordination between fixed-satellite and fixed service systems</w:t>
            </w:r>
          </w:p>
        </w:tc>
      </w:tr>
      <w:tr w:rsidR="006A3425" w:rsidRPr="00036EE3" w14:paraId="6BA6FE37" w14:textId="77777777" w:rsidTr="00BB48A0">
        <w:tc>
          <w:tcPr>
            <w:tcW w:w="1140" w:type="dxa"/>
            <w:tcBorders>
              <w:top w:val="nil"/>
              <w:bottom w:val="nil"/>
            </w:tcBorders>
            <w:shd w:val="clear" w:color="auto" w:fill="F2F2F2" w:themeFill="background1" w:themeFillShade="F2"/>
          </w:tcPr>
          <w:p w14:paraId="0BC80278" w14:textId="77777777" w:rsidR="006A3425" w:rsidRPr="0090739F" w:rsidRDefault="006A3425" w:rsidP="00BB48A0">
            <w:pPr>
              <w:spacing w:before="30" w:after="30"/>
              <w:ind w:left="57"/>
              <w:jc w:val="left"/>
              <w:rPr>
                <w:rFonts w:hAnsi="Times New Roman Bold"/>
                <w:b/>
                <w:color w:val="000080"/>
                <w:sz w:val="20"/>
                <w:lang w:val="en-US"/>
              </w:rPr>
            </w:pPr>
            <w:r w:rsidRPr="0090739F">
              <w:rPr>
                <w:rFonts w:hAnsi="Times New Roman Bold"/>
                <w:b/>
                <w:color w:val="000080"/>
                <w:sz w:val="20"/>
                <w:lang w:val="en-US"/>
              </w:rPr>
              <w:t>SM</w:t>
            </w:r>
          </w:p>
        </w:tc>
        <w:tc>
          <w:tcPr>
            <w:tcW w:w="8220" w:type="dxa"/>
            <w:tcBorders>
              <w:top w:val="nil"/>
              <w:bottom w:val="nil"/>
            </w:tcBorders>
            <w:shd w:val="clear" w:color="auto" w:fill="F2F2F2" w:themeFill="background1" w:themeFillShade="F2"/>
          </w:tcPr>
          <w:p w14:paraId="13136F71" w14:textId="77777777" w:rsidR="006A3425" w:rsidRPr="0090739F" w:rsidRDefault="006A3425" w:rsidP="00BB48A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r w:rsidRPr="0090739F">
              <w:rPr>
                <w:rFonts w:hAnsi="Times New Roman Bold"/>
                <w:color w:val="000080"/>
                <w:sz w:val="20"/>
                <w:lang w:val="en-US"/>
              </w:rPr>
              <w:t>Spectrum management</w:t>
            </w:r>
          </w:p>
        </w:tc>
      </w:tr>
      <w:tr w:rsidR="006A3425" w:rsidRPr="00036EE3" w14:paraId="11209681" w14:textId="77777777" w:rsidTr="00BB48A0">
        <w:tc>
          <w:tcPr>
            <w:tcW w:w="1140" w:type="dxa"/>
            <w:tcBorders>
              <w:top w:val="nil"/>
            </w:tcBorders>
          </w:tcPr>
          <w:p w14:paraId="00737EB8" w14:textId="77777777" w:rsidR="006A3425" w:rsidRPr="00036EE3" w:rsidRDefault="006A3425" w:rsidP="00BB48A0">
            <w:pPr>
              <w:spacing w:before="30" w:after="30"/>
              <w:ind w:left="57"/>
              <w:jc w:val="left"/>
              <w:rPr>
                <w:b/>
                <w:bCs/>
                <w:sz w:val="20"/>
                <w:lang w:val="en-US"/>
              </w:rPr>
            </w:pPr>
            <w:r w:rsidRPr="00036EE3">
              <w:rPr>
                <w:b/>
                <w:bCs/>
                <w:sz w:val="20"/>
                <w:lang w:val="en-US"/>
              </w:rPr>
              <w:t>SNG</w:t>
            </w:r>
          </w:p>
        </w:tc>
        <w:tc>
          <w:tcPr>
            <w:tcW w:w="8220" w:type="dxa"/>
            <w:tcBorders>
              <w:top w:val="nil"/>
            </w:tcBorders>
          </w:tcPr>
          <w:p w14:paraId="69D0FA56" w14:textId="77777777" w:rsidR="006A3425" w:rsidRPr="00036EE3" w:rsidRDefault="006A3425" w:rsidP="00BB48A0">
            <w:pPr>
              <w:spacing w:before="30" w:after="30"/>
              <w:jc w:val="left"/>
              <w:rPr>
                <w:sz w:val="20"/>
                <w:lang w:val="en-US"/>
              </w:rPr>
            </w:pPr>
            <w:r w:rsidRPr="00036EE3">
              <w:rPr>
                <w:sz w:val="20"/>
                <w:lang w:val="en-US"/>
              </w:rPr>
              <w:t>Satellite news gathering</w:t>
            </w:r>
          </w:p>
        </w:tc>
      </w:tr>
      <w:tr w:rsidR="006A3425" w:rsidRPr="00576D47" w14:paraId="347FBC5B" w14:textId="77777777" w:rsidTr="00BB48A0">
        <w:tc>
          <w:tcPr>
            <w:tcW w:w="1140" w:type="dxa"/>
          </w:tcPr>
          <w:p w14:paraId="2A3A88F7" w14:textId="77777777" w:rsidR="006A3425" w:rsidRPr="00036EE3" w:rsidRDefault="006A3425" w:rsidP="00BB48A0">
            <w:pPr>
              <w:spacing w:before="30" w:after="30"/>
              <w:ind w:left="57"/>
              <w:jc w:val="left"/>
              <w:rPr>
                <w:b/>
                <w:bCs/>
                <w:sz w:val="20"/>
                <w:lang w:val="en-US"/>
              </w:rPr>
            </w:pPr>
            <w:r w:rsidRPr="00036EE3">
              <w:rPr>
                <w:b/>
                <w:bCs/>
                <w:sz w:val="20"/>
                <w:lang w:val="en-US"/>
              </w:rPr>
              <w:t>TF</w:t>
            </w:r>
          </w:p>
        </w:tc>
        <w:tc>
          <w:tcPr>
            <w:tcW w:w="8220" w:type="dxa"/>
          </w:tcPr>
          <w:p w14:paraId="22A524C1" w14:textId="77777777" w:rsidR="006A3425" w:rsidRPr="00036EE3" w:rsidRDefault="006A3425" w:rsidP="00BB48A0">
            <w:pPr>
              <w:spacing w:before="30" w:after="30"/>
              <w:jc w:val="left"/>
              <w:rPr>
                <w:sz w:val="20"/>
                <w:lang w:val="en-US"/>
              </w:rPr>
            </w:pPr>
            <w:r w:rsidRPr="00036EE3">
              <w:rPr>
                <w:sz w:val="20"/>
                <w:lang w:val="en-US"/>
              </w:rPr>
              <w:t>Time signals and frequency standards emissions</w:t>
            </w:r>
          </w:p>
        </w:tc>
      </w:tr>
      <w:tr w:rsidR="006A3425" w:rsidRPr="00036EE3" w14:paraId="3C4F5D46" w14:textId="77777777" w:rsidTr="00BB48A0">
        <w:tc>
          <w:tcPr>
            <w:tcW w:w="1140" w:type="dxa"/>
          </w:tcPr>
          <w:p w14:paraId="2369CA66" w14:textId="77777777" w:rsidR="006A3425" w:rsidRPr="00036EE3" w:rsidRDefault="006A3425" w:rsidP="00BB48A0">
            <w:pPr>
              <w:spacing w:before="30" w:after="30"/>
              <w:ind w:left="57"/>
              <w:jc w:val="left"/>
              <w:rPr>
                <w:b/>
                <w:bCs/>
                <w:sz w:val="20"/>
                <w:lang w:val="en-US"/>
              </w:rPr>
            </w:pPr>
            <w:r w:rsidRPr="00036EE3">
              <w:rPr>
                <w:b/>
                <w:bCs/>
                <w:sz w:val="20"/>
                <w:lang w:val="en-US"/>
              </w:rPr>
              <w:t>V</w:t>
            </w:r>
          </w:p>
        </w:tc>
        <w:tc>
          <w:tcPr>
            <w:tcW w:w="8220" w:type="dxa"/>
          </w:tcPr>
          <w:p w14:paraId="2C866EA4" w14:textId="77777777" w:rsidR="006A3425" w:rsidRPr="00036EE3" w:rsidRDefault="006A3425" w:rsidP="00BB48A0">
            <w:pPr>
              <w:spacing w:before="30" w:after="180"/>
              <w:jc w:val="left"/>
              <w:rPr>
                <w:sz w:val="20"/>
                <w:lang w:val="en-US"/>
              </w:rPr>
            </w:pPr>
            <w:r w:rsidRPr="00036EE3">
              <w:rPr>
                <w:sz w:val="20"/>
                <w:lang w:val="en-US"/>
              </w:rPr>
              <w:t>Vocabulary and related subjects</w:t>
            </w:r>
          </w:p>
        </w:tc>
      </w:tr>
    </w:tbl>
    <w:p w14:paraId="4BBA1C26" w14:textId="77777777" w:rsidR="006A3425" w:rsidRPr="00036EE3" w:rsidRDefault="006A3425" w:rsidP="006A3425">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A3425" w14:paraId="7025140F" w14:textId="77777777" w:rsidTr="00BB48A0">
        <w:tc>
          <w:tcPr>
            <w:tcW w:w="720" w:type="dxa"/>
          </w:tcPr>
          <w:p w14:paraId="3DD6AFDA" w14:textId="77777777" w:rsidR="006A3425" w:rsidRDefault="006A3425" w:rsidP="00BB48A0">
            <w:pPr>
              <w:jc w:val="center"/>
              <w:rPr>
                <w:sz w:val="22"/>
                <w:lang w:val="en-US"/>
              </w:rPr>
            </w:pPr>
          </w:p>
        </w:tc>
      </w:tr>
    </w:tbl>
    <w:p w14:paraId="597F89CB" w14:textId="77777777" w:rsidR="006A3425" w:rsidRPr="00036EE3" w:rsidRDefault="006A3425" w:rsidP="006A3425">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6A3425" w:rsidRPr="00576D47" w14:paraId="0E4F00E7" w14:textId="77777777" w:rsidTr="00BB48A0">
        <w:tc>
          <w:tcPr>
            <w:tcW w:w="9360" w:type="dxa"/>
          </w:tcPr>
          <w:p w14:paraId="0CD624D0" w14:textId="77777777" w:rsidR="006A3425" w:rsidRPr="002F5199" w:rsidRDefault="006A3425" w:rsidP="00BB48A0">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07E26062" w14:textId="77777777" w:rsidR="006A3425" w:rsidRDefault="006A3425" w:rsidP="006A3425">
      <w:pPr>
        <w:spacing w:before="0"/>
        <w:jc w:val="center"/>
        <w:rPr>
          <w:sz w:val="22"/>
          <w:lang w:val="en-US"/>
        </w:rPr>
      </w:pPr>
    </w:p>
    <w:p w14:paraId="12984780" w14:textId="77777777" w:rsidR="006A3425" w:rsidRDefault="006A3425" w:rsidP="006A3425">
      <w:pPr>
        <w:spacing w:before="0"/>
        <w:jc w:val="center"/>
        <w:rPr>
          <w:sz w:val="22"/>
          <w:lang w:val="en-US"/>
        </w:rPr>
      </w:pPr>
    </w:p>
    <w:p w14:paraId="76FBC04E" w14:textId="77777777" w:rsidR="006A3425" w:rsidRPr="002F5199" w:rsidRDefault="006A3425" w:rsidP="006A3425">
      <w:pPr>
        <w:spacing w:before="0"/>
        <w:jc w:val="right"/>
        <w:rPr>
          <w:i/>
          <w:iCs/>
          <w:sz w:val="20"/>
          <w:lang w:val="en-US"/>
        </w:rPr>
      </w:pPr>
      <w:r w:rsidRPr="002F5199">
        <w:rPr>
          <w:i/>
          <w:iCs/>
          <w:sz w:val="20"/>
          <w:lang w:val="en-US"/>
        </w:rPr>
        <w:t>Electronic Publication</w:t>
      </w:r>
    </w:p>
    <w:p w14:paraId="330D6321" w14:textId="597792B5" w:rsidR="006A3425" w:rsidRPr="002F5199" w:rsidRDefault="006A3425" w:rsidP="006A3425">
      <w:pPr>
        <w:spacing w:before="0"/>
        <w:jc w:val="right"/>
        <w:rPr>
          <w:sz w:val="20"/>
          <w:lang w:val="en-US"/>
        </w:rPr>
      </w:pPr>
      <w:r w:rsidRPr="002F5199">
        <w:rPr>
          <w:sz w:val="20"/>
          <w:lang w:val="en-US"/>
        </w:rPr>
        <w:t>Geneva, 20</w:t>
      </w:r>
      <w:r>
        <w:rPr>
          <w:sz w:val="20"/>
          <w:lang w:val="en-US"/>
        </w:rPr>
        <w:t>2</w:t>
      </w:r>
      <w:r w:rsidR="00FC3174">
        <w:rPr>
          <w:sz w:val="20"/>
          <w:lang w:val="en-US"/>
        </w:rPr>
        <w:t>4</w:t>
      </w:r>
    </w:p>
    <w:p w14:paraId="23A0A6F5" w14:textId="77777777" w:rsidR="006A3425" w:rsidRDefault="006A3425" w:rsidP="006A3425">
      <w:pPr>
        <w:jc w:val="center"/>
        <w:rPr>
          <w:sz w:val="22"/>
          <w:lang w:val="en-US"/>
        </w:rPr>
      </w:pPr>
    </w:p>
    <w:p w14:paraId="6531C0CB" w14:textId="0177CA9D" w:rsidR="006A3425" w:rsidRPr="00470E28" w:rsidRDefault="006A3425" w:rsidP="006A3425">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w:t>
      </w:r>
      <w:r w:rsidR="00FC3174">
        <w:rPr>
          <w:sz w:val="20"/>
          <w:lang w:val="en-US"/>
        </w:rPr>
        <w:t>4</w:t>
      </w:r>
    </w:p>
    <w:p w14:paraId="40BE2A00" w14:textId="77777777" w:rsidR="006A3425" w:rsidRPr="00470E28" w:rsidRDefault="006A3425" w:rsidP="006A3425">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5A5E1E4F" w14:textId="77777777" w:rsidR="006A3425" w:rsidRDefault="006A3425" w:rsidP="006A3425">
      <w:pPr>
        <w:spacing w:before="160"/>
        <w:rPr>
          <w:i/>
          <w:sz w:val="20"/>
          <w:lang w:val="en-US"/>
        </w:rPr>
        <w:sectPr w:rsidR="006A3425" w:rsidSect="006A3425">
          <w:headerReference w:type="even" r:id="rId15"/>
          <w:headerReference w:type="default" r:id="rId16"/>
          <w:footerReference w:type="default" r:id="rId17"/>
          <w:pgSz w:w="11907" w:h="16834" w:code="9"/>
          <w:pgMar w:top="1418" w:right="1134" w:bottom="1134" w:left="1134" w:header="720" w:footer="482" w:gutter="0"/>
          <w:paperSrc w:first="15" w:other="15"/>
          <w:pgNumType w:fmt="lowerRoman" w:start="2"/>
          <w:cols w:space="720"/>
        </w:sectPr>
      </w:pPr>
    </w:p>
    <w:p w14:paraId="67BDB482" w14:textId="766C37E9" w:rsidR="006A3425" w:rsidRPr="00B874C6" w:rsidRDefault="006A3425" w:rsidP="00FC3174">
      <w:pPr>
        <w:pStyle w:val="RecNo"/>
        <w:spacing w:before="0"/>
        <w:rPr>
          <w:lang w:val="en-US"/>
        </w:rPr>
      </w:pPr>
      <w:bookmarkStart w:id="2" w:name="irecnoe"/>
      <w:bookmarkEnd w:id="2"/>
      <w:r w:rsidRPr="00BF487A">
        <w:lastRenderedPageBreak/>
        <w:t xml:space="preserve">RECOMMENDATION  </w:t>
      </w:r>
      <w:r w:rsidRPr="00BF487A">
        <w:rPr>
          <w:rStyle w:val="href"/>
          <w:lang w:val="en-US"/>
        </w:rPr>
        <w:t xml:space="preserve">ITU-R  </w:t>
      </w:r>
      <w:r>
        <w:rPr>
          <w:rStyle w:val="href"/>
          <w:lang w:val="en-US"/>
        </w:rPr>
        <w:t>SM</w:t>
      </w:r>
      <w:r w:rsidRPr="00BF487A">
        <w:rPr>
          <w:rStyle w:val="href"/>
          <w:lang w:val="en-US"/>
        </w:rPr>
        <w:t>.</w:t>
      </w:r>
      <w:r w:rsidR="00FC3174" w:rsidRPr="0040042E">
        <w:rPr>
          <w:rStyle w:val="href"/>
        </w:rPr>
        <w:t>1539-2</w:t>
      </w:r>
    </w:p>
    <w:p w14:paraId="794D7CE9" w14:textId="77777777" w:rsidR="00FF1F65" w:rsidRDefault="00FF1F65" w:rsidP="00FF1F65">
      <w:pPr>
        <w:pStyle w:val="Rectitle"/>
      </w:pPr>
      <w:bookmarkStart w:id="3" w:name="Revision_history"/>
      <w:r w:rsidRPr="000E3BB4">
        <w:t>Variation of the boundary between the out-of-band and spurious domains</w:t>
      </w:r>
      <w:r>
        <w:t xml:space="preserve"> </w:t>
      </w:r>
      <w:r w:rsidRPr="000E3BB4">
        <w:t>required for the application of Recommendations ITU-R SM.1541</w:t>
      </w:r>
      <w:r>
        <w:t xml:space="preserve"> </w:t>
      </w:r>
      <w:r w:rsidRPr="000E3BB4">
        <w:t>and ITU</w:t>
      </w:r>
      <w:r w:rsidRPr="000E3BB4">
        <w:noBreakHyphen/>
        <w:t>R SM.329</w:t>
      </w:r>
    </w:p>
    <w:p w14:paraId="2CBDDD73" w14:textId="4296BF2D" w:rsidR="00FF1F65" w:rsidRPr="000E3BB4" w:rsidRDefault="00FF1F65" w:rsidP="00A56C0D">
      <w:pPr>
        <w:pStyle w:val="Recdate"/>
      </w:pPr>
      <w:r w:rsidRPr="000E3BB4">
        <w:t>(2001-2002</w:t>
      </w:r>
      <w:r w:rsidR="000E15D8">
        <w:t>-2024</w:t>
      </w:r>
      <w:r w:rsidRPr="000E3BB4">
        <w:t>)</w:t>
      </w:r>
      <w:bookmarkEnd w:id="3"/>
    </w:p>
    <w:p w14:paraId="0AE54059" w14:textId="77777777" w:rsidR="00FF1F65" w:rsidRPr="00F9191E" w:rsidRDefault="00FF1F65" w:rsidP="00A56C0D">
      <w:pPr>
        <w:pStyle w:val="HeadingSum"/>
        <w:rPr>
          <w:lang w:val="en-GB"/>
        </w:rPr>
      </w:pPr>
      <w:r w:rsidRPr="00F9191E">
        <w:rPr>
          <w:lang w:val="en-GB"/>
        </w:rPr>
        <w:t>Scope</w:t>
      </w:r>
    </w:p>
    <w:p w14:paraId="17E25952" w14:textId="77777777" w:rsidR="00FF1F65" w:rsidRPr="00F9191E" w:rsidRDefault="00FF1F65" w:rsidP="00A56C0D">
      <w:pPr>
        <w:pStyle w:val="Summary"/>
        <w:rPr>
          <w:lang w:val="en-GB"/>
        </w:rPr>
      </w:pPr>
      <w:r w:rsidRPr="00F9191E">
        <w:rPr>
          <w:lang w:val="en-GB"/>
        </w:rPr>
        <w:t>This Recommendation serves as a basis for the variation of the boundary between the out-of-band and spurious domains.</w:t>
      </w:r>
    </w:p>
    <w:p w14:paraId="61896119" w14:textId="77777777" w:rsidR="00FF1F65" w:rsidRPr="000E3BB4" w:rsidRDefault="00FF1F65" w:rsidP="00FF1F65">
      <w:pPr>
        <w:pStyle w:val="Headingb"/>
        <w:rPr>
          <w:rFonts w:eastAsia="Batang"/>
        </w:rPr>
      </w:pPr>
      <w:r w:rsidRPr="000E3BB4">
        <w:rPr>
          <w:rFonts w:eastAsia="Batang"/>
        </w:rPr>
        <w:t>Keywords</w:t>
      </w:r>
    </w:p>
    <w:p w14:paraId="6E5EF2C4" w14:textId="77777777" w:rsidR="00FF1F65" w:rsidRPr="000E3BB4" w:rsidRDefault="00FF1F65" w:rsidP="00FF1F65">
      <w:pPr>
        <w:rPr>
          <w:szCs w:val="24"/>
        </w:rPr>
      </w:pPr>
      <w:r w:rsidRPr="000E3BB4">
        <w:rPr>
          <w:rFonts w:eastAsia="Batang"/>
          <w:szCs w:val="24"/>
          <w:lang w:eastAsia="ko-KR"/>
        </w:rPr>
        <w:t>Variation of the boundary, out-of-band domain, spurious domain, frequency separation, necessary bandwidth</w:t>
      </w:r>
    </w:p>
    <w:p w14:paraId="4B943E9E" w14:textId="77777777" w:rsidR="00FF1F65" w:rsidRPr="000E3BB4" w:rsidRDefault="00FF1F65" w:rsidP="00FF1F65">
      <w:pPr>
        <w:spacing w:before="320"/>
        <w:rPr>
          <w:szCs w:val="24"/>
        </w:rPr>
      </w:pPr>
      <w:r w:rsidRPr="000E3BB4">
        <w:rPr>
          <w:szCs w:val="24"/>
        </w:rPr>
        <w:t>The ITU Radiocommunication Assembly,</w:t>
      </w:r>
    </w:p>
    <w:p w14:paraId="1132FF27" w14:textId="77777777" w:rsidR="00FF1F65" w:rsidRPr="000E3BB4" w:rsidRDefault="00FF1F65" w:rsidP="00FF1F65">
      <w:pPr>
        <w:pStyle w:val="Call"/>
      </w:pPr>
      <w:r w:rsidRPr="000E3BB4">
        <w:t>considering</w:t>
      </w:r>
    </w:p>
    <w:p w14:paraId="6C734725" w14:textId="35759D84" w:rsidR="00FF1F65" w:rsidRPr="000E3BB4" w:rsidRDefault="00FF1F65" w:rsidP="00247746">
      <w:pPr>
        <w:rPr>
          <w:szCs w:val="24"/>
          <w:lang w:eastAsia="ja-JP"/>
        </w:rPr>
      </w:pPr>
      <w:r w:rsidRPr="000E3BB4">
        <w:rPr>
          <w:i/>
          <w:iCs/>
          <w:szCs w:val="24"/>
          <w:lang w:eastAsia="ja-JP"/>
        </w:rPr>
        <w:t>a</w:t>
      </w:r>
      <w:r w:rsidRPr="000E3BB4">
        <w:rPr>
          <w:i/>
          <w:iCs/>
          <w:szCs w:val="24"/>
        </w:rPr>
        <w:t>)</w:t>
      </w:r>
      <w:r w:rsidRPr="000E3BB4">
        <w:rPr>
          <w:szCs w:val="24"/>
        </w:rPr>
        <w:tab/>
        <w:t xml:space="preserve">that </w:t>
      </w:r>
      <w:r w:rsidRPr="000E3BB4">
        <w:rPr>
          <w:szCs w:val="24"/>
          <w:lang w:eastAsia="ja-JP"/>
        </w:rPr>
        <w:t>Recommendations</w:t>
      </w:r>
      <w:r w:rsidRPr="000E3BB4">
        <w:rPr>
          <w:szCs w:val="24"/>
        </w:rPr>
        <w:t xml:space="preserve"> </w:t>
      </w:r>
      <w:hyperlink r:id="rId18" w:history="1">
        <w:r w:rsidRPr="00965F2B">
          <w:rPr>
            <w:rStyle w:val="Hyperlink"/>
            <w:color w:val="auto"/>
            <w:szCs w:val="24"/>
            <w:u w:val="none"/>
            <w:lang w:eastAsia="ja-JP"/>
          </w:rPr>
          <w:t>ITU-R SM.1541</w:t>
        </w:r>
      </w:hyperlink>
      <w:r w:rsidRPr="000E3BB4">
        <w:rPr>
          <w:szCs w:val="24"/>
          <w:lang w:eastAsia="ja-JP"/>
        </w:rPr>
        <w:t xml:space="preserve"> and </w:t>
      </w:r>
      <w:hyperlink r:id="rId19" w:history="1">
        <w:r w:rsidRPr="00DD11AF">
          <w:rPr>
            <w:rStyle w:val="Hyperlink"/>
            <w:color w:val="auto"/>
            <w:szCs w:val="24"/>
            <w:u w:val="none"/>
          </w:rPr>
          <w:t>ITU-</w:t>
        </w:r>
        <w:r w:rsidRPr="00DD11AF">
          <w:rPr>
            <w:rStyle w:val="Hyperlink"/>
            <w:color w:val="auto"/>
            <w:szCs w:val="24"/>
            <w:u w:val="none"/>
            <w:lang w:eastAsia="ja-JP"/>
          </w:rPr>
          <w:t>R SM.329</w:t>
        </w:r>
      </w:hyperlink>
      <w:r w:rsidRPr="000E3BB4">
        <w:rPr>
          <w:szCs w:val="24"/>
          <w:lang w:eastAsia="ja-JP"/>
        </w:rPr>
        <w:t xml:space="preserve"> give the definitions of the terms “out-of-band domain” and “spurious domain”, but that these definitions do not precisely specify the boundary between the out-of-band </w:t>
      </w:r>
      <w:r w:rsidRPr="000E3BB4">
        <w:rPr>
          <w:szCs w:val="24"/>
        </w:rPr>
        <w:t>(</w:t>
      </w:r>
      <w:proofErr w:type="spellStart"/>
      <w:r w:rsidRPr="000E3BB4">
        <w:rPr>
          <w:szCs w:val="24"/>
        </w:rPr>
        <w:t>OoB</w:t>
      </w:r>
      <w:proofErr w:type="spellEnd"/>
      <w:r w:rsidRPr="000E3BB4">
        <w:rPr>
          <w:szCs w:val="24"/>
        </w:rPr>
        <w:t xml:space="preserve">) </w:t>
      </w:r>
      <w:r w:rsidRPr="000E3BB4">
        <w:rPr>
          <w:szCs w:val="24"/>
          <w:lang w:eastAsia="ja-JP"/>
        </w:rPr>
        <w:t>and spurious domains</w:t>
      </w:r>
      <w:r w:rsidRPr="000E3BB4">
        <w:rPr>
          <w:szCs w:val="24"/>
        </w:rPr>
        <w:t>;</w:t>
      </w:r>
    </w:p>
    <w:p w14:paraId="1D7D3753" w14:textId="1939B071" w:rsidR="00FF1F65" w:rsidRPr="000E3BB4" w:rsidRDefault="00FF1F65" w:rsidP="00247746">
      <w:pPr>
        <w:rPr>
          <w:szCs w:val="24"/>
          <w:lang w:eastAsia="ja-JP"/>
        </w:rPr>
      </w:pPr>
      <w:r w:rsidRPr="000E3BB4">
        <w:rPr>
          <w:i/>
          <w:iCs/>
          <w:szCs w:val="24"/>
          <w:lang w:eastAsia="ja-JP"/>
        </w:rPr>
        <w:t>b)</w:t>
      </w:r>
      <w:r w:rsidRPr="000E3BB4">
        <w:rPr>
          <w:szCs w:val="24"/>
          <w:lang w:eastAsia="ja-JP"/>
        </w:rPr>
        <w:tab/>
        <w:t xml:space="preserve">that the boundary between the </w:t>
      </w:r>
      <w:proofErr w:type="spellStart"/>
      <w:r w:rsidRPr="000E3BB4">
        <w:rPr>
          <w:szCs w:val="24"/>
          <w:lang w:eastAsia="ja-JP"/>
        </w:rPr>
        <w:t>OoB</w:t>
      </w:r>
      <w:proofErr w:type="spellEnd"/>
      <w:r w:rsidRPr="000E3BB4">
        <w:rPr>
          <w:szCs w:val="24"/>
        </w:rPr>
        <w:t xml:space="preserve"> and spurious domains is important for the application of both Recommendations </w:t>
      </w:r>
      <w:hyperlink r:id="rId20" w:history="1">
        <w:r w:rsidR="00965F2B" w:rsidRPr="00965F2B">
          <w:rPr>
            <w:rStyle w:val="Hyperlink"/>
            <w:color w:val="auto"/>
            <w:szCs w:val="24"/>
            <w:u w:val="none"/>
            <w:lang w:eastAsia="ja-JP"/>
          </w:rPr>
          <w:t>ITU-R SM.1541</w:t>
        </w:r>
      </w:hyperlink>
      <w:r w:rsidRPr="000E3BB4">
        <w:rPr>
          <w:szCs w:val="24"/>
          <w:lang w:eastAsia="ja-JP"/>
        </w:rPr>
        <w:t xml:space="preserve"> and </w:t>
      </w:r>
      <w:hyperlink r:id="rId21" w:history="1">
        <w:r w:rsidR="00DD11AF" w:rsidRPr="00DD11AF">
          <w:rPr>
            <w:rStyle w:val="Hyperlink"/>
            <w:color w:val="auto"/>
            <w:szCs w:val="24"/>
            <w:u w:val="none"/>
          </w:rPr>
          <w:t>ITU-</w:t>
        </w:r>
        <w:r w:rsidR="00DD11AF" w:rsidRPr="00DD11AF">
          <w:rPr>
            <w:rStyle w:val="Hyperlink"/>
            <w:color w:val="auto"/>
            <w:szCs w:val="24"/>
            <w:u w:val="none"/>
            <w:lang w:eastAsia="ja-JP"/>
          </w:rPr>
          <w:t>R SM.329</w:t>
        </w:r>
      </w:hyperlink>
      <w:r w:rsidRPr="000E3BB4">
        <w:rPr>
          <w:szCs w:val="24"/>
        </w:rPr>
        <w:t>;</w:t>
      </w:r>
    </w:p>
    <w:p w14:paraId="67C03FBF" w14:textId="77777777" w:rsidR="00FF1F65" w:rsidRPr="000E3BB4" w:rsidRDefault="00FF1F65" w:rsidP="00247746">
      <w:pPr>
        <w:rPr>
          <w:szCs w:val="24"/>
        </w:rPr>
      </w:pPr>
      <w:r w:rsidRPr="000E3BB4">
        <w:rPr>
          <w:i/>
          <w:iCs/>
          <w:szCs w:val="24"/>
          <w:lang w:eastAsia="ja-JP"/>
        </w:rPr>
        <w:t>c</w:t>
      </w:r>
      <w:r w:rsidRPr="000E3BB4">
        <w:rPr>
          <w:i/>
          <w:iCs/>
          <w:szCs w:val="24"/>
        </w:rPr>
        <w:t>)</w:t>
      </w:r>
      <w:r w:rsidRPr="000E3BB4">
        <w:rPr>
          <w:szCs w:val="24"/>
        </w:rPr>
        <w:tab/>
        <w:t xml:space="preserve">that </w:t>
      </w:r>
      <w:r w:rsidRPr="00247746">
        <w:rPr>
          <w:lang w:eastAsia="ja-JP"/>
        </w:rPr>
        <w:t>the</w:t>
      </w:r>
      <w:r w:rsidRPr="000E3BB4">
        <w:rPr>
          <w:szCs w:val="24"/>
          <w:lang w:eastAsia="ja-JP"/>
        </w:rPr>
        <w:t xml:space="preserve"> boundary between the </w:t>
      </w:r>
      <w:proofErr w:type="spellStart"/>
      <w:r w:rsidRPr="000E3BB4">
        <w:rPr>
          <w:szCs w:val="24"/>
        </w:rPr>
        <w:t>OoB</w:t>
      </w:r>
      <w:proofErr w:type="spellEnd"/>
      <w:r w:rsidRPr="000E3BB4">
        <w:rPr>
          <w:szCs w:val="24"/>
        </w:rPr>
        <w:t xml:space="preserve"> and spurious domains </w:t>
      </w:r>
      <w:r w:rsidRPr="000E3BB4">
        <w:rPr>
          <w:szCs w:val="24"/>
          <w:lang w:eastAsia="ja-JP"/>
        </w:rPr>
        <w:t xml:space="preserve">is, in general, a function of the necessary bandwidth, but may be </w:t>
      </w:r>
      <w:r w:rsidRPr="000E3BB4">
        <w:rPr>
          <w:szCs w:val="24"/>
        </w:rPr>
        <w:t xml:space="preserve">functions of different parameters </w:t>
      </w:r>
      <w:r w:rsidRPr="000E3BB4">
        <w:rPr>
          <w:szCs w:val="24"/>
          <w:lang w:eastAsia="ja-JP"/>
        </w:rPr>
        <w:t xml:space="preserve">other than the necessary bandwidth </w:t>
      </w:r>
      <w:r w:rsidRPr="000E3BB4">
        <w:rPr>
          <w:szCs w:val="24"/>
        </w:rPr>
        <w:t>in certain applications;</w:t>
      </w:r>
    </w:p>
    <w:p w14:paraId="555A5EFF" w14:textId="63AA9441" w:rsidR="00FF1F65" w:rsidRDefault="00FF1F65" w:rsidP="00247746">
      <w:pPr>
        <w:rPr>
          <w:szCs w:val="24"/>
        </w:rPr>
      </w:pPr>
      <w:r w:rsidRPr="000E3BB4">
        <w:rPr>
          <w:i/>
          <w:iCs/>
          <w:szCs w:val="24"/>
          <w:lang w:eastAsia="ja-JP"/>
        </w:rPr>
        <w:t>d</w:t>
      </w:r>
      <w:r w:rsidRPr="000E3BB4">
        <w:rPr>
          <w:i/>
          <w:iCs/>
          <w:szCs w:val="24"/>
        </w:rPr>
        <w:t>)</w:t>
      </w:r>
      <w:r w:rsidRPr="000E3BB4">
        <w:rPr>
          <w:szCs w:val="24"/>
        </w:rPr>
        <w:tab/>
        <w:t xml:space="preserve">that the </w:t>
      </w:r>
      <w:r w:rsidRPr="000E3BB4">
        <w:rPr>
          <w:szCs w:val="24"/>
          <w:lang w:eastAsia="ja-JP"/>
        </w:rPr>
        <w:t>boundary</w:t>
      </w:r>
      <w:r w:rsidRPr="000E3BB4">
        <w:rPr>
          <w:szCs w:val="24"/>
        </w:rPr>
        <w:t xml:space="preserve"> between </w:t>
      </w:r>
      <w:r w:rsidRPr="000E3BB4">
        <w:rPr>
          <w:szCs w:val="24"/>
          <w:lang w:eastAsia="ja-JP"/>
        </w:rPr>
        <w:t xml:space="preserve">the </w:t>
      </w:r>
      <w:proofErr w:type="spellStart"/>
      <w:r w:rsidRPr="000E3BB4">
        <w:rPr>
          <w:szCs w:val="24"/>
        </w:rPr>
        <w:t>OoB</w:t>
      </w:r>
      <w:proofErr w:type="spellEnd"/>
      <w:r w:rsidRPr="000E3BB4">
        <w:rPr>
          <w:szCs w:val="24"/>
        </w:rPr>
        <w:t xml:space="preserve"> and spurious domains may require variations, </w:t>
      </w:r>
      <w:r w:rsidRPr="000E3BB4">
        <w:rPr>
          <w:szCs w:val="24"/>
          <w:lang w:eastAsia="ja-JP"/>
        </w:rPr>
        <w:t>in particular, for narrow-band and wideband transmissions</w:t>
      </w:r>
      <w:r w:rsidRPr="000E3BB4">
        <w:rPr>
          <w:szCs w:val="24"/>
        </w:rPr>
        <w:t>, as well as for primary radars</w:t>
      </w:r>
      <w:r w:rsidR="00C724A7">
        <w:rPr>
          <w:szCs w:val="24"/>
        </w:rPr>
        <w:t>;</w:t>
      </w:r>
    </w:p>
    <w:p w14:paraId="4792D7B7" w14:textId="1C2A3FE8" w:rsidR="00781EB0" w:rsidRPr="000E3BB4" w:rsidRDefault="00781EB0" w:rsidP="00781EB0">
      <w:pPr>
        <w:rPr>
          <w:szCs w:val="24"/>
        </w:rPr>
      </w:pPr>
      <w:r w:rsidRPr="00C724A7">
        <w:rPr>
          <w:i/>
          <w:iCs/>
          <w:lang w:eastAsia="ja-JP"/>
        </w:rPr>
        <w:t>e)</w:t>
      </w:r>
      <w:r w:rsidRPr="00C724A7">
        <w:rPr>
          <w:i/>
          <w:iCs/>
          <w:lang w:eastAsia="ja-JP"/>
        </w:rPr>
        <w:tab/>
      </w:r>
      <w:r w:rsidR="00F9191E">
        <w:rPr>
          <w:lang w:eastAsia="ja-JP"/>
        </w:rPr>
        <w:t xml:space="preserve">that </w:t>
      </w:r>
      <w:r w:rsidRPr="00C724A7">
        <w:t xml:space="preserve">Report </w:t>
      </w:r>
      <w:hyperlink r:id="rId22" w:history="1">
        <w:r w:rsidR="00495DE4">
          <w:rPr>
            <w:rStyle w:val="Hyperlink"/>
            <w:color w:val="auto"/>
            <w:u w:val="none"/>
            <w:lang w:eastAsia="ja-JP"/>
          </w:rPr>
          <w:t>ITU-R SM.2421</w:t>
        </w:r>
      </w:hyperlink>
      <w:r w:rsidRPr="00C724A7">
        <w:rPr>
          <w:lang w:eastAsia="ja-JP"/>
        </w:rPr>
        <w:t xml:space="preserve"> contains useful information on the issue in application to digital radio systems,</w:t>
      </w:r>
    </w:p>
    <w:p w14:paraId="06FB49F6" w14:textId="77777777" w:rsidR="00FF1F65" w:rsidRDefault="00FF1F65" w:rsidP="00FF1F65">
      <w:pPr>
        <w:pStyle w:val="Call"/>
      </w:pPr>
      <w:r>
        <w:t>recognizing</w:t>
      </w:r>
    </w:p>
    <w:p w14:paraId="7151165D" w14:textId="1FE9330E" w:rsidR="00FF1F65" w:rsidRDefault="00FF1F65" w:rsidP="00FF1F65">
      <w:pPr>
        <w:rPr>
          <w:lang w:eastAsia="ja-JP"/>
        </w:rPr>
      </w:pPr>
      <w:r w:rsidRPr="00977C48">
        <w:rPr>
          <w:i/>
          <w:iCs/>
        </w:rPr>
        <w:t>a)</w:t>
      </w:r>
      <w:r>
        <w:rPr>
          <w:i/>
          <w:iCs/>
        </w:rPr>
        <w:tab/>
      </w:r>
      <w:r w:rsidR="00E72AB4">
        <w:t xml:space="preserve">that </w:t>
      </w:r>
      <w:r w:rsidRPr="000E3BB4">
        <w:rPr>
          <w:lang w:eastAsia="ja-JP"/>
        </w:rPr>
        <w:t xml:space="preserve">Recommendation </w:t>
      </w:r>
      <w:hyperlink r:id="rId23" w:history="1">
        <w:r w:rsidRPr="00A6671C">
          <w:rPr>
            <w:rStyle w:val="Hyperlink"/>
            <w:color w:val="auto"/>
            <w:u w:val="none"/>
            <w:lang w:eastAsia="ja-JP"/>
          </w:rPr>
          <w:t>ITU-R SM.1138</w:t>
        </w:r>
      </w:hyperlink>
      <w:r w:rsidRPr="000E3BB4">
        <w:rPr>
          <w:lang w:eastAsia="ja-JP"/>
        </w:rPr>
        <w:t xml:space="preserve">, which is incorporated by reference into the Radio Regulations </w:t>
      </w:r>
      <w:r w:rsidRPr="00A40DD6">
        <w:rPr>
          <w:lang w:eastAsia="ja-JP"/>
        </w:rPr>
        <w:t>(RR), deals with the determination of necessary bandwidth for various emissions</w:t>
      </w:r>
      <w:r>
        <w:rPr>
          <w:lang w:eastAsia="ja-JP"/>
        </w:rPr>
        <w:t>;</w:t>
      </w:r>
    </w:p>
    <w:p w14:paraId="4ED3F03C" w14:textId="1973125D" w:rsidR="00FF1F65" w:rsidRDefault="00FF1F65" w:rsidP="00FF1F65">
      <w:pPr>
        <w:rPr>
          <w:lang w:eastAsia="ja-JP"/>
        </w:rPr>
      </w:pPr>
      <w:r w:rsidRPr="00247746">
        <w:rPr>
          <w:i/>
          <w:iCs/>
          <w:lang w:eastAsia="ja-JP"/>
        </w:rPr>
        <w:t>b)</w:t>
      </w:r>
      <w:r>
        <w:rPr>
          <w:i/>
          <w:iCs/>
          <w:lang w:eastAsia="ja-JP"/>
        </w:rPr>
        <w:tab/>
      </w:r>
      <w:r w:rsidR="00E72AB4">
        <w:rPr>
          <w:lang w:eastAsia="ja-JP"/>
        </w:rPr>
        <w:t xml:space="preserve">that </w:t>
      </w:r>
      <w:r w:rsidRPr="00A40DD6">
        <w:rPr>
          <w:lang w:eastAsia="ja-JP"/>
        </w:rPr>
        <w:t xml:space="preserve">Recommendation </w:t>
      </w:r>
      <w:hyperlink r:id="rId24" w:history="1">
        <w:r w:rsidRPr="001F32D0">
          <w:rPr>
            <w:rStyle w:val="Hyperlink"/>
            <w:color w:val="auto"/>
            <w:u w:val="none"/>
            <w:lang w:eastAsia="ja-JP"/>
          </w:rPr>
          <w:t>ITU-R SM.853</w:t>
        </w:r>
      </w:hyperlink>
      <w:r w:rsidRPr="00A40DD6">
        <w:rPr>
          <w:lang w:eastAsia="ja-JP"/>
        </w:rPr>
        <w:t xml:space="preserve"> and Report </w:t>
      </w:r>
      <w:hyperlink r:id="rId25" w:history="1">
        <w:r w:rsidRPr="003C6432">
          <w:rPr>
            <w:rStyle w:val="Hyperlink"/>
            <w:color w:val="auto"/>
            <w:u w:val="none"/>
            <w:lang w:eastAsia="ja-JP"/>
          </w:rPr>
          <w:t>ITU-R SM.2048</w:t>
        </w:r>
      </w:hyperlink>
      <w:r w:rsidRPr="00A40DD6">
        <w:rPr>
          <w:lang w:eastAsia="ja-JP"/>
        </w:rPr>
        <w:t xml:space="preserve"> present additional information concerning the determination of necessary bandwidth for certain emissions, including unmodulated and modulated pulse emissions and </w:t>
      </w:r>
      <w:r w:rsidRPr="00A40DD6">
        <w:rPr>
          <w:sz w:val="23"/>
          <w:szCs w:val="23"/>
        </w:rPr>
        <w:t xml:space="preserve">various types of </w:t>
      </w:r>
      <w:r w:rsidRPr="00A40DD6">
        <w:rPr>
          <w:lang w:eastAsia="ja-JP"/>
        </w:rPr>
        <w:t>digital modulation</w:t>
      </w:r>
      <w:r>
        <w:rPr>
          <w:lang w:eastAsia="ja-JP"/>
        </w:rPr>
        <w:t>;</w:t>
      </w:r>
    </w:p>
    <w:p w14:paraId="33B410C7" w14:textId="6A701566" w:rsidR="00FF1F65" w:rsidRDefault="00FF1F65" w:rsidP="00FF1F65">
      <w:pPr>
        <w:rPr>
          <w:lang w:eastAsia="ja-JP"/>
        </w:rPr>
      </w:pPr>
      <w:r w:rsidRPr="00247746">
        <w:rPr>
          <w:i/>
          <w:iCs/>
          <w:lang w:eastAsia="ja-JP"/>
        </w:rPr>
        <w:t>c)</w:t>
      </w:r>
      <w:r>
        <w:rPr>
          <w:lang w:eastAsia="ja-JP"/>
        </w:rPr>
        <w:tab/>
      </w:r>
      <w:r w:rsidR="00E72AB4">
        <w:rPr>
          <w:lang w:eastAsia="ja-JP"/>
        </w:rPr>
        <w:t xml:space="preserve">that </w:t>
      </w:r>
      <w:r w:rsidRPr="000E3BB4">
        <w:rPr>
          <w:lang w:eastAsia="ja-JP"/>
        </w:rPr>
        <w:t xml:space="preserve">Recommendations </w:t>
      </w:r>
      <w:hyperlink r:id="rId26" w:history="1">
        <w:r w:rsidR="00965F2B" w:rsidRPr="00965F2B">
          <w:rPr>
            <w:rStyle w:val="Hyperlink"/>
            <w:color w:val="auto"/>
            <w:szCs w:val="24"/>
            <w:u w:val="none"/>
            <w:lang w:eastAsia="ja-JP"/>
          </w:rPr>
          <w:t>ITU-R SM.1541</w:t>
        </w:r>
      </w:hyperlink>
      <w:r w:rsidRPr="000E3BB4">
        <w:rPr>
          <w:lang w:eastAsia="ja-JP"/>
        </w:rPr>
        <w:t xml:space="preserve"> (</w:t>
      </w:r>
      <w:r w:rsidRPr="000E3BB4">
        <w:rPr>
          <w:i/>
          <w:lang w:eastAsia="ja-JP"/>
        </w:rPr>
        <w:t>recommends</w:t>
      </w:r>
      <w:r w:rsidRPr="000E3BB4">
        <w:rPr>
          <w:lang w:eastAsia="ja-JP"/>
        </w:rPr>
        <w:t xml:space="preserve"> 2.3) and </w:t>
      </w:r>
      <w:hyperlink r:id="rId27" w:history="1">
        <w:r w:rsidR="00DD11AF" w:rsidRPr="00DD11AF">
          <w:rPr>
            <w:rStyle w:val="Hyperlink"/>
            <w:color w:val="auto"/>
            <w:szCs w:val="24"/>
            <w:u w:val="none"/>
          </w:rPr>
          <w:t>ITU-</w:t>
        </w:r>
        <w:r w:rsidR="00DD11AF" w:rsidRPr="00DD11AF">
          <w:rPr>
            <w:rStyle w:val="Hyperlink"/>
            <w:color w:val="auto"/>
            <w:szCs w:val="24"/>
            <w:u w:val="none"/>
            <w:lang w:eastAsia="ja-JP"/>
          </w:rPr>
          <w:t>R SM.329</w:t>
        </w:r>
      </w:hyperlink>
      <w:r w:rsidRPr="000E3BB4">
        <w:rPr>
          <w:lang w:eastAsia="ja-JP"/>
        </w:rPr>
        <w:t xml:space="preserve"> (</w:t>
      </w:r>
      <w:r w:rsidRPr="000E3BB4">
        <w:rPr>
          <w:i/>
          <w:lang w:eastAsia="ja-JP"/>
        </w:rPr>
        <w:t>recommends</w:t>
      </w:r>
      <w:r w:rsidR="00F0412A">
        <w:rPr>
          <w:lang w:eastAsia="ja-JP"/>
        </w:rPr>
        <w:t> </w:t>
      </w:r>
      <w:r w:rsidRPr="000E3BB4">
        <w:rPr>
          <w:lang w:eastAsia="ja-JP"/>
        </w:rPr>
        <w:t xml:space="preserve">1.4 and 2.3) discuss the necessary bandwidth for certain emissions for the purpose of determining the boundary between the </w:t>
      </w:r>
      <w:proofErr w:type="spellStart"/>
      <w:r w:rsidRPr="000E3BB4">
        <w:rPr>
          <w:lang w:eastAsia="ja-JP"/>
        </w:rPr>
        <w:t>OoB</w:t>
      </w:r>
      <w:proofErr w:type="spellEnd"/>
      <w:r w:rsidRPr="000E3BB4">
        <w:rPr>
          <w:lang w:eastAsia="ja-JP"/>
        </w:rPr>
        <w:t xml:space="preserve"> and spurious domains</w:t>
      </w:r>
      <w:r w:rsidR="00C724A7">
        <w:rPr>
          <w:lang w:eastAsia="ja-JP"/>
        </w:rPr>
        <w:t>,</w:t>
      </w:r>
    </w:p>
    <w:p w14:paraId="46FD5984" w14:textId="77777777" w:rsidR="00FF1F65" w:rsidRPr="000E3BB4" w:rsidRDefault="00FF1F65" w:rsidP="00FF1F65">
      <w:pPr>
        <w:pStyle w:val="Call"/>
      </w:pPr>
      <w:r w:rsidRPr="000E3BB4">
        <w:t>noting</w:t>
      </w:r>
    </w:p>
    <w:p w14:paraId="005FF287" w14:textId="12039FA2" w:rsidR="00FF1F65" w:rsidRPr="000E3BB4" w:rsidRDefault="00FF1F65" w:rsidP="00FF1F65">
      <w:pPr>
        <w:rPr>
          <w:szCs w:val="24"/>
        </w:rPr>
      </w:pPr>
      <w:r w:rsidRPr="000E3BB4">
        <w:rPr>
          <w:szCs w:val="24"/>
        </w:rPr>
        <w:t xml:space="preserve">that, according to Recommendations </w:t>
      </w:r>
      <w:hyperlink r:id="rId28" w:history="1">
        <w:r w:rsidR="00965F2B" w:rsidRPr="00965F2B">
          <w:rPr>
            <w:rStyle w:val="Hyperlink"/>
            <w:color w:val="auto"/>
            <w:szCs w:val="24"/>
            <w:u w:val="none"/>
            <w:lang w:eastAsia="ja-JP"/>
          </w:rPr>
          <w:t>ITU-R SM.1541</w:t>
        </w:r>
      </w:hyperlink>
      <w:r w:rsidRPr="000E3BB4">
        <w:rPr>
          <w:szCs w:val="24"/>
          <w:lang w:eastAsia="ja-JP"/>
        </w:rPr>
        <w:t xml:space="preserve"> and </w:t>
      </w:r>
      <w:hyperlink r:id="rId29" w:history="1">
        <w:r w:rsidR="00DD11AF" w:rsidRPr="00DD11AF">
          <w:rPr>
            <w:rStyle w:val="Hyperlink"/>
            <w:color w:val="auto"/>
            <w:szCs w:val="24"/>
            <w:u w:val="none"/>
          </w:rPr>
          <w:t>ITU-</w:t>
        </w:r>
        <w:r w:rsidR="00DD11AF" w:rsidRPr="00DD11AF">
          <w:rPr>
            <w:rStyle w:val="Hyperlink"/>
            <w:color w:val="auto"/>
            <w:szCs w:val="24"/>
            <w:u w:val="none"/>
            <w:lang w:eastAsia="ja-JP"/>
          </w:rPr>
          <w:t>R SM.329</w:t>
        </w:r>
      </w:hyperlink>
      <w:r w:rsidRPr="000E3BB4">
        <w:rPr>
          <w:szCs w:val="24"/>
        </w:rPr>
        <w:t xml:space="preserve">, normally the boundary between the </w:t>
      </w:r>
      <w:proofErr w:type="spellStart"/>
      <w:r w:rsidRPr="000E3BB4">
        <w:rPr>
          <w:szCs w:val="24"/>
        </w:rPr>
        <w:t>OoB</w:t>
      </w:r>
      <w:proofErr w:type="spellEnd"/>
      <w:r w:rsidRPr="000E3BB4">
        <w:rPr>
          <w:szCs w:val="24"/>
        </w:rPr>
        <w:t xml:space="preserve"> and spurious domains is the frequency separated from the centre frequency of the emission by 250% of the necessary bandwidth of the emission (</w:t>
      </w:r>
      <w:r>
        <w:rPr>
          <w:szCs w:val="24"/>
        </w:rPr>
        <w:t xml:space="preserve">see </w:t>
      </w:r>
      <w:r>
        <w:rPr>
          <w:i/>
          <w:iCs/>
          <w:szCs w:val="24"/>
        </w:rPr>
        <w:t>r</w:t>
      </w:r>
      <w:r w:rsidRPr="00247746">
        <w:rPr>
          <w:i/>
          <w:iCs/>
          <w:szCs w:val="24"/>
        </w:rPr>
        <w:t xml:space="preserve">ecognizing </w:t>
      </w:r>
      <w:r>
        <w:rPr>
          <w:i/>
          <w:iCs/>
          <w:szCs w:val="24"/>
        </w:rPr>
        <w:t>c)</w:t>
      </w:r>
      <w:r w:rsidRPr="000E3BB4">
        <w:rPr>
          <w:szCs w:val="24"/>
        </w:rPr>
        <w:t>),</w:t>
      </w:r>
    </w:p>
    <w:p w14:paraId="7BE7C2C9" w14:textId="77777777" w:rsidR="00FF1F65" w:rsidRPr="000E3BB4" w:rsidRDefault="00FF1F65" w:rsidP="00FF1F65">
      <w:pPr>
        <w:pStyle w:val="Call"/>
      </w:pPr>
      <w:r w:rsidRPr="000E3BB4">
        <w:lastRenderedPageBreak/>
        <w:t>recommends</w:t>
      </w:r>
    </w:p>
    <w:p w14:paraId="05289D80" w14:textId="6657F744" w:rsidR="00FF1F65" w:rsidRDefault="00FF1F65" w:rsidP="00FF1F65">
      <w:r w:rsidRPr="00FB2BA2">
        <w:t xml:space="preserve">that Annex 1 should be </w:t>
      </w:r>
      <w:r w:rsidRPr="00FB2BA2">
        <w:rPr>
          <w:lang w:eastAsia="ja-JP"/>
        </w:rPr>
        <w:t xml:space="preserve">referred to </w:t>
      </w:r>
      <w:r w:rsidRPr="00FB2BA2">
        <w:t xml:space="preserve">in the case of variation of the boundary between </w:t>
      </w:r>
      <w:r w:rsidRPr="00FB2BA2">
        <w:rPr>
          <w:lang w:eastAsia="ja-JP"/>
        </w:rPr>
        <w:t xml:space="preserve">the </w:t>
      </w:r>
      <w:proofErr w:type="spellStart"/>
      <w:r w:rsidRPr="00FB2BA2">
        <w:t>OoB</w:t>
      </w:r>
      <w:proofErr w:type="spellEnd"/>
      <w:r w:rsidRPr="00FB2BA2">
        <w:t xml:space="preserve"> and spurious domains</w:t>
      </w:r>
      <w:r w:rsidRPr="00FB2BA2">
        <w:rPr>
          <w:lang w:eastAsia="ja-JP"/>
        </w:rPr>
        <w:t xml:space="preserve"> which may be required for the application of Recommendations </w:t>
      </w:r>
      <w:hyperlink r:id="rId30" w:history="1">
        <w:r w:rsidR="00494D4D" w:rsidRPr="00965F2B">
          <w:rPr>
            <w:rStyle w:val="Hyperlink"/>
            <w:color w:val="auto"/>
            <w:szCs w:val="24"/>
            <w:u w:val="none"/>
            <w:lang w:eastAsia="ja-JP"/>
          </w:rPr>
          <w:t>ITU-R SM.1541</w:t>
        </w:r>
      </w:hyperlink>
      <w:r w:rsidRPr="00FB2BA2">
        <w:rPr>
          <w:lang w:eastAsia="ja-JP"/>
        </w:rPr>
        <w:t xml:space="preserve"> and </w:t>
      </w:r>
      <w:hyperlink r:id="rId31" w:history="1">
        <w:r w:rsidR="00DD11AF" w:rsidRPr="00DD11AF">
          <w:rPr>
            <w:rStyle w:val="Hyperlink"/>
            <w:color w:val="auto"/>
            <w:szCs w:val="24"/>
            <w:u w:val="none"/>
          </w:rPr>
          <w:t>ITU-</w:t>
        </w:r>
        <w:r w:rsidR="00DD11AF" w:rsidRPr="00DD11AF">
          <w:rPr>
            <w:rStyle w:val="Hyperlink"/>
            <w:color w:val="auto"/>
            <w:szCs w:val="24"/>
            <w:u w:val="none"/>
            <w:lang w:eastAsia="ja-JP"/>
          </w:rPr>
          <w:t>R SM.329</w:t>
        </w:r>
      </w:hyperlink>
      <w:r w:rsidRPr="00FB2BA2">
        <w:t>.</w:t>
      </w:r>
    </w:p>
    <w:p w14:paraId="5A306A90" w14:textId="31ECC856" w:rsidR="00FF1F65" w:rsidRPr="000E3BB4" w:rsidRDefault="00FF1F65" w:rsidP="00FF1F65">
      <w:pPr>
        <w:pStyle w:val="Note"/>
        <w:rPr>
          <w:lang w:eastAsia="ja-JP"/>
        </w:rPr>
      </w:pPr>
    </w:p>
    <w:p w14:paraId="0E750849" w14:textId="77777777" w:rsidR="00FF1F65" w:rsidRPr="000E3BB4" w:rsidRDefault="00FF1F65" w:rsidP="00FF1F65">
      <w:pPr>
        <w:rPr>
          <w:szCs w:val="24"/>
          <w:lang w:eastAsia="ja-JP"/>
        </w:rPr>
      </w:pPr>
    </w:p>
    <w:p w14:paraId="2D0E8F96" w14:textId="239579AE" w:rsidR="00FF1F65" w:rsidRPr="00072552" w:rsidRDefault="00072552" w:rsidP="00B3254E">
      <w:pPr>
        <w:pStyle w:val="AnnexNoTitle"/>
        <w:outlineLvl w:val="0"/>
      </w:pPr>
      <w:r w:rsidRPr="00072552">
        <w:t xml:space="preserve">Annex </w:t>
      </w:r>
      <w:r w:rsidR="00FF1F65" w:rsidRPr="00072552">
        <w:t>1</w:t>
      </w:r>
      <w:r>
        <w:br/>
      </w:r>
      <w:r>
        <w:br/>
      </w:r>
      <w:r w:rsidR="00FF1F65" w:rsidRPr="00072552">
        <w:t xml:space="preserve">Variation of the boundary between the </w:t>
      </w:r>
      <w:proofErr w:type="spellStart"/>
      <w:r w:rsidR="00FF1F65" w:rsidRPr="00072552">
        <w:t>OoB</w:t>
      </w:r>
      <w:proofErr w:type="spellEnd"/>
      <w:r w:rsidR="00FF1F65" w:rsidRPr="00072552">
        <w:t xml:space="preserve"> and spurious domains</w:t>
      </w:r>
    </w:p>
    <w:p w14:paraId="22A74217" w14:textId="77777777" w:rsidR="00FF1F65" w:rsidRPr="000E3BB4" w:rsidRDefault="00FF1F65" w:rsidP="00FF1F65">
      <w:pPr>
        <w:pStyle w:val="Heading1"/>
      </w:pPr>
      <w:r w:rsidRPr="000E3BB4">
        <w:t>1</w:t>
      </w:r>
      <w:r w:rsidRPr="000E3BB4">
        <w:tab/>
        <w:t>Introduction</w:t>
      </w:r>
    </w:p>
    <w:p w14:paraId="059F229C" w14:textId="7A5DEF2B" w:rsidR="00FF1F65" w:rsidRPr="000E3BB4" w:rsidRDefault="00FF1F65" w:rsidP="00FF1F65">
      <w:pPr>
        <w:rPr>
          <w:szCs w:val="24"/>
        </w:rPr>
      </w:pPr>
      <w:r w:rsidRPr="000E3BB4">
        <w:rPr>
          <w:szCs w:val="24"/>
        </w:rPr>
        <w:t xml:space="preserve">As stated in </w:t>
      </w:r>
      <w:r w:rsidRPr="000E3BB4">
        <w:rPr>
          <w:i/>
          <w:szCs w:val="24"/>
        </w:rPr>
        <w:t>recommends</w:t>
      </w:r>
      <w:r w:rsidRPr="000E3BB4">
        <w:rPr>
          <w:szCs w:val="24"/>
        </w:rPr>
        <w:t xml:space="preserve"> 2.3 of Recommendation </w:t>
      </w:r>
      <w:hyperlink r:id="rId32" w:history="1">
        <w:r w:rsidR="00494D4D" w:rsidRPr="00965F2B">
          <w:rPr>
            <w:rStyle w:val="Hyperlink"/>
            <w:color w:val="auto"/>
            <w:szCs w:val="24"/>
            <w:u w:val="none"/>
            <w:lang w:eastAsia="ja-JP"/>
          </w:rPr>
          <w:t>ITU-R SM.1541</w:t>
        </w:r>
      </w:hyperlink>
      <w:r w:rsidRPr="000E3BB4">
        <w:rPr>
          <w:szCs w:val="24"/>
        </w:rPr>
        <w:t xml:space="preserve"> and </w:t>
      </w:r>
      <w:r w:rsidRPr="000E3BB4">
        <w:rPr>
          <w:i/>
          <w:szCs w:val="24"/>
        </w:rPr>
        <w:t>recommends</w:t>
      </w:r>
      <w:r w:rsidRPr="000E3BB4">
        <w:rPr>
          <w:szCs w:val="24"/>
        </w:rPr>
        <w:t xml:space="preserve"> 2.3 of Recommendation </w:t>
      </w:r>
      <w:hyperlink r:id="rId33" w:history="1">
        <w:r w:rsidR="00DD11AF" w:rsidRPr="00DD11AF">
          <w:rPr>
            <w:rStyle w:val="Hyperlink"/>
            <w:color w:val="auto"/>
            <w:szCs w:val="24"/>
            <w:u w:val="none"/>
          </w:rPr>
          <w:t>ITU-</w:t>
        </w:r>
        <w:r w:rsidR="00DD11AF" w:rsidRPr="00DD11AF">
          <w:rPr>
            <w:rStyle w:val="Hyperlink"/>
            <w:color w:val="auto"/>
            <w:szCs w:val="24"/>
            <w:u w:val="none"/>
            <w:lang w:eastAsia="ja-JP"/>
          </w:rPr>
          <w:t>R SM.329</w:t>
        </w:r>
      </w:hyperlink>
      <w:r w:rsidRPr="000E3BB4">
        <w:rPr>
          <w:szCs w:val="24"/>
        </w:rPr>
        <w:t xml:space="preserve">, the boundary between the </w:t>
      </w:r>
      <w:proofErr w:type="spellStart"/>
      <w:r w:rsidRPr="000E3BB4">
        <w:rPr>
          <w:szCs w:val="24"/>
        </w:rPr>
        <w:t>OoB</w:t>
      </w:r>
      <w:proofErr w:type="spellEnd"/>
      <w:r w:rsidRPr="000E3BB4">
        <w:rPr>
          <w:szCs w:val="24"/>
        </w:rPr>
        <w:t xml:space="preserve"> and spurious domains, which is generally specified as being separated from the centre frequency by 250% of the necessary bandwidth, needs to be modified for narrow-band and wideband (including multicarrier) systems, and certain other situations. This Annex provides:</w:t>
      </w:r>
    </w:p>
    <w:p w14:paraId="44FF5B44" w14:textId="77777777" w:rsidR="00FF1F65" w:rsidRPr="000E3BB4" w:rsidRDefault="00FF1F65" w:rsidP="00FF1F65">
      <w:pPr>
        <w:pStyle w:val="enumlev1"/>
      </w:pPr>
      <w:r w:rsidRPr="000E3BB4">
        <w:t>–</w:t>
      </w:r>
      <w:r w:rsidRPr="000E3BB4">
        <w:tab/>
        <w:t>a set of guidelines on values of bandwidths across the spectrum at which the general definition needs to be varied; and</w:t>
      </w:r>
    </w:p>
    <w:p w14:paraId="135D1A12" w14:textId="77777777" w:rsidR="00FF1F65" w:rsidRPr="000E3BB4" w:rsidRDefault="00FF1F65" w:rsidP="00FF1F65">
      <w:pPr>
        <w:pStyle w:val="enumlev1"/>
      </w:pPr>
      <w:r w:rsidRPr="000E3BB4">
        <w:t>–</w:t>
      </w:r>
      <w:r w:rsidRPr="000E3BB4">
        <w:tab/>
        <w:t>a set of known situations in which additional guidelines are required.</w:t>
      </w:r>
    </w:p>
    <w:p w14:paraId="75BDDA42" w14:textId="77777777" w:rsidR="00FF1F65" w:rsidRPr="000E3BB4" w:rsidRDefault="00FF1F65" w:rsidP="00FF1F65">
      <w:pPr>
        <w:pStyle w:val="Heading1"/>
      </w:pPr>
      <w:r w:rsidRPr="000E3BB4">
        <w:t>2</w:t>
      </w:r>
      <w:r w:rsidRPr="000E3BB4">
        <w:tab/>
        <w:t>Boundary variations for narrow-band and wideband systems</w:t>
      </w:r>
    </w:p>
    <w:p w14:paraId="0F6B1F40" w14:textId="01C89490" w:rsidR="00FF1F65" w:rsidRPr="000E3BB4" w:rsidRDefault="00FF1F65" w:rsidP="00FF1F65">
      <w:pPr>
        <w:rPr>
          <w:szCs w:val="24"/>
        </w:rPr>
      </w:pPr>
      <w:r w:rsidRPr="000E3BB4">
        <w:rPr>
          <w:szCs w:val="24"/>
        </w:rPr>
        <w:t xml:space="preserve">For the definition of necessary bandwidth, its applicability to multichannel or multicarrier transmitters/transponders, and its use in the fixed and radiodetermination services, see </w:t>
      </w:r>
      <w:r w:rsidRPr="000E3BB4">
        <w:rPr>
          <w:i/>
          <w:szCs w:val="24"/>
        </w:rPr>
        <w:t>recommends</w:t>
      </w:r>
      <w:r w:rsidRPr="000E3BB4">
        <w:rPr>
          <w:szCs w:val="24"/>
        </w:rPr>
        <w:t xml:space="preserve"> 1.4 of Recommendation </w:t>
      </w:r>
      <w:hyperlink r:id="rId34" w:history="1">
        <w:r w:rsidR="00DB0774" w:rsidRPr="00DD11AF">
          <w:rPr>
            <w:rStyle w:val="Hyperlink"/>
            <w:color w:val="auto"/>
            <w:szCs w:val="24"/>
            <w:u w:val="none"/>
          </w:rPr>
          <w:t>ITU-</w:t>
        </w:r>
        <w:r w:rsidR="00DB0774" w:rsidRPr="00DD11AF">
          <w:rPr>
            <w:rStyle w:val="Hyperlink"/>
            <w:color w:val="auto"/>
            <w:szCs w:val="24"/>
            <w:u w:val="none"/>
            <w:lang w:eastAsia="ja-JP"/>
          </w:rPr>
          <w:t>R SM.329</w:t>
        </w:r>
      </w:hyperlink>
      <w:r w:rsidRPr="000E3BB4">
        <w:rPr>
          <w:szCs w:val="24"/>
        </w:rPr>
        <w:t>.</w:t>
      </w:r>
    </w:p>
    <w:p w14:paraId="1B9A84BD" w14:textId="77777777" w:rsidR="00FF1F65" w:rsidRPr="000E3BB4" w:rsidRDefault="00FF1F65" w:rsidP="00FF1F65">
      <w:pPr>
        <w:rPr>
          <w:szCs w:val="24"/>
        </w:rPr>
      </w:pPr>
      <w:r w:rsidRPr="000E3BB4">
        <w:rPr>
          <w:szCs w:val="24"/>
        </w:rPr>
        <w:t>Figure 1 shows the spurious boundary as a function of necessary bandwidth, indicating the boundary variations. The normal separation between the centre frequency and the spurious domain boundary is 250% of the necessary bandwidth, as shown in Fig. 1, between the vertical dashed lines.</w:t>
      </w:r>
    </w:p>
    <w:p w14:paraId="11E2F9C4" w14:textId="77777777" w:rsidR="00FF1F65" w:rsidRPr="000E3BB4" w:rsidRDefault="00FF1F65" w:rsidP="00FF1F65">
      <w:pPr>
        <w:rPr>
          <w:szCs w:val="24"/>
        </w:rPr>
      </w:pPr>
      <w:r w:rsidRPr="000E3BB4">
        <w:rPr>
          <w:szCs w:val="24"/>
        </w:rPr>
        <w:t xml:space="preserve">For some narrow-band emissions, it is appropriate to avoid specifying </w:t>
      </w:r>
      <w:proofErr w:type="spellStart"/>
      <w:r w:rsidRPr="000E3BB4">
        <w:rPr>
          <w:szCs w:val="24"/>
        </w:rPr>
        <w:t>OoB</w:t>
      </w:r>
      <w:proofErr w:type="spellEnd"/>
      <w:r w:rsidRPr="000E3BB4">
        <w:rPr>
          <w:szCs w:val="24"/>
        </w:rPr>
        <w:t xml:space="preserve"> and spurious domains in very narrow bandwidths near to the emission, which will usually be under the control of the same operator. On the other hand, it is necessary to restrict the linear growth of the </w:t>
      </w:r>
      <w:proofErr w:type="spellStart"/>
      <w:r w:rsidRPr="000E3BB4">
        <w:rPr>
          <w:szCs w:val="24"/>
        </w:rPr>
        <w:t>OoB</w:t>
      </w:r>
      <w:proofErr w:type="spellEnd"/>
      <w:r w:rsidRPr="000E3BB4">
        <w:rPr>
          <w:szCs w:val="24"/>
        </w:rPr>
        <w:t xml:space="preserve"> domain versus necessary bandwidth for wideband emissions, in order to restrict the incursion of the </w:t>
      </w:r>
      <w:proofErr w:type="spellStart"/>
      <w:r w:rsidRPr="000E3BB4">
        <w:rPr>
          <w:szCs w:val="24"/>
        </w:rPr>
        <w:t>OoB</w:t>
      </w:r>
      <w:proofErr w:type="spellEnd"/>
      <w:r w:rsidRPr="000E3BB4">
        <w:rPr>
          <w:szCs w:val="24"/>
        </w:rPr>
        <w:t xml:space="preserve"> domain into adjacent bands.</w:t>
      </w:r>
    </w:p>
    <w:p w14:paraId="4B948308" w14:textId="402D5FB0" w:rsidR="00FF1F65" w:rsidRDefault="00FF1F65" w:rsidP="00FF1F65">
      <w:pPr>
        <w:spacing w:line="280" w:lineRule="exact"/>
        <w:rPr>
          <w:szCs w:val="24"/>
        </w:rPr>
      </w:pPr>
      <w:r w:rsidRPr="000E3BB4">
        <w:rPr>
          <w:szCs w:val="24"/>
        </w:rPr>
        <w:t xml:space="preserve">Figure 1 shows how the boundary is determined for the narrow-band and wideband cases. When the necessary bandwidth of the emission is less than the lower threshold value </w:t>
      </w:r>
      <w:r w:rsidRPr="000E3BB4">
        <w:rPr>
          <w:i/>
          <w:szCs w:val="24"/>
        </w:rPr>
        <w:t>B</w:t>
      </w:r>
      <w:r w:rsidR="007421A4" w:rsidRPr="007421A4">
        <w:rPr>
          <w:i/>
          <w:szCs w:val="24"/>
          <w:vertAlign w:val="subscript"/>
        </w:rPr>
        <w:t>L</w:t>
      </w:r>
      <w:r w:rsidRPr="000E3BB4">
        <w:rPr>
          <w:szCs w:val="24"/>
        </w:rPr>
        <w:t>, the boundary is a constant 2.5 </w:t>
      </w:r>
      <w:r w:rsidRPr="000E3BB4">
        <w:rPr>
          <w:i/>
          <w:szCs w:val="24"/>
        </w:rPr>
        <w:t>B</w:t>
      </w:r>
      <w:r w:rsidR="007421A4" w:rsidRPr="007421A4">
        <w:rPr>
          <w:i/>
          <w:szCs w:val="24"/>
          <w:vertAlign w:val="subscript"/>
        </w:rPr>
        <w:t>L</w:t>
      </w:r>
      <w:r w:rsidRPr="000E3BB4">
        <w:rPr>
          <w:szCs w:val="24"/>
        </w:rPr>
        <w:t xml:space="preserve">. Conversely, when the necessary bandwidth exceeds the upper threshold value </w:t>
      </w:r>
      <w:r w:rsidRPr="000E3BB4">
        <w:rPr>
          <w:i/>
          <w:szCs w:val="24"/>
        </w:rPr>
        <w:t>B</w:t>
      </w:r>
      <w:r w:rsidR="007421A4" w:rsidRPr="007421A4">
        <w:rPr>
          <w:i/>
          <w:szCs w:val="24"/>
          <w:vertAlign w:val="subscript"/>
        </w:rPr>
        <w:t>U</w:t>
      </w:r>
      <w:r w:rsidRPr="000E3BB4">
        <w:rPr>
          <w:szCs w:val="24"/>
        </w:rPr>
        <w:t>, the boundary increases at a lower rate, having a value of 1.5 </w:t>
      </w:r>
      <w:r w:rsidRPr="000E3BB4">
        <w:rPr>
          <w:i/>
          <w:szCs w:val="24"/>
        </w:rPr>
        <w:t>B</w:t>
      </w:r>
      <w:r w:rsidR="007421A4" w:rsidRPr="007421A4">
        <w:rPr>
          <w:i/>
          <w:szCs w:val="24"/>
          <w:vertAlign w:val="subscript"/>
        </w:rPr>
        <w:t>N</w:t>
      </w:r>
      <w:r w:rsidRPr="000E3BB4">
        <w:rPr>
          <w:szCs w:val="24"/>
        </w:rPr>
        <w:t xml:space="preserve"> + </w:t>
      </w:r>
      <w:r w:rsidRPr="000E3BB4">
        <w:rPr>
          <w:i/>
          <w:szCs w:val="24"/>
        </w:rPr>
        <w:t>B</w:t>
      </w:r>
      <w:r w:rsidR="007421A4">
        <w:rPr>
          <w:i/>
          <w:szCs w:val="24"/>
          <w:vertAlign w:val="subscript"/>
        </w:rPr>
        <w:t>U</w:t>
      </w:r>
      <w:r w:rsidRPr="000E3BB4">
        <w:rPr>
          <w:szCs w:val="24"/>
        </w:rPr>
        <w:t>. Table 1 shows the formulas for the narrow-band, normal and wideband cases.</w:t>
      </w:r>
    </w:p>
    <w:p w14:paraId="4D8DAB3D" w14:textId="64FD0909" w:rsidR="00AF3DFC" w:rsidRDefault="00AF3DFC" w:rsidP="00AF3DFC">
      <w:pPr>
        <w:pStyle w:val="FigureNo"/>
      </w:pPr>
      <w:r>
        <w:lastRenderedPageBreak/>
        <w:t>figure 1</w:t>
      </w:r>
    </w:p>
    <w:p w14:paraId="636E5753" w14:textId="5B7150C7" w:rsidR="00AF3DFC" w:rsidRPr="00AF3DFC" w:rsidRDefault="00AF3DFC" w:rsidP="00AF3DFC">
      <w:pPr>
        <w:pStyle w:val="Figuretitle"/>
      </w:pPr>
      <w:r>
        <w:t>Spurious domain boundary as a function of necessary bandwidth</w:t>
      </w:r>
    </w:p>
    <w:p w14:paraId="1B73B7E7" w14:textId="62955FB4" w:rsidR="00FF1F65" w:rsidRPr="000E3BB4" w:rsidRDefault="00AF3DFC" w:rsidP="00FF1F65">
      <w:pPr>
        <w:pStyle w:val="Figure"/>
      </w:pPr>
      <w:r>
        <w:rPr>
          <w:noProof/>
        </w:rPr>
        <w:drawing>
          <wp:inline distT="0" distB="0" distL="0" distR="0" wp14:anchorId="178573FB" wp14:editId="528CD237">
            <wp:extent cx="3172974" cy="4736602"/>
            <wp:effectExtent l="0" t="0" r="8890" b="6985"/>
            <wp:docPr id="1555245602" name="Picture 1" descr="A graph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45602" name="Picture 1" descr="A graph of a slop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172974" cy="4736602"/>
                    </a:xfrm>
                    <a:prstGeom prst="rect">
                      <a:avLst/>
                    </a:prstGeom>
                  </pic:spPr>
                </pic:pic>
              </a:graphicData>
            </a:graphic>
          </wp:inline>
        </w:drawing>
      </w:r>
    </w:p>
    <w:p w14:paraId="4162E545" w14:textId="17015943" w:rsidR="00FF1F65" w:rsidRPr="00FB2BA2" w:rsidRDefault="00FF1F65" w:rsidP="00FF1F65">
      <w:pPr>
        <w:pStyle w:val="TableNo"/>
      </w:pPr>
      <w:r w:rsidRPr="000E3BB4">
        <w:t>TABLE 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44"/>
        <w:gridCol w:w="2345"/>
        <w:gridCol w:w="3688"/>
      </w:tblGrid>
      <w:tr w:rsidR="00FF1F65" w:rsidRPr="000E3BB4" w14:paraId="11F11EAA" w14:textId="77777777" w:rsidTr="006F1155">
        <w:trPr>
          <w:jc w:val="center"/>
        </w:trPr>
        <w:tc>
          <w:tcPr>
            <w:tcW w:w="2244" w:type="dxa"/>
            <w:vAlign w:val="center"/>
          </w:tcPr>
          <w:p w14:paraId="0A02656E" w14:textId="77777777" w:rsidR="00FF1F65" w:rsidRPr="000E3BB4" w:rsidRDefault="00FF1F65" w:rsidP="006F1155">
            <w:pPr>
              <w:pStyle w:val="Tablehead"/>
            </w:pPr>
            <w:r w:rsidRPr="000E3BB4">
              <w:t>Type of emission</w:t>
            </w:r>
          </w:p>
        </w:tc>
        <w:tc>
          <w:tcPr>
            <w:tcW w:w="2345" w:type="dxa"/>
            <w:vAlign w:val="center"/>
          </w:tcPr>
          <w:p w14:paraId="18F9ECE1" w14:textId="56F68704" w:rsidR="00FF1F65" w:rsidRPr="006B2DD4" w:rsidRDefault="00FF1F65" w:rsidP="006F1155">
            <w:pPr>
              <w:pStyle w:val="Tablehead"/>
              <w:rPr>
                <w:highlight w:val="cyan"/>
              </w:rPr>
            </w:pPr>
            <w:r w:rsidRPr="006B1FEE">
              <w:t xml:space="preserve">Necessary </w:t>
            </w:r>
            <w:r w:rsidRPr="006B1FEE">
              <w:br/>
              <w:t>bandwidth (</w:t>
            </w:r>
            <w:r w:rsidRPr="006B1FEE">
              <w:rPr>
                <w:i/>
                <w:iCs/>
              </w:rPr>
              <w:t>B</w:t>
            </w:r>
            <w:r w:rsidR="007421A4" w:rsidRPr="007421A4">
              <w:rPr>
                <w:i/>
                <w:iCs/>
                <w:vertAlign w:val="subscript"/>
              </w:rPr>
              <w:t>N</w:t>
            </w:r>
            <w:r w:rsidRPr="006B1FEE">
              <w:t>)</w:t>
            </w:r>
          </w:p>
        </w:tc>
        <w:tc>
          <w:tcPr>
            <w:tcW w:w="3688" w:type="dxa"/>
            <w:vAlign w:val="center"/>
          </w:tcPr>
          <w:p w14:paraId="470124E4" w14:textId="77777777" w:rsidR="00FF1F65" w:rsidRPr="000E3BB4" w:rsidRDefault="00FF1F65" w:rsidP="006F1155">
            <w:pPr>
              <w:pStyle w:val="Tablehead"/>
            </w:pPr>
            <w:r w:rsidRPr="000E3BB4">
              <w:t>Frequency separation between</w:t>
            </w:r>
            <w:r w:rsidRPr="000E3BB4">
              <w:br/>
              <w:t>the centre frequency and</w:t>
            </w:r>
            <w:r w:rsidRPr="000E3BB4">
              <w:br/>
              <w:t>the spurious boundary</w:t>
            </w:r>
          </w:p>
        </w:tc>
      </w:tr>
      <w:tr w:rsidR="00FF1F65" w:rsidRPr="000E3BB4" w14:paraId="4C398CD3" w14:textId="77777777" w:rsidTr="006F1155">
        <w:trPr>
          <w:jc w:val="center"/>
        </w:trPr>
        <w:tc>
          <w:tcPr>
            <w:tcW w:w="2244" w:type="dxa"/>
          </w:tcPr>
          <w:p w14:paraId="6A321F72" w14:textId="77777777" w:rsidR="00FF1F65" w:rsidRPr="000E3BB4" w:rsidRDefault="00FF1F65" w:rsidP="006F1155">
            <w:pPr>
              <w:pStyle w:val="Tabletext"/>
            </w:pPr>
            <w:r w:rsidRPr="000E3BB4">
              <w:t>Narrow-band case</w:t>
            </w:r>
          </w:p>
        </w:tc>
        <w:tc>
          <w:tcPr>
            <w:tcW w:w="2345" w:type="dxa"/>
          </w:tcPr>
          <w:p w14:paraId="1FED4164" w14:textId="48947910" w:rsidR="00FF1F65" w:rsidRPr="006B2DD4" w:rsidRDefault="00FF1F65" w:rsidP="006F1155">
            <w:pPr>
              <w:pStyle w:val="Tabletext"/>
              <w:jc w:val="center"/>
              <w:rPr>
                <w:rFonts w:ascii="Symbol" w:hAnsi="Symbol"/>
                <w:highlight w:val="cyan"/>
              </w:rPr>
            </w:pPr>
            <w:r>
              <w:rPr>
                <w:rFonts w:ascii="Symbol" w:hAnsi="Symbol"/>
              </w:rPr>
              <w:t></w:t>
            </w:r>
            <w:r>
              <w:t> </w:t>
            </w:r>
            <w:r>
              <w:rPr>
                <w:i/>
              </w:rPr>
              <w:t>B</w:t>
            </w:r>
            <w:r w:rsidR="007421A4" w:rsidRPr="007421A4">
              <w:rPr>
                <w:i/>
                <w:vertAlign w:val="subscript"/>
              </w:rPr>
              <w:t>L</w:t>
            </w:r>
          </w:p>
        </w:tc>
        <w:tc>
          <w:tcPr>
            <w:tcW w:w="3688" w:type="dxa"/>
          </w:tcPr>
          <w:p w14:paraId="6BF25F29" w14:textId="0DEE70C0" w:rsidR="00FF1F65" w:rsidRPr="000E3BB4" w:rsidRDefault="00FF1F65" w:rsidP="006F1155">
            <w:pPr>
              <w:pStyle w:val="Tabletext"/>
              <w:jc w:val="center"/>
            </w:pPr>
            <w:r w:rsidRPr="000E3BB4">
              <w:t>2.5 </w:t>
            </w:r>
            <w:r w:rsidRPr="000E3BB4">
              <w:rPr>
                <w:i/>
              </w:rPr>
              <w:t>B</w:t>
            </w:r>
            <w:r w:rsidR="007421A4" w:rsidRPr="007421A4">
              <w:rPr>
                <w:i/>
                <w:vertAlign w:val="subscript"/>
              </w:rPr>
              <w:t>L</w:t>
            </w:r>
          </w:p>
        </w:tc>
      </w:tr>
      <w:tr w:rsidR="00FF1F65" w:rsidRPr="000E3BB4" w14:paraId="0C42B000" w14:textId="77777777" w:rsidTr="006F1155">
        <w:trPr>
          <w:jc w:val="center"/>
        </w:trPr>
        <w:tc>
          <w:tcPr>
            <w:tcW w:w="2244" w:type="dxa"/>
          </w:tcPr>
          <w:p w14:paraId="56DC47E7" w14:textId="77777777" w:rsidR="00FF1F65" w:rsidRPr="000E3BB4" w:rsidRDefault="00FF1F65" w:rsidP="006F1155">
            <w:pPr>
              <w:pStyle w:val="Tabletext"/>
            </w:pPr>
            <w:r w:rsidRPr="000E3BB4">
              <w:t>Normal case</w:t>
            </w:r>
          </w:p>
        </w:tc>
        <w:tc>
          <w:tcPr>
            <w:tcW w:w="2345" w:type="dxa"/>
          </w:tcPr>
          <w:p w14:paraId="5BBF4D2C" w14:textId="19CFDA49" w:rsidR="00FF1F65" w:rsidRPr="006B2DD4" w:rsidRDefault="00FF1F65" w:rsidP="006F1155">
            <w:pPr>
              <w:pStyle w:val="Tabletext"/>
              <w:jc w:val="center"/>
              <w:rPr>
                <w:rFonts w:ascii="Symbol" w:hAnsi="Symbol"/>
                <w:highlight w:val="cyan"/>
              </w:rPr>
            </w:pPr>
            <w:r>
              <w:rPr>
                <w:i/>
              </w:rPr>
              <w:t>B</w:t>
            </w:r>
            <w:r w:rsidR="007421A4" w:rsidRPr="007421A4">
              <w:rPr>
                <w:i/>
                <w:vertAlign w:val="subscript"/>
              </w:rPr>
              <w:t>L</w:t>
            </w:r>
            <w:r>
              <w:t xml:space="preserve"> to </w:t>
            </w:r>
            <w:r>
              <w:rPr>
                <w:i/>
              </w:rPr>
              <w:t>B</w:t>
            </w:r>
            <w:r w:rsidR="007421A4" w:rsidRPr="007421A4">
              <w:rPr>
                <w:i/>
                <w:vertAlign w:val="subscript"/>
              </w:rPr>
              <w:t>U</w:t>
            </w:r>
          </w:p>
        </w:tc>
        <w:tc>
          <w:tcPr>
            <w:tcW w:w="3688" w:type="dxa"/>
          </w:tcPr>
          <w:p w14:paraId="55006C2C" w14:textId="4090F792" w:rsidR="00FF1F65" w:rsidRPr="000E3BB4" w:rsidRDefault="00FF1F65" w:rsidP="006F1155">
            <w:pPr>
              <w:pStyle w:val="Tabletext"/>
              <w:jc w:val="center"/>
            </w:pPr>
            <w:r w:rsidRPr="000E3BB4">
              <w:t>2.5 </w:t>
            </w:r>
            <w:r w:rsidRPr="000E3BB4">
              <w:rPr>
                <w:i/>
              </w:rPr>
              <w:t>B</w:t>
            </w:r>
            <w:r w:rsidR="007421A4" w:rsidRPr="007421A4">
              <w:rPr>
                <w:i/>
                <w:vertAlign w:val="subscript"/>
              </w:rPr>
              <w:t>N</w:t>
            </w:r>
          </w:p>
        </w:tc>
      </w:tr>
      <w:tr w:rsidR="00FF1F65" w:rsidRPr="000E3BB4" w14:paraId="22D2427B" w14:textId="77777777" w:rsidTr="006F1155">
        <w:trPr>
          <w:jc w:val="center"/>
        </w:trPr>
        <w:tc>
          <w:tcPr>
            <w:tcW w:w="2244" w:type="dxa"/>
          </w:tcPr>
          <w:p w14:paraId="7566A592" w14:textId="77777777" w:rsidR="00FF1F65" w:rsidRPr="000E3BB4" w:rsidRDefault="00FF1F65" w:rsidP="006F1155">
            <w:pPr>
              <w:pStyle w:val="Tabletext"/>
            </w:pPr>
            <w:r w:rsidRPr="000E3BB4">
              <w:t>Wideband case</w:t>
            </w:r>
          </w:p>
        </w:tc>
        <w:tc>
          <w:tcPr>
            <w:tcW w:w="2345" w:type="dxa"/>
          </w:tcPr>
          <w:p w14:paraId="7DEACD5E" w14:textId="193ECAFD" w:rsidR="00FF1F65" w:rsidRPr="006B2DD4" w:rsidRDefault="00FF1F65" w:rsidP="006F1155">
            <w:pPr>
              <w:pStyle w:val="Tabletext"/>
              <w:jc w:val="center"/>
              <w:rPr>
                <w:rFonts w:ascii="Symbol" w:hAnsi="Symbol"/>
                <w:highlight w:val="cyan"/>
              </w:rPr>
            </w:pPr>
            <w:r>
              <w:rPr>
                <w:rFonts w:ascii="Symbol" w:hAnsi="Symbol"/>
              </w:rPr>
              <w:t></w:t>
            </w:r>
            <w:r>
              <w:rPr>
                <w:lang w:val="en-US"/>
              </w:rPr>
              <w:t xml:space="preserve"> </w:t>
            </w:r>
            <w:r>
              <w:rPr>
                <w:i/>
                <w:lang w:val="en-US"/>
              </w:rPr>
              <w:t>B</w:t>
            </w:r>
            <w:r w:rsidR="007421A4" w:rsidRPr="007421A4">
              <w:rPr>
                <w:i/>
                <w:vertAlign w:val="subscript"/>
              </w:rPr>
              <w:t>U</w:t>
            </w:r>
          </w:p>
        </w:tc>
        <w:tc>
          <w:tcPr>
            <w:tcW w:w="3688" w:type="dxa"/>
          </w:tcPr>
          <w:p w14:paraId="33D58EC1" w14:textId="2B58C8BD" w:rsidR="00FF1F65" w:rsidRPr="000E3BB4" w:rsidRDefault="00FF1F65" w:rsidP="006F1155">
            <w:pPr>
              <w:pStyle w:val="Tabletext"/>
              <w:jc w:val="center"/>
            </w:pPr>
            <w:r w:rsidRPr="000E3BB4">
              <w:rPr>
                <w:i/>
              </w:rPr>
              <w:t>B</w:t>
            </w:r>
            <w:r w:rsidR="007421A4" w:rsidRPr="007421A4">
              <w:rPr>
                <w:i/>
                <w:vertAlign w:val="subscript"/>
              </w:rPr>
              <w:t>U</w:t>
            </w:r>
            <w:r w:rsidRPr="000E3BB4">
              <w:t xml:space="preserve"> + 1.5 </w:t>
            </w:r>
            <w:r w:rsidRPr="000E3BB4">
              <w:rPr>
                <w:i/>
              </w:rPr>
              <w:t>B</w:t>
            </w:r>
            <w:r w:rsidR="007421A4" w:rsidRPr="007421A4">
              <w:rPr>
                <w:i/>
                <w:vertAlign w:val="subscript"/>
              </w:rPr>
              <w:t>N</w:t>
            </w:r>
          </w:p>
        </w:tc>
      </w:tr>
    </w:tbl>
    <w:p w14:paraId="774D1D48" w14:textId="77777777" w:rsidR="00FF1F65" w:rsidRPr="000E3BB4" w:rsidRDefault="00FF1F65" w:rsidP="00FF1F65">
      <w:pPr>
        <w:pStyle w:val="Tablefin"/>
      </w:pPr>
    </w:p>
    <w:p w14:paraId="646940A0" w14:textId="77777777" w:rsidR="00FF1F65" w:rsidRPr="000E3BB4" w:rsidRDefault="00FF1F65" w:rsidP="00FF1F65">
      <w:r w:rsidRPr="000E3BB4">
        <w:t>It should be noted that Table 1 can apply to asymmetric emissions, since the offset is specified based on the centre of the necessary bandwidth. For situations where the boundary is not defined in terms of necessary bandwidth, see § 3.</w:t>
      </w:r>
    </w:p>
    <w:p w14:paraId="34E12280" w14:textId="324EC6F8" w:rsidR="00FF1F65" w:rsidRDefault="00FF1F65" w:rsidP="00FF1F65">
      <w:r w:rsidRPr="000E3BB4">
        <w:rPr>
          <w:szCs w:val="24"/>
        </w:rPr>
        <w:t xml:space="preserve">In the case of narrow-band and wideband systems, the variation of the spurious boundary also affects the </w:t>
      </w:r>
      <w:proofErr w:type="spellStart"/>
      <w:r w:rsidRPr="000E3BB4">
        <w:rPr>
          <w:szCs w:val="24"/>
        </w:rPr>
        <w:t>OoB</w:t>
      </w:r>
      <w:proofErr w:type="spellEnd"/>
      <w:r w:rsidRPr="000E3BB4">
        <w:rPr>
          <w:szCs w:val="24"/>
        </w:rPr>
        <w:t xml:space="preserve"> masks specified in Recommendation </w:t>
      </w:r>
      <w:hyperlink r:id="rId36" w:history="1">
        <w:r w:rsidR="00494D4D" w:rsidRPr="00965F2B">
          <w:rPr>
            <w:rStyle w:val="Hyperlink"/>
            <w:color w:val="auto"/>
            <w:szCs w:val="24"/>
            <w:u w:val="none"/>
            <w:lang w:eastAsia="ja-JP"/>
          </w:rPr>
          <w:t>ITU-R SM.1541</w:t>
        </w:r>
      </w:hyperlink>
      <w:r w:rsidRPr="000E3BB4">
        <w:rPr>
          <w:szCs w:val="24"/>
        </w:rPr>
        <w:t xml:space="preserve">. This is covered in </w:t>
      </w:r>
      <w:r w:rsidRPr="000E3BB4">
        <w:rPr>
          <w:i/>
          <w:iCs/>
          <w:szCs w:val="24"/>
        </w:rPr>
        <w:t>recommends</w:t>
      </w:r>
      <w:r w:rsidRPr="000E3BB4">
        <w:rPr>
          <w:szCs w:val="24"/>
        </w:rPr>
        <w:t xml:space="preserve"> 5 of Recommendation </w:t>
      </w:r>
      <w:bookmarkStart w:id="4" w:name="_Hlk72597101"/>
      <w:r w:rsidR="00494D4D" w:rsidRPr="00965F2B">
        <w:rPr>
          <w:szCs w:val="24"/>
          <w:lang w:eastAsia="ja-JP"/>
        </w:rPr>
        <w:fldChar w:fldCharType="begin"/>
      </w:r>
      <w:r w:rsidR="00494D4D" w:rsidRPr="00965F2B">
        <w:rPr>
          <w:szCs w:val="24"/>
          <w:lang w:eastAsia="ja-JP"/>
        </w:rPr>
        <w:instrText>HYPERLINK "https://www.itu.int/rec/R-REC-SM.1541/en"</w:instrText>
      </w:r>
      <w:r w:rsidR="00494D4D" w:rsidRPr="00965F2B">
        <w:rPr>
          <w:szCs w:val="24"/>
          <w:lang w:eastAsia="ja-JP"/>
        </w:rPr>
      </w:r>
      <w:r w:rsidR="00494D4D" w:rsidRPr="00965F2B">
        <w:rPr>
          <w:szCs w:val="24"/>
          <w:lang w:eastAsia="ja-JP"/>
        </w:rPr>
        <w:fldChar w:fldCharType="separate"/>
      </w:r>
      <w:r w:rsidR="00494D4D" w:rsidRPr="00965F2B">
        <w:rPr>
          <w:rStyle w:val="Hyperlink"/>
          <w:color w:val="auto"/>
          <w:szCs w:val="24"/>
          <w:u w:val="none"/>
          <w:lang w:eastAsia="ja-JP"/>
        </w:rPr>
        <w:t>ITU-R SM.1541</w:t>
      </w:r>
      <w:r w:rsidR="00494D4D" w:rsidRPr="00965F2B">
        <w:rPr>
          <w:szCs w:val="24"/>
          <w:lang w:eastAsia="ja-JP"/>
        </w:rPr>
        <w:fldChar w:fldCharType="end"/>
      </w:r>
      <w:r w:rsidRPr="006B2DD4">
        <w:rPr>
          <w:szCs w:val="24"/>
        </w:rPr>
        <w:t xml:space="preserve">. </w:t>
      </w:r>
      <w:r w:rsidRPr="006B2DD4">
        <w:t xml:space="preserve">It also concerns </w:t>
      </w:r>
      <w:proofErr w:type="spellStart"/>
      <w:r w:rsidRPr="006B2DD4">
        <w:t>OoB</w:t>
      </w:r>
      <w:proofErr w:type="spellEnd"/>
      <w:r w:rsidRPr="006B2DD4">
        <w:t xml:space="preserve"> masks that </w:t>
      </w:r>
      <w:r>
        <w:t>may</w:t>
      </w:r>
      <w:r w:rsidRPr="006B2DD4">
        <w:t xml:space="preserve"> be reconstructed by breakpoints presented by various </w:t>
      </w:r>
      <w:r w:rsidRPr="006B2DD4">
        <w:rPr>
          <w:i/>
          <w:iCs/>
        </w:rPr>
        <w:t>x</w:t>
      </w:r>
      <w:r w:rsidRPr="006B2DD4">
        <w:t xml:space="preserve"> dB bandwidths given in Report </w:t>
      </w:r>
      <w:hyperlink r:id="rId37" w:history="1">
        <w:r w:rsidR="00F0105F" w:rsidRPr="003C6432">
          <w:rPr>
            <w:rStyle w:val="Hyperlink"/>
            <w:color w:val="auto"/>
            <w:u w:val="none"/>
            <w:lang w:eastAsia="ja-JP"/>
          </w:rPr>
          <w:t>ITU-R SM.2048</w:t>
        </w:r>
      </w:hyperlink>
      <w:r w:rsidRPr="006B2DD4">
        <w:t xml:space="preserve"> for many classes of emissions.</w:t>
      </w:r>
    </w:p>
    <w:bookmarkEnd w:id="4"/>
    <w:p w14:paraId="3BF56350" w14:textId="77777777" w:rsidR="00FF1F65" w:rsidRPr="000E3BB4" w:rsidRDefault="00FF1F65" w:rsidP="00FF1F65">
      <w:pPr>
        <w:rPr>
          <w:szCs w:val="24"/>
        </w:rPr>
      </w:pPr>
      <w:r w:rsidRPr="000E3BB4">
        <w:rPr>
          <w:szCs w:val="24"/>
        </w:rPr>
        <w:t>Table 2 provides guidance for determining general values of separation between the centre frequency of an emission and the beginning of its spurious domain. A minimum separation applies to the narrow-</w:t>
      </w:r>
      <w:r w:rsidRPr="000E3BB4">
        <w:rPr>
          <w:szCs w:val="24"/>
        </w:rPr>
        <w:lastRenderedPageBreak/>
        <w:t>band case, while the normal and wideband cases have separate formulas for determining the boundary.</w:t>
      </w:r>
    </w:p>
    <w:p w14:paraId="4FEFD398" w14:textId="20BB00C6" w:rsidR="00FF1F65" w:rsidRPr="000E3BB4" w:rsidRDefault="00FF1F65" w:rsidP="00FF1F65">
      <w:pPr>
        <w:pStyle w:val="TableNo"/>
      </w:pPr>
      <w:r w:rsidRPr="000E3BB4">
        <w:t>TABLE 2</w:t>
      </w:r>
    </w:p>
    <w:p w14:paraId="3E955EC3" w14:textId="77777777" w:rsidR="00FF1F65" w:rsidRPr="000E3BB4" w:rsidRDefault="00FF1F65" w:rsidP="00FF1F65">
      <w:pPr>
        <w:pStyle w:val="Tabletitle"/>
      </w:pPr>
      <w:r w:rsidRPr="000E3BB4">
        <w:t xml:space="preserve">Guideline values for frequency separation between the centre frequency </w:t>
      </w:r>
      <w:r w:rsidRPr="000E3BB4">
        <w:br/>
        <w:t>and the boundary of the spurious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276"/>
        <w:gridCol w:w="1276"/>
        <w:gridCol w:w="1276"/>
        <w:gridCol w:w="1917"/>
      </w:tblGrid>
      <w:tr w:rsidR="00FF1F65" w:rsidRPr="000E3BB4" w14:paraId="68B5DF8A" w14:textId="77777777" w:rsidTr="004E6440">
        <w:trPr>
          <w:cantSplit/>
          <w:jc w:val="center"/>
        </w:trPr>
        <w:tc>
          <w:tcPr>
            <w:tcW w:w="2263" w:type="dxa"/>
            <w:vMerge w:val="restart"/>
            <w:vAlign w:val="center"/>
          </w:tcPr>
          <w:p w14:paraId="036131F0" w14:textId="77777777" w:rsidR="00FF1F65" w:rsidRPr="000E3BB4" w:rsidRDefault="00FF1F65" w:rsidP="006F1155">
            <w:pPr>
              <w:pStyle w:val="Tablehead"/>
            </w:pPr>
            <w:r w:rsidRPr="000E3BB4">
              <w:br w:type="page"/>
              <w:t>Frequency</w:t>
            </w:r>
            <w:r w:rsidRPr="000E3BB4">
              <w:br/>
              <w:t>range</w:t>
            </w:r>
          </w:p>
        </w:tc>
        <w:tc>
          <w:tcPr>
            <w:tcW w:w="2410" w:type="dxa"/>
            <w:gridSpan w:val="2"/>
            <w:vAlign w:val="center"/>
          </w:tcPr>
          <w:p w14:paraId="42C58886" w14:textId="7A66A351" w:rsidR="00FF1F65" w:rsidRPr="000E3BB4" w:rsidRDefault="00FF1F65" w:rsidP="006F1155">
            <w:pPr>
              <w:pStyle w:val="Tablehead"/>
            </w:pPr>
            <w:r w:rsidRPr="000E3BB4">
              <w:t>Narrow-band case</w:t>
            </w:r>
            <w:r w:rsidRPr="000E3BB4">
              <w:br/>
              <w:t>(</w:t>
            </w:r>
            <w:r w:rsidRPr="000E3BB4">
              <w:rPr>
                <w:i/>
                <w:iCs/>
              </w:rPr>
              <w:t>B</w:t>
            </w:r>
            <w:r w:rsidR="00387F5F" w:rsidRPr="00387F5F">
              <w:rPr>
                <w:i/>
                <w:iCs/>
                <w:vertAlign w:val="subscript"/>
              </w:rPr>
              <w:t>N</w:t>
            </w:r>
            <w:r w:rsidRPr="000E3BB4">
              <w:t xml:space="preserve"> </w:t>
            </w:r>
            <w:r>
              <w:t>&lt;</w:t>
            </w:r>
            <w:r w:rsidRPr="000E3BB4">
              <w:t xml:space="preserve"> </w:t>
            </w:r>
            <w:r w:rsidRPr="000E3BB4">
              <w:rPr>
                <w:i/>
                <w:iCs/>
              </w:rPr>
              <w:t>B</w:t>
            </w:r>
            <w:r w:rsidR="00387F5F" w:rsidRPr="00387F5F">
              <w:rPr>
                <w:i/>
                <w:iCs/>
                <w:vertAlign w:val="subscript"/>
              </w:rPr>
              <w:t>L</w:t>
            </w:r>
            <w:r w:rsidRPr="000E3BB4">
              <w:t>)</w:t>
            </w:r>
          </w:p>
        </w:tc>
        <w:tc>
          <w:tcPr>
            <w:tcW w:w="1276" w:type="dxa"/>
            <w:vMerge w:val="restart"/>
            <w:vAlign w:val="center"/>
          </w:tcPr>
          <w:p w14:paraId="2F134955" w14:textId="77777777" w:rsidR="00FF1F65" w:rsidRPr="000E3BB4" w:rsidRDefault="00FF1F65" w:rsidP="006F1155">
            <w:pPr>
              <w:pStyle w:val="Tablehead"/>
            </w:pPr>
            <w:r w:rsidRPr="000E3BB4">
              <w:t>Normal</w:t>
            </w:r>
            <w:r w:rsidRPr="000E3BB4">
              <w:br/>
              <w:t>separation</w:t>
            </w:r>
          </w:p>
        </w:tc>
        <w:tc>
          <w:tcPr>
            <w:tcW w:w="3193" w:type="dxa"/>
            <w:gridSpan w:val="2"/>
            <w:vAlign w:val="center"/>
          </w:tcPr>
          <w:p w14:paraId="11F114C1" w14:textId="4E57AB99" w:rsidR="00FF1F65" w:rsidRPr="000E3BB4" w:rsidRDefault="00FF1F65" w:rsidP="006F1155">
            <w:pPr>
              <w:pStyle w:val="Tablehead"/>
            </w:pPr>
            <w:r w:rsidRPr="000E3BB4">
              <w:t>Wideband case</w:t>
            </w:r>
            <w:r w:rsidRPr="000E3BB4">
              <w:br/>
              <w:t>(</w:t>
            </w:r>
            <w:r w:rsidRPr="000E3BB4">
              <w:rPr>
                <w:i/>
                <w:iCs/>
              </w:rPr>
              <w:t>B</w:t>
            </w:r>
            <w:r w:rsidR="00387F5F" w:rsidRPr="00387F5F">
              <w:rPr>
                <w:i/>
                <w:iCs/>
                <w:vertAlign w:val="subscript"/>
              </w:rPr>
              <w:t>N</w:t>
            </w:r>
            <w:r w:rsidRPr="000E3BB4">
              <w:t xml:space="preserve"> </w:t>
            </w:r>
            <w:r>
              <w:t>&gt;</w:t>
            </w:r>
            <w:r w:rsidRPr="000E3BB4">
              <w:t xml:space="preserve"> </w:t>
            </w:r>
            <w:r w:rsidRPr="000E3BB4">
              <w:rPr>
                <w:i/>
                <w:iCs/>
              </w:rPr>
              <w:t>B</w:t>
            </w:r>
            <w:r w:rsidR="00387F5F">
              <w:rPr>
                <w:i/>
                <w:iCs/>
                <w:vertAlign w:val="subscript"/>
              </w:rPr>
              <w:t>U</w:t>
            </w:r>
            <w:r w:rsidRPr="000E3BB4">
              <w:t>)</w:t>
            </w:r>
          </w:p>
        </w:tc>
      </w:tr>
      <w:tr w:rsidR="00FF1F65" w:rsidRPr="000E3BB4" w14:paraId="258F61D6" w14:textId="77777777" w:rsidTr="004E6440">
        <w:trPr>
          <w:cantSplit/>
          <w:jc w:val="center"/>
        </w:trPr>
        <w:tc>
          <w:tcPr>
            <w:tcW w:w="2263" w:type="dxa"/>
            <w:vMerge/>
            <w:vAlign w:val="center"/>
          </w:tcPr>
          <w:p w14:paraId="244DB083" w14:textId="77777777" w:rsidR="00FF1F65" w:rsidRPr="000E3BB4" w:rsidRDefault="00FF1F65" w:rsidP="006F1155">
            <w:pPr>
              <w:pStyle w:val="Tablehead"/>
            </w:pPr>
          </w:p>
        </w:tc>
        <w:tc>
          <w:tcPr>
            <w:tcW w:w="1134" w:type="dxa"/>
            <w:vAlign w:val="center"/>
          </w:tcPr>
          <w:p w14:paraId="53796356" w14:textId="62EA40BA" w:rsidR="00FF1F65" w:rsidRPr="000E3BB4" w:rsidRDefault="00FF1F65" w:rsidP="006F1155">
            <w:pPr>
              <w:pStyle w:val="Tablehead"/>
            </w:pPr>
            <w:r w:rsidRPr="000E3BB4">
              <w:rPr>
                <w:i/>
                <w:iCs/>
              </w:rPr>
              <w:t>B</w:t>
            </w:r>
            <w:r w:rsidR="00387F5F" w:rsidRPr="00387F5F">
              <w:rPr>
                <w:i/>
                <w:iCs/>
                <w:vertAlign w:val="subscript"/>
              </w:rPr>
              <w:t>L</w:t>
            </w:r>
          </w:p>
        </w:tc>
        <w:tc>
          <w:tcPr>
            <w:tcW w:w="1276" w:type="dxa"/>
            <w:vAlign w:val="center"/>
          </w:tcPr>
          <w:p w14:paraId="72E4BA99" w14:textId="77777777" w:rsidR="00FF1F65" w:rsidRPr="000E3BB4" w:rsidRDefault="00FF1F65" w:rsidP="006F1155">
            <w:pPr>
              <w:pStyle w:val="Tablehead"/>
            </w:pPr>
            <w:r w:rsidRPr="000E3BB4">
              <w:t>Separation</w:t>
            </w:r>
          </w:p>
        </w:tc>
        <w:tc>
          <w:tcPr>
            <w:tcW w:w="1276" w:type="dxa"/>
            <w:vMerge/>
            <w:vAlign w:val="center"/>
          </w:tcPr>
          <w:p w14:paraId="4BD7700D" w14:textId="77777777" w:rsidR="00FF1F65" w:rsidRPr="000E3BB4" w:rsidRDefault="00FF1F65" w:rsidP="006F1155">
            <w:pPr>
              <w:pStyle w:val="Tablehead"/>
            </w:pPr>
          </w:p>
        </w:tc>
        <w:tc>
          <w:tcPr>
            <w:tcW w:w="1276" w:type="dxa"/>
            <w:vAlign w:val="center"/>
          </w:tcPr>
          <w:p w14:paraId="22F26EED" w14:textId="63C226CC" w:rsidR="00FF1F65" w:rsidRPr="000E3BB4" w:rsidRDefault="00FF1F65" w:rsidP="006F1155">
            <w:pPr>
              <w:pStyle w:val="Tablehead"/>
            </w:pPr>
            <w:r w:rsidRPr="000E3BB4">
              <w:rPr>
                <w:i/>
                <w:iCs/>
              </w:rPr>
              <w:t>B</w:t>
            </w:r>
            <w:r w:rsidR="00387F5F" w:rsidRPr="00387F5F">
              <w:rPr>
                <w:i/>
                <w:iCs/>
                <w:vertAlign w:val="subscript"/>
              </w:rPr>
              <w:t>U</w:t>
            </w:r>
          </w:p>
        </w:tc>
        <w:tc>
          <w:tcPr>
            <w:tcW w:w="1917" w:type="dxa"/>
            <w:vAlign w:val="center"/>
          </w:tcPr>
          <w:p w14:paraId="49964985" w14:textId="77777777" w:rsidR="00FF1F65" w:rsidRPr="000E3BB4" w:rsidRDefault="00FF1F65" w:rsidP="006F1155">
            <w:pPr>
              <w:pStyle w:val="Tablehead"/>
            </w:pPr>
            <w:r w:rsidRPr="000E3BB4">
              <w:t>Separation</w:t>
            </w:r>
          </w:p>
        </w:tc>
      </w:tr>
      <w:tr w:rsidR="00FF1F65" w:rsidRPr="000E3BB4" w14:paraId="10674878" w14:textId="77777777" w:rsidTr="004E6440">
        <w:trPr>
          <w:jc w:val="center"/>
        </w:trPr>
        <w:tc>
          <w:tcPr>
            <w:tcW w:w="2263" w:type="dxa"/>
          </w:tcPr>
          <w:p w14:paraId="08A92583" w14:textId="35DA991A" w:rsidR="00FF1F65" w:rsidRPr="000E3BB4" w:rsidRDefault="00FF1F65" w:rsidP="006F1155">
            <w:pPr>
              <w:pStyle w:val="Tabletext"/>
            </w:pPr>
            <w:r w:rsidRPr="000E3BB4">
              <w:t xml:space="preserve">9 kHz </w:t>
            </w:r>
            <w:r>
              <w:t>&lt;</w:t>
            </w:r>
            <w:r w:rsidRPr="000E3BB4">
              <w:t xml:space="preserve"> </w:t>
            </w:r>
            <w:r w:rsidRPr="000E3BB4">
              <w:rPr>
                <w:i/>
              </w:rPr>
              <w:t>f</w:t>
            </w:r>
            <w:r w:rsidRPr="000E3BB4">
              <w:rPr>
                <w:i/>
                <w:iCs/>
                <w:position w:val="-4"/>
              </w:rPr>
              <w:t>c</w:t>
            </w:r>
            <w:r w:rsidRPr="000E3BB4">
              <w:t xml:space="preserve"> </w:t>
            </w:r>
            <w:r>
              <w:t>&lt;</w:t>
            </w:r>
            <w:r w:rsidRPr="000E3BB4">
              <w:t xml:space="preserve"> 150 kHz</w:t>
            </w:r>
          </w:p>
        </w:tc>
        <w:tc>
          <w:tcPr>
            <w:tcW w:w="1134" w:type="dxa"/>
          </w:tcPr>
          <w:p w14:paraId="5C10D31A" w14:textId="77777777" w:rsidR="00FF1F65" w:rsidRPr="000E3BB4" w:rsidRDefault="00FF1F65" w:rsidP="006F1155">
            <w:pPr>
              <w:pStyle w:val="Tabletext"/>
              <w:jc w:val="center"/>
            </w:pPr>
            <w:r w:rsidRPr="000E3BB4">
              <w:t>250 Hz</w:t>
            </w:r>
          </w:p>
        </w:tc>
        <w:tc>
          <w:tcPr>
            <w:tcW w:w="1276" w:type="dxa"/>
          </w:tcPr>
          <w:p w14:paraId="0C7F7559" w14:textId="77777777" w:rsidR="00FF1F65" w:rsidRPr="000E3BB4" w:rsidRDefault="00FF1F65" w:rsidP="006F1155">
            <w:pPr>
              <w:pStyle w:val="Tabletext"/>
              <w:jc w:val="center"/>
            </w:pPr>
            <w:r w:rsidRPr="000E3BB4">
              <w:t>625 Hz</w:t>
            </w:r>
          </w:p>
        </w:tc>
        <w:tc>
          <w:tcPr>
            <w:tcW w:w="1276" w:type="dxa"/>
          </w:tcPr>
          <w:p w14:paraId="10C59633" w14:textId="0F448F82"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071FE538" w14:textId="77777777" w:rsidR="00FF1F65" w:rsidRPr="000E3BB4" w:rsidRDefault="00FF1F65" w:rsidP="006F1155">
            <w:pPr>
              <w:pStyle w:val="Tabletext"/>
              <w:jc w:val="center"/>
            </w:pPr>
            <w:r w:rsidRPr="000E3BB4">
              <w:t>10 kHz</w:t>
            </w:r>
          </w:p>
        </w:tc>
        <w:tc>
          <w:tcPr>
            <w:tcW w:w="1917" w:type="dxa"/>
          </w:tcPr>
          <w:p w14:paraId="6DA93BC8" w14:textId="7C4E3675"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+ 10 kHz</w:t>
            </w:r>
          </w:p>
        </w:tc>
      </w:tr>
      <w:tr w:rsidR="00FF1F65" w:rsidRPr="000E3BB4" w14:paraId="6AD08FD2" w14:textId="77777777" w:rsidTr="004E6440">
        <w:trPr>
          <w:jc w:val="center"/>
        </w:trPr>
        <w:tc>
          <w:tcPr>
            <w:tcW w:w="2263" w:type="dxa"/>
          </w:tcPr>
          <w:p w14:paraId="6553CAC8" w14:textId="77777777" w:rsidR="00FF1F65" w:rsidRPr="000E3BB4" w:rsidRDefault="00FF1F65" w:rsidP="006F1155">
            <w:pPr>
              <w:pStyle w:val="Tabletext"/>
            </w:pPr>
            <w:r w:rsidRPr="000E3BB4">
              <w:t xml:space="preserve">150 kHz </w:t>
            </w:r>
            <w:r>
              <w:t>&lt;</w:t>
            </w:r>
            <w:r w:rsidRPr="000E3BB4">
              <w:t xml:space="preserve"> </w:t>
            </w:r>
            <w:r w:rsidRPr="000E3BB4">
              <w:rPr>
                <w:i/>
              </w:rPr>
              <w:t>f</w:t>
            </w:r>
            <w:r w:rsidRPr="000E3BB4">
              <w:rPr>
                <w:i/>
                <w:iCs/>
                <w:position w:val="-4"/>
              </w:rPr>
              <w:t>c</w:t>
            </w:r>
            <w:r w:rsidRPr="000E3BB4">
              <w:t xml:space="preserve"> </w:t>
            </w:r>
            <w:r>
              <w:t>&lt;</w:t>
            </w:r>
            <w:r w:rsidRPr="000E3BB4">
              <w:t xml:space="preserve"> 30 MHz</w:t>
            </w:r>
          </w:p>
        </w:tc>
        <w:tc>
          <w:tcPr>
            <w:tcW w:w="1134" w:type="dxa"/>
          </w:tcPr>
          <w:p w14:paraId="5A97346B" w14:textId="77777777" w:rsidR="00FF1F65" w:rsidRPr="000E3BB4" w:rsidRDefault="00FF1F65" w:rsidP="006F1155">
            <w:pPr>
              <w:pStyle w:val="Tabletext"/>
              <w:jc w:val="center"/>
            </w:pPr>
            <w:r w:rsidRPr="000E3BB4">
              <w:t>4 kHz</w:t>
            </w:r>
          </w:p>
        </w:tc>
        <w:tc>
          <w:tcPr>
            <w:tcW w:w="1276" w:type="dxa"/>
          </w:tcPr>
          <w:p w14:paraId="75C2DDEF" w14:textId="77777777" w:rsidR="00FF1F65" w:rsidRPr="000E3BB4" w:rsidRDefault="00FF1F65" w:rsidP="006F1155">
            <w:pPr>
              <w:pStyle w:val="Tabletext"/>
              <w:jc w:val="center"/>
            </w:pPr>
            <w:r w:rsidRPr="000E3BB4">
              <w:t>10 kHz</w:t>
            </w:r>
          </w:p>
        </w:tc>
        <w:tc>
          <w:tcPr>
            <w:tcW w:w="1276" w:type="dxa"/>
          </w:tcPr>
          <w:p w14:paraId="4FC91DB3" w14:textId="4D00A6B1"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718529E0" w14:textId="77777777" w:rsidR="00FF1F65" w:rsidRPr="000E3BB4" w:rsidRDefault="00FF1F65" w:rsidP="006F1155">
            <w:pPr>
              <w:pStyle w:val="Tabletext"/>
              <w:jc w:val="center"/>
            </w:pPr>
            <w:r w:rsidRPr="000E3BB4">
              <w:t>100 kHz</w:t>
            </w:r>
          </w:p>
        </w:tc>
        <w:tc>
          <w:tcPr>
            <w:tcW w:w="1917" w:type="dxa"/>
          </w:tcPr>
          <w:p w14:paraId="1CA46C04" w14:textId="5AE12448"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+ 100 kHz</w:t>
            </w:r>
          </w:p>
        </w:tc>
      </w:tr>
      <w:tr w:rsidR="00FF1F65" w:rsidRPr="000E3BB4" w14:paraId="16BB85BF" w14:textId="77777777" w:rsidTr="004E6440">
        <w:trPr>
          <w:jc w:val="center"/>
        </w:trPr>
        <w:tc>
          <w:tcPr>
            <w:tcW w:w="2263" w:type="dxa"/>
          </w:tcPr>
          <w:p w14:paraId="5E2A583C" w14:textId="77777777" w:rsidR="00FF1F65" w:rsidRPr="000E3BB4" w:rsidRDefault="00FF1F65" w:rsidP="006F1155">
            <w:pPr>
              <w:pStyle w:val="Tabletext"/>
            </w:pPr>
            <w:r w:rsidRPr="000E3BB4">
              <w:t xml:space="preserve">30 MHz </w:t>
            </w:r>
            <w:r>
              <w:t>&lt;</w:t>
            </w:r>
            <w:r w:rsidRPr="000E3BB4">
              <w:t xml:space="preserve"> </w:t>
            </w:r>
            <w:r w:rsidRPr="000E3BB4">
              <w:rPr>
                <w:i/>
              </w:rPr>
              <w:t>f</w:t>
            </w:r>
            <w:r w:rsidRPr="000E3BB4">
              <w:rPr>
                <w:i/>
                <w:iCs/>
                <w:position w:val="-4"/>
              </w:rPr>
              <w:t>c</w:t>
            </w:r>
            <w:r w:rsidRPr="000E3BB4">
              <w:t xml:space="preserve"> </w:t>
            </w:r>
            <w:r>
              <w:t>&lt;</w:t>
            </w:r>
            <w:r w:rsidRPr="000E3BB4">
              <w:t xml:space="preserve"> 1 GHz</w:t>
            </w:r>
          </w:p>
        </w:tc>
        <w:tc>
          <w:tcPr>
            <w:tcW w:w="1134" w:type="dxa"/>
          </w:tcPr>
          <w:p w14:paraId="1987D3D6" w14:textId="77777777" w:rsidR="00FF1F65" w:rsidRPr="000E3BB4" w:rsidRDefault="00FF1F65" w:rsidP="006F1155">
            <w:pPr>
              <w:pStyle w:val="Tabletext"/>
              <w:jc w:val="center"/>
            </w:pPr>
            <w:r w:rsidRPr="000E3BB4">
              <w:t>25 kHz</w:t>
            </w:r>
          </w:p>
        </w:tc>
        <w:tc>
          <w:tcPr>
            <w:tcW w:w="1276" w:type="dxa"/>
          </w:tcPr>
          <w:p w14:paraId="0AD66AA6" w14:textId="77777777" w:rsidR="00FF1F65" w:rsidRPr="000E3BB4" w:rsidRDefault="00FF1F65" w:rsidP="006F1155">
            <w:pPr>
              <w:pStyle w:val="Tabletext"/>
              <w:jc w:val="center"/>
            </w:pPr>
            <w:r w:rsidRPr="000E3BB4">
              <w:t>62.5 kHz</w:t>
            </w:r>
          </w:p>
        </w:tc>
        <w:tc>
          <w:tcPr>
            <w:tcW w:w="1276" w:type="dxa"/>
          </w:tcPr>
          <w:p w14:paraId="5EC614BB" w14:textId="42480868"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70162D23" w14:textId="77777777" w:rsidR="00FF1F65" w:rsidRPr="000E3BB4" w:rsidRDefault="00FF1F65" w:rsidP="006F1155">
            <w:pPr>
              <w:pStyle w:val="Tabletext"/>
              <w:jc w:val="center"/>
            </w:pPr>
            <w:r w:rsidRPr="000E3BB4">
              <w:t>10 MHz</w:t>
            </w:r>
          </w:p>
        </w:tc>
        <w:tc>
          <w:tcPr>
            <w:tcW w:w="1917" w:type="dxa"/>
          </w:tcPr>
          <w:p w14:paraId="1DCE8470" w14:textId="2158FCDA"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+ 10 MHz</w:t>
            </w:r>
          </w:p>
        </w:tc>
      </w:tr>
      <w:tr w:rsidR="00FF1F65" w:rsidRPr="000E3BB4" w14:paraId="4F8FE0B4" w14:textId="77777777" w:rsidTr="004E6440">
        <w:trPr>
          <w:jc w:val="center"/>
        </w:trPr>
        <w:tc>
          <w:tcPr>
            <w:tcW w:w="2263" w:type="dxa"/>
          </w:tcPr>
          <w:p w14:paraId="3306A7AF" w14:textId="77777777" w:rsidR="00FF1F65" w:rsidRPr="000E3BB4" w:rsidRDefault="00FF1F65" w:rsidP="006F1155">
            <w:pPr>
              <w:pStyle w:val="Tabletext"/>
            </w:pPr>
            <w:r w:rsidRPr="000E3BB4">
              <w:t xml:space="preserve">1 GHz </w:t>
            </w:r>
            <w:r>
              <w:t>&lt;</w:t>
            </w:r>
            <w:r w:rsidRPr="000E3BB4">
              <w:t xml:space="preserve"> </w:t>
            </w:r>
            <w:r w:rsidRPr="000E3BB4">
              <w:rPr>
                <w:i/>
              </w:rPr>
              <w:t>f</w:t>
            </w:r>
            <w:r w:rsidRPr="000E3BB4">
              <w:rPr>
                <w:i/>
                <w:iCs/>
                <w:position w:val="-4"/>
              </w:rPr>
              <w:t>c</w:t>
            </w:r>
            <w:r w:rsidRPr="000E3BB4">
              <w:t xml:space="preserve"> </w:t>
            </w:r>
            <w:r>
              <w:t>&lt;</w:t>
            </w:r>
            <w:r w:rsidRPr="000E3BB4">
              <w:t xml:space="preserve"> 3 GHz</w:t>
            </w:r>
          </w:p>
        </w:tc>
        <w:tc>
          <w:tcPr>
            <w:tcW w:w="1134" w:type="dxa"/>
          </w:tcPr>
          <w:p w14:paraId="215BC05D" w14:textId="77777777" w:rsidR="00FF1F65" w:rsidRPr="000E3BB4" w:rsidRDefault="00FF1F65" w:rsidP="006F1155">
            <w:pPr>
              <w:pStyle w:val="Tabletext"/>
              <w:jc w:val="center"/>
            </w:pPr>
            <w:r w:rsidRPr="000E3BB4">
              <w:t>100 kHz</w:t>
            </w:r>
          </w:p>
        </w:tc>
        <w:tc>
          <w:tcPr>
            <w:tcW w:w="1276" w:type="dxa"/>
          </w:tcPr>
          <w:p w14:paraId="57EF76D1" w14:textId="77777777" w:rsidR="00FF1F65" w:rsidRPr="000E3BB4" w:rsidRDefault="00FF1F65" w:rsidP="006F1155">
            <w:pPr>
              <w:pStyle w:val="Tabletext"/>
              <w:jc w:val="center"/>
            </w:pPr>
            <w:r w:rsidRPr="000E3BB4">
              <w:t>250 kHz</w:t>
            </w:r>
          </w:p>
        </w:tc>
        <w:tc>
          <w:tcPr>
            <w:tcW w:w="1276" w:type="dxa"/>
          </w:tcPr>
          <w:p w14:paraId="18AE1143" w14:textId="1E792094"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68D8E8F1" w14:textId="77777777" w:rsidR="00FF1F65" w:rsidRPr="000E3BB4" w:rsidRDefault="00FF1F65" w:rsidP="006F1155">
            <w:pPr>
              <w:pStyle w:val="Tabletext"/>
              <w:jc w:val="center"/>
            </w:pPr>
            <w:r w:rsidRPr="000E3BB4">
              <w:t>50 MHz</w:t>
            </w:r>
          </w:p>
        </w:tc>
        <w:tc>
          <w:tcPr>
            <w:tcW w:w="1917" w:type="dxa"/>
          </w:tcPr>
          <w:p w14:paraId="646D48D4" w14:textId="52A07EAF"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+ 50 MHz</w:t>
            </w:r>
          </w:p>
        </w:tc>
      </w:tr>
      <w:tr w:rsidR="00FF1F65" w:rsidRPr="000E3BB4" w14:paraId="67B91CFD" w14:textId="77777777" w:rsidTr="004E6440">
        <w:trPr>
          <w:jc w:val="center"/>
        </w:trPr>
        <w:tc>
          <w:tcPr>
            <w:tcW w:w="2263" w:type="dxa"/>
          </w:tcPr>
          <w:p w14:paraId="5DAC449D" w14:textId="77777777" w:rsidR="00FF1F65" w:rsidRPr="000E3BB4" w:rsidRDefault="00FF1F65" w:rsidP="006F1155">
            <w:pPr>
              <w:pStyle w:val="Tabletext"/>
            </w:pPr>
            <w:r w:rsidRPr="000E3BB4">
              <w:t xml:space="preserve">3 GHz </w:t>
            </w:r>
            <w:r>
              <w:t>&lt;</w:t>
            </w:r>
            <w:r w:rsidRPr="000E3BB4">
              <w:t xml:space="preserve"> </w:t>
            </w:r>
            <w:r w:rsidRPr="000E3BB4">
              <w:rPr>
                <w:i/>
              </w:rPr>
              <w:t>f</w:t>
            </w:r>
            <w:r w:rsidRPr="000E3BB4">
              <w:rPr>
                <w:i/>
                <w:iCs/>
                <w:position w:val="-4"/>
              </w:rPr>
              <w:t>c</w:t>
            </w:r>
            <w:r w:rsidRPr="000E3BB4">
              <w:t> </w:t>
            </w:r>
            <w:r>
              <w:t>&lt;</w:t>
            </w:r>
            <w:r w:rsidRPr="000E3BB4">
              <w:t xml:space="preserve"> 10 GHz</w:t>
            </w:r>
          </w:p>
        </w:tc>
        <w:tc>
          <w:tcPr>
            <w:tcW w:w="1134" w:type="dxa"/>
          </w:tcPr>
          <w:p w14:paraId="34D1121A" w14:textId="77777777" w:rsidR="00FF1F65" w:rsidRPr="000E3BB4" w:rsidRDefault="00FF1F65" w:rsidP="006F1155">
            <w:pPr>
              <w:pStyle w:val="Tabletext"/>
              <w:jc w:val="center"/>
            </w:pPr>
            <w:r w:rsidRPr="000E3BB4">
              <w:t>100 kHz</w:t>
            </w:r>
          </w:p>
        </w:tc>
        <w:tc>
          <w:tcPr>
            <w:tcW w:w="1276" w:type="dxa"/>
          </w:tcPr>
          <w:p w14:paraId="53B04BD5" w14:textId="77777777" w:rsidR="00FF1F65" w:rsidRPr="000E3BB4" w:rsidRDefault="00FF1F65" w:rsidP="006F1155">
            <w:pPr>
              <w:pStyle w:val="Tabletext"/>
              <w:jc w:val="center"/>
            </w:pPr>
            <w:r w:rsidRPr="000E3BB4">
              <w:t>250 kHz</w:t>
            </w:r>
          </w:p>
        </w:tc>
        <w:tc>
          <w:tcPr>
            <w:tcW w:w="1276" w:type="dxa"/>
          </w:tcPr>
          <w:p w14:paraId="2D5A02CC" w14:textId="11007463"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712A0C78" w14:textId="77777777" w:rsidR="00FF1F65" w:rsidRPr="000E3BB4" w:rsidRDefault="00FF1F65" w:rsidP="006F1155">
            <w:pPr>
              <w:pStyle w:val="Tabletext"/>
              <w:jc w:val="center"/>
            </w:pPr>
            <w:r w:rsidRPr="000E3BB4">
              <w:t>100 MHz</w:t>
            </w:r>
          </w:p>
        </w:tc>
        <w:tc>
          <w:tcPr>
            <w:tcW w:w="1917" w:type="dxa"/>
          </w:tcPr>
          <w:p w14:paraId="752D58EB" w14:textId="3C76117E"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+ 100 MHz</w:t>
            </w:r>
          </w:p>
        </w:tc>
      </w:tr>
      <w:tr w:rsidR="00FF1F65" w:rsidRPr="000E3BB4" w14:paraId="1A378CA3" w14:textId="77777777" w:rsidTr="004E6440">
        <w:trPr>
          <w:jc w:val="center"/>
        </w:trPr>
        <w:tc>
          <w:tcPr>
            <w:tcW w:w="2263" w:type="dxa"/>
          </w:tcPr>
          <w:p w14:paraId="439A0C39" w14:textId="77777777" w:rsidR="00FF1F65" w:rsidRPr="000E3BB4" w:rsidRDefault="00FF1F65" w:rsidP="006F1155">
            <w:pPr>
              <w:pStyle w:val="Tabletext"/>
            </w:pPr>
            <w:r w:rsidRPr="000E3BB4">
              <w:t xml:space="preserve">10 GHz </w:t>
            </w:r>
            <w:r>
              <w:t>&lt;</w:t>
            </w:r>
            <w:r w:rsidRPr="000E3BB4">
              <w:t xml:space="preserve"> </w:t>
            </w:r>
            <w:r w:rsidRPr="000E3BB4">
              <w:rPr>
                <w:i/>
              </w:rPr>
              <w:t>f</w:t>
            </w:r>
            <w:r w:rsidRPr="000E3BB4">
              <w:rPr>
                <w:i/>
                <w:iCs/>
                <w:position w:val="-4"/>
              </w:rPr>
              <w:t>c</w:t>
            </w:r>
            <w:r w:rsidRPr="000E3BB4">
              <w:t> </w:t>
            </w:r>
            <w:r>
              <w:t>&lt;</w:t>
            </w:r>
            <w:r w:rsidRPr="000E3BB4">
              <w:t xml:space="preserve"> 15 GHz</w:t>
            </w:r>
          </w:p>
        </w:tc>
        <w:tc>
          <w:tcPr>
            <w:tcW w:w="1134" w:type="dxa"/>
          </w:tcPr>
          <w:p w14:paraId="07D3B948" w14:textId="77777777" w:rsidR="00FF1F65" w:rsidRPr="000E3BB4" w:rsidRDefault="00FF1F65" w:rsidP="006F1155">
            <w:pPr>
              <w:pStyle w:val="Tabletext"/>
              <w:jc w:val="center"/>
            </w:pPr>
            <w:r w:rsidRPr="000E3BB4">
              <w:t>300 kHz</w:t>
            </w:r>
          </w:p>
        </w:tc>
        <w:tc>
          <w:tcPr>
            <w:tcW w:w="1276" w:type="dxa"/>
          </w:tcPr>
          <w:p w14:paraId="6077B913" w14:textId="77777777" w:rsidR="00FF1F65" w:rsidRPr="000E3BB4" w:rsidRDefault="00FF1F65" w:rsidP="006F1155">
            <w:pPr>
              <w:pStyle w:val="Tabletext"/>
              <w:jc w:val="center"/>
            </w:pPr>
            <w:r w:rsidRPr="000E3BB4">
              <w:t>750 kHz</w:t>
            </w:r>
          </w:p>
        </w:tc>
        <w:tc>
          <w:tcPr>
            <w:tcW w:w="1276" w:type="dxa"/>
          </w:tcPr>
          <w:p w14:paraId="6C03F766" w14:textId="5C5F601B"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6F36FAAA" w14:textId="77777777" w:rsidR="00FF1F65" w:rsidRPr="000E3BB4" w:rsidRDefault="00FF1F65" w:rsidP="006F1155">
            <w:pPr>
              <w:pStyle w:val="Tabletext"/>
              <w:jc w:val="center"/>
            </w:pPr>
            <w:r w:rsidRPr="000E3BB4">
              <w:t>250 MHz</w:t>
            </w:r>
          </w:p>
        </w:tc>
        <w:tc>
          <w:tcPr>
            <w:tcW w:w="1917" w:type="dxa"/>
          </w:tcPr>
          <w:p w14:paraId="2B3B3A47" w14:textId="179DB2E7"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+ 250 MHz</w:t>
            </w:r>
          </w:p>
        </w:tc>
      </w:tr>
      <w:tr w:rsidR="00FF1F65" w:rsidRPr="000E3BB4" w14:paraId="2E5EEEC6" w14:textId="77777777" w:rsidTr="004E6440">
        <w:trPr>
          <w:jc w:val="center"/>
        </w:trPr>
        <w:tc>
          <w:tcPr>
            <w:tcW w:w="2263" w:type="dxa"/>
          </w:tcPr>
          <w:p w14:paraId="601B10B2" w14:textId="36DF1F97" w:rsidR="00FF1F65" w:rsidRPr="000E3BB4" w:rsidRDefault="00FF1F65" w:rsidP="006F1155">
            <w:pPr>
              <w:pStyle w:val="Tabletext"/>
            </w:pPr>
            <w:r w:rsidRPr="000E3BB4">
              <w:t xml:space="preserve">15 GHz </w:t>
            </w:r>
            <w:r>
              <w:t>&lt;</w:t>
            </w:r>
            <w:r w:rsidRPr="000E3BB4">
              <w:t xml:space="preserve"> </w:t>
            </w:r>
            <w:proofErr w:type="spellStart"/>
            <w:r w:rsidRPr="000E3BB4">
              <w:rPr>
                <w:i/>
              </w:rPr>
              <w:t>f</w:t>
            </w:r>
            <w:r w:rsidR="00387F5F" w:rsidRPr="00387F5F">
              <w:rPr>
                <w:i/>
                <w:vertAlign w:val="subscript"/>
              </w:rPr>
              <w:t>C</w:t>
            </w:r>
            <w:proofErr w:type="spellEnd"/>
            <w:r w:rsidRPr="000E3BB4">
              <w:t xml:space="preserve"> </w:t>
            </w:r>
            <w:r>
              <w:t>&lt;</w:t>
            </w:r>
            <w:r w:rsidRPr="000E3BB4">
              <w:t xml:space="preserve"> 26 GHz</w:t>
            </w:r>
          </w:p>
        </w:tc>
        <w:tc>
          <w:tcPr>
            <w:tcW w:w="1134" w:type="dxa"/>
          </w:tcPr>
          <w:p w14:paraId="095C6172" w14:textId="77777777" w:rsidR="00FF1F65" w:rsidRPr="000E3BB4" w:rsidRDefault="00FF1F65" w:rsidP="006F1155">
            <w:pPr>
              <w:pStyle w:val="Tabletext"/>
              <w:jc w:val="center"/>
            </w:pPr>
            <w:r w:rsidRPr="000E3BB4">
              <w:t>500 kHz</w:t>
            </w:r>
          </w:p>
        </w:tc>
        <w:tc>
          <w:tcPr>
            <w:tcW w:w="1276" w:type="dxa"/>
          </w:tcPr>
          <w:p w14:paraId="381311A8" w14:textId="77777777" w:rsidR="00FF1F65" w:rsidRPr="000E3BB4" w:rsidRDefault="00FF1F65" w:rsidP="006F1155">
            <w:pPr>
              <w:pStyle w:val="Tabletext"/>
              <w:jc w:val="center"/>
            </w:pPr>
            <w:r w:rsidRPr="000E3BB4">
              <w:t>1.25 MHz</w:t>
            </w:r>
          </w:p>
        </w:tc>
        <w:tc>
          <w:tcPr>
            <w:tcW w:w="1276" w:type="dxa"/>
          </w:tcPr>
          <w:p w14:paraId="4E991932" w14:textId="02911807"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626871B9" w14:textId="77777777" w:rsidR="00FF1F65" w:rsidRPr="000E3BB4" w:rsidRDefault="00FF1F65" w:rsidP="006F1155">
            <w:pPr>
              <w:pStyle w:val="Tabletext"/>
              <w:jc w:val="center"/>
            </w:pPr>
            <w:r w:rsidRPr="000E3BB4">
              <w:t>500 MHz</w:t>
            </w:r>
          </w:p>
        </w:tc>
        <w:tc>
          <w:tcPr>
            <w:tcW w:w="1917" w:type="dxa"/>
          </w:tcPr>
          <w:p w14:paraId="5BDFA8E3" w14:textId="4D501D80"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+ 500 MHz</w:t>
            </w:r>
          </w:p>
        </w:tc>
      </w:tr>
      <w:tr w:rsidR="00FF1F65" w:rsidRPr="000E3BB4" w14:paraId="37B6781E" w14:textId="77777777" w:rsidTr="004E6440">
        <w:trPr>
          <w:jc w:val="center"/>
        </w:trPr>
        <w:tc>
          <w:tcPr>
            <w:tcW w:w="2263" w:type="dxa"/>
          </w:tcPr>
          <w:p w14:paraId="0AFAE166" w14:textId="77777777" w:rsidR="00FF1F65" w:rsidRPr="000E3BB4" w:rsidRDefault="00FF1F65" w:rsidP="006F1155">
            <w:pPr>
              <w:pStyle w:val="Tabletext"/>
            </w:pPr>
            <w:r w:rsidRPr="000E3BB4">
              <w:rPr>
                <w:i/>
              </w:rPr>
              <w:t>f</w:t>
            </w:r>
            <w:r w:rsidRPr="000E3BB4">
              <w:rPr>
                <w:i/>
                <w:iCs/>
                <w:position w:val="-4"/>
              </w:rPr>
              <w:t>c</w:t>
            </w:r>
            <w:r w:rsidRPr="000E3BB4">
              <w:t xml:space="preserve"> </w:t>
            </w:r>
            <w:r>
              <w:t>&gt;</w:t>
            </w:r>
            <w:r w:rsidRPr="000E3BB4">
              <w:t xml:space="preserve"> 26 GHz</w:t>
            </w:r>
          </w:p>
        </w:tc>
        <w:tc>
          <w:tcPr>
            <w:tcW w:w="1134" w:type="dxa"/>
          </w:tcPr>
          <w:p w14:paraId="55A5B3C3" w14:textId="77777777" w:rsidR="00FF1F65" w:rsidRPr="000E3BB4" w:rsidRDefault="00FF1F65" w:rsidP="006F1155">
            <w:pPr>
              <w:pStyle w:val="Tabletext"/>
              <w:jc w:val="center"/>
            </w:pPr>
            <w:r w:rsidRPr="000E3BB4">
              <w:t>1 MHz</w:t>
            </w:r>
          </w:p>
        </w:tc>
        <w:tc>
          <w:tcPr>
            <w:tcW w:w="1276" w:type="dxa"/>
          </w:tcPr>
          <w:p w14:paraId="50EE1209" w14:textId="77777777" w:rsidR="00FF1F65" w:rsidRPr="000E3BB4" w:rsidRDefault="00FF1F65" w:rsidP="006F1155">
            <w:pPr>
              <w:pStyle w:val="Tabletext"/>
              <w:jc w:val="center"/>
            </w:pPr>
            <w:r w:rsidRPr="000E3BB4">
              <w:t>2.5 MHz</w:t>
            </w:r>
          </w:p>
        </w:tc>
        <w:tc>
          <w:tcPr>
            <w:tcW w:w="1276" w:type="dxa"/>
          </w:tcPr>
          <w:p w14:paraId="5836C713" w14:textId="6010F273" w:rsidR="00FF1F65" w:rsidRPr="000E3BB4" w:rsidRDefault="00FF1F65" w:rsidP="006F1155">
            <w:pPr>
              <w:pStyle w:val="Tabletext"/>
              <w:jc w:val="center"/>
            </w:pPr>
            <w:r w:rsidRPr="000E3BB4">
              <w:t xml:space="preserve">2.5 </w:t>
            </w:r>
            <w:r w:rsidRPr="000E3BB4">
              <w:rPr>
                <w:i/>
              </w:rPr>
              <w:t>B</w:t>
            </w:r>
            <w:r w:rsidR="00387F5F" w:rsidRPr="00387F5F">
              <w:rPr>
                <w:i/>
                <w:iCs/>
                <w:vertAlign w:val="subscript"/>
              </w:rPr>
              <w:t>N</w:t>
            </w:r>
          </w:p>
        </w:tc>
        <w:tc>
          <w:tcPr>
            <w:tcW w:w="1276" w:type="dxa"/>
          </w:tcPr>
          <w:p w14:paraId="487FFBA5" w14:textId="77777777" w:rsidR="00FF1F65" w:rsidRPr="000E3BB4" w:rsidRDefault="00FF1F65" w:rsidP="006F1155">
            <w:pPr>
              <w:pStyle w:val="Tabletext"/>
              <w:jc w:val="center"/>
            </w:pPr>
            <w:r w:rsidRPr="000E3BB4">
              <w:t>500 MHz</w:t>
            </w:r>
          </w:p>
        </w:tc>
        <w:tc>
          <w:tcPr>
            <w:tcW w:w="1917" w:type="dxa"/>
          </w:tcPr>
          <w:p w14:paraId="70E5B750" w14:textId="237767A3" w:rsidR="00FF1F65" w:rsidRPr="000E3BB4" w:rsidRDefault="00FF1F65" w:rsidP="006F1155">
            <w:pPr>
              <w:pStyle w:val="Tabletext"/>
              <w:jc w:val="center"/>
            </w:pPr>
            <w:r w:rsidRPr="000E3BB4">
              <w:t xml:space="preserve">1.5 </w:t>
            </w:r>
            <w:r w:rsidRPr="000E3BB4">
              <w:rPr>
                <w:i/>
              </w:rPr>
              <w:t>B</w:t>
            </w:r>
            <w:r w:rsidR="00387F5F" w:rsidRPr="00387F5F">
              <w:rPr>
                <w:i/>
                <w:iCs/>
                <w:vertAlign w:val="subscript"/>
              </w:rPr>
              <w:t>N</w:t>
            </w:r>
            <w:r w:rsidRPr="000E3BB4">
              <w:t xml:space="preserve"> + 500</w:t>
            </w:r>
            <w:r w:rsidR="004E6440">
              <w:t> </w:t>
            </w:r>
            <w:r w:rsidRPr="000E3BB4">
              <w:t>MHz</w:t>
            </w:r>
          </w:p>
        </w:tc>
      </w:tr>
      <w:tr w:rsidR="00FF1F65" w:rsidRPr="000E3BB4" w14:paraId="073A7BC2" w14:textId="77777777" w:rsidTr="006F11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142" w:type="dxa"/>
            <w:gridSpan w:val="6"/>
          </w:tcPr>
          <w:p w14:paraId="6E2ADAB5" w14:textId="77777777" w:rsidR="00FF1F65" w:rsidRPr="000E3BB4" w:rsidRDefault="00FF1F65" w:rsidP="00387F5F">
            <w:pPr>
              <w:pStyle w:val="Tabletext"/>
            </w:pPr>
            <w:r w:rsidRPr="000E3BB4">
              <w:t xml:space="preserve">NOTE 1 – In Table 2, </w:t>
            </w:r>
            <w:r w:rsidRPr="000E3BB4">
              <w:rPr>
                <w:i/>
                <w:iCs/>
              </w:rPr>
              <w:t>f</w:t>
            </w:r>
            <w:r w:rsidRPr="000E3BB4">
              <w:rPr>
                <w:i/>
                <w:iCs/>
                <w:position w:val="-4"/>
              </w:rPr>
              <w:t>c</w:t>
            </w:r>
            <w:r w:rsidRPr="000E3BB4">
              <w:t xml:space="preserve"> is the centre frequency of the emission. If the assigned frequency band of the emissions extends across two frequency ranges, then the values corresponding to the higher frequency range may be used for the whole assignment.</w:t>
            </w:r>
          </w:p>
          <w:p w14:paraId="7D153A5A" w14:textId="77777777" w:rsidR="00FF1F65" w:rsidRPr="000E3BB4" w:rsidRDefault="00FF1F65" w:rsidP="00387F5F">
            <w:pPr>
              <w:pStyle w:val="Tabletext"/>
            </w:pPr>
            <w:r w:rsidRPr="000E3BB4">
              <w:t>NOTE 2 – For situations in which the above guidelines are not applicable, additional guidelines are provided in § 3.</w:t>
            </w:r>
          </w:p>
          <w:p w14:paraId="326C7E6A" w14:textId="77777777" w:rsidR="00FF1F65" w:rsidRPr="000E3BB4" w:rsidRDefault="00FF1F65" w:rsidP="00387F5F">
            <w:pPr>
              <w:pStyle w:val="Tabletext"/>
            </w:pPr>
            <w:r w:rsidRPr="000E3BB4">
              <w:t>NOTE 3 – Further studies need to be conducted within the ITU-R to confirm the values of frequency separation in Table 2.</w:t>
            </w:r>
          </w:p>
        </w:tc>
      </w:tr>
    </w:tbl>
    <w:p w14:paraId="69AA6D62" w14:textId="77777777" w:rsidR="00FF1F65" w:rsidRPr="000E3BB4" w:rsidRDefault="00FF1F65" w:rsidP="00FF1F65">
      <w:pPr>
        <w:pStyle w:val="Tablefin"/>
      </w:pPr>
    </w:p>
    <w:p w14:paraId="4A333360" w14:textId="4960281E" w:rsidR="00FF1F65" w:rsidRPr="000E3BB4" w:rsidRDefault="00FF1F65" w:rsidP="00FF1F65">
      <w:pPr>
        <w:spacing w:line="280" w:lineRule="exact"/>
        <w:rPr>
          <w:szCs w:val="24"/>
        </w:rPr>
      </w:pPr>
      <w:r w:rsidRPr="000E3BB4">
        <w:rPr>
          <w:i/>
          <w:iCs/>
          <w:szCs w:val="24"/>
        </w:rPr>
        <w:t>Example 1</w:t>
      </w:r>
      <w:r w:rsidRPr="000E3BB4">
        <w:rPr>
          <w:szCs w:val="24"/>
        </w:rPr>
        <w:t>: The necessary bandwidth of an emission at 26 MHz is 1.8 kHz. Since 2.5 </w:t>
      </w:r>
      <w:r w:rsidRPr="000E3BB4">
        <w:rPr>
          <w:i/>
          <w:iCs/>
          <w:szCs w:val="24"/>
        </w:rPr>
        <w:t>B</w:t>
      </w:r>
      <w:r w:rsidR="00AA467E" w:rsidRPr="00AA467E">
        <w:rPr>
          <w:i/>
          <w:iCs/>
          <w:szCs w:val="24"/>
          <w:vertAlign w:val="subscript"/>
        </w:rPr>
        <w:t>N</w:t>
      </w:r>
      <w:r w:rsidRPr="00AA467E">
        <w:rPr>
          <w:szCs w:val="24"/>
        </w:rPr>
        <w:t xml:space="preserve"> </w:t>
      </w:r>
      <w:r w:rsidRPr="000E3BB4">
        <w:rPr>
          <w:szCs w:val="24"/>
        </w:rPr>
        <w:t>is only 4.5 kHz, the minimum separation applies. The spurious domain begins 10 kHz each side of the centre of the necessary bandwidth.</w:t>
      </w:r>
    </w:p>
    <w:p w14:paraId="2946BD7F" w14:textId="1D0E4C3A" w:rsidR="00FF1F65" w:rsidRPr="000E3BB4" w:rsidRDefault="00FF1F65" w:rsidP="00FF1F65">
      <w:pPr>
        <w:spacing w:line="280" w:lineRule="exact"/>
        <w:rPr>
          <w:szCs w:val="24"/>
        </w:rPr>
      </w:pPr>
      <w:r w:rsidRPr="000E3BB4">
        <w:rPr>
          <w:i/>
          <w:szCs w:val="24"/>
        </w:rPr>
        <w:t>Example 2</w:t>
      </w:r>
      <w:r w:rsidRPr="000E3BB4">
        <w:rPr>
          <w:szCs w:val="24"/>
        </w:rPr>
        <w:t>: The necessary bandwidth of an emission at 8 GHz is 200 </w:t>
      </w:r>
      <w:proofErr w:type="spellStart"/>
      <w:r w:rsidRPr="000E3BB4">
        <w:rPr>
          <w:szCs w:val="24"/>
        </w:rPr>
        <w:t>MHz.</w:t>
      </w:r>
      <w:proofErr w:type="spellEnd"/>
      <w:r w:rsidRPr="000E3BB4">
        <w:rPr>
          <w:szCs w:val="24"/>
        </w:rPr>
        <w:t xml:space="preserve"> Since the wideband case applies for </w:t>
      </w:r>
      <w:r w:rsidRPr="000E3BB4">
        <w:rPr>
          <w:i/>
          <w:iCs/>
          <w:szCs w:val="24"/>
        </w:rPr>
        <w:t>B</w:t>
      </w:r>
      <w:r w:rsidR="00AA467E" w:rsidRPr="00387F5F">
        <w:rPr>
          <w:i/>
          <w:iCs/>
          <w:vertAlign w:val="subscript"/>
        </w:rPr>
        <w:t>N</w:t>
      </w:r>
      <w:r w:rsidRPr="000E3BB4">
        <w:rPr>
          <w:szCs w:val="24"/>
        </w:rPr>
        <w:t xml:space="preserve"> </w:t>
      </w:r>
      <w:r w:rsidRPr="000E3BB4">
        <w:rPr>
          <w:rFonts w:ascii="Symbol" w:hAnsi="Symbol"/>
          <w:szCs w:val="24"/>
        </w:rPr>
        <w:t></w:t>
      </w:r>
      <w:r w:rsidRPr="000E3BB4">
        <w:rPr>
          <w:szCs w:val="24"/>
        </w:rPr>
        <w:t xml:space="preserve"> 100 MHz at that frequency, the spurious domain begins 400 MHz each side of the centre of the necessary bandwidth. Using the general separation formula, the </w:t>
      </w:r>
      <w:proofErr w:type="spellStart"/>
      <w:r w:rsidRPr="000E3BB4">
        <w:rPr>
          <w:szCs w:val="24"/>
        </w:rPr>
        <w:t>OoB</w:t>
      </w:r>
      <w:proofErr w:type="spellEnd"/>
      <w:r w:rsidRPr="000E3BB4">
        <w:rPr>
          <w:szCs w:val="24"/>
        </w:rPr>
        <w:t xml:space="preserve"> domain would have extended to 2.5 </w:t>
      </w:r>
      <w:r w:rsidRPr="000E3BB4">
        <w:rPr>
          <w:rFonts w:ascii="Symbol" w:hAnsi="Symbol"/>
          <w:szCs w:val="24"/>
        </w:rPr>
        <w:t></w:t>
      </w:r>
      <w:r w:rsidRPr="000E3BB4">
        <w:rPr>
          <w:szCs w:val="24"/>
        </w:rPr>
        <w:t xml:space="preserve"> 200 MHz = 500 MHz either side of the centre frequency.</w:t>
      </w:r>
    </w:p>
    <w:p w14:paraId="19E07FE4" w14:textId="77777777" w:rsidR="00FF1F65" w:rsidRPr="000E3BB4" w:rsidRDefault="00FF1F65" w:rsidP="00FF1F65">
      <w:pPr>
        <w:pStyle w:val="Heading1"/>
      </w:pPr>
      <w:r w:rsidRPr="000E3BB4">
        <w:t>3</w:t>
      </w:r>
      <w:r w:rsidRPr="000E3BB4">
        <w:tab/>
        <w:t>Situations where additional guidelines are required</w:t>
      </w:r>
    </w:p>
    <w:p w14:paraId="5496FDA2" w14:textId="77777777" w:rsidR="00FF1F65" w:rsidRPr="000E3BB4" w:rsidRDefault="00FF1F65" w:rsidP="00FF1F65">
      <w:pPr>
        <w:rPr>
          <w:szCs w:val="24"/>
        </w:rPr>
      </w:pPr>
      <w:r w:rsidRPr="000E3BB4">
        <w:rPr>
          <w:szCs w:val="24"/>
        </w:rPr>
        <w:t>The above guidelines are suitable for general application but specific cases where further guidelines are necessary are given in the following sections.</w:t>
      </w:r>
    </w:p>
    <w:p w14:paraId="3F8D0558" w14:textId="77777777" w:rsidR="00FF1F65" w:rsidRPr="000E3BB4" w:rsidRDefault="00FF1F65" w:rsidP="00FF1F65">
      <w:pPr>
        <w:pStyle w:val="Heading2"/>
      </w:pPr>
      <w:r w:rsidRPr="000E3BB4">
        <w:t>3.1</w:t>
      </w:r>
      <w:r w:rsidRPr="000E3BB4">
        <w:tab/>
        <w:t>Situations where the boundary is not defined in terms of necessary bandwidth</w:t>
      </w:r>
    </w:p>
    <w:p w14:paraId="2012E47A" w14:textId="77777777" w:rsidR="00FF1F65" w:rsidRPr="000E3BB4" w:rsidRDefault="00FF1F65" w:rsidP="00FF1F65">
      <w:pPr>
        <w:rPr>
          <w:szCs w:val="24"/>
        </w:rPr>
      </w:pPr>
      <w:r w:rsidRPr="000E3BB4">
        <w:rPr>
          <w:szCs w:val="24"/>
        </w:rPr>
        <w:t xml:space="preserve">Some systems specify </w:t>
      </w:r>
      <w:proofErr w:type="spellStart"/>
      <w:r w:rsidRPr="000E3BB4">
        <w:rPr>
          <w:szCs w:val="24"/>
        </w:rPr>
        <w:t>OoB</w:t>
      </w:r>
      <w:proofErr w:type="spellEnd"/>
      <w:r w:rsidRPr="000E3BB4">
        <w:rPr>
          <w:szCs w:val="24"/>
        </w:rPr>
        <w:t xml:space="preserve"> emissions relative to channel bandwidth, or channel spacing. These may be used as a substitute for the necessary bandwidth in § 2, provided they are found in ITU-R Recommendations.</w:t>
      </w:r>
    </w:p>
    <w:p w14:paraId="0FD3D831" w14:textId="77777777" w:rsidR="00FF1F65" w:rsidRPr="000E3BB4" w:rsidRDefault="00FF1F65" w:rsidP="00FF1F65">
      <w:pPr>
        <w:pStyle w:val="Heading2"/>
      </w:pPr>
      <w:r w:rsidRPr="000E3BB4">
        <w:lastRenderedPageBreak/>
        <w:t>3.2</w:t>
      </w:r>
      <w:r w:rsidRPr="000E3BB4">
        <w:tab/>
        <w:t>Particular service types and bands</w:t>
      </w:r>
    </w:p>
    <w:p w14:paraId="4D19884C" w14:textId="77777777" w:rsidR="00FF1F65" w:rsidRPr="000E3BB4" w:rsidRDefault="00FF1F65" w:rsidP="00FF1F65">
      <w:pPr>
        <w:rPr>
          <w:szCs w:val="24"/>
        </w:rPr>
      </w:pPr>
      <w:r w:rsidRPr="000E3BB4">
        <w:rPr>
          <w:szCs w:val="24"/>
        </w:rPr>
        <w:t>The values of frequency separation in Table 2 are selected to cover most, but not all situations. Rather than set those values at the worst case in each range, it is more realistic to use a more stringent value, and list those cases requiring different values separately. Tables 3 and 4 show those cases which have been identified.</w:t>
      </w:r>
    </w:p>
    <w:p w14:paraId="678EA3CC" w14:textId="74341D56" w:rsidR="00FF1F65" w:rsidRPr="000E3BB4" w:rsidRDefault="00FF1F65" w:rsidP="00D36406">
      <w:pPr>
        <w:pStyle w:val="TableNo"/>
        <w:rPr>
          <w:szCs w:val="24"/>
        </w:rPr>
      </w:pPr>
      <w:r w:rsidRPr="00D36406">
        <w:t>TABLE</w:t>
      </w:r>
      <w:r w:rsidRPr="000E3BB4">
        <w:rPr>
          <w:szCs w:val="24"/>
        </w:rPr>
        <w:t xml:space="preserve"> 3</w:t>
      </w:r>
    </w:p>
    <w:p w14:paraId="662EC14B" w14:textId="77777777" w:rsidR="00FF1F65" w:rsidRPr="000E3BB4" w:rsidRDefault="00FF1F65" w:rsidP="00D36406">
      <w:pPr>
        <w:pStyle w:val="Tabletitle"/>
        <w:rPr>
          <w:b w:val="0"/>
          <w:szCs w:val="24"/>
        </w:rPr>
      </w:pPr>
      <w:r w:rsidRPr="000E3BB4">
        <w:rPr>
          <w:szCs w:val="24"/>
        </w:rPr>
        <w:t xml:space="preserve">Narrow-band </w:t>
      </w:r>
      <w:r w:rsidRPr="00D36406">
        <w:t>variations</w:t>
      </w:r>
      <w:r w:rsidRPr="000E3BB4">
        <w:rPr>
          <w:szCs w:val="24"/>
        </w:rPr>
        <w:t xml:space="preserve"> for systems or services and frequency bands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1596"/>
        <w:gridCol w:w="1641"/>
        <w:gridCol w:w="2083"/>
        <w:gridCol w:w="1938"/>
      </w:tblGrid>
      <w:tr w:rsidR="00FF1F65" w:rsidRPr="000E3BB4" w14:paraId="6C4BD487" w14:textId="77777777" w:rsidTr="00FE1586">
        <w:trPr>
          <w:cantSplit/>
          <w:jc w:val="center"/>
        </w:trPr>
        <w:tc>
          <w:tcPr>
            <w:tcW w:w="2268" w:type="dxa"/>
            <w:vMerge w:val="restart"/>
            <w:vAlign w:val="center"/>
          </w:tcPr>
          <w:p w14:paraId="2ABA4193" w14:textId="77777777" w:rsidR="00FF1F65" w:rsidRPr="000E3BB4" w:rsidRDefault="00FF1F65" w:rsidP="00620732">
            <w:pPr>
              <w:pStyle w:val="Tablehead"/>
              <w:spacing w:line="240" w:lineRule="exact"/>
            </w:pPr>
            <w:r w:rsidRPr="000E3BB4">
              <w:t>Service</w:t>
            </w:r>
          </w:p>
        </w:tc>
        <w:tc>
          <w:tcPr>
            <w:tcW w:w="3085" w:type="dxa"/>
            <w:gridSpan w:val="2"/>
            <w:vMerge w:val="restart"/>
            <w:vAlign w:val="center"/>
          </w:tcPr>
          <w:p w14:paraId="46726A63" w14:textId="77777777" w:rsidR="00FF1F65" w:rsidRPr="000E3BB4" w:rsidRDefault="00FF1F65" w:rsidP="00620732">
            <w:pPr>
              <w:pStyle w:val="Tablehead"/>
              <w:spacing w:line="240" w:lineRule="exact"/>
            </w:pPr>
            <w:r w:rsidRPr="000E3BB4">
              <w:t>Frequency range</w:t>
            </w:r>
          </w:p>
        </w:tc>
        <w:tc>
          <w:tcPr>
            <w:tcW w:w="3832" w:type="dxa"/>
            <w:gridSpan w:val="2"/>
          </w:tcPr>
          <w:p w14:paraId="2E682478" w14:textId="0C60929A" w:rsidR="00FF1F65" w:rsidRPr="000E3BB4" w:rsidRDefault="00FF1F65" w:rsidP="00620732">
            <w:pPr>
              <w:pStyle w:val="Tablehead"/>
              <w:spacing w:line="240" w:lineRule="exact"/>
              <w:rPr>
                <w:i/>
                <w:iCs/>
              </w:rPr>
            </w:pPr>
            <w:r w:rsidRPr="000E3BB4">
              <w:t>Narrow-band case (</w:t>
            </w:r>
            <w:r w:rsidRPr="000E3BB4">
              <w:rPr>
                <w:i/>
                <w:iCs/>
              </w:rPr>
              <w:t>B</w:t>
            </w:r>
            <w:r w:rsidR="00AA467E" w:rsidRPr="00387F5F">
              <w:rPr>
                <w:i/>
                <w:iCs/>
                <w:vertAlign w:val="subscript"/>
              </w:rPr>
              <w:t>N</w:t>
            </w:r>
            <w:r w:rsidRPr="000E3BB4">
              <w:rPr>
                <w:i/>
                <w:iCs/>
              </w:rPr>
              <w:t> </w:t>
            </w:r>
            <w:r>
              <w:t>&lt;</w:t>
            </w:r>
            <w:r w:rsidRPr="000E3BB4">
              <w:rPr>
                <w:i/>
                <w:iCs/>
              </w:rPr>
              <w:t> B</w:t>
            </w:r>
            <w:r w:rsidR="00AA467E" w:rsidRPr="00AA467E">
              <w:rPr>
                <w:i/>
                <w:iCs/>
                <w:vertAlign w:val="subscript"/>
              </w:rPr>
              <w:t>L</w:t>
            </w:r>
            <w:r w:rsidRPr="000E3BB4">
              <w:t>)</w:t>
            </w:r>
          </w:p>
        </w:tc>
      </w:tr>
      <w:tr w:rsidR="00FF1F65" w:rsidRPr="000E3BB4" w14:paraId="535BFA12" w14:textId="77777777" w:rsidTr="00FE1586">
        <w:trPr>
          <w:cantSplit/>
          <w:jc w:val="center"/>
        </w:trPr>
        <w:tc>
          <w:tcPr>
            <w:tcW w:w="2268" w:type="dxa"/>
            <w:vMerge/>
          </w:tcPr>
          <w:p w14:paraId="34251D14" w14:textId="77777777" w:rsidR="00FF1F65" w:rsidRPr="000E3BB4" w:rsidRDefault="00FF1F65" w:rsidP="00620732">
            <w:pPr>
              <w:pStyle w:val="Tablehead"/>
              <w:spacing w:line="240" w:lineRule="exact"/>
            </w:pPr>
          </w:p>
        </w:tc>
        <w:tc>
          <w:tcPr>
            <w:tcW w:w="3085" w:type="dxa"/>
            <w:gridSpan w:val="2"/>
            <w:vMerge/>
          </w:tcPr>
          <w:p w14:paraId="0ED9609C" w14:textId="77777777" w:rsidR="00FF1F65" w:rsidRPr="000E3BB4" w:rsidRDefault="00FF1F65" w:rsidP="00620732">
            <w:pPr>
              <w:pStyle w:val="Tablehead"/>
              <w:spacing w:line="240" w:lineRule="exact"/>
            </w:pPr>
          </w:p>
        </w:tc>
        <w:tc>
          <w:tcPr>
            <w:tcW w:w="1985" w:type="dxa"/>
          </w:tcPr>
          <w:p w14:paraId="445BFA11" w14:textId="77777777" w:rsidR="00FF1F65" w:rsidRPr="000E3BB4" w:rsidRDefault="00FF1F65" w:rsidP="00620732">
            <w:pPr>
              <w:pStyle w:val="Tablehead"/>
              <w:spacing w:line="240" w:lineRule="exact"/>
            </w:pPr>
            <w:r w:rsidRPr="000E3BB4">
              <w:rPr>
                <w:i/>
                <w:iCs/>
              </w:rPr>
              <w:t>B</w:t>
            </w:r>
            <w:r w:rsidRPr="000E3BB4">
              <w:rPr>
                <w:i/>
                <w:iCs/>
                <w:position w:val="-4"/>
              </w:rPr>
              <w:t>L</w:t>
            </w:r>
            <w:r w:rsidRPr="000E3BB4">
              <w:br/>
              <w:t>(kHz)</w:t>
            </w:r>
          </w:p>
        </w:tc>
        <w:tc>
          <w:tcPr>
            <w:tcW w:w="1847" w:type="dxa"/>
          </w:tcPr>
          <w:p w14:paraId="17953D43" w14:textId="77777777" w:rsidR="00FF1F65" w:rsidRPr="000E3BB4" w:rsidRDefault="00FF1F65" w:rsidP="00620732">
            <w:pPr>
              <w:pStyle w:val="Tablehead"/>
              <w:spacing w:line="240" w:lineRule="exact"/>
            </w:pPr>
            <w:r w:rsidRPr="000E3BB4">
              <w:t>Separation</w:t>
            </w:r>
            <w:r w:rsidRPr="000E3BB4">
              <w:br/>
              <w:t>(kHz)</w:t>
            </w:r>
          </w:p>
        </w:tc>
      </w:tr>
      <w:tr w:rsidR="00FF1F65" w:rsidRPr="000E3BB4" w14:paraId="28A94B73" w14:textId="77777777" w:rsidTr="00FE1586">
        <w:trPr>
          <w:cantSplit/>
          <w:jc w:val="center"/>
        </w:trPr>
        <w:tc>
          <w:tcPr>
            <w:tcW w:w="2268" w:type="dxa"/>
            <w:vMerge w:val="restart"/>
            <w:vAlign w:val="center"/>
          </w:tcPr>
          <w:p w14:paraId="0A95705D" w14:textId="77777777" w:rsidR="00FF1F65" w:rsidRPr="000E3BB4" w:rsidRDefault="00FF1F65" w:rsidP="00620732">
            <w:pPr>
              <w:pStyle w:val="Tabletext"/>
              <w:spacing w:line="240" w:lineRule="exact"/>
            </w:pPr>
            <w:r w:rsidRPr="000E3BB4">
              <w:t>Fixed service</w:t>
            </w:r>
          </w:p>
        </w:tc>
        <w:tc>
          <w:tcPr>
            <w:tcW w:w="3085" w:type="dxa"/>
            <w:gridSpan w:val="2"/>
            <w:vAlign w:val="center"/>
          </w:tcPr>
          <w:p w14:paraId="220461E0" w14:textId="77777777" w:rsidR="00FF1F65" w:rsidRPr="000E3BB4" w:rsidRDefault="00FF1F65" w:rsidP="00620732">
            <w:pPr>
              <w:pStyle w:val="Tabletext"/>
              <w:spacing w:line="240" w:lineRule="exact"/>
              <w:jc w:val="center"/>
            </w:pPr>
            <w:r w:rsidRPr="000E3BB4">
              <w:t>14 kHz-1.5 MHz</w:t>
            </w:r>
          </w:p>
        </w:tc>
        <w:tc>
          <w:tcPr>
            <w:tcW w:w="1985" w:type="dxa"/>
            <w:vAlign w:val="center"/>
          </w:tcPr>
          <w:p w14:paraId="1D2B89CC" w14:textId="77777777" w:rsidR="00FF1F65" w:rsidRPr="000E3BB4" w:rsidRDefault="00FF1F65" w:rsidP="00620732">
            <w:pPr>
              <w:pStyle w:val="Tabletext"/>
              <w:spacing w:line="240" w:lineRule="exact"/>
              <w:jc w:val="center"/>
            </w:pPr>
            <w:r w:rsidRPr="000E3BB4">
              <w:t>20</w:t>
            </w:r>
          </w:p>
        </w:tc>
        <w:tc>
          <w:tcPr>
            <w:tcW w:w="1847" w:type="dxa"/>
            <w:vAlign w:val="center"/>
          </w:tcPr>
          <w:p w14:paraId="2A520C29" w14:textId="77777777" w:rsidR="00FF1F65" w:rsidRPr="000E3BB4" w:rsidRDefault="00FF1F65" w:rsidP="00620732">
            <w:pPr>
              <w:pStyle w:val="Tabletext"/>
              <w:spacing w:line="240" w:lineRule="exact"/>
              <w:jc w:val="center"/>
            </w:pPr>
            <w:r w:rsidRPr="000E3BB4">
              <w:t>50</w:t>
            </w:r>
            <w:r w:rsidRPr="00FE7F32">
              <w:rPr>
                <w:position w:val="6"/>
                <w:sz w:val="14"/>
                <w:szCs w:val="14"/>
              </w:rPr>
              <w:t>(1)</w:t>
            </w:r>
          </w:p>
        </w:tc>
      </w:tr>
      <w:tr w:rsidR="00FF1F65" w:rsidRPr="000E3BB4" w14:paraId="5BA98187" w14:textId="77777777" w:rsidTr="00FE1586">
        <w:trPr>
          <w:cantSplit/>
          <w:trHeight w:val="518"/>
          <w:jc w:val="center"/>
        </w:trPr>
        <w:tc>
          <w:tcPr>
            <w:tcW w:w="2268" w:type="dxa"/>
            <w:vMerge/>
            <w:vAlign w:val="center"/>
          </w:tcPr>
          <w:p w14:paraId="01C04A5B" w14:textId="77777777" w:rsidR="00FF1F65" w:rsidRPr="000E3BB4" w:rsidRDefault="00FF1F65" w:rsidP="00620732">
            <w:pPr>
              <w:pStyle w:val="Tabletext"/>
              <w:spacing w:line="240" w:lineRule="exact"/>
            </w:pPr>
          </w:p>
        </w:tc>
        <w:tc>
          <w:tcPr>
            <w:tcW w:w="1521" w:type="dxa"/>
            <w:vMerge w:val="restart"/>
            <w:vAlign w:val="center"/>
          </w:tcPr>
          <w:p w14:paraId="48F134CA" w14:textId="77777777" w:rsidR="00FF1F65" w:rsidRPr="000E3BB4" w:rsidRDefault="00FF1F65" w:rsidP="00620732">
            <w:pPr>
              <w:pStyle w:val="Tabletext"/>
              <w:spacing w:line="240" w:lineRule="exact"/>
              <w:jc w:val="center"/>
            </w:pPr>
            <w:r w:rsidRPr="000E3BB4">
              <w:t>1.5-30 MHz</w:t>
            </w:r>
          </w:p>
        </w:tc>
        <w:tc>
          <w:tcPr>
            <w:tcW w:w="1564" w:type="dxa"/>
            <w:vAlign w:val="center"/>
          </w:tcPr>
          <w:p w14:paraId="6882F7E8" w14:textId="0B096FE5" w:rsidR="00FF1F65" w:rsidRPr="005B097C" w:rsidRDefault="00554879" w:rsidP="00620732">
            <w:pPr>
              <w:pStyle w:val="Tabletext"/>
              <w:spacing w:line="240" w:lineRule="exact"/>
              <w:jc w:val="center"/>
              <w:rPr>
                <w:rFonts w:asciiTheme="majorBidi" w:hAnsiTheme="majorBidi" w:cstheme="majorBidi"/>
              </w:rPr>
            </w:pPr>
            <w:r w:rsidRPr="000E3BB4">
              <w:rPr>
                <w:i/>
                <w:iCs/>
              </w:rPr>
              <w:t>P</w:t>
            </w:r>
            <w:r w:rsidRPr="00FE1586">
              <w:rPr>
                <w:i/>
                <w:iCs/>
                <w:vertAlign w:val="subscript"/>
              </w:rPr>
              <w:t>T</w:t>
            </w:r>
            <w:r w:rsidRPr="000E3BB4">
              <w:t xml:space="preserve"> </w:t>
            </w:r>
            <w:r>
              <w:t>&gt;</w:t>
            </w:r>
            <w:r w:rsidRPr="000E3BB4">
              <w:t xml:space="preserve"> 50 W</w:t>
            </w:r>
          </w:p>
        </w:tc>
        <w:tc>
          <w:tcPr>
            <w:tcW w:w="1985" w:type="dxa"/>
            <w:tcBorders>
              <w:bottom w:val="single" w:sz="4" w:space="0" w:color="auto"/>
            </w:tcBorders>
            <w:vAlign w:val="center"/>
          </w:tcPr>
          <w:p w14:paraId="036D7DEA" w14:textId="77777777" w:rsidR="00FF1F65" w:rsidRPr="000E3BB4" w:rsidRDefault="00FF1F65" w:rsidP="00620732">
            <w:pPr>
              <w:pStyle w:val="Tabletext"/>
              <w:spacing w:line="240" w:lineRule="exact"/>
              <w:jc w:val="center"/>
            </w:pPr>
            <w:r w:rsidRPr="000E3BB4">
              <w:t>80</w:t>
            </w:r>
          </w:p>
        </w:tc>
        <w:tc>
          <w:tcPr>
            <w:tcW w:w="1847" w:type="dxa"/>
            <w:tcBorders>
              <w:bottom w:val="single" w:sz="4" w:space="0" w:color="auto"/>
            </w:tcBorders>
            <w:vAlign w:val="center"/>
          </w:tcPr>
          <w:p w14:paraId="1A842C70" w14:textId="77777777" w:rsidR="00FF1F65" w:rsidRPr="000E3BB4" w:rsidRDefault="00FF1F65" w:rsidP="00620732">
            <w:pPr>
              <w:pStyle w:val="Tabletext"/>
              <w:spacing w:line="240" w:lineRule="exact"/>
              <w:jc w:val="center"/>
            </w:pPr>
            <w:r w:rsidRPr="000E3BB4">
              <w:t>200</w:t>
            </w:r>
            <w:r w:rsidRPr="00FE7F32">
              <w:rPr>
                <w:position w:val="6"/>
                <w:sz w:val="14"/>
                <w:szCs w:val="14"/>
              </w:rPr>
              <w:t>(2)</w:t>
            </w:r>
          </w:p>
        </w:tc>
      </w:tr>
      <w:tr w:rsidR="00FF1F65" w:rsidRPr="000E3BB4" w14:paraId="4FF5B7BB" w14:textId="77777777" w:rsidTr="00FE1586">
        <w:trPr>
          <w:cantSplit/>
          <w:trHeight w:val="405"/>
          <w:jc w:val="center"/>
        </w:trPr>
        <w:tc>
          <w:tcPr>
            <w:tcW w:w="2268" w:type="dxa"/>
            <w:vMerge/>
            <w:tcBorders>
              <w:bottom w:val="single" w:sz="4" w:space="0" w:color="auto"/>
            </w:tcBorders>
            <w:vAlign w:val="center"/>
          </w:tcPr>
          <w:p w14:paraId="10DB04C4" w14:textId="77777777" w:rsidR="00FF1F65" w:rsidRPr="000E3BB4" w:rsidRDefault="00FF1F65" w:rsidP="00620732">
            <w:pPr>
              <w:pStyle w:val="Tabletext"/>
              <w:spacing w:line="240" w:lineRule="exact"/>
            </w:pPr>
          </w:p>
        </w:tc>
        <w:tc>
          <w:tcPr>
            <w:tcW w:w="1521" w:type="dxa"/>
            <w:vMerge/>
            <w:tcBorders>
              <w:bottom w:val="single" w:sz="4" w:space="0" w:color="auto"/>
            </w:tcBorders>
          </w:tcPr>
          <w:p w14:paraId="3D529C2F" w14:textId="77777777" w:rsidR="00FF1F65" w:rsidRPr="000E3BB4" w:rsidRDefault="00FF1F65" w:rsidP="00620732">
            <w:pPr>
              <w:pStyle w:val="Tabletext"/>
              <w:spacing w:line="240" w:lineRule="exact"/>
              <w:jc w:val="center"/>
            </w:pPr>
          </w:p>
        </w:tc>
        <w:tc>
          <w:tcPr>
            <w:tcW w:w="1564" w:type="dxa"/>
            <w:tcBorders>
              <w:bottom w:val="single" w:sz="4" w:space="0" w:color="auto"/>
            </w:tcBorders>
            <w:vAlign w:val="center"/>
          </w:tcPr>
          <w:p w14:paraId="253E8DC5" w14:textId="5F4FEA86" w:rsidR="00FF1F65" w:rsidRPr="000E3BB4" w:rsidRDefault="001C3A75" w:rsidP="00620732">
            <w:pPr>
              <w:pStyle w:val="Tabletext"/>
              <w:spacing w:line="240" w:lineRule="exact"/>
              <w:jc w:val="center"/>
              <w:rPr>
                <w:rFonts w:ascii="Symbol" w:hAnsi="Symbol"/>
              </w:rPr>
            </w:pPr>
            <w:r>
              <w:rPr>
                <w:i/>
                <w:iCs/>
              </w:rPr>
              <w:t>P</w:t>
            </w:r>
            <w:r>
              <w:rPr>
                <w:i/>
                <w:iCs/>
                <w:position w:val="-4"/>
                <w:sz w:val="18"/>
              </w:rPr>
              <w:t>T</w:t>
            </w:r>
            <w:r>
              <w:rPr>
                <w:sz w:val="24"/>
              </w:rPr>
              <w:t xml:space="preserve"> </w:t>
            </w:r>
            <w:r>
              <w:rPr>
                <w:rFonts w:ascii="Symbol" w:hAnsi="Symbol"/>
                <w:lang w:val="en-US"/>
              </w:rPr>
              <w:t></w:t>
            </w:r>
            <w:r>
              <w:t xml:space="preserve"> 50 W</w:t>
            </w:r>
          </w:p>
        </w:tc>
        <w:tc>
          <w:tcPr>
            <w:tcW w:w="1985" w:type="dxa"/>
            <w:tcBorders>
              <w:bottom w:val="single" w:sz="4" w:space="0" w:color="auto"/>
            </w:tcBorders>
            <w:vAlign w:val="center"/>
          </w:tcPr>
          <w:p w14:paraId="6BD1781C" w14:textId="77777777" w:rsidR="00FF1F65" w:rsidRPr="000E3BB4" w:rsidRDefault="00FF1F65" w:rsidP="00620732">
            <w:pPr>
              <w:pStyle w:val="Tabletext"/>
              <w:spacing w:line="240" w:lineRule="exact"/>
              <w:jc w:val="center"/>
            </w:pPr>
            <w:r w:rsidRPr="000E3BB4">
              <w:t>30</w:t>
            </w:r>
          </w:p>
        </w:tc>
        <w:tc>
          <w:tcPr>
            <w:tcW w:w="1847" w:type="dxa"/>
            <w:tcBorders>
              <w:bottom w:val="single" w:sz="4" w:space="0" w:color="auto"/>
            </w:tcBorders>
            <w:vAlign w:val="center"/>
          </w:tcPr>
          <w:p w14:paraId="5DF9B731" w14:textId="77777777" w:rsidR="00FF1F65" w:rsidRPr="000E3BB4" w:rsidRDefault="00FF1F65" w:rsidP="00620732">
            <w:pPr>
              <w:pStyle w:val="Tabletext"/>
              <w:spacing w:line="240" w:lineRule="exact"/>
              <w:jc w:val="center"/>
            </w:pPr>
            <w:r w:rsidRPr="000E3BB4">
              <w:t>75</w:t>
            </w:r>
            <w:r w:rsidRPr="00FE7F32">
              <w:rPr>
                <w:position w:val="6"/>
                <w:sz w:val="14"/>
                <w:szCs w:val="14"/>
              </w:rPr>
              <w:t>(2)</w:t>
            </w:r>
          </w:p>
        </w:tc>
      </w:tr>
      <w:tr w:rsidR="00FF1F65" w:rsidRPr="000E3BB4" w14:paraId="382418D0" w14:textId="77777777" w:rsidTr="00FE1586">
        <w:trPr>
          <w:cantSplit/>
          <w:jc w:val="center"/>
        </w:trPr>
        <w:tc>
          <w:tcPr>
            <w:tcW w:w="9185" w:type="dxa"/>
            <w:gridSpan w:val="5"/>
            <w:tcBorders>
              <w:left w:val="nil"/>
              <w:bottom w:val="nil"/>
              <w:right w:val="nil"/>
            </w:tcBorders>
          </w:tcPr>
          <w:p w14:paraId="20964E1D" w14:textId="77777777" w:rsidR="00FF1F65" w:rsidRPr="000E3BB4" w:rsidRDefault="00FF1F65" w:rsidP="00AA467E">
            <w:pPr>
              <w:pStyle w:val="Tabletext"/>
              <w:spacing w:line="240" w:lineRule="exact"/>
              <w:ind w:left="284" w:hanging="284"/>
            </w:pPr>
            <w:r w:rsidRPr="00FE7F32">
              <w:rPr>
                <w:position w:val="6"/>
                <w:sz w:val="14"/>
                <w:szCs w:val="14"/>
              </w:rPr>
              <w:t>(1)</w:t>
            </w:r>
            <w:r w:rsidRPr="000E3BB4">
              <w:tab/>
              <w:t xml:space="preserve">The separation value is based on an assumption that the maximum value of the necessary bandwidth is about 3 kHz for the frequency range 14 kHz-1.5 </w:t>
            </w:r>
            <w:proofErr w:type="spellStart"/>
            <w:r w:rsidRPr="000E3BB4">
              <w:t>MHz.</w:t>
            </w:r>
            <w:proofErr w:type="spellEnd"/>
            <w:r w:rsidRPr="000E3BB4">
              <w:t xml:space="preserve"> The value of 50 kHz separation is extremely large as compared with the necessary bandwidth. It is because unwanted emissions of high power transmitters under modulated conditions have to be below the spurious limit (70 </w:t>
            </w:r>
            <w:proofErr w:type="spellStart"/>
            <w:r w:rsidRPr="000E3BB4">
              <w:t>dBc</w:t>
            </w:r>
            <w:proofErr w:type="spellEnd"/>
            <w:r w:rsidRPr="000E3BB4">
              <w:t xml:space="preserve">) at the boundary between the </w:t>
            </w:r>
            <w:proofErr w:type="spellStart"/>
            <w:r w:rsidRPr="000E3BB4">
              <w:t>OoB</w:t>
            </w:r>
            <w:proofErr w:type="spellEnd"/>
            <w:r w:rsidRPr="000E3BB4">
              <w:t xml:space="preserve"> and spurious domains.</w:t>
            </w:r>
          </w:p>
          <w:p w14:paraId="413F6575" w14:textId="65B7B875" w:rsidR="00FF1F65" w:rsidRPr="000E3BB4" w:rsidRDefault="00FF1F65" w:rsidP="00AA467E">
            <w:pPr>
              <w:pStyle w:val="Tabletext"/>
              <w:spacing w:line="240" w:lineRule="exact"/>
              <w:ind w:left="284" w:hanging="284"/>
            </w:pPr>
            <w:r w:rsidRPr="00FE7F32">
              <w:rPr>
                <w:position w:val="6"/>
                <w:sz w:val="14"/>
                <w:szCs w:val="14"/>
              </w:rPr>
              <w:t>(2)</w:t>
            </w:r>
            <w:r w:rsidRPr="000E3BB4">
              <w:tab/>
            </w:r>
            <w:r w:rsidRPr="000E3BB4">
              <w:rPr>
                <w:i/>
                <w:iCs/>
              </w:rPr>
              <w:t>P</w:t>
            </w:r>
            <w:r w:rsidR="00FE1586" w:rsidRPr="00FE1586">
              <w:rPr>
                <w:i/>
                <w:iCs/>
                <w:vertAlign w:val="subscript"/>
              </w:rPr>
              <w:t>T</w:t>
            </w:r>
            <w:r w:rsidRPr="00FE1586">
              <w:rPr>
                <w:i/>
                <w:iCs/>
              </w:rPr>
              <w:t xml:space="preserve"> </w:t>
            </w:r>
            <w:r w:rsidRPr="000E3BB4">
              <w:t xml:space="preserve">is the transmitter power. The separation values are based on an assumption that the maximum value of the necessary bandwidth is about 12 kHz for the frequency range 1.5-30 </w:t>
            </w:r>
            <w:proofErr w:type="spellStart"/>
            <w:r w:rsidRPr="000E3BB4">
              <w:t>MHz.</w:t>
            </w:r>
            <w:proofErr w:type="spellEnd"/>
            <w:r w:rsidRPr="000E3BB4">
              <w:t xml:space="preserve"> The value of 200 kHz separation for </w:t>
            </w:r>
            <w:r w:rsidRPr="000E3BB4">
              <w:rPr>
                <w:i/>
                <w:iCs/>
              </w:rPr>
              <w:t>P</w:t>
            </w:r>
            <w:r w:rsidR="00FE1586" w:rsidRPr="00FE1586">
              <w:rPr>
                <w:i/>
                <w:iCs/>
                <w:vertAlign w:val="subscript"/>
              </w:rPr>
              <w:t>T</w:t>
            </w:r>
            <w:r w:rsidRPr="000E3BB4">
              <w:t xml:space="preserve"> </w:t>
            </w:r>
            <w:r>
              <w:t>&gt;</w:t>
            </w:r>
            <w:r w:rsidRPr="000E3BB4">
              <w:t xml:space="preserve"> 50 W is extremely large as compared with the necessary bandwidth. It is because unwanted emissions of high power transmitters under modulated conditions have to be below the spurious limit, 70 </w:t>
            </w:r>
            <w:proofErr w:type="spellStart"/>
            <w:r w:rsidRPr="000E3BB4">
              <w:t>dBc</w:t>
            </w:r>
            <w:proofErr w:type="spellEnd"/>
            <w:r w:rsidRPr="000E3BB4">
              <w:t xml:space="preserve">, at the boundary between the </w:t>
            </w:r>
            <w:proofErr w:type="spellStart"/>
            <w:r w:rsidRPr="000E3BB4">
              <w:t>OoB</w:t>
            </w:r>
            <w:proofErr w:type="spellEnd"/>
            <w:r w:rsidRPr="000E3BB4">
              <w:t xml:space="preserve"> and spurious domains. Also, if future systems in the fixed service operating in this frequency range require a necessary bandwidth larger than 12 kHz, it may become necessary to review the 200 kHz separation. These separation values were derived from the Category A spurious domain emission limits in Recommendation </w:t>
            </w:r>
            <w:hyperlink r:id="rId38" w:history="1">
              <w:r w:rsidR="00DB0774" w:rsidRPr="00DD11AF">
                <w:rPr>
                  <w:rStyle w:val="Hyperlink"/>
                  <w:color w:val="auto"/>
                  <w:szCs w:val="24"/>
                  <w:u w:val="none"/>
                </w:rPr>
                <w:t>ITU</w:t>
              </w:r>
              <w:r w:rsidR="00E71B50" w:rsidRPr="00E71B50">
                <w:rPr>
                  <w:rStyle w:val="ui-provider"/>
                </w:rPr>
                <w:noBreakHyphen/>
              </w:r>
              <w:r w:rsidR="00DB0774" w:rsidRPr="00DD11AF">
                <w:rPr>
                  <w:rStyle w:val="Hyperlink"/>
                  <w:color w:val="auto"/>
                  <w:szCs w:val="24"/>
                  <w:u w:val="none"/>
                  <w:lang w:eastAsia="ja-JP"/>
                </w:rPr>
                <w:t>R SM.329</w:t>
              </w:r>
            </w:hyperlink>
            <w:r w:rsidRPr="000E3BB4">
              <w:t>.</w:t>
            </w:r>
          </w:p>
        </w:tc>
      </w:tr>
    </w:tbl>
    <w:p w14:paraId="5BD8BF33" w14:textId="77777777" w:rsidR="00FF1F65" w:rsidRPr="000E3BB4" w:rsidRDefault="00FF1F65" w:rsidP="00FF1F65">
      <w:pPr>
        <w:pStyle w:val="Tablefin"/>
      </w:pPr>
    </w:p>
    <w:p w14:paraId="252BE6FD" w14:textId="09B62BD6" w:rsidR="00FF1F65" w:rsidRPr="000E3BB4" w:rsidRDefault="00FF1F65" w:rsidP="00FF1F65">
      <w:pPr>
        <w:pStyle w:val="TableNo"/>
      </w:pPr>
      <w:r w:rsidRPr="000E3BB4">
        <w:t>TABLE 4</w:t>
      </w:r>
    </w:p>
    <w:p w14:paraId="20493B20" w14:textId="77777777" w:rsidR="00FF1F65" w:rsidRPr="000E3BB4" w:rsidRDefault="00FF1F65" w:rsidP="00FF1F65">
      <w:pPr>
        <w:pStyle w:val="Tabletitle"/>
      </w:pPr>
      <w:r w:rsidRPr="000E3BB4">
        <w:t>Wideband variations for systems or services and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887"/>
        <w:gridCol w:w="1509"/>
        <w:gridCol w:w="2113"/>
      </w:tblGrid>
      <w:tr w:rsidR="00FF1F65" w:rsidRPr="000E3BB4" w14:paraId="42563B29" w14:textId="77777777" w:rsidTr="00FE1586">
        <w:trPr>
          <w:tblHeader/>
          <w:jc w:val="center"/>
        </w:trPr>
        <w:tc>
          <w:tcPr>
            <w:tcW w:w="2022" w:type="dxa"/>
            <w:vMerge w:val="restart"/>
            <w:vAlign w:val="center"/>
          </w:tcPr>
          <w:p w14:paraId="346DEB7B" w14:textId="77777777" w:rsidR="00FF1F65" w:rsidRPr="000E3BB4" w:rsidRDefault="00FF1F65" w:rsidP="00620732">
            <w:pPr>
              <w:pStyle w:val="Tablehead"/>
              <w:spacing w:line="240" w:lineRule="exact"/>
            </w:pPr>
            <w:r w:rsidRPr="000E3BB4">
              <w:br w:type="page"/>
              <w:t>Service</w:t>
            </w:r>
          </w:p>
        </w:tc>
        <w:tc>
          <w:tcPr>
            <w:tcW w:w="3690" w:type="dxa"/>
            <w:vMerge w:val="restart"/>
            <w:vAlign w:val="center"/>
          </w:tcPr>
          <w:p w14:paraId="77EF91A4" w14:textId="77777777" w:rsidR="00FF1F65" w:rsidRPr="000E3BB4" w:rsidRDefault="00FF1F65" w:rsidP="00620732">
            <w:pPr>
              <w:pStyle w:val="Tablehead"/>
              <w:spacing w:line="240" w:lineRule="exact"/>
            </w:pPr>
            <w:r w:rsidRPr="000E3BB4">
              <w:t>Frequency range</w:t>
            </w:r>
          </w:p>
        </w:tc>
        <w:tc>
          <w:tcPr>
            <w:tcW w:w="3438" w:type="dxa"/>
            <w:gridSpan w:val="2"/>
            <w:vAlign w:val="center"/>
          </w:tcPr>
          <w:p w14:paraId="3CB3371D" w14:textId="272C242A" w:rsidR="00FF1F65" w:rsidRPr="000E3BB4" w:rsidRDefault="00FF1F65" w:rsidP="00620732">
            <w:pPr>
              <w:pStyle w:val="Tablehead"/>
              <w:spacing w:line="240" w:lineRule="exact"/>
            </w:pPr>
            <w:r w:rsidRPr="000E3BB4">
              <w:t>Wideband case (</w:t>
            </w:r>
            <w:r w:rsidRPr="000E3BB4">
              <w:rPr>
                <w:i/>
                <w:iCs/>
              </w:rPr>
              <w:t>B</w:t>
            </w:r>
            <w:r w:rsidR="00FE1586" w:rsidRPr="00FE1586">
              <w:rPr>
                <w:i/>
                <w:iCs/>
                <w:vertAlign w:val="subscript"/>
              </w:rPr>
              <w:t>N</w:t>
            </w:r>
            <w:r w:rsidRPr="000E3BB4">
              <w:t> </w:t>
            </w:r>
            <w:r>
              <w:t>&gt;</w:t>
            </w:r>
            <w:r w:rsidRPr="000E3BB4">
              <w:t> </w:t>
            </w:r>
            <w:r w:rsidRPr="000E3BB4">
              <w:rPr>
                <w:i/>
                <w:iCs/>
              </w:rPr>
              <w:t>B</w:t>
            </w:r>
            <w:r w:rsidR="00FE1586" w:rsidRPr="00FE1586">
              <w:rPr>
                <w:i/>
                <w:iCs/>
                <w:vertAlign w:val="subscript"/>
              </w:rPr>
              <w:t>U</w:t>
            </w:r>
            <w:r w:rsidRPr="000E3BB4">
              <w:t>)</w:t>
            </w:r>
          </w:p>
        </w:tc>
      </w:tr>
      <w:tr w:rsidR="00FF1F65" w:rsidRPr="000E3BB4" w14:paraId="52EFC9DA" w14:textId="77777777" w:rsidTr="00FE1586">
        <w:trPr>
          <w:tblHeader/>
          <w:jc w:val="center"/>
        </w:trPr>
        <w:tc>
          <w:tcPr>
            <w:tcW w:w="2022" w:type="dxa"/>
            <w:vMerge/>
            <w:vAlign w:val="center"/>
          </w:tcPr>
          <w:p w14:paraId="012875C1" w14:textId="77777777" w:rsidR="00FF1F65" w:rsidRPr="000E3BB4" w:rsidRDefault="00FF1F65" w:rsidP="00620732">
            <w:pPr>
              <w:pStyle w:val="Tablehead"/>
              <w:spacing w:line="240" w:lineRule="exact"/>
            </w:pPr>
          </w:p>
        </w:tc>
        <w:tc>
          <w:tcPr>
            <w:tcW w:w="3690" w:type="dxa"/>
            <w:vMerge/>
            <w:vAlign w:val="center"/>
          </w:tcPr>
          <w:p w14:paraId="083A2922" w14:textId="77777777" w:rsidR="00FF1F65" w:rsidRPr="000E3BB4" w:rsidRDefault="00FF1F65" w:rsidP="00620732">
            <w:pPr>
              <w:pStyle w:val="Tablehead"/>
              <w:spacing w:line="240" w:lineRule="exact"/>
            </w:pPr>
          </w:p>
        </w:tc>
        <w:tc>
          <w:tcPr>
            <w:tcW w:w="1432" w:type="dxa"/>
            <w:vAlign w:val="center"/>
          </w:tcPr>
          <w:p w14:paraId="3A48C3C9" w14:textId="2E7100CC" w:rsidR="00FF1F65" w:rsidRPr="000E3BB4" w:rsidRDefault="00FF1F65" w:rsidP="00620732">
            <w:pPr>
              <w:pStyle w:val="Tablehead"/>
              <w:spacing w:line="240" w:lineRule="exact"/>
            </w:pPr>
            <w:r w:rsidRPr="000E3BB4">
              <w:rPr>
                <w:i/>
                <w:iCs/>
              </w:rPr>
              <w:t>B</w:t>
            </w:r>
            <w:r w:rsidR="00FE1586" w:rsidRPr="00FE1586">
              <w:rPr>
                <w:i/>
                <w:iCs/>
                <w:vertAlign w:val="subscript"/>
              </w:rPr>
              <w:t>U</w:t>
            </w:r>
          </w:p>
        </w:tc>
        <w:tc>
          <w:tcPr>
            <w:tcW w:w="2006" w:type="dxa"/>
            <w:vAlign w:val="center"/>
          </w:tcPr>
          <w:p w14:paraId="148BD179" w14:textId="77777777" w:rsidR="00FF1F65" w:rsidRPr="000E3BB4" w:rsidRDefault="00FF1F65" w:rsidP="00620732">
            <w:pPr>
              <w:pStyle w:val="Tablehead"/>
              <w:spacing w:line="240" w:lineRule="exact"/>
            </w:pPr>
            <w:r w:rsidRPr="000E3BB4">
              <w:t>Separation</w:t>
            </w:r>
          </w:p>
        </w:tc>
      </w:tr>
      <w:tr w:rsidR="00FF1F65" w:rsidRPr="000E3BB4" w14:paraId="0E1A5982" w14:textId="77777777" w:rsidTr="00FE1586">
        <w:trPr>
          <w:jc w:val="center"/>
        </w:trPr>
        <w:tc>
          <w:tcPr>
            <w:tcW w:w="2022" w:type="dxa"/>
          </w:tcPr>
          <w:p w14:paraId="541F8131" w14:textId="77777777" w:rsidR="00FF1F65" w:rsidRPr="000E3BB4" w:rsidRDefault="00FF1F65" w:rsidP="00620732">
            <w:pPr>
              <w:pStyle w:val="Tabletext"/>
              <w:spacing w:line="240" w:lineRule="exact"/>
              <w:jc w:val="left"/>
            </w:pPr>
            <w:r w:rsidRPr="000E3BB4">
              <w:t>Fixed service</w:t>
            </w:r>
          </w:p>
        </w:tc>
        <w:tc>
          <w:tcPr>
            <w:tcW w:w="3690" w:type="dxa"/>
          </w:tcPr>
          <w:p w14:paraId="57AC1C33" w14:textId="77777777" w:rsidR="00FF1F65" w:rsidRPr="000E3BB4" w:rsidRDefault="00FF1F65" w:rsidP="00FE1586">
            <w:pPr>
              <w:pStyle w:val="Tabletext"/>
              <w:spacing w:line="240" w:lineRule="exact"/>
              <w:jc w:val="left"/>
            </w:pPr>
            <w:r w:rsidRPr="000E3BB4">
              <w:t>14-150 kHz</w:t>
            </w:r>
          </w:p>
        </w:tc>
        <w:tc>
          <w:tcPr>
            <w:tcW w:w="1432" w:type="dxa"/>
          </w:tcPr>
          <w:p w14:paraId="00C2C3D9" w14:textId="77777777" w:rsidR="00FF1F65" w:rsidRPr="000E3BB4" w:rsidRDefault="00FF1F65" w:rsidP="00620732">
            <w:pPr>
              <w:pStyle w:val="Tabletext"/>
              <w:spacing w:line="240" w:lineRule="exact"/>
              <w:jc w:val="center"/>
            </w:pPr>
            <w:r w:rsidRPr="000E3BB4">
              <w:t>20 kHz</w:t>
            </w:r>
          </w:p>
        </w:tc>
        <w:tc>
          <w:tcPr>
            <w:tcW w:w="2006" w:type="dxa"/>
          </w:tcPr>
          <w:p w14:paraId="4ADFFDD9" w14:textId="7986FBA8"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+ 20 kHz</w:t>
            </w:r>
          </w:p>
        </w:tc>
      </w:tr>
      <w:tr w:rsidR="00FF1F65" w:rsidRPr="000E3BB4" w14:paraId="606D8A6D" w14:textId="77777777" w:rsidTr="00FE1586">
        <w:trPr>
          <w:jc w:val="center"/>
        </w:trPr>
        <w:tc>
          <w:tcPr>
            <w:tcW w:w="2022" w:type="dxa"/>
          </w:tcPr>
          <w:p w14:paraId="23E88FD8" w14:textId="77777777" w:rsidR="00FF1F65" w:rsidRPr="000E3BB4" w:rsidRDefault="00FF1F65" w:rsidP="00620732">
            <w:pPr>
              <w:pStyle w:val="Tabletext"/>
              <w:spacing w:line="240" w:lineRule="exact"/>
              <w:jc w:val="left"/>
            </w:pPr>
            <w:r w:rsidRPr="000E3BB4">
              <w:t>Fixed-satellite service (FSS)</w:t>
            </w:r>
          </w:p>
        </w:tc>
        <w:tc>
          <w:tcPr>
            <w:tcW w:w="3690" w:type="dxa"/>
          </w:tcPr>
          <w:p w14:paraId="2BE30D1D" w14:textId="77777777" w:rsidR="00FF1F65" w:rsidRPr="000E3BB4" w:rsidRDefault="00FF1F65" w:rsidP="00FE1586">
            <w:pPr>
              <w:pStyle w:val="Tabletext"/>
              <w:spacing w:line="240" w:lineRule="exact"/>
              <w:jc w:val="left"/>
            </w:pPr>
            <w:r w:rsidRPr="000E3BB4">
              <w:t>3.4-4.2 GHz</w:t>
            </w:r>
          </w:p>
        </w:tc>
        <w:tc>
          <w:tcPr>
            <w:tcW w:w="1432" w:type="dxa"/>
          </w:tcPr>
          <w:p w14:paraId="407ADB7D" w14:textId="77777777" w:rsidR="00FF1F65" w:rsidRPr="000E3BB4" w:rsidRDefault="00FF1F65" w:rsidP="00620732">
            <w:pPr>
              <w:pStyle w:val="Tabletext"/>
              <w:spacing w:line="240" w:lineRule="exact"/>
              <w:jc w:val="center"/>
            </w:pPr>
            <w:r w:rsidRPr="000E3BB4">
              <w:t>250 MHz</w:t>
            </w:r>
          </w:p>
        </w:tc>
        <w:tc>
          <w:tcPr>
            <w:tcW w:w="2006" w:type="dxa"/>
          </w:tcPr>
          <w:p w14:paraId="44432EF7" w14:textId="405B23B7"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+ 250 MHz</w:t>
            </w:r>
          </w:p>
        </w:tc>
      </w:tr>
      <w:tr w:rsidR="00FF1F65" w:rsidRPr="000E3BB4" w14:paraId="79ACE894" w14:textId="77777777" w:rsidTr="00FE1586">
        <w:trPr>
          <w:jc w:val="center"/>
        </w:trPr>
        <w:tc>
          <w:tcPr>
            <w:tcW w:w="2022" w:type="dxa"/>
          </w:tcPr>
          <w:p w14:paraId="6564697D" w14:textId="77777777" w:rsidR="00FF1F65" w:rsidRPr="000E3BB4" w:rsidRDefault="00FF1F65" w:rsidP="00620732">
            <w:pPr>
              <w:pStyle w:val="Tabletext"/>
              <w:spacing w:line="240" w:lineRule="exact"/>
              <w:jc w:val="left"/>
            </w:pPr>
            <w:r w:rsidRPr="000E3BB4">
              <w:t>FSS</w:t>
            </w:r>
          </w:p>
        </w:tc>
        <w:tc>
          <w:tcPr>
            <w:tcW w:w="3690" w:type="dxa"/>
          </w:tcPr>
          <w:p w14:paraId="582FBDD8" w14:textId="77777777" w:rsidR="00FF1F65" w:rsidRPr="000E3BB4" w:rsidRDefault="00FF1F65" w:rsidP="00FE1586">
            <w:pPr>
              <w:pStyle w:val="Tabletext"/>
              <w:spacing w:line="240" w:lineRule="exact"/>
              <w:jc w:val="left"/>
            </w:pPr>
            <w:r w:rsidRPr="000E3BB4">
              <w:t>5.725-6.725 GHz</w:t>
            </w:r>
          </w:p>
        </w:tc>
        <w:tc>
          <w:tcPr>
            <w:tcW w:w="1432" w:type="dxa"/>
          </w:tcPr>
          <w:p w14:paraId="3A92F4B7" w14:textId="77777777" w:rsidR="00FF1F65" w:rsidRPr="000E3BB4" w:rsidRDefault="00FF1F65" w:rsidP="00620732">
            <w:pPr>
              <w:pStyle w:val="Tabletext"/>
              <w:spacing w:line="240" w:lineRule="exact"/>
              <w:jc w:val="center"/>
            </w:pPr>
            <w:r w:rsidRPr="000E3BB4">
              <w:t>500 MHz</w:t>
            </w:r>
          </w:p>
        </w:tc>
        <w:tc>
          <w:tcPr>
            <w:tcW w:w="2006" w:type="dxa"/>
          </w:tcPr>
          <w:p w14:paraId="32C2E3E0" w14:textId="5B85D2D4"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+ 500 MHz</w:t>
            </w:r>
          </w:p>
        </w:tc>
      </w:tr>
      <w:tr w:rsidR="00FF1F65" w:rsidRPr="000E3BB4" w14:paraId="2C7596F0" w14:textId="77777777" w:rsidTr="00FE1586">
        <w:trPr>
          <w:jc w:val="center"/>
        </w:trPr>
        <w:tc>
          <w:tcPr>
            <w:tcW w:w="2022" w:type="dxa"/>
          </w:tcPr>
          <w:p w14:paraId="79637EA8" w14:textId="77777777" w:rsidR="00FF1F65" w:rsidRPr="000E3BB4" w:rsidRDefault="00FF1F65" w:rsidP="00620732">
            <w:pPr>
              <w:pStyle w:val="Tabletext"/>
              <w:spacing w:line="240" w:lineRule="exact"/>
              <w:jc w:val="left"/>
            </w:pPr>
            <w:r w:rsidRPr="000E3BB4">
              <w:t>FSS</w:t>
            </w:r>
          </w:p>
        </w:tc>
        <w:tc>
          <w:tcPr>
            <w:tcW w:w="3690" w:type="dxa"/>
          </w:tcPr>
          <w:p w14:paraId="78FEEDD6" w14:textId="77777777" w:rsidR="00FF1F65" w:rsidRPr="000E3BB4" w:rsidRDefault="00FF1F65" w:rsidP="00FE1586">
            <w:pPr>
              <w:pStyle w:val="Tabletext"/>
              <w:spacing w:line="240" w:lineRule="exact"/>
              <w:jc w:val="left"/>
            </w:pPr>
            <w:r w:rsidRPr="000E3BB4">
              <w:t>7.25-7.75 GHz and 7.9-8.4 GHz</w:t>
            </w:r>
          </w:p>
        </w:tc>
        <w:tc>
          <w:tcPr>
            <w:tcW w:w="1432" w:type="dxa"/>
          </w:tcPr>
          <w:p w14:paraId="66F71FDA" w14:textId="77777777" w:rsidR="00FF1F65" w:rsidRPr="000E3BB4" w:rsidRDefault="00FF1F65" w:rsidP="00620732">
            <w:pPr>
              <w:pStyle w:val="Tabletext"/>
              <w:spacing w:line="240" w:lineRule="exact"/>
              <w:jc w:val="center"/>
            </w:pPr>
            <w:r w:rsidRPr="000E3BB4">
              <w:t>250 MHz</w:t>
            </w:r>
          </w:p>
        </w:tc>
        <w:tc>
          <w:tcPr>
            <w:tcW w:w="2006" w:type="dxa"/>
          </w:tcPr>
          <w:p w14:paraId="318DEACD" w14:textId="2B3D6240"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+ 250 MHz</w:t>
            </w:r>
          </w:p>
        </w:tc>
      </w:tr>
      <w:tr w:rsidR="00FF1F65" w:rsidRPr="000E3BB4" w14:paraId="637C28CB" w14:textId="77777777" w:rsidTr="00FE1586">
        <w:trPr>
          <w:jc w:val="center"/>
        </w:trPr>
        <w:tc>
          <w:tcPr>
            <w:tcW w:w="2022" w:type="dxa"/>
          </w:tcPr>
          <w:p w14:paraId="362C2E35" w14:textId="77777777" w:rsidR="00FF1F65" w:rsidRPr="000E3BB4" w:rsidRDefault="00FF1F65" w:rsidP="00620732">
            <w:pPr>
              <w:pStyle w:val="Tabletext"/>
              <w:spacing w:line="240" w:lineRule="exact"/>
              <w:jc w:val="left"/>
            </w:pPr>
            <w:r w:rsidRPr="000E3BB4">
              <w:t>FSS</w:t>
            </w:r>
          </w:p>
        </w:tc>
        <w:tc>
          <w:tcPr>
            <w:tcW w:w="3690" w:type="dxa"/>
          </w:tcPr>
          <w:p w14:paraId="57F589DC" w14:textId="77777777" w:rsidR="00FF1F65" w:rsidRPr="000E3BB4" w:rsidRDefault="00FF1F65" w:rsidP="00FE1586">
            <w:pPr>
              <w:pStyle w:val="Tabletext"/>
              <w:spacing w:line="240" w:lineRule="exact"/>
              <w:jc w:val="left"/>
            </w:pPr>
            <w:r w:rsidRPr="000E3BB4">
              <w:t>10.7-12.75 GHz</w:t>
            </w:r>
          </w:p>
        </w:tc>
        <w:tc>
          <w:tcPr>
            <w:tcW w:w="1432" w:type="dxa"/>
          </w:tcPr>
          <w:p w14:paraId="01B69843" w14:textId="77777777" w:rsidR="00FF1F65" w:rsidRPr="000E3BB4" w:rsidRDefault="00FF1F65" w:rsidP="00620732">
            <w:pPr>
              <w:pStyle w:val="Tabletext"/>
              <w:spacing w:line="240" w:lineRule="exact"/>
              <w:jc w:val="center"/>
            </w:pPr>
            <w:r w:rsidRPr="000E3BB4">
              <w:t>500 MHz</w:t>
            </w:r>
          </w:p>
        </w:tc>
        <w:tc>
          <w:tcPr>
            <w:tcW w:w="2006" w:type="dxa"/>
          </w:tcPr>
          <w:p w14:paraId="54FC05ED" w14:textId="6BE45784"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+ 500 MHz</w:t>
            </w:r>
          </w:p>
        </w:tc>
      </w:tr>
      <w:tr w:rsidR="00FF1F65" w:rsidRPr="000E3BB4" w14:paraId="430C8125" w14:textId="77777777" w:rsidTr="00FE1586">
        <w:trPr>
          <w:jc w:val="center"/>
        </w:trPr>
        <w:tc>
          <w:tcPr>
            <w:tcW w:w="2022" w:type="dxa"/>
          </w:tcPr>
          <w:p w14:paraId="2D35E078" w14:textId="77777777" w:rsidR="00FF1F65" w:rsidRPr="000E3BB4" w:rsidRDefault="00FF1F65" w:rsidP="00620732">
            <w:pPr>
              <w:pStyle w:val="Tabletext"/>
              <w:spacing w:line="240" w:lineRule="exact"/>
              <w:jc w:val="left"/>
            </w:pPr>
            <w:r w:rsidRPr="000E3BB4">
              <w:t>Broadcasting-satellite service (BSS)</w:t>
            </w:r>
          </w:p>
        </w:tc>
        <w:tc>
          <w:tcPr>
            <w:tcW w:w="3690" w:type="dxa"/>
          </w:tcPr>
          <w:p w14:paraId="06F12494" w14:textId="77777777" w:rsidR="00FF1F65" w:rsidRPr="000E3BB4" w:rsidRDefault="00FF1F65" w:rsidP="00FE1586">
            <w:pPr>
              <w:pStyle w:val="Tabletext"/>
              <w:spacing w:line="240" w:lineRule="exact"/>
              <w:jc w:val="left"/>
            </w:pPr>
            <w:r w:rsidRPr="000E3BB4">
              <w:t>11.7-12.75 GHz</w:t>
            </w:r>
          </w:p>
        </w:tc>
        <w:tc>
          <w:tcPr>
            <w:tcW w:w="1432" w:type="dxa"/>
          </w:tcPr>
          <w:p w14:paraId="6C14F218" w14:textId="77777777" w:rsidR="00FF1F65" w:rsidRPr="000E3BB4" w:rsidRDefault="00FF1F65" w:rsidP="00620732">
            <w:pPr>
              <w:pStyle w:val="Tabletext"/>
              <w:spacing w:line="240" w:lineRule="exact"/>
              <w:jc w:val="center"/>
            </w:pPr>
            <w:r w:rsidRPr="000E3BB4">
              <w:t>500 MHz</w:t>
            </w:r>
          </w:p>
        </w:tc>
        <w:tc>
          <w:tcPr>
            <w:tcW w:w="2006" w:type="dxa"/>
          </w:tcPr>
          <w:p w14:paraId="7A9862A0" w14:textId="797152E7"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+ 500 MHz</w:t>
            </w:r>
          </w:p>
        </w:tc>
      </w:tr>
      <w:tr w:rsidR="00FF1F65" w:rsidRPr="000E3BB4" w14:paraId="7264E616" w14:textId="77777777" w:rsidTr="00FE1586">
        <w:trPr>
          <w:jc w:val="center"/>
        </w:trPr>
        <w:tc>
          <w:tcPr>
            <w:tcW w:w="2022" w:type="dxa"/>
          </w:tcPr>
          <w:p w14:paraId="51C34D5E" w14:textId="77777777" w:rsidR="00FF1F65" w:rsidRPr="000E3BB4" w:rsidRDefault="00FF1F65" w:rsidP="00620732">
            <w:pPr>
              <w:pStyle w:val="Tabletext"/>
              <w:spacing w:line="240" w:lineRule="exact"/>
              <w:jc w:val="left"/>
            </w:pPr>
            <w:r w:rsidRPr="000E3BB4">
              <w:t>FSS</w:t>
            </w:r>
          </w:p>
        </w:tc>
        <w:tc>
          <w:tcPr>
            <w:tcW w:w="3690" w:type="dxa"/>
          </w:tcPr>
          <w:p w14:paraId="4C7C02B0" w14:textId="77777777" w:rsidR="00FF1F65" w:rsidRPr="000E3BB4" w:rsidRDefault="00FF1F65" w:rsidP="00FE1586">
            <w:pPr>
              <w:pStyle w:val="Tabletext"/>
              <w:spacing w:line="240" w:lineRule="exact"/>
              <w:jc w:val="left"/>
            </w:pPr>
            <w:r w:rsidRPr="000E3BB4">
              <w:t>12.75-13.25 GHz</w:t>
            </w:r>
          </w:p>
        </w:tc>
        <w:tc>
          <w:tcPr>
            <w:tcW w:w="1432" w:type="dxa"/>
          </w:tcPr>
          <w:p w14:paraId="4C7FF739" w14:textId="77777777" w:rsidR="00FF1F65" w:rsidRPr="000E3BB4" w:rsidRDefault="00FF1F65" w:rsidP="00620732">
            <w:pPr>
              <w:pStyle w:val="Tabletext"/>
              <w:spacing w:line="240" w:lineRule="exact"/>
              <w:jc w:val="center"/>
            </w:pPr>
            <w:r w:rsidRPr="000E3BB4">
              <w:t>500 MHz</w:t>
            </w:r>
          </w:p>
        </w:tc>
        <w:tc>
          <w:tcPr>
            <w:tcW w:w="2006" w:type="dxa"/>
          </w:tcPr>
          <w:p w14:paraId="643C2504" w14:textId="2E529059"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+ 500 MHz</w:t>
            </w:r>
          </w:p>
        </w:tc>
      </w:tr>
      <w:tr w:rsidR="00FF1F65" w:rsidRPr="000E3BB4" w14:paraId="62934899" w14:textId="77777777" w:rsidTr="00FE1586">
        <w:trPr>
          <w:jc w:val="center"/>
        </w:trPr>
        <w:tc>
          <w:tcPr>
            <w:tcW w:w="2022" w:type="dxa"/>
          </w:tcPr>
          <w:p w14:paraId="23DBDFD1" w14:textId="77777777" w:rsidR="00FF1F65" w:rsidRPr="000E3BB4" w:rsidRDefault="00FF1F65" w:rsidP="00620732">
            <w:pPr>
              <w:pStyle w:val="Tabletext"/>
              <w:spacing w:line="240" w:lineRule="exact"/>
              <w:jc w:val="left"/>
            </w:pPr>
            <w:r w:rsidRPr="000E3BB4">
              <w:t>FSS</w:t>
            </w:r>
          </w:p>
        </w:tc>
        <w:tc>
          <w:tcPr>
            <w:tcW w:w="3690" w:type="dxa"/>
          </w:tcPr>
          <w:p w14:paraId="45261849" w14:textId="77777777" w:rsidR="00FF1F65" w:rsidRPr="000E3BB4" w:rsidRDefault="00FF1F65" w:rsidP="00FE1586">
            <w:pPr>
              <w:pStyle w:val="Tabletext"/>
              <w:spacing w:line="240" w:lineRule="exact"/>
              <w:jc w:val="left"/>
            </w:pPr>
            <w:r w:rsidRPr="000E3BB4">
              <w:t>13.75-14.8 GHz</w:t>
            </w:r>
          </w:p>
        </w:tc>
        <w:tc>
          <w:tcPr>
            <w:tcW w:w="1432" w:type="dxa"/>
          </w:tcPr>
          <w:p w14:paraId="617E8DAC" w14:textId="77777777" w:rsidR="00FF1F65" w:rsidRPr="000E3BB4" w:rsidRDefault="00FF1F65" w:rsidP="00620732">
            <w:pPr>
              <w:pStyle w:val="Tabletext"/>
              <w:spacing w:line="240" w:lineRule="exact"/>
              <w:jc w:val="center"/>
            </w:pPr>
            <w:r w:rsidRPr="000E3BB4">
              <w:t>500 MHz</w:t>
            </w:r>
          </w:p>
        </w:tc>
        <w:tc>
          <w:tcPr>
            <w:tcW w:w="2006" w:type="dxa"/>
          </w:tcPr>
          <w:p w14:paraId="4F0DE191" w14:textId="54C7F991" w:rsidR="00FF1F65" w:rsidRPr="000E3BB4" w:rsidRDefault="00FF1F65" w:rsidP="00620732">
            <w:pPr>
              <w:pStyle w:val="Tabletext"/>
              <w:spacing w:line="240" w:lineRule="exact"/>
              <w:jc w:val="center"/>
            </w:pPr>
            <w:r w:rsidRPr="000E3BB4">
              <w:t xml:space="preserve">1.5 </w:t>
            </w:r>
            <w:r w:rsidRPr="000E3BB4">
              <w:rPr>
                <w:i/>
                <w:iCs/>
              </w:rPr>
              <w:t>B</w:t>
            </w:r>
            <w:r w:rsidR="00FE1586" w:rsidRPr="00FE1586">
              <w:rPr>
                <w:i/>
                <w:iCs/>
                <w:vertAlign w:val="subscript"/>
              </w:rPr>
              <w:t>N</w:t>
            </w:r>
            <w:r w:rsidRPr="000E3BB4">
              <w:t xml:space="preserve"> + 500 MHz</w:t>
            </w:r>
          </w:p>
        </w:tc>
      </w:tr>
    </w:tbl>
    <w:p w14:paraId="216EC887" w14:textId="77777777" w:rsidR="00FF1F65" w:rsidRPr="000E3BB4" w:rsidRDefault="00FF1F65" w:rsidP="00FF1F65">
      <w:pPr>
        <w:pStyle w:val="Heading2"/>
      </w:pPr>
      <w:r w:rsidRPr="000E3BB4">
        <w:lastRenderedPageBreak/>
        <w:t>3.3</w:t>
      </w:r>
      <w:r w:rsidRPr="000E3BB4">
        <w:tab/>
        <w:t>Primary radars in the radiodetermination and other services</w:t>
      </w:r>
    </w:p>
    <w:p w14:paraId="320FAB0D" w14:textId="6B7A5F47" w:rsidR="00FF1F65" w:rsidRPr="000E3BB4" w:rsidRDefault="00FF1F65" w:rsidP="00FF1F65">
      <w:pPr>
        <w:rPr>
          <w:szCs w:val="24"/>
        </w:rPr>
      </w:pPr>
      <w:r w:rsidRPr="000E3BB4">
        <w:rPr>
          <w:szCs w:val="24"/>
        </w:rPr>
        <w:t xml:space="preserve">According to </w:t>
      </w:r>
      <w:r w:rsidRPr="000E3BB4">
        <w:rPr>
          <w:i/>
          <w:szCs w:val="24"/>
        </w:rPr>
        <w:t>recommends</w:t>
      </w:r>
      <w:r w:rsidRPr="000E3BB4">
        <w:rPr>
          <w:szCs w:val="24"/>
        </w:rPr>
        <w:t xml:space="preserve"> 2.3 of Recommendation </w:t>
      </w:r>
      <w:hyperlink r:id="rId39" w:history="1">
        <w:r w:rsidR="00DB0774" w:rsidRPr="00DD11AF">
          <w:rPr>
            <w:rStyle w:val="Hyperlink"/>
            <w:color w:val="auto"/>
            <w:szCs w:val="24"/>
            <w:u w:val="none"/>
          </w:rPr>
          <w:t>ITU-</w:t>
        </w:r>
        <w:r w:rsidR="00DB0774" w:rsidRPr="00DD11AF">
          <w:rPr>
            <w:rStyle w:val="Hyperlink"/>
            <w:color w:val="auto"/>
            <w:szCs w:val="24"/>
            <w:u w:val="none"/>
            <w:lang w:eastAsia="ja-JP"/>
          </w:rPr>
          <w:t>R SM.329</w:t>
        </w:r>
      </w:hyperlink>
      <w:r w:rsidRPr="000E3BB4">
        <w:rPr>
          <w:szCs w:val="24"/>
        </w:rPr>
        <w:t xml:space="preserve">, the spurious domain emission generally begins at a frequency separation equal to 250% of the necessary bandwidth, with exceptions for certain kinds of systems, including those with digital or pulsed modulation. RR Appendix </w:t>
      </w:r>
      <w:r w:rsidRPr="000E3BB4">
        <w:rPr>
          <w:b/>
          <w:bCs/>
          <w:szCs w:val="24"/>
        </w:rPr>
        <w:t>3</w:t>
      </w:r>
      <w:r w:rsidRPr="000E3BB4">
        <w:rPr>
          <w:szCs w:val="24"/>
        </w:rPr>
        <w:t xml:space="preserve"> includes similar provisions. However, it is difficult to apply the general boundary concept of 250% of the necessary bandwidth to primary radar stations in the radiodetermination and other services, such as the meteorological aids service, the space research service, and the Earth exploration-satellite service.</w:t>
      </w:r>
    </w:p>
    <w:p w14:paraId="1E21DA8E" w14:textId="2A49966D" w:rsidR="00FF1F65" w:rsidRPr="000E3BB4" w:rsidRDefault="00FF1F65" w:rsidP="003D634F">
      <w:pPr>
        <w:rPr>
          <w:szCs w:val="24"/>
        </w:rPr>
      </w:pPr>
      <w:r w:rsidRPr="000E3BB4">
        <w:rPr>
          <w:szCs w:val="24"/>
        </w:rPr>
        <w:t xml:space="preserve">For the case of primary radar systems the </w:t>
      </w:r>
      <w:proofErr w:type="spellStart"/>
      <w:r w:rsidRPr="000E3BB4">
        <w:rPr>
          <w:szCs w:val="24"/>
        </w:rPr>
        <w:t>OoB</w:t>
      </w:r>
      <w:proofErr w:type="spellEnd"/>
      <w:r w:rsidRPr="000E3BB4">
        <w:rPr>
          <w:szCs w:val="24"/>
        </w:rPr>
        <w:t xml:space="preserve"> mask rolls off at 20 dB per decade from the 40 dB bandwidth to the spurious limit specified in Table 2 of Recommendation </w:t>
      </w:r>
      <w:hyperlink r:id="rId40" w:history="1">
        <w:r w:rsidR="00DB0774" w:rsidRPr="00DD11AF">
          <w:rPr>
            <w:rStyle w:val="Hyperlink"/>
            <w:color w:val="auto"/>
            <w:szCs w:val="24"/>
            <w:u w:val="none"/>
          </w:rPr>
          <w:t>ITU-</w:t>
        </w:r>
        <w:r w:rsidR="00DB0774" w:rsidRPr="00DD11AF">
          <w:rPr>
            <w:rStyle w:val="Hyperlink"/>
            <w:color w:val="auto"/>
            <w:szCs w:val="24"/>
            <w:u w:val="none"/>
            <w:lang w:eastAsia="ja-JP"/>
          </w:rPr>
          <w:t>R SM.329</w:t>
        </w:r>
      </w:hyperlink>
      <w:r w:rsidRPr="000E3BB4">
        <w:rPr>
          <w:szCs w:val="24"/>
        </w:rPr>
        <w:t xml:space="preserve">. The detailed definition of the </w:t>
      </w:r>
      <w:proofErr w:type="spellStart"/>
      <w:r w:rsidRPr="000E3BB4">
        <w:rPr>
          <w:szCs w:val="24"/>
        </w:rPr>
        <w:t>OoB</w:t>
      </w:r>
      <w:proofErr w:type="spellEnd"/>
      <w:r w:rsidRPr="000E3BB4">
        <w:rPr>
          <w:szCs w:val="24"/>
        </w:rPr>
        <w:t xml:space="preserve">/spurious domain boundary is contained in Annex 8 of Recommendation </w:t>
      </w:r>
      <w:hyperlink r:id="rId41" w:history="1">
        <w:r w:rsidR="00494D4D" w:rsidRPr="003D634F">
          <w:rPr>
            <w:rStyle w:val="Hyperlink"/>
            <w:color w:val="auto"/>
            <w:szCs w:val="24"/>
            <w:u w:val="none"/>
            <w:lang w:eastAsia="ja-JP"/>
          </w:rPr>
          <w:t>ITU</w:t>
        </w:r>
        <w:r w:rsidR="003D634F" w:rsidRPr="003D634F">
          <w:rPr>
            <w:rStyle w:val="Hyperlink"/>
            <w:color w:val="auto"/>
            <w:szCs w:val="24"/>
            <w:u w:val="none"/>
            <w:lang w:eastAsia="ja-JP"/>
          </w:rPr>
          <w:noBreakHyphen/>
        </w:r>
        <w:r w:rsidR="00494D4D" w:rsidRPr="003D634F">
          <w:rPr>
            <w:rStyle w:val="Hyperlink"/>
            <w:color w:val="auto"/>
            <w:szCs w:val="24"/>
            <w:u w:val="none"/>
            <w:lang w:eastAsia="ja-JP"/>
          </w:rPr>
          <w:t>R</w:t>
        </w:r>
        <w:r w:rsidR="003D634F" w:rsidRPr="003D634F">
          <w:rPr>
            <w:rStyle w:val="Hyperlink"/>
            <w:color w:val="auto"/>
            <w:szCs w:val="24"/>
            <w:u w:val="none"/>
            <w:lang w:eastAsia="ja-JP"/>
          </w:rPr>
          <w:t> </w:t>
        </w:r>
        <w:r w:rsidR="00494D4D" w:rsidRPr="003D634F">
          <w:rPr>
            <w:rStyle w:val="Hyperlink"/>
            <w:color w:val="auto"/>
            <w:szCs w:val="24"/>
            <w:u w:val="none"/>
            <w:lang w:eastAsia="ja-JP"/>
          </w:rPr>
          <w:t>SM.1541</w:t>
        </w:r>
      </w:hyperlink>
      <w:r w:rsidRPr="000E3BB4">
        <w:rPr>
          <w:szCs w:val="24"/>
        </w:rPr>
        <w:t>.</w:t>
      </w:r>
    </w:p>
    <w:p w14:paraId="13CA4258" w14:textId="77777777" w:rsidR="00FF1F65" w:rsidRPr="000E3BB4" w:rsidRDefault="00FF1F65" w:rsidP="00FF1F65">
      <w:pPr>
        <w:rPr>
          <w:szCs w:val="24"/>
        </w:rPr>
      </w:pPr>
      <w:r w:rsidRPr="000E3BB4">
        <w:rPr>
          <w:szCs w:val="24"/>
        </w:rPr>
        <w:t>The above specification of the boundary is the subject of ongoing ITU studies with a design objective of 40 dB per decade roll-off from the 40 dB bandwidth.</w:t>
      </w:r>
    </w:p>
    <w:p w14:paraId="2AB6606C" w14:textId="77777777" w:rsidR="00DC3EBF" w:rsidRDefault="00DC3EBF" w:rsidP="00DC3EBF"/>
    <w:p w14:paraId="319DCBC7" w14:textId="77777777" w:rsidR="00DC3EBF" w:rsidRPr="00BF487A" w:rsidRDefault="00DC3EBF" w:rsidP="00DC3EBF">
      <w:pPr>
        <w:pStyle w:val="Line"/>
      </w:pPr>
    </w:p>
    <w:sectPr w:rsidR="00DC3EBF" w:rsidRPr="00BF487A" w:rsidSect="00274B1B">
      <w:headerReference w:type="default" r:id="rId42"/>
      <w:footerReference w:type="default" r:id="rId43"/>
      <w:headerReference w:type="first" r:id="rId44"/>
      <w:footerReference w:type="first" r:id="rId45"/>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4BE2C" w14:textId="77777777" w:rsidR="005C7C67" w:rsidRDefault="005C7C67">
      <w:r>
        <w:separator/>
      </w:r>
    </w:p>
  </w:endnote>
  <w:endnote w:type="continuationSeparator" w:id="0">
    <w:p w14:paraId="659F6F17" w14:textId="77777777" w:rsidR="005C7C67" w:rsidRDefault="005C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7614" w14:textId="77777777" w:rsidR="00381BAB" w:rsidRDefault="0038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3872" w14:textId="77777777" w:rsidR="006A3425" w:rsidRDefault="006A3425">
    <w:pPr>
      <w:pStyle w:val="Footer"/>
    </w:pPr>
    <w:r>
      <w:drawing>
        <wp:anchor distT="0" distB="0" distL="0" distR="0" simplePos="0" relativeHeight="251659264" behindDoc="0" locked="0" layoutInCell="1" allowOverlap="1" wp14:anchorId="36943B9D" wp14:editId="6FBFCA54">
          <wp:simplePos x="0" y="0"/>
          <wp:positionH relativeFrom="page">
            <wp:posOffset>6346209</wp:posOffset>
          </wp:positionH>
          <wp:positionV relativeFrom="page">
            <wp:posOffset>9501505</wp:posOffset>
          </wp:positionV>
          <wp:extent cx="738000" cy="813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C97D3" w14:textId="77777777" w:rsidR="00381BAB" w:rsidRDefault="00381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0147" w14:textId="1813CE55" w:rsidR="006A3425" w:rsidRDefault="006A34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9010" w14:textId="4DA71E6D" w:rsidR="00FA124A" w:rsidRPr="002F574F" w:rsidRDefault="00FA124A" w:rsidP="002F574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9CAB" w14:textId="5CE3D34E" w:rsidR="00FA124A" w:rsidRPr="002F574F" w:rsidRDefault="00FA124A" w:rsidP="002F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7FBBD" w14:textId="77777777" w:rsidR="005C7C67" w:rsidRDefault="005C7C67">
      <w:r>
        <w:t>____________________</w:t>
      </w:r>
    </w:p>
  </w:footnote>
  <w:footnote w:type="continuationSeparator" w:id="0">
    <w:p w14:paraId="2242F972" w14:textId="77777777" w:rsidR="005C7C67" w:rsidRDefault="005C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11ED4" w14:textId="77777777" w:rsidR="006A3425" w:rsidRDefault="006A342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6A3425" w:rsidRPr="00A239D1" w14:paraId="77189D24" w14:textId="77777777" w:rsidTr="0019307B">
      <w:tc>
        <w:tcPr>
          <w:tcW w:w="4634" w:type="dxa"/>
          <w:vAlign w:val="center"/>
        </w:tcPr>
        <w:p w14:paraId="591169C8" w14:textId="77777777" w:rsidR="006A3425" w:rsidRPr="005B0371" w:rsidRDefault="006A3425"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C140536" w14:textId="77777777" w:rsidR="006A3425" w:rsidRPr="00260B24" w:rsidRDefault="006A3425"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6A3425" w:rsidRPr="00A239D1" w14:paraId="598F6AE8" w14:textId="77777777" w:rsidTr="0019307B">
      <w:tc>
        <w:tcPr>
          <w:tcW w:w="4634" w:type="dxa"/>
          <w:vAlign w:val="center"/>
        </w:tcPr>
        <w:p w14:paraId="06515495" w14:textId="77777777" w:rsidR="006A3425" w:rsidRPr="00260B24" w:rsidRDefault="006A3425"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79269E2F" w14:textId="77777777" w:rsidR="006A3425" w:rsidRPr="00260B24" w:rsidRDefault="006A3425"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E052D9B" w14:textId="77777777" w:rsidR="006A3425" w:rsidRDefault="006A3425"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DF18B3C" wp14:editId="56774540">
          <wp:simplePos x="0" y="0"/>
          <wp:positionH relativeFrom="column">
            <wp:posOffset>-358302</wp:posOffset>
          </wp:positionH>
          <wp:positionV relativeFrom="paragraph">
            <wp:posOffset>-534670</wp:posOffset>
          </wp:positionV>
          <wp:extent cx="1945758" cy="4146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38A89AE4" wp14:editId="374AF339">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8ED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7B37FA7" w14:textId="77777777" w:rsidR="006A3425" w:rsidRDefault="006A3425"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516195BE" wp14:editId="27BA712B">
              <wp:simplePos x="0" y="0"/>
              <wp:positionH relativeFrom="page">
                <wp:posOffset>0</wp:posOffset>
              </wp:positionH>
              <wp:positionV relativeFrom="page">
                <wp:posOffset>1196340</wp:posOffset>
              </wp:positionV>
              <wp:extent cx="7560310" cy="236220"/>
              <wp:effectExtent l="9525" t="5715" r="12065" b="5715"/>
              <wp:wrapNone/>
              <wp:docPr id="899695268"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1703816585" name="docshape7"/>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1418405270" name="docshape8"/>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3493B" id="docshapegroup6" o:spid="_x0000_s1026"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">
              <v:rect id="docshape7"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" fillcolor="#009cd6" strokecolor="#009cd6"/>
              <v:shape id="docshape8" o:spid="_x0000_s1028"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6503" w14:textId="77777777" w:rsidR="00381BAB" w:rsidRDefault="00381B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2145" w14:textId="407BF3A3" w:rsidR="006A3425" w:rsidRPr="00D72623" w:rsidRDefault="006A3425"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351BBB">
      <w:rPr>
        <w:lang w:val="en-US"/>
      </w:rPr>
      <w:t>Error! Unknown document property name.</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351BBB">
      <w:rPr>
        <w:b/>
        <w:bCs/>
        <w:noProof/>
        <w:lang w:val="en-US"/>
      </w:rPr>
      <w:t>ITU-R  SM.1539-2</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7DF5" w14:textId="6EC3AAF7" w:rsidR="0040042E" w:rsidRPr="00D72623" w:rsidRDefault="0040042E" w:rsidP="0040042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381BAB" w:rsidRPr="00381BAB">
      <w:rPr>
        <w:b/>
        <w:bCs/>
        <w:lang w:val="en-US"/>
      </w:rPr>
      <w:t>Rec.</w:t>
    </w:r>
    <w:r w:rsidR="00381BAB">
      <w:rPr>
        <w:lang w:val="en-US"/>
      </w:rPr>
      <w:t xml:space="preserve"> </w:t>
    </w:r>
    <w:r>
      <w:rPr>
        <w:b/>
        <w:bCs/>
      </w:rPr>
      <w:fldChar w:fldCharType="begin"/>
    </w:r>
    <w:r>
      <w:rPr>
        <w:b/>
        <w:bCs/>
        <w:lang w:val="en-US"/>
      </w:rPr>
      <w:instrText>styleref href</w:instrText>
    </w:r>
    <w:r>
      <w:rPr>
        <w:b/>
        <w:bCs/>
      </w:rPr>
      <w:fldChar w:fldCharType="separate"/>
    </w:r>
    <w:r w:rsidR="00351BBB">
      <w:rPr>
        <w:b/>
        <w:bCs/>
        <w:noProof/>
        <w:lang w:val="en-US"/>
      </w:rPr>
      <w:t>ITU-R  SM.1539-2</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8817" w14:textId="48E1AD25" w:rsidR="0040042E" w:rsidRPr="00D72623" w:rsidRDefault="0040042E" w:rsidP="0040042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Pr>
        <w:lang w:val="en-US"/>
      </w:rPr>
      <w:tab/>
    </w:r>
    <w:r w:rsidR="00381BAB" w:rsidRPr="00381BAB">
      <w:rPr>
        <w:b/>
        <w:bCs/>
        <w:lang w:val="en-US"/>
      </w:rPr>
      <w:t>Rec.</w:t>
    </w:r>
    <w:r w:rsidR="00381BAB">
      <w:rPr>
        <w:lang w:val="en-US"/>
      </w:rPr>
      <w:t xml:space="preserve"> </w:t>
    </w:r>
    <w:r>
      <w:rPr>
        <w:b/>
        <w:bCs/>
      </w:rPr>
      <w:fldChar w:fldCharType="begin"/>
    </w:r>
    <w:r>
      <w:rPr>
        <w:b/>
        <w:bCs/>
        <w:lang w:val="en-US"/>
      </w:rPr>
      <w:instrText>styleref href</w:instrText>
    </w:r>
    <w:r>
      <w:rPr>
        <w:b/>
        <w:bCs/>
      </w:rPr>
      <w:fldChar w:fldCharType="separate"/>
    </w:r>
    <w:r w:rsidR="00351BBB">
      <w:rPr>
        <w:b/>
        <w:bCs/>
        <w:noProof/>
        <w:lang w:val="en-US"/>
      </w:rPr>
      <w:t>ITU-R  SM.1539-2</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E43F" w14:textId="28948EBB" w:rsidR="0040042E" w:rsidRDefault="0040042E" w:rsidP="0040042E">
    <w:pPr>
      <w:pStyle w:val="Header"/>
    </w:pPr>
    <w:r>
      <w:tab/>
    </w:r>
    <w:r w:rsidR="00381BAB" w:rsidRPr="00381BAB">
      <w:rPr>
        <w:b/>
        <w:bCs/>
        <w:lang w:val="en-US"/>
      </w:rPr>
      <w:t>Rec.</w:t>
    </w:r>
    <w:r w:rsidR="00381BAB">
      <w:rPr>
        <w:lang w:val="en-US"/>
      </w:rPr>
      <w:t xml:space="preserve"> </w:t>
    </w:r>
    <w:r>
      <w:rPr>
        <w:b/>
        <w:bCs/>
      </w:rPr>
      <w:fldChar w:fldCharType="begin"/>
    </w:r>
    <w:r>
      <w:rPr>
        <w:b/>
        <w:bCs/>
      </w:rPr>
      <w:instrText>styleref href</w:instrText>
    </w:r>
    <w:r>
      <w:rPr>
        <w:b/>
        <w:bCs/>
      </w:rPr>
      <w:fldChar w:fldCharType="separate"/>
    </w:r>
    <w:r w:rsidR="00351BBB">
      <w:rPr>
        <w:b/>
        <w:bCs/>
        <w:noProof/>
      </w:rPr>
      <w:t>ITU-R  SM.1539-2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65"/>
    <w:rsid w:val="000069D4"/>
    <w:rsid w:val="000174AD"/>
    <w:rsid w:val="00047A1D"/>
    <w:rsid w:val="000604B9"/>
    <w:rsid w:val="00072552"/>
    <w:rsid w:val="00082053"/>
    <w:rsid w:val="000A7D55"/>
    <w:rsid w:val="000C12C8"/>
    <w:rsid w:val="000C2E8E"/>
    <w:rsid w:val="000E0E7C"/>
    <w:rsid w:val="000E15D8"/>
    <w:rsid w:val="000F1B4B"/>
    <w:rsid w:val="001012A9"/>
    <w:rsid w:val="0012744F"/>
    <w:rsid w:val="00131178"/>
    <w:rsid w:val="001466FD"/>
    <w:rsid w:val="00156F66"/>
    <w:rsid w:val="00163271"/>
    <w:rsid w:val="00172122"/>
    <w:rsid w:val="00182528"/>
    <w:rsid w:val="0018500B"/>
    <w:rsid w:val="00196A19"/>
    <w:rsid w:val="001B18F0"/>
    <w:rsid w:val="001B526B"/>
    <w:rsid w:val="001C0601"/>
    <w:rsid w:val="001C3A75"/>
    <w:rsid w:val="001F32D0"/>
    <w:rsid w:val="00200350"/>
    <w:rsid w:val="00202DC1"/>
    <w:rsid w:val="002116EE"/>
    <w:rsid w:val="002172B8"/>
    <w:rsid w:val="002309D8"/>
    <w:rsid w:val="00247746"/>
    <w:rsid w:val="00257918"/>
    <w:rsid w:val="002618AC"/>
    <w:rsid w:val="00274B1B"/>
    <w:rsid w:val="002A7FE2"/>
    <w:rsid w:val="002E1B4F"/>
    <w:rsid w:val="002F2E67"/>
    <w:rsid w:val="002F574F"/>
    <w:rsid w:val="002F7CB3"/>
    <w:rsid w:val="00315546"/>
    <w:rsid w:val="003225AA"/>
    <w:rsid w:val="00330567"/>
    <w:rsid w:val="00351BBB"/>
    <w:rsid w:val="00381BAB"/>
    <w:rsid w:val="00386A9D"/>
    <w:rsid w:val="00387F5F"/>
    <w:rsid w:val="00391081"/>
    <w:rsid w:val="003B2789"/>
    <w:rsid w:val="003C13CE"/>
    <w:rsid w:val="003C6432"/>
    <w:rsid w:val="003C697E"/>
    <w:rsid w:val="003D634F"/>
    <w:rsid w:val="003E2518"/>
    <w:rsid w:val="003E7CEF"/>
    <w:rsid w:val="0040042E"/>
    <w:rsid w:val="00423A0C"/>
    <w:rsid w:val="00443FC5"/>
    <w:rsid w:val="00494D4D"/>
    <w:rsid w:val="00495DE4"/>
    <w:rsid w:val="004B1EF7"/>
    <w:rsid w:val="004B3FAD"/>
    <w:rsid w:val="004C5749"/>
    <w:rsid w:val="004E6440"/>
    <w:rsid w:val="00501DCA"/>
    <w:rsid w:val="00502B87"/>
    <w:rsid w:val="00513A47"/>
    <w:rsid w:val="005307B2"/>
    <w:rsid w:val="00531F80"/>
    <w:rsid w:val="005408DF"/>
    <w:rsid w:val="005521FB"/>
    <w:rsid w:val="00554879"/>
    <w:rsid w:val="00563213"/>
    <w:rsid w:val="00573344"/>
    <w:rsid w:val="00583F9B"/>
    <w:rsid w:val="005B097C"/>
    <w:rsid w:val="005B0D29"/>
    <w:rsid w:val="005B6BE6"/>
    <w:rsid w:val="005C7C67"/>
    <w:rsid w:val="005E12C6"/>
    <w:rsid w:val="005E5C10"/>
    <w:rsid w:val="005F2C78"/>
    <w:rsid w:val="006144E4"/>
    <w:rsid w:val="00620732"/>
    <w:rsid w:val="00650299"/>
    <w:rsid w:val="00655FC5"/>
    <w:rsid w:val="006A3425"/>
    <w:rsid w:val="0070386D"/>
    <w:rsid w:val="0071215F"/>
    <w:rsid w:val="00721836"/>
    <w:rsid w:val="007421A4"/>
    <w:rsid w:val="00742362"/>
    <w:rsid w:val="00781EB0"/>
    <w:rsid w:val="007F0F3F"/>
    <w:rsid w:val="007F4590"/>
    <w:rsid w:val="0080538C"/>
    <w:rsid w:val="00814E0A"/>
    <w:rsid w:val="00822581"/>
    <w:rsid w:val="008309DD"/>
    <w:rsid w:val="0083227A"/>
    <w:rsid w:val="0086069B"/>
    <w:rsid w:val="00866900"/>
    <w:rsid w:val="00872F23"/>
    <w:rsid w:val="00876A8A"/>
    <w:rsid w:val="00881BA1"/>
    <w:rsid w:val="008B4976"/>
    <w:rsid w:val="008C2302"/>
    <w:rsid w:val="008C26B8"/>
    <w:rsid w:val="008E0D6B"/>
    <w:rsid w:val="008F208F"/>
    <w:rsid w:val="00906057"/>
    <w:rsid w:val="00965F2B"/>
    <w:rsid w:val="00982084"/>
    <w:rsid w:val="00995963"/>
    <w:rsid w:val="009B61EB"/>
    <w:rsid w:val="009C185B"/>
    <w:rsid w:val="009C2064"/>
    <w:rsid w:val="009D1697"/>
    <w:rsid w:val="009F3A46"/>
    <w:rsid w:val="009F6520"/>
    <w:rsid w:val="00A014F8"/>
    <w:rsid w:val="00A27A9A"/>
    <w:rsid w:val="00A5173C"/>
    <w:rsid w:val="00A53983"/>
    <w:rsid w:val="00A56C0D"/>
    <w:rsid w:val="00A61AEF"/>
    <w:rsid w:val="00A6671C"/>
    <w:rsid w:val="00A701CC"/>
    <w:rsid w:val="00A820E3"/>
    <w:rsid w:val="00AA467E"/>
    <w:rsid w:val="00AD2345"/>
    <w:rsid w:val="00AE6636"/>
    <w:rsid w:val="00AF173A"/>
    <w:rsid w:val="00AF3DFC"/>
    <w:rsid w:val="00B066A4"/>
    <w:rsid w:val="00B07A13"/>
    <w:rsid w:val="00B3254E"/>
    <w:rsid w:val="00B4279B"/>
    <w:rsid w:val="00B45FC9"/>
    <w:rsid w:val="00B76F35"/>
    <w:rsid w:val="00B775A3"/>
    <w:rsid w:val="00B81138"/>
    <w:rsid w:val="00B970E4"/>
    <w:rsid w:val="00BA716C"/>
    <w:rsid w:val="00BC7CCF"/>
    <w:rsid w:val="00BE470B"/>
    <w:rsid w:val="00C31AEF"/>
    <w:rsid w:val="00C523AC"/>
    <w:rsid w:val="00C57A91"/>
    <w:rsid w:val="00C724A7"/>
    <w:rsid w:val="00C95E6D"/>
    <w:rsid w:val="00CB0A8A"/>
    <w:rsid w:val="00CC01C2"/>
    <w:rsid w:val="00CF21F2"/>
    <w:rsid w:val="00D02712"/>
    <w:rsid w:val="00D046A7"/>
    <w:rsid w:val="00D214D0"/>
    <w:rsid w:val="00D36406"/>
    <w:rsid w:val="00D6546B"/>
    <w:rsid w:val="00DB0774"/>
    <w:rsid w:val="00DB178B"/>
    <w:rsid w:val="00DC17D3"/>
    <w:rsid w:val="00DC3EBF"/>
    <w:rsid w:val="00DD11AF"/>
    <w:rsid w:val="00DD4BED"/>
    <w:rsid w:val="00DE39F0"/>
    <w:rsid w:val="00DF0AF3"/>
    <w:rsid w:val="00DF7E9F"/>
    <w:rsid w:val="00E27D7E"/>
    <w:rsid w:val="00E42E13"/>
    <w:rsid w:val="00E56D5C"/>
    <w:rsid w:val="00E6257C"/>
    <w:rsid w:val="00E63C59"/>
    <w:rsid w:val="00E66CBC"/>
    <w:rsid w:val="00E71B50"/>
    <w:rsid w:val="00E72AB4"/>
    <w:rsid w:val="00F0105F"/>
    <w:rsid w:val="00F0412A"/>
    <w:rsid w:val="00F205B5"/>
    <w:rsid w:val="00F25662"/>
    <w:rsid w:val="00F605BF"/>
    <w:rsid w:val="00F9191E"/>
    <w:rsid w:val="00FA124A"/>
    <w:rsid w:val="00FA4D99"/>
    <w:rsid w:val="00FC08DD"/>
    <w:rsid w:val="00FC2316"/>
    <w:rsid w:val="00FC2CFD"/>
    <w:rsid w:val="00FC3174"/>
    <w:rsid w:val="00FC34B2"/>
    <w:rsid w:val="00FC48B5"/>
    <w:rsid w:val="00FC4C49"/>
    <w:rsid w:val="00FE1586"/>
    <w:rsid w:val="00FF1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C3ACC"/>
  <w15:docId w15:val="{C1138174-8296-4F57-AB42-0DEBAEAC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54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rsid w:val="00B3254E"/>
    <w:pPr>
      <w:keepNext/>
      <w:keepLines/>
      <w:spacing w:before="480"/>
      <w:ind w:left="794" w:hanging="794"/>
      <w:outlineLvl w:val="0"/>
    </w:pPr>
    <w:rPr>
      <w:b/>
    </w:rPr>
  </w:style>
  <w:style w:type="paragraph" w:styleId="Heading2">
    <w:name w:val="heading 2"/>
    <w:basedOn w:val="Heading1"/>
    <w:next w:val="Normal"/>
    <w:qFormat/>
    <w:rsid w:val="00B3254E"/>
    <w:pPr>
      <w:spacing w:before="320"/>
      <w:outlineLvl w:val="1"/>
    </w:pPr>
  </w:style>
  <w:style w:type="paragraph" w:styleId="Heading3">
    <w:name w:val="heading 3"/>
    <w:basedOn w:val="Heading1"/>
    <w:next w:val="Normal"/>
    <w:qFormat/>
    <w:rsid w:val="00B3254E"/>
    <w:pPr>
      <w:spacing w:before="200"/>
      <w:outlineLvl w:val="2"/>
    </w:pPr>
  </w:style>
  <w:style w:type="paragraph" w:styleId="Heading4">
    <w:name w:val="heading 4"/>
    <w:basedOn w:val="Heading3"/>
    <w:next w:val="Normal"/>
    <w:qFormat/>
    <w:rsid w:val="00B3254E"/>
    <w:pPr>
      <w:tabs>
        <w:tab w:val="clear" w:pos="794"/>
        <w:tab w:val="left" w:pos="992"/>
      </w:tabs>
      <w:ind w:left="992" w:hanging="992"/>
      <w:outlineLvl w:val="3"/>
    </w:pPr>
  </w:style>
  <w:style w:type="paragraph" w:styleId="Heading5">
    <w:name w:val="heading 5"/>
    <w:basedOn w:val="Heading4"/>
    <w:next w:val="Normal"/>
    <w:qFormat/>
    <w:rsid w:val="00B3254E"/>
    <w:pPr>
      <w:outlineLvl w:val="4"/>
    </w:pPr>
  </w:style>
  <w:style w:type="paragraph" w:styleId="Heading6">
    <w:name w:val="heading 6"/>
    <w:basedOn w:val="Heading4"/>
    <w:next w:val="Normal"/>
    <w:qFormat/>
    <w:rsid w:val="00B3254E"/>
    <w:pPr>
      <w:tabs>
        <w:tab w:val="clear" w:pos="992"/>
        <w:tab w:val="clear" w:pos="1191"/>
      </w:tabs>
      <w:ind w:left="1588" w:hanging="1588"/>
      <w:outlineLvl w:val="5"/>
    </w:pPr>
  </w:style>
  <w:style w:type="paragraph" w:styleId="Heading7">
    <w:name w:val="heading 7"/>
    <w:basedOn w:val="Heading6"/>
    <w:next w:val="Normal"/>
    <w:qFormat/>
    <w:rsid w:val="00B3254E"/>
    <w:pPr>
      <w:outlineLvl w:val="6"/>
    </w:pPr>
  </w:style>
  <w:style w:type="paragraph" w:styleId="Heading8">
    <w:name w:val="heading 8"/>
    <w:basedOn w:val="Heading6"/>
    <w:next w:val="Normal"/>
    <w:qFormat/>
    <w:rsid w:val="00B3254E"/>
    <w:pPr>
      <w:outlineLvl w:val="7"/>
    </w:pPr>
  </w:style>
  <w:style w:type="paragraph" w:styleId="Heading9">
    <w:name w:val="heading 9"/>
    <w:basedOn w:val="Heading6"/>
    <w:next w:val="Normal"/>
    <w:qFormat/>
    <w:rsid w:val="00B3254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3254E"/>
    <w:pPr>
      <w:spacing w:before="32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B3254E"/>
    <w:pPr>
      <w:keepNext/>
      <w:keepLines/>
      <w:spacing w:before="480"/>
      <w:jc w:val="center"/>
    </w:pPr>
    <w:rPr>
      <w:sz w:val="28"/>
    </w:rPr>
  </w:style>
  <w:style w:type="paragraph" w:customStyle="1" w:styleId="Arttitle">
    <w:name w:val="Art_title"/>
    <w:basedOn w:val="Normal"/>
    <w:next w:val="Normalaftertitle"/>
    <w:rsid w:val="00B3254E"/>
    <w:pPr>
      <w:keepNext/>
      <w:keepLines/>
      <w:spacing w:before="240"/>
      <w:jc w:val="center"/>
    </w:pPr>
    <w:rPr>
      <w:b/>
      <w:sz w:val="28"/>
    </w:rPr>
  </w:style>
  <w:style w:type="paragraph" w:customStyle="1" w:styleId="ASN1">
    <w:name w:val="ASN.1"/>
    <w:basedOn w:val="Normal"/>
    <w:next w:val="Normal"/>
    <w:rsid w:val="00B325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B3254E"/>
    <w:pPr>
      <w:keepNext/>
      <w:keepLines/>
      <w:spacing w:before="160"/>
      <w:ind w:left="794"/>
    </w:pPr>
    <w:rPr>
      <w:i/>
    </w:rPr>
  </w:style>
  <w:style w:type="paragraph" w:customStyle="1" w:styleId="ChapNo">
    <w:name w:val="Chap_No"/>
    <w:basedOn w:val="ArtNo"/>
    <w:next w:val="Chaptitle"/>
    <w:rsid w:val="00B3254E"/>
    <w:rPr>
      <w:b/>
    </w:rPr>
  </w:style>
  <w:style w:type="paragraph" w:customStyle="1" w:styleId="Chaptitle">
    <w:name w:val="Chap_title"/>
    <w:basedOn w:val="Arttitle"/>
    <w:next w:val="Normalaftertitle"/>
    <w:rsid w:val="00B3254E"/>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B3254E"/>
    <w:pPr>
      <w:spacing w:before="80"/>
      <w:ind w:left="794" w:hanging="794"/>
    </w:pPr>
  </w:style>
  <w:style w:type="paragraph" w:customStyle="1" w:styleId="enumlev2">
    <w:name w:val="enumlev2"/>
    <w:basedOn w:val="enumlev1"/>
    <w:rsid w:val="00B3254E"/>
    <w:pPr>
      <w:ind w:left="1191" w:hanging="397"/>
    </w:pPr>
  </w:style>
  <w:style w:type="paragraph" w:customStyle="1" w:styleId="enumlev3">
    <w:name w:val="enumlev3"/>
    <w:basedOn w:val="enumlev2"/>
    <w:rsid w:val="00B3254E"/>
    <w:pPr>
      <w:ind w:left="1588"/>
    </w:pPr>
  </w:style>
  <w:style w:type="paragraph" w:customStyle="1" w:styleId="Equation">
    <w:name w:val="Equation"/>
    <w:basedOn w:val="Normal"/>
    <w:rsid w:val="00B3254E"/>
    <w:pPr>
      <w:tabs>
        <w:tab w:val="clear" w:pos="1191"/>
        <w:tab w:val="clear" w:pos="1588"/>
        <w:tab w:val="clear" w:pos="1985"/>
        <w:tab w:val="center" w:pos="4820"/>
        <w:tab w:val="right" w:pos="9639"/>
      </w:tabs>
    </w:pPr>
  </w:style>
  <w:style w:type="paragraph" w:customStyle="1" w:styleId="Equationlegend">
    <w:name w:val="Equation_legend"/>
    <w:basedOn w:val="NormalIndent"/>
    <w:rsid w:val="00B3254E"/>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B3254E"/>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B325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B3254E"/>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9C185B"/>
    <w:pPr>
      <w:overflowPunct/>
      <w:autoSpaceDE/>
      <w:autoSpaceDN/>
      <w:adjustRightInd/>
      <w:spacing w:before="40"/>
      <w:textAlignment w:val="auto"/>
    </w:pPr>
    <w:rPr>
      <w:caps/>
      <w:noProof w:val="0"/>
    </w:rPr>
  </w:style>
  <w:style w:type="character" w:styleId="FootnoteReference">
    <w:name w:val="footnote reference"/>
    <w:basedOn w:val="DefaultParagraphFont"/>
    <w:rsid w:val="00B3254E"/>
    <w:rPr>
      <w:position w:val="6"/>
      <w:sz w:val="18"/>
    </w:rPr>
  </w:style>
  <w:style w:type="paragraph" w:styleId="FootnoteText">
    <w:name w:val="footnote text"/>
    <w:basedOn w:val="Normal"/>
    <w:link w:val="FootnoteTextChar"/>
    <w:rsid w:val="00B3254E"/>
    <w:pPr>
      <w:keepLines/>
      <w:tabs>
        <w:tab w:val="left" w:pos="255"/>
      </w:tabs>
      <w:ind w:left="255" w:hanging="255"/>
    </w:pPr>
    <w:rPr>
      <w:sz w:val="22"/>
    </w:rPr>
  </w:style>
  <w:style w:type="paragraph" w:customStyle="1" w:styleId="Note">
    <w:name w:val="Note"/>
    <w:basedOn w:val="Normal"/>
    <w:rsid w:val="00B3254E"/>
    <w:pPr>
      <w:tabs>
        <w:tab w:val="clear" w:pos="794"/>
        <w:tab w:val="clear" w:pos="1191"/>
        <w:tab w:val="clear" w:pos="1588"/>
        <w:tab w:val="clear" w:pos="1985"/>
      </w:tabs>
      <w:spacing w:before="80"/>
    </w:pPr>
    <w:rPr>
      <w:sz w:val="22"/>
    </w:rPr>
  </w:style>
  <w:style w:type="paragraph" w:styleId="Header">
    <w:name w:val="header"/>
    <w:basedOn w:val="Normal"/>
    <w:link w:val="HeaderChar"/>
    <w:rsid w:val="00B3254E"/>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B3254E"/>
  </w:style>
  <w:style w:type="paragraph" w:styleId="Index2">
    <w:name w:val="index 2"/>
    <w:basedOn w:val="Normal"/>
    <w:next w:val="Normal"/>
    <w:semiHidden/>
    <w:rsid w:val="00B3254E"/>
    <w:pPr>
      <w:ind w:left="283"/>
    </w:pPr>
  </w:style>
  <w:style w:type="paragraph" w:styleId="Index3">
    <w:name w:val="index 3"/>
    <w:basedOn w:val="Normal"/>
    <w:next w:val="Normal"/>
    <w:semiHidden/>
    <w:rsid w:val="00B3254E"/>
    <w:pPr>
      <w:ind w:left="566"/>
    </w:pPr>
  </w:style>
  <w:style w:type="paragraph" w:customStyle="1" w:styleId="PartNo">
    <w:name w:val="Part_No"/>
    <w:basedOn w:val="Normal"/>
    <w:next w:val="Normal"/>
    <w:rsid w:val="00B3254E"/>
  </w:style>
  <w:style w:type="paragraph" w:customStyle="1" w:styleId="Partref">
    <w:name w:val="Part_ref"/>
    <w:basedOn w:val="Normal"/>
    <w:next w:val="Normal"/>
    <w:rsid w:val="00B3254E"/>
    <w:pPr>
      <w:keepNext/>
      <w:keepLines/>
      <w:spacing w:after="280"/>
      <w:jc w:val="center"/>
    </w:pPr>
  </w:style>
  <w:style w:type="paragraph" w:customStyle="1" w:styleId="Parttitle">
    <w:name w:val="Part_title"/>
    <w:basedOn w:val="Normal"/>
    <w:next w:val="Normalaftertitle"/>
    <w:rsid w:val="00B3254E"/>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B3254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B3254E"/>
    <w:pPr>
      <w:keepNext/>
      <w:keepLines/>
      <w:spacing w:before="240"/>
      <w:jc w:val="center"/>
    </w:pPr>
    <w:rPr>
      <w:b/>
      <w:sz w:val="28"/>
    </w:rPr>
  </w:style>
  <w:style w:type="paragraph" w:customStyle="1" w:styleId="Recref">
    <w:name w:val="Rec_ref"/>
    <w:basedOn w:val="Normal"/>
    <w:next w:val="Recdate"/>
    <w:rsid w:val="00B3254E"/>
    <w:pPr>
      <w:jc w:val="center"/>
    </w:pPr>
  </w:style>
  <w:style w:type="paragraph" w:customStyle="1" w:styleId="Recdate">
    <w:name w:val="Rec_date"/>
    <w:basedOn w:val="Recref"/>
    <w:next w:val="Normalaftertitle"/>
    <w:rsid w:val="00B3254E"/>
    <w:pPr>
      <w:jc w:val="right"/>
    </w:pPr>
  </w:style>
  <w:style w:type="paragraph" w:customStyle="1" w:styleId="Questiondate">
    <w:name w:val="Question_date"/>
    <w:basedOn w:val="Recdate"/>
    <w:next w:val="Normalaftertitle"/>
    <w:rsid w:val="00B3254E"/>
  </w:style>
  <w:style w:type="paragraph" w:customStyle="1" w:styleId="QuestionNo">
    <w:name w:val="Question_No"/>
    <w:basedOn w:val="RecNo"/>
    <w:next w:val="Normal"/>
    <w:rsid w:val="00B3254E"/>
  </w:style>
  <w:style w:type="paragraph" w:customStyle="1" w:styleId="Questiontitle">
    <w:name w:val="Question_title"/>
    <w:basedOn w:val="Normal"/>
    <w:next w:val="Questionref"/>
    <w:rsid w:val="00B3254E"/>
  </w:style>
  <w:style w:type="paragraph" w:customStyle="1" w:styleId="Questionref">
    <w:name w:val="Question_ref"/>
    <w:basedOn w:val="Recref"/>
    <w:next w:val="Questiondate"/>
    <w:rsid w:val="00B3254E"/>
  </w:style>
  <w:style w:type="paragraph" w:customStyle="1" w:styleId="Reftext">
    <w:name w:val="Ref_text"/>
    <w:basedOn w:val="Normal"/>
    <w:rsid w:val="00B3254E"/>
    <w:pPr>
      <w:ind w:left="794" w:hanging="794"/>
    </w:pPr>
    <w:rPr>
      <w:sz w:val="22"/>
    </w:rPr>
  </w:style>
  <w:style w:type="paragraph" w:customStyle="1" w:styleId="Reftitle">
    <w:name w:val="Ref_title"/>
    <w:basedOn w:val="Normal"/>
    <w:next w:val="Reftext"/>
    <w:rsid w:val="00B3254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3254E"/>
  </w:style>
  <w:style w:type="paragraph" w:customStyle="1" w:styleId="RepNo">
    <w:name w:val="Rep_No"/>
    <w:basedOn w:val="RecNo"/>
    <w:next w:val="Reptitle"/>
    <w:rsid w:val="00B3254E"/>
  </w:style>
  <w:style w:type="paragraph" w:customStyle="1" w:styleId="Reptitle">
    <w:name w:val="Rep_title"/>
    <w:basedOn w:val="Rectitle"/>
    <w:next w:val="Repref"/>
    <w:rsid w:val="00B3254E"/>
  </w:style>
  <w:style w:type="paragraph" w:customStyle="1" w:styleId="Repref">
    <w:name w:val="Rep_ref"/>
    <w:basedOn w:val="Recref"/>
    <w:next w:val="Repdate"/>
    <w:rsid w:val="00B3254E"/>
  </w:style>
  <w:style w:type="paragraph" w:customStyle="1" w:styleId="Resdate">
    <w:name w:val="Res_date"/>
    <w:basedOn w:val="Recdate"/>
    <w:next w:val="Normalaftertitle"/>
    <w:rsid w:val="00B3254E"/>
  </w:style>
  <w:style w:type="paragraph" w:customStyle="1" w:styleId="ResNo">
    <w:name w:val="Res_No"/>
    <w:basedOn w:val="RecNo"/>
    <w:next w:val="Restitle"/>
    <w:rsid w:val="00B3254E"/>
  </w:style>
  <w:style w:type="paragraph" w:customStyle="1" w:styleId="Restitle">
    <w:name w:val="Res_title"/>
    <w:basedOn w:val="Normal"/>
    <w:next w:val="Resref"/>
    <w:rsid w:val="00B3254E"/>
    <w:pPr>
      <w:spacing w:before="240"/>
      <w:jc w:val="center"/>
    </w:pPr>
    <w:rPr>
      <w:b/>
      <w:sz w:val="28"/>
    </w:rPr>
  </w:style>
  <w:style w:type="paragraph" w:customStyle="1" w:styleId="Resref">
    <w:name w:val="Res_ref"/>
    <w:basedOn w:val="Recref"/>
    <w:next w:val="Resdate"/>
    <w:rsid w:val="00B3254E"/>
  </w:style>
  <w:style w:type="paragraph" w:customStyle="1" w:styleId="SectionNo">
    <w:name w:val="Section_No"/>
    <w:basedOn w:val="Normal"/>
    <w:next w:val="Normal"/>
    <w:rsid w:val="00B3254E"/>
  </w:style>
  <w:style w:type="paragraph" w:customStyle="1" w:styleId="Sectiontitle">
    <w:name w:val="Section_title"/>
    <w:basedOn w:val="Normal"/>
    <w:next w:val="Normalaftertitle"/>
    <w:rsid w:val="00B3254E"/>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rsid w:val="00B3254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325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3254E"/>
    <w:pPr>
      <w:keepNext/>
      <w:spacing w:before="360" w:after="120"/>
      <w:jc w:val="center"/>
    </w:pPr>
  </w:style>
  <w:style w:type="paragraph" w:customStyle="1" w:styleId="Tabletitle">
    <w:name w:val="Table_title"/>
    <w:basedOn w:val="Normal"/>
    <w:next w:val="Tablehead"/>
    <w:rsid w:val="00B3254E"/>
    <w:pPr>
      <w:keepNext/>
      <w:spacing w:before="0" w:after="120"/>
      <w:jc w:val="center"/>
    </w:pPr>
    <w:rPr>
      <w:b/>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B3254E"/>
    <w:pPr>
      <w:tabs>
        <w:tab w:val="clear" w:pos="794"/>
        <w:tab w:val="clear" w:pos="1191"/>
        <w:tab w:val="clear" w:pos="1588"/>
        <w:tab w:val="clear" w:pos="1985"/>
        <w:tab w:val="right" w:pos="9611"/>
      </w:tabs>
    </w:pPr>
    <w:rPr>
      <w:i/>
    </w:rPr>
  </w:style>
  <w:style w:type="paragraph" w:styleId="TOC1">
    <w:name w:val="toc 1"/>
    <w:basedOn w:val="Normal"/>
    <w:rsid w:val="00B3254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3254E"/>
    <w:pPr>
      <w:tabs>
        <w:tab w:val="clear" w:pos="567"/>
        <w:tab w:val="left" w:pos="1276"/>
      </w:tabs>
      <w:spacing w:before="160"/>
      <w:ind w:left="1276" w:hanging="709"/>
    </w:pPr>
  </w:style>
  <w:style w:type="paragraph" w:styleId="TOC3">
    <w:name w:val="toc 3"/>
    <w:basedOn w:val="TOC2"/>
    <w:rsid w:val="00B3254E"/>
    <w:pPr>
      <w:tabs>
        <w:tab w:val="clear" w:pos="1276"/>
        <w:tab w:val="left" w:pos="2155"/>
      </w:tabs>
      <w:ind w:left="2155" w:hanging="879"/>
    </w:pPr>
  </w:style>
  <w:style w:type="paragraph" w:styleId="TOC4">
    <w:name w:val="toc 4"/>
    <w:basedOn w:val="TOC3"/>
    <w:rsid w:val="00B3254E"/>
    <w:pPr>
      <w:tabs>
        <w:tab w:val="left" w:pos="3261"/>
      </w:tabs>
      <w:spacing w:before="80"/>
      <w:ind w:left="3261" w:hanging="993"/>
    </w:pPr>
  </w:style>
  <w:style w:type="paragraph" w:styleId="TOC5">
    <w:name w:val="toc 5"/>
    <w:basedOn w:val="TOC4"/>
    <w:rsid w:val="00B3254E"/>
  </w:style>
  <w:style w:type="paragraph" w:styleId="TOC6">
    <w:name w:val="toc 6"/>
    <w:basedOn w:val="TOC4"/>
    <w:rsid w:val="00B3254E"/>
  </w:style>
  <w:style w:type="paragraph" w:styleId="TOC7">
    <w:name w:val="toc 7"/>
    <w:basedOn w:val="TOC4"/>
    <w:rsid w:val="00B3254E"/>
  </w:style>
  <w:style w:type="paragraph" w:styleId="TOC8">
    <w:name w:val="toc 8"/>
    <w:basedOn w:val="TOC4"/>
    <w:rsid w:val="00B3254E"/>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Heading3"/>
    <w:next w:val="Normal"/>
    <w:rsid w:val="00B3254E"/>
    <w:pPr>
      <w:spacing w:before="160"/>
      <w:ind w:left="0" w:firstLine="0"/>
    </w:pPr>
    <w:rPr>
      <w:b w:val="0"/>
      <w:i/>
    </w:rPr>
  </w:style>
  <w:style w:type="paragraph" w:customStyle="1" w:styleId="Headingb">
    <w:name w:val="Heading_b"/>
    <w:basedOn w:val="Heading3"/>
    <w:next w:val="Normal"/>
    <w:rsid w:val="00B3254E"/>
    <w:pPr>
      <w:spacing w:before="160"/>
      <w:ind w:left="0" w:firstLine="0"/>
      <w:outlineLvl w:val="9"/>
    </w:pPr>
  </w:style>
  <w:style w:type="paragraph" w:customStyle="1" w:styleId="Figure">
    <w:name w:val="Figure"/>
    <w:basedOn w:val="FigureNo"/>
    <w:next w:val="Normal"/>
    <w:rsid w:val="00B3254E"/>
    <w:pPr>
      <w:keepNext w:val="0"/>
      <w:spacing w:before="0" w:after="240"/>
    </w:pPr>
  </w:style>
  <w:style w:type="character" w:styleId="PageNumber">
    <w:name w:val="page number"/>
    <w:basedOn w:val="DefaultParagraphFont"/>
    <w:rsid w:val="00B3254E"/>
  </w:style>
  <w:style w:type="paragraph" w:customStyle="1" w:styleId="Figuretitle">
    <w:name w:val="Figure_title"/>
    <w:basedOn w:val="Normal"/>
    <w:next w:val="Figure"/>
    <w:link w:val="FiguretitleChar"/>
    <w:rsid w:val="00B3254E"/>
    <w:pPr>
      <w:keepNext/>
      <w:spacing w:before="0" w:after="120"/>
      <w:jc w:val="center"/>
    </w:pPr>
    <w:rPr>
      <w:rFonts w:ascii="Times New Roman Bold" w:hAnsi="Times New Roman Bold"/>
      <w:b/>
      <w:sz w:val="18"/>
    </w:rPr>
  </w:style>
  <w:style w:type="paragraph" w:customStyle="1" w:styleId="FigureNo">
    <w:name w:val="Figure_No"/>
    <w:basedOn w:val="Normal"/>
    <w:next w:val="Figuretitle"/>
    <w:rsid w:val="00B3254E"/>
    <w:pPr>
      <w:keepNext/>
      <w:keepLines/>
      <w:spacing w:before="480" w:after="80"/>
      <w:jc w:val="center"/>
    </w:pPr>
    <w:rPr>
      <w:caps/>
      <w:sz w:val="18"/>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aftertitle"/>
    <w:rsid w:val="00B3254E"/>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Normalaftertitle"/>
    <w:rsid w:val="00B3254E"/>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B3254E"/>
    <w:pPr>
      <w:ind w:left="79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B3254E"/>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noProof/>
      <w:sz w:val="18"/>
      <w:lang w:val="en-GB" w:eastAsia="en-US"/>
    </w:rPr>
  </w:style>
  <w:style w:type="character" w:customStyle="1" w:styleId="FootnoteTextChar">
    <w:name w:val="Footnote Text Char"/>
    <w:basedOn w:val="DefaultParagraphFont"/>
    <w:link w:val="FootnoteText"/>
    <w:rsid w:val="009C185B"/>
    <w:rPr>
      <w:rFonts w:ascii="Times New Roman" w:hAnsi="Times New Roman"/>
      <w:sz w:val="22"/>
      <w:lang w:val="en-GB" w:eastAsia="en-US"/>
    </w:rPr>
  </w:style>
  <w:style w:type="character" w:customStyle="1" w:styleId="HeaderChar">
    <w:name w:val="Header Char"/>
    <w:basedOn w:val="DefaultParagraphFont"/>
    <w:link w:val="Header"/>
    <w:rsid w:val="009C185B"/>
    <w:rPr>
      <w:rFonts w:ascii="Times New Roman" w:hAnsi="Times New Roman"/>
      <w:sz w:val="24"/>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sz w:val="18"/>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
    <w:next w:val="Normal"/>
    <w:rsid w:val="00B3254E"/>
    <w:pPr>
      <w:spacing w:before="0"/>
    </w:pPr>
    <w:rPr>
      <w:sz w:val="20"/>
    </w:rPr>
  </w:style>
  <w:style w:type="character" w:styleId="Hyperlink">
    <w:name w:val="Hyperlink"/>
    <w:basedOn w:val="DefaultParagraphFont"/>
    <w:unhideWhenUsed/>
    <w:rsid w:val="00FF1F65"/>
    <w:rPr>
      <w:color w:val="0000FF" w:themeColor="hyperlink"/>
      <w:u w:val="single"/>
    </w:rPr>
  </w:style>
  <w:style w:type="character" w:customStyle="1" w:styleId="NormalaftertitleChar">
    <w:name w:val="Normal_after_title Char"/>
    <w:link w:val="Normalaftertitle"/>
    <w:locked/>
    <w:rsid w:val="00FF1F65"/>
    <w:rPr>
      <w:rFonts w:ascii="Times New Roman" w:hAnsi="Times New Roman"/>
      <w:sz w:val="24"/>
      <w:lang w:val="en-GB" w:eastAsia="en-US"/>
    </w:rPr>
  </w:style>
  <w:style w:type="character" w:customStyle="1" w:styleId="AnnexNoCar">
    <w:name w:val="Annex_No Car"/>
    <w:link w:val="AnnexNo"/>
    <w:locked/>
    <w:rsid w:val="00FF1F65"/>
    <w:rPr>
      <w:rFonts w:ascii="Times New Roman" w:hAnsi="Times New Roman"/>
      <w:caps/>
      <w:sz w:val="28"/>
      <w:lang w:val="en-GB" w:eastAsia="en-US"/>
    </w:rPr>
  </w:style>
  <w:style w:type="paragraph" w:styleId="Revision">
    <w:name w:val="Revision"/>
    <w:hidden/>
    <w:uiPriority w:val="99"/>
    <w:semiHidden/>
    <w:rsid w:val="00C724A7"/>
    <w:rPr>
      <w:rFonts w:ascii="Times New Roman" w:hAnsi="Times New Roman"/>
      <w:sz w:val="24"/>
      <w:lang w:val="en-GB" w:eastAsia="en-US"/>
    </w:rPr>
  </w:style>
  <w:style w:type="character" w:styleId="FollowedHyperlink">
    <w:name w:val="FollowedHyperlink"/>
    <w:basedOn w:val="DefaultParagraphFont"/>
    <w:semiHidden/>
    <w:unhideWhenUsed/>
    <w:rsid w:val="00F605BF"/>
    <w:rPr>
      <w:color w:val="800080" w:themeColor="followedHyperlink"/>
      <w:u w:val="single"/>
    </w:rPr>
  </w:style>
  <w:style w:type="paragraph" w:customStyle="1" w:styleId="AnnexNoTitle">
    <w:name w:val="Annex_NoTitle"/>
    <w:basedOn w:val="Normal"/>
    <w:next w:val="Normalaftertitle"/>
    <w:rsid w:val="00B3254E"/>
    <w:pPr>
      <w:keepNext/>
      <w:keepLines/>
      <w:spacing w:before="480" w:after="80"/>
      <w:jc w:val="center"/>
    </w:pPr>
    <w:rPr>
      <w:b/>
      <w:sz w:val="28"/>
    </w:rPr>
  </w:style>
  <w:style w:type="character" w:styleId="UnresolvedMention">
    <w:name w:val="Unresolved Mention"/>
    <w:basedOn w:val="DefaultParagraphFont"/>
    <w:uiPriority w:val="99"/>
    <w:semiHidden/>
    <w:unhideWhenUsed/>
    <w:rsid w:val="00965F2B"/>
    <w:rPr>
      <w:color w:val="605E5C"/>
      <w:shd w:val="clear" w:color="auto" w:fill="E1DFDD"/>
    </w:rPr>
  </w:style>
  <w:style w:type="character" w:customStyle="1" w:styleId="href">
    <w:name w:val="href"/>
    <w:basedOn w:val="DefaultParagraphFont"/>
    <w:rsid w:val="00B3254E"/>
  </w:style>
  <w:style w:type="paragraph" w:customStyle="1" w:styleId="HeadingSum">
    <w:name w:val="Heading_Sum"/>
    <w:basedOn w:val="Headingb"/>
    <w:next w:val="Normal"/>
    <w:autoRedefine/>
    <w:rsid w:val="00B3254E"/>
    <w:pPr>
      <w:spacing w:before="240"/>
    </w:pPr>
    <w:rPr>
      <w:sz w:val="22"/>
      <w:lang w:val="es-ES_tradnl"/>
    </w:rPr>
  </w:style>
  <w:style w:type="paragraph" w:customStyle="1" w:styleId="AppendixNoTitle">
    <w:name w:val="Appendix_NoTitle"/>
    <w:basedOn w:val="AnnexNoTitle"/>
    <w:next w:val="Normal"/>
    <w:rsid w:val="00B3254E"/>
  </w:style>
  <w:style w:type="paragraph" w:customStyle="1" w:styleId="tocpart">
    <w:name w:val="tocpart"/>
    <w:basedOn w:val="Normal"/>
    <w:rsid w:val="00B3254E"/>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B3254E"/>
    <w:pPr>
      <w:keepNext/>
      <w:keepLines/>
      <w:tabs>
        <w:tab w:val="clear" w:pos="794"/>
        <w:tab w:val="clear" w:pos="1191"/>
        <w:tab w:val="clear" w:pos="1588"/>
        <w:tab w:val="clear" w:pos="1985"/>
      </w:tabs>
      <w:spacing w:before="0"/>
    </w:pPr>
    <w:rPr>
      <w:sz w:val="16"/>
    </w:rPr>
  </w:style>
  <w:style w:type="paragraph" w:customStyle="1" w:styleId="Line">
    <w:name w:val="Line"/>
    <w:basedOn w:val="Normal"/>
    <w:next w:val="Normal"/>
    <w:rsid w:val="00B3254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B3254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ummary">
    <w:name w:val="Summary"/>
    <w:basedOn w:val="Normal"/>
    <w:next w:val="Normalaftertitle"/>
    <w:autoRedefine/>
    <w:rsid w:val="00B3254E"/>
    <w:pPr>
      <w:spacing w:after="480"/>
    </w:pPr>
    <w:rPr>
      <w:sz w:val="22"/>
      <w:lang w:val="es-ES_tradnl"/>
    </w:rPr>
  </w:style>
  <w:style w:type="paragraph" w:customStyle="1" w:styleId="TableLegendNote">
    <w:name w:val="Table_Legend_Note"/>
    <w:basedOn w:val="Tablelegend"/>
    <w:next w:val="Tablelegend"/>
    <w:rsid w:val="00B3254E"/>
    <w:pPr>
      <w:ind w:left="-85" w:firstLine="0"/>
    </w:pPr>
    <w:rPr>
      <w:lang w:val="en-US"/>
    </w:rPr>
  </w:style>
  <w:style w:type="table" w:styleId="TableGrid">
    <w:name w:val="Table Grid"/>
    <w:basedOn w:val="TableNormal"/>
    <w:uiPriority w:val="39"/>
    <w:rsid w:val="006A342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6A3425"/>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6A3425"/>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6A3425"/>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6A3425"/>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ui-provider">
    <w:name w:val="ui-provider"/>
    <w:basedOn w:val="DefaultParagraphFont"/>
    <w:rsid w:val="00E71B50"/>
  </w:style>
  <w:style w:type="character" w:styleId="CommentReference">
    <w:name w:val="annotation reference"/>
    <w:basedOn w:val="DefaultParagraphFont"/>
    <w:semiHidden/>
    <w:unhideWhenUsed/>
    <w:rsid w:val="00E72AB4"/>
    <w:rPr>
      <w:sz w:val="16"/>
      <w:szCs w:val="16"/>
    </w:rPr>
  </w:style>
  <w:style w:type="paragraph" w:styleId="CommentText">
    <w:name w:val="annotation text"/>
    <w:basedOn w:val="Normal"/>
    <w:link w:val="CommentTextChar"/>
    <w:unhideWhenUsed/>
    <w:rsid w:val="00E72AB4"/>
    <w:rPr>
      <w:sz w:val="20"/>
    </w:rPr>
  </w:style>
  <w:style w:type="character" w:customStyle="1" w:styleId="CommentTextChar">
    <w:name w:val="Comment Text Char"/>
    <w:basedOn w:val="DefaultParagraphFont"/>
    <w:link w:val="CommentText"/>
    <w:rsid w:val="00E72AB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72AB4"/>
    <w:rPr>
      <w:b/>
      <w:bCs/>
    </w:rPr>
  </w:style>
  <w:style w:type="character" w:customStyle="1" w:styleId="CommentSubjectChar">
    <w:name w:val="Comment Subject Char"/>
    <w:basedOn w:val="CommentTextChar"/>
    <w:link w:val="CommentSubject"/>
    <w:semiHidden/>
    <w:rsid w:val="00E72AB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patents/en" TargetMode="External"/><Relationship Id="rId18" Type="http://schemas.openxmlformats.org/officeDocument/2006/relationships/hyperlink" Target="https://www.itu.int/rec/R-REC-SM.1541/en" TargetMode="External"/><Relationship Id="rId26" Type="http://schemas.openxmlformats.org/officeDocument/2006/relationships/hyperlink" Target="https://www.itu.int/rec/R-REC-SM.1541/en" TargetMode="External"/><Relationship Id="rId39" Type="http://schemas.openxmlformats.org/officeDocument/2006/relationships/hyperlink" Target="https://www.itu.int/rec/R-REC-SM.329/en" TargetMode="External"/><Relationship Id="rId21" Type="http://schemas.openxmlformats.org/officeDocument/2006/relationships/hyperlink" Target="https://www.itu.int/rec/R-REC-SM.329/en" TargetMode="External"/><Relationship Id="rId34" Type="http://schemas.openxmlformats.org/officeDocument/2006/relationships/hyperlink" Target="https://www.itu.int/rec/R-REC-SM.329/en" TargetMode="External"/><Relationship Id="rId42" Type="http://schemas.openxmlformats.org/officeDocument/2006/relationships/header" Target="header6.xm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s://www.itu.int/rec/R-REC-SM.329/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itu.int/rec/R-REC-SM.853/en" TargetMode="External"/><Relationship Id="rId32" Type="http://schemas.openxmlformats.org/officeDocument/2006/relationships/hyperlink" Target="https://www.itu.int/rec/R-REC-SM.1541/en" TargetMode="External"/><Relationship Id="rId37" Type="http://schemas.openxmlformats.org/officeDocument/2006/relationships/hyperlink" Target="https://www.itu.int/pub/R-REP-SM.2048" TargetMode="External"/><Relationship Id="rId40" Type="http://schemas.openxmlformats.org/officeDocument/2006/relationships/hyperlink" Target="https://www.itu.int/rec/R-REC-SM.329/en" TargetMode="Externa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itu.int/rec/R-REC-SM.1138/en" TargetMode="External"/><Relationship Id="rId28" Type="http://schemas.openxmlformats.org/officeDocument/2006/relationships/hyperlink" Target="https://www.itu.int/rec/R-REC-SM.1541/en" TargetMode="External"/><Relationship Id="rId36" Type="http://schemas.openxmlformats.org/officeDocument/2006/relationships/hyperlink" Target="https://www.itu.int/rec/R-REC-SM.1541/en" TargetMode="External"/><Relationship Id="rId10" Type="http://schemas.openxmlformats.org/officeDocument/2006/relationships/footer" Target="footer2.xml"/><Relationship Id="rId19" Type="http://schemas.openxmlformats.org/officeDocument/2006/relationships/hyperlink" Target="https://www.itu.int/rec/R-REC-SM.329/en" TargetMode="External"/><Relationship Id="rId31" Type="http://schemas.openxmlformats.org/officeDocument/2006/relationships/hyperlink" Target="https://www.itu.int/rec/R-REC-SM.329/en" TargetMode="External"/><Relationship Id="rId44"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tu.int/publ/R-REC/en" TargetMode="External"/><Relationship Id="rId22" Type="http://schemas.openxmlformats.org/officeDocument/2006/relationships/hyperlink" Target="https://www.itu.int/pub/R-REP-SM.2421" TargetMode="External"/><Relationship Id="rId27" Type="http://schemas.openxmlformats.org/officeDocument/2006/relationships/hyperlink" Target="https://www.itu.int/rec/R-REC-SM.329/en" TargetMode="External"/><Relationship Id="rId30" Type="http://schemas.openxmlformats.org/officeDocument/2006/relationships/hyperlink" Target="https://www.itu.int/rec/R-REC-SM.1541/en" TargetMode="External"/><Relationship Id="rId35" Type="http://schemas.openxmlformats.org/officeDocument/2006/relationships/image" Target="media/image3.png"/><Relationship Id="rId43"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itu.int/pub/R-REP-SM.2048" TargetMode="External"/><Relationship Id="rId33" Type="http://schemas.openxmlformats.org/officeDocument/2006/relationships/hyperlink" Target="https://www.itu.int/rec/R-REC-SM.329/en" TargetMode="External"/><Relationship Id="rId38" Type="http://schemas.openxmlformats.org/officeDocument/2006/relationships/hyperlink" Target="https://www.itu.int/rec/R-REC-SM.329/en" TargetMode="External"/><Relationship Id="rId46" Type="http://schemas.openxmlformats.org/officeDocument/2006/relationships/fontTable" Target="fontTable.xml"/><Relationship Id="rId20" Type="http://schemas.openxmlformats.org/officeDocument/2006/relationships/hyperlink" Target="https://www.itu.int/rec/R-REC-SM.1541/en" TargetMode="External"/><Relationship Id="rId41" Type="http://schemas.openxmlformats.org/officeDocument/2006/relationships/hyperlink" Target="https://www.itu.int/rec/R-REC-SM.1541/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0AD6-61E5-49D9-9292-FD657B8F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105</TotalTime>
  <Pages>8</Pages>
  <Words>2243</Words>
  <Characters>13202</Characters>
  <Application>Microsoft Office Word</Application>
  <DocSecurity>0</DocSecurity>
  <Lines>366</Lines>
  <Paragraphs>249</Paragraphs>
  <ScaleCrop>false</ScaleCrop>
  <HeadingPairs>
    <vt:vector size="2" baseType="variant">
      <vt:variant>
        <vt:lpstr>Title</vt:lpstr>
      </vt:variant>
      <vt:variant>
        <vt:i4>1</vt:i4>
      </vt:variant>
    </vt:vector>
  </HeadingPairs>
  <TitlesOfParts>
    <vt:vector size="1" baseType="lpstr">
      <vt:lpstr>Recommendation ITU-R SM.1539-2 (09/2024) Variation of the boundary between the out-of-band and spurious domains required for the application of Recommendations ITU-R SM.1541 and ITU R SM.329</vt:lpstr>
    </vt:vector>
  </TitlesOfParts>
  <Company>ITU</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SM.1539-2 (09/2024) – Variation of the boundary between the out-of-band and spurious domains required for the application of Recommendations ITU-R SM.1541 and ITU-R SM.329</dc:title>
  <dc:creator>Alissa BR</dc:creator>
  <cp:lastModifiedBy>Gachet, Christelle</cp:lastModifiedBy>
  <cp:revision>57</cp:revision>
  <cp:lastPrinted>2025-02-21T10:01:00Z</cp:lastPrinted>
  <dcterms:created xsi:type="dcterms:W3CDTF">2024-09-13T08:29:00Z</dcterms:created>
  <dcterms:modified xsi:type="dcterms:W3CDTF">2025-02-21T10:03:00Z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