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A0369" w14:textId="77777777" w:rsidR="003E23C2" w:rsidRDefault="00E420B3">
      <w:pPr>
        <w:pStyle w:val="RecNo"/>
        <w:spacing w:before="0"/>
        <w:rPr>
          <w:lang w:val="es-ES"/>
        </w:rPr>
      </w:pPr>
      <w:r>
        <w:rPr>
          <w:lang w:val="es-ES"/>
        </w:rPr>
        <w:t xml:space="preserve">RECOMENDACIÓN  </w:t>
      </w:r>
      <w:r>
        <w:rPr>
          <w:rStyle w:val="href"/>
          <w:lang w:val="es-ES"/>
        </w:rPr>
        <w:t>UIT-R  SM.1539-1</w:t>
      </w:r>
      <w:bookmarkStart w:id="0" w:name="Doc_title"/>
      <w:bookmarkEnd w:id="0"/>
      <w:r w:rsidR="008A596C">
        <w:rPr>
          <w:rStyle w:val="FootnoteReference"/>
          <w:lang w:val="es-ES"/>
        </w:rPr>
        <w:footnoteReference w:customMarkFollows="1" w:id="1"/>
        <w:t>*</w:t>
      </w:r>
    </w:p>
    <w:p w14:paraId="7CE1BF43" w14:textId="77777777" w:rsidR="003E23C2" w:rsidRPr="00087802" w:rsidRDefault="00E420B3">
      <w:pPr>
        <w:pStyle w:val="Rectitle"/>
        <w:rPr>
          <w:lang w:val="es-ES"/>
        </w:rPr>
      </w:pPr>
      <w:bookmarkStart w:id="1" w:name="Pre_title"/>
      <w:r w:rsidRPr="00087802">
        <w:rPr>
          <w:lang w:val="es-ES"/>
        </w:rPr>
        <w:t>Variación del límite entre los dominios de emisión fuera de banda y no esencial requerida para la aplicación de las Recomendaciones UIT</w:t>
      </w:r>
      <w:r w:rsidRPr="00087802">
        <w:rPr>
          <w:lang w:val="es-ES"/>
        </w:rPr>
        <w:noBreakHyphen/>
        <w:t>R SM.1541 y UIT-R SM.329</w:t>
      </w:r>
      <w:bookmarkEnd w:id="1"/>
    </w:p>
    <w:p w14:paraId="7B7371BC" w14:textId="77777777" w:rsidR="003E23C2" w:rsidRDefault="00E420B3">
      <w:pPr>
        <w:pStyle w:val="Recdate"/>
        <w:rPr>
          <w:lang w:val="es-ES"/>
        </w:rPr>
      </w:pPr>
      <w:bookmarkStart w:id="2" w:name="Revision_history"/>
      <w:r>
        <w:rPr>
          <w:lang w:val="es-ES"/>
        </w:rPr>
        <w:t>(2001-2002)</w:t>
      </w:r>
      <w:bookmarkEnd w:id="2"/>
    </w:p>
    <w:p w14:paraId="7FD751C6" w14:textId="77777777" w:rsidR="008E7B82" w:rsidRPr="008E7B82" w:rsidRDefault="008E7B82" w:rsidP="008E7B82">
      <w:pPr>
        <w:pStyle w:val="Headingb"/>
        <w:spacing w:before="360"/>
        <w:rPr>
          <w:lang w:val="es-ES_tradnl"/>
        </w:rPr>
      </w:pPr>
      <w:r w:rsidRPr="008E7B82">
        <w:rPr>
          <w:lang w:val="es-ES_tradnl"/>
        </w:rPr>
        <w:t>Alcance</w:t>
      </w:r>
    </w:p>
    <w:p w14:paraId="02691D8F" w14:textId="77777777" w:rsidR="008E7B82" w:rsidRPr="008E7B82" w:rsidRDefault="008E7B82" w:rsidP="008E7B82">
      <w:pPr>
        <w:rPr>
          <w:lang w:val="es-ES_tradnl"/>
        </w:rPr>
      </w:pPr>
      <w:r w:rsidRPr="008E7B82">
        <w:rPr>
          <w:lang w:val="es-ES_tradnl"/>
        </w:rPr>
        <w:t xml:space="preserve">Esta Recomendación sirve de base para la variación del límite entre los dominios de emisión fuera de banda y no esencial. </w:t>
      </w:r>
    </w:p>
    <w:p w14:paraId="159F978C" w14:textId="77777777" w:rsidR="008E7B82" w:rsidRPr="008E7B82" w:rsidRDefault="008E7B82" w:rsidP="008E7B82">
      <w:pPr>
        <w:pStyle w:val="Headingb"/>
        <w:rPr>
          <w:lang w:val="es-ES_tradnl"/>
        </w:rPr>
      </w:pPr>
      <w:r w:rsidRPr="008E7B82">
        <w:rPr>
          <w:lang w:val="es-ES_tradnl"/>
        </w:rPr>
        <w:t>Palabras clave</w:t>
      </w:r>
    </w:p>
    <w:p w14:paraId="268589DD" w14:textId="77777777" w:rsidR="008E7B82" w:rsidRPr="008E7B82" w:rsidRDefault="008E7B82" w:rsidP="008E7B82">
      <w:pPr>
        <w:rPr>
          <w:lang w:val="es-ES_tradnl"/>
        </w:rPr>
      </w:pPr>
      <w:r w:rsidRPr="00515F12">
        <w:rPr>
          <w:lang w:val="es-ES_tradnl"/>
        </w:rPr>
        <w:t>V</w:t>
      </w:r>
      <w:r w:rsidRPr="008E7B82">
        <w:rPr>
          <w:lang w:val="es-ES_tradnl"/>
        </w:rPr>
        <w:t>ariación del límite, dominio de emisión fuera de banda, dominio no esencial, separación de frecuencias, anchura de banda necesaria</w:t>
      </w:r>
    </w:p>
    <w:p w14:paraId="16DF3801" w14:textId="2CBB3156" w:rsidR="003E23C2" w:rsidRDefault="00E420B3">
      <w:pPr>
        <w:pStyle w:val="Normalaftertitle"/>
        <w:rPr>
          <w:lang w:val="es-ES"/>
        </w:rPr>
      </w:pPr>
      <w:r>
        <w:rPr>
          <w:lang w:val="es-ES"/>
        </w:rPr>
        <w:t>La Asamblea de Radiocomunicaciones de la UIT,</w:t>
      </w:r>
    </w:p>
    <w:p w14:paraId="0C7437D6" w14:textId="77777777" w:rsidR="003E23C2" w:rsidRDefault="00E420B3">
      <w:pPr>
        <w:pStyle w:val="Call"/>
        <w:rPr>
          <w:lang w:val="es-ES"/>
        </w:rPr>
      </w:pPr>
      <w:r>
        <w:rPr>
          <w:lang w:val="es-ES"/>
        </w:rPr>
        <w:t>considerando</w:t>
      </w:r>
    </w:p>
    <w:p w14:paraId="618ECC6E" w14:textId="77777777" w:rsidR="003E23C2" w:rsidRDefault="00E420B3">
      <w:pPr>
        <w:rPr>
          <w:lang w:val="es-ES"/>
        </w:rPr>
      </w:pPr>
      <w:r>
        <w:rPr>
          <w:lang w:val="es-ES"/>
        </w:rPr>
        <w:t>a)</w:t>
      </w:r>
      <w:r>
        <w:rPr>
          <w:lang w:val="es-ES"/>
        </w:rPr>
        <w:tab/>
        <w:t>que en las Recomendaciones UIT-R SM.1541 y UIT-R SM.329 figuran las definiciones de los términos «dominio de emisión fuera de banda» y «dominio de emisión no esencial», pero que estas definiciones no especifican con precisión el límite entre los dominios de emisión fuera de banda y no esencial;</w:t>
      </w:r>
    </w:p>
    <w:p w14:paraId="3E4580F0" w14:textId="77777777" w:rsidR="003E23C2" w:rsidRDefault="00E420B3">
      <w:pPr>
        <w:rPr>
          <w:lang w:val="es-ES"/>
        </w:rPr>
      </w:pPr>
      <w:r>
        <w:rPr>
          <w:lang w:val="es-ES"/>
        </w:rPr>
        <w:t>b)</w:t>
      </w:r>
      <w:r>
        <w:rPr>
          <w:lang w:val="es-ES"/>
        </w:rPr>
        <w:tab/>
        <w:t>que el límite entre los dominios de emisión fuera de banda y no esencial es importante para la aplicación de las Recomendaciones UIT-R SM.1541 y UIT-R SM.329;</w:t>
      </w:r>
    </w:p>
    <w:p w14:paraId="0B703D06" w14:textId="77777777" w:rsidR="003E23C2" w:rsidRDefault="00E420B3">
      <w:pPr>
        <w:rPr>
          <w:lang w:val="es-ES"/>
        </w:rPr>
      </w:pPr>
      <w:r>
        <w:rPr>
          <w:lang w:val="es-ES"/>
        </w:rPr>
        <w:t>c)</w:t>
      </w:r>
      <w:r>
        <w:rPr>
          <w:lang w:val="es-ES"/>
        </w:rPr>
        <w:tab/>
        <w:t>que el límite entre los dominios de emisión fuera de banda y no esencial es, por lo general, una función de la anchura de banda necesaria, pero que en ciertas aplicaciones puede ser función de varios parámetros distintos de la anchura de banda necesaria;</w:t>
      </w:r>
    </w:p>
    <w:p w14:paraId="6BE1CDBE" w14:textId="77777777" w:rsidR="003E23C2" w:rsidRDefault="00E420B3">
      <w:pPr>
        <w:rPr>
          <w:lang w:val="es-ES"/>
        </w:rPr>
      </w:pPr>
      <w:r>
        <w:rPr>
          <w:lang w:val="es-ES"/>
        </w:rPr>
        <w:t>d)</w:t>
      </w:r>
      <w:r>
        <w:rPr>
          <w:lang w:val="es-ES"/>
        </w:rPr>
        <w:tab/>
        <w:t>que el límite entre los dominios de emisión fuera de banda y no esencial puede necesitar cambios, en particular para las transmisiones de banda estrecha y banda ancha, y para los radares primarios,</w:t>
      </w:r>
    </w:p>
    <w:p w14:paraId="509EE590" w14:textId="77777777" w:rsidR="003E23C2" w:rsidRDefault="00E420B3">
      <w:pPr>
        <w:pStyle w:val="Call"/>
        <w:rPr>
          <w:lang w:val="es-ES"/>
        </w:rPr>
      </w:pPr>
      <w:r>
        <w:rPr>
          <w:lang w:val="es-ES"/>
        </w:rPr>
        <w:t>observando</w:t>
      </w:r>
    </w:p>
    <w:p w14:paraId="7AD9A2BF" w14:textId="77777777" w:rsidR="003E23C2" w:rsidRDefault="00E420B3">
      <w:pPr>
        <w:rPr>
          <w:lang w:val="es-ES"/>
        </w:rPr>
      </w:pPr>
      <w:r>
        <w:rPr>
          <w:lang w:val="es-ES"/>
        </w:rPr>
        <w:t>a)</w:t>
      </w:r>
      <w:r>
        <w:rPr>
          <w:lang w:val="es-ES"/>
        </w:rPr>
        <w:tab/>
        <w:t>que, de acuerdo con las Recomendaciones UIT-R SM.1541 y UIT-R SM.329, el límite entre los dominios de emisión fuera de banda y no esencial es, normalmente, la frecuencia separada de la frecuencia central de la emisión en un 250% de la anchura de banda necesaria de esta emisión (véase la Nota 1),</w:t>
      </w:r>
    </w:p>
    <w:p w14:paraId="0A4566A3" w14:textId="77777777" w:rsidR="003E23C2" w:rsidRDefault="00E420B3">
      <w:pPr>
        <w:pStyle w:val="Call"/>
        <w:rPr>
          <w:lang w:val="es-ES"/>
        </w:rPr>
      </w:pPr>
      <w:r>
        <w:rPr>
          <w:lang w:val="es-ES"/>
        </w:rPr>
        <w:t>recomienda</w:t>
      </w:r>
    </w:p>
    <w:p w14:paraId="237F2866" w14:textId="77777777" w:rsidR="003E23C2" w:rsidRDefault="00E420B3">
      <w:pPr>
        <w:rPr>
          <w:lang w:val="es-ES"/>
        </w:rPr>
      </w:pPr>
      <w:r>
        <w:rPr>
          <w:b/>
          <w:bCs/>
          <w:lang w:val="es-ES"/>
        </w:rPr>
        <w:t>1</w:t>
      </w:r>
      <w:r>
        <w:rPr>
          <w:lang w:val="es-ES"/>
        </w:rPr>
        <w:tab/>
        <w:t>que el Anexo 1 sea utilizado como referencia en caso de variación del límite entre los dominios de emisión fuera de banda y no esencial, que pueda ser requerida para la aplicación de las Recomendaciones UIT</w:t>
      </w:r>
      <w:r>
        <w:rPr>
          <w:lang w:val="es-ES"/>
        </w:rPr>
        <w:noBreakHyphen/>
        <w:t>R SM.1541 y UIT-R SM.329.</w:t>
      </w:r>
    </w:p>
    <w:p w14:paraId="603D98D6" w14:textId="77777777" w:rsidR="003E23C2" w:rsidRDefault="00E420B3">
      <w:pPr>
        <w:rPr>
          <w:lang w:val="es-ES"/>
        </w:rPr>
      </w:pPr>
      <w:r>
        <w:rPr>
          <w:lang w:val="es-ES"/>
        </w:rPr>
        <w:t>NOTA 1 </w:t>
      </w:r>
      <w:r>
        <w:rPr>
          <w:lang w:val="es-ES"/>
        </w:rPr>
        <w:sym w:font="Symbol" w:char="F02D"/>
      </w:r>
      <w:r>
        <w:rPr>
          <w:lang w:val="es-ES"/>
        </w:rPr>
        <w:t xml:space="preserve"> La Recomendación UIT-R SM.1138, que se incluye como referencia en el Reglamento de Radiocomunicaciones (RR), trata sobre la fijación de la anchura de banda necesaria para varias emisiones. La Recomendación UIT-R SM.853 presenta información adicional relacionada con la </w:t>
      </w:r>
      <w:r>
        <w:rPr>
          <w:lang w:val="es-ES"/>
        </w:rPr>
        <w:lastRenderedPageBreak/>
        <w:t>determinación de la anchura de banda necesaria para ciertas emisiones, que incluyen las emisiones de impulsos no modulados y alguna modulación digital.</w:t>
      </w:r>
    </w:p>
    <w:p w14:paraId="361D2408" w14:textId="66697BD6" w:rsidR="003E23C2" w:rsidRDefault="00E420B3">
      <w:pPr>
        <w:rPr>
          <w:lang w:val="es-ES"/>
        </w:rPr>
      </w:pPr>
      <w:r>
        <w:rPr>
          <w:lang w:val="es-ES"/>
        </w:rPr>
        <w:t>Además, las Recomendaciones UIT-R SM.1541 (</w:t>
      </w:r>
      <w:r>
        <w:rPr>
          <w:i/>
          <w:iCs/>
          <w:lang w:val="es-ES"/>
        </w:rPr>
        <w:t>recomienda</w:t>
      </w:r>
      <w:r>
        <w:rPr>
          <w:lang w:val="es-ES"/>
        </w:rPr>
        <w:t xml:space="preserve"> 2.3) y UIT-R SM.329 (</w:t>
      </w:r>
      <w:r>
        <w:rPr>
          <w:i/>
          <w:iCs/>
          <w:lang w:val="es-ES"/>
        </w:rPr>
        <w:t>recomienda además </w:t>
      </w:r>
      <w:r>
        <w:rPr>
          <w:lang w:val="es-ES"/>
        </w:rPr>
        <w:t>1.4 y 2.3) tratan sobre la anchura de banda necesaria para ciertas emisiones con el objeto de determinar el límite entre los dominios de emisión fuera de banda y no esencial.</w:t>
      </w:r>
    </w:p>
    <w:p w14:paraId="77C0C0DE" w14:textId="60A1453D" w:rsidR="00D943C5" w:rsidRDefault="00D943C5">
      <w:pPr>
        <w:rPr>
          <w:lang w:val="es-ES"/>
        </w:rPr>
      </w:pPr>
    </w:p>
    <w:p w14:paraId="16FC1C07" w14:textId="653F3547" w:rsidR="003E23C2" w:rsidRDefault="00E420B3">
      <w:pPr>
        <w:pStyle w:val="AnnexNo"/>
        <w:rPr>
          <w:lang w:val="es-ES"/>
        </w:rPr>
      </w:pPr>
      <w:r>
        <w:rPr>
          <w:lang w:val="es-ES"/>
        </w:rPr>
        <w:t>ANEXO  1</w:t>
      </w:r>
    </w:p>
    <w:p w14:paraId="60CBF934" w14:textId="77777777" w:rsidR="003E23C2" w:rsidRDefault="00E420B3">
      <w:pPr>
        <w:pStyle w:val="Annextitle"/>
        <w:rPr>
          <w:lang w:val="es-ES"/>
        </w:rPr>
      </w:pPr>
      <w:r>
        <w:rPr>
          <w:lang w:val="es-ES"/>
        </w:rPr>
        <w:t xml:space="preserve">Variación del límite entre los dominios de emisión </w:t>
      </w:r>
      <w:r>
        <w:rPr>
          <w:lang w:val="es-ES"/>
        </w:rPr>
        <w:br/>
        <w:t>fuera de banda y no esencial</w:t>
      </w:r>
    </w:p>
    <w:p w14:paraId="0C2436BB" w14:textId="77777777" w:rsidR="003E23C2" w:rsidRDefault="00E420B3">
      <w:pPr>
        <w:pStyle w:val="Heading1"/>
        <w:rPr>
          <w:lang w:val="es-ES"/>
        </w:rPr>
      </w:pPr>
      <w:r>
        <w:rPr>
          <w:lang w:val="es-ES"/>
        </w:rPr>
        <w:t>1</w:t>
      </w:r>
      <w:r>
        <w:rPr>
          <w:lang w:val="es-ES"/>
        </w:rPr>
        <w:tab/>
        <w:t>Introducción</w:t>
      </w:r>
    </w:p>
    <w:p w14:paraId="64545A8E" w14:textId="77777777" w:rsidR="003E23C2" w:rsidRDefault="00E420B3">
      <w:pPr>
        <w:rPr>
          <w:lang w:val="es-ES"/>
        </w:rPr>
      </w:pPr>
      <w:r>
        <w:rPr>
          <w:lang w:val="es-ES"/>
        </w:rPr>
        <w:t xml:space="preserve">Como se indica en el </w:t>
      </w:r>
      <w:r>
        <w:rPr>
          <w:i/>
          <w:iCs/>
          <w:lang w:val="es-ES"/>
        </w:rPr>
        <w:t xml:space="preserve">recomienda </w:t>
      </w:r>
      <w:r>
        <w:rPr>
          <w:lang w:val="es-ES"/>
        </w:rPr>
        <w:t xml:space="preserve">2.3 de la Recomendación UIT-R SM.1541 y en el </w:t>
      </w:r>
      <w:r>
        <w:rPr>
          <w:i/>
          <w:iCs/>
          <w:lang w:val="es-ES"/>
        </w:rPr>
        <w:t>recomienda además</w:t>
      </w:r>
      <w:r>
        <w:rPr>
          <w:lang w:val="es-ES"/>
        </w:rPr>
        <w:t> 2.3 de la Recomendación UIT-R SM.329, el límite entre los dominios de emisión fuera de banda y no esencial, que en general se especifica como separado de la frecuencia central en un 250% de la anchura de banda necesaria, ha de modificarse para los sistemas de banda estrecha y banda ancha (incluyendo los sistemas de múltiples portadoras) y en otras situaciones determinadas. Este Anexo ofrece:</w:t>
      </w:r>
    </w:p>
    <w:p w14:paraId="1322E363" w14:textId="77777777" w:rsidR="003E23C2" w:rsidRDefault="00E420B3">
      <w:pPr>
        <w:pStyle w:val="enumlev1"/>
        <w:rPr>
          <w:lang w:val="es-ES"/>
        </w:rPr>
      </w:pPr>
      <w:r>
        <w:rPr>
          <w:lang w:val="es-ES"/>
        </w:rPr>
        <w:sym w:font="Symbol" w:char="F02D"/>
      </w:r>
      <w:r>
        <w:rPr>
          <w:lang w:val="es-ES"/>
        </w:rPr>
        <w:tab/>
        <w:t>un conjunto de directrices sobre valores de anchuras de banda en el espectro en las que es necesario variar la definición general; y</w:t>
      </w:r>
    </w:p>
    <w:p w14:paraId="3C7A12B9" w14:textId="77777777" w:rsidR="003E23C2" w:rsidRDefault="00E420B3">
      <w:pPr>
        <w:pStyle w:val="enumlev1"/>
        <w:rPr>
          <w:lang w:val="es-ES"/>
        </w:rPr>
      </w:pPr>
      <w:r>
        <w:rPr>
          <w:lang w:val="es-ES"/>
        </w:rPr>
        <w:sym w:font="Symbol" w:char="F02D"/>
      </w:r>
      <w:r>
        <w:rPr>
          <w:lang w:val="es-ES"/>
        </w:rPr>
        <w:tab/>
        <w:t>un conjunto de situaciones conocidas en las que se requieren directrices adicionales.</w:t>
      </w:r>
    </w:p>
    <w:p w14:paraId="322D212B" w14:textId="77777777" w:rsidR="003E23C2" w:rsidRDefault="00E420B3">
      <w:pPr>
        <w:pStyle w:val="Heading1"/>
        <w:rPr>
          <w:lang w:val="es-ES"/>
        </w:rPr>
      </w:pPr>
      <w:r>
        <w:rPr>
          <w:lang w:val="es-ES"/>
        </w:rPr>
        <w:t>2</w:t>
      </w:r>
      <w:r>
        <w:rPr>
          <w:lang w:val="es-ES"/>
        </w:rPr>
        <w:tab/>
        <w:t>Variaciones del límite en los sistemas de banda estrecha y banda ancha</w:t>
      </w:r>
    </w:p>
    <w:p w14:paraId="085E3FEC" w14:textId="77777777" w:rsidR="003E23C2" w:rsidRDefault="00E420B3">
      <w:pPr>
        <w:rPr>
          <w:lang w:val="es-ES"/>
        </w:rPr>
      </w:pPr>
      <w:r>
        <w:rPr>
          <w:lang w:val="es-ES"/>
        </w:rPr>
        <w:t xml:space="preserve">Para tener la definición de la anchura de banda necesaria, de su aplicabilidad a los transmisores/transpondedores multicanal o multiportador, y para su utilización en los servicios fijo y de radiodeterminación, véase el </w:t>
      </w:r>
      <w:r>
        <w:rPr>
          <w:i/>
          <w:iCs/>
          <w:lang w:val="es-ES"/>
        </w:rPr>
        <w:t>recomienda además</w:t>
      </w:r>
      <w:r>
        <w:rPr>
          <w:lang w:val="es-ES"/>
        </w:rPr>
        <w:t xml:space="preserve"> 1.4 de la Recomendación UIT-R SM.329.</w:t>
      </w:r>
    </w:p>
    <w:p w14:paraId="22C6F749" w14:textId="77777777" w:rsidR="003E23C2" w:rsidRDefault="00E420B3">
      <w:pPr>
        <w:rPr>
          <w:lang w:val="es-ES"/>
        </w:rPr>
      </w:pPr>
      <w:r>
        <w:rPr>
          <w:lang w:val="es-ES"/>
        </w:rPr>
        <w:t>La Fig. 1 presenta el límite no esencial en función de la anchura de banda necesaria, e indica las variaciones del límite. La separación normal entre la frecuencia central y el límite de dominio de emisión no esencial es del 250% de la anchura de banda necesaria, tal como se muestra en la Fig. 1 entre las líneas verticales discontinuas.</w:t>
      </w:r>
    </w:p>
    <w:p w14:paraId="460967FD" w14:textId="77777777" w:rsidR="003E23C2" w:rsidRDefault="00E420B3">
      <w:pPr>
        <w:rPr>
          <w:lang w:val="es-ES"/>
        </w:rPr>
      </w:pPr>
      <w:r>
        <w:rPr>
          <w:lang w:val="es-ES"/>
        </w:rPr>
        <w:t>En algunas emisiones de banda estrecha conviene evitar la especificación de emisiones fuera de banda y no esenciales en anchuras de banda muy estrechas próximas a la emisión, lo que generalmente queda fuera del control del mismo operador. Por otra parte, es necesario restringir el crecimiento lineal del dominio de las emisiones fuera de banda en relación con la anchura de banda necesaria para las emisiones de banda ancha, con el fin de limitar la incursión de dichas emisiones fuera de las bandas adyacentes.</w:t>
      </w:r>
    </w:p>
    <w:p w14:paraId="71E71EC9" w14:textId="77777777" w:rsidR="003E23C2" w:rsidRDefault="00E420B3">
      <w:pPr>
        <w:spacing w:line="280" w:lineRule="exact"/>
        <w:rPr>
          <w:lang w:val="es-ES"/>
        </w:rPr>
      </w:pPr>
      <w:r>
        <w:rPr>
          <w:lang w:val="es-ES"/>
        </w:rPr>
        <w:t xml:space="preserve">La Fig. 1 muestra cómo se calcula el límite en los casos de banda estrecha y banda ancha. Cuando la anchura de banda necesaria de la emisión es menor que el valor del umbral inferior, </w:t>
      </w:r>
      <w:r>
        <w:rPr>
          <w:i/>
          <w:lang w:val="es-ES"/>
        </w:rPr>
        <w:t>B</w:t>
      </w:r>
      <w:r>
        <w:rPr>
          <w:i/>
          <w:iCs/>
          <w:position w:val="-4"/>
          <w:sz w:val="20"/>
          <w:lang w:val="es-ES"/>
        </w:rPr>
        <w:t>L</w:t>
      </w:r>
      <w:r>
        <w:rPr>
          <w:lang w:val="es-ES"/>
        </w:rPr>
        <w:t>, el límite es una constante igual a 2,5</w:t>
      </w:r>
      <w:r>
        <w:rPr>
          <w:i/>
          <w:iCs/>
          <w:lang w:val="es-ES"/>
        </w:rPr>
        <w:t xml:space="preserve"> </w:t>
      </w:r>
      <w:r>
        <w:rPr>
          <w:i/>
          <w:lang w:val="es-ES"/>
        </w:rPr>
        <w:t>B</w:t>
      </w:r>
      <w:r>
        <w:rPr>
          <w:i/>
          <w:iCs/>
          <w:position w:val="-4"/>
          <w:sz w:val="20"/>
          <w:lang w:val="es-ES"/>
        </w:rPr>
        <w:t>L</w:t>
      </w:r>
      <w:r>
        <w:rPr>
          <w:lang w:val="es-ES"/>
        </w:rPr>
        <w:t xml:space="preserve">. Por el contrario, cuando la anchura de banda necesaria supera el valor de umbral superior, </w:t>
      </w:r>
      <w:r>
        <w:rPr>
          <w:i/>
          <w:iCs/>
          <w:lang w:val="es-ES"/>
        </w:rPr>
        <w:t>B</w:t>
      </w:r>
      <w:r>
        <w:rPr>
          <w:i/>
          <w:iCs/>
          <w:position w:val="-4"/>
          <w:sz w:val="20"/>
          <w:lang w:val="es-ES"/>
        </w:rPr>
        <w:t>U</w:t>
      </w:r>
      <w:r>
        <w:rPr>
          <w:lang w:val="es-ES"/>
        </w:rPr>
        <w:t xml:space="preserve">, el límite crece a una tasa menor, y tiene un valor de 1,5 </w:t>
      </w:r>
      <w:r>
        <w:rPr>
          <w:i/>
          <w:iCs/>
          <w:lang w:val="es-ES"/>
        </w:rPr>
        <w:t>B</w:t>
      </w:r>
      <w:r>
        <w:rPr>
          <w:i/>
          <w:iCs/>
          <w:position w:val="-4"/>
          <w:sz w:val="20"/>
          <w:lang w:val="es-ES"/>
        </w:rPr>
        <w:t>N</w:t>
      </w:r>
      <w:r>
        <w:rPr>
          <w:lang w:val="es-ES"/>
        </w:rPr>
        <w:t xml:space="preserve"> </w:t>
      </w:r>
      <w:r>
        <w:rPr>
          <w:rFonts w:ascii="Symbol" w:hAnsi="Symbol"/>
          <w:lang w:val="es-ES"/>
        </w:rPr>
        <w:t></w:t>
      </w:r>
      <w:r>
        <w:rPr>
          <w:lang w:val="es-ES"/>
        </w:rPr>
        <w:t xml:space="preserve"> </w:t>
      </w:r>
      <w:r>
        <w:rPr>
          <w:i/>
          <w:iCs/>
          <w:lang w:val="es-ES"/>
        </w:rPr>
        <w:t>B</w:t>
      </w:r>
      <w:r>
        <w:rPr>
          <w:i/>
          <w:iCs/>
          <w:sz w:val="28"/>
          <w:vertAlign w:val="subscript"/>
          <w:lang w:val="es-ES"/>
        </w:rPr>
        <w:t>U</w:t>
      </w:r>
      <w:r>
        <w:rPr>
          <w:lang w:val="es-ES"/>
        </w:rPr>
        <w:t>. El Cuadro 1 presenta las fórmulas para los casos de banda estrecha, normal y banda ancha.</w:t>
      </w:r>
    </w:p>
    <w:p w14:paraId="4A9508F8" w14:textId="77777777" w:rsidR="003E23C2" w:rsidRDefault="00E420B3">
      <w:pPr>
        <w:pStyle w:val="FigureNo"/>
        <w:rPr>
          <w:lang w:val="es-ES"/>
        </w:rPr>
      </w:pPr>
      <w:r>
        <w:rPr>
          <w:lang w:val="es-ES"/>
        </w:rPr>
        <w:br w:type="page"/>
      </w:r>
      <w:r w:rsidR="00A025A1">
        <w:rPr>
          <w:lang w:val="es-ES"/>
        </w:rPr>
        <w:lastRenderedPageBreak/>
        <w:pict w14:anchorId="7528C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395.25pt">
            <v:imagedata r:id="rId6" o:title=""/>
          </v:shape>
        </w:pict>
      </w:r>
    </w:p>
    <w:p w14:paraId="5285E6FD" w14:textId="77777777" w:rsidR="003E23C2" w:rsidRDefault="00E420B3">
      <w:pPr>
        <w:pStyle w:val="TableNo"/>
        <w:rPr>
          <w:lang w:val="es-ES"/>
        </w:rPr>
      </w:pPr>
      <w:r>
        <w:rPr>
          <w:lang w:val="es-ES"/>
        </w:rPr>
        <w:t>CUADRO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gridCol w:w="3402"/>
      </w:tblGrid>
      <w:tr w:rsidR="003E23C2" w:rsidRPr="008E7B82" w14:paraId="09826F57" w14:textId="77777777">
        <w:trPr>
          <w:jc w:val="center"/>
        </w:trPr>
        <w:tc>
          <w:tcPr>
            <w:tcW w:w="2835" w:type="dxa"/>
            <w:vAlign w:val="center"/>
          </w:tcPr>
          <w:p w14:paraId="75FB4A07" w14:textId="77777777" w:rsidR="003E23C2" w:rsidRDefault="00E420B3">
            <w:pPr>
              <w:pStyle w:val="Tablehead"/>
              <w:framePr w:hSpace="181" w:wrap="notBeside" w:vAnchor="text" w:hAnchor="text" w:xAlign="center" w:y="1"/>
              <w:spacing w:before="100" w:after="100"/>
              <w:rPr>
                <w:lang w:val="es-ES"/>
              </w:rPr>
            </w:pPr>
            <w:r>
              <w:rPr>
                <w:lang w:val="es-ES"/>
              </w:rPr>
              <w:t>Tipo de emisión</w:t>
            </w:r>
          </w:p>
        </w:tc>
        <w:tc>
          <w:tcPr>
            <w:tcW w:w="2835" w:type="dxa"/>
            <w:vAlign w:val="center"/>
          </w:tcPr>
          <w:p w14:paraId="4453F1BE" w14:textId="77777777" w:rsidR="003E23C2" w:rsidRDefault="00E420B3">
            <w:pPr>
              <w:pStyle w:val="Tablehead"/>
              <w:framePr w:hSpace="181" w:wrap="notBeside" w:vAnchor="text" w:hAnchor="text" w:xAlign="center" w:y="1"/>
              <w:spacing w:before="100" w:after="100"/>
              <w:rPr>
                <w:lang w:val="es-ES"/>
              </w:rPr>
            </w:pPr>
            <w:r>
              <w:rPr>
                <w:lang w:val="es-ES"/>
              </w:rPr>
              <w:t>Anchura de banda necesaria (</w:t>
            </w:r>
            <w:r>
              <w:rPr>
                <w:i/>
                <w:iCs/>
                <w:lang w:val="es-ES"/>
              </w:rPr>
              <w:t>B</w:t>
            </w:r>
            <w:r>
              <w:rPr>
                <w:i/>
                <w:iCs/>
                <w:position w:val="-4"/>
                <w:sz w:val="18"/>
                <w:lang w:val="es-ES"/>
              </w:rPr>
              <w:t>N</w:t>
            </w:r>
            <w:r>
              <w:rPr>
                <w:lang w:val="es-ES"/>
              </w:rPr>
              <w:t>)</w:t>
            </w:r>
          </w:p>
        </w:tc>
        <w:tc>
          <w:tcPr>
            <w:tcW w:w="3402" w:type="dxa"/>
            <w:vAlign w:val="center"/>
          </w:tcPr>
          <w:p w14:paraId="636DE1F5" w14:textId="77777777" w:rsidR="003E23C2" w:rsidRDefault="00E420B3">
            <w:pPr>
              <w:pStyle w:val="Tablehead"/>
              <w:framePr w:hSpace="181" w:wrap="notBeside" w:vAnchor="text" w:hAnchor="text" w:xAlign="center" w:y="1"/>
              <w:spacing w:before="100" w:after="100"/>
              <w:rPr>
                <w:lang w:val="es-ES"/>
              </w:rPr>
            </w:pPr>
            <w:r>
              <w:rPr>
                <w:lang w:val="es-ES"/>
              </w:rPr>
              <w:t>Frecuencia de separación entre</w:t>
            </w:r>
            <w:r>
              <w:rPr>
                <w:lang w:val="es-ES"/>
              </w:rPr>
              <w:br/>
              <w:t>la frecuencia central y</w:t>
            </w:r>
            <w:r>
              <w:rPr>
                <w:lang w:val="es-ES"/>
              </w:rPr>
              <w:br/>
              <w:t>el límite no esencial</w:t>
            </w:r>
          </w:p>
        </w:tc>
      </w:tr>
      <w:tr w:rsidR="003E23C2" w14:paraId="4ADFD1FB" w14:textId="77777777">
        <w:trPr>
          <w:jc w:val="center"/>
        </w:trPr>
        <w:tc>
          <w:tcPr>
            <w:tcW w:w="2835" w:type="dxa"/>
          </w:tcPr>
          <w:p w14:paraId="6BF60F54" w14:textId="77777777" w:rsidR="003E23C2" w:rsidRDefault="00E420B3">
            <w:pPr>
              <w:pStyle w:val="Tabletext"/>
              <w:framePr w:hSpace="181" w:wrap="notBeside" w:vAnchor="text" w:hAnchor="text" w:xAlign="center" w:y="1"/>
              <w:spacing w:before="100" w:after="100"/>
              <w:rPr>
                <w:lang w:val="es-ES"/>
              </w:rPr>
            </w:pPr>
            <w:r>
              <w:rPr>
                <w:lang w:val="es-ES"/>
              </w:rPr>
              <w:t>Caso de banda estrecha</w:t>
            </w:r>
          </w:p>
        </w:tc>
        <w:tc>
          <w:tcPr>
            <w:tcW w:w="2835" w:type="dxa"/>
          </w:tcPr>
          <w:p w14:paraId="59B70898" w14:textId="77777777" w:rsidR="003E23C2" w:rsidRDefault="00E420B3">
            <w:pPr>
              <w:pStyle w:val="Tabletext"/>
              <w:framePr w:hSpace="181" w:wrap="notBeside" w:vAnchor="text" w:hAnchor="text" w:xAlign="center" w:y="1"/>
              <w:spacing w:before="100" w:after="100"/>
              <w:jc w:val="center"/>
              <w:rPr>
                <w:lang w:val="es-ES"/>
              </w:rPr>
            </w:pPr>
            <w:r>
              <w:rPr>
                <w:rFonts w:ascii="Symbol" w:hAnsi="Symbol"/>
              </w:rPr>
              <w:t></w:t>
            </w:r>
            <w:r>
              <w:t xml:space="preserve"> </w:t>
            </w:r>
            <w:r>
              <w:rPr>
                <w:i/>
                <w:iCs/>
              </w:rPr>
              <w:t>B</w:t>
            </w:r>
            <w:r>
              <w:rPr>
                <w:i/>
                <w:iCs/>
                <w:position w:val="-4"/>
                <w:sz w:val="18"/>
              </w:rPr>
              <w:t>L</w:t>
            </w:r>
          </w:p>
        </w:tc>
        <w:tc>
          <w:tcPr>
            <w:tcW w:w="3402" w:type="dxa"/>
          </w:tcPr>
          <w:p w14:paraId="5DD18B74" w14:textId="77777777" w:rsidR="003E23C2" w:rsidRDefault="00E420B3">
            <w:pPr>
              <w:pStyle w:val="Tabletext"/>
              <w:framePr w:hSpace="181" w:wrap="notBeside" w:vAnchor="text" w:hAnchor="text" w:xAlign="center" w:y="1"/>
              <w:spacing w:before="100" w:after="100"/>
              <w:jc w:val="center"/>
              <w:rPr>
                <w:lang w:val="es-ES"/>
              </w:rPr>
            </w:pPr>
            <w:r>
              <w:rPr>
                <w:lang w:val="es-ES"/>
              </w:rPr>
              <w:t xml:space="preserve">2,5 </w:t>
            </w:r>
            <w:r>
              <w:rPr>
                <w:i/>
                <w:iCs/>
              </w:rPr>
              <w:t>B</w:t>
            </w:r>
            <w:r>
              <w:rPr>
                <w:i/>
                <w:iCs/>
                <w:position w:val="-4"/>
                <w:sz w:val="18"/>
              </w:rPr>
              <w:t>L</w:t>
            </w:r>
          </w:p>
        </w:tc>
      </w:tr>
      <w:tr w:rsidR="003E23C2" w14:paraId="1CF938FA" w14:textId="77777777">
        <w:trPr>
          <w:jc w:val="center"/>
        </w:trPr>
        <w:tc>
          <w:tcPr>
            <w:tcW w:w="2835" w:type="dxa"/>
          </w:tcPr>
          <w:p w14:paraId="07877928" w14:textId="77777777" w:rsidR="003E23C2" w:rsidRDefault="00E420B3">
            <w:pPr>
              <w:pStyle w:val="Tabletext"/>
              <w:framePr w:hSpace="181" w:wrap="notBeside" w:vAnchor="text" w:hAnchor="text" w:xAlign="center" w:y="1"/>
              <w:spacing w:before="100" w:after="100"/>
              <w:rPr>
                <w:lang w:val="es-ES"/>
              </w:rPr>
            </w:pPr>
            <w:r>
              <w:rPr>
                <w:lang w:val="es-ES"/>
              </w:rPr>
              <w:t>Caso normal</w:t>
            </w:r>
          </w:p>
        </w:tc>
        <w:tc>
          <w:tcPr>
            <w:tcW w:w="2835" w:type="dxa"/>
          </w:tcPr>
          <w:p w14:paraId="733FA761" w14:textId="77777777" w:rsidR="003E23C2" w:rsidRDefault="00E420B3">
            <w:pPr>
              <w:pStyle w:val="Tabletext"/>
              <w:framePr w:hSpace="181" w:wrap="notBeside" w:vAnchor="text" w:hAnchor="text" w:xAlign="center" w:y="1"/>
              <w:spacing w:before="100" w:after="100"/>
              <w:jc w:val="center"/>
              <w:rPr>
                <w:lang w:val="en-US"/>
              </w:rPr>
            </w:pPr>
            <w:r>
              <w:rPr>
                <w:i/>
                <w:iCs/>
                <w:lang w:val="en-US"/>
              </w:rPr>
              <w:t>B</w:t>
            </w:r>
            <w:r>
              <w:rPr>
                <w:i/>
                <w:iCs/>
                <w:position w:val="-4"/>
                <w:sz w:val="18"/>
                <w:lang w:val="en-US"/>
              </w:rPr>
              <w:t>L</w:t>
            </w:r>
            <w:r>
              <w:rPr>
                <w:lang w:val="en-US"/>
              </w:rPr>
              <w:t xml:space="preserve"> a </w:t>
            </w:r>
            <w:r>
              <w:rPr>
                <w:i/>
                <w:iCs/>
                <w:lang w:val="en-US"/>
              </w:rPr>
              <w:t>B</w:t>
            </w:r>
            <w:r>
              <w:rPr>
                <w:i/>
                <w:iCs/>
                <w:position w:val="-4"/>
                <w:sz w:val="18"/>
                <w:lang w:val="en-US"/>
              </w:rPr>
              <w:t>U</w:t>
            </w:r>
          </w:p>
        </w:tc>
        <w:tc>
          <w:tcPr>
            <w:tcW w:w="3402" w:type="dxa"/>
          </w:tcPr>
          <w:p w14:paraId="6C0528C0" w14:textId="77777777" w:rsidR="003E23C2" w:rsidRDefault="00E420B3">
            <w:pPr>
              <w:pStyle w:val="Tabletext"/>
              <w:framePr w:hSpace="181" w:wrap="notBeside" w:vAnchor="text" w:hAnchor="text" w:xAlign="center" w:y="1"/>
              <w:spacing w:before="100" w:after="100"/>
              <w:jc w:val="center"/>
              <w:rPr>
                <w:lang w:val="en-US"/>
              </w:rPr>
            </w:pPr>
            <w:r>
              <w:rPr>
                <w:lang w:val="en-US"/>
              </w:rPr>
              <w:t xml:space="preserve">2,5 </w:t>
            </w:r>
            <w:r>
              <w:rPr>
                <w:i/>
                <w:iCs/>
                <w:lang w:val="en-US"/>
              </w:rPr>
              <w:t>B</w:t>
            </w:r>
            <w:r>
              <w:rPr>
                <w:i/>
                <w:iCs/>
                <w:position w:val="-4"/>
                <w:sz w:val="18"/>
                <w:lang w:val="en-US"/>
              </w:rPr>
              <w:t>N</w:t>
            </w:r>
          </w:p>
        </w:tc>
      </w:tr>
      <w:tr w:rsidR="003E23C2" w14:paraId="721ADFDB" w14:textId="77777777">
        <w:trPr>
          <w:jc w:val="center"/>
        </w:trPr>
        <w:tc>
          <w:tcPr>
            <w:tcW w:w="2835" w:type="dxa"/>
          </w:tcPr>
          <w:p w14:paraId="200B7F9A" w14:textId="77777777" w:rsidR="003E23C2" w:rsidRDefault="00E420B3">
            <w:pPr>
              <w:pStyle w:val="Tabletext"/>
              <w:framePr w:hSpace="181" w:wrap="notBeside" w:vAnchor="text" w:hAnchor="text" w:xAlign="center" w:y="1"/>
              <w:spacing w:before="100" w:after="100"/>
              <w:rPr>
                <w:lang w:val="es-ES"/>
              </w:rPr>
            </w:pPr>
            <w:r>
              <w:rPr>
                <w:lang w:val="es-ES"/>
              </w:rPr>
              <w:t>Caso de banda ancha</w:t>
            </w:r>
          </w:p>
        </w:tc>
        <w:tc>
          <w:tcPr>
            <w:tcW w:w="2835" w:type="dxa"/>
          </w:tcPr>
          <w:p w14:paraId="742AF3EF" w14:textId="77777777" w:rsidR="003E23C2" w:rsidRDefault="00E420B3">
            <w:pPr>
              <w:pStyle w:val="Tabletext"/>
              <w:framePr w:hSpace="181" w:wrap="notBeside" w:vAnchor="text" w:hAnchor="text" w:xAlign="center" w:y="1"/>
              <w:spacing w:before="100" w:after="100"/>
              <w:jc w:val="center"/>
              <w:rPr>
                <w:lang w:val="en-US"/>
              </w:rPr>
            </w:pPr>
            <w:r>
              <w:rPr>
                <w:rFonts w:ascii="Symbol" w:hAnsi="Symbol"/>
              </w:rPr>
              <w:t></w:t>
            </w:r>
            <w:r>
              <w:rPr>
                <w:lang w:val="en-US"/>
              </w:rPr>
              <w:t xml:space="preserve"> </w:t>
            </w:r>
            <w:r>
              <w:rPr>
                <w:i/>
                <w:iCs/>
                <w:lang w:val="en-US"/>
              </w:rPr>
              <w:t>B</w:t>
            </w:r>
            <w:r>
              <w:rPr>
                <w:i/>
                <w:iCs/>
                <w:position w:val="-4"/>
                <w:sz w:val="18"/>
                <w:lang w:val="en-US"/>
              </w:rPr>
              <w:t>U</w:t>
            </w:r>
          </w:p>
        </w:tc>
        <w:tc>
          <w:tcPr>
            <w:tcW w:w="3402" w:type="dxa"/>
          </w:tcPr>
          <w:p w14:paraId="2EDD127C" w14:textId="77777777" w:rsidR="003E23C2" w:rsidRDefault="00E420B3">
            <w:pPr>
              <w:pStyle w:val="Tabletext"/>
              <w:framePr w:hSpace="181" w:wrap="notBeside" w:vAnchor="text" w:hAnchor="text" w:xAlign="center" w:y="1"/>
              <w:spacing w:before="100" w:after="100"/>
              <w:jc w:val="center"/>
              <w:rPr>
                <w:lang w:val="en-US"/>
              </w:rPr>
            </w:pPr>
            <w:r>
              <w:rPr>
                <w:i/>
                <w:iCs/>
                <w:lang w:val="en-US"/>
              </w:rPr>
              <w:t>B</w:t>
            </w:r>
            <w:r>
              <w:rPr>
                <w:i/>
                <w:iCs/>
                <w:position w:val="-4"/>
                <w:sz w:val="18"/>
                <w:lang w:val="en-US"/>
              </w:rPr>
              <w:t>U</w:t>
            </w:r>
            <w:r>
              <w:rPr>
                <w:lang w:val="en-US"/>
              </w:rPr>
              <w:t xml:space="preserve"> </w:t>
            </w:r>
            <w:r>
              <w:rPr>
                <w:rFonts w:ascii="Symbol" w:hAnsi="Symbol"/>
              </w:rPr>
              <w:t></w:t>
            </w:r>
            <w:r>
              <w:rPr>
                <w:lang w:val="en-US"/>
              </w:rPr>
              <w:t xml:space="preserve"> 1,5 </w:t>
            </w:r>
            <w:r>
              <w:rPr>
                <w:i/>
                <w:iCs/>
                <w:lang w:val="en-US"/>
              </w:rPr>
              <w:t>B</w:t>
            </w:r>
            <w:r>
              <w:rPr>
                <w:i/>
                <w:iCs/>
                <w:position w:val="-4"/>
                <w:sz w:val="18"/>
                <w:lang w:val="en-US"/>
              </w:rPr>
              <w:t>N</w:t>
            </w:r>
          </w:p>
        </w:tc>
      </w:tr>
    </w:tbl>
    <w:p w14:paraId="0C0AD956" w14:textId="77777777" w:rsidR="003E23C2" w:rsidRDefault="003E23C2">
      <w:pPr>
        <w:pStyle w:val="Tablefin"/>
      </w:pPr>
    </w:p>
    <w:p w14:paraId="174066A0" w14:textId="77777777" w:rsidR="003E23C2" w:rsidRDefault="00E420B3">
      <w:pPr>
        <w:rPr>
          <w:lang w:val="es-ES"/>
        </w:rPr>
      </w:pPr>
      <w:r>
        <w:rPr>
          <w:lang w:val="es-ES"/>
        </w:rPr>
        <w:t>Debe señalarse que para las emisiones asimétricas puede aplicarse el Cuadro 1 pues la separación se especifica sobre la base del centro de la anchura de banda necesaria. Para las situaciones en las que los límites no se definen en términos de la anchura de banda necesaria, véase el § 3.</w:t>
      </w:r>
    </w:p>
    <w:p w14:paraId="1CADCC50" w14:textId="77777777" w:rsidR="003E23C2" w:rsidRDefault="00E420B3">
      <w:pPr>
        <w:rPr>
          <w:lang w:val="es-ES"/>
        </w:rPr>
      </w:pPr>
      <w:r>
        <w:rPr>
          <w:lang w:val="es-ES"/>
        </w:rPr>
        <w:t xml:space="preserve">En el caso de los sistemas de banda estrecha y de banda ancha, la variación del límite no esencial afecta también a las máscaras fuera de banda, que especifica la Recomendación UIT-R SM.1541. El </w:t>
      </w:r>
      <w:r>
        <w:rPr>
          <w:i/>
          <w:iCs/>
          <w:lang w:val="es-ES"/>
        </w:rPr>
        <w:t>recomienda</w:t>
      </w:r>
      <w:r>
        <w:rPr>
          <w:lang w:val="es-ES"/>
        </w:rPr>
        <w:t> 5 de la Recomendación UIT-R SM.1541 se refiere a este aspecto.</w:t>
      </w:r>
    </w:p>
    <w:p w14:paraId="5283D7C7" w14:textId="77777777" w:rsidR="003E23C2" w:rsidRDefault="00E420B3">
      <w:pPr>
        <w:rPr>
          <w:lang w:val="es-ES"/>
        </w:rPr>
      </w:pPr>
      <w:r>
        <w:rPr>
          <w:lang w:val="es-ES"/>
        </w:rPr>
        <w:br w:type="page"/>
      </w:r>
      <w:r>
        <w:rPr>
          <w:lang w:val="es-ES"/>
        </w:rPr>
        <w:lastRenderedPageBreak/>
        <w:t>El Cuadro 2 suministra una guía para determinar los valores generales de separación entre la frecuencia central de una emisión y el comienzo de su dominio no esencial. Para el caso de banda estrecha se aplica una separación mínima, mientras que los casos normal y de banda ancha tienen fórmulas independientes para determinar el límite.</w:t>
      </w:r>
    </w:p>
    <w:p w14:paraId="26F9C868" w14:textId="77777777" w:rsidR="003E23C2" w:rsidRDefault="00E420B3">
      <w:pPr>
        <w:pStyle w:val="TableNo"/>
        <w:rPr>
          <w:lang w:val="es-ES"/>
        </w:rPr>
      </w:pPr>
      <w:r>
        <w:rPr>
          <w:lang w:val="es-ES"/>
        </w:rPr>
        <w:t>CUADRO  2</w:t>
      </w:r>
    </w:p>
    <w:p w14:paraId="578A12D3" w14:textId="77777777" w:rsidR="003E23C2" w:rsidRDefault="00E420B3">
      <w:pPr>
        <w:pStyle w:val="Tabletitle"/>
        <w:rPr>
          <w:lang w:val="es-ES"/>
        </w:rPr>
      </w:pPr>
      <w:r>
        <w:rPr>
          <w:lang w:val="es-ES"/>
        </w:rPr>
        <w:t xml:space="preserve">Valores orientativos para la separación de frecuencias entre </w:t>
      </w:r>
      <w:r>
        <w:rPr>
          <w:lang w:val="es-ES"/>
        </w:rPr>
        <w:br/>
        <w:t>la frecuencia central y el límite del dominio no esencial</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5"/>
        <w:gridCol w:w="1406"/>
        <w:gridCol w:w="1413"/>
        <w:gridCol w:w="1276"/>
        <w:gridCol w:w="1536"/>
        <w:gridCol w:w="1843"/>
      </w:tblGrid>
      <w:tr w:rsidR="003E23C2" w:rsidRPr="008E7B82" w14:paraId="250DDD32" w14:textId="77777777">
        <w:trPr>
          <w:cantSplit/>
          <w:jc w:val="center"/>
        </w:trPr>
        <w:tc>
          <w:tcPr>
            <w:tcW w:w="2415" w:type="dxa"/>
            <w:vMerge w:val="restart"/>
            <w:vAlign w:val="center"/>
          </w:tcPr>
          <w:p w14:paraId="670108B5" w14:textId="77777777" w:rsidR="003E23C2" w:rsidRDefault="00E420B3">
            <w:pPr>
              <w:pStyle w:val="Tablehead"/>
              <w:framePr w:hSpace="181" w:wrap="notBeside" w:vAnchor="text" w:hAnchor="text" w:xAlign="center" w:y="1"/>
              <w:spacing w:before="100" w:after="100"/>
              <w:rPr>
                <w:lang w:val="es-ES"/>
              </w:rPr>
            </w:pPr>
            <w:r>
              <w:rPr>
                <w:lang w:val="es-ES"/>
              </w:rPr>
              <w:t>Gama de</w:t>
            </w:r>
            <w:r>
              <w:rPr>
                <w:lang w:val="es-ES"/>
              </w:rPr>
              <w:br/>
              <w:t>frecuencias</w:t>
            </w:r>
          </w:p>
        </w:tc>
        <w:tc>
          <w:tcPr>
            <w:tcW w:w="2819" w:type="dxa"/>
            <w:gridSpan w:val="2"/>
            <w:vAlign w:val="center"/>
          </w:tcPr>
          <w:p w14:paraId="2DB802B6" w14:textId="77777777" w:rsidR="003E23C2" w:rsidRDefault="00E420B3">
            <w:pPr>
              <w:pStyle w:val="Tablehead"/>
              <w:framePr w:hSpace="181" w:wrap="notBeside" w:vAnchor="text" w:hAnchor="text" w:xAlign="center" w:y="1"/>
              <w:spacing w:before="100" w:after="100"/>
              <w:rPr>
                <w:lang w:val="es-ES"/>
              </w:rPr>
            </w:pPr>
            <w:r>
              <w:rPr>
                <w:lang w:val="es-ES"/>
              </w:rPr>
              <w:t>Caso de banda estrecha</w:t>
            </w:r>
            <w:r>
              <w:rPr>
                <w:lang w:val="es-ES"/>
              </w:rPr>
              <w:br/>
            </w:r>
            <w:r w:rsidRPr="00087802">
              <w:rPr>
                <w:lang w:val="es-ES"/>
              </w:rPr>
              <w:t>(</w:t>
            </w:r>
            <w:r>
              <w:rPr>
                <w:i/>
                <w:iCs/>
                <w:lang w:val="es-ES"/>
              </w:rPr>
              <w:t>B</w:t>
            </w:r>
            <w:r>
              <w:rPr>
                <w:i/>
                <w:iCs/>
                <w:position w:val="-4"/>
                <w:sz w:val="18"/>
                <w:lang w:val="es-ES"/>
              </w:rPr>
              <w:t>N</w:t>
            </w:r>
            <w:r>
              <w:rPr>
                <w:i/>
                <w:iCs/>
                <w:lang w:val="es-ES"/>
              </w:rPr>
              <w:t xml:space="preserve"> </w:t>
            </w:r>
            <w:r>
              <w:rPr>
                <w:rFonts w:ascii="Symbol" w:hAnsi="Symbol"/>
              </w:rPr>
              <w:t></w:t>
            </w:r>
            <w:r>
              <w:rPr>
                <w:i/>
                <w:iCs/>
                <w:lang w:val="es-ES"/>
              </w:rPr>
              <w:t xml:space="preserve"> B</w:t>
            </w:r>
            <w:r>
              <w:rPr>
                <w:i/>
                <w:iCs/>
                <w:position w:val="-4"/>
                <w:sz w:val="18"/>
                <w:lang w:val="es-ES"/>
              </w:rPr>
              <w:t>L</w:t>
            </w:r>
            <w:r w:rsidRPr="00087802">
              <w:rPr>
                <w:lang w:val="es-ES"/>
              </w:rPr>
              <w:t>)</w:t>
            </w:r>
          </w:p>
        </w:tc>
        <w:tc>
          <w:tcPr>
            <w:tcW w:w="1276" w:type="dxa"/>
            <w:vMerge w:val="restart"/>
            <w:vAlign w:val="center"/>
          </w:tcPr>
          <w:p w14:paraId="074CDCBB" w14:textId="77777777" w:rsidR="003E23C2" w:rsidRDefault="00E420B3">
            <w:pPr>
              <w:pStyle w:val="Tablehead"/>
              <w:framePr w:hSpace="181" w:wrap="notBeside" w:vAnchor="text" w:hAnchor="text" w:xAlign="center" w:y="1"/>
              <w:spacing w:before="100" w:after="100"/>
              <w:rPr>
                <w:lang w:val="es-ES"/>
              </w:rPr>
            </w:pPr>
            <w:r>
              <w:rPr>
                <w:lang w:val="es-ES"/>
              </w:rPr>
              <w:t>Separación</w:t>
            </w:r>
            <w:r>
              <w:rPr>
                <w:lang w:val="es-ES"/>
              </w:rPr>
              <w:br/>
              <w:t>normal</w:t>
            </w:r>
            <w:r>
              <w:rPr>
                <w:lang w:val="es-ES"/>
              </w:rPr>
              <w:br/>
            </w:r>
          </w:p>
        </w:tc>
        <w:tc>
          <w:tcPr>
            <w:tcW w:w="3379" w:type="dxa"/>
            <w:gridSpan w:val="2"/>
            <w:vAlign w:val="center"/>
          </w:tcPr>
          <w:p w14:paraId="2ABCB8E4" w14:textId="77777777" w:rsidR="003E23C2" w:rsidRDefault="00E420B3">
            <w:pPr>
              <w:pStyle w:val="Tablehead"/>
              <w:framePr w:hSpace="181" w:wrap="notBeside" w:vAnchor="text" w:hAnchor="text" w:xAlign="center" w:y="1"/>
              <w:spacing w:before="100" w:after="100"/>
              <w:rPr>
                <w:lang w:val="es-ES"/>
              </w:rPr>
            </w:pPr>
            <w:r>
              <w:rPr>
                <w:lang w:val="es-ES"/>
              </w:rPr>
              <w:t>Caso de banda ancha</w:t>
            </w:r>
            <w:r>
              <w:rPr>
                <w:lang w:val="es-ES"/>
              </w:rPr>
              <w:br/>
            </w:r>
            <w:r w:rsidRPr="00087802">
              <w:rPr>
                <w:lang w:val="es-ES"/>
              </w:rPr>
              <w:t>(</w:t>
            </w:r>
            <w:r>
              <w:rPr>
                <w:i/>
                <w:iCs/>
                <w:lang w:val="es-ES"/>
              </w:rPr>
              <w:t>B</w:t>
            </w:r>
            <w:r>
              <w:rPr>
                <w:i/>
                <w:iCs/>
                <w:position w:val="-4"/>
                <w:sz w:val="18"/>
                <w:lang w:val="es-ES"/>
              </w:rPr>
              <w:t>N</w:t>
            </w:r>
            <w:r>
              <w:rPr>
                <w:i/>
                <w:iCs/>
                <w:lang w:val="es-ES"/>
              </w:rPr>
              <w:t xml:space="preserve"> </w:t>
            </w:r>
            <w:r>
              <w:rPr>
                <w:rFonts w:ascii="Symbol" w:hAnsi="Symbol"/>
              </w:rPr>
              <w:t></w:t>
            </w:r>
            <w:r>
              <w:rPr>
                <w:i/>
                <w:iCs/>
                <w:lang w:val="es-ES"/>
              </w:rPr>
              <w:t xml:space="preserve"> B</w:t>
            </w:r>
            <w:r>
              <w:rPr>
                <w:i/>
                <w:iCs/>
                <w:position w:val="-4"/>
                <w:sz w:val="18"/>
                <w:lang w:val="es-ES"/>
              </w:rPr>
              <w:t>U</w:t>
            </w:r>
            <w:r w:rsidRPr="00087802">
              <w:rPr>
                <w:lang w:val="es-ES"/>
              </w:rPr>
              <w:t>)</w:t>
            </w:r>
          </w:p>
        </w:tc>
      </w:tr>
      <w:tr w:rsidR="003E23C2" w14:paraId="7119C6E4" w14:textId="77777777">
        <w:trPr>
          <w:cantSplit/>
          <w:jc w:val="center"/>
        </w:trPr>
        <w:tc>
          <w:tcPr>
            <w:tcW w:w="2415" w:type="dxa"/>
            <w:vMerge/>
            <w:vAlign w:val="center"/>
          </w:tcPr>
          <w:p w14:paraId="1FEB7CE4" w14:textId="77777777" w:rsidR="003E23C2" w:rsidRDefault="003E23C2">
            <w:pPr>
              <w:pStyle w:val="Tablehead"/>
              <w:framePr w:hSpace="181" w:wrap="notBeside" w:vAnchor="text" w:hAnchor="text" w:xAlign="center" w:y="1"/>
              <w:spacing w:before="100" w:after="100"/>
              <w:rPr>
                <w:lang w:val="es-ES"/>
              </w:rPr>
            </w:pPr>
          </w:p>
        </w:tc>
        <w:tc>
          <w:tcPr>
            <w:tcW w:w="1406" w:type="dxa"/>
            <w:vAlign w:val="center"/>
          </w:tcPr>
          <w:p w14:paraId="2822F35F" w14:textId="77777777" w:rsidR="003E23C2" w:rsidRDefault="00E420B3">
            <w:pPr>
              <w:pStyle w:val="Tablehead"/>
              <w:framePr w:hSpace="181" w:wrap="notBeside" w:vAnchor="text" w:hAnchor="text" w:xAlign="center" w:y="1"/>
              <w:spacing w:before="100" w:after="100"/>
              <w:rPr>
                <w:i/>
                <w:iCs/>
                <w:lang w:val="es-ES"/>
              </w:rPr>
            </w:pPr>
            <w:r>
              <w:rPr>
                <w:i/>
                <w:iCs/>
              </w:rPr>
              <w:t>B</w:t>
            </w:r>
            <w:r>
              <w:rPr>
                <w:i/>
                <w:iCs/>
                <w:position w:val="-4"/>
                <w:sz w:val="18"/>
              </w:rPr>
              <w:t>L</w:t>
            </w:r>
          </w:p>
        </w:tc>
        <w:tc>
          <w:tcPr>
            <w:tcW w:w="1413" w:type="dxa"/>
            <w:vAlign w:val="center"/>
          </w:tcPr>
          <w:p w14:paraId="5FDF545C" w14:textId="77777777" w:rsidR="003E23C2" w:rsidRDefault="00E420B3">
            <w:pPr>
              <w:pStyle w:val="Tablehead"/>
              <w:framePr w:hSpace="181" w:wrap="notBeside" w:vAnchor="text" w:hAnchor="text" w:xAlign="center" w:y="1"/>
              <w:spacing w:before="100" w:after="100"/>
              <w:rPr>
                <w:lang w:val="es-ES"/>
              </w:rPr>
            </w:pPr>
            <w:r>
              <w:rPr>
                <w:lang w:val="es-ES"/>
              </w:rPr>
              <w:t>Separación</w:t>
            </w:r>
          </w:p>
        </w:tc>
        <w:tc>
          <w:tcPr>
            <w:tcW w:w="1276" w:type="dxa"/>
            <w:vMerge/>
            <w:vAlign w:val="center"/>
          </w:tcPr>
          <w:p w14:paraId="15B426E4" w14:textId="77777777" w:rsidR="003E23C2" w:rsidRDefault="003E23C2">
            <w:pPr>
              <w:pStyle w:val="Tablehead"/>
              <w:framePr w:hSpace="181" w:wrap="notBeside" w:vAnchor="text" w:hAnchor="text" w:xAlign="center" w:y="1"/>
              <w:spacing w:before="100" w:after="100"/>
              <w:rPr>
                <w:lang w:val="es-ES"/>
              </w:rPr>
            </w:pPr>
          </w:p>
        </w:tc>
        <w:tc>
          <w:tcPr>
            <w:tcW w:w="1536" w:type="dxa"/>
            <w:vAlign w:val="center"/>
          </w:tcPr>
          <w:p w14:paraId="3B44A7A9" w14:textId="77777777" w:rsidR="003E23C2" w:rsidRDefault="00E420B3">
            <w:pPr>
              <w:pStyle w:val="Tablehead"/>
              <w:framePr w:hSpace="181" w:wrap="notBeside" w:vAnchor="text" w:hAnchor="text" w:xAlign="center" w:y="1"/>
              <w:spacing w:before="100" w:after="100"/>
              <w:rPr>
                <w:i/>
                <w:iCs/>
                <w:sz w:val="24"/>
                <w:lang w:val="es-ES"/>
              </w:rPr>
            </w:pPr>
            <w:r>
              <w:rPr>
                <w:i/>
                <w:iCs/>
              </w:rPr>
              <w:t>B</w:t>
            </w:r>
            <w:r>
              <w:rPr>
                <w:i/>
                <w:iCs/>
                <w:position w:val="-4"/>
                <w:sz w:val="18"/>
              </w:rPr>
              <w:t>U</w:t>
            </w:r>
          </w:p>
        </w:tc>
        <w:tc>
          <w:tcPr>
            <w:tcW w:w="1843" w:type="dxa"/>
            <w:vAlign w:val="center"/>
          </w:tcPr>
          <w:p w14:paraId="53E0C606" w14:textId="77777777" w:rsidR="003E23C2" w:rsidRDefault="00E420B3">
            <w:pPr>
              <w:pStyle w:val="Tablehead"/>
              <w:framePr w:hSpace="181" w:wrap="notBeside" w:vAnchor="text" w:hAnchor="text" w:xAlign="center" w:y="1"/>
              <w:spacing w:before="100" w:after="100"/>
              <w:rPr>
                <w:lang w:val="es-ES"/>
              </w:rPr>
            </w:pPr>
            <w:r>
              <w:rPr>
                <w:lang w:val="es-ES"/>
              </w:rPr>
              <w:t>Separación</w:t>
            </w:r>
          </w:p>
        </w:tc>
      </w:tr>
      <w:tr w:rsidR="003E23C2" w14:paraId="465FC719" w14:textId="77777777">
        <w:trPr>
          <w:jc w:val="center"/>
        </w:trPr>
        <w:tc>
          <w:tcPr>
            <w:tcW w:w="2415" w:type="dxa"/>
          </w:tcPr>
          <w:p w14:paraId="04F01C8E" w14:textId="77777777" w:rsidR="003E23C2" w:rsidRDefault="00E420B3">
            <w:pPr>
              <w:pStyle w:val="Tabletext"/>
              <w:framePr w:hSpace="181" w:wrap="notBeside" w:vAnchor="text" w:hAnchor="text" w:xAlign="center" w:y="1"/>
              <w:spacing w:before="100" w:after="100" w:line="240" w:lineRule="exact"/>
              <w:jc w:val="left"/>
              <w:rPr>
                <w:lang w:val="es-ES"/>
              </w:rPr>
            </w:pPr>
            <w:r>
              <w:rPr>
                <w:lang w:val="es-ES"/>
              </w:rPr>
              <w:t xml:space="preserve">9 kHz </w:t>
            </w:r>
            <w:r>
              <w:rPr>
                <w:rFonts w:ascii="Symbol" w:hAnsi="Symbol"/>
              </w:rPr>
              <w:t></w:t>
            </w:r>
            <w:r>
              <w:rPr>
                <w:lang w:val="es-ES"/>
              </w:rPr>
              <w:t xml:space="preserve"> </w:t>
            </w:r>
            <w:r>
              <w:rPr>
                <w:i/>
                <w:lang w:val="es-ES"/>
              </w:rPr>
              <w:t>f</w:t>
            </w:r>
            <w:r>
              <w:rPr>
                <w:i/>
                <w:iCs/>
                <w:position w:val="-4"/>
                <w:sz w:val="18"/>
                <w:lang w:val="es-ES"/>
              </w:rPr>
              <w:t>c</w:t>
            </w:r>
            <w:r>
              <w:rPr>
                <w:lang w:val="es-ES"/>
              </w:rPr>
              <w:t xml:space="preserve"> </w:t>
            </w:r>
            <w:r>
              <w:rPr>
                <w:rFonts w:ascii="Symbol" w:hAnsi="Symbol"/>
              </w:rPr>
              <w:t></w:t>
            </w:r>
            <w:r>
              <w:rPr>
                <w:lang w:val="es-ES"/>
              </w:rPr>
              <w:t xml:space="preserve"> 150 kHz</w:t>
            </w:r>
          </w:p>
        </w:tc>
        <w:tc>
          <w:tcPr>
            <w:tcW w:w="1406" w:type="dxa"/>
          </w:tcPr>
          <w:p w14:paraId="0A8433A7" w14:textId="77777777" w:rsidR="003E23C2" w:rsidRDefault="00E420B3">
            <w:pPr>
              <w:pStyle w:val="Tabletext"/>
              <w:framePr w:hSpace="181" w:wrap="notBeside" w:vAnchor="text" w:hAnchor="text" w:xAlign="center" w:y="1"/>
              <w:spacing w:before="100" w:after="100" w:line="240" w:lineRule="exact"/>
              <w:jc w:val="center"/>
              <w:rPr>
                <w:lang w:val="es-ES"/>
              </w:rPr>
            </w:pPr>
            <w:r>
              <w:rPr>
                <w:lang w:val="es-ES"/>
              </w:rPr>
              <w:t>250 Hz</w:t>
            </w:r>
          </w:p>
        </w:tc>
        <w:tc>
          <w:tcPr>
            <w:tcW w:w="1413" w:type="dxa"/>
          </w:tcPr>
          <w:p w14:paraId="0CBE4CC3" w14:textId="77777777" w:rsidR="003E23C2" w:rsidRDefault="00E420B3">
            <w:pPr>
              <w:pStyle w:val="Tabletext"/>
              <w:framePr w:hSpace="181" w:wrap="notBeside" w:vAnchor="text" w:hAnchor="text" w:xAlign="center" w:y="1"/>
              <w:spacing w:before="100" w:after="100" w:line="240" w:lineRule="exact"/>
              <w:jc w:val="center"/>
              <w:rPr>
                <w:lang w:val="es-ES"/>
              </w:rPr>
            </w:pPr>
            <w:r>
              <w:rPr>
                <w:lang w:val="es-ES"/>
              </w:rPr>
              <w:t>625 Hz</w:t>
            </w:r>
          </w:p>
        </w:tc>
        <w:tc>
          <w:tcPr>
            <w:tcW w:w="1276" w:type="dxa"/>
          </w:tcPr>
          <w:p w14:paraId="7B938610" w14:textId="77777777" w:rsidR="003E23C2" w:rsidRDefault="00E420B3">
            <w:pPr>
              <w:pStyle w:val="Tabletext"/>
              <w:framePr w:hSpace="181" w:wrap="notBeside" w:vAnchor="text" w:hAnchor="text" w:xAlign="center" w:y="1"/>
              <w:spacing w:before="100" w:after="100" w:line="240" w:lineRule="exact"/>
              <w:jc w:val="center"/>
              <w:rPr>
                <w:lang w:val="es-ES"/>
              </w:rPr>
            </w:pPr>
            <w:r>
              <w:rPr>
                <w:lang w:val="es-ES"/>
              </w:rPr>
              <w:t xml:space="preserve">2,5 </w:t>
            </w:r>
            <w:r>
              <w:rPr>
                <w:i/>
                <w:lang w:val="es-ES"/>
              </w:rPr>
              <w:t>B</w:t>
            </w:r>
            <w:r>
              <w:rPr>
                <w:i/>
                <w:iCs/>
                <w:position w:val="-4"/>
                <w:sz w:val="18"/>
                <w:lang w:val="es-ES"/>
              </w:rPr>
              <w:t>N</w:t>
            </w:r>
          </w:p>
        </w:tc>
        <w:tc>
          <w:tcPr>
            <w:tcW w:w="1536" w:type="dxa"/>
          </w:tcPr>
          <w:p w14:paraId="658B20FA"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10 kHz</w:t>
            </w:r>
          </w:p>
        </w:tc>
        <w:tc>
          <w:tcPr>
            <w:tcW w:w="1843" w:type="dxa"/>
          </w:tcPr>
          <w:p w14:paraId="257CF8C1" w14:textId="77777777" w:rsidR="003E23C2" w:rsidRDefault="00E420B3">
            <w:pPr>
              <w:pStyle w:val="Tabletext"/>
              <w:framePr w:hSpace="181" w:wrap="notBeside" w:vAnchor="text" w:hAnchor="text" w:xAlign="center" w:y="1"/>
              <w:spacing w:before="100" w:after="100" w:line="240" w:lineRule="exact"/>
              <w:ind w:left="-57" w:right="-57"/>
              <w:jc w:val="center"/>
              <w:rPr>
                <w:lang w:val="en-US"/>
              </w:rPr>
            </w:pPr>
            <w:r>
              <w:rPr>
                <w:lang w:val="en-US"/>
              </w:rPr>
              <w:t xml:space="preserve">1,5 </w:t>
            </w:r>
            <w:r>
              <w:rPr>
                <w:i/>
                <w:lang w:val="es-ES"/>
              </w:rPr>
              <w:t>B</w:t>
            </w:r>
            <w:r>
              <w:rPr>
                <w:i/>
                <w:iCs/>
                <w:position w:val="-4"/>
                <w:sz w:val="18"/>
                <w:lang w:val="es-ES"/>
              </w:rPr>
              <w:t>N</w:t>
            </w:r>
            <w:r>
              <w:rPr>
                <w:lang w:val="en-US"/>
              </w:rPr>
              <w:t xml:space="preserve"> </w:t>
            </w:r>
            <w:r>
              <w:rPr>
                <w:rFonts w:ascii="Symbol" w:hAnsi="Symbol"/>
                <w:lang w:val="es-ES"/>
              </w:rPr>
              <w:t></w:t>
            </w:r>
            <w:r>
              <w:rPr>
                <w:lang w:val="en-US"/>
              </w:rPr>
              <w:t xml:space="preserve"> 10 kHz</w:t>
            </w:r>
          </w:p>
        </w:tc>
      </w:tr>
      <w:tr w:rsidR="003E23C2" w14:paraId="559EA8E0" w14:textId="77777777">
        <w:trPr>
          <w:jc w:val="center"/>
        </w:trPr>
        <w:tc>
          <w:tcPr>
            <w:tcW w:w="2415" w:type="dxa"/>
          </w:tcPr>
          <w:p w14:paraId="6365F2C1" w14:textId="77777777" w:rsidR="003E23C2" w:rsidRDefault="00E420B3">
            <w:pPr>
              <w:pStyle w:val="Tabletext"/>
              <w:framePr w:hSpace="181" w:wrap="notBeside" w:vAnchor="text" w:hAnchor="text" w:xAlign="center" w:y="1"/>
              <w:spacing w:before="100" w:after="100" w:line="240" w:lineRule="exact"/>
              <w:jc w:val="left"/>
              <w:rPr>
                <w:lang w:val="en-US"/>
              </w:rPr>
            </w:pPr>
            <w:r>
              <w:rPr>
                <w:lang w:val="en-US"/>
              </w:rPr>
              <w:t xml:space="preserve">150 kHz </w:t>
            </w:r>
            <w:r>
              <w:rPr>
                <w:rFonts w:ascii="Symbol" w:hAnsi="Symbol"/>
              </w:rPr>
              <w:t></w:t>
            </w:r>
            <w:r>
              <w:rPr>
                <w:lang w:val="en-US"/>
              </w:rPr>
              <w:t xml:space="preserve"> </w:t>
            </w:r>
            <w:r>
              <w:rPr>
                <w:i/>
                <w:lang w:val="en-US"/>
              </w:rPr>
              <w:t>f</w:t>
            </w:r>
            <w:r>
              <w:rPr>
                <w:i/>
                <w:iCs/>
                <w:position w:val="-4"/>
                <w:sz w:val="18"/>
                <w:lang w:val="en-US"/>
              </w:rPr>
              <w:t>c</w:t>
            </w:r>
            <w:r>
              <w:rPr>
                <w:lang w:val="en-US"/>
              </w:rPr>
              <w:t xml:space="preserve"> </w:t>
            </w:r>
            <w:r>
              <w:rPr>
                <w:rFonts w:ascii="Symbol" w:hAnsi="Symbol"/>
              </w:rPr>
              <w:t></w:t>
            </w:r>
            <w:r>
              <w:rPr>
                <w:lang w:val="en-US"/>
              </w:rPr>
              <w:t xml:space="preserve"> 30 MHz</w:t>
            </w:r>
          </w:p>
        </w:tc>
        <w:tc>
          <w:tcPr>
            <w:tcW w:w="1406" w:type="dxa"/>
          </w:tcPr>
          <w:p w14:paraId="591ECCCC"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4 kHz</w:t>
            </w:r>
          </w:p>
        </w:tc>
        <w:tc>
          <w:tcPr>
            <w:tcW w:w="1413" w:type="dxa"/>
          </w:tcPr>
          <w:p w14:paraId="0DA3A387"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10 kHz</w:t>
            </w:r>
          </w:p>
        </w:tc>
        <w:tc>
          <w:tcPr>
            <w:tcW w:w="1276" w:type="dxa"/>
          </w:tcPr>
          <w:p w14:paraId="59C5175B"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 xml:space="preserve">2,5 </w:t>
            </w:r>
            <w:r>
              <w:rPr>
                <w:i/>
                <w:lang w:val="es-ES"/>
              </w:rPr>
              <w:t>B</w:t>
            </w:r>
            <w:r>
              <w:rPr>
                <w:i/>
                <w:iCs/>
                <w:position w:val="-4"/>
                <w:sz w:val="18"/>
                <w:lang w:val="es-ES"/>
              </w:rPr>
              <w:t>N</w:t>
            </w:r>
          </w:p>
        </w:tc>
        <w:tc>
          <w:tcPr>
            <w:tcW w:w="1536" w:type="dxa"/>
          </w:tcPr>
          <w:p w14:paraId="791DE96D"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100 kHz</w:t>
            </w:r>
          </w:p>
        </w:tc>
        <w:tc>
          <w:tcPr>
            <w:tcW w:w="1843" w:type="dxa"/>
          </w:tcPr>
          <w:p w14:paraId="0B9105F8" w14:textId="77777777" w:rsidR="003E23C2" w:rsidRDefault="00E420B3">
            <w:pPr>
              <w:pStyle w:val="Tabletext"/>
              <w:framePr w:hSpace="181" w:wrap="notBeside" w:vAnchor="text" w:hAnchor="text" w:xAlign="center" w:y="1"/>
              <w:spacing w:before="100" w:after="100" w:line="240" w:lineRule="exact"/>
              <w:ind w:left="-57" w:right="-57"/>
              <w:jc w:val="center"/>
              <w:rPr>
                <w:lang w:val="en-US"/>
              </w:rPr>
            </w:pPr>
            <w:r>
              <w:rPr>
                <w:lang w:val="en-US"/>
              </w:rPr>
              <w:t xml:space="preserve">1,5 </w:t>
            </w:r>
            <w:r>
              <w:rPr>
                <w:i/>
                <w:lang w:val="es-ES"/>
              </w:rPr>
              <w:t>B</w:t>
            </w:r>
            <w:r>
              <w:rPr>
                <w:i/>
                <w:iCs/>
                <w:position w:val="-4"/>
                <w:sz w:val="18"/>
                <w:lang w:val="es-ES"/>
              </w:rPr>
              <w:t>N</w:t>
            </w:r>
            <w:r>
              <w:rPr>
                <w:lang w:val="en-US"/>
              </w:rPr>
              <w:t xml:space="preserve"> </w:t>
            </w:r>
            <w:r>
              <w:rPr>
                <w:rFonts w:ascii="Symbol" w:hAnsi="Symbol"/>
                <w:lang w:val="en-US"/>
              </w:rPr>
              <w:t></w:t>
            </w:r>
            <w:r>
              <w:rPr>
                <w:lang w:val="en-US"/>
              </w:rPr>
              <w:t xml:space="preserve"> 100 kHz</w:t>
            </w:r>
          </w:p>
        </w:tc>
      </w:tr>
      <w:tr w:rsidR="003E23C2" w14:paraId="3A2C373A" w14:textId="77777777">
        <w:trPr>
          <w:jc w:val="center"/>
        </w:trPr>
        <w:tc>
          <w:tcPr>
            <w:tcW w:w="2415" w:type="dxa"/>
          </w:tcPr>
          <w:p w14:paraId="42C1728A" w14:textId="77777777" w:rsidR="003E23C2" w:rsidRDefault="00E420B3">
            <w:pPr>
              <w:pStyle w:val="Tabletext"/>
              <w:framePr w:hSpace="181" w:wrap="notBeside" w:vAnchor="text" w:hAnchor="text" w:xAlign="center" w:y="1"/>
              <w:spacing w:before="100" w:after="100" w:line="240" w:lineRule="exact"/>
              <w:jc w:val="left"/>
              <w:rPr>
                <w:lang w:val="en-US"/>
              </w:rPr>
            </w:pPr>
            <w:r>
              <w:rPr>
                <w:lang w:val="en-US"/>
              </w:rPr>
              <w:t xml:space="preserve">30 MHz </w:t>
            </w:r>
            <w:r>
              <w:rPr>
                <w:rFonts w:ascii="Symbol" w:hAnsi="Symbol"/>
              </w:rPr>
              <w:t></w:t>
            </w:r>
            <w:r>
              <w:rPr>
                <w:lang w:val="en-US"/>
              </w:rPr>
              <w:t xml:space="preserve"> </w:t>
            </w:r>
            <w:r>
              <w:rPr>
                <w:i/>
                <w:lang w:val="en-US"/>
              </w:rPr>
              <w:t>f</w:t>
            </w:r>
            <w:r>
              <w:rPr>
                <w:i/>
                <w:iCs/>
                <w:position w:val="-4"/>
                <w:sz w:val="18"/>
                <w:lang w:val="en-US"/>
              </w:rPr>
              <w:t>c</w:t>
            </w:r>
            <w:r>
              <w:rPr>
                <w:lang w:val="en-US"/>
              </w:rPr>
              <w:t xml:space="preserve"> </w:t>
            </w:r>
            <w:r>
              <w:rPr>
                <w:rFonts w:ascii="Symbol" w:hAnsi="Symbol"/>
              </w:rPr>
              <w:t></w:t>
            </w:r>
            <w:r>
              <w:rPr>
                <w:lang w:val="en-US"/>
              </w:rPr>
              <w:t xml:space="preserve"> 1 GHz</w:t>
            </w:r>
          </w:p>
        </w:tc>
        <w:tc>
          <w:tcPr>
            <w:tcW w:w="1406" w:type="dxa"/>
          </w:tcPr>
          <w:p w14:paraId="1253F7D2"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25 kHz</w:t>
            </w:r>
          </w:p>
        </w:tc>
        <w:tc>
          <w:tcPr>
            <w:tcW w:w="1413" w:type="dxa"/>
          </w:tcPr>
          <w:p w14:paraId="3A56E50B"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62,5 kHz</w:t>
            </w:r>
          </w:p>
        </w:tc>
        <w:tc>
          <w:tcPr>
            <w:tcW w:w="1276" w:type="dxa"/>
          </w:tcPr>
          <w:p w14:paraId="329DA1DA"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 xml:space="preserve">2,5 </w:t>
            </w:r>
            <w:r>
              <w:rPr>
                <w:i/>
                <w:lang w:val="es-ES"/>
              </w:rPr>
              <w:t>B</w:t>
            </w:r>
            <w:r>
              <w:rPr>
                <w:i/>
                <w:iCs/>
                <w:position w:val="-4"/>
                <w:sz w:val="18"/>
                <w:lang w:val="es-ES"/>
              </w:rPr>
              <w:t>N</w:t>
            </w:r>
          </w:p>
        </w:tc>
        <w:tc>
          <w:tcPr>
            <w:tcW w:w="1536" w:type="dxa"/>
          </w:tcPr>
          <w:p w14:paraId="6456ED47"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10 MHz</w:t>
            </w:r>
          </w:p>
        </w:tc>
        <w:tc>
          <w:tcPr>
            <w:tcW w:w="1843" w:type="dxa"/>
          </w:tcPr>
          <w:p w14:paraId="75D9A8C3" w14:textId="77777777" w:rsidR="003E23C2" w:rsidRDefault="00E420B3">
            <w:pPr>
              <w:pStyle w:val="Tabletext"/>
              <w:framePr w:hSpace="181" w:wrap="notBeside" w:vAnchor="text" w:hAnchor="text" w:xAlign="center" w:y="1"/>
              <w:spacing w:before="100" w:after="100" w:line="240" w:lineRule="exact"/>
              <w:ind w:left="-57" w:right="-57"/>
              <w:jc w:val="center"/>
              <w:rPr>
                <w:lang w:val="en-US"/>
              </w:rPr>
            </w:pPr>
            <w:r>
              <w:rPr>
                <w:lang w:val="en-US"/>
              </w:rPr>
              <w:t xml:space="preserve">1,5 </w:t>
            </w:r>
            <w:r>
              <w:rPr>
                <w:i/>
                <w:lang w:val="es-ES"/>
              </w:rPr>
              <w:t>B</w:t>
            </w:r>
            <w:r>
              <w:rPr>
                <w:i/>
                <w:iCs/>
                <w:position w:val="-4"/>
                <w:sz w:val="18"/>
                <w:lang w:val="es-ES"/>
              </w:rPr>
              <w:t>N</w:t>
            </w:r>
            <w:r>
              <w:rPr>
                <w:lang w:val="en-US"/>
              </w:rPr>
              <w:t xml:space="preserve"> </w:t>
            </w:r>
            <w:r>
              <w:rPr>
                <w:rFonts w:ascii="Symbol" w:hAnsi="Symbol"/>
                <w:lang w:val="en-US"/>
              </w:rPr>
              <w:t></w:t>
            </w:r>
            <w:r>
              <w:rPr>
                <w:lang w:val="en-US"/>
              </w:rPr>
              <w:t xml:space="preserve"> 10 MHz</w:t>
            </w:r>
          </w:p>
        </w:tc>
      </w:tr>
      <w:tr w:rsidR="003E23C2" w14:paraId="18B1257A" w14:textId="77777777">
        <w:trPr>
          <w:jc w:val="center"/>
        </w:trPr>
        <w:tc>
          <w:tcPr>
            <w:tcW w:w="2415" w:type="dxa"/>
          </w:tcPr>
          <w:p w14:paraId="4D4F859C" w14:textId="77777777" w:rsidR="003E23C2" w:rsidRDefault="00E420B3">
            <w:pPr>
              <w:pStyle w:val="Tabletext"/>
              <w:framePr w:hSpace="181" w:wrap="notBeside" w:vAnchor="text" w:hAnchor="text" w:xAlign="center" w:y="1"/>
              <w:spacing w:before="100" w:after="100" w:line="240" w:lineRule="exact"/>
              <w:jc w:val="left"/>
              <w:rPr>
                <w:lang w:val="en-US"/>
              </w:rPr>
            </w:pPr>
            <w:r>
              <w:rPr>
                <w:lang w:val="en-US"/>
              </w:rPr>
              <w:t xml:space="preserve">1 GHz </w:t>
            </w:r>
            <w:r>
              <w:rPr>
                <w:rFonts w:ascii="Symbol" w:hAnsi="Symbol"/>
              </w:rPr>
              <w:t></w:t>
            </w:r>
            <w:r>
              <w:rPr>
                <w:lang w:val="en-US"/>
              </w:rPr>
              <w:t xml:space="preserve"> </w:t>
            </w:r>
            <w:r>
              <w:rPr>
                <w:i/>
                <w:lang w:val="en-US"/>
              </w:rPr>
              <w:t>f</w:t>
            </w:r>
            <w:r>
              <w:rPr>
                <w:i/>
                <w:iCs/>
                <w:position w:val="-4"/>
                <w:sz w:val="18"/>
                <w:lang w:val="en-US"/>
              </w:rPr>
              <w:t>c</w:t>
            </w:r>
            <w:r>
              <w:rPr>
                <w:lang w:val="en-US"/>
              </w:rPr>
              <w:t xml:space="preserve"> </w:t>
            </w:r>
            <w:r>
              <w:rPr>
                <w:rFonts w:ascii="Symbol" w:hAnsi="Symbol"/>
              </w:rPr>
              <w:t></w:t>
            </w:r>
            <w:r>
              <w:rPr>
                <w:lang w:val="en-US"/>
              </w:rPr>
              <w:t xml:space="preserve"> 3 GHz</w:t>
            </w:r>
          </w:p>
        </w:tc>
        <w:tc>
          <w:tcPr>
            <w:tcW w:w="1406" w:type="dxa"/>
          </w:tcPr>
          <w:p w14:paraId="7EC58DD5"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100 kHz</w:t>
            </w:r>
          </w:p>
        </w:tc>
        <w:tc>
          <w:tcPr>
            <w:tcW w:w="1413" w:type="dxa"/>
          </w:tcPr>
          <w:p w14:paraId="7BDF0E40"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250 kHz</w:t>
            </w:r>
          </w:p>
        </w:tc>
        <w:tc>
          <w:tcPr>
            <w:tcW w:w="1276" w:type="dxa"/>
          </w:tcPr>
          <w:p w14:paraId="3732A06A"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 xml:space="preserve">2,5 </w:t>
            </w:r>
            <w:r>
              <w:rPr>
                <w:i/>
                <w:lang w:val="es-ES"/>
              </w:rPr>
              <w:t>B</w:t>
            </w:r>
            <w:r>
              <w:rPr>
                <w:i/>
                <w:iCs/>
                <w:position w:val="-4"/>
                <w:sz w:val="18"/>
                <w:lang w:val="es-ES"/>
              </w:rPr>
              <w:t>N</w:t>
            </w:r>
          </w:p>
        </w:tc>
        <w:tc>
          <w:tcPr>
            <w:tcW w:w="1536" w:type="dxa"/>
          </w:tcPr>
          <w:p w14:paraId="2C40E364"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50 MHz</w:t>
            </w:r>
          </w:p>
        </w:tc>
        <w:tc>
          <w:tcPr>
            <w:tcW w:w="1843" w:type="dxa"/>
          </w:tcPr>
          <w:p w14:paraId="506047D9" w14:textId="77777777" w:rsidR="003E23C2" w:rsidRDefault="00E420B3">
            <w:pPr>
              <w:pStyle w:val="Tabletext"/>
              <w:framePr w:hSpace="181" w:wrap="notBeside" w:vAnchor="text" w:hAnchor="text" w:xAlign="center" w:y="1"/>
              <w:spacing w:before="100" w:after="100" w:line="240" w:lineRule="exact"/>
              <w:ind w:left="-57" w:right="-57"/>
              <w:jc w:val="center"/>
              <w:rPr>
                <w:lang w:val="en-US"/>
              </w:rPr>
            </w:pPr>
            <w:r>
              <w:rPr>
                <w:lang w:val="en-US"/>
              </w:rPr>
              <w:t xml:space="preserve">1,5 </w:t>
            </w:r>
            <w:r>
              <w:rPr>
                <w:i/>
                <w:lang w:val="es-ES"/>
              </w:rPr>
              <w:t>B</w:t>
            </w:r>
            <w:r>
              <w:rPr>
                <w:i/>
                <w:iCs/>
                <w:position w:val="-4"/>
                <w:sz w:val="18"/>
                <w:lang w:val="es-ES"/>
              </w:rPr>
              <w:t>N</w:t>
            </w:r>
            <w:r>
              <w:rPr>
                <w:lang w:val="en-US"/>
              </w:rPr>
              <w:t xml:space="preserve"> </w:t>
            </w:r>
            <w:r>
              <w:rPr>
                <w:rFonts w:ascii="Symbol" w:hAnsi="Symbol"/>
                <w:lang w:val="en-US"/>
              </w:rPr>
              <w:t></w:t>
            </w:r>
            <w:r>
              <w:rPr>
                <w:lang w:val="en-US"/>
              </w:rPr>
              <w:t xml:space="preserve"> 50 MHz</w:t>
            </w:r>
          </w:p>
        </w:tc>
      </w:tr>
      <w:tr w:rsidR="003E23C2" w14:paraId="02E6D8E7" w14:textId="77777777">
        <w:trPr>
          <w:jc w:val="center"/>
        </w:trPr>
        <w:tc>
          <w:tcPr>
            <w:tcW w:w="2415" w:type="dxa"/>
          </w:tcPr>
          <w:p w14:paraId="5EF78466" w14:textId="77777777" w:rsidR="003E23C2" w:rsidRDefault="00E420B3">
            <w:pPr>
              <w:pStyle w:val="Tabletext"/>
              <w:framePr w:hSpace="181" w:wrap="notBeside" w:vAnchor="text" w:hAnchor="text" w:xAlign="center" w:y="1"/>
              <w:spacing w:before="100" w:after="100" w:line="240" w:lineRule="exact"/>
              <w:jc w:val="left"/>
              <w:rPr>
                <w:lang w:val="en-US"/>
              </w:rPr>
            </w:pPr>
            <w:r>
              <w:rPr>
                <w:lang w:val="en-US"/>
              </w:rPr>
              <w:t xml:space="preserve">3 GHz </w:t>
            </w:r>
            <w:r>
              <w:rPr>
                <w:rFonts w:ascii="Symbol" w:hAnsi="Symbol"/>
              </w:rPr>
              <w:t></w:t>
            </w:r>
            <w:r>
              <w:rPr>
                <w:lang w:val="en-US"/>
              </w:rPr>
              <w:t xml:space="preserve"> </w:t>
            </w:r>
            <w:r>
              <w:rPr>
                <w:i/>
                <w:lang w:val="en-US"/>
              </w:rPr>
              <w:t>f</w:t>
            </w:r>
            <w:r>
              <w:rPr>
                <w:i/>
                <w:iCs/>
                <w:position w:val="-4"/>
                <w:sz w:val="18"/>
                <w:lang w:val="en-US"/>
              </w:rPr>
              <w:t>c</w:t>
            </w:r>
            <w:r>
              <w:rPr>
                <w:lang w:val="en-US"/>
              </w:rPr>
              <w:t xml:space="preserve"> </w:t>
            </w:r>
            <w:r>
              <w:rPr>
                <w:rFonts w:ascii="Symbol" w:hAnsi="Symbol"/>
              </w:rPr>
              <w:t></w:t>
            </w:r>
            <w:r>
              <w:rPr>
                <w:lang w:val="en-US"/>
              </w:rPr>
              <w:t xml:space="preserve"> 10 GHz</w:t>
            </w:r>
          </w:p>
        </w:tc>
        <w:tc>
          <w:tcPr>
            <w:tcW w:w="1406" w:type="dxa"/>
          </w:tcPr>
          <w:p w14:paraId="589F170B"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100 kHz</w:t>
            </w:r>
          </w:p>
        </w:tc>
        <w:tc>
          <w:tcPr>
            <w:tcW w:w="1413" w:type="dxa"/>
          </w:tcPr>
          <w:p w14:paraId="6A43E09A"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250 kHz</w:t>
            </w:r>
          </w:p>
        </w:tc>
        <w:tc>
          <w:tcPr>
            <w:tcW w:w="1276" w:type="dxa"/>
          </w:tcPr>
          <w:p w14:paraId="490C6B75"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 xml:space="preserve">2,5 </w:t>
            </w:r>
            <w:r>
              <w:rPr>
                <w:i/>
                <w:lang w:val="es-ES"/>
              </w:rPr>
              <w:t>B</w:t>
            </w:r>
            <w:r>
              <w:rPr>
                <w:i/>
                <w:iCs/>
                <w:position w:val="-4"/>
                <w:sz w:val="18"/>
                <w:lang w:val="es-ES"/>
              </w:rPr>
              <w:t>N</w:t>
            </w:r>
          </w:p>
        </w:tc>
        <w:tc>
          <w:tcPr>
            <w:tcW w:w="1536" w:type="dxa"/>
          </w:tcPr>
          <w:p w14:paraId="7C83367A"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100 MHz</w:t>
            </w:r>
          </w:p>
        </w:tc>
        <w:tc>
          <w:tcPr>
            <w:tcW w:w="1843" w:type="dxa"/>
          </w:tcPr>
          <w:p w14:paraId="50CDD164" w14:textId="77777777" w:rsidR="003E23C2" w:rsidRDefault="00E420B3">
            <w:pPr>
              <w:pStyle w:val="Tabletext"/>
              <w:framePr w:hSpace="181" w:wrap="notBeside" w:vAnchor="text" w:hAnchor="text" w:xAlign="center" w:y="1"/>
              <w:spacing w:before="100" w:after="100" w:line="240" w:lineRule="exact"/>
              <w:ind w:left="-57" w:right="-57"/>
              <w:jc w:val="center"/>
              <w:rPr>
                <w:lang w:val="en-US"/>
              </w:rPr>
            </w:pPr>
            <w:r>
              <w:rPr>
                <w:lang w:val="en-US"/>
              </w:rPr>
              <w:t xml:space="preserve">1,5 </w:t>
            </w:r>
            <w:r>
              <w:rPr>
                <w:i/>
                <w:lang w:val="es-ES"/>
              </w:rPr>
              <w:t>B</w:t>
            </w:r>
            <w:r>
              <w:rPr>
                <w:i/>
                <w:iCs/>
                <w:position w:val="-4"/>
                <w:sz w:val="18"/>
                <w:lang w:val="es-ES"/>
              </w:rPr>
              <w:t>N</w:t>
            </w:r>
            <w:r>
              <w:rPr>
                <w:lang w:val="en-US"/>
              </w:rPr>
              <w:t xml:space="preserve"> </w:t>
            </w:r>
            <w:r>
              <w:rPr>
                <w:rFonts w:ascii="Symbol" w:hAnsi="Symbol"/>
                <w:lang w:val="en-US"/>
              </w:rPr>
              <w:t></w:t>
            </w:r>
            <w:r>
              <w:rPr>
                <w:lang w:val="en-US"/>
              </w:rPr>
              <w:t xml:space="preserve"> 100 MHz</w:t>
            </w:r>
          </w:p>
        </w:tc>
      </w:tr>
      <w:tr w:rsidR="003E23C2" w14:paraId="403C9EEA" w14:textId="77777777">
        <w:trPr>
          <w:jc w:val="center"/>
        </w:trPr>
        <w:tc>
          <w:tcPr>
            <w:tcW w:w="2415" w:type="dxa"/>
          </w:tcPr>
          <w:p w14:paraId="6D1BB4C9" w14:textId="77777777" w:rsidR="003E23C2" w:rsidRDefault="00E420B3">
            <w:pPr>
              <w:pStyle w:val="Tabletext"/>
              <w:framePr w:hSpace="181" w:wrap="notBeside" w:vAnchor="text" w:hAnchor="text" w:xAlign="center" w:y="1"/>
              <w:spacing w:before="100" w:after="100" w:line="240" w:lineRule="exact"/>
              <w:jc w:val="left"/>
              <w:rPr>
                <w:lang w:val="en-US"/>
              </w:rPr>
            </w:pPr>
            <w:r>
              <w:rPr>
                <w:lang w:val="en-US"/>
              </w:rPr>
              <w:t xml:space="preserve">10 GHz </w:t>
            </w:r>
            <w:r>
              <w:rPr>
                <w:rFonts w:ascii="Symbol" w:hAnsi="Symbol"/>
              </w:rPr>
              <w:t></w:t>
            </w:r>
            <w:r>
              <w:rPr>
                <w:lang w:val="en-US"/>
              </w:rPr>
              <w:t xml:space="preserve"> </w:t>
            </w:r>
            <w:r>
              <w:rPr>
                <w:i/>
                <w:lang w:val="en-US"/>
              </w:rPr>
              <w:t>f</w:t>
            </w:r>
            <w:r>
              <w:rPr>
                <w:i/>
                <w:iCs/>
                <w:position w:val="-4"/>
                <w:sz w:val="18"/>
                <w:lang w:val="en-US"/>
              </w:rPr>
              <w:t>c</w:t>
            </w:r>
            <w:r>
              <w:rPr>
                <w:lang w:val="en-US"/>
              </w:rPr>
              <w:t xml:space="preserve"> </w:t>
            </w:r>
            <w:r>
              <w:rPr>
                <w:rFonts w:ascii="Symbol" w:hAnsi="Symbol"/>
              </w:rPr>
              <w:t></w:t>
            </w:r>
            <w:r>
              <w:rPr>
                <w:lang w:val="en-US"/>
              </w:rPr>
              <w:t xml:space="preserve"> 15 GHz</w:t>
            </w:r>
          </w:p>
        </w:tc>
        <w:tc>
          <w:tcPr>
            <w:tcW w:w="1406" w:type="dxa"/>
          </w:tcPr>
          <w:p w14:paraId="5AF37CEE"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300 kHz</w:t>
            </w:r>
          </w:p>
        </w:tc>
        <w:tc>
          <w:tcPr>
            <w:tcW w:w="1413" w:type="dxa"/>
          </w:tcPr>
          <w:p w14:paraId="4A0C953F"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750 kHz</w:t>
            </w:r>
          </w:p>
        </w:tc>
        <w:tc>
          <w:tcPr>
            <w:tcW w:w="1276" w:type="dxa"/>
          </w:tcPr>
          <w:p w14:paraId="5FC6631B"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 xml:space="preserve">2,5 </w:t>
            </w:r>
            <w:r>
              <w:rPr>
                <w:i/>
                <w:lang w:val="es-ES"/>
              </w:rPr>
              <w:t>B</w:t>
            </w:r>
            <w:r>
              <w:rPr>
                <w:i/>
                <w:iCs/>
                <w:position w:val="-4"/>
                <w:sz w:val="18"/>
                <w:lang w:val="es-ES"/>
              </w:rPr>
              <w:t>N</w:t>
            </w:r>
          </w:p>
        </w:tc>
        <w:tc>
          <w:tcPr>
            <w:tcW w:w="1536" w:type="dxa"/>
          </w:tcPr>
          <w:p w14:paraId="58D4FF1D"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250 MHz</w:t>
            </w:r>
          </w:p>
        </w:tc>
        <w:tc>
          <w:tcPr>
            <w:tcW w:w="1843" w:type="dxa"/>
          </w:tcPr>
          <w:p w14:paraId="7E4BE27C" w14:textId="77777777" w:rsidR="003E23C2" w:rsidRDefault="00E420B3">
            <w:pPr>
              <w:pStyle w:val="Tabletext"/>
              <w:framePr w:hSpace="181" w:wrap="notBeside" w:vAnchor="text" w:hAnchor="text" w:xAlign="center" w:y="1"/>
              <w:spacing w:before="100" w:after="100" w:line="240" w:lineRule="exact"/>
              <w:ind w:left="-57" w:right="-57"/>
              <w:jc w:val="center"/>
              <w:rPr>
                <w:lang w:val="en-US"/>
              </w:rPr>
            </w:pPr>
            <w:r>
              <w:rPr>
                <w:lang w:val="en-US"/>
              </w:rPr>
              <w:t xml:space="preserve">1,5 </w:t>
            </w:r>
            <w:r>
              <w:rPr>
                <w:i/>
                <w:lang w:val="es-ES"/>
              </w:rPr>
              <w:t>B</w:t>
            </w:r>
            <w:r>
              <w:rPr>
                <w:i/>
                <w:iCs/>
                <w:position w:val="-4"/>
                <w:sz w:val="18"/>
                <w:lang w:val="es-ES"/>
              </w:rPr>
              <w:t>N</w:t>
            </w:r>
            <w:r>
              <w:rPr>
                <w:lang w:val="en-US"/>
              </w:rPr>
              <w:t xml:space="preserve"> </w:t>
            </w:r>
            <w:r>
              <w:rPr>
                <w:rFonts w:ascii="Symbol" w:hAnsi="Symbol"/>
                <w:lang w:val="en-US"/>
              </w:rPr>
              <w:t></w:t>
            </w:r>
            <w:r>
              <w:rPr>
                <w:lang w:val="en-US"/>
              </w:rPr>
              <w:t xml:space="preserve"> 250 MHz</w:t>
            </w:r>
          </w:p>
        </w:tc>
      </w:tr>
      <w:tr w:rsidR="003E23C2" w14:paraId="48BACC93" w14:textId="77777777">
        <w:trPr>
          <w:jc w:val="center"/>
        </w:trPr>
        <w:tc>
          <w:tcPr>
            <w:tcW w:w="2415" w:type="dxa"/>
          </w:tcPr>
          <w:p w14:paraId="70A95830" w14:textId="77777777" w:rsidR="003E23C2" w:rsidRDefault="00E420B3">
            <w:pPr>
              <w:pStyle w:val="Tabletext"/>
              <w:framePr w:hSpace="181" w:wrap="notBeside" w:vAnchor="text" w:hAnchor="text" w:xAlign="center" w:y="1"/>
              <w:spacing w:before="100" w:after="100" w:line="240" w:lineRule="exact"/>
              <w:jc w:val="left"/>
              <w:rPr>
                <w:lang w:val="en-US"/>
              </w:rPr>
            </w:pPr>
            <w:r>
              <w:rPr>
                <w:lang w:val="en-US"/>
              </w:rPr>
              <w:t xml:space="preserve">15 GHz </w:t>
            </w:r>
            <w:r>
              <w:rPr>
                <w:rFonts w:ascii="Symbol" w:hAnsi="Symbol"/>
                <w:lang w:val="en-US"/>
              </w:rPr>
              <w:t></w:t>
            </w:r>
            <w:r>
              <w:rPr>
                <w:lang w:val="en-US"/>
              </w:rPr>
              <w:t xml:space="preserve"> </w:t>
            </w:r>
            <w:r>
              <w:rPr>
                <w:i/>
                <w:lang w:val="en-US"/>
              </w:rPr>
              <w:t>f</w:t>
            </w:r>
            <w:r>
              <w:rPr>
                <w:i/>
                <w:iCs/>
                <w:position w:val="-4"/>
                <w:sz w:val="18"/>
                <w:lang w:val="en-US"/>
              </w:rPr>
              <w:t>c</w:t>
            </w:r>
            <w:r>
              <w:rPr>
                <w:lang w:val="en-US"/>
              </w:rPr>
              <w:t xml:space="preserve"> </w:t>
            </w:r>
            <w:r>
              <w:rPr>
                <w:rFonts w:ascii="Symbol" w:hAnsi="Symbol"/>
                <w:lang w:val="en-US"/>
              </w:rPr>
              <w:t></w:t>
            </w:r>
            <w:r>
              <w:rPr>
                <w:lang w:val="en-US"/>
              </w:rPr>
              <w:t xml:space="preserve"> 26 GHz</w:t>
            </w:r>
          </w:p>
        </w:tc>
        <w:tc>
          <w:tcPr>
            <w:tcW w:w="1406" w:type="dxa"/>
          </w:tcPr>
          <w:p w14:paraId="2BA919D5"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500 kHz</w:t>
            </w:r>
          </w:p>
        </w:tc>
        <w:tc>
          <w:tcPr>
            <w:tcW w:w="1413" w:type="dxa"/>
          </w:tcPr>
          <w:p w14:paraId="1150C58A"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1,25 MHz</w:t>
            </w:r>
          </w:p>
        </w:tc>
        <w:tc>
          <w:tcPr>
            <w:tcW w:w="1276" w:type="dxa"/>
          </w:tcPr>
          <w:p w14:paraId="62B70BB5"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 xml:space="preserve">2,5 </w:t>
            </w:r>
            <w:r>
              <w:rPr>
                <w:i/>
                <w:lang w:val="es-ES"/>
              </w:rPr>
              <w:t>B</w:t>
            </w:r>
            <w:r>
              <w:rPr>
                <w:i/>
                <w:iCs/>
                <w:position w:val="-4"/>
                <w:sz w:val="18"/>
                <w:lang w:val="es-ES"/>
              </w:rPr>
              <w:t>N</w:t>
            </w:r>
          </w:p>
        </w:tc>
        <w:tc>
          <w:tcPr>
            <w:tcW w:w="1536" w:type="dxa"/>
          </w:tcPr>
          <w:p w14:paraId="23491106"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500 MHz</w:t>
            </w:r>
          </w:p>
        </w:tc>
        <w:tc>
          <w:tcPr>
            <w:tcW w:w="1843" w:type="dxa"/>
          </w:tcPr>
          <w:p w14:paraId="451EC6BB" w14:textId="77777777" w:rsidR="003E23C2" w:rsidRDefault="00E420B3">
            <w:pPr>
              <w:pStyle w:val="Tabletext"/>
              <w:framePr w:hSpace="181" w:wrap="notBeside" w:vAnchor="text" w:hAnchor="text" w:xAlign="center" w:y="1"/>
              <w:spacing w:before="100" w:after="100" w:line="240" w:lineRule="exact"/>
              <w:ind w:left="-57" w:right="-57"/>
              <w:jc w:val="center"/>
              <w:rPr>
                <w:lang w:val="en-US"/>
              </w:rPr>
            </w:pPr>
            <w:r>
              <w:rPr>
                <w:lang w:val="en-US"/>
              </w:rPr>
              <w:t xml:space="preserve">1,5 </w:t>
            </w:r>
            <w:r>
              <w:rPr>
                <w:i/>
                <w:lang w:val="es-ES"/>
              </w:rPr>
              <w:t>B</w:t>
            </w:r>
            <w:r>
              <w:rPr>
                <w:i/>
                <w:iCs/>
                <w:position w:val="-4"/>
                <w:sz w:val="18"/>
                <w:lang w:val="es-ES"/>
              </w:rPr>
              <w:t>N</w:t>
            </w:r>
            <w:r>
              <w:rPr>
                <w:lang w:val="en-US"/>
              </w:rPr>
              <w:t xml:space="preserve"> </w:t>
            </w:r>
            <w:r>
              <w:rPr>
                <w:rFonts w:ascii="Symbol" w:hAnsi="Symbol"/>
                <w:lang w:val="en-US"/>
              </w:rPr>
              <w:t></w:t>
            </w:r>
            <w:r>
              <w:rPr>
                <w:lang w:val="en-US"/>
              </w:rPr>
              <w:t xml:space="preserve"> 500 MHz</w:t>
            </w:r>
          </w:p>
        </w:tc>
      </w:tr>
      <w:tr w:rsidR="003E23C2" w14:paraId="5ECE19B1" w14:textId="77777777">
        <w:trPr>
          <w:jc w:val="center"/>
        </w:trPr>
        <w:tc>
          <w:tcPr>
            <w:tcW w:w="2415" w:type="dxa"/>
          </w:tcPr>
          <w:p w14:paraId="4146F8AC" w14:textId="77777777" w:rsidR="003E23C2" w:rsidRDefault="00E420B3">
            <w:pPr>
              <w:pStyle w:val="Tabletext"/>
              <w:framePr w:hSpace="181" w:wrap="notBeside" w:vAnchor="text" w:hAnchor="text" w:xAlign="center" w:y="1"/>
              <w:spacing w:before="100" w:after="100" w:line="240" w:lineRule="exact"/>
              <w:jc w:val="left"/>
              <w:rPr>
                <w:lang w:val="en-US"/>
              </w:rPr>
            </w:pPr>
            <w:r>
              <w:rPr>
                <w:i/>
                <w:lang w:val="en-US"/>
              </w:rPr>
              <w:t>f</w:t>
            </w:r>
            <w:r>
              <w:rPr>
                <w:i/>
                <w:iCs/>
                <w:position w:val="-4"/>
                <w:sz w:val="18"/>
                <w:lang w:val="en-US"/>
              </w:rPr>
              <w:t>c</w:t>
            </w:r>
            <w:r>
              <w:rPr>
                <w:lang w:val="en-US"/>
              </w:rPr>
              <w:t xml:space="preserve"> </w:t>
            </w:r>
            <w:r>
              <w:rPr>
                <w:rFonts w:ascii="Symbol" w:hAnsi="Symbol"/>
              </w:rPr>
              <w:t></w:t>
            </w:r>
            <w:r>
              <w:rPr>
                <w:lang w:val="en-US"/>
              </w:rPr>
              <w:t xml:space="preserve"> 26 GHz</w:t>
            </w:r>
          </w:p>
        </w:tc>
        <w:tc>
          <w:tcPr>
            <w:tcW w:w="1406" w:type="dxa"/>
          </w:tcPr>
          <w:p w14:paraId="5ABEAD15"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1 MHz</w:t>
            </w:r>
          </w:p>
        </w:tc>
        <w:tc>
          <w:tcPr>
            <w:tcW w:w="1413" w:type="dxa"/>
          </w:tcPr>
          <w:p w14:paraId="6002ED39"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2,5 MHz</w:t>
            </w:r>
          </w:p>
        </w:tc>
        <w:tc>
          <w:tcPr>
            <w:tcW w:w="1276" w:type="dxa"/>
          </w:tcPr>
          <w:p w14:paraId="6B538171"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 xml:space="preserve">2,5 </w:t>
            </w:r>
            <w:r>
              <w:rPr>
                <w:i/>
                <w:lang w:val="es-ES"/>
              </w:rPr>
              <w:t>B</w:t>
            </w:r>
            <w:r>
              <w:rPr>
                <w:i/>
                <w:iCs/>
                <w:position w:val="-4"/>
                <w:sz w:val="18"/>
                <w:lang w:val="es-ES"/>
              </w:rPr>
              <w:t>N</w:t>
            </w:r>
          </w:p>
        </w:tc>
        <w:tc>
          <w:tcPr>
            <w:tcW w:w="1536" w:type="dxa"/>
          </w:tcPr>
          <w:p w14:paraId="7D99AECE" w14:textId="77777777" w:rsidR="003E23C2" w:rsidRDefault="00E420B3">
            <w:pPr>
              <w:pStyle w:val="Tabletext"/>
              <w:framePr w:hSpace="181" w:wrap="notBeside" w:vAnchor="text" w:hAnchor="text" w:xAlign="center" w:y="1"/>
              <w:spacing w:before="100" w:after="100" w:line="240" w:lineRule="exact"/>
              <w:jc w:val="center"/>
              <w:rPr>
                <w:lang w:val="en-US"/>
              </w:rPr>
            </w:pPr>
            <w:r>
              <w:rPr>
                <w:lang w:val="en-US"/>
              </w:rPr>
              <w:t>500 MHz</w:t>
            </w:r>
          </w:p>
        </w:tc>
        <w:tc>
          <w:tcPr>
            <w:tcW w:w="1843" w:type="dxa"/>
          </w:tcPr>
          <w:p w14:paraId="0BD3FE43" w14:textId="77777777" w:rsidR="003E23C2" w:rsidRDefault="00E420B3">
            <w:pPr>
              <w:pStyle w:val="Tabletext"/>
              <w:framePr w:hSpace="181" w:wrap="notBeside" w:vAnchor="text" w:hAnchor="text" w:xAlign="center" w:y="1"/>
              <w:spacing w:before="100" w:after="100" w:line="240" w:lineRule="exact"/>
              <w:ind w:left="-57" w:right="-57"/>
              <w:jc w:val="center"/>
              <w:rPr>
                <w:lang w:val="es-ES"/>
              </w:rPr>
            </w:pPr>
            <w:r>
              <w:rPr>
                <w:lang w:val="es-ES"/>
              </w:rPr>
              <w:t xml:space="preserve">1,5 </w:t>
            </w:r>
            <w:r>
              <w:rPr>
                <w:i/>
                <w:lang w:val="es-ES"/>
              </w:rPr>
              <w:t>B</w:t>
            </w:r>
            <w:r>
              <w:rPr>
                <w:i/>
                <w:iCs/>
                <w:position w:val="-4"/>
                <w:sz w:val="18"/>
                <w:lang w:val="es-ES"/>
              </w:rPr>
              <w:t>N</w:t>
            </w:r>
            <w:r>
              <w:rPr>
                <w:lang w:val="es-ES"/>
              </w:rPr>
              <w:t xml:space="preserve"> </w:t>
            </w:r>
            <w:r>
              <w:rPr>
                <w:rFonts w:ascii="Symbol" w:hAnsi="Symbol"/>
                <w:lang w:val="fr-CH"/>
              </w:rPr>
              <w:t></w:t>
            </w:r>
            <w:r>
              <w:rPr>
                <w:lang w:val="es-ES"/>
              </w:rPr>
              <w:t xml:space="preserve"> 500 MHz</w:t>
            </w:r>
          </w:p>
        </w:tc>
      </w:tr>
    </w:tbl>
    <w:p w14:paraId="23BC94D6" w14:textId="77777777" w:rsidR="004A7DCA" w:rsidRDefault="004A7DCA">
      <w:pPr>
        <w:pStyle w:val="Tablelegend"/>
        <w:spacing w:line="260" w:lineRule="exact"/>
        <w:ind w:left="-85" w:firstLine="0"/>
        <w:rPr>
          <w:lang w:val="es-ES"/>
        </w:rPr>
      </w:pPr>
      <w:r>
        <w:rPr>
          <w:lang w:val="es-ES"/>
        </w:rPr>
        <w:t xml:space="preserve">NOTA 1 – En el Cuadro 2, </w:t>
      </w:r>
      <w:r>
        <w:rPr>
          <w:i/>
          <w:iCs/>
          <w:lang w:val="es-ES"/>
        </w:rPr>
        <w:t>f</w:t>
      </w:r>
      <w:r>
        <w:rPr>
          <w:i/>
          <w:iCs/>
          <w:position w:val="-4"/>
          <w:sz w:val="18"/>
          <w:lang w:val="es-ES"/>
        </w:rPr>
        <w:t>c</w:t>
      </w:r>
      <w:r>
        <w:rPr>
          <w:lang w:val="es-ES"/>
        </w:rPr>
        <w:t xml:space="preserve"> es la frecuencia central de la emisión. Si la banda de frecuencias asignadas de las emisiones se extiende más allá de dos gamas de frecuencias, pueden utilizarse los valores correspon</w:t>
      </w:r>
      <w:r>
        <w:rPr>
          <w:lang w:val="es-ES"/>
        </w:rPr>
        <w:softHyphen/>
        <w:t>dientes a la gama de frecuencias superior para toda la asignación.</w:t>
      </w:r>
    </w:p>
    <w:p w14:paraId="14A6A10C" w14:textId="77777777" w:rsidR="004A7DCA" w:rsidRDefault="004A7DCA">
      <w:pPr>
        <w:pStyle w:val="Tablelegend"/>
        <w:ind w:left="-85" w:firstLine="0"/>
        <w:rPr>
          <w:lang w:val="es-ES"/>
        </w:rPr>
      </w:pPr>
      <w:r>
        <w:rPr>
          <w:lang w:val="es-ES"/>
        </w:rPr>
        <w:t>NOTA 2 – En el § 3 se dan directrices adicionales para las situaciones en las que no son aplicables los valores orientativos anteriores.</w:t>
      </w:r>
    </w:p>
    <w:p w14:paraId="577D11E4" w14:textId="77777777" w:rsidR="004A7DCA" w:rsidRDefault="004A7DCA">
      <w:pPr>
        <w:pStyle w:val="Tablelegend"/>
        <w:ind w:left="-85" w:firstLine="0"/>
        <w:rPr>
          <w:lang w:val="es-ES"/>
        </w:rPr>
      </w:pPr>
      <w:r>
        <w:rPr>
          <w:lang w:val="es-ES"/>
        </w:rPr>
        <w:t>NOTA 3 – Es necesario que el UIT-R efectúe nuevos estudios para confirmar los valores de separación de frecuencias del Cuadro 2.</w:t>
      </w:r>
    </w:p>
    <w:p w14:paraId="74242B12" w14:textId="77777777" w:rsidR="003E23C2" w:rsidRDefault="003E23C2">
      <w:pPr>
        <w:pStyle w:val="Tablefin"/>
        <w:rPr>
          <w:lang w:val="es-ES"/>
        </w:rPr>
      </w:pPr>
    </w:p>
    <w:p w14:paraId="2A954A2D" w14:textId="77777777" w:rsidR="003E23C2" w:rsidRDefault="00E420B3">
      <w:pPr>
        <w:rPr>
          <w:lang w:val="es-ES"/>
        </w:rPr>
      </w:pPr>
      <w:r>
        <w:rPr>
          <w:i/>
          <w:lang w:val="es-ES"/>
        </w:rPr>
        <w:t>Ejemplo 1</w:t>
      </w:r>
      <w:r>
        <w:rPr>
          <w:lang w:val="es-ES"/>
        </w:rPr>
        <w:t xml:space="preserve">: La anchura de banda necesaria de una emisión en 26 MHz es de 1,8 kHz. Puesto que el valor de 2,5 </w:t>
      </w:r>
      <w:r>
        <w:rPr>
          <w:i/>
          <w:iCs/>
          <w:lang w:val="es-ES"/>
        </w:rPr>
        <w:t>B</w:t>
      </w:r>
      <w:r>
        <w:rPr>
          <w:i/>
          <w:iCs/>
          <w:position w:val="-4"/>
          <w:sz w:val="20"/>
          <w:lang w:val="es-ES"/>
        </w:rPr>
        <w:t>N</w:t>
      </w:r>
      <w:r>
        <w:rPr>
          <w:lang w:val="es-ES"/>
        </w:rPr>
        <w:t xml:space="preserve"> es solamente 4,5 kHz, se aplica la separación mínima. El dominio no esencial empieza en 10 kHz a cada lado del centro de la anchura de banda necesaria.</w:t>
      </w:r>
    </w:p>
    <w:p w14:paraId="3C4B64E8" w14:textId="77777777" w:rsidR="003E23C2" w:rsidRDefault="00E420B3">
      <w:pPr>
        <w:rPr>
          <w:lang w:val="es-ES"/>
        </w:rPr>
      </w:pPr>
      <w:r>
        <w:rPr>
          <w:i/>
          <w:lang w:val="es-ES"/>
        </w:rPr>
        <w:t>Ejemplo 2</w:t>
      </w:r>
      <w:r>
        <w:rPr>
          <w:lang w:val="es-ES"/>
        </w:rPr>
        <w:t xml:space="preserve">: La anchura de banda necesaria de una emisión en 8 GHz es 200 MHz. Puesto que esta anchura de banda se aplica para </w:t>
      </w:r>
      <w:r>
        <w:rPr>
          <w:i/>
          <w:iCs/>
          <w:lang w:val="es-ES"/>
        </w:rPr>
        <w:t>B</w:t>
      </w:r>
      <w:r>
        <w:rPr>
          <w:i/>
          <w:iCs/>
          <w:position w:val="-4"/>
          <w:sz w:val="20"/>
          <w:lang w:val="es-ES"/>
        </w:rPr>
        <w:t>N</w:t>
      </w:r>
      <w:r>
        <w:rPr>
          <w:lang w:val="es-ES"/>
        </w:rPr>
        <w:t xml:space="preserve"> </w:t>
      </w:r>
      <w:r>
        <w:rPr>
          <w:rFonts w:ascii="Symbol" w:hAnsi="Symbol"/>
        </w:rPr>
        <w:t></w:t>
      </w:r>
      <w:r>
        <w:rPr>
          <w:lang w:val="es-ES"/>
        </w:rPr>
        <w:t xml:space="preserve"> 100 MHz, en esa frecuencia el dominio no esencial comienza en 400 MHz a cada lado de la frecuencia del centro de la anchura de banda necesaria. Al usar la fórmula general de la separación, el dominio fuera de banda se extendería a 2,5 </w:t>
      </w:r>
      <w:r>
        <w:rPr>
          <w:rFonts w:ascii="Symbol" w:hAnsi="Symbol"/>
        </w:rPr>
        <w:t></w:t>
      </w:r>
      <w:r>
        <w:rPr>
          <w:lang w:val="es-ES"/>
        </w:rPr>
        <w:t> 200 MHz </w:t>
      </w:r>
      <w:r>
        <w:rPr>
          <w:rFonts w:ascii="Symbol" w:hAnsi="Symbol"/>
        </w:rPr>
        <w:t></w:t>
      </w:r>
      <w:r>
        <w:rPr>
          <w:lang w:val="es-ES"/>
        </w:rPr>
        <w:t> 500 MHz a ambos lados de la frecuencia central.</w:t>
      </w:r>
    </w:p>
    <w:p w14:paraId="336AF9D7" w14:textId="77777777" w:rsidR="003E23C2" w:rsidRDefault="00E420B3">
      <w:pPr>
        <w:pStyle w:val="Heading1"/>
        <w:rPr>
          <w:lang w:val="es-ES"/>
        </w:rPr>
      </w:pPr>
      <w:r>
        <w:rPr>
          <w:lang w:val="es-ES"/>
        </w:rPr>
        <w:br w:type="page"/>
      </w:r>
      <w:r>
        <w:rPr>
          <w:lang w:val="es-ES"/>
        </w:rPr>
        <w:lastRenderedPageBreak/>
        <w:t>3</w:t>
      </w:r>
      <w:r>
        <w:rPr>
          <w:lang w:val="es-ES"/>
        </w:rPr>
        <w:tab/>
        <w:t>Situaciones en las que se requieren directrices adicionales</w:t>
      </w:r>
    </w:p>
    <w:p w14:paraId="29FF739D" w14:textId="77777777" w:rsidR="003E23C2" w:rsidRDefault="00E420B3">
      <w:pPr>
        <w:rPr>
          <w:lang w:val="es-ES"/>
        </w:rPr>
      </w:pPr>
      <w:r>
        <w:rPr>
          <w:lang w:val="es-ES"/>
        </w:rPr>
        <w:t>Las directrices anteriores convienen para una aplicación general, pero en los puntos siguientes se indican casos específicos que requieren nuevas directrices.</w:t>
      </w:r>
    </w:p>
    <w:p w14:paraId="480324F4" w14:textId="77777777" w:rsidR="003E23C2" w:rsidRDefault="00E420B3">
      <w:pPr>
        <w:pStyle w:val="Heading2"/>
        <w:rPr>
          <w:lang w:val="es-ES"/>
        </w:rPr>
      </w:pPr>
      <w:r>
        <w:rPr>
          <w:lang w:val="es-ES"/>
        </w:rPr>
        <w:t>3.1</w:t>
      </w:r>
      <w:r>
        <w:rPr>
          <w:lang w:val="es-ES"/>
        </w:rPr>
        <w:tab/>
        <w:t>Situaciones en las que el límite no está definido en términos de la anchura de banda necesaria</w:t>
      </w:r>
    </w:p>
    <w:p w14:paraId="3BAD7317" w14:textId="77777777" w:rsidR="003E23C2" w:rsidRDefault="00E420B3">
      <w:pPr>
        <w:rPr>
          <w:lang w:val="es-ES"/>
        </w:rPr>
      </w:pPr>
      <w:r>
        <w:rPr>
          <w:lang w:val="es-ES"/>
        </w:rPr>
        <w:t>Algunos sistemas especifican las emisiones fuera de banda en relación con la anchura de banda del canal o la separación de canales. Estos parámetros pueden utilizarse como sustituto de la anchura de banda necesaria dada en el § 2, siempre y cuando se encuentren en las Recomendaciones UIT</w:t>
      </w:r>
      <w:r>
        <w:rPr>
          <w:lang w:val="es-ES"/>
        </w:rPr>
        <w:noBreakHyphen/>
        <w:t>R.</w:t>
      </w:r>
    </w:p>
    <w:p w14:paraId="08251A04" w14:textId="77777777" w:rsidR="003E23C2" w:rsidRDefault="00E420B3">
      <w:pPr>
        <w:pStyle w:val="Heading2"/>
        <w:rPr>
          <w:lang w:val="es-ES"/>
        </w:rPr>
      </w:pPr>
      <w:r>
        <w:rPr>
          <w:lang w:val="es-ES"/>
        </w:rPr>
        <w:t>3.2</w:t>
      </w:r>
      <w:r>
        <w:rPr>
          <w:lang w:val="es-ES"/>
        </w:rPr>
        <w:tab/>
        <w:t>Tipos de servicio y bandas particulares</w:t>
      </w:r>
    </w:p>
    <w:p w14:paraId="1263CB12" w14:textId="77777777" w:rsidR="003E23C2" w:rsidRDefault="00E420B3">
      <w:pPr>
        <w:rPr>
          <w:lang w:val="es-ES"/>
        </w:rPr>
      </w:pPr>
      <w:r>
        <w:rPr>
          <w:lang w:val="es-ES"/>
        </w:rPr>
        <w:t>Los valores de separación de frecuencia del Cuadro 2 se eligen para abarcar la mayoría de las situaciones, aunque no todas ellas. En vez de fijar los valores para el caso más desfavorable de cada gama, es más realista utilizar un valor más estricto y enumerar por separado los casos que requieran valores diferentes. Los Cuadros 3 y 4 muestran los casos de este tipo que han sido identificados.</w:t>
      </w:r>
    </w:p>
    <w:p w14:paraId="19722D2F" w14:textId="77777777" w:rsidR="003E23C2" w:rsidRDefault="00E420B3">
      <w:pPr>
        <w:pStyle w:val="TableNo"/>
        <w:rPr>
          <w:lang w:val="es-ES"/>
        </w:rPr>
      </w:pPr>
      <w:r>
        <w:rPr>
          <w:lang w:val="es-ES"/>
        </w:rPr>
        <w:t>CUADRO  3</w:t>
      </w:r>
    </w:p>
    <w:p w14:paraId="4C3C2E07" w14:textId="77777777" w:rsidR="003E23C2" w:rsidRDefault="00E420B3">
      <w:pPr>
        <w:pStyle w:val="Tabletitle"/>
        <w:rPr>
          <w:lang w:val="es-ES"/>
        </w:rPr>
      </w:pPr>
      <w:r>
        <w:rPr>
          <w:lang w:val="es-ES"/>
        </w:rPr>
        <w:t xml:space="preserve">Variaciones de banda estrecha para sistemas o servicios </w:t>
      </w:r>
      <w:r>
        <w:rPr>
          <w:lang w:val="es-ES"/>
        </w:rPr>
        <w:br/>
        <w:t>y bandas de frecuencias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375"/>
        <w:gridCol w:w="1602"/>
        <w:gridCol w:w="1847"/>
        <w:gridCol w:w="2268"/>
      </w:tblGrid>
      <w:tr w:rsidR="003E23C2" w:rsidRPr="008E7B82" w14:paraId="3F79A683" w14:textId="77777777">
        <w:trPr>
          <w:cantSplit/>
          <w:jc w:val="center"/>
        </w:trPr>
        <w:tc>
          <w:tcPr>
            <w:tcW w:w="2093" w:type="dxa"/>
            <w:vMerge w:val="restart"/>
            <w:vAlign w:val="center"/>
          </w:tcPr>
          <w:p w14:paraId="3BBEA719" w14:textId="77777777" w:rsidR="003E23C2" w:rsidRDefault="00E420B3">
            <w:pPr>
              <w:pStyle w:val="Tablehead"/>
              <w:framePr w:hSpace="181" w:wrap="notBeside" w:vAnchor="text" w:hAnchor="text" w:xAlign="center" w:y="1"/>
              <w:spacing w:before="100" w:after="100"/>
              <w:rPr>
                <w:lang w:val="es-ES"/>
              </w:rPr>
            </w:pPr>
            <w:r>
              <w:rPr>
                <w:lang w:val="es-ES"/>
              </w:rPr>
              <w:t>Servicio</w:t>
            </w:r>
          </w:p>
        </w:tc>
        <w:tc>
          <w:tcPr>
            <w:tcW w:w="2977" w:type="dxa"/>
            <w:gridSpan w:val="2"/>
            <w:vMerge w:val="restart"/>
            <w:vAlign w:val="center"/>
          </w:tcPr>
          <w:p w14:paraId="1C1D3AC8" w14:textId="77777777" w:rsidR="003E23C2" w:rsidRDefault="00E420B3">
            <w:pPr>
              <w:pStyle w:val="Tablehead"/>
              <w:framePr w:hSpace="181" w:wrap="notBeside" w:vAnchor="text" w:hAnchor="text" w:xAlign="center" w:y="1"/>
              <w:spacing w:before="100" w:after="100"/>
              <w:rPr>
                <w:lang w:val="es-ES"/>
              </w:rPr>
            </w:pPr>
            <w:r>
              <w:rPr>
                <w:lang w:val="es-ES"/>
              </w:rPr>
              <w:t>Gama de frecuencias</w:t>
            </w:r>
          </w:p>
        </w:tc>
        <w:tc>
          <w:tcPr>
            <w:tcW w:w="4115" w:type="dxa"/>
            <w:gridSpan w:val="2"/>
            <w:vAlign w:val="center"/>
          </w:tcPr>
          <w:p w14:paraId="2864D630" w14:textId="77777777" w:rsidR="003E23C2" w:rsidRDefault="00E420B3">
            <w:pPr>
              <w:pStyle w:val="Tablehead"/>
              <w:framePr w:hSpace="181" w:wrap="notBeside" w:vAnchor="text" w:hAnchor="text" w:xAlign="center" w:y="1"/>
              <w:spacing w:before="100" w:after="100"/>
              <w:rPr>
                <w:i/>
                <w:iCs/>
                <w:lang w:val="es-ES"/>
              </w:rPr>
            </w:pPr>
            <w:r>
              <w:rPr>
                <w:lang w:val="es-ES"/>
              </w:rPr>
              <w:t xml:space="preserve">Caso de banda estrecha </w:t>
            </w:r>
            <w:r>
              <w:rPr>
                <w:i/>
                <w:iCs/>
                <w:lang w:val="es-ES"/>
              </w:rPr>
              <w:t>(B</w:t>
            </w:r>
            <w:r>
              <w:rPr>
                <w:i/>
                <w:iCs/>
                <w:position w:val="-4"/>
                <w:sz w:val="18"/>
                <w:lang w:val="es-ES"/>
              </w:rPr>
              <w:t>N</w:t>
            </w:r>
            <w:r>
              <w:rPr>
                <w:i/>
                <w:iCs/>
                <w:lang w:val="es-ES"/>
              </w:rPr>
              <w:t> </w:t>
            </w:r>
            <w:r>
              <w:rPr>
                <w:rFonts w:ascii="Symbol" w:hAnsi="Symbol"/>
              </w:rPr>
              <w:t></w:t>
            </w:r>
            <w:r>
              <w:rPr>
                <w:i/>
                <w:iCs/>
                <w:lang w:val="es-ES"/>
              </w:rPr>
              <w:t> B</w:t>
            </w:r>
            <w:r>
              <w:rPr>
                <w:i/>
                <w:iCs/>
                <w:position w:val="-4"/>
                <w:sz w:val="18"/>
                <w:lang w:val="es-ES"/>
              </w:rPr>
              <w:t>L</w:t>
            </w:r>
            <w:r>
              <w:rPr>
                <w:i/>
                <w:iCs/>
                <w:lang w:val="es-ES"/>
              </w:rPr>
              <w:t>)</w:t>
            </w:r>
          </w:p>
        </w:tc>
      </w:tr>
      <w:tr w:rsidR="003E23C2" w14:paraId="2CD42B39" w14:textId="77777777">
        <w:trPr>
          <w:cantSplit/>
          <w:jc w:val="center"/>
        </w:trPr>
        <w:tc>
          <w:tcPr>
            <w:tcW w:w="2093" w:type="dxa"/>
            <w:vMerge/>
            <w:tcBorders>
              <w:bottom w:val="single" w:sz="4" w:space="0" w:color="auto"/>
            </w:tcBorders>
            <w:vAlign w:val="center"/>
          </w:tcPr>
          <w:p w14:paraId="38F5B679" w14:textId="77777777" w:rsidR="003E23C2" w:rsidRDefault="003E23C2">
            <w:pPr>
              <w:pStyle w:val="TableHead0"/>
              <w:framePr w:hSpace="181" w:wrap="notBeside" w:vAnchor="text" w:hAnchor="text" w:xAlign="center" w:y="1"/>
              <w:spacing w:before="100" w:after="100"/>
            </w:pPr>
          </w:p>
        </w:tc>
        <w:tc>
          <w:tcPr>
            <w:tcW w:w="2977" w:type="dxa"/>
            <w:gridSpan w:val="2"/>
            <w:vMerge/>
            <w:vAlign w:val="center"/>
          </w:tcPr>
          <w:p w14:paraId="4566135A" w14:textId="77777777" w:rsidR="003E23C2" w:rsidRDefault="003E23C2">
            <w:pPr>
              <w:pStyle w:val="Tablehead"/>
              <w:framePr w:hSpace="181" w:wrap="notBeside" w:vAnchor="text" w:hAnchor="text" w:xAlign="center" w:y="1"/>
              <w:spacing w:before="100" w:after="100"/>
              <w:rPr>
                <w:lang w:val="es-ES"/>
              </w:rPr>
            </w:pPr>
          </w:p>
        </w:tc>
        <w:tc>
          <w:tcPr>
            <w:tcW w:w="1847" w:type="dxa"/>
            <w:vAlign w:val="center"/>
          </w:tcPr>
          <w:p w14:paraId="780143E6" w14:textId="77777777" w:rsidR="003E23C2" w:rsidRDefault="00E420B3">
            <w:pPr>
              <w:pStyle w:val="Tablehead"/>
              <w:framePr w:hSpace="181" w:wrap="notBeside" w:vAnchor="text" w:hAnchor="text" w:xAlign="center" w:y="1"/>
              <w:spacing w:before="100" w:after="100"/>
              <w:rPr>
                <w:i/>
                <w:iCs/>
                <w:lang w:val="es-ES"/>
              </w:rPr>
            </w:pPr>
            <w:r>
              <w:rPr>
                <w:rFonts w:ascii="Symbol" w:hAnsi="Symbol"/>
              </w:rPr>
              <w:t></w:t>
            </w:r>
            <w:r>
              <w:rPr>
                <w:rFonts w:ascii="Symbol" w:hAnsi="Symbol"/>
                <w:i/>
                <w:iCs/>
              </w:rPr>
              <w:t></w:t>
            </w:r>
            <w:r>
              <w:rPr>
                <w:i/>
                <w:iCs/>
                <w:position w:val="-4"/>
                <w:sz w:val="18"/>
                <w:lang w:val="es-ES"/>
              </w:rPr>
              <w:t>L</w:t>
            </w:r>
            <w:r>
              <w:rPr>
                <w:lang w:val="es-ES"/>
              </w:rPr>
              <w:br/>
              <w:t>(kHz)</w:t>
            </w:r>
          </w:p>
        </w:tc>
        <w:tc>
          <w:tcPr>
            <w:tcW w:w="2268" w:type="dxa"/>
            <w:vAlign w:val="center"/>
          </w:tcPr>
          <w:p w14:paraId="6396D772" w14:textId="77777777" w:rsidR="003E23C2" w:rsidRDefault="00E420B3">
            <w:pPr>
              <w:pStyle w:val="Tablehead"/>
              <w:framePr w:hSpace="181" w:wrap="notBeside" w:vAnchor="text" w:hAnchor="text" w:xAlign="center" w:y="1"/>
              <w:spacing w:before="100" w:after="100"/>
              <w:rPr>
                <w:lang w:val="es-ES"/>
              </w:rPr>
            </w:pPr>
            <w:r>
              <w:rPr>
                <w:lang w:val="es-ES"/>
              </w:rPr>
              <w:t>Separación</w:t>
            </w:r>
            <w:r>
              <w:rPr>
                <w:lang w:val="es-ES"/>
              </w:rPr>
              <w:br/>
              <w:t>(kHz)</w:t>
            </w:r>
          </w:p>
        </w:tc>
      </w:tr>
      <w:tr w:rsidR="003E23C2" w14:paraId="7E222E03" w14:textId="77777777">
        <w:trPr>
          <w:cantSplit/>
          <w:jc w:val="center"/>
        </w:trPr>
        <w:tc>
          <w:tcPr>
            <w:tcW w:w="2093" w:type="dxa"/>
            <w:vMerge w:val="restart"/>
            <w:vAlign w:val="center"/>
          </w:tcPr>
          <w:p w14:paraId="628AF861" w14:textId="77777777" w:rsidR="003E23C2" w:rsidRDefault="00E420B3">
            <w:pPr>
              <w:pStyle w:val="Tabletext"/>
              <w:framePr w:hSpace="181" w:wrap="notBeside" w:vAnchor="text" w:hAnchor="text" w:xAlign="center" w:y="1"/>
              <w:spacing w:before="100" w:after="100"/>
              <w:jc w:val="left"/>
              <w:rPr>
                <w:lang w:val="es-ES"/>
              </w:rPr>
            </w:pPr>
            <w:r>
              <w:rPr>
                <w:lang w:val="es-ES"/>
              </w:rPr>
              <w:t>Servicio fijo</w:t>
            </w:r>
          </w:p>
        </w:tc>
        <w:tc>
          <w:tcPr>
            <w:tcW w:w="2977" w:type="dxa"/>
            <w:gridSpan w:val="2"/>
          </w:tcPr>
          <w:p w14:paraId="086796CE" w14:textId="77777777" w:rsidR="003E23C2" w:rsidRDefault="00E420B3">
            <w:pPr>
              <w:pStyle w:val="Tabletext"/>
              <w:framePr w:hSpace="181" w:wrap="notBeside" w:vAnchor="text" w:hAnchor="text" w:xAlign="center" w:y="1"/>
              <w:spacing w:before="100" w:after="100"/>
              <w:jc w:val="center"/>
              <w:rPr>
                <w:lang w:val="es-ES"/>
              </w:rPr>
            </w:pPr>
            <w:r>
              <w:rPr>
                <w:lang w:val="es-ES"/>
              </w:rPr>
              <w:t>14 kHz-1,5 MHz</w:t>
            </w:r>
          </w:p>
        </w:tc>
        <w:tc>
          <w:tcPr>
            <w:tcW w:w="1847" w:type="dxa"/>
          </w:tcPr>
          <w:p w14:paraId="09111017" w14:textId="77777777" w:rsidR="003E23C2" w:rsidRDefault="00E420B3">
            <w:pPr>
              <w:pStyle w:val="Tabletext"/>
              <w:framePr w:hSpace="181" w:wrap="notBeside" w:vAnchor="text" w:hAnchor="text" w:xAlign="center" w:y="1"/>
              <w:spacing w:before="100" w:after="100"/>
              <w:jc w:val="center"/>
              <w:rPr>
                <w:lang w:val="es-ES"/>
              </w:rPr>
            </w:pPr>
            <w:r>
              <w:rPr>
                <w:lang w:val="es-ES"/>
              </w:rPr>
              <w:t>20</w:t>
            </w:r>
          </w:p>
        </w:tc>
        <w:tc>
          <w:tcPr>
            <w:tcW w:w="2268" w:type="dxa"/>
          </w:tcPr>
          <w:p w14:paraId="6EA2FF1F" w14:textId="77777777" w:rsidR="003E23C2" w:rsidRDefault="00E420B3">
            <w:pPr>
              <w:pStyle w:val="Tabletext"/>
              <w:framePr w:hSpace="181" w:wrap="notBeside" w:vAnchor="text" w:hAnchor="text" w:xAlign="center" w:y="1"/>
              <w:spacing w:before="100" w:after="100"/>
              <w:jc w:val="center"/>
              <w:rPr>
                <w:lang w:val="es-ES"/>
              </w:rPr>
            </w:pPr>
            <w:r>
              <w:rPr>
                <w:lang w:val="es-ES"/>
              </w:rPr>
              <w:t>50</w:t>
            </w:r>
            <w:r>
              <w:rPr>
                <w:position w:val="6"/>
                <w:sz w:val="18"/>
              </w:rPr>
              <w:t>(1)</w:t>
            </w:r>
          </w:p>
        </w:tc>
      </w:tr>
      <w:tr w:rsidR="003E23C2" w14:paraId="5544B3FB" w14:textId="77777777">
        <w:trPr>
          <w:cantSplit/>
          <w:trHeight w:val="270"/>
          <w:jc w:val="center"/>
        </w:trPr>
        <w:tc>
          <w:tcPr>
            <w:tcW w:w="2093" w:type="dxa"/>
            <w:vMerge/>
          </w:tcPr>
          <w:p w14:paraId="004C1CB5" w14:textId="77777777" w:rsidR="003E23C2" w:rsidRDefault="003E23C2">
            <w:pPr>
              <w:pStyle w:val="Tabletext"/>
              <w:framePr w:hSpace="181" w:wrap="notBeside" w:vAnchor="text" w:hAnchor="text" w:xAlign="center" w:y="1"/>
              <w:spacing w:before="100" w:after="100"/>
              <w:jc w:val="center"/>
              <w:rPr>
                <w:lang w:val="es-ES"/>
              </w:rPr>
            </w:pPr>
          </w:p>
        </w:tc>
        <w:tc>
          <w:tcPr>
            <w:tcW w:w="1375" w:type="dxa"/>
            <w:vMerge w:val="restart"/>
            <w:vAlign w:val="center"/>
          </w:tcPr>
          <w:p w14:paraId="02F609B9" w14:textId="77777777" w:rsidR="003E23C2" w:rsidRDefault="00E420B3">
            <w:pPr>
              <w:pStyle w:val="Tabletext"/>
              <w:framePr w:hSpace="181" w:wrap="notBeside" w:vAnchor="text" w:hAnchor="text" w:xAlign="center" w:y="1"/>
              <w:spacing w:before="100" w:after="100"/>
              <w:jc w:val="center"/>
              <w:rPr>
                <w:lang w:val="es-ES"/>
              </w:rPr>
            </w:pPr>
            <w:r>
              <w:rPr>
                <w:lang w:val="es-ES"/>
              </w:rPr>
              <w:t>1,5-30 MHz</w:t>
            </w:r>
          </w:p>
        </w:tc>
        <w:tc>
          <w:tcPr>
            <w:tcW w:w="1602" w:type="dxa"/>
          </w:tcPr>
          <w:p w14:paraId="33DFBA01" w14:textId="77777777" w:rsidR="003E23C2" w:rsidRDefault="00E420B3">
            <w:pPr>
              <w:pStyle w:val="Tabletext"/>
              <w:framePr w:hSpace="181" w:wrap="notBeside" w:vAnchor="text" w:hAnchor="text" w:xAlign="center" w:y="1"/>
              <w:spacing w:before="100" w:after="100"/>
              <w:jc w:val="center"/>
              <w:rPr>
                <w:i/>
                <w:iCs/>
                <w:lang w:val="es-ES"/>
              </w:rPr>
            </w:pPr>
            <w:r>
              <w:rPr>
                <w:i/>
                <w:iCs/>
                <w:lang w:val="es-ES"/>
              </w:rPr>
              <w:t>P</w:t>
            </w:r>
            <w:r>
              <w:rPr>
                <w:i/>
                <w:iCs/>
                <w:position w:val="-4"/>
                <w:sz w:val="18"/>
                <w:lang w:val="es-ES"/>
              </w:rPr>
              <w:t>T</w:t>
            </w:r>
            <w:r>
              <w:rPr>
                <w:lang w:val="es-ES"/>
              </w:rPr>
              <w:t xml:space="preserve"> </w:t>
            </w:r>
            <w:r>
              <w:rPr>
                <w:rFonts w:ascii="Symbol" w:hAnsi="Symbol"/>
                <w:lang w:val="en-US"/>
              </w:rPr>
              <w:t></w:t>
            </w:r>
            <w:r>
              <w:rPr>
                <w:i/>
                <w:iCs/>
                <w:lang w:val="es-ES"/>
              </w:rPr>
              <w:t xml:space="preserve"> </w:t>
            </w:r>
            <w:r>
              <w:rPr>
                <w:lang w:val="es-ES"/>
              </w:rPr>
              <w:t>50 W</w:t>
            </w:r>
          </w:p>
        </w:tc>
        <w:tc>
          <w:tcPr>
            <w:tcW w:w="1847" w:type="dxa"/>
            <w:tcBorders>
              <w:bottom w:val="single" w:sz="4" w:space="0" w:color="auto"/>
            </w:tcBorders>
          </w:tcPr>
          <w:p w14:paraId="28EF7844" w14:textId="77777777" w:rsidR="003E23C2" w:rsidRDefault="00E420B3">
            <w:pPr>
              <w:pStyle w:val="Tabletext"/>
              <w:framePr w:hSpace="181" w:wrap="notBeside" w:vAnchor="text" w:hAnchor="text" w:xAlign="center" w:y="1"/>
              <w:spacing w:before="100" w:after="100"/>
              <w:jc w:val="center"/>
              <w:rPr>
                <w:lang w:val="en-US"/>
              </w:rPr>
            </w:pPr>
            <w:r>
              <w:rPr>
                <w:lang w:val="en-US"/>
              </w:rPr>
              <w:t>80</w:t>
            </w:r>
          </w:p>
        </w:tc>
        <w:tc>
          <w:tcPr>
            <w:tcW w:w="2268" w:type="dxa"/>
          </w:tcPr>
          <w:p w14:paraId="05E5A056" w14:textId="77777777" w:rsidR="003E23C2" w:rsidRDefault="00E420B3">
            <w:pPr>
              <w:pStyle w:val="Tabletext"/>
              <w:framePr w:hSpace="181" w:wrap="notBeside" w:vAnchor="text" w:hAnchor="text" w:xAlign="center" w:y="1"/>
              <w:spacing w:before="100" w:after="100"/>
              <w:jc w:val="center"/>
              <w:rPr>
                <w:lang w:val="en-US"/>
              </w:rPr>
            </w:pPr>
            <w:r>
              <w:rPr>
                <w:lang w:val="en-US"/>
              </w:rPr>
              <w:t>200</w:t>
            </w:r>
            <w:r>
              <w:rPr>
                <w:position w:val="6"/>
                <w:sz w:val="18"/>
                <w:lang w:val="en-US"/>
              </w:rPr>
              <w:t>(2)</w:t>
            </w:r>
          </w:p>
        </w:tc>
      </w:tr>
      <w:tr w:rsidR="003E23C2" w14:paraId="51D08EE4" w14:textId="77777777">
        <w:trPr>
          <w:cantSplit/>
          <w:trHeight w:val="225"/>
          <w:jc w:val="center"/>
        </w:trPr>
        <w:tc>
          <w:tcPr>
            <w:tcW w:w="2093" w:type="dxa"/>
            <w:vMerge/>
            <w:tcBorders>
              <w:bottom w:val="single" w:sz="4" w:space="0" w:color="auto"/>
            </w:tcBorders>
          </w:tcPr>
          <w:p w14:paraId="47B9973C" w14:textId="77777777" w:rsidR="003E23C2" w:rsidRDefault="003E23C2">
            <w:pPr>
              <w:pStyle w:val="Tabletext"/>
              <w:framePr w:hSpace="181" w:wrap="notBeside" w:vAnchor="text" w:hAnchor="text" w:xAlign="center" w:y="1"/>
              <w:spacing w:before="100" w:after="100"/>
              <w:jc w:val="center"/>
              <w:rPr>
                <w:lang w:val="en-US"/>
              </w:rPr>
            </w:pPr>
          </w:p>
        </w:tc>
        <w:tc>
          <w:tcPr>
            <w:tcW w:w="1375" w:type="dxa"/>
            <w:vMerge/>
            <w:tcBorders>
              <w:bottom w:val="single" w:sz="4" w:space="0" w:color="auto"/>
            </w:tcBorders>
          </w:tcPr>
          <w:p w14:paraId="35EBC24C" w14:textId="77777777" w:rsidR="003E23C2" w:rsidRDefault="003E23C2">
            <w:pPr>
              <w:pStyle w:val="Tabletext"/>
              <w:framePr w:hSpace="181" w:wrap="notBeside" w:vAnchor="text" w:hAnchor="text" w:xAlign="center" w:y="1"/>
              <w:spacing w:before="100" w:after="100"/>
              <w:jc w:val="center"/>
              <w:rPr>
                <w:lang w:val="en-US"/>
              </w:rPr>
            </w:pPr>
          </w:p>
        </w:tc>
        <w:tc>
          <w:tcPr>
            <w:tcW w:w="1602" w:type="dxa"/>
            <w:tcBorders>
              <w:bottom w:val="single" w:sz="4" w:space="0" w:color="auto"/>
            </w:tcBorders>
          </w:tcPr>
          <w:p w14:paraId="3089ADDC" w14:textId="77777777" w:rsidR="003E23C2" w:rsidRDefault="00E420B3">
            <w:pPr>
              <w:pStyle w:val="Tabletext"/>
              <w:framePr w:hSpace="181" w:wrap="notBeside" w:vAnchor="text" w:hAnchor="text" w:xAlign="center" w:y="1"/>
              <w:spacing w:before="100" w:after="100"/>
              <w:jc w:val="center"/>
              <w:rPr>
                <w:lang w:val="en-US"/>
              </w:rPr>
            </w:pPr>
            <w:r>
              <w:rPr>
                <w:i/>
                <w:iCs/>
                <w:lang w:val="en-US"/>
              </w:rPr>
              <w:t>P</w:t>
            </w:r>
            <w:r>
              <w:rPr>
                <w:i/>
                <w:iCs/>
                <w:position w:val="-4"/>
                <w:sz w:val="18"/>
                <w:lang w:val="en-US"/>
              </w:rPr>
              <w:t>T</w:t>
            </w:r>
            <w:r>
              <w:rPr>
                <w:sz w:val="24"/>
                <w:lang w:val="en-US"/>
              </w:rPr>
              <w:t xml:space="preserve"> </w:t>
            </w:r>
            <w:r>
              <w:rPr>
                <w:rFonts w:ascii="Symbol" w:hAnsi="Symbol"/>
                <w:lang w:val="en-US"/>
              </w:rPr>
              <w:t></w:t>
            </w:r>
            <w:r>
              <w:rPr>
                <w:i/>
                <w:iCs/>
                <w:lang w:val="en-US"/>
              </w:rPr>
              <w:t xml:space="preserve"> </w:t>
            </w:r>
            <w:r>
              <w:rPr>
                <w:lang w:val="en-US"/>
              </w:rPr>
              <w:t>50 W</w:t>
            </w:r>
          </w:p>
        </w:tc>
        <w:tc>
          <w:tcPr>
            <w:tcW w:w="1847" w:type="dxa"/>
            <w:tcBorders>
              <w:bottom w:val="single" w:sz="4" w:space="0" w:color="auto"/>
            </w:tcBorders>
          </w:tcPr>
          <w:p w14:paraId="2CDF9901" w14:textId="77777777" w:rsidR="003E23C2" w:rsidRDefault="00E420B3">
            <w:pPr>
              <w:pStyle w:val="Tabletext"/>
              <w:framePr w:hSpace="181" w:wrap="notBeside" w:vAnchor="text" w:hAnchor="text" w:xAlign="center" w:y="1"/>
              <w:spacing w:before="100" w:after="100"/>
              <w:jc w:val="center"/>
              <w:rPr>
                <w:lang w:val="es-ES"/>
              </w:rPr>
            </w:pPr>
            <w:r>
              <w:rPr>
                <w:lang w:val="es-ES"/>
              </w:rPr>
              <w:t>30</w:t>
            </w:r>
          </w:p>
        </w:tc>
        <w:tc>
          <w:tcPr>
            <w:tcW w:w="2268" w:type="dxa"/>
            <w:tcBorders>
              <w:bottom w:val="single" w:sz="4" w:space="0" w:color="auto"/>
            </w:tcBorders>
          </w:tcPr>
          <w:p w14:paraId="18FD8B2A" w14:textId="77777777" w:rsidR="003E23C2" w:rsidRDefault="00E420B3">
            <w:pPr>
              <w:pStyle w:val="Tabletext"/>
              <w:framePr w:hSpace="181" w:wrap="notBeside" w:vAnchor="text" w:hAnchor="text" w:xAlign="center" w:y="1"/>
              <w:spacing w:before="100" w:after="100"/>
              <w:jc w:val="center"/>
              <w:rPr>
                <w:lang w:val="es-ES"/>
              </w:rPr>
            </w:pPr>
            <w:r>
              <w:rPr>
                <w:lang w:val="es-ES"/>
              </w:rPr>
              <w:t>75</w:t>
            </w:r>
            <w:r>
              <w:rPr>
                <w:position w:val="6"/>
                <w:sz w:val="18"/>
              </w:rPr>
              <w:t>(2)</w:t>
            </w:r>
          </w:p>
        </w:tc>
      </w:tr>
      <w:tr w:rsidR="003E23C2" w:rsidRPr="008E7B82" w14:paraId="36B24EB5" w14:textId="77777777">
        <w:trPr>
          <w:cantSplit/>
          <w:jc w:val="center"/>
        </w:trPr>
        <w:tc>
          <w:tcPr>
            <w:tcW w:w="9185" w:type="dxa"/>
            <w:gridSpan w:val="5"/>
            <w:tcBorders>
              <w:left w:val="nil"/>
              <w:bottom w:val="nil"/>
              <w:right w:val="nil"/>
            </w:tcBorders>
          </w:tcPr>
          <w:p w14:paraId="4906A95A" w14:textId="77777777" w:rsidR="003E23C2" w:rsidRDefault="00E420B3">
            <w:pPr>
              <w:pStyle w:val="Tablelegend"/>
              <w:framePr w:hSpace="181" w:wrap="notBeside" w:vAnchor="text" w:hAnchor="text" w:xAlign="center" w:y="1"/>
              <w:spacing w:after="0"/>
              <w:ind w:left="199" w:hanging="284"/>
              <w:rPr>
                <w:lang w:val="es-ES"/>
              </w:rPr>
            </w:pPr>
            <w:r w:rsidRPr="00087802">
              <w:rPr>
                <w:position w:val="6"/>
                <w:sz w:val="18"/>
                <w:lang w:val="es-ES"/>
              </w:rPr>
              <w:t>(1)</w:t>
            </w:r>
            <w:r>
              <w:rPr>
                <w:sz w:val="26"/>
                <w:vertAlign w:val="superscript"/>
                <w:lang w:val="es-ES"/>
              </w:rPr>
              <w:tab/>
            </w:r>
            <w:r>
              <w:rPr>
                <w:lang w:val="es-ES"/>
              </w:rPr>
              <w:t>El valor de separación está basado en la hipótesis de que el valor máximo de la anchura de banda necesaria es de unos 3 kHz para la gama de frecuencias 14 kHz-1,5 MHz. El valor de 50 kHz de separación es demasiado grande si se compara con la anchura de banda necesaria. Esto se debe a que las emisiones no deseadas de los transmisores de alta potencia en condiciones de modulación deben ser inferiores al límite no esencial (70 dBc) en la frontera entre los dominios de emisión fuera de banda y no esencial.</w:t>
            </w:r>
          </w:p>
          <w:p w14:paraId="1F9BCA73" w14:textId="77777777" w:rsidR="003E23C2" w:rsidRDefault="00E420B3">
            <w:pPr>
              <w:pStyle w:val="Tablelegend"/>
              <w:framePr w:hSpace="181" w:wrap="notBeside" w:vAnchor="text" w:hAnchor="text" w:xAlign="center" w:y="1"/>
              <w:spacing w:before="80" w:after="80" w:line="260" w:lineRule="exact"/>
              <w:ind w:left="199" w:hanging="284"/>
              <w:rPr>
                <w:lang w:val="es-ES"/>
              </w:rPr>
            </w:pPr>
            <w:r w:rsidRPr="00087802">
              <w:rPr>
                <w:position w:val="6"/>
                <w:sz w:val="18"/>
                <w:lang w:val="es-ES"/>
              </w:rPr>
              <w:t>(2)</w:t>
            </w:r>
            <w:r>
              <w:rPr>
                <w:sz w:val="26"/>
                <w:vertAlign w:val="superscript"/>
                <w:lang w:val="es-ES"/>
              </w:rPr>
              <w:tab/>
            </w:r>
            <w:r>
              <w:rPr>
                <w:i/>
                <w:iCs/>
                <w:lang w:val="es-ES"/>
              </w:rPr>
              <w:t>P</w:t>
            </w:r>
            <w:r>
              <w:rPr>
                <w:i/>
                <w:iCs/>
                <w:position w:val="-4"/>
                <w:sz w:val="18"/>
                <w:lang w:val="es-ES"/>
              </w:rPr>
              <w:t>T</w:t>
            </w:r>
            <w:r>
              <w:rPr>
                <w:lang w:val="es-ES"/>
              </w:rPr>
              <w:t xml:space="preserve"> es la potencia del transmisor. Los valores de separación están basados en la hipótesis de que el valor máximo de la anchura de banda necesaria es aproximadamente 12 kHz para la gama de frecuencias 1,5-30 MHz. El valor de separación de 200 kHz para </w:t>
            </w:r>
            <w:r>
              <w:rPr>
                <w:i/>
                <w:iCs/>
                <w:lang w:val="es-ES"/>
              </w:rPr>
              <w:t>P</w:t>
            </w:r>
            <w:r>
              <w:rPr>
                <w:i/>
                <w:iCs/>
                <w:position w:val="-4"/>
                <w:sz w:val="18"/>
                <w:lang w:val="es-ES"/>
              </w:rPr>
              <w:t>T</w:t>
            </w:r>
            <w:r>
              <w:rPr>
                <w:lang w:val="es-ES"/>
              </w:rPr>
              <w:t xml:space="preserve"> </w:t>
            </w:r>
            <w:r>
              <w:rPr>
                <w:rFonts w:ascii="Symbol" w:hAnsi="Symbol"/>
              </w:rPr>
              <w:t></w:t>
            </w:r>
            <w:r>
              <w:rPr>
                <w:lang w:val="es-ES"/>
              </w:rPr>
              <w:t> 50 W es demasiado grande si se compara con la anchura de banda necesaria. Esto es debido a que las emisiones no deseadas de los transmisores de alta potencia en condiciones de modulación deben ser menores que el límite no esencial, 70 dBc, en la frontera entre los dominios de emisión fuera de banda y no esencial. También podría ser necesario revisar la separación de 200 kHz si los sistemas futuros de operación del servicio fijo en esta gama de frecuencias requieren una anchura de banda necesaria mayor que 12 kHz. Estos valores de separación se obtuvieron de los límites de emisión en el dominio no esencial, Categoría A, de la Recomendación UIT</w:t>
            </w:r>
            <w:r>
              <w:rPr>
                <w:lang w:val="es-ES"/>
              </w:rPr>
              <w:noBreakHyphen/>
              <w:t>R SM.329.</w:t>
            </w:r>
          </w:p>
        </w:tc>
      </w:tr>
    </w:tbl>
    <w:p w14:paraId="718240AE" w14:textId="77777777" w:rsidR="003E23C2" w:rsidRPr="00087802" w:rsidRDefault="003E23C2">
      <w:pPr>
        <w:pStyle w:val="Tablefin"/>
        <w:rPr>
          <w:lang w:val="es-ES"/>
        </w:rPr>
      </w:pPr>
    </w:p>
    <w:p w14:paraId="2CF845A1" w14:textId="77777777" w:rsidR="003E23C2" w:rsidRDefault="00E420B3">
      <w:pPr>
        <w:pStyle w:val="TableNo"/>
        <w:rPr>
          <w:lang w:val="es-ES"/>
        </w:rPr>
      </w:pPr>
      <w:r>
        <w:rPr>
          <w:lang w:val="es-ES"/>
        </w:rPr>
        <w:br w:type="page"/>
      </w:r>
      <w:r>
        <w:rPr>
          <w:lang w:val="es-ES"/>
        </w:rPr>
        <w:lastRenderedPageBreak/>
        <w:t>CUADRO  4</w:t>
      </w:r>
    </w:p>
    <w:p w14:paraId="4B93F30D" w14:textId="77777777" w:rsidR="003E23C2" w:rsidRDefault="00E420B3">
      <w:pPr>
        <w:pStyle w:val="Tabletitle"/>
        <w:rPr>
          <w:lang w:val="es-ES"/>
        </w:rPr>
      </w:pPr>
      <w:r>
        <w:rPr>
          <w:lang w:val="es-ES"/>
        </w:rPr>
        <w:t>Variaciones de banda ancha para sistemas o servicios y bandas de frecuencias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2835"/>
        <w:gridCol w:w="1432"/>
        <w:gridCol w:w="1985"/>
      </w:tblGrid>
      <w:tr w:rsidR="003E23C2" w:rsidRPr="008E7B82" w14:paraId="75AFC6B8" w14:textId="77777777">
        <w:trPr>
          <w:cantSplit/>
          <w:jc w:val="center"/>
        </w:trPr>
        <w:tc>
          <w:tcPr>
            <w:tcW w:w="1985" w:type="dxa"/>
            <w:vMerge w:val="restart"/>
            <w:tcBorders>
              <w:left w:val="single" w:sz="4" w:space="0" w:color="auto"/>
            </w:tcBorders>
            <w:vAlign w:val="center"/>
          </w:tcPr>
          <w:p w14:paraId="05E01118" w14:textId="77777777" w:rsidR="003E23C2" w:rsidRDefault="00E420B3">
            <w:pPr>
              <w:pStyle w:val="Tablehead"/>
              <w:framePr w:hSpace="181" w:wrap="notBeside" w:vAnchor="text" w:hAnchor="text" w:xAlign="center" w:y="1"/>
              <w:spacing w:before="100" w:after="100"/>
              <w:rPr>
                <w:lang w:val="es-ES"/>
              </w:rPr>
            </w:pPr>
            <w:r>
              <w:rPr>
                <w:lang w:val="es-ES"/>
              </w:rPr>
              <w:t>Servicio</w:t>
            </w:r>
          </w:p>
        </w:tc>
        <w:tc>
          <w:tcPr>
            <w:tcW w:w="2835" w:type="dxa"/>
            <w:vMerge w:val="restart"/>
            <w:vAlign w:val="center"/>
          </w:tcPr>
          <w:p w14:paraId="7FFC7140" w14:textId="77777777" w:rsidR="003E23C2" w:rsidRDefault="00E420B3">
            <w:pPr>
              <w:pStyle w:val="Tablehead"/>
              <w:framePr w:hSpace="181" w:wrap="notBeside" w:vAnchor="text" w:hAnchor="text" w:xAlign="center" w:y="1"/>
              <w:spacing w:before="100" w:after="100"/>
              <w:rPr>
                <w:lang w:val="es-ES"/>
              </w:rPr>
            </w:pPr>
            <w:r>
              <w:rPr>
                <w:lang w:val="es-ES"/>
              </w:rPr>
              <w:t>Gama de frecuencias</w:t>
            </w:r>
          </w:p>
        </w:tc>
        <w:tc>
          <w:tcPr>
            <w:tcW w:w="3417" w:type="dxa"/>
            <w:gridSpan w:val="2"/>
            <w:tcBorders>
              <w:top w:val="single" w:sz="4" w:space="0" w:color="auto"/>
              <w:bottom w:val="single" w:sz="4" w:space="0" w:color="auto"/>
              <w:right w:val="single" w:sz="4" w:space="0" w:color="auto"/>
            </w:tcBorders>
            <w:vAlign w:val="center"/>
          </w:tcPr>
          <w:p w14:paraId="1291928C" w14:textId="77777777" w:rsidR="003E23C2" w:rsidRDefault="00E420B3">
            <w:pPr>
              <w:pStyle w:val="Tablehead"/>
              <w:framePr w:hSpace="181" w:wrap="notBeside" w:vAnchor="text" w:hAnchor="text" w:xAlign="center" w:y="1"/>
              <w:spacing w:before="100" w:after="100"/>
              <w:rPr>
                <w:lang w:val="es-ES"/>
              </w:rPr>
            </w:pPr>
            <w:r>
              <w:rPr>
                <w:lang w:val="es-ES"/>
              </w:rPr>
              <w:t>Caso de banda ancha (</w:t>
            </w:r>
            <w:r>
              <w:rPr>
                <w:i/>
                <w:iCs/>
                <w:lang w:val="es-ES"/>
              </w:rPr>
              <w:t>B</w:t>
            </w:r>
            <w:r>
              <w:rPr>
                <w:i/>
                <w:iCs/>
                <w:position w:val="-4"/>
                <w:sz w:val="18"/>
                <w:lang w:val="es-ES"/>
              </w:rPr>
              <w:t>N</w:t>
            </w:r>
            <w:r>
              <w:rPr>
                <w:lang w:val="es-ES"/>
              </w:rPr>
              <w:t> </w:t>
            </w:r>
            <w:r>
              <w:rPr>
                <w:rFonts w:ascii="Symbol" w:hAnsi="Symbol"/>
              </w:rPr>
              <w:t></w:t>
            </w:r>
            <w:r>
              <w:rPr>
                <w:lang w:val="es-ES"/>
              </w:rPr>
              <w:t> </w:t>
            </w:r>
            <w:r>
              <w:rPr>
                <w:i/>
                <w:iCs/>
                <w:lang w:val="es-ES"/>
              </w:rPr>
              <w:t>B</w:t>
            </w:r>
            <w:r>
              <w:rPr>
                <w:i/>
                <w:iCs/>
                <w:position w:val="-4"/>
                <w:sz w:val="18"/>
                <w:lang w:val="es-ES"/>
              </w:rPr>
              <w:t>U</w:t>
            </w:r>
            <w:r>
              <w:rPr>
                <w:lang w:val="es-ES"/>
              </w:rPr>
              <w:t>)</w:t>
            </w:r>
          </w:p>
        </w:tc>
      </w:tr>
      <w:tr w:rsidR="003E23C2" w14:paraId="3E6DFCF4" w14:textId="77777777">
        <w:trPr>
          <w:cantSplit/>
          <w:jc w:val="center"/>
        </w:trPr>
        <w:tc>
          <w:tcPr>
            <w:tcW w:w="1985" w:type="dxa"/>
            <w:vMerge/>
            <w:tcBorders>
              <w:left w:val="single" w:sz="4" w:space="0" w:color="auto"/>
              <w:bottom w:val="single" w:sz="4" w:space="0" w:color="auto"/>
            </w:tcBorders>
            <w:vAlign w:val="center"/>
          </w:tcPr>
          <w:p w14:paraId="73677415" w14:textId="77777777" w:rsidR="003E23C2" w:rsidRDefault="003E23C2">
            <w:pPr>
              <w:pStyle w:val="Tablehead"/>
              <w:framePr w:hSpace="181" w:wrap="notBeside" w:vAnchor="text" w:hAnchor="text" w:xAlign="center" w:y="1"/>
              <w:spacing w:before="100" w:after="100"/>
              <w:rPr>
                <w:lang w:val="es-ES"/>
              </w:rPr>
            </w:pPr>
          </w:p>
        </w:tc>
        <w:tc>
          <w:tcPr>
            <w:tcW w:w="2835" w:type="dxa"/>
            <w:vMerge/>
            <w:tcBorders>
              <w:bottom w:val="single" w:sz="4" w:space="0" w:color="auto"/>
            </w:tcBorders>
            <w:vAlign w:val="center"/>
          </w:tcPr>
          <w:p w14:paraId="62DD318D" w14:textId="77777777" w:rsidR="003E23C2" w:rsidRDefault="003E23C2">
            <w:pPr>
              <w:pStyle w:val="Tablehead"/>
              <w:framePr w:hSpace="181" w:wrap="notBeside" w:vAnchor="text" w:hAnchor="text" w:xAlign="center" w:y="1"/>
              <w:spacing w:before="100" w:after="100"/>
              <w:rPr>
                <w:lang w:val="es-ES"/>
              </w:rPr>
            </w:pPr>
          </w:p>
        </w:tc>
        <w:tc>
          <w:tcPr>
            <w:tcW w:w="1432" w:type="dxa"/>
            <w:tcBorders>
              <w:top w:val="single" w:sz="4" w:space="0" w:color="auto"/>
              <w:bottom w:val="single" w:sz="4" w:space="0" w:color="auto"/>
              <w:right w:val="single" w:sz="4" w:space="0" w:color="auto"/>
            </w:tcBorders>
            <w:vAlign w:val="center"/>
          </w:tcPr>
          <w:p w14:paraId="5AC2EC07" w14:textId="77777777" w:rsidR="003E23C2" w:rsidRDefault="00E420B3">
            <w:pPr>
              <w:pStyle w:val="Tablehead"/>
              <w:framePr w:hSpace="181" w:wrap="notBeside" w:vAnchor="text" w:hAnchor="text" w:xAlign="center" w:y="1"/>
              <w:spacing w:before="100" w:after="100"/>
              <w:rPr>
                <w:i/>
                <w:iCs/>
                <w:lang w:val="es-ES"/>
              </w:rPr>
            </w:pPr>
            <w:r>
              <w:rPr>
                <w:i/>
                <w:iCs/>
              </w:rPr>
              <w:t>B</w:t>
            </w:r>
            <w:r>
              <w:rPr>
                <w:i/>
                <w:iCs/>
                <w:position w:val="-4"/>
                <w:sz w:val="18"/>
              </w:rPr>
              <w:t>U</w:t>
            </w:r>
          </w:p>
        </w:tc>
        <w:tc>
          <w:tcPr>
            <w:tcW w:w="1985" w:type="dxa"/>
            <w:tcBorders>
              <w:top w:val="single" w:sz="4" w:space="0" w:color="auto"/>
              <w:bottom w:val="single" w:sz="4" w:space="0" w:color="auto"/>
              <w:right w:val="single" w:sz="4" w:space="0" w:color="auto"/>
            </w:tcBorders>
            <w:vAlign w:val="center"/>
          </w:tcPr>
          <w:p w14:paraId="02E5A169" w14:textId="77777777" w:rsidR="003E23C2" w:rsidRDefault="00E420B3">
            <w:pPr>
              <w:pStyle w:val="Tablehead"/>
              <w:framePr w:hSpace="181" w:wrap="notBeside" w:vAnchor="text" w:hAnchor="text" w:xAlign="center" w:y="1"/>
              <w:spacing w:before="100" w:after="100"/>
              <w:rPr>
                <w:lang w:val="es-ES"/>
              </w:rPr>
            </w:pPr>
            <w:r>
              <w:rPr>
                <w:lang w:val="es-ES"/>
              </w:rPr>
              <w:t>Separación</w:t>
            </w:r>
          </w:p>
        </w:tc>
      </w:tr>
      <w:tr w:rsidR="003E23C2" w14:paraId="318FF00F" w14:textId="77777777">
        <w:trPr>
          <w:jc w:val="center"/>
        </w:trPr>
        <w:tc>
          <w:tcPr>
            <w:tcW w:w="1985" w:type="dxa"/>
            <w:tcBorders>
              <w:top w:val="single" w:sz="4" w:space="0" w:color="auto"/>
              <w:left w:val="single" w:sz="4" w:space="0" w:color="auto"/>
              <w:bottom w:val="single" w:sz="4" w:space="0" w:color="auto"/>
            </w:tcBorders>
          </w:tcPr>
          <w:p w14:paraId="1C8E053F" w14:textId="77777777" w:rsidR="003E23C2" w:rsidRDefault="00E420B3">
            <w:pPr>
              <w:pStyle w:val="Tabletext"/>
              <w:framePr w:hSpace="181" w:wrap="notBeside" w:vAnchor="text" w:hAnchor="text" w:xAlign="center" w:y="1"/>
              <w:spacing w:before="100" w:after="100" w:line="240" w:lineRule="exact"/>
              <w:jc w:val="left"/>
              <w:rPr>
                <w:lang w:val="es-ES"/>
              </w:rPr>
            </w:pPr>
            <w:r>
              <w:rPr>
                <w:lang w:val="es-ES"/>
              </w:rPr>
              <w:t>Servicio fijo</w:t>
            </w:r>
          </w:p>
        </w:tc>
        <w:tc>
          <w:tcPr>
            <w:tcW w:w="2835" w:type="dxa"/>
            <w:tcBorders>
              <w:top w:val="single" w:sz="4" w:space="0" w:color="auto"/>
              <w:bottom w:val="single" w:sz="4" w:space="0" w:color="auto"/>
            </w:tcBorders>
          </w:tcPr>
          <w:p w14:paraId="0F6BFBE2" w14:textId="77777777" w:rsidR="003E23C2" w:rsidRDefault="00E420B3">
            <w:pPr>
              <w:pStyle w:val="Tabletext"/>
              <w:framePr w:hSpace="181" w:wrap="notBeside" w:vAnchor="text" w:hAnchor="text" w:xAlign="center" w:y="1"/>
              <w:spacing w:before="100" w:after="100" w:line="240" w:lineRule="exact"/>
              <w:jc w:val="center"/>
              <w:rPr>
                <w:lang w:val="es-ES"/>
              </w:rPr>
            </w:pPr>
            <w:r>
              <w:rPr>
                <w:lang w:val="es-ES"/>
              </w:rPr>
              <w:t>14-150 kHz</w:t>
            </w:r>
          </w:p>
        </w:tc>
        <w:tc>
          <w:tcPr>
            <w:tcW w:w="1432" w:type="dxa"/>
            <w:tcBorders>
              <w:top w:val="single" w:sz="4" w:space="0" w:color="auto"/>
              <w:bottom w:val="single" w:sz="4" w:space="0" w:color="auto"/>
              <w:right w:val="single" w:sz="4" w:space="0" w:color="auto"/>
            </w:tcBorders>
          </w:tcPr>
          <w:p w14:paraId="3CAAD735" w14:textId="77777777" w:rsidR="003E23C2" w:rsidRDefault="00E420B3">
            <w:pPr>
              <w:pStyle w:val="Tabletext"/>
              <w:framePr w:hSpace="181" w:wrap="notBeside" w:vAnchor="text" w:hAnchor="text" w:xAlign="center" w:y="1"/>
              <w:spacing w:before="100" w:after="100" w:line="240" w:lineRule="exact"/>
              <w:jc w:val="center"/>
              <w:rPr>
                <w:lang w:val="es-ES"/>
              </w:rPr>
            </w:pPr>
            <w:r>
              <w:rPr>
                <w:lang w:val="es-ES"/>
              </w:rPr>
              <w:t>20 kHz</w:t>
            </w:r>
          </w:p>
        </w:tc>
        <w:tc>
          <w:tcPr>
            <w:tcW w:w="1985" w:type="dxa"/>
            <w:tcBorders>
              <w:top w:val="single" w:sz="4" w:space="0" w:color="auto"/>
              <w:bottom w:val="single" w:sz="4" w:space="0" w:color="auto"/>
              <w:right w:val="single" w:sz="4" w:space="0" w:color="auto"/>
            </w:tcBorders>
          </w:tcPr>
          <w:p w14:paraId="010ED863" w14:textId="77777777" w:rsidR="003E23C2" w:rsidRDefault="00E420B3">
            <w:pPr>
              <w:pStyle w:val="Tabletext"/>
              <w:framePr w:hSpace="181" w:wrap="notBeside" w:vAnchor="text" w:hAnchor="text" w:xAlign="center" w:y="1"/>
              <w:spacing w:before="100" w:after="100" w:line="240" w:lineRule="exact"/>
              <w:jc w:val="center"/>
              <w:rPr>
                <w:lang w:val="es-ES"/>
              </w:rPr>
            </w:pPr>
            <w:r>
              <w:rPr>
                <w:lang w:val="es-ES"/>
              </w:rPr>
              <w:t xml:space="preserve">1,5 </w:t>
            </w:r>
            <w:r>
              <w:rPr>
                <w:i/>
                <w:iCs/>
                <w:lang w:val="es-ES"/>
              </w:rPr>
              <w:t>B</w:t>
            </w:r>
            <w:r>
              <w:rPr>
                <w:i/>
                <w:iCs/>
                <w:position w:val="-4"/>
                <w:sz w:val="18"/>
                <w:lang w:val="es-ES"/>
              </w:rPr>
              <w:t>N</w:t>
            </w:r>
            <w:r>
              <w:rPr>
                <w:lang w:val="es-ES"/>
              </w:rPr>
              <w:t xml:space="preserve"> </w:t>
            </w:r>
            <w:r>
              <w:rPr>
                <w:rFonts w:ascii="Symbol" w:hAnsi="Symbol"/>
                <w:lang w:val="en-US"/>
              </w:rPr>
              <w:t></w:t>
            </w:r>
            <w:r>
              <w:rPr>
                <w:lang w:val="es-ES"/>
              </w:rPr>
              <w:t xml:space="preserve"> 20 kHz</w:t>
            </w:r>
          </w:p>
        </w:tc>
      </w:tr>
      <w:tr w:rsidR="003E23C2" w14:paraId="6F895A48" w14:textId="77777777">
        <w:trPr>
          <w:jc w:val="center"/>
        </w:trPr>
        <w:tc>
          <w:tcPr>
            <w:tcW w:w="1985" w:type="dxa"/>
            <w:tcBorders>
              <w:top w:val="single" w:sz="4" w:space="0" w:color="auto"/>
              <w:left w:val="single" w:sz="4" w:space="0" w:color="auto"/>
              <w:bottom w:val="single" w:sz="4" w:space="0" w:color="auto"/>
            </w:tcBorders>
          </w:tcPr>
          <w:p w14:paraId="79F93BB9" w14:textId="77777777" w:rsidR="003E23C2" w:rsidRDefault="00E420B3">
            <w:pPr>
              <w:pStyle w:val="Tabletext"/>
              <w:framePr w:hSpace="181" w:wrap="notBeside" w:vAnchor="text" w:hAnchor="text" w:xAlign="center" w:y="1"/>
              <w:spacing w:before="100" w:after="100" w:line="240" w:lineRule="exact"/>
              <w:jc w:val="left"/>
              <w:rPr>
                <w:lang w:val="es-ES"/>
              </w:rPr>
            </w:pPr>
            <w:r>
              <w:rPr>
                <w:lang w:val="es-ES"/>
              </w:rPr>
              <w:t>Servicio fijo por satélite (SFS)</w:t>
            </w:r>
          </w:p>
        </w:tc>
        <w:tc>
          <w:tcPr>
            <w:tcW w:w="2835" w:type="dxa"/>
            <w:tcBorders>
              <w:top w:val="single" w:sz="4" w:space="0" w:color="auto"/>
              <w:bottom w:val="single" w:sz="4" w:space="0" w:color="auto"/>
            </w:tcBorders>
          </w:tcPr>
          <w:p w14:paraId="69753076" w14:textId="77777777" w:rsidR="003E23C2" w:rsidRDefault="00E420B3">
            <w:pPr>
              <w:pStyle w:val="Tabletext"/>
              <w:framePr w:hSpace="181" w:wrap="notBeside" w:vAnchor="text" w:hAnchor="text" w:xAlign="center" w:y="1"/>
              <w:spacing w:before="100" w:after="100" w:line="240" w:lineRule="exact"/>
              <w:jc w:val="center"/>
              <w:rPr>
                <w:lang w:val="fr-CH"/>
              </w:rPr>
            </w:pPr>
            <w:r>
              <w:rPr>
                <w:lang w:val="fr-CH"/>
              </w:rPr>
              <w:t>3,4-4,2 GHz</w:t>
            </w:r>
          </w:p>
        </w:tc>
        <w:tc>
          <w:tcPr>
            <w:tcW w:w="1432" w:type="dxa"/>
            <w:tcBorders>
              <w:top w:val="single" w:sz="4" w:space="0" w:color="auto"/>
              <w:bottom w:val="single" w:sz="4" w:space="0" w:color="auto"/>
              <w:right w:val="single" w:sz="4" w:space="0" w:color="auto"/>
            </w:tcBorders>
          </w:tcPr>
          <w:p w14:paraId="4FD11807" w14:textId="77777777" w:rsidR="003E23C2" w:rsidRDefault="00E420B3">
            <w:pPr>
              <w:pStyle w:val="Tabletext"/>
              <w:framePr w:hSpace="181" w:wrap="notBeside" w:vAnchor="text" w:hAnchor="text" w:xAlign="center" w:y="1"/>
              <w:spacing w:before="100" w:after="100" w:line="240" w:lineRule="exact"/>
              <w:jc w:val="center"/>
              <w:rPr>
                <w:lang w:val="fr-CH"/>
              </w:rPr>
            </w:pPr>
            <w:r>
              <w:rPr>
                <w:lang w:val="fr-CH"/>
              </w:rPr>
              <w:t>250 MHz</w:t>
            </w:r>
          </w:p>
        </w:tc>
        <w:tc>
          <w:tcPr>
            <w:tcW w:w="1985" w:type="dxa"/>
            <w:tcBorders>
              <w:top w:val="single" w:sz="4" w:space="0" w:color="auto"/>
              <w:bottom w:val="single" w:sz="4" w:space="0" w:color="auto"/>
              <w:right w:val="single" w:sz="4" w:space="0" w:color="auto"/>
            </w:tcBorders>
          </w:tcPr>
          <w:p w14:paraId="2393935F" w14:textId="77777777" w:rsidR="003E23C2" w:rsidRDefault="00E420B3">
            <w:pPr>
              <w:pStyle w:val="Tabletext"/>
              <w:framePr w:hSpace="181" w:wrap="notBeside" w:vAnchor="text" w:hAnchor="text" w:xAlign="center" w:y="1"/>
              <w:spacing w:before="100" w:after="100" w:line="240" w:lineRule="exact"/>
              <w:jc w:val="center"/>
              <w:rPr>
                <w:lang w:val="fr-CH"/>
              </w:rPr>
            </w:pPr>
            <w:r>
              <w:rPr>
                <w:lang w:val="fr-CH"/>
              </w:rPr>
              <w:t xml:space="preserve">1,5 </w:t>
            </w:r>
            <w:r>
              <w:rPr>
                <w:i/>
                <w:iCs/>
              </w:rPr>
              <w:t>B</w:t>
            </w:r>
            <w:r>
              <w:rPr>
                <w:i/>
                <w:iCs/>
                <w:position w:val="-4"/>
                <w:sz w:val="18"/>
              </w:rPr>
              <w:t>N</w:t>
            </w:r>
            <w:r>
              <w:t xml:space="preserve"> </w:t>
            </w:r>
            <w:r>
              <w:rPr>
                <w:rFonts w:ascii="Symbol" w:hAnsi="Symbol"/>
                <w:lang w:val="en-US"/>
              </w:rPr>
              <w:t></w:t>
            </w:r>
            <w:r>
              <w:rPr>
                <w:lang w:val="fr-CH"/>
              </w:rPr>
              <w:t xml:space="preserve"> 250 MHz</w:t>
            </w:r>
          </w:p>
        </w:tc>
      </w:tr>
      <w:tr w:rsidR="003E23C2" w14:paraId="50856997" w14:textId="77777777">
        <w:trPr>
          <w:jc w:val="center"/>
        </w:trPr>
        <w:tc>
          <w:tcPr>
            <w:tcW w:w="1985" w:type="dxa"/>
            <w:tcBorders>
              <w:top w:val="single" w:sz="4" w:space="0" w:color="auto"/>
              <w:left w:val="single" w:sz="4" w:space="0" w:color="auto"/>
            </w:tcBorders>
          </w:tcPr>
          <w:p w14:paraId="035973E5" w14:textId="77777777" w:rsidR="003E23C2" w:rsidRDefault="00E420B3">
            <w:pPr>
              <w:pStyle w:val="Tabletext"/>
              <w:framePr w:hSpace="181" w:wrap="notBeside" w:vAnchor="text" w:hAnchor="text" w:xAlign="center" w:y="1"/>
              <w:spacing w:before="100" w:after="100" w:line="240" w:lineRule="exact"/>
              <w:jc w:val="left"/>
              <w:rPr>
                <w:lang w:val="fr-CH"/>
              </w:rPr>
            </w:pPr>
            <w:r>
              <w:rPr>
                <w:lang w:val="fr-CH"/>
              </w:rPr>
              <w:t>SFS</w:t>
            </w:r>
          </w:p>
        </w:tc>
        <w:tc>
          <w:tcPr>
            <w:tcW w:w="2835" w:type="dxa"/>
            <w:tcBorders>
              <w:top w:val="single" w:sz="4" w:space="0" w:color="auto"/>
            </w:tcBorders>
          </w:tcPr>
          <w:p w14:paraId="19BFD5DC" w14:textId="77777777" w:rsidR="003E23C2" w:rsidRDefault="00E420B3">
            <w:pPr>
              <w:pStyle w:val="Tabletext"/>
              <w:framePr w:hSpace="181" w:wrap="notBeside" w:vAnchor="text" w:hAnchor="text" w:xAlign="center" w:y="1"/>
              <w:spacing w:before="100" w:after="100" w:line="240" w:lineRule="exact"/>
              <w:jc w:val="center"/>
              <w:rPr>
                <w:lang w:val="fr-CH"/>
              </w:rPr>
            </w:pPr>
            <w:r>
              <w:rPr>
                <w:lang w:val="fr-CH"/>
              </w:rPr>
              <w:t>5,725-6,725 GHz</w:t>
            </w:r>
          </w:p>
        </w:tc>
        <w:tc>
          <w:tcPr>
            <w:tcW w:w="1432" w:type="dxa"/>
            <w:tcBorders>
              <w:top w:val="single" w:sz="4" w:space="0" w:color="auto"/>
              <w:right w:val="single" w:sz="4" w:space="0" w:color="auto"/>
            </w:tcBorders>
          </w:tcPr>
          <w:p w14:paraId="6F7C1F34" w14:textId="77777777" w:rsidR="003E23C2" w:rsidRDefault="00E420B3">
            <w:pPr>
              <w:pStyle w:val="Tabletext"/>
              <w:framePr w:hSpace="181" w:wrap="notBeside" w:vAnchor="text" w:hAnchor="text" w:xAlign="center" w:y="1"/>
              <w:spacing w:before="100" w:after="100" w:line="240" w:lineRule="exact"/>
              <w:jc w:val="center"/>
              <w:rPr>
                <w:lang w:val="fr-CH"/>
              </w:rPr>
            </w:pPr>
            <w:r>
              <w:rPr>
                <w:lang w:val="fr-CH"/>
              </w:rPr>
              <w:t>500 MHz</w:t>
            </w:r>
          </w:p>
        </w:tc>
        <w:tc>
          <w:tcPr>
            <w:tcW w:w="1985" w:type="dxa"/>
            <w:tcBorders>
              <w:top w:val="single" w:sz="4" w:space="0" w:color="auto"/>
              <w:right w:val="single" w:sz="4" w:space="0" w:color="auto"/>
            </w:tcBorders>
          </w:tcPr>
          <w:p w14:paraId="07C5F645" w14:textId="77777777" w:rsidR="003E23C2" w:rsidRDefault="00E420B3">
            <w:pPr>
              <w:pStyle w:val="Tabletext"/>
              <w:framePr w:hSpace="181" w:wrap="notBeside" w:vAnchor="text" w:hAnchor="text" w:xAlign="center" w:y="1"/>
              <w:spacing w:before="100" w:after="100" w:line="240" w:lineRule="exact"/>
              <w:jc w:val="center"/>
              <w:rPr>
                <w:lang w:val="fr-CH"/>
              </w:rPr>
            </w:pPr>
            <w:r>
              <w:rPr>
                <w:lang w:val="fr-CH"/>
              </w:rPr>
              <w:t xml:space="preserve">1,5 </w:t>
            </w:r>
            <w:r>
              <w:rPr>
                <w:i/>
                <w:iCs/>
              </w:rPr>
              <w:t>B</w:t>
            </w:r>
            <w:r>
              <w:rPr>
                <w:i/>
                <w:iCs/>
                <w:position w:val="-4"/>
                <w:sz w:val="18"/>
              </w:rPr>
              <w:t>N</w:t>
            </w:r>
            <w:r>
              <w:t xml:space="preserve"> </w:t>
            </w:r>
            <w:r>
              <w:rPr>
                <w:rFonts w:ascii="Symbol" w:hAnsi="Symbol"/>
                <w:lang w:val="en-US"/>
              </w:rPr>
              <w:t></w:t>
            </w:r>
            <w:r>
              <w:rPr>
                <w:lang w:val="fr-CH"/>
              </w:rPr>
              <w:t xml:space="preserve"> 500 MHz</w:t>
            </w:r>
          </w:p>
        </w:tc>
      </w:tr>
      <w:tr w:rsidR="003E23C2" w14:paraId="30B57A74" w14:textId="77777777">
        <w:trPr>
          <w:jc w:val="center"/>
        </w:trPr>
        <w:tc>
          <w:tcPr>
            <w:tcW w:w="1985" w:type="dxa"/>
            <w:tcBorders>
              <w:top w:val="single" w:sz="4" w:space="0" w:color="auto"/>
              <w:left w:val="single" w:sz="4" w:space="0" w:color="auto"/>
            </w:tcBorders>
          </w:tcPr>
          <w:p w14:paraId="2930AC5C" w14:textId="77777777" w:rsidR="003E23C2" w:rsidRDefault="00E420B3">
            <w:pPr>
              <w:pStyle w:val="Tabletext"/>
              <w:framePr w:hSpace="181" w:wrap="notBeside" w:vAnchor="text" w:hAnchor="text" w:xAlign="center" w:y="1"/>
              <w:spacing w:before="100" w:after="100" w:line="240" w:lineRule="exact"/>
              <w:jc w:val="left"/>
              <w:rPr>
                <w:lang w:val="es-ES"/>
              </w:rPr>
            </w:pPr>
            <w:r>
              <w:rPr>
                <w:lang w:val="es-ES"/>
              </w:rPr>
              <w:t>SFS</w:t>
            </w:r>
          </w:p>
        </w:tc>
        <w:tc>
          <w:tcPr>
            <w:tcW w:w="2835" w:type="dxa"/>
            <w:tcBorders>
              <w:top w:val="single" w:sz="4" w:space="0" w:color="auto"/>
            </w:tcBorders>
          </w:tcPr>
          <w:p w14:paraId="4B510B7B" w14:textId="77777777" w:rsidR="003E23C2" w:rsidRDefault="00E420B3">
            <w:pPr>
              <w:pStyle w:val="Tabletext"/>
              <w:framePr w:hSpace="181" w:wrap="notBeside" w:vAnchor="text" w:hAnchor="text" w:xAlign="center" w:y="1"/>
              <w:spacing w:before="100" w:after="100" w:line="240" w:lineRule="exact"/>
              <w:ind w:left="-57" w:right="-57"/>
              <w:jc w:val="center"/>
              <w:rPr>
                <w:lang w:val="es-ES"/>
              </w:rPr>
            </w:pPr>
            <w:r>
              <w:rPr>
                <w:lang w:val="es-ES"/>
              </w:rPr>
              <w:t>7,25-7,75 GHz y 7,9-8,4 GHz</w:t>
            </w:r>
          </w:p>
        </w:tc>
        <w:tc>
          <w:tcPr>
            <w:tcW w:w="1432" w:type="dxa"/>
            <w:tcBorders>
              <w:top w:val="single" w:sz="4" w:space="0" w:color="auto"/>
              <w:right w:val="single" w:sz="4" w:space="0" w:color="auto"/>
            </w:tcBorders>
          </w:tcPr>
          <w:p w14:paraId="7F324126" w14:textId="77777777" w:rsidR="003E23C2" w:rsidRDefault="00E420B3">
            <w:pPr>
              <w:pStyle w:val="Tabletext"/>
              <w:framePr w:hSpace="181" w:wrap="notBeside" w:vAnchor="text" w:hAnchor="text" w:xAlign="center" w:y="1"/>
              <w:spacing w:before="100" w:after="100" w:line="240" w:lineRule="exact"/>
              <w:jc w:val="center"/>
              <w:rPr>
                <w:lang w:val="es-ES"/>
              </w:rPr>
            </w:pPr>
            <w:r>
              <w:rPr>
                <w:lang w:val="es-ES"/>
              </w:rPr>
              <w:t>250 MHz</w:t>
            </w:r>
          </w:p>
        </w:tc>
        <w:tc>
          <w:tcPr>
            <w:tcW w:w="1985" w:type="dxa"/>
            <w:tcBorders>
              <w:top w:val="single" w:sz="4" w:space="0" w:color="auto"/>
              <w:right w:val="single" w:sz="4" w:space="0" w:color="auto"/>
            </w:tcBorders>
          </w:tcPr>
          <w:p w14:paraId="45FA5C58" w14:textId="77777777" w:rsidR="003E23C2" w:rsidRDefault="00E420B3">
            <w:pPr>
              <w:pStyle w:val="Tabletext"/>
              <w:framePr w:hSpace="181" w:wrap="notBeside" w:vAnchor="text" w:hAnchor="text" w:xAlign="center" w:y="1"/>
              <w:spacing w:before="100" w:after="100" w:line="240" w:lineRule="exact"/>
              <w:jc w:val="center"/>
              <w:rPr>
                <w:lang w:val="es-ES"/>
              </w:rPr>
            </w:pPr>
            <w:r>
              <w:rPr>
                <w:lang w:val="es-ES"/>
              </w:rPr>
              <w:t xml:space="preserve">1,5 </w:t>
            </w:r>
            <w:r>
              <w:rPr>
                <w:i/>
                <w:iCs/>
              </w:rPr>
              <w:t>B</w:t>
            </w:r>
            <w:r>
              <w:rPr>
                <w:i/>
                <w:iCs/>
                <w:position w:val="-4"/>
                <w:sz w:val="18"/>
              </w:rPr>
              <w:t>N</w:t>
            </w:r>
            <w:r>
              <w:t xml:space="preserve"> </w:t>
            </w:r>
            <w:r>
              <w:rPr>
                <w:rFonts w:ascii="Symbol" w:hAnsi="Symbol"/>
              </w:rPr>
              <w:t></w:t>
            </w:r>
            <w:r>
              <w:rPr>
                <w:lang w:val="es-ES"/>
              </w:rPr>
              <w:t xml:space="preserve"> 250 MHz</w:t>
            </w:r>
          </w:p>
        </w:tc>
      </w:tr>
      <w:tr w:rsidR="003E23C2" w14:paraId="62543DD7" w14:textId="77777777">
        <w:trPr>
          <w:jc w:val="center"/>
        </w:trPr>
        <w:tc>
          <w:tcPr>
            <w:tcW w:w="1985" w:type="dxa"/>
            <w:tcBorders>
              <w:left w:val="single" w:sz="4" w:space="0" w:color="auto"/>
            </w:tcBorders>
          </w:tcPr>
          <w:p w14:paraId="3D278FDA" w14:textId="77777777" w:rsidR="003E23C2" w:rsidRDefault="00E420B3">
            <w:pPr>
              <w:pStyle w:val="Tabletext"/>
              <w:framePr w:hSpace="181" w:wrap="notBeside" w:vAnchor="text" w:hAnchor="text" w:xAlign="center" w:y="1"/>
              <w:spacing w:before="100" w:after="100" w:line="240" w:lineRule="exact"/>
              <w:jc w:val="left"/>
              <w:rPr>
                <w:lang w:val="fr-CH"/>
              </w:rPr>
            </w:pPr>
            <w:r>
              <w:rPr>
                <w:lang w:val="fr-CH"/>
              </w:rPr>
              <w:t>SFS</w:t>
            </w:r>
          </w:p>
        </w:tc>
        <w:tc>
          <w:tcPr>
            <w:tcW w:w="2835" w:type="dxa"/>
          </w:tcPr>
          <w:p w14:paraId="31C684A0" w14:textId="77777777" w:rsidR="003E23C2" w:rsidRDefault="00E420B3">
            <w:pPr>
              <w:pStyle w:val="Tabletext"/>
              <w:framePr w:hSpace="181" w:wrap="notBeside" w:vAnchor="text" w:hAnchor="text" w:xAlign="center" w:y="1"/>
              <w:spacing w:before="100" w:after="100" w:line="240" w:lineRule="exact"/>
              <w:jc w:val="center"/>
              <w:rPr>
                <w:lang w:val="fr-CH"/>
              </w:rPr>
            </w:pPr>
            <w:r>
              <w:rPr>
                <w:lang w:val="fr-CH"/>
              </w:rPr>
              <w:t>10,7-12,75 GHz</w:t>
            </w:r>
          </w:p>
        </w:tc>
        <w:tc>
          <w:tcPr>
            <w:tcW w:w="1432" w:type="dxa"/>
            <w:tcBorders>
              <w:right w:val="single" w:sz="4" w:space="0" w:color="auto"/>
            </w:tcBorders>
          </w:tcPr>
          <w:p w14:paraId="27DAAD37" w14:textId="77777777" w:rsidR="003E23C2" w:rsidRDefault="00E420B3">
            <w:pPr>
              <w:pStyle w:val="Tabletext"/>
              <w:framePr w:hSpace="181" w:wrap="notBeside" w:vAnchor="text" w:hAnchor="text" w:xAlign="center" w:y="1"/>
              <w:spacing w:before="100" w:after="100" w:line="240" w:lineRule="exact"/>
              <w:jc w:val="center"/>
              <w:rPr>
                <w:lang w:val="fr-CH"/>
              </w:rPr>
            </w:pPr>
            <w:r>
              <w:rPr>
                <w:lang w:val="fr-CH"/>
              </w:rPr>
              <w:t>500 MHz</w:t>
            </w:r>
          </w:p>
        </w:tc>
        <w:tc>
          <w:tcPr>
            <w:tcW w:w="1985" w:type="dxa"/>
            <w:tcBorders>
              <w:right w:val="single" w:sz="4" w:space="0" w:color="auto"/>
            </w:tcBorders>
          </w:tcPr>
          <w:p w14:paraId="0B33EE93" w14:textId="77777777" w:rsidR="003E23C2" w:rsidRDefault="00E420B3">
            <w:pPr>
              <w:pStyle w:val="Tabletext"/>
              <w:framePr w:hSpace="181" w:wrap="notBeside" w:vAnchor="text" w:hAnchor="text" w:xAlign="center" w:y="1"/>
              <w:spacing w:before="100" w:after="100" w:line="240" w:lineRule="exact"/>
              <w:jc w:val="center"/>
              <w:rPr>
                <w:lang w:val="es-ES"/>
              </w:rPr>
            </w:pPr>
            <w:r>
              <w:rPr>
                <w:lang w:val="es-ES"/>
              </w:rPr>
              <w:t xml:space="preserve">1,5 </w:t>
            </w:r>
            <w:r>
              <w:rPr>
                <w:i/>
                <w:iCs/>
                <w:lang w:val="es-ES"/>
              </w:rPr>
              <w:t>B</w:t>
            </w:r>
            <w:r>
              <w:rPr>
                <w:i/>
                <w:iCs/>
                <w:position w:val="-4"/>
                <w:sz w:val="18"/>
                <w:lang w:val="es-ES"/>
              </w:rPr>
              <w:t>N</w:t>
            </w:r>
            <w:r>
              <w:rPr>
                <w:lang w:val="es-ES"/>
              </w:rPr>
              <w:t xml:space="preserve"> </w:t>
            </w:r>
            <w:r>
              <w:rPr>
                <w:rFonts w:ascii="Symbol" w:hAnsi="Symbol"/>
              </w:rPr>
              <w:t></w:t>
            </w:r>
            <w:r>
              <w:rPr>
                <w:lang w:val="es-ES"/>
              </w:rPr>
              <w:t xml:space="preserve"> 500 MHz</w:t>
            </w:r>
          </w:p>
        </w:tc>
      </w:tr>
      <w:tr w:rsidR="003E23C2" w14:paraId="003BA820" w14:textId="77777777">
        <w:trPr>
          <w:jc w:val="center"/>
        </w:trPr>
        <w:tc>
          <w:tcPr>
            <w:tcW w:w="1985" w:type="dxa"/>
            <w:tcBorders>
              <w:left w:val="single" w:sz="4" w:space="0" w:color="auto"/>
            </w:tcBorders>
          </w:tcPr>
          <w:p w14:paraId="54D54309" w14:textId="77777777" w:rsidR="003E23C2" w:rsidRDefault="00E420B3">
            <w:pPr>
              <w:pStyle w:val="Tabletext"/>
              <w:framePr w:hSpace="181" w:wrap="notBeside" w:vAnchor="text" w:hAnchor="text" w:xAlign="center" w:y="1"/>
              <w:spacing w:before="100" w:after="100" w:line="240" w:lineRule="exact"/>
              <w:jc w:val="left"/>
              <w:rPr>
                <w:lang w:val="es-ES"/>
              </w:rPr>
            </w:pPr>
            <w:r>
              <w:rPr>
                <w:lang w:val="es-ES"/>
              </w:rPr>
              <w:t>Servicio de radiodifusión por satélite (SRS)</w:t>
            </w:r>
          </w:p>
        </w:tc>
        <w:tc>
          <w:tcPr>
            <w:tcW w:w="2835" w:type="dxa"/>
          </w:tcPr>
          <w:p w14:paraId="1479999F" w14:textId="77777777" w:rsidR="003E23C2" w:rsidRDefault="00E420B3">
            <w:pPr>
              <w:pStyle w:val="Tabletext"/>
              <w:framePr w:hSpace="181" w:wrap="notBeside" w:vAnchor="text" w:hAnchor="text" w:xAlign="center" w:y="1"/>
              <w:spacing w:before="100" w:after="100" w:line="240" w:lineRule="exact"/>
              <w:jc w:val="center"/>
              <w:rPr>
                <w:lang w:val="fr-CH"/>
              </w:rPr>
            </w:pPr>
            <w:r>
              <w:rPr>
                <w:lang w:val="fr-CH"/>
              </w:rPr>
              <w:t>11,7-12,75 GHz</w:t>
            </w:r>
          </w:p>
        </w:tc>
        <w:tc>
          <w:tcPr>
            <w:tcW w:w="1432" w:type="dxa"/>
            <w:tcBorders>
              <w:right w:val="single" w:sz="4" w:space="0" w:color="auto"/>
            </w:tcBorders>
          </w:tcPr>
          <w:p w14:paraId="18072B13" w14:textId="77777777" w:rsidR="003E23C2" w:rsidRDefault="00E420B3">
            <w:pPr>
              <w:pStyle w:val="Tabletext"/>
              <w:framePr w:hSpace="181" w:wrap="notBeside" w:vAnchor="text" w:hAnchor="text" w:xAlign="center" w:y="1"/>
              <w:spacing w:before="100" w:after="100" w:line="240" w:lineRule="exact"/>
              <w:jc w:val="center"/>
              <w:rPr>
                <w:lang w:val="fr-CH"/>
              </w:rPr>
            </w:pPr>
            <w:r>
              <w:rPr>
                <w:lang w:val="fr-CH"/>
              </w:rPr>
              <w:t>500 MHz</w:t>
            </w:r>
          </w:p>
        </w:tc>
        <w:tc>
          <w:tcPr>
            <w:tcW w:w="1985" w:type="dxa"/>
            <w:tcBorders>
              <w:right w:val="single" w:sz="4" w:space="0" w:color="auto"/>
            </w:tcBorders>
          </w:tcPr>
          <w:p w14:paraId="660C4839" w14:textId="77777777" w:rsidR="003E23C2" w:rsidRDefault="00E420B3">
            <w:pPr>
              <w:pStyle w:val="Tabletext"/>
              <w:framePr w:hSpace="181" w:wrap="notBeside" w:vAnchor="text" w:hAnchor="text" w:xAlign="center" w:y="1"/>
              <w:spacing w:before="100" w:after="100" w:line="240" w:lineRule="exact"/>
              <w:jc w:val="center"/>
              <w:rPr>
                <w:lang w:val="fr-CH"/>
              </w:rPr>
            </w:pPr>
            <w:r>
              <w:rPr>
                <w:lang w:val="fr-CH"/>
              </w:rPr>
              <w:t xml:space="preserve">1,5 </w:t>
            </w:r>
            <w:r>
              <w:rPr>
                <w:i/>
                <w:iCs/>
              </w:rPr>
              <w:t>B</w:t>
            </w:r>
            <w:r>
              <w:rPr>
                <w:i/>
                <w:iCs/>
                <w:position w:val="-4"/>
                <w:sz w:val="18"/>
              </w:rPr>
              <w:t>N</w:t>
            </w:r>
            <w:r>
              <w:t xml:space="preserve"> </w:t>
            </w:r>
            <w:r>
              <w:rPr>
                <w:rFonts w:ascii="Symbol" w:hAnsi="Symbol"/>
              </w:rPr>
              <w:t></w:t>
            </w:r>
            <w:r>
              <w:rPr>
                <w:lang w:val="fr-CH"/>
              </w:rPr>
              <w:t xml:space="preserve"> 500 MHz</w:t>
            </w:r>
          </w:p>
        </w:tc>
      </w:tr>
      <w:tr w:rsidR="003E23C2" w14:paraId="1CE309F2" w14:textId="77777777">
        <w:trPr>
          <w:jc w:val="center"/>
        </w:trPr>
        <w:tc>
          <w:tcPr>
            <w:tcW w:w="1985" w:type="dxa"/>
            <w:tcBorders>
              <w:left w:val="single" w:sz="4" w:space="0" w:color="auto"/>
            </w:tcBorders>
          </w:tcPr>
          <w:p w14:paraId="0BAD78F1" w14:textId="77777777" w:rsidR="003E23C2" w:rsidRDefault="00E420B3">
            <w:pPr>
              <w:pStyle w:val="Tabletext"/>
              <w:framePr w:hSpace="181" w:wrap="notBeside" w:vAnchor="text" w:hAnchor="text" w:xAlign="center" w:y="1"/>
              <w:spacing w:before="100" w:after="100" w:line="240" w:lineRule="exact"/>
              <w:jc w:val="left"/>
              <w:rPr>
                <w:lang w:val="fr-CH"/>
              </w:rPr>
            </w:pPr>
            <w:r>
              <w:rPr>
                <w:lang w:val="fr-CH"/>
              </w:rPr>
              <w:t>SFS</w:t>
            </w:r>
          </w:p>
        </w:tc>
        <w:tc>
          <w:tcPr>
            <w:tcW w:w="2835" w:type="dxa"/>
          </w:tcPr>
          <w:p w14:paraId="19057A90" w14:textId="77777777" w:rsidR="003E23C2" w:rsidRDefault="00E420B3">
            <w:pPr>
              <w:pStyle w:val="Tabletext"/>
              <w:framePr w:hSpace="181" w:wrap="notBeside" w:vAnchor="text" w:hAnchor="text" w:xAlign="center" w:y="1"/>
              <w:spacing w:before="100" w:after="100" w:line="240" w:lineRule="exact"/>
              <w:jc w:val="center"/>
              <w:rPr>
                <w:lang w:val="fr-CH"/>
              </w:rPr>
            </w:pPr>
            <w:r>
              <w:rPr>
                <w:lang w:val="fr-CH"/>
              </w:rPr>
              <w:t>12,75-13,25 GHz</w:t>
            </w:r>
          </w:p>
        </w:tc>
        <w:tc>
          <w:tcPr>
            <w:tcW w:w="1432" w:type="dxa"/>
            <w:tcBorders>
              <w:right w:val="single" w:sz="4" w:space="0" w:color="auto"/>
            </w:tcBorders>
          </w:tcPr>
          <w:p w14:paraId="023BB355" w14:textId="77777777" w:rsidR="003E23C2" w:rsidRDefault="00E420B3">
            <w:pPr>
              <w:pStyle w:val="Tabletext"/>
              <w:framePr w:hSpace="181" w:wrap="notBeside" w:vAnchor="text" w:hAnchor="text" w:xAlign="center" w:y="1"/>
              <w:spacing w:before="100" w:after="100" w:line="240" w:lineRule="exact"/>
              <w:jc w:val="center"/>
              <w:rPr>
                <w:lang w:val="fr-CH"/>
              </w:rPr>
            </w:pPr>
            <w:r>
              <w:rPr>
                <w:lang w:val="fr-CH"/>
              </w:rPr>
              <w:t>500 MHz</w:t>
            </w:r>
          </w:p>
        </w:tc>
        <w:tc>
          <w:tcPr>
            <w:tcW w:w="1985" w:type="dxa"/>
            <w:tcBorders>
              <w:right w:val="single" w:sz="4" w:space="0" w:color="auto"/>
            </w:tcBorders>
          </w:tcPr>
          <w:p w14:paraId="475B83FB" w14:textId="77777777" w:rsidR="003E23C2" w:rsidRDefault="00E420B3">
            <w:pPr>
              <w:pStyle w:val="Tabletext"/>
              <w:framePr w:hSpace="181" w:wrap="notBeside" w:vAnchor="text" w:hAnchor="text" w:xAlign="center" w:y="1"/>
              <w:spacing w:before="100" w:after="100" w:line="240" w:lineRule="exact"/>
              <w:jc w:val="center"/>
              <w:rPr>
                <w:lang w:val="fr-CH"/>
              </w:rPr>
            </w:pPr>
            <w:r>
              <w:rPr>
                <w:lang w:val="fr-CH"/>
              </w:rPr>
              <w:t xml:space="preserve">1,5 </w:t>
            </w:r>
            <w:r>
              <w:rPr>
                <w:i/>
                <w:iCs/>
              </w:rPr>
              <w:t>B</w:t>
            </w:r>
            <w:r>
              <w:rPr>
                <w:i/>
                <w:iCs/>
                <w:position w:val="-4"/>
                <w:sz w:val="18"/>
              </w:rPr>
              <w:t>N</w:t>
            </w:r>
            <w:r>
              <w:t xml:space="preserve"> </w:t>
            </w:r>
            <w:r>
              <w:rPr>
                <w:rFonts w:ascii="Symbol" w:hAnsi="Symbol"/>
              </w:rPr>
              <w:t></w:t>
            </w:r>
            <w:r>
              <w:rPr>
                <w:lang w:val="fr-CH"/>
              </w:rPr>
              <w:t xml:space="preserve"> 500 MHz</w:t>
            </w:r>
          </w:p>
        </w:tc>
      </w:tr>
      <w:tr w:rsidR="003E23C2" w14:paraId="6DBCF4C1" w14:textId="77777777">
        <w:trPr>
          <w:jc w:val="center"/>
        </w:trPr>
        <w:tc>
          <w:tcPr>
            <w:tcW w:w="1985" w:type="dxa"/>
            <w:tcBorders>
              <w:left w:val="single" w:sz="4" w:space="0" w:color="auto"/>
            </w:tcBorders>
          </w:tcPr>
          <w:p w14:paraId="4D013BDD" w14:textId="77777777" w:rsidR="003E23C2" w:rsidRDefault="00E420B3">
            <w:pPr>
              <w:pStyle w:val="Tabletext"/>
              <w:framePr w:hSpace="181" w:wrap="notBeside" w:vAnchor="text" w:hAnchor="text" w:xAlign="center" w:y="1"/>
              <w:spacing w:before="100" w:after="100" w:line="240" w:lineRule="exact"/>
              <w:jc w:val="left"/>
              <w:rPr>
                <w:lang w:val="fr-CH"/>
              </w:rPr>
            </w:pPr>
            <w:r>
              <w:rPr>
                <w:lang w:val="fr-CH"/>
              </w:rPr>
              <w:t>SFS</w:t>
            </w:r>
          </w:p>
        </w:tc>
        <w:tc>
          <w:tcPr>
            <w:tcW w:w="2835" w:type="dxa"/>
          </w:tcPr>
          <w:p w14:paraId="43627AE8" w14:textId="77777777" w:rsidR="003E23C2" w:rsidRDefault="00E420B3">
            <w:pPr>
              <w:pStyle w:val="Tabletext"/>
              <w:framePr w:hSpace="181" w:wrap="notBeside" w:vAnchor="text" w:hAnchor="text" w:xAlign="center" w:y="1"/>
              <w:spacing w:before="100" w:after="100" w:line="240" w:lineRule="exact"/>
              <w:jc w:val="center"/>
              <w:rPr>
                <w:lang w:val="fr-CH"/>
              </w:rPr>
            </w:pPr>
            <w:r>
              <w:rPr>
                <w:lang w:val="fr-CH"/>
              </w:rPr>
              <w:t>13,75-14,8 GHz</w:t>
            </w:r>
          </w:p>
        </w:tc>
        <w:tc>
          <w:tcPr>
            <w:tcW w:w="1432" w:type="dxa"/>
            <w:tcBorders>
              <w:right w:val="single" w:sz="4" w:space="0" w:color="auto"/>
            </w:tcBorders>
          </w:tcPr>
          <w:p w14:paraId="3411E628" w14:textId="77777777" w:rsidR="003E23C2" w:rsidRDefault="00E420B3">
            <w:pPr>
              <w:pStyle w:val="Tabletext"/>
              <w:framePr w:hSpace="181" w:wrap="notBeside" w:vAnchor="text" w:hAnchor="text" w:xAlign="center" w:y="1"/>
              <w:spacing w:before="100" w:after="100" w:line="240" w:lineRule="exact"/>
              <w:jc w:val="center"/>
              <w:rPr>
                <w:lang w:val="fr-CH"/>
              </w:rPr>
            </w:pPr>
            <w:r>
              <w:rPr>
                <w:lang w:val="fr-CH"/>
              </w:rPr>
              <w:t>500 MHz</w:t>
            </w:r>
          </w:p>
        </w:tc>
        <w:tc>
          <w:tcPr>
            <w:tcW w:w="1985" w:type="dxa"/>
            <w:tcBorders>
              <w:right w:val="single" w:sz="4" w:space="0" w:color="auto"/>
            </w:tcBorders>
          </w:tcPr>
          <w:p w14:paraId="2DB75823" w14:textId="77777777" w:rsidR="003E23C2" w:rsidRDefault="00E420B3">
            <w:pPr>
              <w:pStyle w:val="Tabletext"/>
              <w:framePr w:hSpace="181" w:wrap="notBeside" w:vAnchor="text" w:hAnchor="text" w:xAlign="center" w:y="1"/>
              <w:spacing w:before="100" w:after="100" w:line="240" w:lineRule="exact"/>
              <w:jc w:val="center"/>
              <w:rPr>
                <w:lang w:val="es-ES"/>
              </w:rPr>
            </w:pPr>
            <w:r>
              <w:rPr>
                <w:lang w:val="es-ES"/>
              </w:rPr>
              <w:t xml:space="preserve">1,5 </w:t>
            </w:r>
            <w:r>
              <w:rPr>
                <w:i/>
                <w:iCs/>
                <w:lang w:val="es-ES"/>
              </w:rPr>
              <w:t>B</w:t>
            </w:r>
            <w:r>
              <w:rPr>
                <w:i/>
                <w:iCs/>
                <w:position w:val="-4"/>
                <w:sz w:val="18"/>
                <w:lang w:val="es-ES"/>
              </w:rPr>
              <w:t>N</w:t>
            </w:r>
            <w:r>
              <w:rPr>
                <w:lang w:val="es-ES"/>
              </w:rPr>
              <w:t xml:space="preserve"> </w:t>
            </w:r>
            <w:r>
              <w:rPr>
                <w:rFonts w:ascii="Symbol" w:hAnsi="Symbol"/>
              </w:rPr>
              <w:t></w:t>
            </w:r>
            <w:r>
              <w:rPr>
                <w:lang w:val="es-ES"/>
              </w:rPr>
              <w:t xml:space="preserve"> 500 MHz</w:t>
            </w:r>
          </w:p>
        </w:tc>
      </w:tr>
    </w:tbl>
    <w:p w14:paraId="0506793E" w14:textId="77777777" w:rsidR="003E23C2" w:rsidRDefault="003E23C2">
      <w:pPr>
        <w:pStyle w:val="Tablefin"/>
      </w:pPr>
    </w:p>
    <w:p w14:paraId="6465ED01" w14:textId="77777777" w:rsidR="003E23C2" w:rsidRDefault="00E420B3">
      <w:pPr>
        <w:pStyle w:val="Heading2"/>
        <w:rPr>
          <w:lang w:val="es-ES"/>
        </w:rPr>
      </w:pPr>
      <w:r>
        <w:rPr>
          <w:lang w:val="es-ES"/>
        </w:rPr>
        <w:t>3.3</w:t>
      </w:r>
      <w:r>
        <w:rPr>
          <w:lang w:val="es-ES"/>
        </w:rPr>
        <w:tab/>
        <w:t>Radares primarios en el servicio de radiodeterminación y en otros servicios</w:t>
      </w:r>
    </w:p>
    <w:p w14:paraId="35422305" w14:textId="77777777" w:rsidR="003E23C2" w:rsidRDefault="00E420B3">
      <w:pPr>
        <w:rPr>
          <w:lang w:val="es-ES"/>
        </w:rPr>
      </w:pPr>
      <w:r>
        <w:rPr>
          <w:lang w:val="es-ES"/>
        </w:rPr>
        <w:t xml:space="preserve">Conforme al </w:t>
      </w:r>
      <w:r>
        <w:rPr>
          <w:i/>
          <w:iCs/>
          <w:lang w:val="es-ES"/>
        </w:rPr>
        <w:t xml:space="preserve">recomienda además </w:t>
      </w:r>
      <w:r>
        <w:rPr>
          <w:lang w:val="es-ES"/>
        </w:rPr>
        <w:t>2.3 de la Recomendación UIT-R SM.329, la región de emisiones no esenciales suele comenzar en una separación de frecuencias igual al 250% de la anchura de banda necesaria, con excepciones en algunos sistemas, incluidos los que tienen modulación digital o por impulsos. El Apéndice 3 del RR contiene algunas disposiciones similares. No obstante, es difícil aplicar el concepto general del límite de 250% de la anchura de banda necesaria a las estaciones de radar primario del servicio de radiodeterminación y de otros servicios, tales como el de ayuda a la meteorología, el de investigación espacial y el de exploración de la Tierra por satélite.</w:t>
      </w:r>
    </w:p>
    <w:p w14:paraId="4546409F" w14:textId="77777777" w:rsidR="003E23C2" w:rsidRDefault="00E420B3">
      <w:pPr>
        <w:rPr>
          <w:lang w:val="es-ES"/>
        </w:rPr>
      </w:pPr>
      <w:r>
        <w:rPr>
          <w:lang w:val="es-ES"/>
        </w:rPr>
        <w:t>En el caso de sistemas de radares primarios la máscara de fuera de banda cae a 20 dB por década desde la anchura de banda de 40 dB hasta el límite no esencial que se especifica en el Cuadro 2 de la Recomendación UIT-R SM.329. La definición detallada del dominio fuera de banda/no esencial figura en el Anexo 8 a la Recomendación UIT-R SM.1541.</w:t>
      </w:r>
    </w:p>
    <w:p w14:paraId="3329EA61" w14:textId="77777777" w:rsidR="003E23C2" w:rsidRDefault="00E420B3">
      <w:pPr>
        <w:rPr>
          <w:lang w:val="es-ES"/>
        </w:rPr>
      </w:pPr>
      <w:r>
        <w:rPr>
          <w:lang w:val="es-ES"/>
        </w:rPr>
        <w:t>La especificación del límite mencionada más arriba, es objeto de estudios en la UIT, con una meta de diseño de una caída de 40 dB por década, a partir de una anchura de banda de 40 dB.</w:t>
      </w:r>
    </w:p>
    <w:p w14:paraId="6A11642D" w14:textId="77777777" w:rsidR="003E23C2" w:rsidRDefault="00E420B3">
      <w:pPr>
        <w:rPr>
          <w:lang w:val="es-ES"/>
        </w:rPr>
      </w:pPr>
      <w:r>
        <w:rPr>
          <w:lang w:val="es-ES"/>
        </w:rPr>
        <w:t>Estos estudios deben completarse antes de la Asamblea de Radiocomunicaciones de 2006.</w:t>
      </w:r>
    </w:p>
    <w:p w14:paraId="383D037D" w14:textId="77777777" w:rsidR="003E23C2" w:rsidRPr="00087802" w:rsidRDefault="003E23C2">
      <w:pPr>
        <w:rPr>
          <w:lang w:val="es-ES"/>
        </w:rPr>
      </w:pPr>
    </w:p>
    <w:p w14:paraId="17BBB6E4" w14:textId="77777777" w:rsidR="003E23C2" w:rsidRPr="00087802" w:rsidRDefault="003E23C2">
      <w:pPr>
        <w:pStyle w:val="Line"/>
        <w:pBdr>
          <w:top w:val="single" w:sz="6" w:space="0" w:color="auto"/>
        </w:pBdr>
        <w:rPr>
          <w:lang w:val="es-ES"/>
        </w:rPr>
      </w:pPr>
    </w:p>
    <w:p w14:paraId="1764128F" w14:textId="77777777" w:rsidR="003E23C2" w:rsidRPr="00087802" w:rsidRDefault="003E23C2">
      <w:pPr>
        <w:rPr>
          <w:lang w:val="es-ES"/>
        </w:rPr>
      </w:pPr>
    </w:p>
    <w:sectPr w:rsidR="003E23C2" w:rsidRPr="00087802">
      <w:headerReference w:type="even" r:id="rId7"/>
      <w:headerReference w:type="default" r:id="rId8"/>
      <w:pgSz w:w="11907" w:h="16834" w:code="9"/>
      <w:pgMar w:top="1418" w:right="1134" w:bottom="1134" w:left="1134" w:header="720" w:footer="482" w:gutter="0"/>
      <w:paperSrc w:first="15" w:other="15"/>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79A24" w14:textId="77777777" w:rsidR="003E23C2" w:rsidRDefault="00E420B3">
      <w:pPr>
        <w:spacing w:before="0"/>
      </w:pPr>
      <w:r>
        <w:separator/>
      </w:r>
    </w:p>
  </w:endnote>
  <w:endnote w:type="continuationSeparator" w:id="0">
    <w:p w14:paraId="7E7F613E" w14:textId="77777777" w:rsidR="003E23C2" w:rsidRDefault="00E420B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E15A5" w14:textId="77777777" w:rsidR="003E23C2" w:rsidRDefault="00E420B3">
      <w:r>
        <w:t>____________________</w:t>
      </w:r>
    </w:p>
  </w:footnote>
  <w:footnote w:type="continuationSeparator" w:id="0">
    <w:p w14:paraId="24D848B6" w14:textId="77777777" w:rsidR="003E23C2" w:rsidRDefault="00E420B3">
      <w:pPr>
        <w:spacing w:before="0"/>
      </w:pPr>
      <w:r>
        <w:continuationSeparator/>
      </w:r>
    </w:p>
  </w:footnote>
  <w:footnote w:id="1">
    <w:p w14:paraId="3792CF63" w14:textId="1096ADF4" w:rsidR="008A596C" w:rsidRPr="00087802" w:rsidRDefault="008A596C" w:rsidP="008A596C">
      <w:pPr>
        <w:pStyle w:val="FootnoteText"/>
        <w:rPr>
          <w:lang w:val="es-ES"/>
        </w:rPr>
      </w:pPr>
      <w:r w:rsidRPr="00087802">
        <w:rPr>
          <w:rStyle w:val="FootnoteReference"/>
          <w:lang w:val="es-ES"/>
        </w:rPr>
        <w:t>*</w:t>
      </w:r>
      <w:r w:rsidRPr="00087802">
        <w:rPr>
          <w:lang w:val="es-ES"/>
        </w:rPr>
        <w:t xml:space="preserve"> </w:t>
      </w:r>
      <w:r w:rsidRPr="00087802">
        <w:rPr>
          <w:lang w:val="es-ES"/>
        </w:rPr>
        <w:tab/>
      </w:r>
      <w:r w:rsidRPr="008A596C">
        <w:rPr>
          <w:lang w:val="es-ES_tradnl"/>
        </w:rPr>
        <w:t>La Comisión de Estudio 1 de Radiocomunicaciones introdujo algunas modificaciones redaccionales en esta Recomendación en 2018</w:t>
      </w:r>
      <w:r w:rsidR="008E7B82">
        <w:rPr>
          <w:lang w:val="es-ES_tradnl"/>
        </w:rPr>
        <w:t xml:space="preserve"> y 2019</w:t>
      </w:r>
      <w:r w:rsidRPr="008A596C">
        <w:rPr>
          <w:lang w:val="es-ES_tradnl"/>
        </w:rPr>
        <w:t>, de conformidad con la Resolución UIT-R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6D92" w14:textId="5D241BED" w:rsidR="00087802" w:rsidRPr="00087802" w:rsidRDefault="00087802" w:rsidP="00087802">
    <w:pPr>
      <w:pStyle w:val="Header"/>
      <w:rPr>
        <w:b/>
        <w:bCs/>
        <w:lang w:val="en-US"/>
      </w:rPr>
    </w:pPr>
    <w:r w:rsidRPr="00087802">
      <w:rPr>
        <w:b/>
        <w:bCs/>
      </w:rPr>
      <w:fldChar w:fldCharType="begin"/>
    </w:r>
    <w:r w:rsidRPr="00087802">
      <w:rPr>
        <w:b/>
        <w:bCs/>
      </w:rPr>
      <w:instrText xml:space="preserve"> PAGE </w:instrText>
    </w:r>
    <w:r w:rsidRPr="00087802">
      <w:rPr>
        <w:b/>
        <w:bCs/>
      </w:rPr>
      <w:fldChar w:fldCharType="separate"/>
    </w:r>
    <w:r w:rsidR="0069711E">
      <w:rPr>
        <w:b/>
        <w:bCs/>
        <w:noProof/>
      </w:rPr>
      <w:t>4</w:t>
    </w:r>
    <w:r w:rsidRPr="00087802">
      <w:rPr>
        <w:b/>
        <w:bCs/>
      </w:rPr>
      <w:fldChar w:fldCharType="end"/>
    </w:r>
    <w:r w:rsidRPr="00087802">
      <w:rPr>
        <w:b/>
        <w:bCs/>
      </w:rPr>
      <w:tab/>
    </w:r>
    <w:r w:rsidRPr="00087802">
      <w:rPr>
        <w:b/>
        <w:bCs/>
      </w:rPr>
      <w:fldChar w:fldCharType="begin"/>
    </w:r>
    <w:r w:rsidRPr="00087802">
      <w:rPr>
        <w:b/>
        <w:bCs/>
      </w:rPr>
      <w:instrText xml:space="preserve"> DOCPROPERTY "Header" \* MERGEFORMAT </w:instrText>
    </w:r>
    <w:r w:rsidRPr="00087802">
      <w:rPr>
        <w:b/>
        <w:bCs/>
      </w:rPr>
      <w:fldChar w:fldCharType="separate"/>
    </w:r>
    <w:r w:rsidR="00A025A1">
      <w:rPr>
        <w:b/>
        <w:bCs/>
      </w:rPr>
      <w:t xml:space="preserve">Rec.  </w:t>
    </w:r>
    <w:r w:rsidRPr="00087802">
      <w:fldChar w:fldCharType="end"/>
    </w:r>
    <w:r w:rsidRPr="00087802">
      <w:rPr>
        <w:b/>
        <w:bCs/>
      </w:rPr>
      <w:fldChar w:fldCharType="begin"/>
    </w:r>
    <w:r w:rsidRPr="00087802">
      <w:rPr>
        <w:b/>
        <w:bCs/>
      </w:rPr>
      <w:instrText>styleref href</w:instrText>
    </w:r>
    <w:r w:rsidRPr="00087802">
      <w:rPr>
        <w:b/>
        <w:bCs/>
      </w:rPr>
      <w:fldChar w:fldCharType="separate"/>
    </w:r>
    <w:r w:rsidR="00A025A1">
      <w:rPr>
        <w:b/>
        <w:bCs/>
        <w:noProof/>
      </w:rPr>
      <w:t>UIT-R  SM.1539-1</w:t>
    </w:r>
    <w:r w:rsidRPr="00087802">
      <w:fldChar w:fldCharType="end"/>
    </w:r>
    <w:r w:rsidRPr="00087802">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63330" w14:textId="054B0565" w:rsidR="003E23C2" w:rsidRDefault="00087802" w:rsidP="00087802">
    <w:pPr>
      <w:pStyle w:val="Header"/>
      <w:rPr>
        <w:b/>
        <w:bCs/>
        <w:lang w:val="en-US"/>
      </w:rPr>
    </w:pPr>
    <w:r w:rsidRPr="00087802">
      <w:rPr>
        <w:b/>
        <w:bCs/>
      </w:rPr>
      <w:tab/>
    </w:r>
    <w:r w:rsidRPr="00087802">
      <w:rPr>
        <w:b/>
        <w:bCs/>
      </w:rPr>
      <w:fldChar w:fldCharType="begin"/>
    </w:r>
    <w:r w:rsidRPr="00087802">
      <w:rPr>
        <w:b/>
        <w:bCs/>
      </w:rPr>
      <w:instrText xml:space="preserve"> DOCPROPERTY "Header" \* MERGEFORMAT </w:instrText>
    </w:r>
    <w:r w:rsidRPr="00087802">
      <w:rPr>
        <w:b/>
        <w:bCs/>
      </w:rPr>
      <w:fldChar w:fldCharType="separate"/>
    </w:r>
    <w:r w:rsidR="00A025A1">
      <w:rPr>
        <w:b/>
        <w:bCs/>
      </w:rPr>
      <w:t xml:space="preserve">Rec.  </w:t>
    </w:r>
    <w:r w:rsidRPr="00087802">
      <w:rPr>
        <w:b/>
        <w:bCs/>
        <w:lang w:val="en-US"/>
      </w:rPr>
      <w:fldChar w:fldCharType="end"/>
    </w:r>
    <w:r w:rsidRPr="00087802">
      <w:rPr>
        <w:b/>
        <w:bCs/>
      </w:rPr>
      <w:fldChar w:fldCharType="begin"/>
    </w:r>
    <w:r w:rsidRPr="00087802">
      <w:rPr>
        <w:b/>
        <w:bCs/>
      </w:rPr>
      <w:instrText>styleref href</w:instrText>
    </w:r>
    <w:r w:rsidRPr="00087802">
      <w:rPr>
        <w:b/>
        <w:bCs/>
      </w:rPr>
      <w:fldChar w:fldCharType="separate"/>
    </w:r>
    <w:r w:rsidR="00A025A1">
      <w:rPr>
        <w:b/>
        <w:bCs/>
        <w:noProof/>
      </w:rPr>
      <w:t>UIT-R  SM.1539-1</w:t>
    </w:r>
    <w:r w:rsidRPr="00087802">
      <w:rPr>
        <w:b/>
        <w:bCs/>
        <w:lang w:val="en-US"/>
      </w:rPr>
      <w:fldChar w:fldCharType="end"/>
    </w:r>
    <w:r w:rsidRPr="00087802">
      <w:rPr>
        <w:b/>
        <w:bCs/>
      </w:rPr>
      <w:tab/>
    </w:r>
    <w:r w:rsidRPr="00087802">
      <w:rPr>
        <w:b/>
        <w:bCs/>
      </w:rPr>
      <w:fldChar w:fldCharType="begin"/>
    </w:r>
    <w:r w:rsidRPr="00087802">
      <w:rPr>
        <w:b/>
        <w:bCs/>
      </w:rPr>
      <w:instrText xml:space="preserve"> PAGE </w:instrText>
    </w:r>
    <w:r w:rsidRPr="00087802">
      <w:rPr>
        <w:b/>
        <w:bCs/>
      </w:rPr>
      <w:fldChar w:fldCharType="separate"/>
    </w:r>
    <w:r w:rsidR="0069711E">
      <w:rPr>
        <w:b/>
        <w:bCs/>
        <w:noProof/>
      </w:rPr>
      <w:t>5</w:t>
    </w:r>
    <w:r w:rsidRPr="00087802">
      <w:rPr>
        <w:b/>
        <w:bCs/>
        <w:lang w:val="en-U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420B3"/>
    <w:rsid w:val="00087802"/>
    <w:rsid w:val="00341E05"/>
    <w:rsid w:val="003E23C2"/>
    <w:rsid w:val="004A7DCA"/>
    <w:rsid w:val="0069711E"/>
    <w:rsid w:val="008A596C"/>
    <w:rsid w:val="008E7B82"/>
    <w:rsid w:val="00A025A1"/>
    <w:rsid w:val="00D943C5"/>
    <w:rsid w:val="00E420B3"/>
    <w:rsid w:val="00F93C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1F7AE79"/>
  <w15:chartTrackingRefBased/>
  <w15:docId w15:val="{5F056317-2A82-424E-81FD-9B31BB69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6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pPr>
      <w:tabs>
        <w:tab w:val="left" w:pos="3261"/>
      </w:tabs>
      <w:spacing w:before="80"/>
      <w:ind w:left="3261" w:hanging="993"/>
    </w:pPr>
  </w:style>
  <w:style w:type="paragraph" w:styleId="TOC3">
    <w:name w:val="toc 3"/>
    <w:basedOn w:val="TOC2"/>
    <w:semiHidden/>
    <w:pPr>
      <w:tabs>
        <w:tab w:val="clear" w:pos="1276"/>
        <w:tab w:val="left" w:pos="2155"/>
      </w:tabs>
      <w:ind w:left="2155" w:hanging="879"/>
    </w:pPr>
  </w:style>
  <w:style w:type="paragraph" w:styleId="TOC2">
    <w:name w:val="toc 2"/>
    <w:basedOn w:val="TOC1"/>
    <w:semiHidden/>
    <w:pPr>
      <w:tabs>
        <w:tab w:val="clear" w:pos="567"/>
        <w:tab w:val="left" w:pos="1276"/>
      </w:tabs>
      <w:spacing w:before="160"/>
      <w:ind w:left="1276" w:hanging="709"/>
    </w:p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AnnexNo">
    <w:name w:val="Annex_No"/>
    <w:basedOn w:val="Normal"/>
    <w:next w:val="Annextitle"/>
    <w:rsid w:val="008A596C"/>
    <w:pPr>
      <w:keepNext/>
      <w:keepLines/>
      <w:spacing w:before="480" w:after="80"/>
      <w:jc w:val="center"/>
      <w:outlineLvl w:val="0"/>
    </w:pPr>
    <w:rPr>
      <w:sz w:val="28"/>
    </w:rPr>
  </w:style>
  <w:style w:type="paragraph" w:customStyle="1" w:styleId="Annextitle">
    <w:name w:val="Annex_title"/>
    <w:basedOn w:val="Arttitle"/>
    <w:next w:val="Normalaftertitle"/>
    <w:pPr>
      <w:tabs>
        <w:tab w:val="clear" w:pos="794"/>
        <w:tab w:val="clear" w:pos="1191"/>
        <w:tab w:val="clear" w:pos="1588"/>
        <w:tab w:val="clear" w:pos="1985"/>
      </w:tabs>
      <w:spacing w:before="280" w:after="40"/>
    </w:pPr>
  </w:style>
  <w:style w:type="paragraph" w:customStyle="1" w:styleId="Arttitle">
    <w:name w:val="Art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20"/>
    </w:pPr>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s>
      <w:spacing w:before="0"/>
    </w:pPr>
    <w:rPr>
      <w:noProof/>
      <w:sz w:val="18"/>
    </w:rPr>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NormalIndent">
    <w:name w:val="Normal Indent"/>
    <w:basedOn w:val="Normal"/>
    <w:semiHidden/>
    <w:pPr>
      <w:ind w:left="794"/>
    </w:p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customStyle="1" w:styleId="FirstFooter">
    <w:name w:val="FirstFooter"/>
    <w:basedOn w:val="Footer"/>
    <w:pPr>
      <w:overflowPunct/>
      <w:autoSpaceDE/>
      <w:autoSpaceDN/>
      <w:adjustRightInd/>
      <w:spacing w:before="40"/>
      <w:textAlignment w:val="auto"/>
    </w:pPr>
    <w:rPr>
      <w:caps/>
      <w:noProof w:val="0"/>
      <w:lang w:val="en-GB"/>
    </w:r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
    <w:pPr>
      <w:spacing w:before="840"/>
      <w:jc w:val="center"/>
    </w:pPr>
    <w:rPr>
      <w:b/>
      <w:sz w:val="28"/>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rPr>
  </w:style>
  <w:style w:type="paragraph" w:customStyle="1" w:styleId="Title3">
    <w:name w:val="Title 3"/>
    <w:basedOn w:val="Title2"/>
    <w:next w:val="Title4"/>
    <w:pPr>
      <w:spacing w:before="240"/>
    </w:pPr>
  </w:style>
  <w:style w:type="paragraph" w:customStyle="1" w:styleId="Title4">
    <w:name w:val="Title 4"/>
    <w:basedOn w:val="Title3"/>
    <w:next w:val="Heading1"/>
    <w:rPr>
      <w:rFonts w:ascii="Times New Roman Bold" w:hAnsi="Times New Roman Bold"/>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ref">
    <w:name w:val="Annex_ref"/>
    <w:basedOn w:val="Normal"/>
    <w:next w:val="Normalaftertitle"/>
    <w:pPr>
      <w:keepNext/>
      <w:keepLines/>
      <w:spacing w:after="280"/>
      <w:jc w:val="center"/>
    </w:pPr>
  </w:style>
  <w:style w:type="paragraph" w:customStyle="1" w:styleId="TableNo">
    <w:name w:val="Table_No"/>
    <w:basedOn w:val="Normal"/>
    <w:next w:val="Tabletitle"/>
    <w:pPr>
      <w:keepNext/>
      <w:spacing w:before="360" w:after="120"/>
      <w:jc w:val="center"/>
    </w:pPr>
  </w:style>
  <w:style w:type="paragraph" w:customStyle="1" w:styleId="Tabletitle">
    <w:name w:val="Table_title"/>
    <w:basedOn w:val="Normal"/>
    <w:next w:val="Tablehead"/>
    <w:pPr>
      <w:keepNext/>
      <w:spacing w:before="0" w:after="120"/>
      <w:jc w:val="center"/>
    </w:pPr>
    <w:rPr>
      <w:rFonts w:ascii="Times New Roman Bold" w:hAnsi="Times New Roman Bold"/>
      <w:b/>
    </w:rPr>
  </w:style>
  <w:style w:type="paragraph" w:customStyle="1" w:styleId="Tablehead">
    <w:name w:val="Table_head"/>
    <w:basedOn w:val="Tabletext"/>
    <w:next w:val="Tabletext"/>
    <w:pPr>
      <w:keepNext/>
      <w:spacing w:before="80" w:after="80"/>
      <w:jc w:val="center"/>
    </w:pPr>
    <w:rPr>
      <w:b/>
    </w:rPr>
  </w:style>
  <w:style w:type="paragraph" w:customStyle="1" w:styleId="Appendixtitle">
    <w:name w:val="Appendix_title"/>
    <w:basedOn w:val="Annextitle"/>
    <w:next w:val="Normalaftertitle"/>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customStyle="1" w:styleId="FigureNo">
    <w:name w:val="Figure_No"/>
    <w:basedOn w:val="Normal"/>
    <w:next w:val="Normal"/>
    <w:pPr>
      <w:keepNext/>
      <w:keepLines/>
      <w:spacing w:before="480" w:after="240"/>
      <w:jc w:val="center"/>
    </w:pPr>
    <w:rPr>
      <w:caps/>
    </w:rPr>
  </w:style>
  <w:style w:type="paragraph" w:customStyle="1" w:styleId="Figuretitle">
    <w:name w:val="Figure_title"/>
    <w:basedOn w:val="Tabletitle"/>
    <w:next w:val="Normal"/>
    <w:pPr>
      <w:spacing w:after="480"/>
    </w:pPr>
  </w:style>
  <w:style w:type="paragraph" w:styleId="BodyText3">
    <w:name w:val="Body Text 3"/>
    <w:basedOn w:val="Normal"/>
    <w:semiHidden/>
    <w:pPr>
      <w:spacing w:after="120"/>
    </w:pPr>
    <w:rPr>
      <w:sz w:val="16"/>
      <w:szCs w:val="16"/>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No"/>
    <w:next w:val="Normalaftertitle"/>
    <w:pPr>
      <w:keepNext w:val="0"/>
    </w:pPr>
  </w:style>
  <w:style w:type="character" w:customStyle="1" w:styleId="href">
    <w:name w:val="href"/>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paragraph" w:customStyle="1" w:styleId="PartNo">
    <w:name w:val="Part_No"/>
    <w:basedOn w:val="Normal"/>
    <w:next w:val="Partref"/>
  </w:style>
  <w:style w:type="paragraph" w:customStyle="1" w:styleId="Partref">
    <w:name w:val="Part_ref"/>
    <w:basedOn w:val="Annexref"/>
    <w:next w:val="Parttitle"/>
  </w:style>
  <w:style w:type="paragraph" w:customStyle="1" w:styleId="Parttitle">
    <w:name w:val="Part_title"/>
    <w:basedOn w:val="Annextitle"/>
    <w:next w:val="Normalaftertitle"/>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RecNo"/>
    <w:next w:val="Recref"/>
    <w:pPr>
      <w:spacing w:before="240"/>
    </w:pPr>
    <w:rPr>
      <w:rFonts w:ascii="Times New Roman Bold" w:hAnsi="Times New Roman Bold"/>
      <w:b/>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
    <w:pPr>
      <w:jc w:val="right"/>
    </w:p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style>
  <w:style w:type="paragraph" w:customStyle="1" w:styleId="Sectiontitle">
    <w:name w:val="Section_title"/>
    <w:basedOn w:val="Annextitle"/>
    <w:next w:val="Normalaftertitle"/>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paragraph" w:customStyle="1" w:styleId="Tablelegend">
    <w:name w:val="Table_legend"/>
    <w:basedOn w:val="Tabletext"/>
    <w:pPr>
      <w:spacing w:before="120"/>
      <w:ind w:left="284" w:right="-85" w:hanging="369"/>
    </w:pPr>
  </w:style>
  <w:style w:type="paragraph" w:customStyle="1" w:styleId="Tableref">
    <w:name w:val="Table_ref"/>
    <w:basedOn w:val="Normal"/>
    <w:next w:val="Tabletitle"/>
    <w:pPr>
      <w:keepNext/>
      <w:spacing w:before="560"/>
      <w:jc w:val="center"/>
    </w:pPr>
  </w:style>
  <w:style w:type="paragraph" w:customStyle="1" w:styleId="ArtNo">
    <w:name w:val="Art_No"/>
    <w:basedOn w:val="Normal"/>
    <w:next w:val="Arttitle"/>
    <w:pPr>
      <w:keepNext/>
      <w:keepLines/>
      <w:spacing w:before="480"/>
      <w:jc w:val="center"/>
    </w:pPr>
    <w:rPr>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fin">
    <w:name w:val="Table_fin"/>
    <w:basedOn w:val="Normal"/>
    <w:next w:val="Normal"/>
    <w:pPr>
      <w:spacing w:before="284"/>
    </w:pPr>
    <w:rPr>
      <w:sz w:val="20"/>
      <w:lang w:val="en-GB"/>
    </w:rPr>
  </w:style>
  <w:style w:type="character" w:styleId="PageNumber">
    <w:name w:val="page number"/>
    <w:basedOn w:val="DefaultParagraphFont"/>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AppendixNo">
    <w:name w:val="Appendix_No"/>
    <w:basedOn w:val="AnnexNo"/>
    <w:next w:val="Appendixtitle"/>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TableHead0">
    <w:name w:val="Table_Head"/>
    <w:basedOn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pPr>
    <w:rPr>
      <w:b/>
      <w:sz w:val="22"/>
      <w:lang w:val="es-ES_tradnl"/>
    </w:rPr>
  </w:style>
  <w:style w:type="character" w:customStyle="1" w:styleId="HeadingbChar">
    <w:name w:val="Heading_b Char"/>
    <w:link w:val="Headingb"/>
    <w:locked/>
    <w:rsid w:val="008E7B82"/>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BR2001.dot</Template>
  <TotalTime>9</TotalTime>
  <Pages>6</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RECOMENDACIÓN  UIT-R  SM.1539-1 - Variación del límite entre los dominios de emisión fuera de banda y no esencial requerida para la aplicación de las Recomendaciones UIT-R SM.1541 y UIT-R SM.329</vt:lpstr>
    </vt:vector>
  </TitlesOfParts>
  <Manager>PF__1673</Manager>
  <Company>International Telecommunication Union (ITU)</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SM.1539-1 - Variación del límite entre los dominios de emisión fuera de banda y no esencial requerida para la aplicación de las Recomendaciones UIT-R SM.1541 y UIT-R SM.329</dc:title>
  <dc:subject>Serie SM = Gestión del espectro</dc:subject>
  <dc:creator>Oficina de Radiocomunicaciones del UIT (BR)</dc:creator>
  <cp:keywords>SM,1539-1; Folios: 1-6</cp:keywords>
  <dc:description>Saisie + MEP: 02.10.02/PF;_x000d_
Corr. BAT:     08.10.02/DD</dc:description>
  <cp:lastModifiedBy>Catalano Moreira, Rossana</cp:lastModifiedBy>
  <cp:revision>13</cp:revision>
  <cp:lastPrinted>2020-06-02T07:55:00Z</cp:lastPrinted>
  <dcterms:created xsi:type="dcterms:W3CDTF">2018-10-14T07:55:00Z</dcterms:created>
  <dcterms:modified xsi:type="dcterms:W3CDTF">2020-06-02T07:58:00Z</dcterms:modified>
  <cp:category>Template: Recommandation UIT-R - dès 2001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title">
    <vt:lpwstr>BR2001.dot</vt:lpwstr>
  </property>
  <property fmtid="{D5CDD505-2E9C-101B-9397-08002B2CF9AE}" pid="3" name="Pre_title">
    <vt:lpwstr>BR2001.dot</vt:lpwstr>
  </property>
  <property fmtid="{D5CDD505-2E9C-101B-9397-08002B2CF9AE}" pid="4" name="Related_Questions">
    <vt:lpwstr>BR2001.dot</vt:lpwstr>
  </property>
  <property fmtid="{D5CDD505-2E9C-101B-9397-08002B2CF9AE}" pid="5" name="Revision_history">
    <vt:lpwstr>BR2001.dot</vt:lpwstr>
  </property>
  <property fmtid="{D5CDD505-2E9C-101B-9397-08002B2CF9AE}" pid="6" name="Header">
    <vt:lpwstr>Rec.  </vt:lpwstr>
  </property>
</Properties>
</file>