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p w:rsidR="007A3AF0" w:rsidRDefault="007A3AF0" w:rsidP="007A3AF0"/>
    <w:tbl>
      <w:tblPr>
        <w:tblW w:w="10089" w:type="dxa"/>
        <w:tblLook w:val="01E0" w:firstRow="1" w:lastRow="1" w:firstColumn="1" w:lastColumn="1" w:noHBand="0" w:noVBand="0"/>
      </w:tblPr>
      <w:tblGrid>
        <w:gridCol w:w="10089"/>
      </w:tblGrid>
      <w:tr w:rsidR="007A3AF0" w:rsidTr="00E159C0">
        <w:tc>
          <w:tcPr>
            <w:tcW w:w="10089" w:type="dxa"/>
          </w:tcPr>
          <w:p w:rsidR="007A3AF0" w:rsidRPr="001511A6" w:rsidRDefault="007A3AF0" w:rsidP="00E159C0">
            <w:pPr>
              <w:spacing w:before="380" w:line="280" w:lineRule="exact"/>
              <w:jc w:val="right"/>
              <w:rPr>
                <w:rFonts w:ascii="Tahoma" w:hAnsi="Tahoma" w:cs="Tahoma"/>
                <w:b/>
                <w:bCs/>
                <w:iCs/>
                <w:color w:val="243285"/>
                <w:sz w:val="32"/>
                <w:szCs w:val="32"/>
                <w:lang w:val="en-US"/>
              </w:rPr>
            </w:pPr>
          </w:p>
          <w:p w:rsidR="007A3AF0" w:rsidRPr="001511A6" w:rsidRDefault="007A3AF0"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1446</w:t>
            </w:r>
            <w:r w:rsidR="006A0844">
              <w:rPr>
                <w:rFonts w:ascii="Tahoma" w:hAnsi="Tahoma" w:cs="Tahoma"/>
                <w:b/>
                <w:bCs/>
                <w:iCs/>
                <w:color w:val="243285"/>
                <w:sz w:val="36"/>
                <w:szCs w:val="36"/>
                <w:lang w:val="en-US"/>
              </w:rPr>
              <w:t>-0</w:t>
            </w:r>
          </w:p>
          <w:p w:rsidR="007A3AF0" w:rsidRPr="001511A6" w:rsidRDefault="007A3AF0" w:rsidP="00E159C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04</w:t>
            </w:r>
            <w:r w:rsidRPr="001511A6">
              <w:rPr>
                <w:rFonts w:ascii="Tahoma" w:hAnsi="Tahoma" w:cs="Tahoma"/>
                <w:b/>
                <w:bCs/>
                <w:iCs/>
                <w:color w:val="243285"/>
                <w:szCs w:val="24"/>
                <w:lang w:val="en-US"/>
              </w:rPr>
              <w:t>/</w:t>
            </w:r>
            <w:r>
              <w:rPr>
                <w:rFonts w:ascii="Tahoma" w:hAnsi="Tahoma" w:cs="Tahoma"/>
                <w:b/>
                <w:bCs/>
                <w:iCs/>
                <w:color w:val="243285"/>
                <w:szCs w:val="24"/>
                <w:lang w:val="en-US"/>
              </w:rPr>
              <w:t>2000</w:t>
            </w:r>
            <w:r w:rsidRPr="001511A6">
              <w:rPr>
                <w:rFonts w:ascii="Tahoma" w:hAnsi="Tahoma" w:cs="Tahoma"/>
                <w:b/>
                <w:bCs/>
                <w:iCs/>
                <w:color w:val="243285"/>
                <w:szCs w:val="24"/>
                <w:lang w:val="en-US"/>
              </w:rPr>
              <w:t>)</w:t>
            </w:r>
          </w:p>
        </w:tc>
      </w:tr>
      <w:tr w:rsidR="007A3AF0" w:rsidRPr="007B3EA0" w:rsidTr="00E159C0">
        <w:tc>
          <w:tcPr>
            <w:tcW w:w="10089" w:type="dxa"/>
          </w:tcPr>
          <w:p w:rsidR="007A3AF0" w:rsidRPr="001511A6" w:rsidRDefault="007A3AF0" w:rsidP="00E159C0">
            <w:pPr>
              <w:spacing w:before="80" w:line="500" w:lineRule="exact"/>
              <w:jc w:val="right"/>
              <w:rPr>
                <w:rFonts w:ascii="Tahoma" w:hAnsi="Tahoma" w:cs="Tahoma"/>
                <w:b/>
                <w:bCs/>
                <w:iCs/>
                <w:color w:val="243285"/>
                <w:sz w:val="44"/>
                <w:szCs w:val="44"/>
                <w:lang w:val="en-US"/>
              </w:rPr>
            </w:pPr>
          </w:p>
          <w:p w:rsidR="007A3AF0" w:rsidRPr="001511A6" w:rsidRDefault="007A3AF0"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Definition and measurement of intermodulation products in transmitter using frequency, phase, or complex modulation techniques</w:t>
            </w:r>
          </w:p>
          <w:p w:rsidR="007A3AF0" w:rsidRPr="001511A6" w:rsidRDefault="007A3AF0" w:rsidP="00E159C0">
            <w:pPr>
              <w:spacing w:before="80" w:line="500" w:lineRule="exact"/>
              <w:jc w:val="right"/>
              <w:rPr>
                <w:rFonts w:ascii="Tahoma" w:hAnsi="Tahoma" w:cs="Tahoma"/>
                <w:b/>
                <w:bCs/>
                <w:iCs/>
                <w:color w:val="243285"/>
                <w:sz w:val="40"/>
                <w:szCs w:val="40"/>
                <w:lang w:val="en-US"/>
              </w:rPr>
            </w:pPr>
          </w:p>
        </w:tc>
      </w:tr>
      <w:tr w:rsidR="007A3AF0" w:rsidTr="00E159C0">
        <w:tc>
          <w:tcPr>
            <w:tcW w:w="10089" w:type="dxa"/>
          </w:tcPr>
          <w:p w:rsidR="007A3AF0" w:rsidRPr="007B3EA0" w:rsidRDefault="007A3AF0" w:rsidP="00E159C0">
            <w:pPr>
              <w:spacing w:before="80" w:line="280" w:lineRule="exact"/>
              <w:ind w:right="640"/>
              <w:rPr>
                <w:rFonts w:ascii="Tahoma" w:hAnsi="Tahoma" w:cs="Tahoma"/>
                <w:b/>
                <w:bCs/>
                <w:iCs/>
                <w:color w:val="243285"/>
                <w:sz w:val="32"/>
                <w:szCs w:val="32"/>
                <w:lang w:val="en-US"/>
              </w:rPr>
            </w:pPr>
          </w:p>
          <w:p w:rsidR="007A3AF0" w:rsidRPr="007B3EA0" w:rsidRDefault="007A3AF0" w:rsidP="00E159C0">
            <w:pPr>
              <w:spacing w:before="80" w:line="280" w:lineRule="exact"/>
              <w:ind w:right="640"/>
              <w:rPr>
                <w:rFonts w:ascii="Tahoma" w:hAnsi="Tahoma" w:cs="Tahoma"/>
                <w:b/>
                <w:bCs/>
                <w:iCs/>
                <w:color w:val="243285"/>
                <w:sz w:val="32"/>
                <w:szCs w:val="32"/>
                <w:lang w:val="en-US"/>
              </w:rPr>
            </w:pPr>
          </w:p>
          <w:p w:rsidR="007A3AF0" w:rsidRPr="007B3EA0" w:rsidRDefault="007A3AF0" w:rsidP="00E159C0">
            <w:pPr>
              <w:spacing w:before="80" w:after="180" w:line="360" w:lineRule="exact"/>
              <w:ind w:right="720"/>
              <w:rPr>
                <w:rFonts w:ascii="Tahoma" w:hAnsi="Tahoma" w:cs="Tahoma"/>
                <w:b/>
                <w:bCs/>
                <w:iCs/>
                <w:color w:val="243285"/>
                <w:sz w:val="36"/>
                <w:szCs w:val="36"/>
                <w:lang w:val="en-US"/>
              </w:rPr>
            </w:pPr>
          </w:p>
          <w:p w:rsidR="007A3AF0" w:rsidRPr="001511A6" w:rsidRDefault="007A3AF0" w:rsidP="00E159C0">
            <w:pPr>
              <w:spacing w:before="80" w:after="180" w:line="360" w:lineRule="exact"/>
              <w:jc w:val="right"/>
              <w:rPr>
                <w:rFonts w:ascii="Tahoma" w:hAnsi="Tahoma" w:cs="Tahoma"/>
                <w:b/>
                <w:bCs/>
                <w:iCs/>
                <w:color w:val="243285"/>
                <w:sz w:val="36"/>
                <w:szCs w:val="36"/>
                <w:lang w:val="en-US"/>
              </w:rPr>
            </w:pPr>
          </w:p>
          <w:p w:rsidR="007A3AF0" w:rsidRPr="001511A6" w:rsidRDefault="007A3AF0"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7A3AF0" w:rsidRPr="001511A6" w:rsidRDefault="007A3AF0"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7A3AF0" w:rsidRPr="001511A6" w:rsidRDefault="007A3AF0" w:rsidP="00E159C0">
            <w:pPr>
              <w:spacing w:before="80" w:line="360" w:lineRule="exact"/>
              <w:jc w:val="right"/>
              <w:rPr>
                <w:rFonts w:ascii="Tahoma" w:hAnsi="Tahoma" w:cs="Tahoma"/>
                <w:b/>
                <w:bCs/>
                <w:iCs/>
                <w:color w:val="243285"/>
                <w:sz w:val="32"/>
                <w:szCs w:val="32"/>
                <w:lang w:val="en-US"/>
              </w:rPr>
            </w:pPr>
          </w:p>
        </w:tc>
      </w:tr>
    </w:tbl>
    <w:p w:rsidR="007A3AF0" w:rsidRDefault="007A3AF0" w:rsidP="007A3AF0">
      <w:pPr>
        <w:spacing w:before="80"/>
        <w:rPr>
          <w:i/>
          <w:sz w:val="22"/>
          <w:lang w:val="en-US"/>
        </w:rPr>
      </w:pPr>
    </w:p>
    <w:p w:rsidR="007A3AF0" w:rsidRDefault="007A3AF0" w:rsidP="007A3AF0">
      <w:pPr>
        <w:spacing w:before="80"/>
        <w:rPr>
          <w:i/>
          <w:sz w:val="22"/>
          <w:lang w:val="en-US"/>
        </w:rPr>
      </w:pPr>
    </w:p>
    <w:p w:rsidR="007A3AF0" w:rsidRDefault="007A3AF0" w:rsidP="007A3AF0">
      <w:pPr>
        <w:spacing w:before="80"/>
        <w:rPr>
          <w:i/>
          <w:sz w:val="22"/>
          <w:lang w:val="en-US"/>
        </w:rPr>
      </w:pPr>
    </w:p>
    <w:p w:rsidR="007A3AF0" w:rsidRDefault="007A3AF0" w:rsidP="007A3AF0">
      <w:pPr>
        <w:spacing w:before="80"/>
        <w:rPr>
          <w:i/>
          <w:sz w:val="22"/>
          <w:lang w:val="en-US"/>
        </w:rPr>
      </w:pPr>
    </w:p>
    <w:p w:rsidR="007A3AF0" w:rsidRDefault="007A3AF0" w:rsidP="007A3AF0">
      <w:pPr>
        <w:spacing w:before="80"/>
        <w:rPr>
          <w:i/>
          <w:sz w:val="22"/>
          <w:lang w:val="en-US"/>
        </w:rPr>
      </w:pPr>
    </w:p>
    <w:p w:rsidR="007A3AF0" w:rsidRDefault="007A3AF0" w:rsidP="007A3AF0">
      <w:pPr>
        <w:spacing w:before="80"/>
        <w:rPr>
          <w:i/>
          <w:sz w:val="22"/>
          <w:lang w:val="en-US"/>
        </w:rPr>
      </w:pPr>
    </w:p>
    <w:p w:rsidR="007A3AF0" w:rsidRDefault="007A3AF0" w:rsidP="007A3AF0">
      <w:pPr>
        <w:pStyle w:val="Equation"/>
        <w:tabs>
          <w:tab w:val="left" w:pos="1191"/>
          <w:tab w:val="left" w:pos="1588"/>
          <w:tab w:val="left" w:pos="1985"/>
        </w:tabs>
        <w:rPr>
          <w:rFonts w:ascii="Palatino Linotype" w:hAnsi="Palatino Linotype"/>
          <w:lang w:val="en-US"/>
        </w:rPr>
        <w:sectPr w:rsidR="007A3AF0">
          <w:headerReference w:type="even" r:id="rId7"/>
          <w:headerReference w:type="default" r:id="rId8"/>
          <w:pgSz w:w="11907" w:h="16840" w:code="9"/>
          <w:pgMar w:top="1089" w:right="1089" w:bottom="284" w:left="1089" w:header="567" w:footer="284" w:gutter="0"/>
          <w:pgNumType w:start="1"/>
          <w:cols w:space="720"/>
        </w:sectPr>
      </w:pPr>
    </w:p>
    <w:p w:rsidR="007A3AF0" w:rsidRPr="00586EF8" w:rsidRDefault="007A3AF0" w:rsidP="007A3AF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bookmarkStart w:id="1" w:name="_GoBack"/>
      <w:bookmarkEnd w:id="1"/>
    </w:p>
    <w:p w:rsidR="007A3AF0" w:rsidRDefault="007A3AF0" w:rsidP="007A3AF0">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A3AF0" w:rsidRDefault="007A3AF0" w:rsidP="007A3AF0">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7A3AF0" w:rsidRPr="00B714F3" w:rsidRDefault="007A3AF0" w:rsidP="007A3AF0">
      <w:pPr>
        <w:pStyle w:val="Heading1"/>
        <w:spacing w:before="680"/>
        <w:jc w:val="center"/>
        <w:rPr>
          <w:szCs w:val="24"/>
          <w:lang w:val="en-US"/>
        </w:rPr>
      </w:pPr>
      <w:r w:rsidRPr="00B714F3">
        <w:rPr>
          <w:szCs w:val="24"/>
          <w:lang w:val="en-US"/>
        </w:rPr>
        <w:t>Policy on Intellectual Property Right (IPR)</w:t>
      </w:r>
    </w:p>
    <w:p w:rsidR="007A3AF0" w:rsidRPr="00B714F3" w:rsidRDefault="007A3AF0" w:rsidP="007A3AF0">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7A3AF0" w:rsidRDefault="007A3AF0" w:rsidP="007A3AF0">
      <w:pPr>
        <w:jc w:val="center"/>
        <w:rPr>
          <w:sz w:val="22"/>
          <w:lang w:val="en-US"/>
        </w:rPr>
      </w:pPr>
    </w:p>
    <w:p w:rsidR="007A3AF0" w:rsidRDefault="007A3AF0" w:rsidP="007A3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3AF0" w:rsidRPr="007B3EA0" w:rsidTr="00E159C0">
        <w:tc>
          <w:tcPr>
            <w:tcW w:w="9360" w:type="dxa"/>
            <w:gridSpan w:val="2"/>
          </w:tcPr>
          <w:p w:rsidR="007A3AF0" w:rsidRPr="00036EE3" w:rsidRDefault="007A3AF0"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A3AF0" w:rsidRPr="00036EE3"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7A3AF0" w:rsidRPr="00036EE3" w:rsidTr="00E159C0">
        <w:tc>
          <w:tcPr>
            <w:tcW w:w="1140" w:type="dxa"/>
          </w:tcPr>
          <w:p w:rsidR="007A3AF0" w:rsidRPr="00036EE3" w:rsidRDefault="007A3AF0" w:rsidP="00E159C0">
            <w:pPr>
              <w:spacing w:before="200" w:after="100"/>
              <w:ind w:left="57"/>
              <w:rPr>
                <w:b/>
                <w:bCs/>
                <w:lang w:val="en-US"/>
              </w:rPr>
            </w:pPr>
            <w:r w:rsidRPr="00036EE3">
              <w:rPr>
                <w:b/>
                <w:bCs/>
                <w:lang w:val="en-US"/>
              </w:rPr>
              <w:t>Series</w:t>
            </w:r>
          </w:p>
        </w:tc>
        <w:tc>
          <w:tcPr>
            <w:tcW w:w="8220" w:type="dxa"/>
          </w:tcPr>
          <w:p w:rsidR="007A3AF0" w:rsidRPr="00036EE3"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BO</w:t>
            </w:r>
          </w:p>
        </w:tc>
        <w:tc>
          <w:tcPr>
            <w:tcW w:w="8220" w:type="dxa"/>
          </w:tcPr>
          <w:p w:rsidR="007A3AF0" w:rsidRPr="00036EE3"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3AF0" w:rsidRPr="007B3EA0" w:rsidTr="00E159C0">
        <w:tc>
          <w:tcPr>
            <w:tcW w:w="1140" w:type="dxa"/>
          </w:tcPr>
          <w:p w:rsidR="007A3AF0" w:rsidRPr="00036EE3" w:rsidRDefault="007A3AF0" w:rsidP="00E159C0">
            <w:pPr>
              <w:spacing w:before="30" w:after="30"/>
              <w:ind w:left="57"/>
              <w:jc w:val="left"/>
              <w:rPr>
                <w:b/>
                <w:bCs/>
                <w:lang w:val="en-US"/>
              </w:rPr>
            </w:pPr>
            <w:r w:rsidRPr="00036EE3">
              <w:rPr>
                <w:b/>
                <w:bCs/>
                <w:lang w:val="en-US"/>
              </w:rPr>
              <w:t>BR</w:t>
            </w:r>
          </w:p>
        </w:tc>
        <w:tc>
          <w:tcPr>
            <w:tcW w:w="8220" w:type="dxa"/>
          </w:tcPr>
          <w:p w:rsidR="007A3AF0" w:rsidRPr="00036EE3"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BS</w:t>
            </w:r>
          </w:p>
        </w:tc>
        <w:tc>
          <w:tcPr>
            <w:tcW w:w="8220" w:type="dxa"/>
          </w:tcPr>
          <w:p w:rsidR="007A3AF0" w:rsidRPr="00036EE3"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A3AF0" w:rsidRPr="00ED2695" w:rsidTr="00E159C0">
        <w:tc>
          <w:tcPr>
            <w:tcW w:w="1140" w:type="dxa"/>
            <w:shd w:val="clear" w:color="auto" w:fill="auto"/>
          </w:tcPr>
          <w:p w:rsidR="007A3AF0" w:rsidRPr="00ED2695" w:rsidRDefault="007A3AF0" w:rsidP="00E159C0">
            <w:pPr>
              <w:spacing w:before="30" w:after="30"/>
              <w:ind w:left="57"/>
              <w:jc w:val="left"/>
              <w:rPr>
                <w:b/>
                <w:bCs/>
                <w:lang w:val="en-US"/>
              </w:rPr>
            </w:pPr>
            <w:r w:rsidRPr="00ED2695">
              <w:rPr>
                <w:b/>
                <w:bCs/>
                <w:lang w:val="en-US"/>
              </w:rPr>
              <w:t>BT</w:t>
            </w:r>
          </w:p>
        </w:tc>
        <w:tc>
          <w:tcPr>
            <w:tcW w:w="8220" w:type="dxa"/>
            <w:shd w:val="clear" w:color="auto" w:fill="auto"/>
          </w:tcPr>
          <w:p w:rsidR="007A3AF0" w:rsidRPr="00ED2695"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3AF0" w:rsidRPr="00036EE3" w:rsidTr="00E159C0">
        <w:tc>
          <w:tcPr>
            <w:tcW w:w="1140" w:type="dxa"/>
            <w:shd w:val="clear" w:color="auto" w:fill="auto"/>
          </w:tcPr>
          <w:p w:rsidR="007A3AF0" w:rsidRPr="00036EE3" w:rsidRDefault="007A3AF0" w:rsidP="00E159C0">
            <w:pPr>
              <w:spacing w:before="30" w:after="30"/>
              <w:ind w:left="57"/>
              <w:jc w:val="left"/>
              <w:rPr>
                <w:b/>
                <w:bCs/>
                <w:lang w:val="fr-CH"/>
              </w:rPr>
            </w:pPr>
            <w:r w:rsidRPr="00036EE3">
              <w:rPr>
                <w:b/>
                <w:bCs/>
                <w:lang w:val="fr-CH"/>
              </w:rPr>
              <w:t>F</w:t>
            </w:r>
          </w:p>
        </w:tc>
        <w:tc>
          <w:tcPr>
            <w:tcW w:w="8220" w:type="dxa"/>
            <w:shd w:val="clear" w:color="auto" w:fill="auto"/>
          </w:tcPr>
          <w:p w:rsidR="007A3AF0" w:rsidRPr="00036EE3" w:rsidRDefault="007A3AF0"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A3AF0" w:rsidRPr="00036EE3" w:rsidTr="00E159C0">
        <w:tc>
          <w:tcPr>
            <w:tcW w:w="1140" w:type="dxa"/>
            <w:shd w:val="clear" w:color="auto" w:fill="auto"/>
          </w:tcPr>
          <w:p w:rsidR="007A3AF0" w:rsidRPr="00906589" w:rsidRDefault="007A3AF0" w:rsidP="00E159C0">
            <w:pPr>
              <w:spacing w:before="30" w:after="30"/>
              <w:ind w:left="57"/>
              <w:jc w:val="left"/>
              <w:rPr>
                <w:b/>
                <w:bCs/>
                <w:lang w:val="en-US"/>
              </w:rPr>
            </w:pPr>
            <w:r w:rsidRPr="00906589">
              <w:rPr>
                <w:b/>
                <w:bCs/>
                <w:lang w:val="en-US"/>
              </w:rPr>
              <w:t>M</w:t>
            </w:r>
          </w:p>
        </w:tc>
        <w:tc>
          <w:tcPr>
            <w:tcW w:w="8220" w:type="dxa"/>
            <w:shd w:val="clear" w:color="auto" w:fill="auto"/>
          </w:tcPr>
          <w:p w:rsidR="007A3AF0" w:rsidRPr="00906589" w:rsidRDefault="007A3AF0" w:rsidP="00E159C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A3AF0" w:rsidRPr="00036EE3" w:rsidTr="00E159C0">
        <w:tc>
          <w:tcPr>
            <w:tcW w:w="1140" w:type="dxa"/>
          </w:tcPr>
          <w:p w:rsidR="007A3AF0" w:rsidRPr="00036EE3" w:rsidRDefault="007A3AF0" w:rsidP="00E159C0">
            <w:pPr>
              <w:spacing w:before="30" w:after="30"/>
              <w:ind w:left="57"/>
              <w:jc w:val="left"/>
              <w:rPr>
                <w:b/>
                <w:bCs/>
                <w:lang w:val="fr-CH"/>
              </w:rPr>
            </w:pPr>
            <w:r w:rsidRPr="00036EE3">
              <w:rPr>
                <w:b/>
                <w:bCs/>
                <w:lang w:val="fr-CH"/>
              </w:rPr>
              <w:t>P</w:t>
            </w:r>
          </w:p>
        </w:tc>
        <w:tc>
          <w:tcPr>
            <w:tcW w:w="8220" w:type="dxa"/>
          </w:tcPr>
          <w:p w:rsidR="007A3AF0" w:rsidRPr="00036EE3" w:rsidRDefault="007A3AF0" w:rsidP="00E159C0">
            <w:pPr>
              <w:spacing w:before="30" w:after="30"/>
              <w:jc w:val="left"/>
              <w:rPr>
                <w:lang w:val="fr-CH"/>
              </w:rPr>
            </w:pPr>
            <w:r w:rsidRPr="00036EE3">
              <w:rPr>
                <w:lang w:val="fr-CH"/>
              </w:rPr>
              <w:t>Radiowave propagation</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RA</w:t>
            </w:r>
          </w:p>
        </w:tc>
        <w:tc>
          <w:tcPr>
            <w:tcW w:w="8220" w:type="dxa"/>
          </w:tcPr>
          <w:p w:rsidR="007A3AF0" w:rsidRPr="00036EE3" w:rsidRDefault="007A3AF0"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RS</w:t>
            </w:r>
          </w:p>
        </w:tc>
        <w:tc>
          <w:tcPr>
            <w:tcW w:w="8220" w:type="dxa"/>
          </w:tcPr>
          <w:p w:rsidR="007A3AF0" w:rsidRPr="00036EE3" w:rsidRDefault="007A3AF0"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S</w:t>
            </w:r>
          </w:p>
        </w:tc>
        <w:tc>
          <w:tcPr>
            <w:tcW w:w="8220" w:type="dxa"/>
          </w:tcPr>
          <w:p w:rsidR="007A3AF0" w:rsidRPr="00036EE3" w:rsidRDefault="007A3AF0" w:rsidP="00E159C0">
            <w:pPr>
              <w:spacing w:before="30" w:after="30"/>
              <w:jc w:val="left"/>
              <w:rPr>
                <w:lang w:val="en-US"/>
              </w:rPr>
            </w:pPr>
            <w:r w:rsidRPr="00036EE3">
              <w:rPr>
                <w:lang w:val="en-US"/>
              </w:rPr>
              <w:t>Fixed-satellite service</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SA</w:t>
            </w:r>
          </w:p>
        </w:tc>
        <w:tc>
          <w:tcPr>
            <w:tcW w:w="8220" w:type="dxa"/>
          </w:tcPr>
          <w:p w:rsidR="007A3AF0" w:rsidRPr="00036EE3" w:rsidRDefault="007A3AF0" w:rsidP="00E159C0">
            <w:pPr>
              <w:spacing w:before="30" w:after="30"/>
              <w:jc w:val="left"/>
              <w:rPr>
                <w:lang w:val="en-US"/>
              </w:rPr>
            </w:pPr>
            <w:r w:rsidRPr="00036EE3">
              <w:rPr>
                <w:lang w:val="en-US"/>
              </w:rPr>
              <w:t>Space applications and meteorology</w:t>
            </w:r>
          </w:p>
        </w:tc>
      </w:tr>
      <w:tr w:rsidR="007A3AF0" w:rsidRPr="007B3EA0" w:rsidTr="00E159C0">
        <w:tc>
          <w:tcPr>
            <w:tcW w:w="1140" w:type="dxa"/>
          </w:tcPr>
          <w:p w:rsidR="007A3AF0" w:rsidRPr="00036EE3" w:rsidRDefault="007A3AF0" w:rsidP="00E159C0">
            <w:pPr>
              <w:spacing w:before="30" w:after="30"/>
              <w:ind w:left="57"/>
              <w:jc w:val="left"/>
              <w:rPr>
                <w:b/>
                <w:bCs/>
                <w:lang w:val="en-US"/>
              </w:rPr>
            </w:pPr>
            <w:r w:rsidRPr="00036EE3">
              <w:rPr>
                <w:b/>
                <w:bCs/>
                <w:lang w:val="en-US"/>
              </w:rPr>
              <w:t>SF</w:t>
            </w:r>
          </w:p>
        </w:tc>
        <w:tc>
          <w:tcPr>
            <w:tcW w:w="8220" w:type="dxa"/>
          </w:tcPr>
          <w:p w:rsidR="007A3AF0" w:rsidRPr="00036EE3" w:rsidRDefault="007A3AF0" w:rsidP="00E159C0">
            <w:pPr>
              <w:spacing w:before="30" w:after="30"/>
              <w:jc w:val="left"/>
              <w:rPr>
                <w:lang w:val="en-US"/>
              </w:rPr>
            </w:pPr>
            <w:r w:rsidRPr="00036EE3">
              <w:rPr>
                <w:lang w:val="en-US"/>
              </w:rPr>
              <w:t>Frequency sharing and coordination between fixed-satellite and fixed service systems</w:t>
            </w:r>
          </w:p>
        </w:tc>
      </w:tr>
      <w:tr w:rsidR="007A3AF0" w:rsidRPr="00036EE3" w:rsidTr="00E159C0">
        <w:tc>
          <w:tcPr>
            <w:tcW w:w="1140" w:type="dxa"/>
            <w:shd w:val="clear" w:color="auto" w:fill="F3F3F3"/>
          </w:tcPr>
          <w:p w:rsidR="007A3AF0" w:rsidRPr="00906589" w:rsidRDefault="007A3AF0"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7A3AF0" w:rsidRPr="00906589" w:rsidRDefault="007A3AF0" w:rsidP="00E159C0">
            <w:pPr>
              <w:spacing w:before="30" w:after="30"/>
              <w:jc w:val="left"/>
              <w:rPr>
                <w:b/>
                <w:bCs/>
                <w:color w:val="000080"/>
                <w:lang w:val="en-US"/>
              </w:rPr>
            </w:pPr>
            <w:r w:rsidRPr="00906589">
              <w:rPr>
                <w:b/>
                <w:bCs/>
                <w:color w:val="000080"/>
                <w:lang w:val="en-US"/>
              </w:rPr>
              <w:t>Spectrum management</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SNG</w:t>
            </w:r>
          </w:p>
        </w:tc>
        <w:tc>
          <w:tcPr>
            <w:tcW w:w="8220" w:type="dxa"/>
          </w:tcPr>
          <w:p w:rsidR="007A3AF0" w:rsidRPr="00036EE3" w:rsidRDefault="007A3AF0" w:rsidP="00E159C0">
            <w:pPr>
              <w:spacing w:before="30" w:after="30"/>
              <w:jc w:val="left"/>
              <w:rPr>
                <w:lang w:val="en-US"/>
              </w:rPr>
            </w:pPr>
            <w:r w:rsidRPr="00036EE3">
              <w:rPr>
                <w:lang w:val="en-US"/>
              </w:rPr>
              <w:t>Satellite news gathering</w:t>
            </w:r>
          </w:p>
        </w:tc>
      </w:tr>
      <w:tr w:rsidR="007A3AF0" w:rsidRPr="007B3EA0" w:rsidTr="00E159C0">
        <w:tc>
          <w:tcPr>
            <w:tcW w:w="1140" w:type="dxa"/>
          </w:tcPr>
          <w:p w:rsidR="007A3AF0" w:rsidRPr="00036EE3" w:rsidRDefault="007A3AF0" w:rsidP="00E159C0">
            <w:pPr>
              <w:spacing w:before="30" w:after="30"/>
              <w:ind w:left="57"/>
              <w:jc w:val="left"/>
              <w:rPr>
                <w:b/>
                <w:bCs/>
                <w:lang w:val="en-US"/>
              </w:rPr>
            </w:pPr>
            <w:r w:rsidRPr="00036EE3">
              <w:rPr>
                <w:b/>
                <w:bCs/>
                <w:lang w:val="en-US"/>
              </w:rPr>
              <w:t>TF</w:t>
            </w:r>
          </w:p>
        </w:tc>
        <w:tc>
          <w:tcPr>
            <w:tcW w:w="8220" w:type="dxa"/>
          </w:tcPr>
          <w:p w:rsidR="007A3AF0" w:rsidRPr="00036EE3" w:rsidRDefault="007A3AF0" w:rsidP="00E159C0">
            <w:pPr>
              <w:spacing w:before="30" w:after="30"/>
              <w:jc w:val="left"/>
              <w:rPr>
                <w:lang w:val="en-US"/>
              </w:rPr>
            </w:pPr>
            <w:r w:rsidRPr="00036EE3">
              <w:rPr>
                <w:lang w:val="en-US"/>
              </w:rPr>
              <w:t>Time signals and frequency standards emissions</w:t>
            </w:r>
          </w:p>
        </w:tc>
      </w:tr>
      <w:tr w:rsidR="007A3AF0" w:rsidRPr="00036EE3" w:rsidTr="00E159C0">
        <w:tc>
          <w:tcPr>
            <w:tcW w:w="1140" w:type="dxa"/>
          </w:tcPr>
          <w:p w:rsidR="007A3AF0" w:rsidRPr="00036EE3" w:rsidRDefault="007A3AF0" w:rsidP="00E159C0">
            <w:pPr>
              <w:spacing w:before="30" w:after="30"/>
              <w:ind w:left="57"/>
              <w:jc w:val="left"/>
              <w:rPr>
                <w:b/>
                <w:bCs/>
                <w:lang w:val="en-US"/>
              </w:rPr>
            </w:pPr>
            <w:r w:rsidRPr="00036EE3">
              <w:rPr>
                <w:b/>
                <w:bCs/>
                <w:lang w:val="en-US"/>
              </w:rPr>
              <w:t>V</w:t>
            </w:r>
          </w:p>
        </w:tc>
        <w:tc>
          <w:tcPr>
            <w:tcW w:w="8220" w:type="dxa"/>
          </w:tcPr>
          <w:p w:rsidR="007A3AF0" w:rsidRPr="00036EE3" w:rsidRDefault="007A3AF0" w:rsidP="00E159C0">
            <w:pPr>
              <w:spacing w:before="30" w:after="180"/>
              <w:jc w:val="left"/>
              <w:rPr>
                <w:lang w:val="en-US"/>
              </w:rPr>
            </w:pPr>
            <w:r w:rsidRPr="00036EE3">
              <w:rPr>
                <w:lang w:val="en-US"/>
              </w:rPr>
              <w:t>Vocabulary and related subjects</w:t>
            </w:r>
          </w:p>
        </w:tc>
      </w:tr>
    </w:tbl>
    <w:p w:rsidR="007A3AF0" w:rsidRPr="00036EE3" w:rsidRDefault="007A3AF0" w:rsidP="007A3AF0">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3AF0" w:rsidTr="00E159C0">
        <w:tc>
          <w:tcPr>
            <w:tcW w:w="720" w:type="dxa"/>
          </w:tcPr>
          <w:p w:rsidR="007A3AF0" w:rsidRDefault="007A3AF0" w:rsidP="00E159C0">
            <w:pPr>
              <w:jc w:val="center"/>
              <w:rPr>
                <w:sz w:val="22"/>
                <w:lang w:val="en-US"/>
              </w:rPr>
            </w:pPr>
          </w:p>
        </w:tc>
      </w:tr>
    </w:tbl>
    <w:p w:rsidR="007A3AF0" w:rsidRPr="00036EE3" w:rsidRDefault="007A3AF0" w:rsidP="007A3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3AF0" w:rsidRPr="007B3EA0" w:rsidTr="00E159C0">
        <w:tc>
          <w:tcPr>
            <w:tcW w:w="9360" w:type="dxa"/>
          </w:tcPr>
          <w:p w:rsidR="007A3AF0" w:rsidRPr="002F5199" w:rsidRDefault="007A3AF0"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7A3AF0" w:rsidRDefault="007A3AF0" w:rsidP="007A3AF0">
      <w:pPr>
        <w:spacing w:before="0"/>
        <w:jc w:val="center"/>
        <w:rPr>
          <w:sz w:val="22"/>
          <w:lang w:val="en-US"/>
        </w:rPr>
      </w:pPr>
    </w:p>
    <w:p w:rsidR="007A3AF0" w:rsidRDefault="007A3AF0" w:rsidP="007A3AF0">
      <w:pPr>
        <w:spacing w:before="0"/>
        <w:jc w:val="center"/>
        <w:rPr>
          <w:sz w:val="22"/>
          <w:lang w:val="en-US"/>
        </w:rPr>
      </w:pPr>
    </w:p>
    <w:p w:rsidR="007A3AF0" w:rsidRPr="002F5199" w:rsidRDefault="007A3AF0" w:rsidP="007A3AF0">
      <w:pPr>
        <w:spacing w:before="0"/>
        <w:jc w:val="right"/>
        <w:rPr>
          <w:i/>
          <w:iCs/>
          <w:lang w:val="en-US"/>
        </w:rPr>
      </w:pPr>
      <w:r w:rsidRPr="002F5199">
        <w:rPr>
          <w:i/>
          <w:iCs/>
          <w:lang w:val="en-US"/>
        </w:rPr>
        <w:t>Electronic Publication</w:t>
      </w:r>
    </w:p>
    <w:p w:rsidR="007A3AF0" w:rsidRPr="002F5199" w:rsidRDefault="007A3AF0" w:rsidP="007A3AF0">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11</w:t>
      </w:r>
    </w:p>
    <w:p w:rsidR="007A3AF0" w:rsidRDefault="007A3AF0" w:rsidP="007A3AF0">
      <w:pPr>
        <w:jc w:val="center"/>
        <w:rPr>
          <w:sz w:val="22"/>
          <w:lang w:val="en-US"/>
        </w:rPr>
      </w:pPr>
    </w:p>
    <w:p w:rsidR="007A3AF0" w:rsidRPr="00470E28" w:rsidRDefault="007A3AF0" w:rsidP="007A3AF0">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11</w:t>
      </w:r>
    </w:p>
    <w:p w:rsidR="007A3AF0" w:rsidRPr="00470E28" w:rsidRDefault="007A3AF0" w:rsidP="007A3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A3AF0" w:rsidRDefault="007A3AF0" w:rsidP="007A3AF0">
      <w:pPr>
        <w:spacing w:before="160"/>
        <w:rPr>
          <w:i/>
          <w:lang w:val="en-US"/>
        </w:rPr>
        <w:sectPr w:rsidR="007A3AF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E02DD3" w:rsidRDefault="007A3AF0">
      <w:pPr>
        <w:pStyle w:val="Rec"/>
        <w:spacing w:before="0"/>
      </w:pPr>
      <w:r>
        <w:lastRenderedPageBreak/>
        <w:t>RECOMMENDATION  ITU-R  SM.1446</w:t>
      </w:r>
      <w:r w:rsidR="006A0844">
        <w:t>-0</w:t>
      </w:r>
      <w:r w:rsidR="00D7041B">
        <w:rPr>
          <w:rStyle w:val="FootnoteReference"/>
        </w:rPr>
        <w:footnoteReference w:customMarkFollows="1" w:id="1"/>
        <w:t>*</w:t>
      </w:r>
    </w:p>
    <w:p w:rsidR="00E02DD3" w:rsidRDefault="00D7041B" w:rsidP="00D7041B">
      <w:pPr>
        <w:pStyle w:val="RecTitle"/>
      </w:pPr>
      <w:r>
        <w:t>Definition and measurement of intermodulation products in transmitter</w:t>
      </w:r>
      <w:r>
        <w:br/>
        <w:t>using frequency, phase, or complex modulation techniques</w:t>
      </w:r>
    </w:p>
    <w:p w:rsidR="00E02DD3" w:rsidRDefault="00E02DD3"/>
    <w:p w:rsidR="00E02DD3" w:rsidRDefault="007A3AF0">
      <w:pPr>
        <w:pStyle w:val="RecTitleDate"/>
      </w:pPr>
      <w:r>
        <w:t>(2000)</w:t>
      </w:r>
    </w:p>
    <w:p w:rsidR="00E02DD3" w:rsidRDefault="007A3AF0">
      <w:pPr>
        <w:pStyle w:val="headfoot"/>
      </w:pPr>
      <w:r>
        <w:t>Rec. ITU-R SM.1446</w:t>
      </w:r>
    </w:p>
    <w:p w:rsidR="006A0844" w:rsidRPr="006A0844" w:rsidRDefault="006A0844" w:rsidP="006A0844">
      <w:pPr>
        <w:pStyle w:val="Headingb0"/>
        <w:rPr>
          <w:sz w:val="20"/>
          <w:lang w:val="en-GB"/>
        </w:rPr>
      </w:pPr>
      <w:r w:rsidRPr="006A0844">
        <w:rPr>
          <w:sz w:val="20"/>
          <w:lang w:val="en-GB"/>
        </w:rPr>
        <w:t>Scope</w:t>
      </w:r>
    </w:p>
    <w:p w:rsidR="006A0844" w:rsidRPr="00F52A66" w:rsidRDefault="006A0844" w:rsidP="006A0844">
      <w:pPr>
        <w:spacing w:after="480"/>
      </w:pPr>
      <w:r w:rsidRPr="00F52A66">
        <w:t>This Recommendation serves as a basis for the definitions of the different intermodulation ty</w:t>
      </w:r>
      <w:r>
        <w:t>p</w:t>
      </w:r>
      <w:r w:rsidRPr="00F52A66">
        <w:t>es in the transmitter and diverse types of measurement techniques.</w:t>
      </w:r>
    </w:p>
    <w:p w:rsidR="006A0844" w:rsidRPr="006A0844" w:rsidRDefault="006A0844" w:rsidP="006A0844">
      <w:pPr>
        <w:pStyle w:val="Headingb0"/>
        <w:rPr>
          <w:rFonts w:eastAsia="Batang"/>
          <w:sz w:val="20"/>
          <w:lang w:val="en-GB"/>
        </w:rPr>
      </w:pPr>
      <w:r w:rsidRPr="006A0844">
        <w:rPr>
          <w:rFonts w:eastAsia="Batang"/>
          <w:sz w:val="20"/>
          <w:lang w:val="en-GB"/>
        </w:rPr>
        <w:t>Keywords</w:t>
      </w:r>
    </w:p>
    <w:p w:rsidR="00E02DD3" w:rsidRDefault="006A0844" w:rsidP="006A0844">
      <w:r>
        <w:rPr>
          <w:rFonts w:eastAsia="Batang"/>
          <w:lang w:eastAsia="ko-KR"/>
        </w:rPr>
        <w:t>I</w:t>
      </w:r>
      <w:r w:rsidRPr="00F52A66">
        <w:rPr>
          <w:rFonts w:eastAsia="Batang"/>
          <w:lang w:eastAsia="ko-KR"/>
        </w:rPr>
        <w:t>ntermodulation</w:t>
      </w:r>
      <w:r>
        <w:rPr>
          <w:rFonts w:eastAsia="Batang"/>
          <w:lang w:eastAsia="ko-KR"/>
        </w:rPr>
        <w:t xml:space="preserve"> </w:t>
      </w:r>
      <w:r w:rsidRPr="00F52A66">
        <w:rPr>
          <w:rFonts w:eastAsia="Batang"/>
          <w:lang w:eastAsia="ko-KR"/>
        </w:rPr>
        <w:t>(IM) products, measurement techniques, unwanted emissions</w:t>
      </w:r>
    </w:p>
    <w:p w:rsidR="00E02DD3" w:rsidRDefault="007A3AF0">
      <w:pPr>
        <w:pStyle w:val="Normalaftertitle"/>
      </w:pPr>
      <w:r>
        <w:t>The ITU Radiocommunication Assembly,</w:t>
      </w:r>
    </w:p>
    <w:p w:rsidR="00E02DD3" w:rsidRDefault="007A3AF0">
      <w:pPr>
        <w:pStyle w:val="call"/>
      </w:pPr>
      <w:r>
        <w:t>considering</w:t>
      </w:r>
    </w:p>
    <w:p w:rsidR="00E02DD3" w:rsidRDefault="007A3AF0">
      <w:r>
        <w:t>a)</w:t>
      </w:r>
      <w:r>
        <w:tab/>
        <w:t xml:space="preserve">that intermodulation (IM) products are part of </w:t>
      </w:r>
      <w:r w:rsidR="00D7041B">
        <w:t xml:space="preserve">the unwanted emissions (RR No. </w:t>
      </w:r>
      <w:r>
        <w:t>1.146);</w:t>
      </w:r>
    </w:p>
    <w:p w:rsidR="00E02DD3" w:rsidRDefault="007A3AF0">
      <w:r>
        <w:t>b)</w:t>
      </w:r>
      <w:r>
        <w:tab/>
        <w:t>that IM products are generated either in the radio transmission system itself and/or by interaction between different radiating elements at the same radio site;</w:t>
      </w:r>
    </w:p>
    <w:p w:rsidR="00E02DD3" w:rsidRDefault="007A3AF0" w:rsidP="00E71BE0">
      <w:r>
        <w:t>c)</w:t>
      </w:r>
      <w:r>
        <w:tab/>
      </w:r>
      <w:r w:rsidR="00E71BE0" w:rsidRPr="00EA236F">
        <w:rPr>
          <w:rFonts w:eastAsiaTheme="minorHAnsi"/>
          <w:lang w:val="en-US"/>
        </w:rPr>
        <w:t xml:space="preserve">that the limits of </w:t>
      </w:r>
      <w:r w:rsidR="00E71BE0" w:rsidRPr="00EA236F">
        <w:rPr>
          <w:rFonts w:eastAsia="SimSun"/>
          <w:lang w:val="en-US"/>
        </w:rPr>
        <w:t xml:space="preserve">unwanted emissions in the spurious domain </w:t>
      </w:r>
      <w:r w:rsidR="00E71BE0" w:rsidRPr="00EA236F">
        <w:rPr>
          <w:rFonts w:eastAsiaTheme="minorHAnsi"/>
          <w:lang w:val="en-US"/>
        </w:rPr>
        <w:t>cover only single- or multichannel IM products, and are prescribed by</w:t>
      </w:r>
      <w:r w:rsidR="00E71BE0">
        <w:rPr>
          <w:rFonts w:eastAsiaTheme="minorHAnsi"/>
          <w:lang w:val="en-US"/>
        </w:rPr>
        <w:t xml:space="preserve"> </w:t>
      </w:r>
      <w:r w:rsidR="00E71BE0" w:rsidRPr="00EA236F">
        <w:rPr>
          <w:rFonts w:eastAsiaTheme="minorHAnsi"/>
          <w:szCs w:val="24"/>
          <w:lang w:val="en-US"/>
        </w:rPr>
        <w:t>Appendix 3 of the RR and Recommendation ITU-R SM.329</w:t>
      </w:r>
      <w:r>
        <w:t>;</w:t>
      </w:r>
    </w:p>
    <w:p w:rsidR="00E02DD3" w:rsidRDefault="007A3AF0">
      <w:r>
        <w:t>d)</w:t>
      </w:r>
      <w:r>
        <w:tab/>
        <w:t>that the limits of out-of-band emissions cover only single- or multichannel IM products, and are under study;</w:t>
      </w:r>
    </w:p>
    <w:p w:rsidR="00E02DD3" w:rsidRDefault="007A3AF0">
      <w:r>
        <w:t>e)</w:t>
      </w:r>
      <w:r>
        <w:tab/>
        <w:t>that no limits are defined for inter-transmitter IM between different systems;</w:t>
      </w:r>
    </w:p>
    <w:p w:rsidR="00E02DD3" w:rsidRDefault="007A3AF0">
      <w:r>
        <w:t>f)</w:t>
      </w:r>
      <w:r>
        <w:tab/>
        <w:t>that there is a rapid increase of shared radio sites, and that each site can potentially radiate passive and active IM products in an anomalous and uncontrolled way, and these will all add together at receivers;</w:t>
      </w:r>
    </w:p>
    <w:p w:rsidR="00E02DD3" w:rsidRDefault="007A3AF0">
      <w:r>
        <w:t xml:space="preserve">g) </w:t>
      </w:r>
      <w:r>
        <w:tab/>
        <w:t>that the IM products due to amplitude-modulated radio transmitter are considered in Recommen</w:t>
      </w:r>
      <w:r>
        <w:softHyphen/>
        <w:t>dation ITU</w:t>
      </w:r>
      <w:r>
        <w:noBreakHyphen/>
        <w:t>R SM.326;</w:t>
      </w:r>
    </w:p>
    <w:p w:rsidR="00E02DD3" w:rsidRDefault="007A3AF0">
      <w:r>
        <w:t>h)</w:t>
      </w:r>
      <w:r>
        <w:tab/>
        <w:t>that there is a need to define methods of measurements of IM products, particularly for digital modulation techniques,</w:t>
      </w:r>
    </w:p>
    <w:p w:rsidR="00E02DD3" w:rsidRDefault="007A3AF0">
      <w:pPr>
        <w:pStyle w:val="call"/>
      </w:pPr>
      <w:r>
        <w:t>noting</w:t>
      </w:r>
    </w:p>
    <w:p w:rsidR="00E02DD3" w:rsidRDefault="007A3AF0">
      <w:r>
        <w:t>a)</w:t>
      </w:r>
      <w:r>
        <w:tab/>
        <w:t>that Report ITU-R SM.2021 contains general principles on generation of IM products and the relevant mitigation techniques to minimize IM,</w:t>
      </w:r>
    </w:p>
    <w:p w:rsidR="00E02DD3" w:rsidRDefault="007A3AF0">
      <w:pPr>
        <w:pStyle w:val="call"/>
      </w:pPr>
      <w:r>
        <w:t>recommends</w:t>
      </w:r>
    </w:p>
    <w:p w:rsidR="00E02DD3" w:rsidRDefault="007A3AF0">
      <w:r>
        <w:rPr>
          <w:b/>
        </w:rPr>
        <w:t>1</w:t>
      </w:r>
      <w:r>
        <w:rPr>
          <w:b/>
        </w:rPr>
        <w:tab/>
      </w:r>
      <w:r>
        <w:t>that when considering the types of mechanisms which generate IM products in the transmission system the definitions and the relevant measurement techniques for each type of IM given in Annex 1 should be used.</w:t>
      </w:r>
    </w:p>
    <w:p w:rsidR="00E02DD3" w:rsidRDefault="00E02DD3"/>
    <w:p w:rsidR="006A0844" w:rsidRDefault="006A0844"/>
    <w:p w:rsidR="00E02DD3" w:rsidRDefault="00E02DD3"/>
    <w:p w:rsidR="00E02DD3" w:rsidRDefault="00E02DD3"/>
    <w:p w:rsidR="00E02DD3" w:rsidRDefault="00E02DD3"/>
    <w:p w:rsidR="00E02DD3" w:rsidRDefault="007A3AF0">
      <w:pPr>
        <w:pStyle w:val="Annex"/>
      </w:pPr>
      <w:r>
        <w:t>ANNEX  1</w:t>
      </w:r>
    </w:p>
    <w:p w:rsidR="00E02DD3" w:rsidRDefault="007A3AF0">
      <w:pPr>
        <w:pStyle w:val="AnnexTitle"/>
      </w:pPr>
      <w:r>
        <w:t>IM products in the transmitter</w:t>
      </w:r>
    </w:p>
    <w:p w:rsidR="00E02DD3" w:rsidRDefault="007A3AF0">
      <w:pPr>
        <w:pStyle w:val="Figure"/>
        <w:keepNext w:val="0"/>
        <w:keepLines w:val="0"/>
        <w:spacing w:before="136"/>
      </w:pPr>
      <w:r>
        <w:t>TABLE  OF  CONTENTS</w:t>
      </w:r>
    </w:p>
    <w:p w:rsidR="00E02DD3" w:rsidRDefault="007A3AF0">
      <w:pPr>
        <w:jc w:val="right"/>
        <w:rPr>
          <w:i/>
          <w:iCs/>
          <w:noProof/>
        </w:rPr>
      </w:pPr>
      <w:r>
        <w:rPr>
          <w:i/>
          <w:iCs/>
          <w:noProof/>
        </w:rPr>
        <w:t>Page</w:t>
      </w:r>
    </w:p>
    <w:p w:rsidR="00E02DD3" w:rsidRDefault="007A3AF0">
      <w:pPr>
        <w:pStyle w:val="TOC1"/>
        <w:rPr>
          <w:noProof/>
        </w:rPr>
      </w:pPr>
      <w:r>
        <w:rPr>
          <w:noProof/>
        </w:rPr>
        <w:t>1</w:t>
      </w:r>
      <w:r>
        <w:rPr>
          <w:noProof/>
        </w:rPr>
        <w:tab/>
        <w:t>Definitions of the different IM types in the transmitter</w:t>
      </w:r>
      <w:r>
        <w:rPr>
          <w:noProof/>
        </w:rPr>
        <w:tab/>
      </w:r>
      <w:r>
        <w:rPr>
          <w:noProof/>
        </w:rPr>
        <w:tab/>
        <w:t>2</w:t>
      </w:r>
    </w:p>
    <w:p w:rsidR="00E02DD3" w:rsidRDefault="007A3AF0">
      <w:pPr>
        <w:pStyle w:val="TOC2"/>
        <w:rPr>
          <w:noProof/>
        </w:rPr>
      </w:pPr>
      <w:r>
        <w:rPr>
          <w:noProof/>
        </w:rPr>
        <w:t>1.1</w:t>
      </w:r>
      <w:r>
        <w:rPr>
          <w:noProof/>
        </w:rPr>
        <w:tab/>
        <w:t>Type 1 – Single-channel IM</w:t>
      </w:r>
      <w:r>
        <w:rPr>
          <w:noProof/>
        </w:rPr>
        <w:tab/>
      </w:r>
      <w:r>
        <w:rPr>
          <w:noProof/>
        </w:rPr>
        <w:tab/>
        <w:t>3</w:t>
      </w:r>
    </w:p>
    <w:p w:rsidR="00E02DD3" w:rsidRDefault="007A3AF0">
      <w:pPr>
        <w:pStyle w:val="TOC2"/>
        <w:rPr>
          <w:noProof/>
        </w:rPr>
      </w:pPr>
      <w:r>
        <w:rPr>
          <w:noProof/>
        </w:rPr>
        <w:t>1.2</w:t>
      </w:r>
      <w:r>
        <w:rPr>
          <w:noProof/>
        </w:rPr>
        <w:tab/>
        <w:t>Type 2 – Multichannel IM</w:t>
      </w:r>
      <w:r>
        <w:rPr>
          <w:noProof/>
        </w:rPr>
        <w:tab/>
      </w:r>
      <w:r>
        <w:rPr>
          <w:noProof/>
        </w:rPr>
        <w:tab/>
        <w:t>4</w:t>
      </w:r>
    </w:p>
    <w:p w:rsidR="00E02DD3" w:rsidRDefault="007A3AF0">
      <w:pPr>
        <w:pStyle w:val="TOC2"/>
        <w:rPr>
          <w:noProof/>
        </w:rPr>
      </w:pPr>
      <w:r>
        <w:rPr>
          <w:noProof/>
        </w:rPr>
        <w:t>1.3</w:t>
      </w:r>
      <w:r>
        <w:rPr>
          <w:noProof/>
        </w:rPr>
        <w:tab/>
        <w:t>Type 3 – Inter-transmitter IM</w:t>
      </w:r>
      <w:r>
        <w:rPr>
          <w:noProof/>
        </w:rPr>
        <w:tab/>
      </w:r>
      <w:r>
        <w:rPr>
          <w:noProof/>
        </w:rPr>
        <w:tab/>
        <w:t>5</w:t>
      </w:r>
    </w:p>
    <w:p w:rsidR="00E02DD3" w:rsidRDefault="007A3AF0">
      <w:pPr>
        <w:pStyle w:val="TOC2"/>
        <w:rPr>
          <w:noProof/>
        </w:rPr>
      </w:pPr>
      <w:r>
        <w:rPr>
          <w:noProof/>
        </w:rPr>
        <w:t>1.4</w:t>
      </w:r>
      <w:r>
        <w:rPr>
          <w:noProof/>
        </w:rPr>
        <w:tab/>
        <w:t>Type 4 – IM due to active antennas</w:t>
      </w:r>
      <w:r>
        <w:rPr>
          <w:noProof/>
        </w:rPr>
        <w:tab/>
      </w:r>
      <w:r>
        <w:rPr>
          <w:noProof/>
        </w:rPr>
        <w:tab/>
        <w:t>5</w:t>
      </w:r>
    </w:p>
    <w:p w:rsidR="00E02DD3" w:rsidRDefault="007A3AF0">
      <w:pPr>
        <w:pStyle w:val="TOC2"/>
        <w:rPr>
          <w:noProof/>
        </w:rPr>
      </w:pPr>
      <w:r>
        <w:rPr>
          <w:noProof/>
        </w:rPr>
        <w:t>1.5</w:t>
      </w:r>
      <w:r>
        <w:rPr>
          <w:noProof/>
        </w:rPr>
        <w:tab/>
        <w:t>Type 5 – IM due to passive circuits</w:t>
      </w:r>
      <w:r>
        <w:rPr>
          <w:noProof/>
        </w:rPr>
        <w:tab/>
      </w:r>
      <w:r>
        <w:rPr>
          <w:noProof/>
        </w:rPr>
        <w:tab/>
        <w:t>6</w:t>
      </w:r>
    </w:p>
    <w:p w:rsidR="00E02DD3" w:rsidRDefault="007A3AF0">
      <w:pPr>
        <w:pStyle w:val="TOC2"/>
        <w:rPr>
          <w:noProof/>
        </w:rPr>
      </w:pPr>
      <w:r>
        <w:rPr>
          <w:noProof/>
        </w:rPr>
        <w:t>1.6</w:t>
      </w:r>
      <w:r>
        <w:rPr>
          <w:noProof/>
        </w:rPr>
        <w:tab/>
        <w:t>Transmitter IM attenuation</w:t>
      </w:r>
      <w:r>
        <w:rPr>
          <w:noProof/>
        </w:rPr>
        <w:tab/>
      </w:r>
      <w:r>
        <w:rPr>
          <w:noProof/>
        </w:rPr>
        <w:tab/>
        <w:t>7</w:t>
      </w:r>
    </w:p>
    <w:p w:rsidR="00E02DD3" w:rsidRDefault="007A3AF0">
      <w:pPr>
        <w:pStyle w:val="TOC1"/>
        <w:rPr>
          <w:noProof/>
        </w:rPr>
      </w:pPr>
      <w:r>
        <w:rPr>
          <w:noProof/>
        </w:rPr>
        <w:t>2</w:t>
      </w:r>
      <w:r>
        <w:rPr>
          <w:noProof/>
        </w:rPr>
        <w:tab/>
        <w:t>Radiocommunication services considerations</w:t>
      </w:r>
      <w:r>
        <w:rPr>
          <w:noProof/>
        </w:rPr>
        <w:tab/>
      </w:r>
      <w:r>
        <w:rPr>
          <w:noProof/>
        </w:rPr>
        <w:tab/>
        <w:t>7</w:t>
      </w:r>
    </w:p>
    <w:p w:rsidR="00E02DD3" w:rsidRDefault="007A3AF0">
      <w:pPr>
        <w:pStyle w:val="TOC1"/>
        <w:rPr>
          <w:noProof/>
        </w:rPr>
      </w:pPr>
      <w:r>
        <w:rPr>
          <w:noProof/>
        </w:rPr>
        <w:t>3</w:t>
      </w:r>
      <w:r>
        <w:rPr>
          <w:noProof/>
        </w:rPr>
        <w:tab/>
        <w:t>Measurement techniques</w:t>
      </w:r>
      <w:r>
        <w:rPr>
          <w:noProof/>
        </w:rPr>
        <w:tab/>
      </w:r>
      <w:r>
        <w:rPr>
          <w:noProof/>
        </w:rPr>
        <w:tab/>
        <w:t>7</w:t>
      </w:r>
    </w:p>
    <w:p w:rsidR="00E02DD3" w:rsidRDefault="007A3AF0">
      <w:pPr>
        <w:pStyle w:val="TOC2"/>
        <w:rPr>
          <w:noProof/>
        </w:rPr>
      </w:pPr>
      <w:r>
        <w:rPr>
          <w:noProof/>
        </w:rPr>
        <w:t>3.1</w:t>
      </w:r>
      <w:r>
        <w:rPr>
          <w:noProof/>
        </w:rPr>
        <w:tab/>
        <w:t>Generic measurement methods for single-channel IM measurement (Type 1)</w:t>
      </w:r>
      <w:r>
        <w:rPr>
          <w:noProof/>
        </w:rPr>
        <w:tab/>
      </w:r>
      <w:r>
        <w:rPr>
          <w:noProof/>
        </w:rPr>
        <w:tab/>
        <w:t>7</w:t>
      </w:r>
    </w:p>
    <w:p w:rsidR="00E02DD3" w:rsidRDefault="007A3AF0">
      <w:pPr>
        <w:pStyle w:val="TOC3"/>
        <w:rPr>
          <w:noProof/>
        </w:rPr>
      </w:pPr>
      <w:r>
        <w:rPr>
          <w:noProof/>
        </w:rPr>
        <w:t>3.1.1</w:t>
      </w:r>
      <w:r>
        <w:rPr>
          <w:noProof/>
        </w:rPr>
        <w:tab/>
        <w:t>Analogue modulation</w:t>
      </w:r>
      <w:r>
        <w:rPr>
          <w:noProof/>
        </w:rPr>
        <w:tab/>
      </w:r>
      <w:r>
        <w:rPr>
          <w:noProof/>
        </w:rPr>
        <w:tab/>
        <w:t>8</w:t>
      </w:r>
    </w:p>
    <w:p w:rsidR="00E02DD3" w:rsidRDefault="007A3AF0">
      <w:pPr>
        <w:pStyle w:val="TOC3"/>
        <w:rPr>
          <w:noProof/>
        </w:rPr>
      </w:pPr>
      <w:r>
        <w:rPr>
          <w:noProof/>
        </w:rPr>
        <w:t>3.1.2</w:t>
      </w:r>
      <w:r>
        <w:rPr>
          <w:noProof/>
        </w:rPr>
        <w:tab/>
        <w:t>Digital modulations</w:t>
      </w:r>
      <w:r>
        <w:rPr>
          <w:noProof/>
        </w:rPr>
        <w:tab/>
      </w:r>
      <w:r>
        <w:rPr>
          <w:noProof/>
        </w:rPr>
        <w:tab/>
        <w:t>8</w:t>
      </w:r>
    </w:p>
    <w:p w:rsidR="00E02DD3" w:rsidRDefault="007A3AF0">
      <w:pPr>
        <w:pStyle w:val="TOC2"/>
        <w:rPr>
          <w:noProof/>
        </w:rPr>
      </w:pPr>
      <w:r>
        <w:rPr>
          <w:noProof/>
        </w:rPr>
        <w:t>3.2</w:t>
      </w:r>
      <w:r>
        <w:rPr>
          <w:noProof/>
        </w:rPr>
        <w:tab/>
        <w:t>Generic measurement methods for multicarrier IM measurement (Type 2)</w:t>
      </w:r>
      <w:r>
        <w:rPr>
          <w:noProof/>
        </w:rPr>
        <w:tab/>
      </w:r>
      <w:r>
        <w:rPr>
          <w:noProof/>
        </w:rPr>
        <w:tab/>
        <w:t>9</w:t>
      </w:r>
    </w:p>
    <w:p w:rsidR="00E02DD3" w:rsidRDefault="007A3AF0">
      <w:pPr>
        <w:pStyle w:val="TOC3"/>
        <w:rPr>
          <w:noProof/>
        </w:rPr>
      </w:pPr>
      <w:r>
        <w:rPr>
          <w:noProof/>
        </w:rPr>
        <w:t>3.2.1</w:t>
      </w:r>
      <w:r>
        <w:rPr>
          <w:noProof/>
        </w:rPr>
        <w:tab/>
        <w:t>Descriptions of measurement methods</w:t>
      </w:r>
      <w:r>
        <w:rPr>
          <w:noProof/>
        </w:rPr>
        <w:tab/>
      </w:r>
      <w:r>
        <w:rPr>
          <w:noProof/>
        </w:rPr>
        <w:tab/>
        <w:t>9</w:t>
      </w:r>
    </w:p>
    <w:p w:rsidR="00E02DD3" w:rsidRDefault="007A3AF0">
      <w:pPr>
        <w:pStyle w:val="TOC3"/>
        <w:rPr>
          <w:noProof/>
        </w:rPr>
      </w:pPr>
      <w:r>
        <w:rPr>
          <w:noProof/>
        </w:rPr>
        <w:t>3.2.2</w:t>
      </w:r>
      <w:r>
        <w:rPr>
          <w:noProof/>
        </w:rPr>
        <w:tab/>
        <w:t>Comparison of the methods</w:t>
      </w:r>
      <w:r>
        <w:rPr>
          <w:noProof/>
        </w:rPr>
        <w:tab/>
      </w:r>
      <w:r>
        <w:rPr>
          <w:noProof/>
        </w:rPr>
        <w:tab/>
        <w:t>10</w:t>
      </w:r>
    </w:p>
    <w:p w:rsidR="00E02DD3" w:rsidRDefault="007A3AF0">
      <w:pPr>
        <w:pStyle w:val="TOC2"/>
        <w:rPr>
          <w:noProof/>
        </w:rPr>
      </w:pPr>
      <w:r>
        <w:rPr>
          <w:noProof/>
        </w:rPr>
        <w:t>3.3</w:t>
      </w:r>
      <w:r>
        <w:rPr>
          <w:noProof/>
        </w:rPr>
        <w:tab/>
        <w:t>Generic measurement methods for inter-transmitter IM measurement (Type 3)</w:t>
      </w:r>
      <w:r>
        <w:rPr>
          <w:noProof/>
        </w:rPr>
        <w:tab/>
      </w:r>
      <w:r>
        <w:rPr>
          <w:noProof/>
        </w:rPr>
        <w:tab/>
        <w:t>11</w:t>
      </w:r>
    </w:p>
    <w:p w:rsidR="00E02DD3" w:rsidRDefault="007A3AF0">
      <w:pPr>
        <w:pStyle w:val="TOC3"/>
        <w:rPr>
          <w:noProof/>
        </w:rPr>
      </w:pPr>
      <w:r>
        <w:rPr>
          <w:noProof/>
        </w:rPr>
        <w:t>3.3.1</w:t>
      </w:r>
      <w:r>
        <w:rPr>
          <w:noProof/>
        </w:rPr>
        <w:tab/>
        <w:t>Principle</w:t>
      </w:r>
      <w:r>
        <w:rPr>
          <w:noProof/>
        </w:rPr>
        <w:tab/>
      </w:r>
      <w:r>
        <w:rPr>
          <w:noProof/>
        </w:rPr>
        <w:tab/>
        <w:t>11</w:t>
      </w:r>
    </w:p>
    <w:p w:rsidR="00E02DD3" w:rsidRDefault="007A3AF0">
      <w:pPr>
        <w:pStyle w:val="TOC3"/>
        <w:rPr>
          <w:noProof/>
        </w:rPr>
      </w:pPr>
      <w:r>
        <w:rPr>
          <w:noProof/>
        </w:rPr>
        <w:t>3.3.2</w:t>
      </w:r>
      <w:r>
        <w:rPr>
          <w:noProof/>
        </w:rPr>
        <w:tab/>
        <w:t>Measurement set-up</w:t>
      </w:r>
      <w:r>
        <w:rPr>
          <w:noProof/>
        </w:rPr>
        <w:tab/>
      </w:r>
      <w:r>
        <w:rPr>
          <w:noProof/>
        </w:rPr>
        <w:tab/>
        <w:t>12</w:t>
      </w:r>
    </w:p>
    <w:p w:rsidR="00E02DD3" w:rsidRDefault="007A3AF0">
      <w:pPr>
        <w:pStyle w:val="TOC1"/>
        <w:rPr>
          <w:noProof/>
        </w:rPr>
      </w:pPr>
      <w:r>
        <w:rPr>
          <w:noProof/>
        </w:rPr>
        <w:t>Appendix 1 of Annex 1 – Examples of IM performance</w:t>
      </w:r>
      <w:r>
        <w:rPr>
          <w:noProof/>
        </w:rPr>
        <w:tab/>
      </w:r>
      <w:r>
        <w:rPr>
          <w:noProof/>
        </w:rPr>
        <w:tab/>
        <w:t>13</w:t>
      </w:r>
    </w:p>
    <w:p w:rsidR="00E02DD3" w:rsidRDefault="00E02DD3"/>
    <w:p w:rsidR="00E02DD3" w:rsidRDefault="00E02DD3"/>
    <w:p w:rsidR="00E02DD3" w:rsidRDefault="00E02DD3"/>
    <w:p w:rsidR="00E02DD3" w:rsidRDefault="007A3AF0">
      <w:pPr>
        <w:pStyle w:val="Heading1"/>
      </w:pPr>
      <w:bookmarkStart w:id="3" w:name="_Toc445524172"/>
      <w:bookmarkStart w:id="4" w:name="_Toc445529688"/>
      <w:bookmarkStart w:id="5" w:name="_Toc460747451"/>
      <w:r>
        <w:t>1</w:t>
      </w:r>
      <w:r>
        <w:tab/>
        <w:t>Definitions of the different IM types in the transmitter</w:t>
      </w:r>
      <w:bookmarkEnd w:id="3"/>
      <w:bookmarkEnd w:id="4"/>
      <w:bookmarkEnd w:id="5"/>
    </w:p>
    <w:p w:rsidR="00E02DD3" w:rsidRDefault="007A3AF0">
      <w:r>
        <w:t xml:space="preserve">IM products are generated at non-linearities in the transmitter output amplifier, e.g. at semiconductors, klystrons, etc., and in passive devices like combiners, circulators, connectors, etc. </w:t>
      </w:r>
    </w:p>
    <w:p w:rsidR="00E02DD3" w:rsidRDefault="007A3AF0">
      <w:r>
        <w:t xml:space="preserve">IM products at the frequency </w:t>
      </w:r>
      <w:r>
        <w:rPr>
          <w:i/>
          <w:iCs/>
        </w:rPr>
        <w:t>f</w:t>
      </w:r>
      <w:r>
        <w:rPr>
          <w:i/>
          <w:iCs/>
          <w:position w:val="-4"/>
          <w:sz w:val="16"/>
        </w:rPr>
        <w:t>IM</w:t>
      </w:r>
      <w:r>
        <w:t xml:space="preserve"> are generated by two or more unwanted signals at the frequencies </w:t>
      </w:r>
      <w:r>
        <w:rPr>
          <w:i/>
          <w:iCs/>
        </w:rPr>
        <w:t>f</w:t>
      </w:r>
      <w:r>
        <w:rPr>
          <w:position w:val="-4"/>
          <w:sz w:val="16"/>
        </w:rPr>
        <w:t>1</w:t>
      </w:r>
      <w:r>
        <w:t xml:space="preserve">, </w:t>
      </w:r>
      <w:r>
        <w:rPr>
          <w:i/>
          <w:iCs/>
        </w:rPr>
        <w:t>f</w:t>
      </w:r>
      <w:r>
        <w:rPr>
          <w:position w:val="-4"/>
          <w:sz w:val="16"/>
        </w:rPr>
        <w:t>2</w:t>
      </w:r>
      <w:r>
        <w:t xml:space="preserve">, </w:t>
      </w:r>
      <w:r>
        <w:rPr>
          <w:rFonts w:ascii="Symbol" w:hAnsi="Symbol"/>
        </w:rPr>
        <w:t></w:t>
      </w:r>
      <w:r>
        <w:t xml:space="preserve"> at non</w:t>
      </w:r>
      <w:r>
        <w:noBreakHyphen/>
        <w:t xml:space="preserve">linearities in the output of a transmitter. The relation between </w:t>
      </w:r>
      <w:r>
        <w:rPr>
          <w:i/>
          <w:iCs/>
        </w:rPr>
        <w:t>f</w:t>
      </w:r>
      <w:r>
        <w:rPr>
          <w:i/>
          <w:iCs/>
          <w:position w:val="-4"/>
          <w:sz w:val="16"/>
        </w:rPr>
        <w:t>IM</w:t>
      </w:r>
      <w:r>
        <w:t xml:space="preserve"> and </w:t>
      </w:r>
      <w:r>
        <w:rPr>
          <w:i/>
          <w:iCs/>
        </w:rPr>
        <w:t>f</w:t>
      </w:r>
      <w:r>
        <w:rPr>
          <w:position w:val="-4"/>
          <w:sz w:val="16"/>
        </w:rPr>
        <w:t>1</w:t>
      </w:r>
      <w:r>
        <w:t xml:space="preserve">, </w:t>
      </w:r>
      <w:r>
        <w:rPr>
          <w:i/>
          <w:iCs/>
        </w:rPr>
        <w:t>f</w:t>
      </w:r>
      <w:r>
        <w:rPr>
          <w:position w:val="-4"/>
          <w:sz w:val="16"/>
        </w:rPr>
        <w:t>2</w:t>
      </w:r>
      <w:r>
        <w:t xml:space="preserve">, </w:t>
      </w:r>
      <w:r>
        <w:rPr>
          <w:rFonts w:ascii="Symbol" w:hAnsi="Symbol"/>
        </w:rPr>
        <w:t></w:t>
      </w:r>
      <w:r>
        <w:t xml:space="preserve"> can be expressed very general:</w:t>
      </w:r>
    </w:p>
    <w:p w:rsidR="00E02DD3" w:rsidRDefault="007A3AF0">
      <w:pPr>
        <w:pStyle w:val="Equation"/>
        <w:jc w:val="center"/>
        <w:rPr>
          <w:rFonts w:ascii="Symbol" w:hAnsi="Symbol"/>
          <w:sz w:val="20"/>
        </w:rPr>
      </w:pPr>
      <w:r>
        <w:rPr>
          <w:i/>
          <w:iCs/>
        </w:rPr>
        <w:t>f</w:t>
      </w:r>
      <w:r>
        <w:rPr>
          <w:i/>
          <w:iCs/>
          <w:position w:val="-4"/>
          <w:sz w:val="18"/>
        </w:rPr>
        <w:t>IM</w:t>
      </w:r>
      <w:r>
        <w:t xml:space="preserve"> </w:t>
      </w:r>
      <w:r>
        <w:rPr>
          <w:rFonts w:ascii="Symbol" w:hAnsi="Symbol"/>
        </w:rPr>
        <w:t></w:t>
      </w:r>
      <w:r>
        <w:t xml:space="preserve"> </w:t>
      </w:r>
      <w:r>
        <w:rPr>
          <w:rFonts w:ascii="Symbol" w:hAnsi="Symbol"/>
          <w:position w:val="-4"/>
        </w:rPr>
        <w:t></w:t>
      </w:r>
      <w:r>
        <w:rPr>
          <w:rFonts w:ascii="Tms Rmn" w:hAnsi="Tms Rmn"/>
          <w:sz w:val="12"/>
        </w:rPr>
        <w:t> </w:t>
      </w:r>
      <w:r>
        <w:rPr>
          <w:rFonts w:ascii="Tms Rmn" w:hAnsi="Tms Rmn"/>
          <w:i/>
          <w:iCs/>
        </w:rPr>
        <w:t>m</w:t>
      </w:r>
      <w:r>
        <w:rPr>
          <w:rFonts w:ascii="Tms Rmn" w:hAnsi="Tms Rmn"/>
          <w:position w:val="-4"/>
          <w:sz w:val="18"/>
        </w:rPr>
        <w:t>1</w:t>
      </w:r>
      <w:r>
        <w:rPr>
          <w:rFonts w:ascii="Tms Rmn" w:hAnsi="Tms Rmn"/>
          <w:sz w:val="12"/>
        </w:rPr>
        <w:t> </w:t>
      </w:r>
      <w:r>
        <w:rPr>
          <w:rFonts w:ascii="Tms Rmn" w:hAnsi="Tms Rmn"/>
          <w:i/>
          <w:iCs/>
        </w:rPr>
        <w:t>f</w:t>
      </w:r>
      <w:r>
        <w:rPr>
          <w:rFonts w:ascii="Tms Rmn" w:hAnsi="Tms Rmn"/>
          <w:position w:val="-4"/>
          <w:sz w:val="18"/>
        </w:rPr>
        <w:t>1</w:t>
      </w:r>
      <w:r>
        <w:t xml:space="preserve"> </w:t>
      </w:r>
      <w:r>
        <w:rPr>
          <w:rFonts w:ascii="Symbol" w:hAnsi="Symbol"/>
        </w:rPr>
        <w:t></w:t>
      </w:r>
      <w:r>
        <w:t xml:space="preserve"> </w:t>
      </w:r>
      <w:r>
        <w:rPr>
          <w:i/>
          <w:iCs/>
        </w:rPr>
        <w:t>m</w:t>
      </w:r>
      <w:r>
        <w:rPr>
          <w:position w:val="-4"/>
          <w:sz w:val="18"/>
        </w:rPr>
        <w:t>2</w:t>
      </w:r>
      <w:r>
        <w:rPr>
          <w:rFonts w:ascii="Tms Rmn" w:hAnsi="Tms Rmn"/>
          <w:sz w:val="12"/>
        </w:rPr>
        <w:t> </w:t>
      </w:r>
      <w:r>
        <w:rPr>
          <w:rFonts w:ascii="Tms Rmn" w:hAnsi="Tms Rmn"/>
          <w:i/>
          <w:iCs/>
          <w:sz w:val="12"/>
        </w:rPr>
        <w:t> </w:t>
      </w:r>
      <w:r>
        <w:rPr>
          <w:i/>
          <w:iCs/>
        </w:rPr>
        <w:t>f</w:t>
      </w:r>
      <w:r>
        <w:rPr>
          <w:position w:val="-4"/>
          <w:sz w:val="18"/>
        </w:rPr>
        <w:t>2</w:t>
      </w:r>
      <w:r>
        <w:t xml:space="preserve"> </w:t>
      </w:r>
      <w:r>
        <w:rPr>
          <w:rFonts w:ascii="Symbol" w:hAnsi="Symbol"/>
        </w:rPr>
        <w:t></w:t>
      </w:r>
      <w:r>
        <w:t xml:space="preserve"> </w:t>
      </w:r>
      <w:r>
        <w:rPr>
          <w:rFonts w:ascii="Symbol" w:hAnsi="Symbol"/>
        </w:rPr>
        <w:t></w:t>
      </w:r>
      <w:r>
        <w:rPr>
          <w:rFonts w:ascii="Tms Rmn" w:hAnsi="Tms Rmn"/>
          <w:sz w:val="12"/>
        </w:rPr>
        <w:t> </w:t>
      </w:r>
      <w:r>
        <w:rPr>
          <w:rFonts w:ascii="Symbol" w:hAnsi="Symbol"/>
          <w:position w:val="-4"/>
        </w:rPr>
        <w:t></w:t>
      </w:r>
      <w:r>
        <w:t>         with         </w:t>
      </w:r>
      <w:r>
        <w:rPr>
          <w:i/>
          <w:iCs/>
        </w:rPr>
        <w:t>m</w:t>
      </w:r>
      <w:r>
        <w:rPr>
          <w:rFonts w:ascii="Symbol" w:hAnsi="Symbol"/>
          <w:i/>
          <w:iCs/>
          <w:position w:val="-4"/>
          <w:sz w:val="18"/>
        </w:rPr>
        <w:t></w:t>
      </w:r>
      <w:r>
        <w:t xml:space="preserve"> </w:t>
      </w:r>
      <w:r>
        <w:rPr>
          <w:rFonts w:ascii="Symbol" w:hAnsi="Symbol"/>
        </w:rPr>
        <w:t></w:t>
      </w:r>
      <w:r>
        <w:t xml:space="preserve"> 0, </w:t>
      </w:r>
      <w:r>
        <w:rPr>
          <w:rFonts w:ascii="Symbol" w:hAnsi="Symbol"/>
        </w:rPr>
        <w:t></w:t>
      </w:r>
      <w:r>
        <w:rPr>
          <w:rFonts w:ascii="Tms Rmn" w:hAnsi="Tms Rmn"/>
          <w:sz w:val="4"/>
        </w:rPr>
        <w:t> </w:t>
      </w:r>
      <w:r>
        <w:rPr>
          <w:rFonts w:ascii="Tms Rmn" w:hAnsi="Tms Rmn"/>
          <w:sz w:val="20"/>
        </w:rPr>
        <w:t xml:space="preserve">1, </w:t>
      </w:r>
      <w:r>
        <w:rPr>
          <w:rFonts w:ascii="Symbol" w:hAnsi="Symbol"/>
        </w:rPr>
        <w:t></w:t>
      </w:r>
      <w:r>
        <w:rPr>
          <w:rFonts w:ascii="Tms Rmn" w:hAnsi="Tms Rmn"/>
          <w:sz w:val="4"/>
        </w:rPr>
        <w:t> </w:t>
      </w:r>
      <w:r>
        <w:rPr>
          <w:rFonts w:ascii="Tms Rmn" w:hAnsi="Tms Rmn"/>
          <w:sz w:val="20"/>
        </w:rPr>
        <w:t xml:space="preserve">2, </w:t>
      </w:r>
      <w:r>
        <w:rPr>
          <w:rFonts w:ascii="Symbol" w:hAnsi="Symbol"/>
          <w:sz w:val="20"/>
        </w:rPr>
        <w:t></w:t>
      </w:r>
    </w:p>
    <w:p w:rsidR="00E02DD3" w:rsidRDefault="007A3AF0">
      <w:r>
        <w:t xml:space="preserve">The order of the IM product is given by </w:t>
      </w:r>
      <w:r>
        <w:rPr>
          <w:i/>
          <w:iCs/>
        </w:rPr>
        <w:t>n</w:t>
      </w:r>
      <w:r>
        <w:t> </w:t>
      </w:r>
      <w:r>
        <w:rPr>
          <w:rFonts w:ascii="Symbol" w:hAnsi="Symbol"/>
        </w:rPr>
        <w:t></w:t>
      </w:r>
      <w:r>
        <w:t> </w:t>
      </w:r>
      <w:r>
        <w:rPr>
          <w:i/>
          <w:iCs/>
        </w:rPr>
        <w:t>m</w:t>
      </w:r>
      <w:r>
        <w:rPr>
          <w:position w:val="-4"/>
          <w:sz w:val="16"/>
        </w:rPr>
        <w:t>1</w:t>
      </w:r>
      <w:r>
        <w:t> </w:t>
      </w:r>
      <w:r>
        <w:rPr>
          <w:rFonts w:ascii="Symbol" w:hAnsi="Symbol"/>
        </w:rPr>
        <w:t></w:t>
      </w:r>
      <w:r>
        <w:t> </w:t>
      </w:r>
      <w:r>
        <w:rPr>
          <w:i/>
          <w:iCs/>
        </w:rPr>
        <w:t>m</w:t>
      </w:r>
      <w:r>
        <w:rPr>
          <w:position w:val="-4"/>
          <w:sz w:val="16"/>
        </w:rPr>
        <w:t>2</w:t>
      </w:r>
      <w:r>
        <w:t> </w:t>
      </w:r>
      <w:r>
        <w:rPr>
          <w:rFonts w:ascii="Symbol" w:hAnsi="Symbol"/>
        </w:rPr>
        <w:t></w:t>
      </w:r>
      <w:r>
        <w:t> </w:t>
      </w:r>
      <w:r>
        <w:rPr>
          <w:rFonts w:ascii="Symbol" w:hAnsi="Symbol"/>
        </w:rPr>
        <w:t></w:t>
      </w:r>
      <w:r>
        <w:t xml:space="preserve">. This means that the frequency for 2nd order IM products, </w:t>
      </w:r>
      <w:r>
        <w:rPr>
          <w:i/>
          <w:iCs/>
        </w:rPr>
        <w:t>IM</w:t>
      </w:r>
      <w:r>
        <w:rPr>
          <w:position w:val="-4"/>
          <w:sz w:val="16"/>
        </w:rPr>
        <w:t>2</w:t>
      </w:r>
      <w:r>
        <w:t xml:space="preserve"> with </w:t>
      </w:r>
      <w:r>
        <w:rPr>
          <w:i/>
          <w:iCs/>
        </w:rPr>
        <w:t>n</w:t>
      </w:r>
      <w:r>
        <w:t> </w:t>
      </w:r>
      <w:r>
        <w:rPr>
          <w:rFonts w:ascii="Symbol" w:hAnsi="Symbol"/>
        </w:rPr>
        <w:t></w:t>
      </w:r>
      <w:r>
        <w:t> 2, </w:t>
      </w:r>
      <w:r>
        <w:rPr>
          <w:i/>
          <w:iCs/>
        </w:rPr>
        <w:t>m</w:t>
      </w:r>
      <w:r>
        <w:rPr>
          <w:position w:val="-4"/>
          <w:sz w:val="16"/>
        </w:rPr>
        <w:t>1</w:t>
      </w:r>
      <w:r>
        <w:t> </w:t>
      </w:r>
      <w:r>
        <w:rPr>
          <w:rFonts w:ascii="Symbol" w:hAnsi="Symbol"/>
        </w:rPr>
        <w:t></w:t>
      </w:r>
      <w:r>
        <w:t> </w:t>
      </w:r>
      <w:r>
        <w:rPr>
          <w:i/>
          <w:iCs/>
        </w:rPr>
        <w:t>m</w:t>
      </w:r>
      <w:r>
        <w:rPr>
          <w:position w:val="-4"/>
          <w:sz w:val="16"/>
        </w:rPr>
        <w:t>2</w:t>
      </w:r>
      <w:r>
        <w:t> </w:t>
      </w:r>
      <w:r>
        <w:rPr>
          <w:rFonts w:ascii="Symbol" w:hAnsi="Symbol"/>
        </w:rPr>
        <w:t></w:t>
      </w:r>
      <w:r>
        <w:t xml:space="preserve"> 1 results in </w:t>
      </w:r>
      <w:r>
        <w:rPr>
          <w:i/>
          <w:iCs/>
        </w:rPr>
        <w:t>f</w:t>
      </w:r>
      <w:r>
        <w:rPr>
          <w:i/>
          <w:iCs/>
          <w:position w:val="-4"/>
          <w:sz w:val="16"/>
        </w:rPr>
        <w:t>IM</w:t>
      </w:r>
      <w:r>
        <w:t> </w:t>
      </w:r>
      <w:r>
        <w:rPr>
          <w:rFonts w:ascii="Symbol" w:hAnsi="Symbol"/>
        </w:rPr>
        <w:t></w:t>
      </w:r>
      <w:r>
        <w:t> </w:t>
      </w:r>
      <w:r>
        <w:rPr>
          <w:rFonts w:ascii="Symbol" w:hAnsi="Symbol"/>
          <w:position w:val="-4"/>
        </w:rPr>
        <w:t></w:t>
      </w:r>
      <w:r>
        <w:rPr>
          <w:rFonts w:ascii="Tms Rmn" w:hAnsi="Tms Rmn"/>
          <w:sz w:val="12"/>
        </w:rPr>
        <w:t> </w:t>
      </w:r>
      <w:r>
        <w:rPr>
          <w:i/>
          <w:iCs/>
        </w:rPr>
        <w:t>f</w:t>
      </w:r>
      <w:r>
        <w:rPr>
          <w:position w:val="-4"/>
          <w:sz w:val="16"/>
        </w:rPr>
        <w:t>1</w:t>
      </w:r>
      <w:r>
        <w:t> </w:t>
      </w:r>
      <w:r>
        <w:rPr>
          <w:rFonts w:ascii="Symbol" w:hAnsi="Symbol"/>
        </w:rPr>
        <w:t></w:t>
      </w:r>
      <w:r>
        <w:t> </w:t>
      </w:r>
      <w:r>
        <w:rPr>
          <w:rFonts w:ascii="Tms Rmn" w:hAnsi="Tms Rmn"/>
          <w:sz w:val="8"/>
        </w:rPr>
        <w:t> </w:t>
      </w:r>
      <w:r>
        <w:rPr>
          <w:i/>
          <w:iCs/>
        </w:rPr>
        <w:t>f</w:t>
      </w:r>
      <w:r>
        <w:rPr>
          <w:position w:val="-4"/>
          <w:sz w:val="16"/>
        </w:rPr>
        <w:t>2</w:t>
      </w:r>
      <w:r>
        <w:rPr>
          <w:rFonts w:ascii="Tms Rmn" w:hAnsi="Tms Rmn"/>
          <w:sz w:val="12"/>
        </w:rPr>
        <w:t> </w:t>
      </w:r>
      <w:r>
        <w:rPr>
          <w:rFonts w:ascii="Symbol" w:hAnsi="Symbol"/>
          <w:position w:val="-4"/>
        </w:rPr>
        <w:t></w:t>
      </w:r>
      <w:r>
        <w:t xml:space="preserve"> and of the 3rd order </w:t>
      </w:r>
      <w:r>
        <w:rPr>
          <w:i/>
          <w:iCs/>
        </w:rPr>
        <w:t>IM</w:t>
      </w:r>
      <w:r>
        <w:rPr>
          <w:position w:val="-4"/>
          <w:sz w:val="16"/>
        </w:rPr>
        <w:t>3</w:t>
      </w:r>
      <w:r>
        <w:t> (</w:t>
      </w:r>
      <w:r>
        <w:rPr>
          <w:i/>
          <w:iCs/>
        </w:rPr>
        <w:t>n</w:t>
      </w:r>
      <w:r>
        <w:t> </w:t>
      </w:r>
      <w:r>
        <w:rPr>
          <w:rFonts w:ascii="Symbol" w:hAnsi="Symbol"/>
        </w:rPr>
        <w:t></w:t>
      </w:r>
      <w:r>
        <w:t> 3, </w:t>
      </w:r>
      <w:r>
        <w:rPr>
          <w:i/>
          <w:iCs/>
        </w:rPr>
        <w:t>m</w:t>
      </w:r>
      <w:r>
        <w:rPr>
          <w:position w:val="-4"/>
          <w:sz w:val="16"/>
        </w:rPr>
        <w:t>1</w:t>
      </w:r>
      <w:r>
        <w:t> </w:t>
      </w:r>
      <w:r>
        <w:rPr>
          <w:rFonts w:ascii="Symbol" w:hAnsi="Symbol"/>
        </w:rPr>
        <w:t></w:t>
      </w:r>
      <w:r>
        <w:t> 2, </w:t>
      </w:r>
      <w:r>
        <w:rPr>
          <w:i/>
          <w:iCs/>
        </w:rPr>
        <w:t>m</w:t>
      </w:r>
      <w:r>
        <w:rPr>
          <w:position w:val="-4"/>
          <w:sz w:val="16"/>
        </w:rPr>
        <w:t>2</w:t>
      </w:r>
      <w:r>
        <w:t> </w:t>
      </w:r>
      <w:r>
        <w:rPr>
          <w:rFonts w:ascii="Symbol" w:hAnsi="Symbol"/>
        </w:rPr>
        <w:t></w:t>
      </w:r>
      <w:r>
        <w:t xml:space="preserve"> 1) in </w:t>
      </w:r>
      <w:r>
        <w:rPr>
          <w:i/>
          <w:iCs/>
        </w:rPr>
        <w:t>f</w:t>
      </w:r>
      <w:r>
        <w:rPr>
          <w:i/>
          <w:iCs/>
          <w:position w:val="-4"/>
          <w:sz w:val="16"/>
        </w:rPr>
        <w:t>IM</w:t>
      </w:r>
      <w:r>
        <w:t> = </w:t>
      </w:r>
      <w:r>
        <w:rPr>
          <w:rFonts w:ascii="Symbol" w:hAnsi="Symbol"/>
          <w:position w:val="-4"/>
        </w:rPr>
        <w:t></w:t>
      </w:r>
      <w:r>
        <w:rPr>
          <w:rFonts w:ascii="Tms Rmn" w:hAnsi="Tms Rmn"/>
          <w:sz w:val="12"/>
        </w:rPr>
        <w:t> </w:t>
      </w:r>
      <w:r>
        <w:t>2</w:t>
      </w:r>
      <w:r>
        <w:rPr>
          <w:rFonts w:ascii="Tms Rmn" w:hAnsi="Tms Rmn"/>
          <w:sz w:val="12"/>
        </w:rPr>
        <w:t> </w:t>
      </w:r>
      <w:r>
        <w:rPr>
          <w:i/>
          <w:iCs/>
        </w:rPr>
        <w:t>f</w:t>
      </w:r>
      <w:r>
        <w:rPr>
          <w:position w:val="-4"/>
          <w:sz w:val="16"/>
        </w:rPr>
        <w:t>1</w:t>
      </w:r>
      <w:r>
        <w:t> </w:t>
      </w:r>
      <w:r>
        <w:rPr>
          <w:rFonts w:ascii="Symbol" w:hAnsi="Symbol"/>
        </w:rPr>
        <w:t></w:t>
      </w:r>
      <w:r>
        <w:t> </w:t>
      </w:r>
      <w:r>
        <w:rPr>
          <w:rFonts w:ascii="Tms Rmn" w:hAnsi="Tms Rmn"/>
          <w:sz w:val="8"/>
        </w:rPr>
        <w:t> </w:t>
      </w:r>
      <w:r>
        <w:rPr>
          <w:i/>
          <w:iCs/>
        </w:rPr>
        <w:t>f</w:t>
      </w:r>
      <w:r>
        <w:rPr>
          <w:position w:val="-4"/>
          <w:sz w:val="16"/>
        </w:rPr>
        <w:t>2</w:t>
      </w:r>
      <w:r>
        <w:rPr>
          <w:rFonts w:ascii="Tms Rmn" w:hAnsi="Tms Rmn"/>
          <w:sz w:val="12"/>
        </w:rPr>
        <w:t> </w:t>
      </w:r>
      <w:r>
        <w:rPr>
          <w:rFonts w:ascii="Symbol" w:hAnsi="Symbol"/>
          <w:position w:val="-4"/>
        </w:rPr>
        <w:t></w:t>
      </w:r>
      <w:r>
        <w:t xml:space="preserve"> or in </w:t>
      </w:r>
      <w:r>
        <w:rPr>
          <w:i/>
          <w:iCs/>
        </w:rPr>
        <w:t>f</w:t>
      </w:r>
      <w:r>
        <w:rPr>
          <w:i/>
          <w:iCs/>
          <w:position w:val="-4"/>
          <w:sz w:val="16"/>
        </w:rPr>
        <w:t>IM</w:t>
      </w:r>
      <w:r>
        <w:t> </w:t>
      </w:r>
      <w:r>
        <w:rPr>
          <w:rFonts w:ascii="Symbol" w:hAnsi="Symbol"/>
        </w:rPr>
        <w:t></w:t>
      </w:r>
      <w:r>
        <w:t> </w:t>
      </w:r>
      <w:r>
        <w:rPr>
          <w:rFonts w:ascii="Symbol" w:hAnsi="Symbol"/>
          <w:position w:val="-4"/>
        </w:rPr>
        <w:t></w:t>
      </w:r>
      <w:r>
        <w:rPr>
          <w:rFonts w:ascii="Tms Rmn" w:hAnsi="Tms Rmn"/>
          <w:sz w:val="12"/>
        </w:rPr>
        <w:t> </w:t>
      </w:r>
      <w:r>
        <w:t>2</w:t>
      </w:r>
      <w:r>
        <w:rPr>
          <w:rFonts w:ascii="Tms Rmn" w:hAnsi="Tms Rmn"/>
          <w:sz w:val="12"/>
        </w:rPr>
        <w:t> </w:t>
      </w:r>
      <w:r>
        <w:rPr>
          <w:i/>
          <w:iCs/>
        </w:rPr>
        <w:t>f</w:t>
      </w:r>
      <w:r>
        <w:rPr>
          <w:position w:val="-4"/>
          <w:sz w:val="16"/>
        </w:rPr>
        <w:t>2</w:t>
      </w:r>
      <w:r>
        <w:t> </w:t>
      </w:r>
      <w:r>
        <w:rPr>
          <w:rFonts w:ascii="Symbol" w:hAnsi="Symbol"/>
        </w:rPr>
        <w:t></w:t>
      </w:r>
      <w:r>
        <w:t> </w:t>
      </w:r>
      <w:r>
        <w:rPr>
          <w:rFonts w:ascii="Tms Rmn" w:hAnsi="Tms Rmn"/>
          <w:sz w:val="8"/>
        </w:rPr>
        <w:t> </w:t>
      </w:r>
      <w:r>
        <w:rPr>
          <w:i/>
          <w:iCs/>
        </w:rPr>
        <w:t>f</w:t>
      </w:r>
      <w:r>
        <w:rPr>
          <w:position w:val="-4"/>
          <w:sz w:val="16"/>
        </w:rPr>
        <w:t>1</w:t>
      </w:r>
      <w:r>
        <w:rPr>
          <w:rFonts w:ascii="Tms Rmn" w:hAnsi="Tms Rmn"/>
          <w:sz w:val="12"/>
        </w:rPr>
        <w:t> </w:t>
      </w:r>
      <w:r>
        <w:rPr>
          <w:rFonts w:ascii="Symbol" w:hAnsi="Symbol"/>
          <w:position w:val="-4"/>
        </w:rPr>
        <w:t></w:t>
      </w:r>
      <w:r>
        <w:t xml:space="preserve"> with </w:t>
      </w:r>
      <w:r>
        <w:rPr>
          <w:i/>
          <w:iCs/>
        </w:rPr>
        <w:t>m</w:t>
      </w:r>
      <w:r>
        <w:rPr>
          <w:position w:val="-4"/>
          <w:sz w:val="16"/>
        </w:rPr>
        <w:t>1</w:t>
      </w:r>
      <w:r>
        <w:t> </w:t>
      </w:r>
      <w:r>
        <w:rPr>
          <w:rFonts w:ascii="Symbol" w:hAnsi="Symbol"/>
        </w:rPr>
        <w:t></w:t>
      </w:r>
      <w:r>
        <w:t xml:space="preserve"> 1, </w:t>
      </w:r>
      <w:r>
        <w:rPr>
          <w:i/>
          <w:iCs/>
        </w:rPr>
        <w:t>m</w:t>
      </w:r>
      <w:r>
        <w:rPr>
          <w:position w:val="-4"/>
          <w:sz w:val="16"/>
        </w:rPr>
        <w:t>2</w:t>
      </w:r>
      <w:r>
        <w:t> </w:t>
      </w:r>
      <w:r>
        <w:rPr>
          <w:rFonts w:ascii="Symbol" w:hAnsi="Symbol"/>
        </w:rPr>
        <w:t></w:t>
      </w:r>
      <w:r>
        <w:t> 2. The 2</w:t>
      </w:r>
      <w:r>
        <w:rPr>
          <w:rFonts w:ascii="Tms Rmn" w:hAnsi="Tms Rmn"/>
          <w:sz w:val="12"/>
        </w:rPr>
        <w:t> </w:t>
      </w:r>
      <w:r>
        <w:rPr>
          <w:i/>
          <w:iCs/>
        </w:rPr>
        <w:t>f</w:t>
      </w:r>
      <w:r>
        <w:rPr>
          <w:position w:val="-4"/>
          <w:sz w:val="16"/>
        </w:rPr>
        <w:t>1</w:t>
      </w:r>
      <w:r>
        <w:t> – </w:t>
      </w:r>
      <w:r>
        <w:rPr>
          <w:i/>
          <w:iCs/>
        </w:rPr>
        <w:t>f</w:t>
      </w:r>
      <w:r>
        <w:rPr>
          <w:position w:val="-4"/>
          <w:sz w:val="16"/>
        </w:rPr>
        <w:t>2</w:t>
      </w:r>
      <w:r>
        <w:t xml:space="preserve"> and 2</w:t>
      </w:r>
      <w:r>
        <w:rPr>
          <w:rFonts w:ascii="Tms Rmn" w:hAnsi="Tms Rmn"/>
          <w:sz w:val="12"/>
        </w:rPr>
        <w:t> </w:t>
      </w:r>
      <w:r>
        <w:rPr>
          <w:i/>
          <w:iCs/>
        </w:rPr>
        <w:t>f</w:t>
      </w:r>
      <w:r>
        <w:rPr>
          <w:position w:val="-4"/>
          <w:sz w:val="16"/>
        </w:rPr>
        <w:t>2</w:t>
      </w:r>
      <w:r>
        <w:t> </w:t>
      </w:r>
      <w:r>
        <w:rPr>
          <w:rFonts w:ascii="Symbol" w:hAnsi="Symbol"/>
        </w:rPr>
        <w:noBreakHyphen/>
      </w:r>
      <w:r>
        <w:t> </w:t>
      </w:r>
      <w:r>
        <w:rPr>
          <w:i/>
          <w:iCs/>
        </w:rPr>
        <w:t>f</w:t>
      </w:r>
      <w:r>
        <w:rPr>
          <w:position w:val="-4"/>
          <w:sz w:val="16"/>
        </w:rPr>
        <w:t>1</w:t>
      </w:r>
      <w:r>
        <w:t xml:space="preserve"> products are of most concern to designers since these are often specified in standards, although the </w:t>
      </w:r>
      <w:r>
        <w:rPr>
          <w:i/>
          <w:iCs/>
        </w:rPr>
        <w:t>f</w:t>
      </w:r>
      <w:r>
        <w:rPr>
          <w:position w:val="-4"/>
          <w:sz w:val="16"/>
        </w:rPr>
        <w:t>1</w:t>
      </w:r>
      <w:r>
        <w:t> </w:t>
      </w:r>
      <w:r>
        <w:rPr>
          <w:rFonts w:ascii="Symbol" w:hAnsi="Symbol"/>
        </w:rPr>
        <w:t></w:t>
      </w:r>
      <w:r>
        <w:t> </w:t>
      </w:r>
      <w:r>
        <w:rPr>
          <w:i/>
          <w:iCs/>
        </w:rPr>
        <w:t>f</w:t>
      </w:r>
      <w:r>
        <w:rPr>
          <w:position w:val="-4"/>
          <w:sz w:val="16"/>
        </w:rPr>
        <w:t>2</w:t>
      </w:r>
      <w:r>
        <w:t> – </w:t>
      </w:r>
      <w:r>
        <w:rPr>
          <w:i/>
          <w:iCs/>
        </w:rPr>
        <w:t>f</w:t>
      </w:r>
      <w:r>
        <w:rPr>
          <w:position w:val="-4"/>
          <w:sz w:val="16"/>
        </w:rPr>
        <w:t>3</w:t>
      </w:r>
      <w:r>
        <w:t xml:space="preserve"> products are of greater magnitude and more numerous if there are more than two interfering signals. For some applications the 5th order IM products </w:t>
      </w:r>
      <w:r>
        <w:rPr>
          <w:i/>
          <w:iCs/>
        </w:rPr>
        <w:t>IM</w:t>
      </w:r>
      <w:r>
        <w:rPr>
          <w:position w:val="-4"/>
          <w:sz w:val="16"/>
        </w:rPr>
        <w:t>5</w:t>
      </w:r>
      <w:r>
        <w:t xml:space="preserve"> occurring at 3</w:t>
      </w:r>
      <w:r>
        <w:rPr>
          <w:rFonts w:ascii="Tms Rmn" w:hAnsi="Tms Rmn"/>
          <w:sz w:val="12"/>
        </w:rPr>
        <w:t> </w:t>
      </w:r>
      <w:r>
        <w:rPr>
          <w:i/>
          <w:iCs/>
        </w:rPr>
        <w:t>f</w:t>
      </w:r>
      <w:r>
        <w:rPr>
          <w:position w:val="-4"/>
          <w:sz w:val="16"/>
        </w:rPr>
        <w:t>1</w:t>
      </w:r>
      <w:r>
        <w:t> – 2</w:t>
      </w:r>
      <w:r>
        <w:rPr>
          <w:rFonts w:ascii="Tms Rmn" w:hAnsi="Tms Rmn"/>
          <w:sz w:val="12"/>
        </w:rPr>
        <w:t> </w:t>
      </w:r>
      <w:r>
        <w:rPr>
          <w:i/>
          <w:iCs/>
        </w:rPr>
        <w:t>f</w:t>
      </w:r>
      <w:r>
        <w:rPr>
          <w:position w:val="-4"/>
          <w:sz w:val="16"/>
        </w:rPr>
        <w:t>2</w:t>
      </w:r>
      <w:r>
        <w:t xml:space="preserve"> or 3</w:t>
      </w:r>
      <w:r>
        <w:rPr>
          <w:rFonts w:ascii="Tms Rmn" w:hAnsi="Tms Rmn"/>
          <w:sz w:val="12"/>
        </w:rPr>
        <w:t> </w:t>
      </w:r>
      <w:r>
        <w:rPr>
          <w:i/>
          <w:iCs/>
        </w:rPr>
        <w:t>f</w:t>
      </w:r>
      <w:r>
        <w:rPr>
          <w:position w:val="-4"/>
          <w:sz w:val="16"/>
        </w:rPr>
        <w:t>2</w:t>
      </w:r>
      <w:r>
        <w:t> </w:t>
      </w:r>
      <w:r>
        <w:rPr>
          <w:rFonts w:ascii="Symbol" w:hAnsi="Symbol"/>
        </w:rPr>
        <w:noBreakHyphen/>
      </w:r>
      <w:r>
        <w:t> 2</w:t>
      </w:r>
      <w:r>
        <w:rPr>
          <w:rFonts w:ascii="Tms Rmn" w:hAnsi="Tms Rmn"/>
          <w:sz w:val="12"/>
        </w:rPr>
        <w:t> </w:t>
      </w:r>
      <w:r>
        <w:rPr>
          <w:i/>
          <w:iCs/>
        </w:rPr>
        <w:t>f</w:t>
      </w:r>
      <w:r>
        <w:rPr>
          <w:position w:val="-4"/>
          <w:sz w:val="16"/>
        </w:rPr>
        <w:t>1</w:t>
      </w:r>
      <w:r>
        <w:t>, respectively, have also to be considered. The relation of the different IM products is illustrated in Fig. 1.</w:t>
      </w:r>
    </w:p>
    <w:p w:rsidR="00E02DD3" w:rsidRDefault="00D7041B">
      <w:pPr>
        <w:pStyle w:val="Figure0"/>
      </w:pPr>
      <w:r>
        <w:rPr>
          <w:noProof/>
          <w:lang w:eastAsia="en-GB"/>
        </w:rPr>
        <w:drawing>
          <wp:inline distT="0" distB="0" distL="0" distR="0">
            <wp:extent cx="461772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720" cy="3162300"/>
                    </a:xfrm>
                    <a:prstGeom prst="rect">
                      <a:avLst/>
                    </a:prstGeom>
                    <a:noFill/>
                    <a:ln>
                      <a:noFill/>
                    </a:ln>
                  </pic:spPr>
                </pic:pic>
              </a:graphicData>
            </a:graphic>
          </wp:inline>
        </w:drawing>
      </w:r>
    </w:p>
    <w:p w:rsidR="00E02DD3" w:rsidRDefault="007A3AF0">
      <w:pPr>
        <w:pStyle w:val="Fig0"/>
        <w:spacing w:before="0"/>
        <w:rPr>
          <w:lang w:val="en-GB"/>
        </w:rPr>
      </w:pPr>
      <w:r>
        <w:rPr>
          <w:lang w:val="en-GB"/>
        </w:rPr>
        <w:t xml:space="preserve">FIGURE 1/SM.1446 [1446-01] = 8 CM </w:t>
      </w:r>
    </w:p>
    <w:p w:rsidR="00E02DD3" w:rsidRDefault="007A3AF0">
      <w:r>
        <w:t>Five different types of IM are defined.</w:t>
      </w:r>
    </w:p>
    <w:p w:rsidR="00E02DD3" w:rsidRDefault="007A3AF0">
      <w:pPr>
        <w:pStyle w:val="Heading2"/>
      </w:pPr>
      <w:bookmarkStart w:id="6" w:name="_Toc445524173"/>
      <w:bookmarkStart w:id="7" w:name="_Toc445529689"/>
      <w:bookmarkStart w:id="8" w:name="_Toc460747452"/>
      <w:r>
        <w:t>1.1</w:t>
      </w:r>
      <w:r>
        <w:tab/>
        <w:t>Type 1 – Single-channel IM</w:t>
      </w:r>
      <w:bookmarkEnd w:id="6"/>
      <w:bookmarkEnd w:id="7"/>
      <w:bookmarkEnd w:id="8"/>
    </w:p>
    <w:p w:rsidR="00E02DD3" w:rsidRDefault="007A3AF0">
      <w:r>
        <w:t>Single-channel IM is defined as distortion of the wanted signal by virtue of non-linearity in the transmitter circuits including all passive devices like combiners, etc.</w:t>
      </w:r>
    </w:p>
    <w:p w:rsidR="00E02DD3" w:rsidRDefault="007A3AF0">
      <w:r>
        <w:t>Figure 2 illustrates this type of IM.</w:t>
      </w:r>
    </w:p>
    <w:p w:rsidR="00E02DD3" w:rsidRDefault="00D7041B">
      <w:pPr>
        <w:pStyle w:val="Figure0"/>
      </w:pPr>
      <w:r>
        <w:rPr>
          <w:noProof/>
          <w:lang w:eastAsia="en-GB"/>
        </w:rPr>
        <w:drawing>
          <wp:inline distT="0" distB="0" distL="0" distR="0">
            <wp:extent cx="242316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160" cy="2057400"/>
                    </a:xfrm>
                    <a:prstGeom prst="rect">
                      <a:avLst/>
                    </a:prstGeom>
                    <a:noFill/>
                    <a:ln>
                      <a:noFill/>
                    </a:ln>
                  </pic:spPr>
                </pic:pic>
              </a:graphicData>
            </a:graphic>
          </wp:inline>
        </w:drawing>
      </w:r>
    </w:p>
    <w:p w:rsidR="00E02DD3" w:rsidRDefault="007A3AF0">
      <w:pPr>
        <w:pStyle w:val="Fig0"/>
        <w:spacing w:before="0"/>
        <w:rPr>
          <w:sz w:val="8"/>
          <w:lang w:val="en-GB"/>
        </w:rPr>
      </w:pPr>
      <w:r>
        <w:rPr>
          <w:sz w:val="8"/>
          <w:lang w:val="en-GB"/>
        </w:rPr>
        <w:t xml:space="preserve">FIGURE 2/SM.1446 [1446-02] = 5 CM </w:t>
      </w:r>
    </w:p>
    <w:p w:rsidR="00E02DD3" w:rsidRDefault="007A3AF0">
      <w:r>
        <w:t>In addition to producing IM distortion products by the mixing of two or more RF transmission signals, in-band and out-of-band emissions can be observed from a single baseband modulation signal due to mixing of discrete component frequencies of a complex transmitter input waveform. This can occur with an analogue signal such as speech which generally is comprised of several time variant frequency components. It also occurs with digital signals due to Fourier series component frequencies mixing to produce new frequency components. This leads to transmitted digital waveform distortion and an increase in the amplitude in a portion of the original signal spectrum. A truly random digital signal will contain an infinite number of these spectral components resulting in a noise-like continuous spectrum shaped by the passband filter. The effect of IM distortion is to increase the energy in sub-bands of the noise-like spectrum, especially those due to 3rd order IM. This increase in the noise-like spectrum has been referred to both as IM noise and spectral growth and often appears in digital modulation spectral plots as bumps or shoulders near the edges of the passband filter which contribute excess noise power to the adjacent band and potential interference as illustrated in Fig. 3.</w:t>
      </w:r>
    </w:p>
    <w:p w:rsidR="00E02DD3" w:rsidRDefault="00D7041B">
      <w:pPr>
        <w:pStyle w:val="Figure0"/>
      </w:pPr>
      <w:bookmarkStart w:id="9" w:name="_Toc445524174"/>
      <w:bookmarkStart w:id="10" w:name="_Toc445529690"/>
      <w:bookmarkStart w:id="11" w:name="_Toc460747453"/>
      <w:r>
        <w:rPr>
          <w:noProof/>
          <w:lang w:eastAsia="en-GB"/>
        </w:rPr>
        <w:drawing>
          <wp:inline distT="0" distB="0" distL="0" distR="0" wp14:anchorId="63B3F996" wp14:editId="0A7AED00">
            <wp:extent cx="4495800" cy="416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4160520"/>
                    </a:xfrm>
                    <a:prstGeom prst="rect">
                      <a:avLst/>
                    </a:prstGeom>
                    <a:noFill/>
                    <a:ln>
                      <a:noFill/>
                    </a:ln>
                  </pic:spPr>
                </pic:pic>
              </a:graphicData>
            </a:graphic>
          </wp:inline>
        </w:drawing>
      </w:r>
    </w:p>
    <w:p w:rsidR="00E02DD3" w:rsidRDefault="007A3AF0">
      <w:pPr>
        <w:pStyle w:val="Fig0"/>
        <w:rPr>
          <w:lang w:val="en-GB"/>
        </w:rPr>
      </w:pPr>
      <w:r>
        <w:rPr>
          <w:lang w:val="en-GB"/>
        </w:rPr>
        <w:t xml:space="preserve">FIGURE 3/SM.1446 [1446-03] = 10 CM </w:t>
      </w:r>
    </w:p>
    <w:p w:rsidR="00E02DD3" w:rsidRDefault="007A3AF0">
      <w:pPr>
        <w:pStyle w:val="Heading2"/>
      </w:pPr>
      <w:r>
        <w:t>1.2</w:t>
      </w:r>
      <w:r>
        <w:tab/>
        <w:t>Type 2 – Multichannel IM</w:t>
      </w:r>
      <w:bookmarkEnd w:id="9"/>
      <w:bookmarkEnd w:id="10"/>
      <w:bookmarkEnd w:id="11"/>
    </w:p>
    <w:p w:rsidR="00E02DD3" w:rsidRDefault="007A3AF0">
      <w:r>
        <w:t>Multichannel IM is defined as the situation where the wanted signals of several channels are distorted by virtue of non-linearity in the same transmitter circuits.</w:t>
      </w:r>
    </w:p>
    <w:p w:rsidR="00E02DD3" w:rsidRDefault="007A3AF0">
      <w:r>
        <w:t>The signals in the different channels may have different modulations, bandwidths or different spacings within the whole band.</w:t>
      </w:r>
    </w:p>
    <w:p w:rsidR="00E02DD3" w:rsidRDefault="00E02DD3"/>
    <w:p w:rsidR="00E02DD3" w:rsidRDefault="00D7041B">
      <w:pPr>
        <w:pStyle w:val="Figure0"/>
      </w:pPr>
      <w:r>
        <w:rPr>
          <w:noProof/>
          <w:lang w:eastAsia="en-GB"/>
        </w:rPr>
        <w:drawing>
          <wp:inline distT="0" distB="0" distL="0" distR="0">
            <wp:extent cx="242316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160" cy="2057400"/>
                    </a:xfrm>
                    <a:prstGeom prst="rect">
                      <a:avLst/>
                    </a:prstGeom>
                    <a:noFill/>
                    <a:ln>
                      <a:noFill/>
                    </a:ln>
                  </pic:spPr>
                </pic:pic>
              </a:graphicData>
            </a:graphic>
          </wp:inline>
        </w:drawing>
      </w:r>
    </w:p>
    <w:p w:rsidR="00E02DD3" w:rsidRDefault="007A3AF0">
      <w:pPr>
        <w:pStyle w:val="Fig0"/>
        <w:rPr>
          <w:lang w:val="en-GB"/>
        </w:rPr>
      </w:pPr>
      <w:r>
        <w:rPr>
          <w:lang w:val="en-GB"/>
        </w:rPr>
        <w:t xml:space="preserve">FIGURE 4/SM.1446 [1446-04] = 5 CM </w:t>
      </w:r>
    </w:p>
    <w:p w:rsidR="00E02DD3" w:rsidRDefault="00E02DD3"/>
    <w:p w:rsidR="00E02DD3" w:rsidRDefault="007A3AF0">
      <w:pPr>
        <w:pStyle w:val="Heading2"/>
      </w:pPr>
      <w:bookmarkStart w:id="12" w:name="_Toc445524175"/>
      <w:bookmarkStart w:id="13" w:name="_Toc445529691"/>
      <w:bookmarkStart w:id="14" w:name="_Toc460747454"/>
      <w:r>
        <w:t>1.3</w:t>
      </w:r>
      <w:r>
        <w:tab/>
        <w:t>Type 3 – Inter-transmitter IM</w:t>
      </w:r>
      <w:bookmarkEnd w:id="12"/>
      <w:bookmarkEnd w:id="13"/>
      <w:bookmarkEnd w:id="14"/>
    </w:p>
    <w:p w:rsidR="00E02DD3" w:rsidRDefault="007A3AF0">
      <w:r>
        <w:t>Inter-transmitter IM, where one or more transmitters on a site intermodulate, either within the transmitters themselves, or within a non-linear component on site to produce IM products at frequencies possibly far removed from actual transmit frequencies. This is often known as the rusty bolt effect and is a function of the various problems of mainly co-site engineering, although certain tests may be called upon to be made on the transmitters themselves.</w:t>
      </w:r>
    </w:p>
    <w:p w:rsidR="00E02DD3" w:rsidRDefault="007A3AF0">
      <w:r>
        <w:t>The IM products described by type 3 are induced by interfering signals entering the transmitter via its antenna. If they are near the nominal frequency of the transmitter, they may generate considerable IM products in the transmitter output. If they are far from the nominal frequency, i.e. outside the wanted operating bandwidth, the frequency selectivity of the system has also to be taken into account.</w:t>
      </w:r>
    </w:p>
    <w:p w:rsidR="00E02DD3" w:rsidRDefault="007A3AF0">
      <w:r>
        <w:t>Figure 5 illustrates this type of IM.</w:t>
      </w:r>
    </w:p>
    <w:p w:rsidR="00E02DD3" w:rsidRDefault="00D7041B">
      <w:pPr>
        <w:pStyle w:val="Figure0"/>
      </w:pPr>
      <w:r>
        <w:rPr>
          <w:noProof/>
          <w:lang w:eastAsia="en-GB"/>
        </w:rPr>
        <w:drawing>
          <wp:inline distT="0" distB="0" distL="0" distR="0">
            <wp:extent cx="4373880" cy="3276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880" cy="3276600"/>
                    </a:xfrm>
                    <a:prstGeom prst="rect">
                      <a:avLst/>
                    </a:prstGeom>
                    <a:noFill/>
                    <a:ln>
                      <a:noFill/>
                    </a:ln>
                  </pic:spPr>
                </pic:pic>
              </a:graphicData>
            </a:graphic>
          </wp:inline>
        </w:drawing>
      </w:r>
    </w:p>
    <w:p w:rsidR="00E02DD3" w:rsidRDefault="007A3AF0">
      <w:pPr>
        <w:pStyle w:val="Fig0"/>
        <w:rPr>
          <w:lang w:val="en-GB"/>
        </w:rPr>
      </w:pPr>
      <w:bookmarkStart w:id="15" w:name="_Toc445524176"/>
      <w:bookmarkStart w:id="16" w:name="_Toc445529692"/>
      <w:bookmarkStart w:id="17" w:name="_Toc460747455"/>
      <w:r>
        <w:rPr>
          <w:lang w:val="en-GB"/>
        </w:rPr>
        <w:t xml:space="preserve">FIGURE 5/SM.1446 [1446-05] = 8 CM </w:t>
      </w:r>
    </w:p>
    <w:p w:rsidR="00E02DD3" w:rsidRDefault="007A3AF0">
      <w:pPr>
        <w:pStyle w:val="Heading2"/>
      </w:pPr>
      <w:r>
        <w:t>1.4</w:t>
      </w:r>
      <w:r>
        <w:tab/>
        <w:t>Type 4 – IM due to active antennas</w:t>
      </w:r>
      <w:bookmarkEnd w:id="15"/>
      <w:bookmarkEnd w:id="16"/>
      <w:bookmarkEnd w:id="17"/>
    </w:p>
    <w:p w:rsidR="00E02DD3" w:rsidRDefault="007A3AF0">
      <w:r>
        <w:t>An example of an active antenna structure used at a satellite is given in Fig. 6 for illustration.</w:t>
      </w:r>
    </w:p>
    <w:p w:rsidR="00E02DD3" w:rsidRDefault="007A3AF0">
      <w:r>
        <w:t>Beam-forming upstream from power amplifiers permits the RF power losses to be limited, but imposes a multicarrier operating mode to the amplifiers: each amplifier receives all the signals to be transmitted and operates therefore on the whole system bandwidth. This distribution of the signal power over the different antenna paths permits power exchanges between the beams as well as their reconfiguration through the simple transmission of a telecommand signal.</w:t>
      </w:r>
    </w:p>
    <w:p w:rsidR="00E02DD3" w:rsidRDefault="007A3AF0">
      <w:r>
        <w:t>The multicarrier operating mode of an active antenna, along with the non-linearity of amplifiers, originates spurious emissions under the form of IM signals. The analysis of these IM signals is made very complex by the active architecture of the antenna.</w:t>
      </w:r>
    </w:p>
    <w:p w:rsidR="00E02DD3" w:rsidRDefault="007A3AF0">
      <w:pPr>
        <w:pStyle w:val="Note"/>
      </w:pPr>
      <w:r>
        <w:t>NOTE 1 – Active antennas are now under development and varieties of the system are now widening in the working technology and applications of communication services. These systems are envisaged to be widely used in many fields in the future, e.g. for very high-speed communication with more than 1 Gbit/s for imaging, radar, etc. Therefore, the IM from active antennas and its measurement method should be studied further.</w:t>
      </w:r>
    </w:p>
    <w:p w:rsidR="00E02DD3" w:rsidRDefault="00D7041B">
      <w:pPr>
        <w:pStyle w:val="Figure0"/>
      </w:pPr>
      <w:r>
        <w:rPr>
          <w:noProof/>
          <w:lang w:eastAsia="en-GB"/>
        </w:rPr>
        <w:drawing>
          <wp:inline distT="0" distB="0" distL="0" distR="0">
            <wp:extent cx="3200400" cy="3749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3749040"/>
                    </a:xfrm>
                    <a:prstGeom prst="rect">
                      <a:avLst/>
                    </a:prstGeom>
                    <a:noFill/>
                    <a:ln>
                      <a:noFill/>
                    </a:ln>
                  </pic:spPr>
                </pic:pic>
              </a:graphicData>
            </a:graphic>
          </wp:inline>
        </w:drawing>
      </w:r>
    </w:p>
    <w:p w:rsidR="00E02DD3" w:rsidRDefault="007A3AF0">
      <w:pPr>
        <w:pStyle w:val="Fig0"/>
        <w:spacing w:before="0"/>
        <w:rPr>
          <w:sz w:val="8"/>
          <w:lang w:val="en-GB"/>
        </w:rPr>
      </w:pPr>
      <w:r>
        <w:rPr>
          <w:sz w:val="8"/>
          <w:lang w:val="en-GB"/>
        </w:rPr>
        <w:t xml:space="preserve">FIGURE 6/SM.1446 [1446-06] = 9 CM </w:t>
      </w:r>
    </w:p>
    <w:p w:rsidR="00E02DD3" w:rsidRDefault="007A3AF0">
      <w:pPr>
        <w:pStyle w:val="Heading2"/>
      </w:pPr>
      <w:bookmarkStart w:id="18" w:name="_Toc460747456"/>
      <w:r>
        <w:t>1.5</w:t>
      </w:r>
      <w:r>
        <w:tab/>
        <w:t>Type 5 – IM due to passive circuits</w:t>
      </w:r>
      <w:bookmarkEnd w:id="18"/>
    </w:p>
    <w:p w:rsidR="00E02DD3" w:rsidRDefault="007A3AF0">
      <w:r>
        <w:t>An example of a radio station is illustrated in Fig. 7 where many transmitters and receivers share a common antenna. Usually passive circuits such as waveguides, cables and connectors may be considered not to produce any IM products, because they are considered to be linear circuits. However, when their performance is degraded due to ageing or loose contact, some amount of non-linearity may appear. If a number of transmitters are operating, IM products due to a combination of transmitting frequencies may be generated. In an extreme case, 9th order IM products seriously degraded receiver performance.</w:t>
      </w:r>
    </w:p>
    <w:p w:rsidR="00E02DD3" w:rsidRDefault="00D7041B">
      <w:pPr>
        <w:pStyle w:val="Figure0"/>
      </w:pPr>
      <w:r>
        <w:rPr>
          <w:noProof/>
          <w:lang w:eastAsia="en-GB"/>
        </w:rPr>
        <w:drawing>
          <wp:inline distT="0" distB="0" distL="0" distR="0">
            <wp:extent cx="5250180" cy="31851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0180" cy="3185160"/>
                    </a:xfrm>
                    <a:prstGeom prst="rect">
                      <a:avLst/>
                    </a:prstGeom>
                    <a:noFill/>
                    <a:ln>
                      <a:noFill/>
                    </a:ln>
                  </pic:spPr>
                </pic:pic>
              </a:graphicData>
            </a:graphic>
          </wp:inline>
        </w:drawing>
      </w:r>
    </w:p>
    <w:p w:rsidR="00E02DD3" w:rsidRDefault="007A3AF0">
      <w:pPr>
        <w:pStyle w:val="Fig0"/>
        <w:rPr>
          <w:lang w:val="en-GB"/>
        </w:rPr>
      </w:pPr>
      <w:r>
        <w:rPr>
          <w:lang w:val="en-GB"/>
        </w:rPr>
        <w:t xml:space="preserve">FIGURE 7/SM.1446 [1446-07] = 8 CM </w:t>
      </w:r>
    </w:p>
    <w:p w:rsidR="00E02DD3" w:rsidRDefault="007A3AF0">
      <w:r>
        <w:t>Therefore, it is important to maintain the linearity of passive circuits such as waveguides, cables and connectors.</w:t>
      </w:r>
    </w:p>
    <w:p w:rsidR="00E02DD3" w:rsidRDefault="007A3AF0">
      <w:pPr>
        <w:pStyle w:val="Heading2"/>
      </w:pPr>
      <w:bookmarkStart w:id="19" w:name="_Toc445524177"/>
      <w:bookmarkStart w:id="20" w:name="_Toc445529693"/>
      <w:bookmarkStart w:id="21" w:name="_Toc460747457"/>
      <w:r>
        <w:br w:type="page"/>
        <w:t>1.6</w:t>
      </w:r>
      <w:r>
        <w:tab/>
        <w:t>Transmitter IM attenuation</w:t>
      </w:r>
      <w:bookmarkEnd w:id="19"/>
      <w:bookmarkEnd w:id="20"/>
      <w:bookmarkEnd w:id="21"/>
    </w:p>
    <w:p w:rsidR="00E02DD3" w:rsidRDefault="007A3AF0">
      <w:r>
        <w:t xml:space="preserve">The transmitter IM attenuation is a measure of the capability of a transmitter to inhibit the generation of signals in its non-linear elements caused by the presence of the carrier. This definition is indicated in Fig. 8 with </w:t>
      </w:r>
      <w:r>
        <w:rPr>
          <w:i/>
          <w:iCs/>
        </w:rPr>
        <w:t>f</w:t>
      </w:r>
      <w:r>
        <w:rPr>
          <w:position w:val="-4"/>
          <w:sz w:val="16"/>
        </w:rPr>
        <w:t>1</w:t>
      </w:r>
      <w:r>
        <w:t xml:space="preserve"> as the carrier frequency having the output power </w:t>
      </w:r>
      <w:r>
        <w:rPr>
          <w:i/>
          <w:iCs/>
        </w:rPr>
        <w:t>P</w:t>
      </w:r>
      <w:r>
        <w:rPr>
          <w:position w:val="-4"/>
          <w:sz w:val="16"/>
        </w:rPr>
        <w:t>1</w:t>
      </w:r>
      <w:r>
        <w:t>(</w:t>
      </w:r>
      <w:r>
        <w:rPr>
          <w:i/>
          <w:iCs/>
        </w:rPr>
        <w:t>f</w:t>
      </w:r>
      <w:r>
        <w:rPr>
          <w:position w:val="-4"/>
          <w:sz w:val="16"/>
        </w:rPr>
        <w:t>1</w:t>
      </w:r>
      <w:r>
        <w:t xml:space="preserve">) and </w:t>
      </w:r>
      <w:r>
        <w:rPr>
          <w:i/>
          <w:iCs/>
        </w:rPr>
        <w:t>f</w:t>
      </w:r>
      <w:r>
        <w:rPr>
          <w:position w:val="-4"/>
          <w:sz w:val="16"/>
        </w:rPr>
        <w:t>2</w:t>
      </w:r>
      <w:r>
        <w:t xml:space="preserve"> as the interfering signal having the power </w:t>
      </w:r>
      <w:r>
        <w:rPr>
          <w:i/>
          <w:iCs/>
        </w:rPr>
        <w:t>P</w:t>
      </w:r>
      <w:r>
        <w:rPr>
          <w:position w:val="-4"/>
          <w:sz w:val="16"/>
        </w:rPr>
        <w:t>2</w:t>
      </w:r>
      <w:r>
        <w:t>.</w:t>
      </w:r>
    </w:p>
    <w:p w:rsidR="00E02DD3" w:rsidRDefault="00E02DD3"/>
    <w:p w:rsidR="00E02DD3" w:rsidRDefault="00D7041B">
      <w:pPr>
        <w:pStyle w:val="Figure0"/>
      </w:pPr>
      <w:r>
        <w:rPr>
          <w:noProof/>
          <w:lang w:eastAsia="en-GB"/>
        </w:rPr>
        <w:drawing>
          <wp:inline distT="0" distB="0" distL="0" distR="0">
            <wp:extent cx="2918460" cy="2255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460" cy="2255520"/>
                    </a:xfrm>
                    <a:prstGeom prst="rect">
                      <a:avLst/>
                    </a:prstGeom>
                    <a:noFill/>
                    <a:ln>
                      <a:noFill/>
                    </a:ln>
                  </pic:spPr>
                </pic:pic>
              </a:graphicData>
            </a:graphic>
          </wp:inline>
        </w:drawing>
      </w:r>
    </w:p>
    <w:p w:rsidR="00E02DD3" w:rsidRDefault="007A3AF0">
      <w:pPr>
        <w:pStyle w:val="Fig0"/>
        <w:rPr>
          <w:lang w:val="en-GB"/>
        </w:rPr>
      </w:pPr>
      <w:r>
        <w:rPr>
          <w:lang w:val="en-GB"/>
        </w:rPr>
        <w:t xml:space="preserve">FIGURE 8/SM.1446 [1446-08] = 5 CM </w:t>
      </w:r>
    </w:p>
    <w:p w:rsidR="00E02DD3" w:rsidRDefault="007A3AF0">
      <w:r>
        <w:t xml:space="preserve">The transmitter IM attenuation, </w:t>
      </w:r>
      <w:r>
        <w:rPr>
          <w:i/>
          <w:iCs/>
        </w:rPr>
        <w:t>A</w:t>
      </w:r>
      <w:r>
        <w:rPr>
          <w:i/>
          <w:iCs/>
          <w:position w:val="-4"/>
          <w:sz w:val="16"/>
        </w:rPr>
        <w:t>IM</w:t>
      </w:r>
      <w:r>
        <w:t>, is then defined by:</w:t>
      </w:r>
    </w:p>
    <w:p w:rsidR="00E02DD3" w:rsidRDefault="007A3AF0">
      <w:pPr>
        <w:pStyle w:val="Equation"/>
        <w:jc w:val="center"/>
      </w:pPr>
      <w:r>
        <w:rPr>
          <w:i/>
          <w:iCs/>
        </w:rPr>
        <w:t>IM</w:t>
      </w:r>
      <w:r>
        <w:rPr>
          <w:position w:val="-4"/>
          <w:sz w:val="18"/>
        </w:rPr>
        <w:t>3</w:t>
      </w:r>
      <w:r>
        <w:t> </w:t>
      </w:r>
      <w:r>
        <w:rPr>
          <w:rFonts w:ascii="Symbol" w:hAnsi="Symbol"/>
        </w:rPr>
        <w:t></w:t>
      </w:r>
      <w:r>
        <w:t> </w:t>
      </w:r>
      <w:r>
        <w:rPr>
          <w:i/>
          <w:iCs/>
        </w:rPr>
        <w:t>P</w:t>
      </w:r>
      <w:r>
        <w:rPr>
          <w:position w:val="-4"/>
          <w:sz w:val="18"/>
        </w:rPr>
        <w:t>1</w:t>
      </w:r>
      <w:r>
        <w:t> – </w:t>
      </w:r>
      <w:r>
        <w:rPr>
          <w:i/>
          <w:iCs/>
        </w:rPr>
        <w:t>A</w:t>
      </w:r>
      <w:r>
        <w:rPr>
          <w:i/>
          <w:iCs/>
          <w:position w:val="-4"/>
          <w:sz w:val="18"/>
        </w:rPr>
        <w:t>IM</w:t>
      </w:r>
      <w:r>
        <w:t>         dB</w:t>
      </w:r>
    </w:p>
    <w:p w:rsidR="00E02DD3" w:rsidRDefault="007A3AF0">
      <w:r>
        <w:t xml:space="preserve">Another definition, appropriated particularly for Type 3 and called reverse IM factor, </w:t>
      </w:r>
      <w:r>
        <w:rPr>
          <w:i/>
          <w:iCs/>
        </w:rPr>
        <w:t>A</w:t>
      </w:r>
      <w:r>
        <w:rPr>
          <w:i/>
          <w:iCs/>
          <w:position w:val="-4"/>
          <w:sz w:val="16"/>
        </w:rPr>
        <w:t>RIM</w:t>
      </w:r>
      <w:r>
        <w:t>, defines the IM suppression of external signal sources:</w:t>
      </w:r>
    </w:p>
    <w:p w:rsidR="00E02DD3" w:rsidRDefault="007A3AF0">
      <w:pPr>
        <w:pStyle w:val="Equation"/>
        <w:jc w:val="center"/>
      </w:pPr>
      <w:r>
        <w:rPr>
          <w:i/>
          <w:iCs/>
        </w:rPr>
        <w:t>IM</w:t>
      </w:r>
      <w:r>
        <w:rPr>
          <w:position w:val="-4"/>
          <w:sz w:val="18"/>
        </w:rPr>
        <w:t>3</w:t>
      </w:r>
      <w:r>
        <w:t> </w:t>
      </w:r>
      <w:r>
        <w:rPr>
          <w:rFonts w:ascii="Symbol" w:hAnsi="Symbol"/>
        </w:rPr>
        <w:t></w:t>
      </w:r>
      <w:r>
        <w:t> </w:t>
      </w:r>
      <w:r>
        <w:rPr>
          <w:i/>
          <w:iCs/>
        </w:rPr>
        <w:t>P</w:t>
      </w:r>
      <w:r>
        <w:rPr>
          <w:position w:val="-4"/>
          <w:sz w:val="18"/>
        </w:rPr>
        <w:t>2</w:t>
      </w:r>
      <w:r>
        <w:t> – </w:t>
      </w:r>
      <w:r>
        <w:rPr>
          <w:i/>
          <w:iCs/>
        </w:rPr>
        <w:t>A</w:t>
      </w:r>
      <w:r>
        <w:rPr>
          <w:i/>
          <w:iCs/>
          <w:position w:val="-4"/>
          <w:sz w:val="18"/>
        </w:rPr>
        <w:t>RIM</w:t>
      </w:r>
      <w:r>
        <w:t>         dB</w:t>
      </w:r>
    </w:p>
    <w:p w:rsidR="00E02DD3" w:rsidRDefault="007A3AF0">
      <w:r>
        <w:t>These definitions used for transmitters should not be mixed up with receiver IM rejection which is a measure of the capability of a receiver to receive a wanted modulated signal without exceeding a given degradation due to the presence of IM products.</w:t>
      </w:r>
    </w:p>
    <w:p w:rsidR="00E02DD3" w:rsidRDefault="007A3AF0">
      <w:pPr>
        <w:pStyle w:val="Heading1"/>
      </w:pPr>
      <w:bookmarkStart w:id="22" w:name="_Toc445524178"/>
      <w:bookmarkStart w:id="23" w:name="_Toc445529694"/>
      <w:bookmarkStart w:id="24" w:name="_Toc460747458"/>
      <w:r>
        <w:t>2</w:t>
      </w:r>
      <w:r>
        <w:tab/>
        <w:t>Radiocommunication services considerations</w:t>
      </w:r>
      <w:bookmarkEnd w:id="22"/>
      <w:bookmarkEnd w:id="23"/>
      <w:bookmarkEnd w:id="24"/>
    </w:p>
    <w:p w:rsidR="00E02DD3" w:rsidRDefault="007A3AF0">
      <w:r>
        <w:t>Some examples for IM products and performance occurring in fixed-satellite, mobile</w:t>
      </w:r>
      <w:r>
        <w:noBreakHyphen/>
        <w:t>satellite and broadcasting services are listed in Appendix 1 to Annex 1. In general, the IM performance depends on a huge variety of different factors, e.g., like modulation and access schemes, hardware components and cost for equipment. The selected examples are aimed only to illustrate which ranges of IM suppressions are achievable in real systems. They are not intended to define any limits for IM products.</w:t>
      </w:r>
    </w:p>
    <w:p w:rsidR="00E02DD3" w:rsidRDefault="007A3AF0">
      <w:pPr>
        <w:pStyle w:val="Heading1"/>
      </w:pPr>
      <w:bookmarkStart w:id="25" w:name="_Toc445524179"/>
      <w:bookmarkStart w:id="26" w:name="_Toc445529695"/>
      <w:bookmarkStart w:id="27" w:name="_Toc460747459"/>
      <w:r>
        <w:t>3</w:t>
      </w:r>
      <w:r>
        <w:tab/>
        <w:t>Measurement techniques</w:t>
      </w:r>
      <w:bookmarkEnd w:id="25"/>
      <w:bookmarkEnd w:id="26"/>
      <w:bookmarkEnd w:id="27"/>
    </w:p>
    <w:p w:rsidR="00E02DD3" w:rsidRDefault="007A3AF0">
      <w:r>
        <w:t>For the measurements of IM products or noise, in general, the same techniques as are used for the measurements of out-of-band and spurious emissions are applicable. There are some rules to be followed: e.g. the IM levels should be not affected by the presence of the transmitter output signal, and an adequate dynamic range has to be provided in the measuring equipment to allow detection of low level IM signals in the presence of wanted signals.</w:t>
      </w:r>
    </w:p>
    <w:p w:rsidR="00E02DD3" w:rsidRDefault="007A3AF0">
      <w:r>
        <w:t>In this section, some specific procedures for IM measurements are described.</w:t>
      </w:r>
    </w:p>
    <w:p w:rsidR="00E02DD3" w:rsidRDefault="007A3AF0">
      <w:pPr>
        <w:pStyle w:val="Heading2"/>
      </w:pPr>
      <w:bookmarkStart w:id="28" w:name="_Toc445524183"/>
      <w:bookmarkStart w:id="29" w:name="_Toc445529699"/>
      <w:bookmarkStart w:id="30" w:name="_Toc460747460"/>
      <w:r>
        <w:t>3.1</w:t>
      </w:r>
      <w:r>
        <w:tab/>
        <w:t>Generic measurement methods for single-channel IM measurement</w:t>
      </w:r>
      <w:bookmarkEnd w:id="28"/>
      <w:bookmarkEnd w:id="29"/>
      <w:r>
        <w:t xml:space="preserve"> (Type 1)</w:t>
      </w:r>
      <w:bookmarkEnd w:id="30"/>
    </w:p>
    <w:p w:rsidR="00E02DD3" w:rsidRDefault="007A3AF0">
      <w:r>
        <w:t>In general, these methods are broken down into classical analogue, and digital transmitter requirements.</w:t>
      </w:r>
    </w:p>
    <w:p w:rsidR="00E02DD3" w:rsidRDefault="007A3AF0">
      <w:pPr>
        <w:pStyle w:val="Heading3"/>
      </w:pPr>
      <w:bookmarkStart w:id="31" w:name="_Toc445524184"/>
      <w:bookmarkStart w:id="32" w:name="_Toc445529700"/>
      <w:bookmarkStart w:id="33" w:name="_Toc460747461"/>
      <w:r>
        <w:br w:type="page"/>
        <w:t>3.1.1</w:t>
      </w:r>
      <w:r>
        <w:tab/>
        <w:t>Analogue modulation</w:t>
      </w:r>
      <w:bookmarkEnd w:id="31"/>
      <w:bookmarkEnd w:id="32"/>
      <w:bookmarkEnd w:id="33"/>
    </w:p>
    <w:p w:rsidR="00E02DD3" w:rsidRDefault="007A3AF0">
      <w:r>
        <w:t>In all the methods, it is important to ensure that the input signals neither intermodulate prior to application to the transmitter under test, or are affected by the RF output of the transmitter. Various methods of combining signals exist.</w:t>
      </w:r>
    </w:p>
    <w:p w:rsidR="00E02DD3" w:rsidRDefault="007A3AF0">
      <w:pPr>
        <w:pStyle w:val="Heading4"/>
        <w:rPr>
          <w:b w:val="0"/>
        </w:rPr>
      </w:pPr>
      <w:bookmarkStart w:id="34" w:name="_Toc460747462"/>
      <w:r>
        <w:t>3.1.1.1</w:t>
      </w:r>
      <w:r>
        <w:tab/>
        <w:t>Two tone testing</w:t>
      </w:r>
      <w:bookmarkEnd w:id="34"/>
    </w:p>
    <w:p w:rsidR="00E02DD3" w:rsidRDefault="007A3AF0">
      <w:r>
        <w:t>The classical case here is of the single-sideband or independent sideband (ISB) transmitter. The application of two equal amplitude, sinusoidal, non-harmonically related tones to the input is well known, and the 3rd and 5th order products are measured, usually by means of a spectrum analyser, although other methods exist. Some differences occur in specifications; the attenuation of the IM products may be specified either with respect to one tone of the two tone signal, or with respect to the peak envelope power (PEP) of the signal, and there is a 6 dB difference between these levels. Thus a signal 24 dB below the level of one tone of the two tone signal is 30 dB below PEP.</w:t>
      </w:r>
    </w:p>
    <w:p w:rsidR="00E02DD3" w:rsidRDefault="007A3AF0">
      <w:r>
        <w:t>Although this method has been used for many years, and has the advantage of simplicity, it does fail to deal adequately with modulation such as speech. In speech, although the bandwidth can be limited to 300-2</w:t>
      </w:r>
      <w:r>
        <w:rPr>
          <w:rFonts w:ascii="Tms Rmn" w:hAnsi="Tms Rmn"/>
          <w:sz w:val="12"/>
        </w:rPr>
        <w:t> </w:t>
      </w:r>
      <w:r>
        <w:t>400 Hz, variation at the syllabic rate down to 10 Hz or 15 Hz still occurs. As a result, a transmitter which performs adequately on a two tone test with a tone spacing of 700 Hz may perform poorly with respect to IM products and thus out-of-band emissions on speech, especially where large amounts of speech processing to reduce the peak to average ratio is in use. Some transmitter specifications have attempted to address this by requiring testing with tone spacings as low as 30 Hz, but measurement difficulties can then exist.</w:t>
      </w:r>
    </w:p>
    <w:p w:rsidR="00E02DD3" w:rsidRDefault="007A3AF0">
      <w:pPr>
        <w:pStyle w:val="Heading4"/>
      </w:pPr>
      <w:bookmarkStart w:id="35" w:name="_Toc460747463"/>
      <w:r>
        <w:t>3.1.1.2</w:t>
      </w:r>
      <w:r>
        <w:tab/>
        <w:t>Three tone testing</w:t>
      </w:r>
      <w:bookmarkEnd w:id="35"/>
    </w:p>
    <w:p w:rsidR="00E02DD3" w:rsidRDefault="007A3AF0">
      <w:r>
        <w:t>Another approach is to use, as in the cable TV industry, a three tone test. (The test procedure is different to that used in cable TV, however.) Here, three equal amplitude, sinusoidal, non-harmonically related tones are used, with two of them spaced by some 30 Hz or so. Interpretation of the resultant spectrum analyser display becomes more complex, in that there are now six of the 3rd order IM products, whereas in the two tone test, there were only two. Similarly, there will also be six of the 5th order IM products, and so on. Nevertheless, this test is very good at showing deficiencies in the final amplifier power supply dynamic regulation.</w:t>
      </w:r>
    </w:p>
    <w:p w:rsidR="00E02DD3" w:rsidRDefault="007A3AF0">
      <w:pPr>
        <w:pStyle w:val="Heading4"/>
      </w:pPr>
      <w:bookmarkStart w:id="36" w:name="_Toc460747464"/>
      <w:r>
        <w:t>3.1.1.3</w:t>
      </w:r>
      <w:r>
        <w:tab/>
        <w:t>Noise testing</w:t>
      </w:r>
      <w:bookmarkEnd w:id="36"/>
    </w:p>
    <w:p w:rsidR="00E02DD3" w:rsidRDefault="007A3AF0">
      <w:pPr>
        <w:pStyle w:val="Heading5"/>
      </w:pPr>
      <w:r>
        <w:t>3.1.1.3.1</w:t>
      </w:r>
      <w:r>
        <w:tab/>
        <w:t>Non-continuous frequency domain noise</w:t>
      </w:r>
    </w:p>
    <w:p w:rsidR="00E02DD3" w:rsidRDefault="007A3AF0">
      <w:r>
        <w:t>Another method that has been used is noise loading of the transmitter input. This technique has been used for many years in analogue FDM systems, wherein the equipment is loaded with a noise spectrum that includes a slot or hole in the input frequency domain. The effects of IM distortion can then be measured by the amount of signal appearing in the equivalent slot or hole at the output. However, unless the input noise is modulated at the syllabic rate, this method offers little real advantage in the single channel case. For multichannel equipment, such as an ISB transmitter carrying two voice channels and 12 voice frequency telegraph signals, it provides a better approximation than that of a two tone test. The biggest advantage of this method is that it can provide a more realistic peak-to-average ratio than the continuous tone methods.</w:t>
      </w:r>
    </w:p>
    <w:p w:rsidR="00E02DD3" w:rsidRDefault="007A3AF0">
      <w:pPr>
        <w:pStyle w:val="Heading5"/>
      </w:pPr>
      <w:r>
        <w:t>3.1.1.3.2</w:t>
      </w:r>
      <w:r>
        <w:tab/>
        <w:t>Continuous frequency domain noise</w:t>
      </w:r>
    </w:p>
    <w:p w:rsidR="00E02DD3" w:rsidRDefault="007A3AF0">
      <w:r>
        <w:t>An alternative to providing a slot or hole in the frequency domain of the input signal is to examine the spectral regrowth of the noise modulated signal compared with the spectrum produced by the transmitter without IM products. This is harder to interpret, but its applicability is dependent upon the application. In those applications where in channel IM product is important for the system function, this method has no applicability: where the IM product is of importance because of its effect on out</w:t>
      </w:r>
      <w:r>
        <w:noBreakHyphen/>
        <w:t>of-band emissions, however, it is a realistic guide to the transmitter performance.</w:t>
      </w:r>
    </w:p>
    <w:p w:rsidR="00E02DD3" w:rsidRDefault="007A3AF0">
      <w:pPr>
        <w:pStyle w:val="Heading3"/>
      </w:pPr>
      <w:bookmarkStart w:id="37" w:name="_Toc445524185"/>
      <w:bookmarkStart w:id="38" w:name="_Toc445529701"/>
      <w:bookmarkStart w:id="39" w:name="_Toc460747465"/>
      <w:r>
        <w:t>3.1.2</w:t>
      </w:r>
      <w:r>
        <w:tab/>
        <w:t>Digital modulations</w:t>
      </w:r>
      <w:bookmarkEnd w:id="37"/>
      <w:bookmarkEnd w:id="38"/>
      <w:bookmarkEnd w:id="39"/>
    </w:p>
    <w:p w:rsidR="00E02DD3" w:rsidRDefault="007A3AF0">
      <w:r>
        <w:t>IM products in these transmitters are usually measured in terms of the adjacent channel protection ratio. A suitable pseudo-random bit stream is used to modulate the transmitter and the power in the adjacent or alternate (i.e. adjacent </w:t>
      </w:r>
      <w:r>
        <w:rPr>
          <w:rFonts w:ascii="Symbol" w:hAnsi="Symbol"/>
        </w:rPr>
        <w:t></w:t>
      </w:r>
      <w:r>
        <w:t xml:space="preserve"> one channel) is measured using a suitable spectrum analyser or measuring receiver. Otherwise, the technique is similar to the single channel technique in § 3.1.1.3.2. This applies to a number of digital modulation methods, including orthogonal frequency division multiplex.</w:t>
      </w:r>
    </w:p>
    <w:p w:rsidR="00E02DD3" w:rsidRDefault="007A3AF0">
      <w:pPr>
        <w:pStyle w:val="Heading2"/>
      </w:pPr>
      <w:bookmarkStart w:id="40" w:name="_Toc445524186"/>
      <w:bookmarkStart w:id="41" w:name="_Toc445529702"/>
      <w:bookmarkStart w:id="42" w:name="_Toc460747466"/>
      <w:r>
        <w:br w:type="page"/>
        <w:t>3.2</w:t>
      </w:r>
      <w:r>
        <w:tab/>
        <w:t>Generic measurement methods for multicarrier IM measurement</w:t>
      </w:r>
      <w:bookmarkEnd w:id="40"/>
      <w:bookmarkEnd w:id="41"/>
      <w:r>
        <w:t xml:space="preserve"> (Type 2)</w:t>
      </w:r>
      <w:bookmarkEnd w:id="42"/>
    </w:p>
    <w:p w:rsidR="00E02DD3" w:rsidRDefault="007A3AF0">
      <w:r>
        <w:t xml:space="preserve">High power amplifiers, e.g. used in satellite systems, are operated as close as possible to their maximum (saturation) output powers causing IM products degrading the signal-to-noise ratio where the same amplifier is used to transmit more than one carrier. In digital systems the BER is determined by the ratio of energy per bit to noise spectral density, </w:t>
      </w:r>
      <w:r>
        <w:rPr>
          <w:i/>
          <w:iCs/>
        </w:rPr>
        <w:t>E</w:t>
      </w:r>
      <w:r>
        <w:rPr>
          <w:i/>
          <w:iCs/>
          <w:position w:val="-4"/>
          <w:sz w:val="16"/>
        </w:rPr>
        <w:t>b</w:t>
      </w:r>
      <w:r>
        <w:t>/</w:t>
      </w:r>
      <w:r>
        <w:rPr>
          <w:i/>
          <w:iCs/>
        </w:rPr>
        <w:t>N</w:t>
      </w:r>
      <w:r>
        <w:rPr>
          <w:position w:val="-4"/>
          <w:sz w:val="16"/>
        </w:rPr>
        <w:t>0</w:t>
      </w:r>
      <w:r>
        <w:t xml:space="preserve"> where </w:t>
      </w:r>
      <w:r>
        <w:rPr>
          <w:i/>
          <w:iCs/>
        </w:rPr>
        <w:t>E</w:t>
      </w:r>
      <w:r>
        <w:rPr>
          <w:i/>
          <w:iCs/>
          <w:position w:val="-4"/>
          <w:sz w:val="16"/>
        </w:rPr>
        <w:t>b</w:t>
      </w:r>
      <w:r>
        <w:t xml:space="preserve"> is the carrier power divided by the bit rate and </w:t>
      </w:r>
      <w:r>
        <w:rPr>
          <w:i/>
          <w:iCs/>
        </w:rPr>
        <w:t>N</w:t>
      </w:r>
      <w:r>
        <w:rPr>
          <w:position w:val="-4"/>
          <w:sz w:val="16"/>
        </w:rPr>
        <w:t>0</w:t>
      </w:r>
      <w:r>
        <w:t xml:space="preserve"> is the single-sided noise power per Hz of bandwidth. Noise and interference contributions from the uplink and downlink must be combined with the IM noise in such a way that all contributions are normalized to the carrier power. A convenient characterization of the IM noise is the equivalent noise temperature, </w:t>
      </w:r>
      <w:r>
        <w:rPr>
          <w:i/>
          <w:iCs/>
        </w:rPr>
        <w:t>T</w:t>
      </w:r>
      <w:r>
        <w:rPr>
          <w:i/>
          <w:iCs/>
          <w:position w:val="-4"/>
          <w:sz w:val="16"/>
        </w:rPr>
        <w:t>im</w:t>
      </w:r>
      <w:r>
        <w:t xml:space="preserve">. A rule-of-thumb for the expected value of </w:t>
      </w:r>
      <w:r>
        <w:rPr>
          <w:i/>
          <w:iCs/>
        </w:rPr>
        <w:t>C/T</w:t>
      </w:r>
      <w:r>
        <w:rPr>
          <w:i/>
          <w:iCs/>
          <w:position w:val="-4"/>
          <w:sz w:val="16"/>
        </w:rPr>
        <w:t>im</w:t>
      </w:r>
      <w:r>
        <w:t xml:space="preserve"> is:</w:t>
      </w:r>
    </w:p>
    <w:p w:rsidR="00E02DD3" w:rsidRDefault="007A3AF0">
      <w:pPr>
        <w:pStyle w:val="Equation"/>
        <w:jc w:val="center"/>
      </w:pPr>
      <w:r>
        <w:rPr>
          <w:i/>
          <w:iCs/>
        </w:rPr>
        <w:t>C</w:t>
      </w:r>
      <w:r>
        <w:t>/</w:t>
      </w:r>
      <w:r>
        <w:rPr>
          <w:i/>
          <w:iCs/>
        </w:rPr>
        <w:t>T</w:t>
      </w:r>
      <w:r>
        <w:rPr>
          <w:i/>
          <w:iCs/>
          <w:position w:val="-4"/>
          <w:sz w:val="18"/>
        </w:rPr>
        <w:t>im</w:t>
      </w:r>
      <w:r>
        <w:t> </w:t>
      </w:r>
      <w:r>
        <w:rPr>
          <w:rFonts w:ascii="Symbol" w:hAnsi="Symbol"/>
        </w:rPr>
        <w:t></w:t>
      </w:r>
      <w:r>
        <w:t> –150 – 10 log(</w:t>
      </w:r>
      <w:r>
        <w:rPr>
          <w:i/>
          <w:iCs/>
        </w:rPr>
        <w:t>N</w:t>
      </w:r>
      <w:r>
        <w:t>) </w:t>
      </w:r>
      <w:r>
        <w:rPr>
          <w:rFonts w:ascii="Symbol" w:hAnsi="Symbol"/>
        </w:rPr>
        <w:t></w:t>
      </w:r>
      <w:r>
        <w:t> 2</w:t>
      </w:r>
      <w:r>
        <w:rPr>
          <w:i/>
          <w:iCs/>
        </w:rPr>
        <w:t>BO</w:t>
      </w:r>
      <w:r>
        <w:t>         dB</w:t>
      </w:r>
    </w:p>
    <w:p w:rsidR="00E02DD3" w:rsidRDefault="007A3AF0">
      <w:r>
        <w:t xml:space="preserve">where </w:t>
      </w:r>
      <w:r>
        <w:rPr>
          <w:i/>
        </w:rPr>
        <w:t>N</w:t>
      </w:r>
      <w:r>
        <w:t xml:space="preserve"> is the number of carriers and </w:t>
      </w:r>
      <w:r>
        <w:rPr>
          <w:i/>
          <w:iCs/>
        </w:rPr>
        <w:t>BO</w:t>
      </w:r>
      <w:r>
        <w:t xml:space="preserve"> is the output back-off, given depending on the input back-off </w:t>
      </w:r>
      <w:r>
        <w:rPr>
          <w:i/>
        </w:rPr>
        <w:t>BI</w:t>
      </w:r>
      <w:r>
        <w:t xml:space="preserve"> by:</w:t>
      </w:r>
    </w:p>
    <w:p w:rsidR="00E02DD3" w:rsidRDefault="007A3AF0">
      <w:pPr>
        <w:pStyle w:val="Equation"/>
        <w:jc w:val="center"/>
      </w:pPr>
      <w:r>
        <w:rPr>
          <w:i/>
          <w:iCs/>
        </w:rPr>
        <w:t>BO</w:t>
      </w:r>
      <w:r>
        <w:t> </w:t>
      </w:r>
      <w:r>
        <w:rPr>
          <w:rFonts w:ascii="Symbol" w:hAnsi="Symbol"/>
        </w:rPr>
        <w:t></w:t>
      </w:r>
      <w:r>
        <w:t> 0.82(</w:t>
      </w:r>
      <w:r>
        <w:rPr>
          <w:i/>
          <w:iCs/>
        </w:rPr>
        <w:t>BI</w:t>
      </w:r>
      <w:r>
        <w:t> – 4.5)         dB</w:t>
      </w:r>
    </w:p>
    <w:p w:rsidR="00E02DD3" w:rsidRDefault="007A3AF0">
      <w:r>
        <w:t>Assuming all carriers have equal power:</w:t>
      </w:r>
    </w:p>
    <w:p w:rsidR="00E02DD3" w:rsidRDefault="007A3AF0">
      <w:pPr>
        <w:pStyle w:val="Equation"/>
        <w:jc w:val="center"/>
      </w:pPr>
      <w:r>
        <w:rPr>
          <w:i/>
          <w:iCs/>
        </w:rPr>
        <w:t>C</w:t>
      </w:r>
      <w:r>
        <w:t> </w:t>
      </w:r>
      <w:r>
        <w:rPr>
          <w:rFonts w:ascii="Symbol" w:hAnsi="Symbol"/>
        </w:rPr>
        <w:t></w:t>
      </w:r>
      <w:r>
        <w:t> </w:t>
      </w:r>
      <w:r>
        <w:rPr>
          <w:i/>
          <w:iCs/>
        </w:rPr>
        <w:t>P</w:t>
      </w:r>
      <w:r>
        <w:rPr>
          <w:i/>
          <w:iCs/>
          <w:position w:val="-4"/>
          <w:sz w:val="16"/>
        </w:rPr>
        <w:t>s</w:t>
      </w:r>
      <w:r>
        <w:t> – 10 log(</w:t>
      </w:r>
      <w:r>
        <w:rPr>
          <w:i/>
          <w:iCs/>
        </w:rPr>
        <w:t>N</w:t>
      </w:r>
      <w:r>
        <w:t>) – </w:t>
      </w:r>
      <w:r>
        <w:rPr>
          <w:i/>
          <w:iCs/>
        </w:rPr>
        <w:t>BO</w:t>
      </w:r>
      <w:r>
        <w:t>         dBW</w:t>
      </w:r>
    </w:p>
    <w:p w:rsidR="00E02DD3" w:rsidRDefault="007A3AF0">
      <w:r>
        <w:t xml:space="preserve">where </w:t>
      </w:r>
      <w:r>
        <w:rPr>
          <w:i/>
          <w:iCs/>
        </w:rPr>
        <w:t>P</w:t>
      </w:r>
      <w:r>
        <w:rPr>
          <w:i/>
          <w:iCs/>
          <w:position w:val="-4"/>
          <w:sz w:val="16"/>
        </w:rPr>
        <w:t>s</w:t>
      </w:r>
      <w:r>
        <w:t xml:space="preserve"> is the saturation output power. Thus:</w:t>
      </w:r>
    </w:p>
    <w:p w:rsidR="00E02DD3" w:rsidRDefault="007A3AF0">
      <w:pPr>
        <w:pStyle w:val="Equation"/>
        <w:jc w:val="center"/>
      </w:pPr>
      <w:r>
        <w:rPr>
          <w:i/>
          <w:iCs/>
        </w:rPr>
        <w:t>T</w:t>
      </w:r>
      <w:r>
        <w:rPr>
          <w:i/>
          <w:iCs/>
          <w:position w:val="-4"/>
          <w:sz w:val="18"/>
        </w:rPr>
        <w:t>im</w:t>
      </w:r>
      <w:r>
        <w:t> = </w:t>
      </w:r>
      <w:r>
        <w:rPr>
          <w:i/>
          <w:iCs/>
        </w:rPr>
        <w:t>P</w:t>
      </w:r>
      <w:r>
        <w:rPr>
          <w:i/>
          <w:iCs/>
          <w:position w:val="-4"/>
          <w:sz w:val="18"/>
        </w:rPr>
        <w:t>s</w:t>
      </w:r>
      <w:r>
        <w:t> </w:t>
      </w:r>
      <w:r>
        <w:rPr>
          <w:rFonts w:ascii="Symbol" w:hAnsi="Symbol"/>
        </w:rPr>
        <w:t></w:t>
      </w:r>
      <w:r>
        <w:t> 150 – 3</w:t>
      </w:r>
      <w:r>
        <w:rPr>
          <w:i/>
          <w:iCs/>
        </w:rPr>
        <w:t>BO</w:t>
      </w:r>
      <w:r>
        <w:t>         dB(K)</w:t>
      </w:r>
    </w:p>
    <w:p w:rsidR="00E02DD3" w:rsidRDefault="007A3AF0">
      <w:r>
        <w:t>and</w:t>
      </w:r>
    </w:p>
    <w:p w:rsidR="00E02DD3" w:rsidRDefault="007A3AF0">
      <w:pPr>
        <w:pStyle w:val="Equation"/>
        <w:jc w:val="center"/>
      </w:pPr>
      <w:r>
        <w:rPr>
          <w:i/>
          <w:iCs/>
        </w:rPr>
        <w:t>N</w:t>
      </w:r>
      <w:r>
        <w:rPr>
          <w:position w:val="-4"/>
          <w:sz w:val="18"/>
        </w:rPr>
        <w:t>0</w:t>
      </w:r>
      <w:r>
        <w:t> </w:t>
      </w:r>
      <w:r>
        <w:rPr>
          <w:rFonts w:ascii="Symbol" w:hAnsi="Symbol"/>
        </w:rPr>
        <w:t></w:t>
      </w:r>
      <w:r>
        <w:t> </w:t>
      </w:r>
      <w:r>
        <w:rPr>
          <w:i/>
          <w:iCs/>
        </w:rPr>
        <w:t>P</w:t>
      </w:r>
      <w:r>
        <w:rPr>
          <w:i/>
          <w:iCs/>
          <w:position w:val="-4"/>
          <w:sz w:val="18"/>
        </w:rPr>
        <w:t>s</w:t>
      </w:r>
      <w:r>
        <w:t> – 78.6 – 3</w:t>
      </w:r>
      <w:r>
        <w:rPr>
          <w:i/>
          <w:iCs/>
        </w:rPr>
        <w:t>BO</w:t>
      </w:r>
      <w:r>
        <w:t>         dB(W/Hz)</w:t>
      </w:r>
    </w:p>
    <w:p w:rsidR="00E02DD3" w:rsidRDefault="007A3AF0">
      <w:r>
        <w:t xml:space="preserve">Thus, when the input power is increased by 1 dB, the output power is increased by 0.82 dB. On the other hand, the IM noise increases by 2.46 dB and the </w:t>
      </w:r>
      <w:r>
        <w:rPr>
          <w:i/>
        </w:rPr>
        <w:t xml:space="preserve">C/T </w:t>
      </w:r>
      <w:r>
        <w:t>ratio is reduced by 1.64 dB. This rule-of-thumb is valid over a narrow range close to 4.5 dB to the saturation for all travelling wave tube amplifiers without linearization. This method is sometimes referred to as the no</w:t>
      </w:r>
      <w:r>
        <w:noBreakHyphen/>
        <w:t>carrier test method.</w:t>
      </w:r>
    </w:p>
    <w:p w:rsidR="00E02DD3" w:rsidRDefault="007A3AF0">
      <w:pPr>
        <w:pStyle w:val="Heading3"/>
      </w:pPr>
      <w:bookmarkStart w:id="43" w:name="_Toc445524187"/>
      <w:bookmarkStart w:id="44" w:name="_Toc445529703"/>
      <w:bookmarkStart w:id="45" w:name="_Toc460747467"/>
      <w:r>
        <w:t>3.2.1</w:t>
      </w:r>
      <w:r>
        <w:tab/>
        <w:t>Descriptions of measurement methods</w:t>
      </w:r>
      <w:bookmarkEnd w:id="43"/>
      <w:bookmarkEnd w:id="44"/>
      <w:bookmarkEnd w:id="45"/>
    </w:p>
    <w:p w:rsidR="00E02DD3" w:rsidRDefault="007A3AF0">
      <w:r>
        <w:t>The principles and test methods of seven different measurement procedures are listed briefly in the following:</w:t>
      </w:r>
    </w:p>
    <w:p w:rsidR="00E02DD3" w:rsidRDefault="007A3AF0">
      <w:pPr>
        <w:pStyle w:val="enumlev1"/>
      </w:pPr>
      <w:r>
        <w:t>–</w:t>
      </w:r>
      <w:r>
        <w:tab/>
      </w:r>
      <w:r>
        <w:rPr>
          <w:i/>
          <w:iCs/>
        </w:rPr>
        <w:t>Single carrier test</w:t>
      </w:r>
    </w:p>
    <w:p w:rsidR="00E02DD3" w:rsidRDefault="007A3AF0">
      <w:pPr>
        <w:pStyle w:val="enumlev1"/>
      </w:pPr>
      <w:r>
        <w:tab/>
        <w:t>The multicarrier signal and the IM products of the 2nd and 3rd order are modelled by a Bessel function depending on the output power and the phase shift of the amplifier. A single CW carrier is fed into the amplifier. The amplitude of the test signal is varied from zero until the amplifier is saturated. The output power and phase shift are measured as functions of the input power.</w:t>
      </w:r>
    </w:p>
    <w:p w:rsidR="00E02DD3" w:rsidRDefault="007A3AF0">
      <w:pPr>
        <w:pStyle w:val="enumlev1"/>
      </w:pPr>
      <w:r>
        <w:t>–</w:t>
      </w:r>
      <w:r>
        <w:tab/>
      </w:r>
      <w:r>
        <w:rPr>
          <w:i/>
          <w:iCs/>
        </w:rPr>
        <w:t>Two carrier test with intercept analysis</w:t>
      </w:r>
    </w:p>
    <w:p w:rsidR="00E02DD3" w:rsidRDefault="007A3AF0">
      <w:pPr>
        <w:pStyle w:val="enumlev1"/>
      </w:pPr>
      <w:r>
        <w:tab/>
        <w:t xml:space="preserve">The non-linear transfer characteristic is represented by a Taylor series expansion. The performance under multicarrier loading can be predicted from the Taylor series model. The outputs from two signal generators operating at </w:t>
      </w:r>
      <w:r>
        <w:rPr>
          <w:i/>
          <w:iCs/>
        </w:rPr>
        <w:t>f</w:t>
      </w:r>
      <w:r>
        <w:rPr>
          <w:position w:val="-4"/>
          <w:sz w:val="16"/>
        </w:rPr>
        <w:t>1</w:t>
      </w:r>
      <w:r>
        <w:t xml:space="preserve"> and </w:t>
      </w:r>
      <w:r>
        <w:rPr>
          <w:i/>
          <w:iCs/>
        </w:rPr>
        <w:t>f</w:t>
      </w:r>
      <w:r>
        <w:rPr>
          <w:position w:val="-4"/>
          <w:sz w:val="16"/>
        </w:rPr>
        <w:t>2</w:t>
      </w:r>
      <w:r>
        <w:t xml:space="preserve"> are combined and applied to the input of the amplifier. The output powers at these fundamentals and at the 3rd order IM products at 2</w:t>
      </w:r>
      <w:r>
        <w:rPr>
          <w:i/>
          <w:iCs/>
        </w:rPr>
        <w:t>f</w:t>
      </w:r>
      <w:r>
        <w:rPr>
          <w:position w:val="-4"/>
          <w:sz w:val="16"/>
        </w:rPr>
        <w:t>1</w:t>
      </w:r>
      <w:r>
        <w:t> – </w:t>
      </w:r>
      <w:r>
        <w:rPr>
          <w:i/>
          <w:iCs/>
        </w:rPr>
        <w:t>f</w:t>
      </w:r>
      <w:r>
        <w:rPr>
          <w:position w:val="-4"/>
          <w:sz w:val="16"/>
        </w:rPr>
        <w:t>2</w:t>
      </w:r>
      <w:r>
        <w:t xml:space="preserve"> and </w:t>
      </w:r>
      <w:r>
        <w:rPr>
          <w:i/>
          <w:iCs/>
        </w:rPr>
        <w:t>f</w:t>
      </w:r>
      <w:r>
        <w:rPr>
          <w:position w:val="-4"/>
          <w:sz w:val="16"/>
        </w:rPr>
        <w:t>2</w:t>
      </w:r>
      <w:r>
        <w:t> – </w:t>
      </w:r>
      <w:r>
        <w:rPr>
          <w:i/>
          <w:iCs/>
        </w:rPr>
        <w:t>f</w:t>
      </w:r>
      <w:r>
        <w:rPr>
          <w:position w:val="-4"/>
          <w:sz w:val="16"/>
        </w:rPr>
        <w:t>1</w:t>
      </w:r>
      <w:r>
        <w:t xml:space="preserve"> etc., are recorded and used for the determination of the intercept points. These points are used then for the determination of the Taylor series coefficients.</w:t>
      </w:r>
    </w:p>
    <w:p w:rsidR="00E02DD3" w:rsidRDefault="007A3AF0">
      <w:pPr>
        <w:pStyle w:val="enumlev1"/>
      </w:pPr>
      <w:r>
        <w:t>–</w:t>
      </w:r>
      <w:r>
        <w:tab/>
      </w:r>
      <w:r>
        <w:rPr>
          <w:i/>
          <w:iCs/>
        </w:rPr>
        <w:t>Multiple carrier test</w:t>
      </w:r>
    </w:p>
    <w:p w:rsidR="00E02DD3" w:rsidRDefault="007A3AF0">
      <w:pPr>
        <w:pStyle w:val="enumlev1"/>
      </w:pPr>
      <w:r>
        <w:tab/>
        <w:t>This test is based on the assumption that the sum of the IM noise power density becomes asymptotic to the same fixed value as the number of carriers increases. It was shown that the sum of IM products up to the 7th order accounts for about 82.2% of the IM power, i.e. if higher products can be neglected, a minimum of 7 to 15 carriers is sufficient. A number of independent CW carriers, roughly equally spaced with a gap near the expected IM products and individually modulated by both FM and AM signals, are combined in the input of the amplifier. At the output, in the gap left, the IM products are measured directly by a spectrum analyser.</w:t>
      </w:r>
    </w:p>
    <w:p w:rsidR="00E02DD3" w:rsidRDefault="007A3AF0">
      <w:pPr>
        <w:pStyle w:val="enumlev1"/>
      </w:pPr>
      <w:r>
        <w:br w:type="page"/>
        <w:t>–</w:t>
      </w:r>
      <w:r>
        <w:tab/>
      </w:r>
      <w:r>
        <w:rPr>
          <w:i/>
          <w:iCs/>
        </w:rPr>
        <w:t>2/3/4 carrier test with rule-of-thumb</w:t>
      </w:r>
    </w:p>
    <w:p w:rsidR="00E02DD3" w:rsidRDefault="007A3AF0">
      <w:pPr>
        <w:pStyle w:val="enumlev1"/>
      </w:pPr>
      <w:r>
        <w:tab/>
        <w:t>If a sufficient number of sources is not available for the multicarrier test, then a test may be performed using a smaller number of carriers and the multicarrier performance may be predicted using a rule-of-thumb. The asymptotic result for a large number of carriers is:</w:t>
      </w:r>
    </w:p>
    <w:p w:rsidR="00E02DD3" w:rsidRDefault="007A3AF0">
      <w:pPr>
        <w:pStyle w:val="Equation"/>
        <w:jc w:val="center"/>
      </w:pPr>
      <w:r>
        <w:rPr>
          <w:position w:val="-34"/>
          <w:sz w:val="20"/>
        </w:rPr>
        <w:object w:dxaOrig="26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2pt;height:43.5pt" o:ole="">
            <v:imagedata r:id="rId21" o:title=""/>
          </v:shape>
          <o:OLEObject Type="Embed" ProgID="Equation.3" ShapeID="_x0000_i1025" DrawAspect="Content" ObjectID="_1629889359" r:id="rId22"/>
        </w:object>
      </w:r>
    </w:p>
    <w:p w:rsidR="00E02DD3" w:rsidRDefault="007A3AF0">
      <w:pPr>
        <w:pStyle w:val="enumlev1"/>
      </w:pPr>
      <w:r>
        <w:tab/>
        <w:t>where (</w:t>
      </w:r>
      <w:r>
        <w:rPr>
          <w:i/>
          <w:iCs/>
        </w:rPr>
        <w:t>C</w:t>
      </w:r>
      <w:r>
        <w:t>/</w:t>
      </w:r>
      <w:r>
        <w:rPr>
          <w:i/>
          <w:iCs/>
        </w:rPr>
        <w:t>IM</w:t>
      </w:r>
      <w:r>
        <w:t>)</w:t>
      </w:r>
      <w:r>
        <w:rPr>
          <w:position w:val="-4"/>
          <w:sz w:val="16"/>
        </w:rPr>
        <w:t>2</w:t>
      </w:r>
      <w:r>
        <w:t xml:space="preserve"> is measured with two carriers.</w:t>
      </w:r>
    </w:p>
    <w:p w:rsidR="00E02DD3" w:rsidRDefault="007A3AF0">
      <w:pPr>
        <w:pStyle w:val="enumlev1"/>
      </w:pPr>
      <w:r>
        <w:tab/>
        <w:t>The basis of this test is to make direct measurements of the IM products generated by 2, 3 or 4 independent carriers in a similar way as described before.</w:t>
      </w:r>
    </w:p>
    <w:p w:rsidR="00E02DD3" w:rsidRDefault="007A3AF0">
      <w:pPr>
        <w:pStyle w:val="enumlev1"/>
      </w:pPr>
      <w:r>
        <w:tab/>
        <w:t>For the measurements a noise generator and a filter having different notch bandwidths are used. This notch filter removes the noise from a single channel known as quiet channel. At the output a spectrum analyser measures the IM products in this quiet channel. It should be remarked that the analogue noise power ratio (NPR) notch filter should be 20 dB deeper than the level of NPR to be measured, and have a bandwidth of about 10% of the amplifier bandwidth.</w:t>
      </w:r>
    </w:p>
    <w:p w:rsidR="00E02DD3" w:rsidRDefault="007A3AF0">
      <w:pPr>
        <w:pStyle w:val="enumlev1"/>
      </w:pPr>
      <w:r>
        <w:t>–</w:t>
      </w:r>
      <w:r>
        <w:tab/>
      </w:r>
      <w:r>
        <w:rPr>
          <w:i/>
          <w:iCs/>
        </w:rPr>
        <w:t>Frequency agile signal simulator (FASS) test</w:t>
      </w:r>
    </w:p>
    <w:p w:rsidR="00E02DD3" w:rsidRDefault="007A3AF0">
      <w:pPr>
        <w:pStyle w:val="enumlev1"/>
      </w:pPr>
      <w:r>
        <w:tab/>
        <w:t>The FASS is capable of synthesizing any arbitrary waveforms including multiple carriers modulated at a variety of data rates using different modulation formats. This exciting signal is much closer to the actual signal than the white Gaussian noise but due to the finite memory the signal must be repeated at certain frequencies. The IM noise can be measured directly in a variety of different combinations of carrier, modulation formats and bandwidths.</w:t>
      </w:r>
    </w:p>
    <w:p w:rsidR="00E02DD3" w:rsidRDefault="007A3AF0">
      <w:pPr>
        <w:pStyle w:val="enumlev1"/>
      </w:pPr>
      <w:r>
        <w:tab/>
        <w:t>A digital synthesis technique is utilized in this method to generate a waveform by means of computer software. The waveform consists of digital data downloaded to a synthesizer that then generates a waveform via digital/analogue (D/A) converter. Such commercially available FASS are able to synthesize waveforms directly to microwave frequencies in a digital way.</w:t>
      </w:r>
    </w:p>
    <w:p w:rsidR="00E02DD3" w:rsidRDefault="007A3AF0">
      <w:pPr>
        <w:pStyle w:val="enumlev1"/>
      </w:pPr>
      <w:r>
        <w:t>–</w:t>
      </w:r>
      <w:r>
        <w:tab/>
      </w:r>
      <w:r>
        <w:rPr>
          <w:i/>
          <w:iCs/>
        </w:rPr>
        <w:t>BER test</w:t>
      </w:r>
    </w:p>
    <w:p w:rsidR="00E02DD3" w:rsidRDefault="007A3AF0">
      <w:pPr>
        <w:pStyle w:val="enumlev1"/>
      </w:pPr>
      <w:r>
        <w:tab/>
        <w:t>The BER is the ultimate measure of acceptability for digital transmission systems. A direct BER measurement would be more appropriate than a test which tries to isolate the contribution of IM noise to the total power.</w:t>
      </w:r>
    </w:p>
    <w:p w:rsidR="00E02DD3" w:rsidRDefault="007A3AF0">
      <w:pPr>
        <w:pStyle w:val="enumlev1"/>
      </w:pPr>
      <w:r>
        <w:tab/>
        <w:t>BER tests are commonly used to measure the performance of digital systems in the presence of co-channel and adjacent channel interference, but are rarely used for measuring the effects of amplifier non-linearities. Such tests are rather cost and time consuming due to additional equipment and measurement time required for the very low BER, e.g. 1 </w:t>
      </w:r>
      <w:r>
        <w:rPr>
          <w:rFonts w:ascii="Symbol" w:hAnsi="Symbol"/>
        </w:rPr>
        <w:t></w:t>
      </w:r>
      <w:r>
        <w:t> 10</w:t>
      </w:r>
      <w:r>
        <w:rPr>
          <w:position w:val="6"/>
          <w:sz w:val="16"/>
        </w:rPr>
        <w:t>–10</w:t>
      </w:r>
      <w:r>
        <w:t>. However, this is exactly the range where IM noise is likely to occur and to impair the system performance.</w:t>
      </w:r>
    </w:p>
    <w:p w:rsidR="00E02DD3" w:rsidRDefault="007A3AF0">
      <w:pPr>
        <w:pStyle w:val="Heading3"/>
      </w:pPr>
      <w:bookmarkStart w:id="46" w:name="_Toc445524188"/>
      <w:bookmarkStart w:id="47" w:name="_Toc445529704"/>
      <w:bookmarkStart w:id="48" w:name="_Toc460747468"/>
      <w:r>
        <w:t>3.2.2</w:t>
      </w:r>
      <w:r>
        <w:tab/>
        <w:t>Comparison of the methods</w:t>
      </w:r>
      <w:bookmarkEnd w:id="46"/>
      <w:bookmarkEnd w:id="47"/>
      <w:bookmarkEnd w:id="48"/>
    </w:p>
    <w:p w:rsidR="00E02DD3" w:rsidRDefault="007A3AF0">
      <w:r>
        <w:t>For the measurement of the IM products or noise, respectively, all methods are appropriate. The main features are summarized in the following items and Table 1 with appreciation of each method. The BER test is practically not used for IM measurements because of its large expenditure of equipment and time.</w:t>
      </w:r>
    </w:p>
    <w:p w:rsidR="00E02DD3" w:rsidRDefault="007A3AF0">
      <w:pPr>
        <w:pStyle w:val="enumlev1"/>
      </w:pPr>
      <w:r>
        <w:t>–</w:t>
      </w:r>
      <w:r>
        <w:tab/>
        <w:t>The single carrier and two carrier with intercept analysis test methods are simple, quick and popular but are limited by the indirect prediction of multicarrier performance via a mathematical model which assumes the amplifier is memory</w:t>
      </w:r>
      <w:r>
        <w:noBreakHyphen/>
        <w:t>less.</w:t>
      </w:r>
    </w:p>
    <w:p w:rsidR="00E02DD3" w:rsidRDefault="007A3AF0">
      <w:pPr>
        <w:pStyle w:val="enumlev1"/>
      </w:pPr>
      <w:r>
        <w:t>–</w:t>
      </w:r>
      <w:r>
        <w:tab/>
        <w:t>The multicarrier, NPR and FASS methods can produce accurate results because they generate direct measurements of performance under realistic load conditions.</w:t>
      </w:r>
    </w:p>
    <w:p w:rsidR="00E02DD3" w:rsidRDefault="007A3AF0">
      <w:pPr>
        <w:pStyle w:val="enumlev1"/>
      </w:pPr>
      <w:r>
        <w:t>–</w:t>
      </w:r>
      <w:r>
        <w:tab/>
        <w:t>The 2/3/4 carrier test with rule-of-thumb is quick and simple but suffers from the limitation that the rule-of-thumb is only valid in the region where 3rd order products are dominant.</w:t>
      </w:r>
    </w:p>
    <w:p w:rsidR="00E02DD3" w:rsidRDefault="007A3AF0">
      <w:pPr>
        <w:pStyle w:val="enumlev1"/>
      </w:pPr>
      <w:r>
        <w:t>–</w:t>
      </w:r>
      <w:r>
        <w:tab/>
        <w:t>The FASS test method is very flexible and can produce accurate results but its testing bandwidth is limited by D/A converter speed and its frequency resolution by memory capacity, although its testing frequency can vary over a very large range.</w:t>
      </w:r>
    </w:p>
    <w:p w:rsidR="00E02DD3" w:rsidRDefault="007A3AF0">
      <w:pPr>
        <w:pStyle w:val="Table"/>
      </w:pPr>
      <w:r>
        <w:br w:type="page"/>
        <w:t>TABLE  1</w:t>
      </w:r>
    </w:p>
    <w:p w:rsidR="00E02DD3" w:rsidRDefault="007A3AF0">
      <w:pPr>
        <w:pStyle w:val="TableTitle"/>
      </w:pPr>
      <w:r>
        <w:t>Rating of the methods</w:t>
      </w:r>
    </w:p>
    <w:p w:rsidR="00E02DD3" w:rsidRDefault="00E02DD3">
      <w:pPr>
        <w:pStyle w:val="Blanc"/>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701"/>
        <w:gridCol w:w="1418"/>
        <w:gridCol w:w="1418"/>
        <w:gridCol w:w="1418"/>
        <w:gridCol w:w="1418"/>
        <w:gridCol w:w="1418"/>
      </w:tblGrid>
      <w:tr w:rsidR="00E02DD3">
        <w:tc>
          <w:tcPr>
            <w:tcW w:w="1701"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Criterion</w:t>
            </w:r>
          </w:p>
        </w:tc>
        <w:tc>
          <w:tcPr>
            <w:tcW w:w="1418"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Single</w:t>
            </w:r>
            <w:r>
              <w:br/>
              <w:t>carrier</w:t>
            </w:r>
          </w:p>
        </w:tc>
        <w:tc>
          <w:tcPr>
            <w:tcW w:w="1418"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Multicarrier</w:t>
            </w:r>
          </w:p>
        </w:tc>
        <w:tc>
          <w:tcPr>
            <w:tcW w:w="1418"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2/3</w:t>
            </w:r>
            <w:r>
              <w:br/>
              <w:t>carrier</w:t>
            </w:r>
          </w:p>
        </w:tc>
        <w:tc>
          <w:tcPr>
            <w:tcW w:w="1418"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Analogue</w:t>
            </w:r>
            <w:r>
              <w:br/>
              <w:t>NPR</w:t>
            </w:r>
          </w:p>
        </w:tc>
        <w:tc>
          <w:tcPr>
            <w:tcW w:w="1418" w:type="dxa"/>
            <w:tcBorders>
              <w:top w:val="single" w:sz="6" w:space="0" w:color="auto"/>
              <w:bottom w:val="single" w:sz="6" w:space="0" w:color="auto"/>
            </w:tcBorders>
            <w:vAlign w:val="center"/>
          </w:tcPr>
          <w:p w:rsidR="00E02DD3" w:rsidRDefault="007A3AF0">
            <w:pPr>
              <w:pStyle w:val="TableText"/>
              <w:framePr w:hSpace="181" w:wrap="notBeside" w:vAnchor="text" w:hAnchor="text" w:xAlign="center" w:y="1"/>
              <w:jc w:val="center"/>
            </w:pPr>
            <w:r>
              <w:t>FASS</w:t>
            </w:r>
          </w:p>
        </w:tc>
      </w:tr>
      <w:tr w:rsidR="00E02DD3">
        <w:tc>
          <w:tcPr>
            <w:tcW w:w="1701" w:type="dxa"/>
            <w:tcBorders>
              <w:top w:val="nil"/>
            </w:tcBorders>
          </w:tcPr>
          <w:p w:rsidR="00E02DD3" w:rsidRDefault="007A3AF0">
            <w:pPr>
              <w:pStyle w:val="TableText"/>
              <w:framePr w:hSpace="181" w:wrap="notBeside" w:vAnchor="text" w:hAnchor="text" w:xAlign="center" w:y="1"/>
              <w:spacing w:before="60" w:after="60"/>
              <w:jc w:val="left"/>
            </w:pPr>
            <w:r>
              <w:t>Carrier:</w:t>
            </w:r>
          </w:p>
          <w:p w:rsidR="00E02DD3" w:rsidRDefault="007A3AF0">
            <w:pPr>
              <w:pStyle w:val="TableText"/>
              <w:framePr w:hSpace="181" w:wrap="notBeside" w:vAnchor="text" w:hAnchor="text" w:xAlign="center" w:y="1"/>
              <w:spacing w:before="0" w:after="60"/>
              <w:ind w:left="284"/>
              <w:jc w:val="left"/>
            </w:pPr>
            <w:r>
              <w:t>Large number</w:t>
            </w:r>
            <w:r>
              <w:br/>
              <w:t>Mixed level</w:t>
            </w:r>
            <w:r>
              <w:br/>
              <w:t>Non-uniform</w:t>
            </w:r>
          </w:p>
        </w:tc>
        <w:tc>
          <w:tcPr>
            <w:tcW w:w="1418" w:type="dxa"/>
            <w:tcBorders>
              <w:top w:val="nil"/>
            </w:tcBorders>
          </w:tcPr>
          <w:p w:rsidR="00E02DD3" w:rsidRDefault="00E02DD3">
            <w:pPr>
              <w:pStyle w:val="TableText"/>
              <w:framePr w:hSpace="181" w:wrap="notBeside" w:vAnchor="text" w:hAnchor="text" w:xAlign="center" w:y="1"/>
              <w:spacing w:before="60" w:after="60"/>
              <w:jc w:val="center"/>
            </w:pPr>
          </w:p>
          <w:p w:rsidR="00E02DD3" w:rsidRDefault="007A3AF0">
            <w:pPr>
              <w:pStyle w:val="TableText"/>
              <w:framePr w:hSpace="181" w:wrap="notBeside" w:vAnchor="text" w:hAnchor="text" w:xAlign="center" w:y="1"/>
              <w:spacing w:before="0" w:after="60"/>
              <w:jc w:val="center"/>
            </w:pPr>
            <w:r>
              <w:t>2</w:t>
            </w:r>
            <w:r>
              <w:br/>
              <w:t>2</w:t>
            </w:r>
            <w:r>
              <w:br/>
              <w:t>2</w:t>
            </w:r>
          </w:p>
        </w:tc>
        <w:tc>
          <w:tcPr>
            <w:tcW w:w="1418" w:type="dxa"/>
            <w:tcBorders>
              <w:top w:val="nil"/>
            </w:tcBorders>
          </w:tcPr>
          <w:p w:rsidR="00E02DD3" w:rsidRDefault="00E02DD3">
            <w:pPr>
              <w:pStyle w:val="TableText"/>
              <w:framePr w:hSpace="181" w:wrap="notBeside" w:vAnchor="text" w:hAnchor="text" w:xAlign="center" w:y="1"/>
              <w:spacing w:before="60" w:after="60"/>
              <w:jc w:val="center"/>
            </w:pPr>
          </w:p>
          <w:p w:rsidR="00E02DD3" w:rsidRDefault="007A3AF0">
            <w:pPr>
              <w:pStyle w:val="TableText"/>
              <w:framePr w:hSpace="181" w:wrap="notBeside" w:vAnchor="text" w:hAnchor="text" w:xAlign="center" w:y="1"/>
              <w:spacing w:before="0" w:after="60"/>
              <w:jc w:val="center"/>
            </w:pPr>
            <w:r>
              <w:t>2</w:t>
            </w:r>
            <w:r>
              <w:br/>
              <w:t>3</w:t>
            </w:r>
            <w:r>
              <w:br/>
              <w:t>3</w:t>
            </w:r>
          </w:p>
        </w:tc>
        <w:tc>
          <w:tcPr>
            <w:tcW w:w="1418" w:type="dxa"/>
            <w:tcBorders>
              <w:top w:val="nil"/>
            </w:tcBorders>
          </w:tcPr>
          <w:p w:rsidR="00E02DD3" w:rsidRDefault="00E02DD3">
            <w:pPr>
              <w:pStyle w:val="TableText"/>
              <w:framePr w:hSpace="181" w:wrap="notBeside" w:vAnchor="text" w:hAnchor="text" w:xAlign="center" w:y="1"/>
              <w:spacing w:before="60" w:after="60"/>
              <w:jc w:val="center"/>
            </w:pPr>
          </w:p>
          <w:p w:rsidR="00E02DD3" w:rsidRDefault="007A3AF0">
            <w:pPr>
              <w:pStyle w:val="TableText"/>
              <w:framePr w:hSpace="181" w:wrap="notBeside" w:vAnchor="text" w:hAnchor="text" w:xAlign="center" w:y="1"/>
              <w:spacing w:before="0" w:after="60"/>
              <w:jc w:val="center"/>
            </w:pPr>
            <w:r>
              <w:t>1</w:t>
            </w:r>
            <w:r>
              <w:br/>
              <w:t>1</w:t>
            </w:r>
            <w:r>
              <w:br/>
              <w:t>1</w:t>
            </w:r>
          </w:p>
        </w:tc>
        <w:tc>
          <w:tcPr>
            <w:tcW w:w="1418" w:type="dxa"/>
            <w:tcBorders>
              <w:top w:val="nil"/>
            </w:tcBorders>
          </w:tcPr>
          <w:p w:rsidR="00E02DD3" w:rsidRDefault="00E02DD3">
            <w:pPr>
              <w:pStyle w:val="TableText"/>
              <w:framePr w:hSpace="181" w:wrap="notBeside" w:vAnchor="text" w:hAnchor="text" w:xAlign="center" w:y="1"/>
              <w:spacing w:before="60" w:after="60"/>
              <w:jc w:val="center"/>
            </w:pPr>
          </w:p>
          <w:p w:rsidR="00E02DD3" w:rsidRDefault="007A3AF0">
            <w:pPr>
              <w:pStyle w:val="TableText"/>
              <w:framePr w:hSpace="181" w:wrap="notBeside" w:vAnchor="text" w:hAnchor="text" w:xAlign="center" w:y="1"/>
              <w:spacing w:before="0" w:after="60"/>
              <w:jc w:val="center"/>
            </w:pPr>
            <w:r>
              <w:t>3</w:t>
            </w:r>
            <w:r>
              <w:br/>
              <w:t>1</w:t>
            </w:r>
            <w:r>
              <w:br/>
              <w:t>1</w:t>
            </w:r>
          </w:p>
        </w:tc>
        <w:tc>
          <w:tcPr>
            <w:tcW w:w="1418" w:type="dxa"/>
            <w:tcBorders>
              <w:top w:val="nil"/>
            </w:tcBorders>
          </w:tcPr>
          <w:p w:rsidR="00E02DD3" w:rsidRDefault="00E02DD3">
            <w:pPr>
              <w:pStyle w:val="TableText"/>
              <w:framePr w:hSpace="181" w:wrap="notBeside" w:vAnchor="text" w:hAnchor="text" w:xAlign="center" w:y="1"/>
              <w:spacing w:before="60" w:after="60"/>
              <w:jc w:val="center"/>
            </w:pPr>
          </w:p>
          <w:p w:rsidR="00E02DD3" w:rsidRDefault="007A3AF0">
            <w:pPr>
              <w:pStyle w:val="TableText"/>
              <w:framePr w:hSpace="181" w:wrap="notBeside" w:vAnchor="text" w:hAnchor="text" w:xAlign="center" w:y="1"/>
              <w:spacing w:before="0" w:after="60"/>
              <w:jc w:val="center"/>
            </w:pPr>
            <w:r>
              <w:t>3</w:t>
            </w:r>
            <w:r>
              <w:br/>
              <w:t>3</w:t>
            </w:r>
            <w:r>
              <w:br/>
              <w:t>3</w:t>
            </w:r>
          </w:p>
        </w:tc>
      </w:tr>
      <w:tr w:rsidR="00E02DD3">
        <w:tc>
          <w:tcPr>
            <w:tcW w:w="1701" w:type="dxa"/>
          </w:tcPr>
          <w:p w:rsidR="00E02DD3" w:rsidRDefault="007A3AF0">
            <w:pPr>
              <w:pStyle w:val="TableText"/>
              <w:framePr w:hSpace="181" w:wrap="notBeside" w:vAnchor="text" w:hAnchor="text" w:xAlign="center" w:y="1"/>
              <w:spacing w:before="60" w:after="60"/>
              <w:jc w:val="left"/>
            </w:pPr>
            <w:r>
              <w:t>Accuracy</w:t>
            </w:r>
          </w:p>
        </w:tc>
        <w:tc>
          <w:tcPr>
            <w:tcW w:w="1418" w:type="dxa"/>
          </w:tcPr>
          <w:p w:rsidR="00E02DD3" w:rsidRDefault="007A3AF0">
            <w:pPr>
              <w:pStyle w:val="TableText"/>
              <w:framePr w:hSpace="181" w:wrap="notBeside" w:vAnchor="text" w:hAnchor="text" w:xAlign="center" w:y="1"/>
              <w:spacing w:before="60" w:after="60"/>
              <w:jc w:val="center"/>
            </w:pPr>
            <w:r>
              <w:t>2</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1</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3</w:t>
            </w:r>
          </w:p>
        </w:tc>
      </w:tr>
      <w:tr w:rsidR="00E02DD3">
        <w:tc>
          <w:tcPr>
            <w:tcW w:w="1701" w:type="dxa"/>
          </w:tcPr>
          <w:p w:rsidR="00E02DD3" w:rsidRDefault="007A3AF0">
            <w:pPr>
              <w:pStyle w:val="TableText"/>
              <w:framePr w:hSpace="181" w:wrap="notBeside" w:vAnchor="text" w:hAnchor="text" w:xAlign="center" w:y="1"/>
              <w:spacing w:before="60" w:after="60"/>
              <w:jc w:val="left"/>
            </w:pPr>
            <w:r>
              <w:t>Reproducibility</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1</w:t>
            </w:r>
          </w:p>
        </w:tc>
        <w:tc>
          <w:tcPr>
            <w:tcW w:w="1418" w:type="dxa"/>
          </w:tcPr>
          <w:p w:rsidR="00E02DD3" w:rsidRDefault="007A3AF0">
            <w:pPr>
              <w:pStyle w:val="TableText"/>
              <w:framePr w:hSpace="181" w:wrap="notBeside" w:vAnchor="text" w:hAnchor="text" w:xAlign="center" w:y="1"/>
              <w:spacing w:before="60" w:after="60"/>
              <w:jc w:val="center"/>
            </w:pPr>
            <w:r>
              <w:t>2</w:t>
            </w:r>
          </w:p>
        </w:tc>
        <w:tc>
          <w:tcPr>
            <w:tcW w:w="1418" w:type="dxa"/>
            <w:tcBorders>
              <w:left w:val="nil"/>
            </w:tcBorders>
          </w:tcPr>
          <w:p w:rsidR="00E02DD3" w:rsidRDefault="007A3AF0">
            <w:pPr>
              <w:pStyle w:val="TableText"/>
              <w:framePr w:hSpace="181" w:wrap="notBeside" w:vAnchor="text" w:hAnchor="text" w:xAlign="center" w:y="1"/>
              <w:spacing w:before="60" w:after="60"/>
              <w:jc w:val="center"/>
            </w:pPr>
            <w:r>
              <w:t>3</w:t>
            </w:r>
          </w:p>
        </w:tc>
      </w:tr>
      <w:tr w:rsidR="00E02DD3">
        <w:tc>
          <w:tcPr>
            <w:tcW w:w="1701" w:type="dxa"/>
          </w:tcPr>
          <w:p w:rsidR="00E02DD3" w:rsidRDefault="007A3AF0">
            <w:pPr>
              <w:pStyle w:val="TableText"/>
              <w:framePr w:hSpace="181" w:wrap="notBeside" w:vAnchor="text" w:hAnchor="text" w:xAlign="center" w:y="1"/>
              <w:spacing w:before="60" w:after="60"/>
              <w:jc w:val="left"/>
            </w:pPr>
            <w:r>
              <w:t>Cost</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2</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2</w:t>
            </w:r>
          </w:p>
        </w:tc>
        <w:tc>
          <w:tcPr>
            <w:tcW w:w="1418" w:type="dxa"/>
            <w:tcBorders>
              <w:left w:val="nil"/>
            </w:tcBorders>
          </w:tcPr>
          <w:p w:rsidR="00E02DD3" w:rsidRDefault="007A3AF0">
            <w:pPr>
              <w:pStyle w:val="TableText"/>
              <w:framePr w:hSpace="181" w:wrap="notBeside" w:vAnchor="text" w:hAnchor="text" w:xAlign="center" w:y="1"/>
              <w:spacing w:before="60" w:after="60"/>
              <w:jc w:val="center"/>
            </w:pPr>
            <w:r>
              <w:t>1</w:t>
            </w:r>
          </w:p>
        </w:tc>
      </w:tr>
      <w:tr w:rsidR="00E02DD3">
        <w:tc>
          <w:tcPr>
            <w:tcW w:w="1701" w:type="dxa"/>
          </w:tcPr>
          <w:p w:rsidR="00E02DD3" w:rsidRDefault="007A3AF0">
            <w:pPr>
              <w:pStyle w:val="TableText"/>
              <w:framePr w:hSpace="181" w:wrap="notBeside" w:vAnchor="text" w:hAnchor="text" w:xAlign="center" w:y="1"/>
              <w:spacing w:before="60" w:after="60"/>
              <w:jc w:val="left"/>
            </w:pPr>
            <w:r>
              <w:t>Simplicity</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1</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Pr>
          <w:p w:rsidR="00E02DD3" w:rsidRDefault="007A3AF0">
            <w:pPr>
              <w:pStyle w:val="TableText"/>
              <w:framePr w:hSpace="181" w:wrap="notBeside" w:vAnchor="text" w:hAnchor="text" w:xAlign="center" w:y="1"/>
              <w:spacing w:before="60" w:after="60"/>
              <w:jc w:val="center"/>
            </w:pPr>
            <w:r>
              <w:t>3</w:t>
            </w:r>
          </w:p>
        </w:tc>
        <w:tc>
          <w:tcPr>
            <w:tcW w:w="1418" w:type="dxa"/>
            <w:tcBorders>
              <w:left w:val="nil"/>
            </w:tcBorders>
          </w:tcPr>
          <w:p w:rsidR="00E02DD3" w:rsidRDefault="007A3AF0">
            <w:pPr>
              <w:pStyle w:val="TableText"/>
              <w:framePr w:hSpace="181" w:wrap="notBeside" w:vAnchor="text" w:hAnchor="text" w:xAlign="center" w:y="1"/>
              <w:spacing w:before="60" w:after="60"/>
              <w:jc w:val="center"/>
            </w:pPr>
            <w:r>
              <w:t>3</w:t>
            </w:r>
          </w:p>
        </w:tc>
      </w:tr>
      <w:tr w:rsidR="00E02DD3">
        <w:tc>
          <w:tcPr>
            <w:tcW w:w="1701" w:type="dxa"/>
          </w:tcPr>
          <w:p w:rsidR="00E02DD3" w:rsidRDefault="007A3AF0">
            <w:pPr>
              <w:pStyle w:val="TableText"/>
              <w:framePr w:hSpace="181" w:wrap="notBeside" w:vAnchor="text" w:hAnchor="text" w:xAlign="center" w:y="1"/>
              <w:spacing w:before="60" w:after="60"/>
              <w:jc w:val="left"/>
            </w:pPr>
            <w:r>
              <w:t>Time</w:t>
            </w:r>
          </w:p>
        </w:tc>
        <w:tc>
          <w:tcPr>
            <w:tcW w:w="1418" w:type="dxa"/>
          </w:tcPr>
          <w:p w:rsidR="00E02DD3" w:rsidRDefault="007A3AF0">
            <w:pPr>
              <w:pStyle w:val="TableText"/>
              <w:framePr w:hSpace="181" w:wrap="notBeside" w:vAnchor="text" w:hAnchor="text" w:xAlign="center" w:y="1"/>
              <w:spacing w:before="60" w:after="60"/>
              <w:jc w:val="center"/>
            </w:pPr>
            <w:r>
              <w:t>2</w:t>
            </w:r>
            <w:r>
              <w:br/>
            </w:r>
            <w:r>
              <w:rPr>
                <w:rFonts w:ascii="Symbol" w:hAnsi="Symbol"/>
              </w:rPr>
              <w:t></w:t>
            </w:r>
            <w:r>
              <w:t xml:space="preserve"> 0.5 h</w:t>
            </w:r>
          </w:p>
        </w:tc>
        <w:tc>
          <w:tcPr>
            <w:tcW w:w="1418" w:type="dxa"/>
          </w:tcPr>
          <w:p w:rsidR="00E02DD3" w:rsidRDefault="007A3AF0">
            <w:pPr>
              <w:pStyle w:val="TableText"/>
              <w:framePr w:hSpace="181" w:wrap="notBeside" w:vAnchor="text" w:hAnchor="text" w:xAlign="center" w:y="1"/>
              <w:spacing w:before="60" w:after="60"/>
              <w:jc w:val="center"/>
            </w:pPr>
            <w:r>
              <w:t>1</w:t>
            </w:r>
            <w:r>
              <w:br/>
            </w:r>
            <w:r>
              <w:rPr>
                <w:rFonts w:ascii="Symbol" w:hAnsi="Symbol"/>
              </w:rPr>
              <w:t></w:t>
            </w:r>
            <w:r>
              <w:t xml:space="preserve"> 1.5 h</w:t>
            </w:r>
          </w:p>
        </w:tc>
        <w:tc>
          <w:tcPr>
            <w:tcW w:w="1418" w:type="dxa"/>
          </w:tcPr>
          <w:p w:rsidR="00E02DD3" w:rsidRDefault="007A3AF0">
            <w:pPr>
              <w:pStyle w:val="TableText"/>
              <w:framePr w:hSpace="181" w:wrap="notBeside" w:vAnchor="text" w:hAnchor="text" w:xAlign="center" w:y="1"/>
              <w:spacing w:before="60" w:after="60"/>
              <w:jc w:val="center"/>
            </w:pPr>
            <w:r>
              <w:t>3</w:t>
            </w:r>
            <w:r>
              <w:br/>
            </w:r>
            <w:r>
              <w:rPr>
                <w:rFonts w:ascii="Symbol" w:hAnsi="Symbol"/>
              </w:rPr>
              <w:t></w:t>
            </w:r>
            <w:r>
              <w:t xml:space="preserve"> 5 min</w:t>
            </w:r>
          </w:p>
        </w:tc>
        <w:tc>
          <w:tcPr>
            <w:tcW w:w="1418" w:type="dxa"/>
          </w:tcPr>
          <w:p w:rsidR="00E02DD3" w:rsidRDefault="007A3AF0">
            <w:pPr>
              <w:pStyle w:val="TableText"/>
              <w:framePr w:hSpace="181" w:wrap="notBeside" w:vAnchor="text" w:hAnchor="text" w:xAlign="center" w:y="1"/>
              <w:spacing w:before="60" w:after="60"/>
              <w:jc w:val="center"/>
            </w:pPr>
            <w:r>
              <w:t>3</w:t>
            </w:r>
            <w:r>
              <w:br/>
            </w:r>
            <w:r>
              <w:rPr>
                <w:rFonts w:ascii="Symbol" w:hAnsi="Symbol"/>
              </w:rPr>
              <w:t></w:t>
            </w:r>
            <w:r>
              <w:t xml:space="preserve"> 5 min</w:t>
            </w:r>
          </w:p>
        </w:tc>
        <w:tc>
          <w:tcPr>
            <w:tcW w:w="1418" w:type="dxa"/>
            <w:tcBorders>
              <w:left w:val="nil"/>
            </w:tcBorders>
          </w:tcPr>
          <w:p w:rsidR="00E02DD3" w:rsidRDefault="007A3AF0">
            <w:pPr>
              <w:pStyle w:val="TableText"/>
              <w:framePr w:hSpace="181" w:wrap="notBeside" w:vAnchor="text" w:hAnchor="text" w:xAlign="center" w:y="1"/>
              <w:spacing w:before="60" w:after="60"/>
              <w:jc w:val="center"/>
            </w:pPr>
            <w:r>
              <w:t>3</w:t>
            </w:r>
            <w:r>
              <w:br/>
            </w:r>
            <w:r>
              <w:rPr>
                <w:rFonts w:ascii="Symbol" w:hAnsi="Symbol"/>
              </w:rPr>
              <w:t></w:t>
            </w:r>
            <w:r>
              <w:t xml:space="preserve"> 5 min</w:t>
            </w:r>
          </w:p>
        </w:tc>
      </w:tr>
      <w:tr w:rsidR="00E02DD3">
        <w:tc>
          <w:tcPr>
            <w:tcW w:w="1701" w:type="dxa"/>
            <w:tcBorders>
              <w:bottom w:val="nil"/>
            </w:tcBorders>
          </w:tcPr>
          <w:p w:rsidR="00E02DD3" w:rsidRDefault="007A3AF0">
            <w:pPr>
              <w:pStyle w:val="TableText"/>
              <w:framePr w:hSpace="181" w:wrap="notBeside" w:vAnchor="text" w:hAnchor="text" w:xAlign="center" w:y="1"/>
              <w:spacing w:before="60" w:after="60"/>
              <w:jc w:val="left"/>
            </w:pPr>
            <w:r>
              <w:t>Frequency</w:t>
            </w:r>
          </w:p>
        </w:tc>
        <w:tc>
          <w:tcPr>
            <w:tcW w:w="1418" w:type="dxa"/>
            <w:tcBorders>
              <w:bottom w:val="nil"/>
            </w:tcBorders>
          </w:tcPr>
          <w:p w:rsidR="00E02DD3" w:rsidRDefault="007A3AF0">
            <w:pPr>
              <w:pStyle w:val="TableText"/>
              <w:framePr w:hSpace="181" w:wrap="notBeside" w:vAnchor="text" w:hAnchor="text" w:xAlign="center" w:y="1"/>
              <w:spacing w:before="60" w:after="60"/>
              <w:jc w:val="center"/>
            </w:pPr>
            <w:r>
              <w:t>3</w:t>
            </w:r>
          </w:p>
        </w:tc>
        <w:tc>
          <w:tcPr>
            <w:tcW w:w="1418" w:type="dxa"/>
            <w:tcBorders>
              <w:bottom w:val="nil"/>
            </w:tcBorders>
          </w:tcPr>
          <w:p w:rsidR="00E02DD3" w:rsidRDefault="007A3AF0">
            <w:pPr>
              <w:pStyle w:val="TableText"/>
              <w:framePr w:hSpace="181" w:wrap="notBeside" w:vAnchor="text" w:hAnchor="text" w:xAlign="center" w:y="1"/>
              <w:spacing w:before="60" w:after="60"/>
              <w:jc w:val="center"/>
            </w:pPr>
            <w:r>
              <w:t>3</w:t>
            </w:r>
          </w:p>
        </w:tc>
        <w:tc>
          <w:tcPr>
            <w:tcW w:w="1418" w:type="dxa"/>
            <w:tcBorders>
              <w:bottom w:val="nil"/>
            </w:tcBorders>
          </w:tcPr>
          <w:p w:rsidR="00E02DD3" w:rsidRDefault="007A3AF0">
            <w:pPr>
              <w:pStyle w:val="TableText"/>
              <w:framePr w:hSpace="181" w:wrap="notBeside" w:vAnchor="text" w:hAnchor="text" w:xAlign="center" w:y="1"/>
              <w:spacing w:before="60" w:after="60"/>
              <w:jc w:val="center"/>
            </w:pPr>
            <w:r>
              <w:t>3</w:t>
            </w:r>
          </w:p>
        </w:tc>
        <w:tc>
          <w:tcPr>
            <w:tcW w:w="1418" w:type="dxa"/>
            <w:tcBorders>
              <w:bottom w:val="nil"/>
            </w:tcBorders>
          </w:tcPr>
          <w:p w:rsidR="00E02DD3" w:rsidRDefault="007A3AF0">
            <w:pPr>
              <w:pStyle w:val="TableText"/>
              <w:framePr w:hSpace="181" w:wrap="notBeside" w:vAnchor="text" w:hAnchor="text" w:xAlign="center" w:y="1"/>
              <w:spacing w:before="60" w:after="60"/>
              <w:jc w:val="center"/>
            </w:pPr>
            <w:r>
              <w:t>2</w:t>
            </w:r>
          </w:p>
        </w:tc>
        <w:tc>
          <w:tcPr>
            <w:tcW w:w="1418" w:type="dxa"/>
            <w:tcBorders>
              <w:left w:val="nil"/>
              <w:bottom w:val="nil"/>
            </w:tcBorders>
          </w:tcPr>
          <w:p w:rsidR="00E02DD3" w:rsidRDefault="007A3AF0">
            <w:pPr>
              <w:pStyle w:val="TableText"/>
              <w:framePr w:hSpace="181" w:wrap="notBeside" w:vAnchor="text" w:hAnchor="text" w:xAlign="center" w:y="1"/>
              <w:spacing w:before="60" w:after="60"/>
              <w:jc w:val="center"/>
            </w:pPr>
            <w:r>
              <w:t>3</w:t>
            </w:r>
          </w:p>
        </w:tc>
      </w:tr>
      <w:tr w:rsidR="00E02DD3">
        <w:tc>
          <w:tcPr>
            <w:tcW w:w="1701" w:type="dxa"/>
            <w:tcBorders>
              <w:top w:val="nil"/>
              <w:bottom w:val="single" w:sz="6" w:space="0" w:color="auto"/>
            </w:tcBorders>
          </w:tcPr>
          <w:p w:rsidR="00E02DD3" w:rsidRDefault="007A3AF0">
            <w:pPr>
              <w:pStyle w:val="TableText"/>
              <w:framePr w:hSpace="181" w:wrap="notBeside" w:vAnchor="text" w:hAnchor="text" w:xAlign="center" w:y="1"/>
              <w:spacing w:before="60" w:after="60"/>
              <w:jc w:val="left"/>
            </w:pPr>
            <w:r>
              <w:t>Bandwidth</w:t>
            </w:r>
          </w:p>
        </w:tc>
        <w:tc>
          <w:tcPr>
            <w:tcW w:w="1418" w:type="dxa"/>
            <w:tcBorders>
              <w:top w:val="nil"/>
              <w:bottom w:val="single" w:sz="6" w:space="0" w:color="auto"/>
            </w:tcBorders>
          </w:tcPr>
          <w:p w:rsidR="00E02DD3" w:rsidRDefault="007A3AF0">
            <w:pPr>
              <w:pStyle w:val="TableText"/>
              <w:framePr w:hSpace="181" w:wrap="notBeside" w:vAnchor="text" w:hAnchor="text" w:xAlign="center" w:y="1"/>
              <w:spacing w:before="60" w:after="60"/>
              <w:jc w:val="center"/>
            </w:pPr>
            <w:r>
              <w:t>1</w:t>
            </w:r>
          </w:p>
        </w:tc>
        <w:tc>
          <w:tcPr>
            <w:tcW w:w="1418" w:type="dxa"/>
            <w:tcBorders>
              <w:top w:val="nil"/>
              <w:bottom w:val="single" w:sz="6" w:space="0" w:color="auto"/>
            </w:tcBorders>
          </w:tcPr>
          <w:p w:rsidR="00E02DD3" w:rsidRDefault="007A3AF0">
            <w:pPr>
              <w:pStyle w:val="TableText"/>
              <w:framePr w:hSpace="181" w:wrap="notBeside" w:vAnchor="text" w:hAnchor="text" w:xAlign="center" w:y="1"/>
              <w:spacing w:before="60" w:after="60"/>
              <w:jc w:val="center"/>
            </w:pPr>
            <w:r>
              <w:t>3</w:t>
            </w:r>
          </w:p>
        </w:tc>
        <w:tc>
          <w:tcPr>
            <w:tcW w:w="1418" w:type="dxa"/>
            <w:tcBorders>
              <w:top w:val="nil"/>
              <w:bottom w:val="single" w:sz="6" w:space="0" w:color="auto"/>
            </w:tcBorders>
          </w:tcPr>
          <w:p w:rsidR="00E02DD3" w:rsidRDefault="007A3AF0">
            <w:pPr>
              <w:pStyle w:val="TableText"/>
              <w:framePr w:hSpace="181" w:wrap="notBeside" w:vAnchor="text" w:hAnchor="text" w:xAlign="center" w:y="1"/>
              <w:spacing w:before="60" w:after="60"/>
              <w:jc w:val="center"/>
            </w:pPr>
            <w:r>
              <w:t>3</w:t>
            </w:r>
          </w:p>
        </w:tc>
        <w:tc>
          <w:tcPr>
            <w:tcW w:w="1418" w:type="dxa"/>
            <w:tcBorders>
              <w:top w:val="nil"/>
              <w:bottom w:val="single" w:sz="6" w:space="0" w:color="auto"/>
            </w:tcBorders>
          </w:tcPr>
          <w:p w:rsidR="00E02DD3" w:rsidRDefault="007A3AF0">
            <w:pPr>
              <w:pStyle w:val="TableText"/>
              <w:framePr w:hSpace="181" w:wrap="notBeside" w:vAnchor="text" w:hAnchor="text" w:xAlign="center" w:y="1"/>
              <w:spacing w:before="60" w:after="60"/>
              <w:jc w:val="center"/>
            </w:pPr>
            <w:r>
              <w:t>2</w:t>
            </w:r>
          </w:p>
        </w:tc>
        <w:tc>
          <w:tcPr>
            <w:tcW w:w="1418" w:type="dxa"/>
            <w:tcBorders>
              <w:top w:val="nil"/>
              <w:bottom w:val="single" w:sz="6" w:space="0" w:color="auto"/>
            </w:tcBorders>
          </w:tcPr>
          <w:p w:rsidR="00E02DD3" w:rsidRDefault="007A3AF0">
            <w:pPr>
              <w:pStyle w:val="TableText"/>
              <w:framePr w:hSpace="181" w:wrap="notBeside" w:vAnchor="text" w:hAnchor="text" w:xAlign="center" w:y="1"/>
              <w:spacing w:before="60" w:after="60"/>
              <w:jc w:val="center"/>
            </w:pPr>
            <w:r>
              <w:t>2</w:t>
            </w:r>
          </w:p>
        </w:tc>
      </w:tr>
      <w:tr w:rsidR="00E02DD3">
        <w:tblPrEx>
          <w:tblBorders>
            <w:left w:val="none" w:sz="0" w:space="0" w:color="auto"/>
            <w:bottom w:val="none" w:sz="0" w:space="0" w:color="auto"/>
            <w:right w:val="none" w:sz="0" w:space="0" w:color="auto"/>
            <w:insideV w:val="none" w:sz="0" w:space="0" w:color="auto"/>
          </w:tblBorders>
        </w:tblPrEx>
        <w:trPr>
          <w:cantSplit/>
        </w:trPr>
        <w:tc>
          <w:tcPr>
            <w:tcW w:w="8791" w:type="dxa"/>
            <w:gridSpan w:val="6"/>
          </w:tcPr>
          <w:p w:rsidR="00E02DD3" w:rsidRDefault="007A3AF0">
            <w:pPr>
              <w:pStyle w:val="TableLegend"/>
              <w:framePr w:hSpace="181" w:wrap="notBeside" w:vAnchor="text" w:hAnchor="text" w:xAlign="center" w:y="1"/>
            </w:pPr>
            <w:r>
              <w:t>Key:  1: poor, 2: acceptable, 3: good.</w:t>
            </w:r>
          </w:p>
          <w:p w:rsidR="00E02DD3" w:rsidRDefault="007A3AF0">
            <w:pPr>
              <w:pStyle w:val="TableLegend"/>
              <w:framePr w:hSpace="181" w:wrap="notBeside" w:vAnchor="text" w:hAnchor="text" w:xAlign="center" w:y="1"/>
            </w:pPr>
            <w:r>
              <w:t>NOTE 1 – The single carrier test assumes that the amplifier is memory-less.</w:t>
            </w:r>
          </w:p>
        </w:tc>
      </w:tr>
    </w:tbl>
    <w:p w:rsidR="00E02DD3" w:rsidRDefault="00E02DD3">
      <w:pPr>
        <w:pStyle w:val="Tablefin"/>
      </w:pPr>
    </w:p>
    <w:p w:rsidR="00E02DD3" w:rsidRDefault="007A3AF0">
      <w:r>
        <w:t>The relative importance of the criteria in Table 1 depends, of course, on the application. For example, in an SCPC MSS application the ability to predict performance for large numbers of carriers is important but the applicability to mixed levels and non-uniform spacing is less important. Also, frequency and bandwidth are less important so long as the MSS band is covered. This suggests that the analogue NPR test may prove to be a good choice for this application.</w:t>
      </w:r>
    </w:p>
    <w:p w:rsidR="00E02DD3" w:rsidRDefault="007A3AF0">
      <w:r>
        <w:t>On the other hand, for an FDMA/FSS application, the ability to handle mixed carrier levels and non-uniform spacing assumes greater importance and the availability of equipment covering the higher FSS bands may be a problem. In this case, the balance shifts in favour of the multicarrier test.</w:t>
      </w:r>
    </w:p>
    <w:p w:rsidR="00E02DD3" w:rsidRDefault="007A3AF0">
      <w:r>
        <w:t>In both cases, if cost, simplicity and time are more important than absolute accuracy and reproducibility, then the single carrier test is still a serious contender.</w:t>
      </w:r>
    </w:p>
    <w:p w:rsidR="00E02DD3" w:rsidRDefault="007A3AF0">
      <w:pPr>
        <w:pStyle w:val="Heading2"/>
      </w:pPr>
      <w:bookmarkStart w:id="49" w:name="_Toc445524180"/>
      <w:bookmarkStart w:id="50" w:name="_Toc445529696"/>
      <w:bookmarkStart w:id="51" w:name="_Toc460747469"/>
      <w:r>
        <w:t>3.3</w:t>
      </w:r>
      <w:r>
        <w:tab/>
        <w:t>Generic measurement methods for inter-transmitter IM measurement</w:t>
      </w:r>
      <w:bookmarkEnd w:id="49"/>
      <w:bookmarkEnd w:id="50"/>
      <w:r>
        <w:t xml:space="preserve"> (Type 3)</w:t>
      </w:r>
      <w:bookmarkEnd w:id="51"/>
    </w:p>
    <w:p w:rsidR="00E02DD3" w:rsidRDefault="007A3AF0">
      <w:r>
        <w:t>These classical, generic approaches are used to measure the 3rd order IM product considered as the most important one.</w:t>
      </w:r>
    </w:p>
    <w:p w:rsidR="00E02DD3" w:rsidRDefault="007A3AF0">
      <w:pPr>
        <w:pStyle w:val="Heading3"/>
      </w:pPr>
      <w:bookmarkStart w:id="52" w:name="_Toc445524181"/>
      <w:bookmarkStart w:id="53" w:name="_Toc445529697"/>
      <w:bookmarkStart w:id="54" w:name="_Toc460747470"/>
      <w:r>
        <w:t>3.3.1</w:t>
      </w:r>
      <w:r>
        <w:tab/>
        <w:t>Principle</w:t>
      </w:r>
      <w:bookmarkEnd w:id="52"/>
      <w:bookmarkEnd w:id="53"/>
      <w:bookmarkEnd w:id="54"/>
    </w:p>
    <w:p w:rsidR="00E02DD3" w:rsidRDefault="007A3AF0">
      <w:r>
        <w:t xml:space="preserve">IM products in the transmitter cause unwanted emissions, which are induced by some interfering signal near the nominal frequency of the transmitter. It is assumed a transmitter with the wanted transmitted signal power </w:t>
      </w:r>
      <w:r>
        <w:rPr>
          <w:i/>
          <w:iCs/>
        </w:rPr>
        <w:t>L</w:t>
      </w:r>
      <w:r>
        <w:rPr>
          <w:i/>
          <w:iCs/>
          <w:position w:val="-4"/>
          <w:sz w:val="16"/>
        </w:rPr>
        <w:t>w</w:t>
      </w:r>
      <w:r>
        <w:t xml:space="preserve"> at the nominal frequency </w:t>
      </w:r>
      <w:r>
        <w:rPr>
          <w:i/>
          <w:iCs/>
        </w:rPr>
        <w:t>f</w:t>
      </w:r>
      <w:r>
        <w:rPr>
          <w:position w:val="-4"/>
          <w:sz w:val="16"/>
        </w:rPr>
        <w:t>0</w:t>
      </w:r>
      <w:r>
        <w:t> </w:t>
      </w:r>
      <w:r>
        <w:rPr>
          <w:rFonts w:ascii="Symbol" w:hAnsi="Symbol"/>
        </w:rPr>
        <w:t></w:t>
      </w:r>
      <w:r>
        <w:t> </w:t>
      </w:r>
      <w:r>
        <w:rPr>
          <w:i/>
          <w:iCs/>
        </w:rPr>
        <w:t>f</w:t>
      </w:r>
      <w:r>
        <w:rPr>
          <w:position w:val="-4"/>
          <w:sz w:val="16"/>
        </w:rPr>
        <w:t>1</w:t>
      </w:r>
      <w:r>
        <w:t xml:space="preserve"> and an incoming signal power </w:t>
      </w:r>
      <w:r>
        <w:rPr>
          <w:i/>
          <w:iCs/>
        </w:rPr>
        <w:t>L</w:t>
      </w:r>
      <w:r>
        <w:rPr>
          <w:position w:val="-4"/>
          <w:sz w:val="16"/>
        </w:rPr>
        <w:t>1</w:t>
      </w:r>
      <w:r>
        <w:t xml:space="preserve"> at frequency </w:t>
      </w:r>
      <w:r>
        <w:rPr>
          <w:i/>
          <w:iCs/>
        </w:rPr>
        <w:t>f</w:t>
      </w:r>
      <w:r>
        <w:rPr>
          <w:position w:val="-4"/>
          <w:sz w:val="16"/>
        </w:rPr>
        <w:t>2</w:t>
      </w:r>
      <w:r>
        <w:t> </w:t>
      </w:r>
      <w:r>
        <w:rPr>
          <w:rFonts w:ascii="Symbol" w:hAnsi="Symbol"/>
        </w:rPr>
        <w:t></w:t>
      </w:r>
      <w:r>
        <w:t> </w:t>
      </w:r>
      <w:r>
        <w:rPr>
          <w:i/>
          <w:iCs/>
        </w:rPr>
        <w:t>f</w:t>
      </w:r>
      <w:r>
        <w:rPr>
          <w:position w:val="-4"/>
          <w:sz w:val="16"/>
        </w:rPr>
        <w:t>0</w:t>
      </w:r>
      <w:r>
        <w:t> </w:t>
      </w:r>
      <w:r>
        <w:rPr>
          <w:rFonts w:ascii="Symbol" w:hAnsi="Symbol"/>
        </w:rPr>
        <w:t></w:t>
      </w:r>
      <w:r>
        <w:t> </w:t>
      </w:r>
      <w:r>
        <w:rPr>
          <w:rFonts w:ascii="Symbol" w:hAnsi="Symbol"/>
        </w:rPr>
        <w:t></w:t>
      </w:r>
      <w:r>
        <w:rPr>
          <w:i/>
          <w:iCs/>
        </w:rPr>
        <w:t>f</w:t>
      </w:r>
      <w:r>
        <w:t xml:space="preserve">. This produces a 3rd IM product </w:t>
      </w:r>
      <w:r>
        <w:rPr>
          <w:i/>
          <w:iCs/>
        </w:rPr>
        <w:t>IM</w:t>
      </w:r>
      <w:r>
        <w:rPr>
          <w:position w:val="-4"/>
          <w:sz w:val="16"/>
        </w:rPr>
        <w:t>3</w:t>
      </w:r>
      <w:r>
        <w:t> </w:t>
      </w:r>
      <w:r>
        <w:rPr>
          <w:rFonts w:ascii="Symbol" w:hAnsi="Symbol"/>
        </w:rPr>
        <w:t></w:t>
      </w:r>
      <w:r>
        <w:t> </w:t>
      </w:r>
      <w:r>
        <w:rPr>
          <w:i/>
          <w:iCs/>
        </w:rPr>
        <w:t>L</w:t>
      </w:r>
      <w:r>
        <w:rPr>
          <w:i/>
          <w:iCs/>
          <w:position w:val="-4"/>
          <w:sz w:val="16"/>
        </w:rPr>
        <w:t>IM</w:t>
      </w:r>
      <w:r>
        <w:t xml:space="preserve"> at frequency </w:t>
      </w:r>
      <w:r>
        <w:rPr>
          <w:i/>
          <w:iCs/>
        </w:rPr>
        <w:t>f</w:t>
      </w:r>
      <w:r>
        <w:rPr>
          <w:i/>
          <w:iCs/>
          <w:position w:val="-4"/>
          <w:sz w:val="16"/>
        </w:rPr>
        <w:t>IM</w:t>
      </w:r>
      <w:r>
        <w:t>:</w:t>
      </w:r>
    </w:p>
    <w:p w:rsidR="00E02DD3" w:rsidRDefault="007A3AF0">
      <w:pPr>
        <w:pStyle w:val="Equation"/>
        <w:jc w:val="center"/>
      </w:pPr>
      <w:r>
        <w:rPr>
          <w:i/>
          <w:iCs/>
        </w:rPr>
        <w:t>f</w:t>
      </w:r>
      <w:r>
        <w:rPr>
          <w:i/>
          <w:iCs/>
          <w:position w:val="-4"/>
          <w:sz w:val="18"/>
        </w:rPr>
        <w:t>IM</w:t>
      </w:r>
      <w:r>
        <w:t> </w:t>
      </w:r>
      <w:r>
        <w:rPr>
          <w:rFonts w:ascii="Symbol" w:hAnsi="Symbol"/>
        </w:rPr>
        <w:t></w:t>
      </w:r>
      <w:r>
        <w:t> </w:t>
      </w:r>
      <w:r>
        <w:rPr>
          <w:rFonts w:ascii="Tms Rmn" w:hAnsi="Tms Rmn"/>
        </w:rPr>
        <w:t>2</w:t>
      </w:r>
      <w:r>
        <w:rPr>
          <w:rFonts w:ascii="Tms Rmn" w:hAnsi="Tms Rmn"/>
          <w:sz w:val="12"/>
        </w:rPr>
        <w:t xml:space="preserve"> </w:t>
      </w:r>
      <w:r>
        <w:rPr>
          <w:rFonts w:ascii="Tms Rmn" w:hAnsi="Tms Rmn"/>
          <w:i/>
          <w:iCs/>
        </w:rPr>
        <w:t>f</w:t>
      </w:r>
      <w:r>
        <w:rPr>
          <w:rFonts w:ascii="Tms Rmn" w:hAnsi="Tms Rmn"/>
          <w:position w:val="-4"/>
          <w:sz w:val="18"/>
        </w:rPr>
        <w:t>0</w:t>
      </w:r>
      <w:r>
        <w:t xml:space="preserve"> – ( </w:t>
      </w:r>
      <w:r>
        <w:rPr>
          <w:i/>
          <w:iCs/>
        </w:rPr>
        <w:t>f</w:t>
      </w:r>
      <w:r>
        <w:rPr>
          <w:position w:val="-4"/>
          <w:sz w:val="18"/>
        </w:rPr>
        <w:t>0</w:t>
      </w:r>
      <w:r>
        <w:t> </w:t>
      </w:r>
      <w:r>
        <w:rPr>
          <w:rFonts w:ascii="Symbol" w:hAnsi="Symbol"/>
        </w:rPr>
        <w:t></w:t>
      </w:r>
      <w:r>
        <w:t> </w:t>
      </w:r>
      <w:r>
        <w:rPr>
          <w:rFonts w:ascii="Symbol" w:hAnsi="Symbol"/>
        </w:rPr>
        <w:t></w:t>
      </w:r>
      <w:r>
        <w:rPr>
          <w:i/>
          <w:iCs/>
        </w:rPr>
        <w:t>f</w:t>
      </w:r>
      <w:r>
        <w:t xml:space="preserve"> ) </w:t>
      </w:r>
      <w:r>
        <w:rPr>
          <w:rFonts w:ascii="Symbol" w:hAnsi="Symbol"/>
        </w:rPr>
        <w:t></w:t>
      </w:r>
      <w:r>
        <w:t xml:space="preserve"> </w:t>
      </w:r>
      <w:r>
        <w:rPr>
          <w:i/>
          <w:iCs/>
        </w:rPr>
        <w:t>f</w:t>
      </w:r>
      <w:r>
        <w:rPr>
          <w:position w:val="-4"/>
          <w:sz w:val="18"/>
        </w:rPr>
        <w:t>0</w:t>
      </w:r>
      <w:r>
        <w:t> </w:t>
      </w:r>
      <w:r>
        <w:rPr>
          <w:rFonts w:ascii="Symbol" w:hAnsi="Symbol"/>
        </w:rPr>
        <w:t></w:t>
      </w:r>
      <w:r>
        <w:t> </w:t>
      </w:r>
      <w:r>
        <w:rPr>
          <w:rFonts w:ascii="Symbol" w:hAnsi="Symbol"/>
        </w:rPr>
        <w:t></w:t>
      </w:r>
      <w:r>
        <w:rPr>
          <w:i/>
          <w:iCs/>
        </w:rPr>
        <w:t>f</w:t>
      </w:r>
    </w:p>
    <w:p w:rsidR="00E02DD3" w:rsidRDefault="007A3AF0">
      <w:r>
        <w:t xml:space="preserve">In order to take account only of the main mechanisms neglecting effects of higher order, the frequency separation of </w:t>
      </w:r>
      <w:r>
        <w:rPr>
          <w:rFonts w:ascii="Symbol" w:hAnsi="Symbol"/>
        </w:rPr>
        <w:t></w:t>
      </w:r>
      <w:r>
        <w:rPr>
          <w:i/>
          <w:iCs/>
        </w:rPr>
        <w:t>f</w:t>
      </w:r>
      <w:r>
        <w:t xml:space="preserve"> should be chosen inside the bandwidth </w:t>
      </w:r>
      <w:r>
        <w:rPr>
          <w:i/>
          <w:iCs/>
        </w:rPr>
        <w:t>B</w:t>
      </w:r>
      <w:r>
        <w:t xml:space="preserve"> of the system so that the IM component </w:t>
      </w:r>
      <w:r>
        <w:rPr>
          <w:i/>
          <w:iCs/>
        </w:rPr>
        <w:t>L</w:t>
      </w:r>
      <w:r>
        <w:rPr>
          <w:i/>
          <w:iCs/>
          <w:position w:val="-4"/>
          <w:sz w:val="16"/>
        </w:rPr>
        <w:t>IM</w:t>
      </w:r>
      <w:r>
        <w:t xml:space="preserve"> is not subjected to additional severe attenuation in the victim receiver. The signal level of the IM component is defined as:</w:t>
      </w:r>
    </w:p>
    <w:p w:rsidR="00E02DD3" w:rsidRDefault="007A3AF0">
      <w:pPr>
        <w:pStyle w:val="Equation"/>
        <w:jc w:val="center"/>
      </w:pPr>
      <w:r>
        <w:rPr>
          <w:i/>
          <w:iCs/>
        </w:rPr>
        <w:t>L</w:t>
      </w:r>
      <w:r>
        <w:rPr>
          <w:i/>
          <w:iCs/>
          <w:position w:val="-4"/>
          <w:sz w:val="18"/>
        </w:rPr>
        <w:t>IM</w:t>
      </w:r>
      <w:r>
        <w:t> </w:t>
      </w:r>
      <w:r>
        <w:rPr>
          <w:rFonts w:ascii="Symbol" w:hAnsi="Symbol"/>
        </w:rPr>
        <w:t></w:t>
      </w:r>
      <w:r>
        <w:t> 2</w:t>
      </w:r>
      <w:r>
        <w:rPr>
          <w:i/>
          <w:iCs/>
        </w:rPr>
        <w:t>L</w:t>
      </w:r>
      <w:r>
        <w:rPr>
          <w:i/>
          <w:iCs/>
          <w:position w:val="-4"/>
          <w:sz w:val="18"/>
        </w:rPr>
        <w:t>w</w:t>
      </w:r>
      <w:r>
        <w:t> </w:t>
      </w:r>
      <w:r>
        <w:rPr>
          <w:rFonts w:ascii="Symbol" w:hAnsi="Symbol"/>
        </w:rPr>
        <w:t></w:t>
      </w:r>
      <w:r>
        <w:t> </w:t>
      </w:r>
      <w:r>
        <w:rPr>
          <w:i/>
          <w:iCs/>
        </w:rPr>
        <w:t>L</w:t>
      </w:r>
      <w:r>
        <w:rPr>
          <w:position w:val="-4"/>
          <w:sz w:val="18"/>
        </w:rPr>
        <w:t>1</w:t>
      </w:r>
      <w:r>
        <w:t> </w:t>
      </w:r>
      <w:r>
        <w:rPr>
          <w:rFonts w:ascii="Symbol" w:hAnsi="Symbol"/>
        </w:rPr>
        <w:t></w:t>
      </w:r>
      <w:r>
        <w:t> 20 log </w:t>
      </w:r>
      <w:r>
        <w:rPr>
          <w:i/>
          <w:iCs/>
        </w:rPr>
        <w:t>k</w:t>
      </w:r>
    </w:p>
    <w:p w:rsidR="00E02DD3" w:rsidRDefault="007A3AF0">
      <w:pPr>
        <w:rPr>
          <w:sz w:val="18"/>
        </w:rPr>
      </w:pPr>
      <w:r>
        <w:t xml:space="preserve">where </w:t>
      </w:r>
      <w:r>
        <w:rPr>
          <w:i/>
          <w:iCs/>
        </w:rPr>
        <w:t>k</w:t>
      </w:r>
      <w:r>
        <w:t xml:space="preserve"> is an arbitrary constant and introduced only for deriving the IM product from the measurement. In Fig. 9 the IM attenuation </w:t>
      </w:r>
      <w:r>
        <w:rPr>
          <w:i/>
          <w:iCs/>
        </w:rPr>
        <w:t>L</w:t>
      </w:r>
      <w:r>
        <w:rPr>
          <w:i/>
          <w:iCs/>
          <w:position w:val="-4"/>
          <w:sz w:val="16"/>
        </w:rPr>
        <w:t>IA</w:t>
      </w:r>
      <w:r>
        <w:t xml:space="preserve"> is defined as the attenuation of the IM product </w:t>
      </w:r>
      <w:r>
        <w:rPr>
          <w:i/>
          <w:iCs/>
        </w:rPr>
        <w:t>L</w:t>
      </w:r>
      <w:r>
        <w:rPr>
          <w:i/>
          <w:iCs/>
          <w:position w:val="-4"/>
          <w:sz w:val="16"/>
        </w:rPr>
        <w:t>IM</w:t>
      </w:r>
      <w:r>
        <w:t xml:space="preserve"> relative to the wanted signal level </w:t>
      </w:r>
      <w:r>
        <w:rPr>
          <w:i/>
          <w:iCs/>
        </w:rPr>
        <w:t>L</w:t>
      </w:r>
      <w:r>
        <w:rPr>
          <w:i/>
          <w:iCs/>
          <w:position w:val="-4"/>
          <w:sz w:val="16"/>
        </w:rPr>
        <w:t>w</w:t>
      </w:r>
      <w:r>
        <w:t xml:space="preserve"> for an interferer 30 dB below </w:t>
      </w:r>
      <w:r>
        <w:rPr>
          <w:i/>
          <w:iCs/>
        </w:rPr>
        <w:t>L</w:t>
      </w:r>
      <w:r>
        <w:rPr>
          <w:i/>
          <w:iCs/>
          <w:position w:val="-4"/>
          <w:sz w:val="16"/>
        </w:rPr>
        <w:t>w</w:t>
      </w:r>
      <w:r>
        <w:rPr>
          <w:sz w:val="18"/>
        </w:rPr>
        <w:t>.</w:t>
      </w:r>
    </w:p>
    <w:p w:rsidR="00E02DD3" w:rsidRDefault="00D7041B">
      <w:pPr>
        <w:pStyle w:val="Figure0"/>
      </w:pPr>
      <w:r>
        <w:rPr>
          <w:noProof/>
          <w:lang w:eastAsia="en-GB"/>
        </w:rPr>
        <w:drawing>
          <wp:inline distT="0" distB="0" distL="0" distR="0">
            <wp:extent cx="3048000" cy="3055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055620"/>
                    </a:xfrm>
                    <a:prstGeom prst="rect">
                      <a:avLst/>
                    </a:prstGeom>
                    <a:noFill/>
                    <a:ln>
                      <a:noFill/>
                    </a:ln>
                  </pic:spPr>
                </pic:pic>
              </a:graphicData>
            </a:graphic>
          </wp:inline>
        </w:drawing>
      </w:r>
    </w:p>
    <w:p w:rsidR="00E02DD3" w:rsidRDefault="007A3AF0">
      <w:pPr>
        <w:pStyle w:val="Fig0"/>
        <w:rPr>
          <w:lang w:val="en-GB"/>
        </w:rPr>
      </w:pPr>
      <w:r>
        <w:rPr>
          <w:lang w:val="en-GB"/>
        </w:rPr>
        <w:t xml:space="preserve">FIGURE 9/SM.1446 [1446-09] = 8 CM </w:t>
      </w:r>
    </w:p>
    <w:p w:rsidR="00E02DD3" w:rsidRDefault="007A3AF0">
      <w:r>
        <w:t>Introducing the relations of Fig. 9 into equation (10), 20 log </w:t>
      </w:r>
      <w:r>
        <w:rPr>
          <w:i/>
          <w:iCs/>
        </w:rPr>
        <w:t>k</w:t>
      </w:r>
      <w:r>
        <w:t xml:space="preserve"> can be determined by 20 log </w:t>
      </w:r>
      <w:r>
        <w:rPr>
          <w:i/>
          <w:iCs/>
        </w:rPr>
        <w:t>k</w:t>
      </w:r>
      <w:r>
        <w:t> </w:t>
      </w:r>
      <w:r>
        <w:rPr>
          <w:rFonts w:ascii="Symbol" w:hAnsi="Symbol"/>
        </w:rPr>
        <w:t></w:t>
      </w:r>
      <w:r>
        <w:t> 30 </w:t>
      </w:r>
      <w:r>
        <w:rPr>
          <w:rFonts w:ascii="Symbol" w:hAnsi="Symbol"/>
        </w:rPr>
        <w:noBreakHyphen/>
      </w:r>
      <w:r>
        <w:t> 2</w:t>
      </w:r>
      <w:r>
        <w:rPr>
          <w:i/>
          <w:iCs/>
        </w:rPr>
        <w:t>L</w:t>
      </w:r>
      <w:r>
        <w:rPr>
          <w:i/>
          <w:iCs/>
          <w:position w:val="-4"/>
          <w:sz w:val="16"/>
        </w:rPr>
        <w:t>w</w:t>
      </w:r>
      <w:r>
        <w:t> – </w:t>
      </w:r>
      <w:r>
        <w:rPr>
          <w:i/>
          <w:iCs/>
        </w:rPr>
        <w:t>L</w:t>
      </w:r>
      <w:r>
        <w:rPr>
          <w:i/>
          <w:iCs/>
          <w:position w:val="-4"/>
          <w:sz w:val="16"/>
        </w:rPr>
        <w:t>IA</w:t>
      </w:r>
      <w:r>
        <w:t xml:space="preserve"> and the IM product </w:t>
      </w:r>
      <w:r>
        <w:rPr>
          <w:i/>
          <w:iCs/>
        </w:rPr>
        <w:t>L</w:t>
      </w:r>
      <w:r>
        <w:rPr>
          <w:i/>
          <w:iCs/>
          <w:position w:val="-4"/>
          <w:sz w:val="16"/>
        </w:rPr>
        <w:t>IM</w:t>
      </w:r>
      <w:r>
        <w:t xml:space="preserve"> becomes:</w:t>
      </w:r>
    </w:p>
    <w:p w:rsidR="00E02DD3" w:rsidRDefault="007A3AF0">
      <w:pPr>
        <w:pStyle w:val="Equation"/>
        <w:jc w:val="center"/>
      </w:pPr>
      <w:bookmarkStart w:id="55" w:name="_Toc445524182"/>
      <w:bookmarkStart w:id="56" w:name="_Toc445529698"/>
      <w:bookmarkStart w:id="57" w:name="_Toc460747471"/>
      <w:r>
        <w:rPr>
          <w:i/>
          <w:iCs/>
        </w:rPr>
        <w:t>IM</w:t>
      </w:r>
      <w:r>
        <w:rPr>
          <w:position w:val="-4"/>
          <w:sz w:val="18"/>
        </w:rPr>
        <w:t>3</w:t>
      </w:r>
      <w:r>
        <w:t> </w:t>
      </w:r>
      <w:r>
        <w:rPr>
          <w:rFonts w:ascii="Symbol" w:hAnsi="Symbol"/>
        </w:rPr>
        <w:t></w:t>
      </w:r>
      <w:r>
        <w:t> </w:t>
      </w:r>
      <w:r>
        <w:rPr>
          <w:i/>
          <w:iCs/>
        </w:rPr>
        <w:t>L</w:t>
      </w:r>
      <w:r>
        <w:rPr>
          <w:i/>
          <w:iCs/>
          <w:position w:val="-4"/>
          <w:sz w:val="18"/>
        </w:rPr>
        <w:t>IM</w:t>
      </w:r>
      <w:r>
        <w:t> = </w:t>
      </w:r>
      <w:r>
        <w:rPr>
          <w:i/>
          <w:iCs/>
        </w:rPr>
        <w:t>L</w:t>
      </w:r>
      <w:r>
        <w:rPr>
          <w:position w:val="-4"/>
          <w:sz w:val="18"/>
        </w:rPr>
        <w:t>1</w:t>
      </w:r>
      <w:r>
        <w:t> – </w:t>
      </w:r>
      <w:r>
        <w:rPr>
          <w:i/>
          <w:iCs/>
        </w:rPr>
        <w:t>L</w:t>
      </w:r>
      <w:r>
        <w:rPr>
          <w:i/>
          <w:iCs/>
          <w:position w:val="-4"/>
          <w:sz w:val="18"/>
        </w:rPr>
        <w:t>IA</w:t>
      </w:r>
      <w:r>
        <w:t> </w:t>
      </w:r>
      <w:r>
        <w:rPr>
          <w:rFonts w:ascii="Symbol" w:hAnsi="Symbol"/>
        </w:rPr>
        <w:t></w:t>
      </w:r>
      <w:r>
        <w:t> 30         dB</w:t>
      </w:r>
    </w:p>
    <w:p w:rsidR="00E02DD3" w:rsidRDefault="007A3AF0">
      <w:pPr>
        <w:pStyle w:val="Heading3"/>
      </w:pPr>
      <w:r>
        <w:t>3.3.2</w:t>
      </w:r>
      <w:r>
        <w:tab/>
        <w:t>Measurement set-up</w:t>
      </w:r>
      <w:bookmarkEnd w:id="55"/>
      <w:bookmarkEnd w:id="56"/>
      <w:bookmarkEnd w:id="57"/>
    </w:p>
    <w:p w:rsidR="00E02DD3" w:rsidRDefault="007A3AF0">
      <w:pPr>
        <w:pStyle w:val="enumlev1"/>
        <w:tabs>
          <w:tab w:val="left" w:pos="794"/>
        </w:tabs>
        <w:ind w:left="0" w:firstLine="0"/>
      </w:pPr>
      <w:r>
        <w:rPr>
          <w:i/>
          <w:iCs/>
        </w:rPr>
        <w:t>Step 1</w:t>
      </w:r>
      <w:r>
        <w:t>:</w:t>
      </w:r>
      <w:r>
        <w:tab/>
        <w:t>Connect the equipment as illustrated in Fig. 10. In order to reduce the influence of mismatch errors it is important that the 10 dB power attenuator is coupled to the transmitter under test with the shortest possible connection. The interfering test signal source is an unmodulated RF carrier providing the same power output as the transmitter under test. The transmitter under test and the interfering test signal source shall be physically separated in such a way that the measurement is not influenced by direct radiation.</w:t>
      </w:r>
    </w:p>
    <w:p w:rsidR="00E02DD3" w:rsidRDefault="00D7041B">
      <w:pPr>
        <w:pStyle w:val="Figure0"/>
      </w:pPr>
      <w:r>
        <w:rPr>
          <w:noProof/>
          <w:lang w:eastAsia="en-GB"/>
        </w:rPr>
        <w:drawing>
          <wp:inline distT="0" distB="0" distL="0" distR="0">
            <wp:extent cx="4404360" cy="3253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360" cy="3253740"/>
                    </a:xfrm>
                    <a:prstGeom prst="rect">
                      <a:avLst/>
                    </a:prstGeom>
                    <a:noFill/>
                    <a:ln>
                      <a:noFill/>
                    </a:ln>
                  </pic:spPr>
                </pic:pic>
              </a:graphicData>
            </a:graphic>
          </wp:inline>
        </w:drawing>
      </w:r>
    </w:p>
    <w:p w:rsidR="00E02DD3" w:rsidRDefault="007A3AF0">
      <w:pPr>
        <w:pStyle w:val="Fig0"/>
        <w:spacing w:before="0"/>
        <w:rPr>
          <w:lang w:val="en-GB"/>
        </w:rPr>
      </w:pPr>
      <w:r>
        <w:rPr>
          <w:lang w:val="en-GB"/>
        </w:rPr>
        <w:t xml:space="preserve">FIGURE 10/SM.1446 [1446-10] = 9 CM </w:t>
      </w:r>
    </w:p>
    <w:p w:rsidR="00E02DD3" w:rsidRDefault="007A3AF0">
      <w:pPr>
        <w:pStyle w:val="enumlev1"/>
        <w:tabs>
          <w:tab w:val="left" w:pos="794"/>
        </w:tabs>
      </w:pPr>
      <w:r>
        <w:rPr>
          <w:i/>
          <w:iCs/>
        </w:rPr>
        <w:t>Step 2</w:t>
      </w:r>
      <w:r>
        <w:t>:</w:t>
      </w:r>
      <w:r>
        <w:tab/>
        <w:t>Adjust the spectrum analyser to give a maximum indication with a frequency scan width of 500 kHz.</w:t>
      </w:r>
    </w:p>
    <w:p w:rsidR="00E02DD3" w:rsidRDefault="007A3AF0">
      <w:pPr>
        <w:pStyle w:val="enumlev1"/>
        <w:tabs>
          <w:tab w:val="left" w:pos="794"/>
        </w:tabs>
        <w:ind w:left="0" w:firstLine="0"/>
      </w:pPr>
      <w:r>
        <w:rPr>
          <w:i/>
          <w:iCs/>
        </w:rPr>
        <w:br w:type="page"/>
        <w:t>Step 3</w:t>
      </w:r>
      <w:r>
        <w:t>:</w:t>
      </w:r>
      <w:r>
        <w:tab/>
        <w:t>Set the frequency of the interfering test signal source to within 50 kHz to 100 kHz above the frequency of the transmitter under test. The frequency shall be chosen in such a way that the IM components to be measured do not coincide with other spurious components.</w:t>
      </w:r>
    </w:p>
    <w:p w:rsidR="00E02DD3" w:rsidRDefault="007A3AF0">
      <w:pPr>
        <w:pStyle w:val="enumlev1"/>
        <w:tabs>
          <w:tab w:val="left" w:pos="794"/>
        </w:tabs>
      </w:pPr>
      <w:r>
        <w:rPr>
          <w:i/>
          <w:iCs/>
        </w:rPr>
        <w:t>Step 4</w:t>
      </w:r>
      <w:r>
        <w:t>:</w:t>
      </w:r>
      <w:r>
        <w:tab/>
        <w:t xml:space="preserve">Record (dBm) the largest 3rd order IM component from the spectrum analyser as </w:t>
      </w:r>
      <w:r>
        <w:rPr>
          <w:i/>
          <w:iCs/>
        </w:rPr>
        <w:t>IM</w:t>
      </w:r>
      <w:r>
        <w:rPr>
          <w:position w:val="-4"/>
          <w:sz w:val="16"/>
        </w:rPr>
        <w:t>3</w:t>
      </w:r>
      <w:r>
        <w:t>.</w:t>
      </w:r>
    </w:p>
    <w:p w:rsidR="00E02DD3" w:rsidRDefault="007A3AF0">
      <w:pPr>
        <w:pStyle w:val="enumlev1"/>
        <w:tabs>
          <w:tab w:val="left" w:pos="794"/>
        </w:tabs>
      </w:pPr>
      <w:r>
        <w:rPr>
          <w:i/>
          <w:iCs/>
        </w:rPr>
        <w:t>Step 5</w:t>
      </w:r>
      <w:r>
        <w:t>:</w:t>
      </w:r>
      <w:r>
        <w:tab/>
        <w:t xml:space="preserve">Record (dBm) the transmitter under test RF output power level from the spectrum analyser as </w:t>
      </w:r>
      <w:r>
        <w:rPr>
          <w:i/>
          <w:iCs/>
        </w:rPr>
        <w:t>P</w:t>
      </w:r>
      <w:r>
        <w:rPr>
          <w:position w:val="-4"/>
          <w:sz w:val="16"/>
        </w:rPr>
        <w:t>1</w:t>
      </w:r>
      <w:r>
        <w:t>.</w:t>
      </w:r>
    </w:p>
    <w:p w:rsidR="00E02DD3" w:rsidRDefault="007A3AF0">
      <w:pPr>
        <w:pStyle w:val="enumlev1"/>
        <w:tabs>
          <w:tab w:val="left" w:pos="794"/>
        </w:tabs>
      </w:pPr>
      <w:r>
        <w:rPr>
          <w:i/>
          <w:iCs/>
        </w:rPr>
        <w:t>Step 6</w:t>
      </w:r>
      <w:r>
        <w:t>:</w:t>
      </w:r>
      <w:r>
        <w:tab/>
        <w:t>Calculate the IM ratio as:</w:t>
      </w:r>
    </w:p>
    <w:p w:rsidR="00E02DD3" w:rsidRDefault="007A3AF0">
      <w:pPr>
        <w:pStyle w:val="enumlev1"/>
        <w:tabs>
          <w:tab w:val="left" w:pos="794"/>
        </w:tabs>
      </w:pPr>
      <w:r>
        <w:tab/>
      </w:r>
      <w:r>
        <w:tab/>
        <w:t>IM Attenuation (referred to point A)</w:t>
      </w:r>
    </w:p>
    <w:p w:rsidR="00E02DD3" w:rsidRDefault="007A3AF0">
      <w:pPr>
        <w:pStyle w:val="Equation"/>
        <w:jc w:val="center"/>
      </w:pPr>
      <w:r>
        <w:rPr>
          <w:i/>
          <w:iCs/>
        </w:rPr>
        <w:t>A</w:t>
      </w:r>
      <w:r>
        <w:rPr>
          <w:i/>
          <w:iCs/>
          <w:position w:val="-4"/>
          <w:sz w:val="18"/>
        </w:rPr>
        <w:t>IM</w:t>
      </w:r>
      <w:r>
        <w:t> </w:t>
      </w:r>
      <w:r>
        <w:rPr>
          <w:rFonts w:ascii="Symbol" w:hAnsi="Symbol"/>
        </w:rPr>
        <w:t></w:t>
      </w:r>
      <w:r>
        <w:t> </w:t>
      </w:r>
      <w:r>
        <w:rPr>
          <w:i/>
          <w:iCs/>
        </w:rPr>
        <w:t>P</w:t>
      </w:r>
      <w:r>
        <w:rPr>
          <w:position w:val="-4"/>
          <w:sz w:val="18"/>
        </w:rPr>
        <w:t>1</w:t>
      </w:r>
      <w:r>
        <w:t> – </w:t>
      </w:r>
      <w:r>
        <w:rPr>
          <w:i/>
          <w:iCs/>
        </w:rPr>
        <w:t>IM</w:t>
      </w:r>
      <w:r>
        <w:rPr>
          <w:position w:val="-4"/>
          <w:sz w:val="18"/>
        </w:rPr>
        <w:t>3</w:t>
      </w:r>
    </w:p>
    <w:p w:rsidR="00E02DD3" w:rsidRDefault="007A3AF0">
      <w:pPr>
        <w:pStyle w:val="enumlev1"/>
        <w:tabs>
          <w:tab w:val="left" w:pos="794"/>
        </w:tabs>
        <w:ind w:left="0" w:firstLine="0"/>
      </w:pPr>
      <w:r>
        <w:rPr>
          <w:i/>
          <w:iCs/>
        </w:rPr>
        <w:t>Step 7</w:t>
      </w:r>
      <w:r>
        <w:t>:</w:t>
      </w:r>
      <w:r>
        <w:tab/>
        <w:t>Set the frequency of the interfering test signal source to within 50 kHz to 100 kHz below the frequency of the transmitter under test. The frequency shall be chosen in such a way that the IM components to be measured do not coincide with other spurious components.</w:t>
      </w:r>
    </w:p>
    <w:p w:rsidR="00E02DD3" w:rsidRDefault="007A3AF0">
      <w:pPr>
        <w:pStyle w:val="enumlev1"/>
        <w:tabs>
          <w:tab w:val="left" w:pos="794"/>
        </w:tabs>
      </w:pPr>
      <w:r>
        <w:rPr>
          <w:i/>
          <w:iCs/>
        </w:rPr>
        <w:t>Step 8</w:t>
      </w:r>
      <w:r>
        <w:t>:</w:t>
      </w:r>
      <w:r>
        <w:tab/>
        <w:t>Repeat steps 4 through 6.</w:t>
      </w:r>
    </w:p>
    <w:p w:rsidR="00E02DD3" w:rsidRDefault="007A3AF0">
      <w:pPr>
        <w:pStyle w:val="enumlev1"/>
        <w:tabs>
          <w:tab w:val="left" w:pos="794"/>
        </w:tabs>
      </w:pPr>
      <w:r>
        <w:rPr>
          <w:i/>
          <w:iCs/>
        </w:rPr>
        <w:t>Step 9</w:t>
      </w:r>
      <w:r>
        <w:t>:</w:t>
      </w:r>
      <w:r>
        <w:tab/>
        <w:t>The lower of the two readings obtained in steps 6 and 8 is the IM attenuation.</w:t>
      </w:r>
    </w:p>
    <w:p w:rsidR="00E02DD3" w:rsidRDefault="007A3AF0">
      <w:pPr>
        <w:pStyle w:val="Note"/>
      </w:pPr>
      <w:r>
        <w:t xml:space="preserve">NOTE 1 – Variations in the attenuator characteristics may be required for transmit power levels </w:t>
      </w:r>
      <w:r>
        <w:rPr>
          <w:rFonts w:ascii="Symbol" w:hAnsi="Symbol"/>
        </w:rPr>
        <w:t></w:t>
      </w:r>
      <w:r>
        <w:t> 25 W.</w:t>
      </w:r>
    </w:p>
    <w:p w:rsidR="00E02DD3" w:rsidRDefault="00E02DD3"/>
    <w:p w:rsidR="00E02DD3" w:rsidRDefault="007A3AF0">
      <w:pPr>
        <w:pStyle w:val="Appendix"/>
      </w:pPr>
      <w:r>
        <w:t>APPENDIX  1</w:t>
      </w:r>
      <w:r>
        <w:br/>
      </w:r>
      <w:r>
        <w:br/>
        <w:t>TO  ANNEX  1</w:t>
      </w:r>
    </w:p>
    <w:p w:rsidR="00E02DD3" w:rsidRDefault="007A3AF0">
      <w:pPr>
        <w:pStyle w:val="AppendixTitle"/>
      </w:pPr>
      <w:bookmarkStart w:id="58" w:name="_Toc445524189"/>
      <w:bookmarkStart w:id="59" w:name="_Toc445529705"/>
      <w:bookmarkStart w:id="60" w:name="_Toc460747472"/>
      <w:r>
        <w:t>Examples of IM performance</w:t>
      </w:r>
      <w:bookmarkEnd w:id="58"/>
      <w:bookmarkEnd w:id="59"/>
      <w:bookmarkEnd w:id="60"/>
    </w:p>
    <w:p w:rsidR="00E02DD3" w:rsidRDefault="007A3AF0">
      <w:pPr>
        <w:pStyle w:val="Normalaftertitle"/>
      </w:pPr>
      <w:r>
        <w:t>In general, the IM performance depends on a huge variety of different factors, e.g. like modulation and access schemes, hardware components and cost for equipment. The following examples are aimed only to illustrate which ranges of IM suppressions are achievable in real systems. They are not intended to define any limits for IM products.</w:t>
      </w:r>
    </w:p>
    <w:p w:rsidR="00E02DD3" w:rsidRDefault="007A3AF0">
      <w:pPr>
        <w:pStyle w:val="Heading1"/>
      </w:pPr>
      <w:bookmarkStart w:id="61" w:name="_Toc445524190"/>
      <w:bookmarkStart w:id="62" w:name="_Toc445529706"/>
      <w:bookmarkStart w:id="63" w:name="_Toc460747473"/>
      <w:r>
        <w:t>1</w:t>
      </w:r>
      <w:r>
        <w:tab/>
        <w:t>Fixed service</w:t>
      </w:r>
      <w:bookmarkEnd w:id="61"/>
      <w:bookmarkEnd w:id="62"/>
      <w:bookmarkEnd w:id="63"/>
    </w:p>
    <w:p w:rsidR="00E02DD3" w:rsidRDefault="007A3AF0">
      <w:r>
        <w:t>IM limits in current European standards for microwave radio-relay links are listed only for information (see Fig. 11). They only make reference to the inter-transmitter IM problem (Type 3), i.e. there are no specific values available for IM attenuation in European standards.</w:t>
      </w:r>
    </w:p>
    <w:p w:rsidR="00E02DD3" w:rsidRDefault="00D7041B">
      <w:pPr>
        <w:pStyle w:val="Figure0"/>
      </w:pPr>
      <w:r>
        <w:rPr>
          <w:noProof/>
          <w:lang w:eastAsia="en-GB"/>
        </w:rPr>
        <w:drawing>
          <wp:inline distT="0" distB="0" distL="0" distR="0">
            <wp:extent cx="591312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3120" cy="2011680"/>
                    </a:xfrm>
                    <a:prstGeom prst="rect">
                      <a:avLst/>
                    </a:prstGeom>
                    <a:noFill/>
                    <a:ln>
                      <a:noFill/>
                    </a:ln>
                  </pic:spPr>
                </pic:pic>
              </a:graphicData>
            </a:graphic>
          </wp:inline>
        </w:drawing>
      </w:r>
    </w:p>
    <w:p w:rsidR="00E02DD3" w:rsidRDefault="007A3AF0">
      <w:pPr>
        <w:pStyle w:val="Fig0"/>
        <w:rPr>
          <w:lang w:val="en-GB"/>
        </w:rPr>
      </w:pPr>
      <w:r>
        <w:rPr>
          <w:lang w:val="en-GB"/>
        </w:rPr>
        <w:t xml:space="preserve">FIGURE 11/SM.1446 [1446-11] = 5 CM </w:t>
      </w:r>
    </w:p>
    <w:p w:rsidR="00E02DD3" w:rsidRDefault="007A3AF0">
      <w:r>
        <w:t>Conformance to the fixed link IM limit is to be declared by the equipment manufacturer during installation. The maximum permitted IM level is quoted referenced to point B in the receive chain. All fixed link installations are to meet the given criteria when wanted power levels at point C equal 28 dBm.</w:t>
      </w:r>
    </w:p>
    <w:p w:rsidR="00E02DD3" w:rsidRDefault="007A3AF0">
      <w:pPr>
        <w:pStyle w:val="Heading1"/>
      </w:pPr>
      <w:bookmarkStart w:id="64" w:name="_Toc445524191"/>
      <w:bookmarkStart w:id="65" w:name="_Toc445529707"/>
      <w:bookmarkStart w:id="66" w:name="_Toc460747474"/>
      <w:r>
        <w:br w:type="page"/>
        <w:t>2</w:t>
      </w:r>
      <w:r>
        <w:tab/>
        <w:t>Mobile service</w:t>
      </w:r>
      <w:bookmarkEnd w:id="64"/>
      <w:bookmarkEnd w:id="65"/>
      <w:bookmarkEnd w:id="66"/>
    </w:p>
    <w:p w:rsidR="00E02DD3" w:rsidRDefault="007A3AF0">
      <w:r>
        <w:t>Many mobile standards do not contain any specific values for IM attenuation. The values for IM emissions are included in the limits for spurious emissions. Some examples of available IM attenuation are listed in Table 2. The values required range from 40-70 dB. The interfering signal is usually assumed as CW with power 30-50 dB below the wanted signal.</w:t>
      </w:r>
    </w:p>
    <w:p w:rsidR="00E02DD3" w:rsidRDefault="00D7041B">
      <w:pPr>
        <w:pStyle w:val="Table"/>
      </w:pPr>
      <w:r>
        <w:rPr>
          <w:noProof/>
          <w:lang w:eastAsia="en-GB"/>
        </w:rPr>
        <mc:AlternateContent>
          <mc:Choice Requires="wps">
            <w:drawing>
              <wp:anchor distT="0" distB="0" distL="114300" distR="114300" simplePos="0" relativeHeight="251656704" behindDoc="0" locked="0" layoutInCell="0" allowOverlap="1">
                <wp:simplePos x="0" y="0"/>
                <wp:positionH relativeFrom="column">
                  <wp:posOffset>5412105</wp:posOffset>
                </wp:positionH>
                <wp:positionV relativeFrom="paragraph">
                  <wp:posOffset>165735</wp:posOffset>
                </wp:positionV>
                <wp:extent cx="631825" cy="271145"/>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2DD3" w:rsidRDefault="00E02D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26.15pt;margin-top:13.05pt;width:49.75pt;height:2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" o:allowincell="f" filled="f" stroked="f" strokeweight="0">
                <v:textbox inset="0,0,0,0">
                  <w:txbxContent>
                    <w:p w:rsidR="00E02DD3" w:rsidRDefault="00E02DD3"/>
                  </w:txbxContent>
                </v:textbox>
              </v:rect>
            </w:pict>
          </mc:Fallback>
        </mc:AlternateContent>
      </w:r>
      <w:r w:rsidR="007A3AF0">
        <w:t>TABLE  2</w:t>
      </w:r>
    </w:p>
    <w:p w:rsidR="00E02DD3" w:rsidRDefault="007A3AF0">
      <w:pPr>
        <w:pStyle w:val="TableTitle"/>
      </w:pPr>
      <w:r>
        <w:t>Examples of IM attenuation in mobile radio</w:t>
      </w:r>
    </w:p>
    <w:p w:rsidR="00E02DD3" w:rsidRDefault="00E02DD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E02DD3">
        <w:tc>
          <w:tcPr>
            <w:tcW w:w="4253" w:type="dxa"/>
          </w:tcPr>
          <w:p w:rsidR="00E02DD3" w:rsidRDefault="007A3AF0">
            <w:pPr>
              <w:pStyle w:val="TableText"/>
              <w:framePr w:hSpace="181" w:wrap="notBeside" w:vAnchor="text" w:hAnchor="text" w:xAlign="center" w:y="1"/>
              <w:jc w:val="center"/>
            </w:pPr>
            <w:r>
              <w:t>Service</w:t>
            </w:r>
          </w:p>
        </w:tc>
        <w:tc>
          <w:tcPr>
            <w:tcW w:w="4253" w:type="dxa"/>
          </w:tcPr>
          <w:p w:rsidR="00E02DD3" w:rsidRDefault="007A3AF0">
            <w:pPr>
              <w:pStyle w:val="TableText"/>
              <w:framePr w:hSpace="181" w:wrap="notBeside" w:vAnchor="text" w:hAnchor="text" w:xAlign="center" w:y="1"/>
              <w:jc w:val="center"/>
            </w:pPr>
            <w:r>
              <w:t>IM attenuation</w:t>
            </w:r>
          </w:p>
        </w:tc>
      </w:tr>
      <w:tr w:rsidR="00E02DD3">
        <w:tc>
          <w:tcPr>
            <w:tcW w:w="4253" w:type="dxa"/>
          </w:tcPr>
          <w:p w:rsidR="00E02DD3" w:rsidRDefault="007A3AF0">
            <w:pPr>
              <w:pStyle w:val="TableText"/>
              <w:framePr w:hSpace="181" w:wrap="notBeside" w:vAnchor="text" w:hAnchor="text" w:xAlign="center" w:y="1"/>
              <w:spacing w:after="60"/>
            </w:pPr>
            <w:r>
              <w:t>GSM900</w:t>
            </w:r>
          </w:p>
          <w:p w:rsidR="00E02DD3" w:rsidRDefault="007A3AF0">
            <w:pPr>
              <w:pStyle w:val="TableText"/>
              <w:framePr w:hSpace="181" w:wrap="notBeside" w:vAnchor="text" w:hAnchor="text" w:xAlign="center" w:y="1"/>
              <w:spacing w:before="0"/>
              <w:ind w:left="284"/>
            </w:pPr>
            <w:r>
              <w:t>Base transceiver station and mobile private branch exchange (PBX)</w:t>
            </w:r>
          </w:p>
        </w:tc>
        <w:tc>
          <w:tcPr>
            <w:tcW w:w="4253" w:type="dxa"/>
          </w:tcPr>
          <w:p w:rsidR="00E02DD3" w:rsidRDefault="00E02DD3">
            <w:pPr>
              <w:pStyle w:val="TableText"/>
              <w:framePr w:hSpace="181" w:wrap="notBeside" w:vAnchor="text" w:hAnchor="text" w:xAlign="center" w:y="1"/>
              <w:spacing w:after="60"/>
              <w:jc w:val="center"/>
            </w:pPr>
          </w:p>
          <w:p w:rsidR="00E02DD3" w:rsidRDefault="007A3AF0">
            <w:pPr>
              <w:pStyle w:val="TableText"/>
              <w:framePr w:hSpace="181" w:wrap="notBeside" w:vAnchor="text" w:hAnchor="text" w:xAlign="center" w:y="1"/>
              <w:spacing w:before="0"/>
              <w:jc w:val="center"/>
            </w:pPr>
            <w:r>
              <w:rPr>
                <w:rFonts w:ascii="Symbol" w:hAnsi="Symbol"/>
              </w:rPr>
              <w:br/>
            </w:r>
            <w:r>
              <w:rPr>
                <w:rFonts w:ascii="Symbol" w:hAnsi="Symbol"/>
              </w:rPr>
              <w:t></w:t>
            </w:r>
            <w:r>
              <w:t xml:space="preserve"> 70 dB</w:t>
            </w:r>
          </w:p>
        </w:tc>
      </w:tr>
      <w:tr w:rsidR="00E02DD3">
        <w:tc>
          <w:tcPr>
            <w:tcW w:w="4253" w:type="dxa"/>
          </w:tcPr>
          <w:p w:rsidR="00E02DD3" w:rsidRDefault="007A3AF0">
            <w:pPr>
              <w:pStyle w:val="TableText"/>
              <w:framePr w:hSpace="181" w:wrap="notBeside" w:vAnchor="text" w:hAnchor="text" w:xAlign="center" w:y="1"/>
              <w:spacing w:after="60"/>
            </w:pPr>
            <w:r>
              <w:t>GSM1800</w:t>
            </w:r>
          </w:p>
          <w:p w:rsidR="00E02DD3" w:rsidRDefault="007A3AF0">
            <w:pPr>
              <w:pStyle w:val="TableText"/>
              <w:framePr w:hSpace="181" w:wrap="notBeside" w:vAnchor="text" w:hAnchor="text" w:xAlign="center" w:y="1"/>
              <w:spacing w:before="0"/>
              <w:ind w:left="284"/>
            </w:pPr>
            <w:r>
              <w:t>Between mobile stations</w:t>
            </w:r>
          </w:p>
        </w:tc>
        <w:tc>
          <w:tcPr>
            <w:tcW w:w="4253" w:type="dxa"/>
          </w:tcPr>
          <w:p w:rsidR="00E02DD3" w:rsidRDefault="00E02DD3">
            <w:pPr>
              <w:pStyle w:val="TableText"/>
              <w:framePr w:hSpace="181" w:wrap="notBeside" w:vAnchor="text" w:hAnchor="text" w:xAlign="center" w:y="1"/>
              <w:spacing w:after="60"/>
              <w:jc w:val="center"/>
            </w:pPr>
          </w:p>
          <w:p w:rsidR="00E02DD3" w:rsidRDefault="007A3AF0">
            <w:pPr>
              <w:pStyle w:val="TableText"/>
              <w:framePr w:hSpace="181" w:wrap="notBeside" w:vAnchor="text" w:hAnchor="text" w:xAlign="center" w:y="1"/>
              <w:spacing w:before="0"/>
              <w:jc w:val="center"/>
            </w:pPr>
            <w:r>
              <w:rPr>
                <w:rFonts w:ascii="Symbol" w:hAnsi="Symbol"/>
              </w:rPr>
              <w:t></w:t>
            </w:r>
            <w:r>
              <w:t xml:space="preserve"> 50 dB</w:t>
            </w:r>
          </w:p>
        </w:tc>
      </w:tr>
      <w:tr w:rsidR="00E02DD3">
        <w:tc>
          <w:tcPr>
            <w:tcW w:w="4253" w:type="dxa"/>
          </w:tcPr>
          <w:p w:rsidR="00E02DD3" w:rsidRDefault="007A3AF0">
            <w:pPr>
              <w:pStyle w:val="TableText"/>
              <w:framePr w:hSpace="181" w:wrap="notBeside" w:vAnchor="text" w:hAnchor="text" w:xAlign="center" w:y="1"/>
              <w:spacing w:after="60"/>
            </w:pPr>
            <w:r>
              <w:t>TETRA</w:t>
            </w:r>
          </w:p>
          <w:p w:rsidR="00E02DD3" w:rsidRDefault="007A3AF0">
            <w:pPr>
              <w:pStyle w:val="TableText"/>
              <w:framePr w:hSpace="181" w:wrap="notBeside" w:vAnchor="text" w:hAnchor="text" w:xAlign="center" w:y="1"/>
              <w:tabs>
                <w:tab w:val="clear" w:pos="794"/>
                <w:tab w:val="clear" w:pos="1191"/>
                <w:tab w:val="clear" w:pos="1588"/>
                <w:tab w:val="clear" w:pos="1985"/>
                <w:tab w:val="left" w:pos="1361"/>
              </w:tabs>
              <w:spacing w:before="0" w:after="60"/>
              <w:ind w:left="1361" w:hanging="1077"/>
              <w:jc w:val="left"/>
            </w:pPr>
            <w:r>
              <w:t>Base station,</w:t>
            </w:r>
            <w:r>
              <w:tab/>
              <w:t>only one channel</w:t>
            </w:r>
            <w:r>
              <w:br/>
              <w:t>more channels</w:t>
            </w:r>
            <w:r>
              <w:br/>
              <w:t>several transmitters</w:t>
            </w:r>
          </w:p>
          <w:p w:rsidR="00E02DD3" w:rsidRDefault="007A3AF0">
            <w:pPr>
              <w:pStyle w:val="TableText"/>
              <w:framePr w:hSpace="181" w:wrap="notBeside" w:vAnchor="text" w:hAnchor="text" w:xAlign="center" w:y="1"/>
              <w:tabs>
                <w:tab w:val="clear" w:pos="794"/>
                <w:tab w:val="clear" w:pos="1191"/>
                <w:tab w:val="clear" w:pos="1588"/>
                <w:tab w:val="clear" w:pos="1985"/>
                <w:tab w:val="left" w:pos="1361"/>
              </w:tabs>
              <w:spacing w:before="0"/>
              <w:ind w:left="1077" w:hanging="1077"/>
              <w:jc w:val="left"/>
            </w:pPr>
            <w:r>
              <w:t>Mobile station</w:t>
            </w:r>
          </w:p>
        </w:tc>
        <w:tc>
          <w:tcPr>
            <w:tcW w:w="4253" w:type="dxa"/>
          </w:tcPr>
          <w:p w:rsidR="00E02DD3" w:rsidRDefault="00E02DD3">
            <w:pPr>
              <w:pStyle w:val="TableText"/>
              <w:framePr w:hSpace="181" w:wrap="notBeside" w:vAnchor="text" w:hAnchor="text" w:xAlign="center" w:y="1"/>
              <w:spacing w:after="60"/>
              <w:jc w:val="center"/>
            </w:pPr>
          </w:p>
          <w:p w:rsidR="00E02DD3" w:rsidRDefault="007A3AF0">
            <w:pPr>
              <w:pStyle w:val="TableText"/>
              <w:framePr w:hSpace="181" w:wrap="notBeside" w:vAnchor="text" w:hAnchor="text" w:xAlign="center" w:y="1"/>
              <w:spacing w:before="0"/>
              <w:jc w:val="center"/>
            </w:pPr>
            <w:r>
              <w:rPr>
                <w:rFonts w:ascii="Symbol" w:hAnsi="Symbol"/>
              </w:rPr>
              <w:t></w:t>
            </w:r>
            <w:r>
              <w:t xml:space="preserve"> 40 dB</w:t>
            </w:r>
            <w:r>
              <w:br/>
            </w:r>
            <w:r>
              <w:rPr>
                <w:rFonts w:ascii="Symbol" w:hAnsi="Symbol"/>
              </w:rPr>
              <w:t></w:t>
            </w:r>
            <w:r>
              <w:t xml:space="preserve"> 70 dB</w:t>
            </w:r>
            <w:r>
              <w:br/>
            </w:r>
            <w:r>
              <w:rPr>
                <w:rFonts w:ascii="Symbol" w:hAnsi="Symbol"/>
              </w:rPr>
              <w:t></w:t>
            </w:r>
            <w:r>
              <w:t xml:space="preserve"> 60 dB</w:t>
            </w:r>
            <w:r>
              <w:br/>
            </w:r>
            <w:r>
              <w:rPr>
                <w:rFonts w:ascii="Symbol" w:hAnsi="Symbol"/>
              </w:rPr>
              <w:t></w:t>
            </w:r>
            <w:r>
              <w:t xml:space="preserve"> 60 dB, measured at the antenna connector</w:t>
            </w:r>
          </w:p>
        </w:tc>
      </w:tr>
      <w:tr w:rsidR="00E02DD3">
        <w:tc>
          <w:tcPr>
            <w:tcW w:w="4253" w:type="dxa"/>
          </w:tcPr>
          <w:p w:rsidR="00E02DD3" w:rsidRDefault="007A3AF0">
            <w:pPr>
              <w:pStyle w:val="TableText"/>
              <w:framePr w:hSpace="181" w:wrap="notBeside" w:vAnchor="text" w:hAnchor="text" w:xAlign="center" w:y="1"/>
              <w:spacing w:after="60"/>
            </w:pPr>
            <w:r>
              <w:t>PMR</w:t>
            </w:r>
          </w:p>
          <w:p w:rsidR="00E02DD3" w:rsidRDefault="007A3AF0">
            <w:pPr>
              <w:pStyle w:val="TableText"/>
              <w:framePr w:hSpace="181" w:wrap="notBeside" w:vAnchor="text" w:hAnchor="text" w:xAlign="center" w:y="1"/>
              <w:spacing w:before="0" w:after="60"/>
              <w:ind w:left="284"/>
              <w:jc w:val="left"/>
            </w:pPr>
            <w:r>
              <w:t>For all components</w:t>
            </w:r>
          </w:p>
          <w:p w:rsidR="00E02DD3" w:rsidRDefault="007A3AF0">
            <w:pPr>
              <w:pStyle w:val="TableText"/>
              <w:framePr w:hSpace="181" w:wrap="notBeside" w:vAnchor="text" w:hAnchor="text" w:xAlign="center" w:y="1"/>
              <w:spacing w:before="0"/>
              <w:ind w:left="284"/>
              <w:jc w:val="left"/>
            </w:pPr>
            <w:r>
              <w:t>Several base stations at the same site</w:t>
            </w:r>
          </w:p>
        </w:tc>
        <w:tc>
          <w:tcPr>
            <w:tcW w:w="4253" w:type="dxa"/>
          </w:tcPr>
          <w:p w:rsidR="00E02DD3" w:rsidRDefault="00E02DD3">
            <w:pPr>
              <w:pStyle w:val="TableText"/>
              <w:framePr w:hSpace="181" w:wrap="notBeside" w:vAnchor="text" w:hAnchor="text" w:xAlign="center" w:y="1"/>
              <w:spacing w:after="60"/>
              <w:jc w:val="center"/>
            </w:pPr>
          </w:p>
          <w:p w:rsidR="00E02DD3" w:rsidRDefault="007A3AF0">
            <w:pPr>
              <w:pStyle w:val="TableText"/>
              <w:framePr w:hSpace="181" w:wrap="notBeside" w:vAnchor="text" w:hAnchor="text" w:xAlign="center" w:y="1"/>
              <w:spacing w:before="0"/>
              <w:jc w:val="center"/>
            </w:pPr>
            <w:r>
              <w:rPr>
                <w:rFonts w:ascii="Symbol" w:hAnsi="Symbol"/>
              </w:rPr>
              <w:t></w:t>
            </w:r>
            <w:r>
              <w:t xml:space="preserve"> 40 dB</w:t>
            </w:r>
          </w:p>
          <w:p w:rsidR="00E02DD3" w:rsidRDefault="007A3AF0">
            <w:pPr>
              <w:pStyle w:val="TableText"/>
              <w:framePr w:hSpace="181" w:wrap="notBeside" w:vAnchor="text" w:hAnchor="text" w:xAlign="center" w:y="1"/>
              <w:spacing w:before="0"/>
              <w:jc w:val="center"/>
            </w:pPr>
            <w:r>
              <w:rPr>
                <w:rFonts w:ascii="Symbol" w:hAnsi="Symbol"/>
              </w:rPr>
              <w:t></w:t>
            </w:r>
            <w:r>
              <w:t xml:space="preserve"> 70 dB</w:t>
            </w:r>
          </w:p>
        </w:tc>
      </w:tr>
    </w:tbl>
    <w:p w:rsidR="00E02DD3" w:rsidRDefault="00E02DD3">
      <w:pPr>
        <w:pStyle w:val="Tablefin"/>
      </w:pPr>
      <w:bookmarkStart w:id="67" w:name="_Toc445524192"/>
      <w:bookmarkStart w:id="68" w:name="_Toc445529708"/>
      <w:bookmarkStart w:id="69" w:name="_Toc460747475"/>
    </w:p>
    <w:p w:rsidR="00E02DD3" w:rsidRDefault="007A3AF0">
      <w:pPr>
        <w:pStyle w:val="Heading1"/>
      </w:pPr>
      <w:r>
        <w:t>3</w:t>
      </w:r>
      <w:r>
        <w:tab/>
        <w:t>Satellite service</w:t>
      </w:r>
      <w:bookmarkEnd w:id="67"/>
      <w:bookmarkEnd w:id="68"/>
      <w:bookmarkEnd w:id="69"/>
    </w:p>
    <w:p w:rsidR="00E02DD3" w:rsidRDefault="007A3AF0">
      <w:r>
        <w:t>The IM products in satellite services are generated by multicarrier operation through common amplifiers in the RF transmit subsystem (IM Type 2). Examples for the performance requirements of INTELSAT earth stations are given in Table 3.</w:t>
      </w:r>
    </w:p>
    <w:p w:rsidR="00E02DD3" w:rsidRDefault="00D7041B">
      <w:pPr>
        <w:pStyle w:val="Table"/>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5412105</wp:posOffset>
                </wp:positionH>
                <wp:positionV relativeFrom="paragraph">
                  <wp:posOffset>165735</wp:posOffset>
                </wp:positionV>
                <wp:extent cx="631825" cy="27114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2DD3" w:rsidRDefault="00E02D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26.15pt;margin-top:13.05pt;width:49.75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" o:allowincell="f" filled="f" stroked="f" strokeweight="0">
                <v:textbox inset="0,0,0,0">
                  <w:txbxContent>
                    <w:p w:rsidR="00E02DD3" w:rsidRDefault="00E02DD3"/>
                  </w:txbxContent>
                </v:textbox>
              </v:rect>
            </w:pict>
          </mc:Fallback>
        </mc:AlternateContent>
      </w:r>
      <w:r w:rsidR="007A3AF0">
        <w:t>TABLE  3</w:t>
      </w:r>
    </w:p>
    <w:p w:rsidR="00E02DD3" w:rsidRDefault="007A3AF0">
      <w:pPr>
        <w:pStyle w:val="TableTitle"/>
      </w:pPr>
      <w:r>
        <w:t>Examples of the performance requirements for IM products transmitted from INTELSAT earth stations</w:t>
      </w:r>
    </w:p>
    <w:p w:rsidR="00E02DD3" w:rsidRDefault="00E02DD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387"/>
      </w:tblGrid>
      <w:tr w:rsidR="00E02DD3">
        <w:tc>
          <w:tcPr>
            <w:tcW w:w="4253" w:type="dxa"/>
            <w:vAlign w:val="center"/>
          </w:tcPr>
          <w:p w:rsidR="00E02DD3" w:rsidRDefault="007A3AF0">
            <w:pPr>
              <w:pStyle w:val="TableText"/>
              <w:framePr w:hSpace="181" w:wrap="notBeside" w:vAnchor="text" w:hAnchor="text" w:xAlign="center" w:y="1"/>
              <w:jc w:val="center"/>
            </w:pPr>
            <w:r>
              <w:t>Uplink transponder</w:t>
            </w:r>
          </w:p>
        </w:tc>
        <w:tc>
          <w:tcPr>
            <w:tcW w:w="5387" w:type="dxa"/>
            <w:vAlign w:val="center"/>
          </w:tcPr>
          <w:p w:rsidR="00E02DD3" w:rsidRDefault="007A3AF0">
            <w:pPr>
              <w:pStyle w:val="TableText"/>
              <w:framePr w:hSpace="181" w:wrap="notBeside" w:vAnchor="text" w:hAnchor="text" w:xAlign="center" w:y="1"/>
              <w:jc w:val="center"/>
            </w:pPr>
            <w:r>
              <w:t>e.i.r.p. density limits at 10</w:t>
            </w:r>
            <w:r>
              <w:rPr>
                <w:rFonts w:ascii="Symbol" w:hAnsi="Symbol"/>
              </w:rPr>
              <w:t></w:t>
            </w:r>
            <w:r>
              <w:t xml:space="preserve"> elevation</w:t>
            </w:r>
            <w:r>
              <w:br/>
              <w:t>angle and beam edge</w:t>
            </w:r>
          </w:p>
        </w:tc>
      </w:tr>
      <w:tr w:rsidR="00E02DD3">
        <w:tc>
          <w:tcPr>
            <w:tcW w:w="4253" w:type="dxa"/>
          </w:tcPr>
          <w:p w:rsidR="00E02DD3" w:rsidRDefault="007A3AF0">
            <w:pPr>
              <w:pStyle w:val="TableText"/>
              <w:framePr w:hSpace="181" w:wrap="notBeside" w:vAnchor="text" w:hAnchor="text" w:xAlign="center" w:y="1"/>
              <w:jc w:val="left"/>
            </w:pPr>
            <w:r>
              <w:t xml:space="preserve">4/6 GHz: </w:t>
            </w:r>
            <w:r>
              <w:br/>
            </w:r>
          </w:p>
          <w:p w:rsidR="00E02DD3" w:rsidRDefault="007A3AF0">
            <w:pPr>
              <w:pStyle w:val="TableText"/>
              <w:framePr w:hSpace="181" w:wrap="notBeside" w:vAnchor="text" w:hAnchor="text" w:xAlign="center" w:y="1"/>
              <w:spacing w:before="0"/>
              <w:jc w:val="left"/>
            </w:pPr>
            <w:r>
              <w:t>Hemispheric and zone beams</w:t>
            </w:r>
            <w:r>
              <w:br/>
              <w:t>Global beams and C-spot</w:t>
            </w:r>
          </w:p>
        </w:tc>
        <w:tc>
          <w:tcPr>
            <w:tcW w:w="5387" w:type="dxa"/>
          </w:tcPr>
          <w:p w:rsidR="00E02DD3" w:rsidRDefault="007A3AF0">
            <w:pPr>
              <w:pStyle w:val="TableText"/>
              <w:framePr w:hSpace="181" w:wrap="notBeside" w:vAnchor="text" w:hAnchor="text" w:xAlign="center" w:y="1"/>
              <w:jc w:val="left"/>
            </w:pPr>
            <w:r>
              <w:t>Any combination of INTELSAT carrier types except those formed exclusively by interaction among SCPC carrier:</w:t>
            </w:r>
          </w:p>
          <w:p w:rsidR="00E02DD3" w:rsidRDefault="007A3AF0">
            <w:pPr>
              <w:pStyle w:val="TableText"/>
              <w:framePr w:hSpace="181" w:wrap="notBeside" w:vAnchor="text" w:hAnchor="text" w:xAlign="center" w:y="1"/>
              <w:tabs>
                <w:tab w:val="clear" w:pos="794"/>
                <w:tab w:val="clear" w:pos="1191"/>
                <w:tab w:val="clear" w:pos="1588"/>
                <w:tab w:val="clear" w:pos="1985"/>
                <w:tab w:val="left" w:pos="567"/>
              </w:tabs>
              <w:spacing w:before="0"/>
              <w:jc w:val="left"/>
            </w:pPr>
            <w:r>
              <w:tab/>
              <w:t>21 dB(W/4 kHz)</w:t>
            </w:r>
            <w:r>
              <w:br/>
            </w:r>
            <w:r>
              <w:tab/>
              <w:t>24 dB(W/4 kHz)</w:t>
            </w:r>
          </w:p>
        </w:tc>
      </w:tr>
      <w:tr w:rsidR="00E02DD3">
        <w:tc>
          <w:tcPr>
            <w:tcW w:w="4253" w:type="dxa"/>
          </w:tcPr>
          <w:p w:rsidR="00E02DD3" w:rsidRDefault="007A3AF0">
            <w:pPr>
              <w:pStyle w:val="TableText"/>
              <w:framePr w:hSpace="181" w:wrap="notBeside" w:vAnchor="text" w:hAnchor="text" w:xAlign="center" w:y="1"/>
              <w:jc w:val="left"/>
            </w:pPr>
            <w:r>
              <w:t xml:space="preserve">4/6 GHz: </w:t>
            </w:r>
          </w:p>
          <w:p w:rsidR="00E02DD3" w:rsidRDefault="007A3AF0">
            <w:pPr>
              <w:pStyle w:val="TableText"/>
              <w:framePr w:hSpace="181" w:wrap="notBeside" w:vAnchor="text" w:hAnchor="text" w:xAlign="center" w:y="1"/>
              <w:spacing w:before="0"/>
              <w:jc w:val="left"/>
            </w:pPr>
            <w:r>
              <w:t>Global, hemispheric and zone beams</w:t>
            </w:r>
          </w:p>
        </w:tc>
        <w:tc>
          <w:tcPr>
            <w:tcW w:w="5387" w:type="dxa"/>
          </w:tcPr>
          <w:p w:rsidR="00E02DD3" w:rsidRDefault="007A3AF0">
            <w:pPr>
              <w:pStyle w:val="TableText"/>
              <w:framePr w:hSpace="181" w:wrap="notBeside" w:vAnchor="text" w:hAnchor="text" w:xAlign="center" w:y="1"/>
              <w:jc w:val="left"/>
            </w:pPr>
            <w:r>
              <w:t>Formed exclusively by interaction among pre</w:t>
            </w:r>
            <w:r>
              <w:noBreakHyphen/>
              <w:t>assigned SCPC carrier:</w:t>
            </w:r>
          </w:p>
          <w:p w:rsidR="00E02DD3" w:rsidRDefault="007A3AF0">
            <w:pPr>
              <w:pStyle w:val="TableText"/>
              <w:framePr w:hSpace="181" w:wrap="notBeside" w:vAnchor="text" w:hAnchor="text" w:xAlign="center" w:y="1"/>
              <w:tabs>
                <w:tab w:val="clear" w:pos="794"/>
                <w:tab w:val="clear" w:pos="1191"/>
                <w:tab w:val="clear" w:pos="1588"/>
                <w:tab w:val="clear" w:pos="1985"/>
                <w:tab w:val="left" w:pos="567"/>
                <w:tab w:val="left" w:pos="2387"/>
              </w:tabs>
              <w:spacing w:before="0"/>
              <w:jc w:val="left"/>
            </w:pPr>
            <w:r>
              <w:tab/>
              <w:t>31.5 dBW</w:t>
            </w:r>
            <w:r>
              <w:tab/>
              <w:t xml:space="preserve">for 2 </w:t>
            </w:r>
            <w:r>
              <w:sym w:font="Symbol" w:char="F0A3"/>
            </w:r>
            <w:r>
              <w:t xml:space="preserve"> </w:t>
            </w:r>
            <w:r>
              <w:rPr>
                <w:i/>
                <w:iCs/>
              </w:rPr>
              <w:t>N</w:t>
            </w:r>
            <w:r>
              <w:t xml:space="preserve"> </w:t>
            </w:r>
            <w:r>
              <w:sym w:font="Symbol" w:char="F0A3"/>
            </w:r>
            <w:r>
              <w:t xml:space="preserve"> 7 SCPC channels</w:t>
            </w:r>
            <w:r>
              <w:br/>
            </w:r>
            <w:r>
              <w:tab/>
              <w:t>48.1 – 20 log</w:t>
            </w:r>
            <w:r>
              <w:rPr>
                <w:position w:val="-4"/>
                <w:sz w:val="14"/>
              </w:rPr>
              <w:t>10</w:t>
            </w:r>
            <w:r>
              <w:t xml:space="preserve"> </w:t>
            </w:r>
            <w:r>
              <w:rPr>
                <w:i/>
                <w:iCs/>
              </w:rPr>
              <w:t>N</w:t>
            </w:r>
            <w:r>
              <w:tab/>
              <w:t xml:space="preserve">for </w:t>
            </w:r>
            <w:r>
              <w:rPr>
                <w:i/>
                <w:iCs/>
              </w:rPr>
              <w:t>N</w:t>
            </w:r>
            <w:r>
              <w:t xml:space="preserve"> &gt; 7</w:t>
            </w:r>
          </w:p>
        </w:tc>
      </w:tr>
      <w:tr w:rsidR="00E02DD3">
        <w:tc>
          <w:tcPr>
            <w:tcW w:w="4253" w:type="dxa"/>
          </w:tcPr>
          <w:p w:rsidR="00E02DD3" w:rsidRDefault="007A3AF0">
            <w:pPr>
              <w:pStyle w:val="TableText"/>
              <w:framePr w:hSpace="181" w:wrap="notBeside" w:vAnchor="text" w:hAnchor="text" w:xAlign="center" w:y="1"/>
              <w:jc w:val="left"/>
            </w:pPr>
            <w:r>
              <w:t>11/14 GHz:</w:t>
            </w:r>
            <w:r>
              <w:br/>
            </w:r>
          </w:p>
          <w:p w:rsidR="00E02DD3" w:rsidRDefault="007A3AF0">
            <w:pPr>
              <w:pStyle w:val="TableText"/>
              <w:framePr w:hSpace="181" w:wrap="notBeside" w:vAnchor="text" w:hAnchor="text" w:xAlign="center" w:y="1"/>
              <w:spacing w:before="0"/>
              <w:jc w:val="left"/>
            </w:pPr>
            <w:r>
              <w:t>Spot</w:t>
            </w:r>
          </w:p>
        </w:tc>
        <w:tc>
          <w:tcPr>
            <w:tcW w:w="5387" w:type="dxa"/>
          </w:tcPr>
          <w:p w:rsidR="00E02DD3" w:rsidRDefault="007A3AF0">
            <w:pPr>
              <w:pStyle w:val="TableText"/>
              <w:framePr w:hSpace="181" w:wrap="notBeside" w:vAnchor="text" w:hAnchor="text" w:xAlign="center" w:y="1"/>
              <w:jc w:val="left"/>
            </w:pPr>
            <w:r>
              <w:t>Any combination of INTELSAT carrier types:</w:t>
            </w:r>
          </w:p>
          <w:p w:rsidR="00E02DD3" w:rsidRDefault="007A3AF0">
            <w:pPr>
              <w:pStyle w:val="TableText"/>
              <w:framePr w:hSpace="181" w:wrap="notBeside" w:vAnchor="text" w:hAnchor="text" w:xAlign="center" w:y="1"/>
              <w:tabs>
                <w:tab w:val="clear" w:pos="794"/>
                <w:tab w:val="clear" w:pos="1191"/>
                <w:tab w:val="clear" w:pos="1588"/>
                <w:tab w:val="clear" w:pos="1985"/>
                <w:tab w:val="left" w:pos="567"/>
              </w:tabs>
              <w:spacing w:before="0"/>
              <w:jc w:val="left"/>
            </w:pPr>
            <w:r>
              <w:tab/>
              <w:t>10 dB(W/4 kHz)    for INTELSAT V-VI</w:t>
            </w:r>
            <w:r>
              <w:br/>
            </w:r>
            <w:r>
              <w:tab/>
              <w:t>16 dB(W/4 kHz)    for INTELSAT VII-VIII</w:t>
            </w:r>
          </w:p>
        </w:tc>
      </w:tr>
    </w:tbl>
    <w:p w:rsidR="00E02DD3" w:rsidRDefault="00E02DD3">
      <w:pPr>
        <w:pStyle w:val="Tablefin"/>
      </w:pPr>
    </w:p>
    <w:p w:rsidR="00E02DD3" w:rsidRDefault="007A3AF0">
      <w:r>
        <w:br w:type="page"/>
        <w:t>Examples for typical values of IM attenuation for land earth stations/coast earth station (LES/CES) and attenuation of IM products due to multiple carriers for Inmarsat-2 and Inmarsat-3 satellites are depicted in Table 4.</w:t>
      </w:r>
    </w:p>
    <w:p w:rsidR="00E02DD3" w:rsidRDefault="007A3AF0">
      <w:pPr>
        <w:pStyle w:val="Table"/>
      </w:pPr>
      <w:r>
        <w:t>TABLE  4</w:t>
      </w:r>
    </w:p>
    <w:p w:rsidR="00E02DD3" w:rsidRDefault="007A3AF0">
      <w:pPr>
        <w:pStyle w:val="TableTitle"/>
      </w:pPr>
      <w:r>
        <w:t>Examples of the IM attenuation from Inmarsat earth and space stations</w:t>
      </w:r>
    </w:p>
    <w:p w:rsidR="00E02DD3" w:rsidRDefault="00E02DD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5387"/>
      </w:tblGrid>
      <w:tr w:rsidR="00E02DD3">
        <w:tc>
          <w:tcPr>
            <w:tcW w:w="3969" w:type="dxa"/>
          </w:tcPr>
          <w:p w:rsidR="00E02DD3" w:rsidRDefault="007A3AF0">
            <w:pPr>
              <w:pStyle w:val="TableText"/>
              <w:framePr w:hSpace="181" w:wrap="notBeside" w:vAnchor="text" w:hAnchor="text" w:xAlign="center" w:y="1"/>
              <w:jc w:val="center"/>
              <w:rPr>
                <w:i/>
              </w:rPr>
            </w:pPr>
            <w:r>
              <w:t>System component</w:t>
            </w:r>
          </w:p>
        </w:tc>
        <w:tc>
          <w:tcPr>
            <w:tcW w:w="5387" w:type="dxa"/>
          </w:tcPr>
          <w:p w:rsidR="00E02DD3" w:rsidRDefault="007A3AF0">
            <w:pPr>
              <w:pStyle w:val="TableText"/>
              <w:framePr w:hSpace="181" w:wrap="notBeside" w:vAnchor="text" w:hAnchor="text" w:xAlign="center" w:y="1"/>
              <w:jc w:val="center"/>
              <w:rPr>
                <w:i/>
              </w:rPr>
            </w:pPr>
            <w:r>
              <w:t>IM attenuation</w:t>
            </w:r>
          </w:p>
        </w:tc>
      </w:tr>
      <w:tr w:rsidR="00E02DD3">
        <w:tc>
          <w:tcPr>
            <w:tcW w:w="3969" w:type="dxa"/>
            <w:tcBorders>
              <w:bottom w:val="nil"/>
            </w:tcBorders>
          </w:tcPr>
          <w:p w:rsidR="00E02DD3" w:rsidRDefault="007A3AF0">
            <w:pPr>
              <w:pStyle w:val="TableText"/>
              <w:framePr w:hSpace="181" w:wrap="notBeside" w:vAnchor="text" w:hAnchor="text" w:xAlign="center" w:y="1"/>
              <w:rPr>
                <w:i/>
              </w:rPr>
            </w:pPr>
            <w:r>
              <w:t>Inmarsat LES/CES</w:t>
            </w:r>
          </w:p>
        </w:tc>
        <w:tc>
          <w:tcPr>
            <w:tcW w:w="5387" w:type="dxa"/>
            <w:tcBorders>
              <w:bottom w:val="nil"/>
            </w:tcBorders>
          </w:tcPr>
          <w:p w:rsidR="00E02DD3" w:rsidRDefault="007A3AF0">
            <w:pPr>
              <w:pStyle w:val="TableText"/>
              <w:framePr w:hSpace="181" w:wrap="notBeside" w:vAnchor="text" w:hAnchor="text" w:xAlign="center" w:y="1"/>
              <w:jc w:val="left"/>
            </w:pPr>
            <w:r>
              <w:t>3rd order IM products:</w:t>
            </w:r>
          </w:p>
          <w:p w:rsidR="00E02DD3" w:rsidRDefault="007A3AF0">
            <w:pPr>
              <w:pStyle w:val="TableText"/>
              <w:framePr w:hSpace="181" w:wrap="notBeside" w:vAnchor="text" w:hAnchor="text" w:xAlign="center" w:y="1"/>
              <w:spacing w:before="0"/>
              <w:ind w:left="284"/>
              <w:jc w:val="left"/>
            </w:pPr>
            <w:r>
              <w:rPr>
                <w:rFonts w:ascii="Symbol" w:hAnsi="Symbol"/>
              </w:rPr>
              <w:t></w:t>
            </w:r>
            <w:r>
              <w:t xml:space="preserve"> 30 dB below the e.i.r.p. of each of two test carriers each having an amplitude of </w:t>
            </w:r>
            <w:r>
              <w:rPr>
                <w:i/>
                <w:iCs/>
              </w:rPr>
              <w:t>e.i.r.p.</w:t>
            </w:r>
            <w:r>
              <w:rPr>
                <w:i/>
                <w:iCs/>
                <w:position w:val="-4"/>
                <w:sz w:val="14"/>
              </w:rPr>
              <w:t>max</w:t>
            </w:r>
            <w:r>
              <w:t xml:space="preserve"> –3 dB where </w:t>
            </w:r>
            <w:r>
              <w:rPr>
                <w:i/>
                <w:iCs/>
              </w:rPr>
              <w:t>e.i.r.p.</w:t>
            </w:r>
            <w:r>
              <w:rPr>
                <w:i/>
                <w:iCs/>
                <w:position w:val="-4"/>
                <w:sz w:val="14"/>
              </w:rPr>
              <w:t>max</w:t>
            </w:r>
            <w:r>
              <w:t xml:space="preserve"> is the maximum e.i.r.p. </w:t>
            </w:r>
          </w:p>
        </w:tc>
      </w:tr>
      <w:tr w:rsidR="00E02DD3">
        <w:tc>
          <w:tcPr>
            <w:tcW w:w="3969" w:type="dxa"/>
            <w:tcBorders>
              <w:bottom w:val="nil"/>
            </w:tcBorders>
          </w:tcPr>
          <w:p w:rsidR="00E02DD3" w:rsidRDefault="007A3AF0">
            <w:pPr>
              <w:pStyle w:val="TableText"/>
              <w:framePr w:hSpace="181" w:wrap="notBeside" w:vAnchor="text" w:hAnchor="text" w:xAlign="center" w:y="1"/>
              <w:rPr>
                <w:i/>
              </w:rPr>
            </w:pPr>
            <w:r>
              <w:t>Inmarsat-2 space station</w:t>
            </w:r>
          </w:p>
        </w:tc>
        <w:tc>
          <w:tcPr>
            <w:tcW w:w="5387" w:type="dxa"/>
            <w:tcBorders>
              <w:bottom w:val="nil"/>
            </w:tcBorders>
          </w:tcPr>
          <w:p w:rsidR="00E02DD3" w:rsidRDefault="007A3AF0">
            <w:pPr>
              <w:pStyle w:val="TableText"/>
              <w:framePr w:hSpace="181" w:wrap="notBeside" w:vAnchor="text" w:hAnchor="text" w:xAlign="center" w:y="1"/>
              <w:rPr>
                <w:i/>
              </w:rPr>
            </w:pPr>
            <w:r>
              <w:t>Due to multiple carriers:</w:t>
            </w:r>
          </w:p>
        </w:tc>
      </w:tr>
      <w:tr w:rsidR="00E02DD3">
        <w:tc>
          <w:tcPr>
            <w:tcW w:w="3969" w:type="dxa"/>
            <w:tcBorders>
              <w:top w:val="nil"/>
              <w:bottom w:val="nil"/>
            </w:tcBorders>
          </w:tcPr>
          <w:p w:rsidR="00E02DD3" w:rsidRDefault="007A3AF0">
            <w:pPr>
              <w:pStyle w:val="TableText"/>
              <w:framePr w:hSpace="181" w:wrap="notBeside" w:vAnchor="text" w:hAnchor="text" w:xAlign="center" w:y="1"/>
              <w:spacing w:before="20" w:after="20"/>
              <w:ind w:left="284"/>
            </w:pPr>
            <w:r>
              <w:t xml:space="preserve">Forward direction transponder </w:t>
            </w:r>
          </w:p>
        </w:tc>
        <w:tc>
          <w:tcPr>
            <w:tcW w:w="5387" w:type="dxa"/>
            <w:tcBorders>
              <w:top w:val="nil"/>
              <w:bottom w:val="nil"/>
            </w:tcBorders>
          </w:tcPr>
          <w:p w:rsidR="00E02DD3" w:rsidRDefault="007A3AF0">
            <w:pPr>
              <w:pStyle w:val="TableText"/>
              <w:framePr w:hSpace="181" w:wrap="notBeside" w:vAnchor="text" w:hAnchor="text" w:xAlign="center" w:y="1"/>
              <w:spacing w:before="20" w:after="20"/>
              <w:ind w:left="284"/>
            </w:pPr>
            <w:r>
              <w:rPr>
                <w:rFonts w:ascii="Symbol" w:hAnsi="Symbol"/>
              </w:rPr>
              <w:t></w:t>
            </w:r>
            <w:r>
              <w:t xml:space="preserve"> 13.5 dB </w:t>
            </w:r>
          </w:p>
        </w:tc>
      </w:tr>
      <w:tr w:rsidR="00E02DD3">
        <w:tc>
          <w:tcPr>
            <w:tcW w:w="3969" w:type="dxa"/>
            <w:tcBorders>
              <w:top w:val="nil"/>
              <w:bottom w:val="nil"/>
            </w:tcBorders>
          </w:tcPr>
          <w:p w:rsidR="00E02DD3" w:rsidRDefault="007A3AF0">
            <w:pPr>
              <w:pStyle w:val="TableText"/>
              <w:framePr w:hSpace="181" w:wrap="notBeside" w:vAnchor="text" w:hAnchor="text" w:xAlign="center" w:y="1"/>
              <w:spacing w:before="20"/>
              <w:ind w:left="284"/>
            </w:pPr>
            <w:r>
              <w:t>Return direction transponder</w:t>
            </w:r>
          </w:p>
        </w:tc>
        <w:tc>
          <w:tcPr>
            <w:tcW w:w="5387" w:type="dxa"/>
            <w:tcBorders>
              <w:top w:val="nil"/>
              <w:bottom w:val="nil"/>
            </w:tcBorders>
          </w:tcPr>
          <w:p w:rsidR="00E02DD3" w:rsidRDefault="007A3AF0">
            <w:pPr>
              <w:pStyle w:val="TableText"/>
              <w:framePr w:hSpace="181" w:wrap="notBeside" w:vAnchor="text" w:hAnchor="text" w:xAlign="center" w:y="1"/>
              <w:spacing w:before="20"/>
              <w:ind w:left="284"/>
            </w:pPr>
            <w:r>
              <w:rPr>
                <w:rFonts w:ascii="Symbol" w:hAnsi="Symbol"/>
              </w:rPr>
              <w:t></w:t>
            </w:r>
            <w:r>
              <w:t xml:space="preserve"> 22.0 dB </w:t>
            </w:r>
          </w:p>
        </w:tc>
      </w:tr>
      <w:tr w:rsidR="00E02DD3">
        <w:tc>
          <w:tcPr>
            <w:tcW w:w="3969" w:type="dxa"/>
            <w:tcBorders>
              <w:bottom w:val="nil"/>
            </w:tcBorders>
          </w:tcPr>
          <w:p w:rsidR="00E02DD3" w:rsidRDefault="007A3AF0">
            <w:pPr>
              <w:pStyle w:val="TableText"/>
              <w:framePr w:hSpace="181" w:wrap="notBeside" w:vAnchor="text" w:hAnchor="text" w:xAlign="center" w:y="1"/>
            </w:pPr>
            <w:r>
              <w:t>Inmarsat-3 space station</w:t>
            </w:r>
          </w:p>
        </w:tc>
        <w:tc>
          <w:tcPr>
            <w:tcW w:w="5387" w:type="dxa"/>
            <w:tcBorders>
              <w:bottom w:val="nil"/>
            </w:tcBorders>
          </w:tcPr>
          <w:p w:rsidR="00E02DD3" w:rsidRDefault="007A3AF0">
            <w:pPr>
              <w:pStyle w:val="TableText"/>
              <w:framePr w:hSpace="181" w:wrap="notBeside" w:vAnchor="text" w:hAnchor="text" w:xAlign="center" w:y="1"/>
            </w:pPr>
            <w:r>
              <w:t>Due to multiple carriers:</w:t>
            </w:r>
          </w:p>
        </w:tc>
      </w:tr>
      <w:tr w:rsidR="00E02DD3">
        <w:tc>
          <w:tcPr>
            <w:tcW w:w="3969" w:type="dxa"/>
            <w:tcBorders>
              <w:top w:val="nil"/>
              <w:bottom w:val="nil"/>
            </w:tcBorders>
          </w:tcPr>
          <w:p w:rsidR="00E02DD3" w:rsidRDefault="007A3AF0">
            <w:pPr>
              <w:pStyle w:val="TableText"/>
              <w:framePr w:hSpace="181" w:wrap="notBeside" w:vAnchor="text" w:hAnchor="text" w:xAlign="center" w:y="1"/>
              <w:spacing w:before="20" w:after="20"/>
              <w:ind w:left="284"/>
            </w:pPr>
            <w:r>
              <w:t xml:space="preserve">Forward direction transponder </w:t>
            </w:r>
          </w:p>
        </w:tc>
        <w:tc>
          <w:tcPr>
            <w:tcW w:w="5387" w:type="dxa"/>
            <w:tcBorders>
              <w:top w:val="nil"/>
              <w:bottom w:val="nil"/>
            </w:tcBorders>
          </w:tcPr>
          <w:p w:rsidR="00E02DD3" w:rsidRDefault="007A3AF0">
            <w:pPr>
              <w:pStyle w:val="TableText"/>
              <w:framePr w:hSpace="181" w:wrap="notBeside" w:vAnchor="text" w:hAnchor="text" w:xAlign="center" w:y="1"/>
              <w:spacing w:before="20" w:after="20"/>
              <w:ind w:left="284"/>
            </w:pPr>
            <w:r>
              <w:rPr>
                <w:rFonts w:ascii="Symbol" w:hAnsi="Symbol"/>
              </w:rPr>
              <w:t></w:t>
            </w:r>
            <w:r>
              <w:t xml:space="preserve"> 14.0 dB</w:t>
            </w:r>
          </w:p>
        </w:tc>
      </w:tr>
      <w:tr w:rsidR="00E02DD3">
        <w:tc>
          <w:tcPr>
            <w:tcW w:w="3969" w:type="dxa"/>
            <w:tcBorders>
              <w:top w:val="nil"/>
            </w:tcBorders>
          </w:tcPr>
          <w:p w:rsidR="00E02DD3" w:rsidRDefault="007A3AF0">
            <w:pPr>
              <w:pStyle w:val="TableText"/>
              <w:framePr w:hSpace="181" w:wrap="notBeside" w:vAnchor="text" w:hAnchor="text" w:xAlign="center" w:y="1"/>
              <w:spacing w:before="20"/>
              <w:ind w:left="284"/>
            </w:pPr>
            <w:r>
              <w:t>Return direction transponder</w:t>
            </w:r>
          </w:p>
        </w:tc>
        <w:tc>
          <w:tcPr>
            <w:tcW w:w="5387" w:type="dxa"/>
            <w:tcBorders>
              <w:top w:val="nil"/>
            </w:tcBorders>
          </w:tcPr>
          <w:p w:rsidR="00E02DD3" w:rsidRDefault="007A3AF0">
            <w:pPr>
              <w:pStyle w:val="TableText"/>
              <w:framePr w:hSpace="181" w:wrap="notBeside" w:vAnchor="text" w:hAnchor="text" w:xAlign="center" w:y="1"/>
              <w:spacing w:before="20"/>
              <w:ind w:left="284"/>
            </w:pPr>
            <w:r>
              <w:rPr>
                <w:rFonts w:ascii="Symbol" w:hAnsi="Symbol"/>
              </w:rPr>
              <w:t></w:t>
            </w:r>
            <w:r>
              <w:t xml:space="preserve"> 21.5 dB </w:t>
            </w:r>
          </w:p>
        </w:tc>
      </w:tr>
    </w:tbl>
    <w:p w:rsidR="00E02DD3" w:rsidRDefault="00E02DD3">
      <w:pPr>
        <w:pStyle w:val="Tablefin"/>
      </w:pPr>
      <w:bookmarkStart w:id="70" w:name="_Toc445524193"/>
      <w:bookmarkStart w:id="71" w:name="_Toc445529709"/>
      <w:bookmarkStart w:id="72" w:name="_Toc460747476"/>
    </w:p>
    <w:p w:rsidR="00E02DD3" w:rsidRDefault="007A3AF0">
      <w:pPr>
        <w:pStyle w:val="Heading1"/>
      </w:pPr>
      <w:r>
        <w:t>4</w:t>
      </w:r>
      <w:r>
        <w:tab/>
        <w:t>Broadcasting services</w:t>
      </w:r>
      <w:bookmarkEnd w:id="70"/>
      <w:bookmarkEnd w:id="71"/>
      <w:bookmarkEnd w:id="72"/>
    </w:p>
    <w:p w:rsidR="00E02DD3" w:rsidRDefault="007A3AF0">
      <w:r>
        <w:t>For broadcasting transmitters installed at the same site, the reverse IM factor is often used to characterize the inter</w:t>
      </w:r>
      <w:r>
        <w:noBreakHyphen/>
        <w:t xml:space="preserve">transmitter IM, </w:t>
      </w:r>
      <w:r>
        <w:rPr>
          <w:i/>
          <w:iCs/>
        </w:rPr>
        <w:t>A</w:t>
      </w:r>
      <w:r>
        <w:rPr>
          <w:i/>
          <w:iCs/>
          <w:position w:val="-4"/>
          <w:sz w:val="16"/>
        </w:rPr>
        <w:t>RIM</w:t>
      </w:r>
      <w:r>
        <w:t xml:space="preserve"> (Type 3).</w:t>
      </w:r>
    </w:p>
    <w:p w:rsidR="00E02DD3" w:rsidRDefault="007A3AF0">
      <w:r>
        <w:t xml:space="preserve">For illustration, the following example is picked up: the wanted FM sound broadcasting transmitter operates at </w:t>
      </w:r>
      <w:r>
        <w:rPr>
          <w:i/>
          <w:iCs/>
        </w:rPr>
        <w:t>f</w:t>
      </w:r>
      <w:r>
        <w:rPr>
          <w:position w:val="-4"/>
          <w:sz w:val="16"/>
        </w:rPr>
        <w:t>1</w:t>
      </w:r>
      <w:r>
        <w:t> </w:t>
      </w:r>
      <w:r>
        <w:rPr>
          <w:rFonts w:ascii="Symbol" w:hAnsi="Symbol"/>
        </w:rPr>
        <w:t></w:t>
      </w:r>
      <w:r>
        <w:t xml:space="preserve"> 98 MHz, having power 300 W, and is interfered by a signal of 300 mW generated by a second transmitter. The frequency </w:t>
      </w:r>
      <w:r>
        <w:rPr>
          <w:i/>
          <w:iCs/>
        </w:rPr>
        <w:t>f</w:t>
      </w:r>
      <w:r>
        <w:rPr>
          <w:position w:val="-4"/>
          <w:sz w:val="16"/>
        </w:rPr>
        <w:t>2</w:t>
      </w:r>
      <w:r>
        <w:t xml:space="preserve"> is varied between 87.5 MHz and 108 MHz (Band II) with a frequency separation of </w:t>
      </w:r>
      <w:r>
        <w:rPr>
          <w:rFonts w:ascii="Symbol" w:hAnsi="Symbol"/>
        </w:rPr>
        <w:t></w:t>
      </w:r>
      <w:r>
        <w:t> </w:t>
      </w:r>
      <w:r>
        <w:rPr>
          <w:i/>
          <w:iCs/>
        </w:rPr>
        <w:t>f</w:t>
      </w:r>
      <w:r>
        <w:rPr>
          <w:position w:val="-4"/>
          <w:sz w:val="16"/>
        </w:rPr>
        <w:t>1</w:t>
      </w:r>
      <w:r>
        <w:t> – </w:t>
      </w:r>
      <w:r>
        <w:rPr>
          <w:i/>
          <w:iCs/>
        </w:rPr>
        <w:t>f</w:t>
      </w:r>
      <w:r>
        <w:rPr>
          <w:position w:val="-4"/>
          <w:sz w:val="16"/>
        </w:rPr>
        <w:t>2</w:t>
      </w:r>
      <w:r>
        <w:t> </w:t>
      </w:r>
      <w:r>
        <w:rPr>
          <w:rFonts w:ascii="Symbol" w:hAnsi="Symbol"/>
        </w:rPr>
        <w:t></w:t>
      </w:r>
      <w:r>
        <w:t> </w:t>
      </w:r>
      <w:r>
        <w:rPr>
          <w:rFonts w:ascii="Symbol" w:hAnsi="Symbol"/>
        </w:rPr>
        <w:t></w:t>
      </w:r>
      <w:r>
        <w:t> 300 kHz. The results are given in Table 5.</w:t>
      </w:r>
    </w:p>
    <w:p w:rsidR="00E02DD3" w:rsidRDefault="00D7041B">
      <w:pPr>
        <w:pStyle w:val="Table"/>
      </w:pPr>
      <w:r>
        <w:rPr>
          <w:noProof/>
          <w:lang w:eastAsia="en-GB"/>
        </w:rPr>
        <mc:AlternateContent>
          <mc:Choice Requires="wps">
            <w:drawing>
              <wp:anchor distT="0" distB="0" distL="114300" distR="114300" simplePos="0" relativeHeight="251658752" behindDoc="0" locked="0" layoutInCell="0" allowOverlap="1">
                <wp:simplePos x="0" y="0"/>
                <wp:positionH relativeFrom="column">
                  <wp:posOffset>5412105</wp:posOffset>
                </wp:positionH>
                <wp:positionV relativeFrom="paragraph">
                  <wp:posOffset>165735</wp:posOffset>
                </wp:positionV>
                <wp:extent cx="631825" cy="271145"/>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2DD3" w:rsidRDefault="00E02D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26.15pt;margin-top:13.05pt;width:49.7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" o:allowincell="f" filled="f" stroked="f" strokeweight="0">
                <v:textbox inset="0,0,0,0">
                  <w:txbxContent>
                    <w:p w:rsidR="00E02DD3" w:rsidRDefault="00E02DD3"/>
                  </w:txbxContent>
                </v:textbox>
              </v:rect>
            </w:pict>
          </mc:Fallback>
        </mc:AlternateContent>
      </w:r>
      <w:r w:rsidR="007A3AF0">
        <w:t>TABLE  5</w:t>
      </w:r>
    </w:p>
    <w:p w:rsidR="00E02DD3" w:rsidRDefault="007A3AF0">
      <w:pPr>
        <w:pStyle w:val="TableTitle"/>
      </w:pPr>
      <w:r>
        <w:t>Examples of the reverse IM factor at FM transmitter sites</w:t>
      </w:r>
    </w:p>
    <w:p w:rsidR="00E02DD3" w:rsidRDefault="00E02DD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247"/>
        <w:gridCol w:w="1247"/>
        <w:gridCol w:w="1247"/>
        <w:gridCol w:w="1247"/>
        <w:gridCol w:w="1247"/>
      </w:tblGrid>
      <w:tr w:rsidR="00E02DD3">
        <w:tc>
          <w:tcPr>
            <w:tcW w:w="2268" w:type="dxa"/>
          </w:tcPr>
          <w:p w:rsidR="00E02DD3" w:rsidRDefault="007A3AF0">
            <w:pPr>
              <w:pStyle w:val="TableText"/>
              <w:framePr w:hSpace="181" w:wrap="notBeside" w:vAnchor="text" w:hAnchor="text" w:xAlign="center" w:y="1"/>
              <w:jc w:val="center"/>
            </w:pPr>
            <w:r>
              <w:t>Frequency</w:t>
            </w:r>
          </w:p>
        </w:tc>
        <w:tc>
          <w:tcPr>
            <w:tcW w:w="1247" w:type="dxa"/>
          </w:tcPr>
          <w:p w:rsidR="00E02DD3" w:rsidRDefault="007A3AF0">
            <w:pPr>
              <w:pStyle w:val="TableText"/>
              <w:framePr w:hSpace="181" w:wrap="notBeside" w:vAnchor="text" w:hAnchor="text" w:xAlign="center" w:y="1"/>
              <w:jc w:val="center"/>
            </w:pPr>
            <w:r>
              <w:rPr>
                <w:i/>
                <w:iCs/>
              </w:rPr>
              <w:t>f</w:t>
            </w:r>
            <w:r>
              <w:rPr>
                <w:position w:val="-4"/>
                <w:sz w:val="14"/>
              </w:rPr>
              <w:t>1</w:t>
            </w:r>
          </w:p>
        </w:tc>
        <w:tc>
          <w:tcPr>
            <w:tcW w:w="1247" w:type="dxa"/>
          </w:tcPr>
          <w:p w:rsidR="00E02DD3" w:rsidRDefault="007A3AF0">
            <w:pPr>
              <w:pStyle w:val="TableText"/>
              <w:framePr w:hSpace="181" w:wrap="notBeside" w:vAnchor="text" w:hAnchor="text" w:xAlign="center" w:y="1"/>
              <w:jc w:val="center"/>
            </w:pPr>
            <w:r>
              <w:rPr>
                <w:i/>
                <w:iCs/>
              </w:rPr>
              <w:t>f</w:t>
            </w:r>
            <w:r>
              <w:rPr>
                <w:position w:val="-4"/>
                <w:sz w:val="14"/>
              </w:rPr>
              <w:t>2</w:t>
            </w:r>
          </w:p>
        </w:tc>
        <w:tc>
          <w:tcPr>
            <w:tcW w:w="1247" w:type="dxa"/>
          </w:tcPr>
          <w:p w:rsidR="00E02DD3" w:rsidRDefault="007A3AF0">
            <w:pPr>
              <w:pStyle w:val="TableText"/>
              <w:framePr w:hSpace="181" w:wrap="notBeside" w:vAnchor="text" w:hAnchor="text" w:xAlign="center" w:y="1"/>
              <w:jc w:val="center"/>
            </w:pPr>
            <w:r>
              <w:rPr>
                <w:rFonts w:ascii="Tms Rmn" w:hAnsi="Tms Rmn"/>
              </w:rPr>
              <w:t>2</w:t>
            </w:r>
            <w:r>
              <w:rPr>
                <w:rFonts w:ascii="Tms Rmn" w:hAnsi="Tms Rmn"/>
                <w:sz w:val="12"/>
              </w:rPr>
              <w:t> </w:t>
            </w:r>
            <w:r>
              <w:rPr>
                <w:rFonts w:ascii="Tms Rmn" w:hAnsi="Tms Rmn"/>
                <w:i/>
                <w:iCs/>
              </w:rPr>
              <w:t>f</w:t>
            </w:r>
            <w:r>
              <w:rPr>
                <w:rFonts w:ascii="Tms Rmn" w:hAnsi="Tms Rmn"/>
                <w:position w:val="-4"/>
                <w:sz w:val="14"/>
              </w:rPr>
              <w:t>1</w:t>
            </w:r>
            <w:r>
              <w:t xml:space="preserve"> – </w:t>
            </w:r>
            <w:r>
              <w:rPr>
                <w:i/>
                <w:iCs/>
              </w:rPr>
              <w:t>f</w:t>
            </w:r>
            <w:r>
              <w:rPr>
                <w:position w:val="-4"/>
                <w:sz w:val="14"/>
              </w:rPr>
              <w:t>2</w:t>
            </w:r>
          </w:p>
        </w:tc>
        <w:tc>
          <w:tcPr>
            <w:tcW w:w="1247" w:type="dxa"/>
          </w:tcPr>
          <w:p w:rsidR="00E02DD3" w:rsidRDefault="007A3AF0">
            <w:pPr>
              <w:pStyle w:val="TableText"/>
              <w:framePr w:hSpace="181" w:wrap="notBeside" w:vAnchor="text" w:hAnchor="text" w:xAlign="center" w:y="1"/>
              <w:jc w:val="center"/>
            </w:pPr>
            <w:r>
              <w:t>2</w:t>
            </w:r>
            <w:r>
              <w:rPr>
                <w:rFonts w:ascii="Tms Rmn" w:hAnsi="Tms Rmn"/>
                <w:sz w:val="12"/>
              </w:rPr>
              <w:t> </w:t>
            </w:r>
            <w:r>
              <w:rPr>
                <w:i/>
                <w:iCs/>
              </w:rPr>
              <w:t>f</w:t>
            </w:r>
            <w:r>
              <w:rPr>
                <w:position w:val="-4"/>
                <w:sz w:val="14"/>
              </w:rPr>
              <w:t>2</w:t>
            </w:r>
            <w:r>
              <w:t xml:space="preserve"> – </w:t>
            </w:r>
            <w:r>
              <w:rPr>
                <w:i/>
                <w:iCs/>
              </w:rPr>
              <w:t>f</w:t>
            </w:r>
            <w:r>
              <w:rPr>
                <w:position w:val="-4"/>
                <w:sz w:val="14"/>
              </w:rPr>
              <w:t>1</w:t>
            </w:r>
          </w:p>
        </w:tc>
        <w:tc>
          <w:tcPr>
            <w:tcW w:w="1247" w:type="dxa"/>
          </w:tcPr>
          <w:p w:rsidR="00E02DD3" w:rsidRDefault="007A3AF0">
            <w:pPr>
              <w:pStyle w:val="TableText"/>
              <w:framePr w:hSpace="181" w:wrap="notBeside" w:vAnchor="text" w:hAnchor="text" w:xAlign="center" w:y="1"/>
              <w:jc w:val="center"/>
            </w:pPr>
            <w:r>
              <w:t>3</w:t>
            </w:r>
            <w:r>
              <w:rPr>
                <w:rFonts w:ascii="Tms Rmn" w:hAnsi="Tms Rmn"/>
                <w:sz w:val="12"/>
              </w:rPr>
              <w:t> </w:t>
            </w:r>
            <w:r>
              <w:rPr>
                <w:i/>
                <w:iCs/>
              </w:rPr>
              <w:t>f</w:t>
            </w:r>
            <w:r>
              <w:rPr>
                <w:position w:val="-4"/>
                <w:sz w:val="14"/>
              </w:rPr>
              <w:t>1</w:t>
            </w:r>
            <w:r>
              <w:t xml:space="preserve"> – </w:t>
            </w:r>
            <w:r>
              <w:rPr>
                <w:i/>
                <w:iCs/>
              </w:rPr>
              <w:t>f</w:t>
            </w:r>
            <w:r>
              <w:rPr>
                <w:position w:val="-4"/>
                <w:sz w:val="14"/>
              </w:rPr>
              <w:t>2</w:t>
            </w:r>
          </w:p>
        </w:tc>
      </w:tr>
      <w:tr w:rsidR="00E02DD3">
        <w:tc>
          <w:tcPr>
            <w:tcW w:w="2268" w:type="dxa"/>
          </w:tcPr>
          <w:p w:rsidR="00E02DD3" w:rsidRDefault="007A3AF0">
            <w:pPr>
              <w:pStyle w:val="TableText"/>
              <w:framePr w:hSpace="181" w:wrap="notBeside" w:vAnchor="text" w:hAnchor="text" w:xAlign="center" w:y="1"/>
              <w:jc w:val="left"/>
            </w:pPr>
            <w:r>
              <w:t>Absolute power (dBm)</w:t>
            </w:r>
          </w:p>
        </w:tc>
        <w:tc>
          <w:tcPr>
            <w:tcW w:w="1247" w:type="dxa"/>
          </w:tcPr>
          <w:p w:rsidR="00E02DD3" w:rsidRDefault="007A3AF0">
            <w:pPr>
              <w:pStyle w:val="TableText"/>
              <w:framePr w:hSpace="181" w:wrap="notBeside" w:vAnchor="text" w:hAnchor="text" w:xAlign="center" w:y="1"/>
              <w:jc w:val="center"/>
            </w:pPr>
            <w:r>
              <w:t>55</w:t>
            </w:r>
          </w:p>
        </w:tc>
        <w:tc>
          <w:tcPr>
            <w:tcW w:w="1247" w:type="dxa"/>
          </w:tcPr>
          <w:p w:rsidR="00E02DD3" w:rsidRDefault="007A3AF0">
            <w:pPr>
              <w:pStyle w:val="TableText"/>
              <w:framePr w:hSpace="181" w:wrap="notBeside" w:vAnchor="text" w:hAnchor="text" w:xAlign="center" w:y="1"/>
              <w:jc w:val="center"/>
            </w:pPr>
            <w:r>
              <w:t>25</w:t>
            </w:r>
          </w:p>
        </w:tc>
        <w:tc>
          <w:tcPr>
            <w:tcW w:w="1247" w:type="dxa"/>
          </w:tcPr>
          <w:p w:rsidR="00E02DD3" w:rsidRDefault="007A3AF0">
            <w:pPr>
              <w:pStyle w:val="TableText"/>
              <w:framePr w:hSpace="181" w:wrap="notBeside" w:vAnchor="text" w:hAnchor="text" w:xAlign="center" w:y="1"/>
              <w:jc w:val="center"/>
            </w:pPr>
            <w:r>
              <w:t>15</w:t>
            </w:r>
          </w:p>
        </w:tc>
        <w:tc>
          <w:tcPr>
            <w:tcW w:w="1247" w:type="dxa"/>
          </w:tcPr>
          <w:p w:rsidR="00E02DD3" w:rsidRDefault="007A3AF0">
            <w:pPr>
              <w:pStyle w:val="TableText"/>
              <w:framePr w:hSpace="181" w:wrap="notBeside" w:vAnchor="text" w:hAnchor="text" w:xAlign="center" w:y="1"/>
              <w:jc w:val="center"/>
            </w:pPr>
            <w:r>
              <w:t>–5</w:t>
            </w:r>
          </w:p>
        </w:tc>
        <w:tc>
          <w:tcPr>
            <w:tcW w:w="1247" w:type="dxa"/>
          </w:tcPr>
          <w:p w:rsidR="00E02DD3" w:rsidRDefault="007A3AF0">
            <w:pPr>
              <w:pStyle w:val="TableText"/>
              <w:framePr w:hSpace="181" w:wrap="notBeside" w:vAnchor="text" w:hAnchor="text" w:xAlign="center" w:y="1"/>
              <w:jc w:val="center"/>
            </w:pPr>
            <w:r>
              <w:t>–20</w:t>
            </w:r>
          </w:p>
        </w:tc>
      </w:tr>
      <w:tr w:rsidR="00E02DD3">
        <w:tc>
          <w:tcPr>
            <w:tcW w:w="2268" w:type="dxa"/>
          </w:tcPr>
          <w:p w:rsidR="00E02DD3" w:rsidRDefault="007A3AF0">
            <w:pPr>
              <w:pStyle w:val="TableText"/>
              <w:framePr w:hSpace="181" w:wrap="notBeside" w:vAnchor="text" w:hAnchor="text" w:xAlign="center" w:y="1"/>
              <w:jc w:val="left"/>
            </w:pPr>
            <w:r>
              <w:rPr>
                <w:i/>
                <w:iCs/>
              </w:rPr>
              <w:t>A</w:t>
            </w:r>
            <w:r>
              <w:rPr>
                <w:i/>
                <w:iCs/>
                <w:position w:val="-4"/>
                <w:sz w:val="14"/>
              </w:rPr>
              <w:t>RIM</w:t>
            </w:r>
            <w:r>
              <w:t xml:space="preserve"> (dB)</w:t>
            </w:r>
          </w:p>
        </w:tc>
        <w:tc>
          <w:tcPr>
            <w:tcW w:w="1247" w:type="dxa"/>
          </w:tcPr>
          <w:p w:rsidR="00E02DD3" w:rsidRDefault="007A3AF0">
            <w:pPr>
              <w:pStyle w:val="TableText"/>
              <w:framePr w:hSpace="181" w:wrap="notBeside" w:vAnchor="text" w:hAnchor="text" w:xAlign="center" w:y="1"/>
              <w:jc w:val="center"/>
            </w:pPr>
            <w:r>
              <w:t>–</w:t>
            </w:r>
          </w:p>
        </w:tc>
        <w:tc>
          <w:tcPr>
            <w:tcW w:w="1247" w:type="dxa"/>
          </w:tcPr>
          <w:p w:rsidR="00E02DD3" w:rsidRDefault="007A3AF0">
            <w:pPr>
              <w:pStyle w:val="TableText"/>
              <w:framePr w:hSpace="181" w:wrap="notBeside" w:vAnchor="text" w:hAnchor="text" w:xAlign="center" w:y="1"/>
              <w:jc w:val="center"/>
            </w:pPr>
            <w:r>
              <w:t>–</w:t>
            </w:r>
          </w:p>
        </w:tc>
        <w:tc>
          <w:tcPr>
            <w:tcW w:w="1247" w:type="dxa"/>
          </w:tcPr>
          <w:p w:rsidR="00E02DD3" w:rsidRDefault="007A3AF0">
            <w:pPr>
              <w:pStyle w:val="TableText"/>
              <w:framePr w:hSpace="181" w:wrap="notBeside" w:vAnchor="text" w:hAnchor="text" w:xAlign="center" w:y="1"/>
              <w:jc w:val="center"/>
            </w:pPr>
            <w:r>
              <w:t>10</w:t>
            </w:r>
          </w:p>
        </w:tc>
        <w:tc>
          <w:tcPr>
            <w:tcW w:w="1247" w:type="dxa"/>
          </w:tcPr>
          <w:p w:rsidR="00E02DD3" w:rsidRDefault="007A3AF0">
            <w:pPr>
              <w:pStyle w:val="TableText"/>
              <w:framePr w:hSpace="181" w:wrap="notBeside" w:vAnchor="text" w:hAnchor="text" w:xAlign="center" w:y="1"/>
              <w:jc w:val="center"/>
            </w:pPr>
            <w:r>
              <w:t>30</w:t>
            </w:r>
          </w:p>
        </w:tc>
        <w:tc>
          <w:tcPr>
            <w:tcW w:w="1247" w:type="dxa"/>
          </w:tcPr>
          <w:p w:rsidR="00E02DD3" w:rsidRDefault="007A3AF0">
            <w:pPr>
              <w:pStyle w:val="TableText"/>
              <w:framePr w:hSpace="181" w:wrap="notBeside" w:vAnchor="text" w:hAnchor="text" w:xAlign="center" w:y="1"/>
              <w:jc w:val="center"/>
            </w:pPr>
            <w:r>
              <w:t> </w:t>
            </w:r>
            <w:r>
              <w:rPr>
                <w:rFonts w:ascii="Tms Rmn" w:hAnsi="Tms Rmn"/>
                <w:sz w:val="12"/>
              </w:rPr>
              <w:t> </w:t>
            </w:r>
            <w:r>
              <w:t>45</w:t>
            </w:r>
          </w:p>
        </w:tc>
      </w:tr>
    </w:tbl>
    <w:p w:rsidR="00E02DD3" w:rsidRDefault="00E02DD3">
      <w:pPr>
        <w:pStyle w:val="Tablefin"/>
      </w:pPr>
    </w:p>
    <w:p w:rsidR="00E02DD3" w:rsidRDefault="007A3AF0">
      <w:r>
        <w:t>Typical values of the reverse IM factor for FM transmitters are 10 dB or larger. The use of isolators may increase the protection.</w:t>
      </w:r>
    </w:p>
    <w:p w:rsidR="00E02DD3" w:rsidRDefault="00E02DD3"/>
    <w:p w:rsidR="00E02DD3" w:rsidRDefault="00E02DD3">
      <w:pPr>
        <w:pStyle w:val="Line"/>
      </w:pPr>
    </w:p>
    <w:p w:rsidR="00E02DD3" w:rsidRDefault="00E02DD3"/>
    <w:p w:rsidR="00E02DD3" w:rsidRDefault="00E02DD3"/>
    <w:sectPr w:rsidR="00E02DD3" w:rsidSect="007A3AF0">
      <w:headerReference w:type="even" r:id="rId26"/>
      <w:headerReference w:type="default" r:id="rId27"/>
      <w:pgSz w:w="11913" w:h="16834"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DD3" w:rsidRDefault="007A3AF0">
      <w:pPr>
        <w:spacing w:before="0"/>
      </w:pPr>
      <w:r>
        <w:separator/>
      </w:r>
    </w:p>
  </w:endnote>
  <w:endnote w:type="continuationSeparator" w:id="0">
    <w:p w:rsidR="00E02DD3" w:rsidRDefault="007A3A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DD3" w:rsidRDefault="007A3AF0">
      <w:r>
        <w:rPr>
          <w:b/>
        </w:rPr>
        <w:t>_______________</w:t>
      </w:r>
    </w:p>
  </w:footnote>
  <w:footnote w:type="continuationSeparator" w:id="0">
    <w:p w:rsidR="00E02DD3" w:rsidRDefault="007A3AF0">
      <w:pPr>
        <w:spacing w:before="0"/>
      </w:pPr>
      <w:r>
        <w:continuationSeparator/>
      </w:r>
    </w:p>
  </w:footnote>
  <w:footnote w:id="1">
    <w:p w:rsidR="00D7041B" w:rsidRPr="00D7041B" w:rsidRDefault="00D7041B" w:rsidP="00E71BE0">
      <w:pPr>
        <w:pStyle w:val="FootnoteText"/>
        <w:ind w:left="313" w:hanging="313"/>
        <w:rPr>
          <w:lang w:val="en-US"/>
        </w:rPr>
      </w:pPr>
      <w:r>
        <w:rPr>
          <w:rStyle w:val="FootnoteReference"/>
        </w:rPr>
        <w:t>*</w:t>
      </w:r>
      <w:r>
        <w:tab/>
        <w:t xml:space="preserve">Radiocommunication Study Group 1 made editorial amendments to this Recommendation in </w:t>
      </w:r>
      <w:r w:rsidR="00E71BE0">
        <w:t>the year</w:t>
      </w:r>
      <w:r w:rsidR="006A0844">
        <w:t>s</w:t>
      </w:r>
      <w:r w:rsidR="00E71BE0">
        <w:t xml:space="preserve"> 2016 </w:t>
      </w:r>
      <w:r w:rsidR="006A0844">
        <w:t xml:space="preserve">and 2019 </w:t>
      </w:r>
      <w:r>
        <w:t xml:space="preserve">in accordance with </w:t>
      </w:r>
      <w:r w:rsidR="00E71BE0">
        <w:t>Resolution ITU-R 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F0" w:rsidRDefault="007A3AF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F0" w:rsidRDefault="007A3AF0" w:rsidP="00B033C8">
    <w:pPr>
      <w:pStyle w:val="Header"/>
      <w:ind w:right="360" w:firstLine="360"/>
    </w:pPr>
    <w:r>
      <w:rPr>
        <w:noProof/>
        <w:lang w:eastAsia="en-GB"/>
      </w:rPr>
      <w:drawing>
        <wp:anchor distT="0" distB="0" distL="114300" distR="114300" simplePos="0" relativeHeight="251659264" behindDoc="1" locked="0" layoutInCell="1" allowOverlap="1" wp14:anchorId="79D5557F" wp14:editId="083DD138">
          <wp:simplePos x="0" y="0"/>
          <wp:positionH relativeFrom="page">
            <wp:posOffset>0</wp:posOffset>
          </wp:positionH>
          <wp:positionV relativeFrom="page">
            <wp:posOffset>0</wp:posOffset>
          </wp:positionV>
          <wp:extent cx="7578725" cy="10724515"/>
          <wp:effectExtent l="19050" t="0" r="3175" b="0"/>
          <wp:wrapNone/>
          <wp:docPr id="15" name="Picture 15"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F0" w:rsidRPr="007A3AF0" w:rsidRDefault="007A3AF0" w:rsidP="007A3AF0">
    <w:pPr>
      <w:pStyle w:val="Header"/>
      <w:jc w:val="left"/>
      <w:rPr>
        <w:lang w:val="en-US"/>
      </w:rPr>
    </w:pPr>
    <w:r w:rsidRPr="007A3AF0">
      <w:rPr>
        <w:rStyle w:val="PageNumber"/>
      </w:rPr>
      <w:fldChar w:fldCharType="begin"/>
    </w:r>
    <w:r w:rsidRPr="007A3AF0">
      <w:rPr>
        <w:rStyle w:val="PageNumber"/>
        <w:lang w:val="en-US"/>
      </w:rPr>
      <w:instrText xml:space="preserve"> PAGE </w:instrText>
    </w:r>
    <w:r w:rsidRPr="007A3AF0">
      <w:rPr>
        <w:rStyle w:val="PageNumber"/>
      </w:rPr>
      <w:fldChar w:fldCharType="separate"/>
    </w:r>
    <w:r w:rsidR="00B97F55">
      <w:rPr>
        <w:rStyle w:val="PageNumber"/>
        <w:noProof/>
        <w:lang w:val="en-US"/>
      </w:rPr>
      <w:t>ii</w:t>
    </w:r>
    <w:r w:rsidRPr="007A3AF0">
      <w:rPr>
        <w:rStyle w:val="PageNumber"/>
      </w:rPr>
      <w:fldChar w:fldCharType="end"/>
    </w:r>
    <w:r w:rsidRPr="007A3AF0">
      <w:rPr>
        <w:lang w:val="en-US"/>
      </w:rPr>
      <w:tab/>
    </w:r>
    <w:r>
      <w:fldChar w:fldCharType="begin"/>
    </w:r>
    <w:r>
      <w:instrText>styleref head_foot</w:instrText>
    </w:r>
    <w:r>
      <w:fldChar w:fldCharType="separate"/>
    </w:r>
    <w:r w:rsidR="00B97F55">
      <w:rPr>
        <w:noProof/>
      </w:rPr>
      <w:t>Rec. ITU-R SM.1446</w:t>
    </w:r>
    <w:r>
      <w:fldChar w:fldCharType="end"/>
    </w:r>
    <w:r w:rsidR="006A0844">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AF0" w:rsidRDefault="007A3AF0">
    <w:pPr>
      <w:pStyle w:val="Header"/>
    </w:pPr>
    <w:r>
      <w:tab/>
    </w:r>
    <w:r>
      <w:fldChar w:fldCharType="begin"/>
    </w:r>
    <w:r>
      <w:instrText xml:space="preserve"> DOCPROPERTY "Header" \* MERGEFORMAT </w:instrText>
    </w:r>
    <w:r>
      <w:fldChar w:fldCharType="separate"/>
    </w:r>
    <w:r w:rsidR="00B97F55">
      <w:rPr>
        <w:b w:val="0"/>
        <w:bCs/>
        <w:lang w:val="en-US"/>
      </w:rPr>
      <w:t>Error! Unknown document property name.</w:t>
    </w:r>
    <w:r>
      <w:rPr>
        <w:b w:val="0"/>
        <w:bCs/>
      </w:rPr>
      <w:fldChar w:fldCharType="end"/>
    </w:r>
    <w:r>
      <w:rPr>
        <w:b w:val="0"/>
        <w:bCs/>
      </w:rPr>
      <w:t xml:space="preserve"> </w:t>
    </w:r>
    <w:r>
      <w:rPr>
        <w:b w:val="0"/>
        <w:bCs/>
      </w:rPr>
      <w:fldChar w:fldCharType="begin"/>
    </w:r>
    <w:r>
      <w:rPr>
        <w:b w:val="0"/>
        <w:bCs/>
      </w:rPr>
      <w:instrText>styleref href</w:instrText>
    </w:r>
    <w:r>
      <w:rPr>
        <w:b w:val="0"/>
        <w:bCs/>
      </w:rPr>
      <w:fldChar w:fldCharType="separate"/>
    </w:r>
    <w:r w:rsidR="00B97F55">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 w:val="0"/>
        <w:bCs/>
      </w:rPr>
      <w:instrText xml:space="preserve"> PAGE </w:instrText>
    </w:r>
    <w:r>
      <w:rPr>
        <w:rStyle w:val="PageNumber"/>
        <w:b w:val="0"/>
        <w:bCs/>
      </w:rPr>
      <w:fldChar w:fldCharType="separate"/>
    </w:r>
    <w:r>
      <w:rPr>
        <w:rStyle w:val="PageNumber"/>
        <w:b w:val="0"/>
        <w:bCs/>
        <w:noProof/>
      </w:rPr>
      <w:t>1</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DD3" w:rsidRDefault="007A3AF0">
    <w:pPr>
      <w:pStyle w:val="Header"/>
    </w:pPr>
    <w:r>
      <w:fldChar w:fldCharType="begin"/>
    </w:r>
    <w:r>
      <w:instrText>PAGE</w:instrText>
    </w:r>
    <w:r>
      <w:fldChar w:fldCharType="separate"/>
    </w:r>
    <w:r w:rsidR="00B97F55">
      <w:rPr>
        <w:noProof/>
      </w:rPr>
      <w:t>14</w:t>
    </w:r>
    <w:r>
      <w:fldChar w:fldCharType="end"/>
    </w:r>
    <w:r>
      <w:tab/>
    </w:r>
    <w:r>
      <w:fldChar w:fldCharType="begin"/>
    </w:r>
    <w:r>
      <w:instrText>styleref head_foot</w:instrText>
    </w:r>
    <w:r>
      <w:fldChar w:fldCharType="separate"/>
    </w:r>
    <w:r w:rsidR="00B97F55">
      <w:rPr>
        <w:noProof/>
      </w:rPr>
      <w:t>Rec. ITU-R SM.1446</w:t>
    </w:r>
    <w:r>
      <w:fldChar w:fldCharType="end"/>
    </w:r>
    <w:r w:rsidR="006A0844">
      <w:t>-0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DD3" w:rsidRDefault="007A3AF0">
    <w:pPr>
      <w:pStyle w:val="Header"/>
    </w:pPr>
    <w:r>
      <w:tab/>
    </w:r>
    <w:r>
      <w:fldChar w:fldCharType="begin"/>
    </w:r>
    <w:r>
      <w:instrText>styleref head_foot</w:instrText>
    </w:r>
    <w:r>
      <w:fldChar w:fldCharType="separate"/>
    </w:r>
    <w:r w:rsidR="00B97F55">
      <w:rPr>
        <w:noProof/>
      </w:rPr>
      <w:t>Rec. ITU-R SM.1446</w:t>
    </w:r>
    <w:r>
      <w:fldChar w:fldCharType="end"/>
    </w:r>
    <w:r w:rsidR="006A0844">
      <w:t>-0</w:t>
    </w:r>
    <w:r>
      <w:tab/>
    </w:r>
    <w:r>
      <w:fldChar w:fldCharType="begin"/>
    </w:r>
    <w:r>
      <w:instrText>PAGE</w:instrText>
    </w:r>
    <w:r>
      <w:fldChar w:fldCharType="separate"/>
    </w:r>
    <w:r w:rsidR="00B97F55">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D4CD694"/>
    <w:lvl w:ilvl="0">
      <w:numFmt w:val="decimal"/>
      <w:lvlText w:val="*"/>
      <w:lvlJc w:val="left"/>
    </w:lvl>
  </w:abstractNum>
  <w:abstractNum w:abstractNumId="1" w15:restartNumberingAfterBreak="0">
    <w:nsid w:val="377B38B9"/>
    <w:multiLevelType w:val="singleLevel"/>
    <w:tmpl w:val="B0EA7884"/>
    <w:lvl w:ilvl="0">
      <w:start w:val="1"/>
      <w:numFmt w:val="decimal"/>
      <w:lvlText w:val="48.%1 "/>
      <w:legacy w:legacy="1" w:legacySpace="0" w:legacyIndent="283"/>
      <w:lvlJc w:val="left"/>
      <w:pPr>
        <w:ind w:left="567" w:hanging="283"/>
      </w:pPr>
      <w:rPr>
        <w:b w:val="0"/>
        <w:i w:val="0"/>
        <w:sz w:val="22"/>
      </w:rPr>
    </w:lvl>
  </w:abstractNum>
  <w:abstractNum w:abstractNumId="2" w15:restartNumberingAfterBreak="0">
    <w:nsid w:val="632B4690"/>
    <w:multiLevelType w:val="singleLevel"/>
    <w:tmpl w:val="B0EA7884"/>
    <w:lvl w:ilvl="0">
      <w:start w:val="1"/>
      <w:numFmt w:val="decimal"/>
      <w:lvlText w:val="48.%1 "/>
      <w:legacy w:legacy="1" w:legacySpace="0" w:legacyIndent="283"/>
      <w:lvlJc w:val="left"/>
      <w:pPr>
        <w:ind w:left="567" w:hanging="283"/>
      </w:pPr>
      <w:rPr>
        <w:b w:val="0"/>
        <w:i w:val="0"/>
        <w:sz w:val="22"/>
      </w:rPr>
    </w:lvl>
  </w:abstractNum>
  <w:num w:numId="1">
    <w:abstractNumId w:val="0"/>
    <w:lvlOverride w:ilvl="0">
      <w:lvl w:ilvl="0">
        <w:start w:val="3"/>
        <w:numFmt w:val="bullet"/>
        <w:lvlText w:val="–"/>
        <w:legacy w:legacy="1" w:legacySpace="0" w:legacyIndent="795"/>
        <w:lvlJc w:val="left"/>
        <w:pPr>
          <w:ind w:left="795" w:hanging="795"/>
        </w:p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41B"/>
    <w:rsid w:val="000751E5"/>
    <w:rsid w:val="002F4913"/>
    <w:rsid w:val="005C3584"/>
    <w:rsid w:val="00611409"/>
    <w:rsid w:val="006A0844"/>
    <w:rsid w:val="007A3AF0"/>
    <w:rsid w:val="00B97F55"/>
    <w:rsid w:val="00D7041B"/>
    <w:rsid w:val="00E02DD3"/>
    <w:rsid w:val="00E71B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7"/>
    <o:shapelayout v:ext="edit">
      <o:idmap v:ext="edit" data="1"/>
    </o:shapelayout>
  </w:shapeDefaults>
  <w:decimalSymbol w:val="."/>
  <w:listSeparator w:val=","/>
  <w14:docId w14:val="50D18289"/>
  <w15:docId w15:val="{D8D97997-0303-4421-B0C2-0A2850FD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rPr>
  </w:style>
  <w:style w:type="paragraph" w:customStyle="1" w:styleId="toc0">
    <w:name w:val="toc 0"/>
    <w:basedOn w:val="Normal"/>
    <w:next w:val="TOC1"/>
    <w:pPr>
      <w:tabs>
        <w:tab w:val="clear" w:pos="794"/>
        <w:tab w:val="clear" w:pos="1191"/>
        <w:tab w:val="clear" w:pos="1588"/>
        <w:tab w:val="clear" w:pos="1985"/>
        <w:tab w:val="right" w:pos="9781"/>
      </w:tabs>
      <w:overflowPunct/>
      <w:autoSpaceDE/>
      <w:autoSpaceDN/>
      <w:adjustRightInd/>
      <w:spacing w:before="120"/>
      <w:jc w:val="left"/>
      <w:textAlignment w:val="auto"/>
    </w:pPr>
    <w:rPr>
      <w:b/>
      <w:sz w:val="24"/>
    </w:rPr>
  </w:style>
  <w:style w:type="paragraph" w:styleId="List">
    <w:name w:val="List"/>
    <w:basedOn w:val="Normal"/>
    <w:semiHidden/>
    <w:pPr>
      <w:tabs>
        <w:tab w:val="clear" w:pos="794"/>
        <w:tab w:val="clear" w:pos="1191"/>
        <w:tab w:val="clear" w:pos="1588"/>
        <w:tab w:val="clear" w:pos="1985"/>
        <w:tab w:val="left" w:pos="1701"/>
        <w:tab w:val="left" w:pos="2127"/>
      </w:tabs>
      <w:overflowPunct/>
      <w:autoSpaceDE/>
      <w:autoSpaceDN/>
      <w:adjustRightInd/>
      <w:spacing w:before="120"/>
      <w:ind w:left="2127" w:hanging="2127"/>
      <w:jc w:val="left"/>
      <w:textAlignment w:val="auto"/>
    </w:pPr>
    <w:rPr>
      <w:sz w:val="24"/>
    </w:rPr>
  </w:style>
  <w:style w:type="paragraph" w:customStyle="1" w:styleId="Infodoc">
    <w:name w:val="Infodoc"/>
    <w:basedOn w:val="Normal"/>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sz w:val="24"/>
    </w:rPr>
  </w:style>
  <w:style w:type="paragraph" w:customStyle="1" w:styleId="Part0">
    <w:name w:val="Part"/>
    <w:basedOn w:val="Normal"/>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sz w:val="24"/>
    </w:rPr>
  </w:style>
  <w:style w:type="paragraph" w:customStyle="1" w:styleId="Address">
    <w:name w:val="Address"/>
    <w:basedOn w:val="Normal"/>
    <w:pPr>
      <w:tabs>
        <w:tab w:val="clear" w:pos="794"/>
        <w:tab w:val="clear" w:pos="1191"/>
        <w:tab w:val="clear" w:pos="1588"/>
        <w:tab w:val="clear" w:pos="1985"/>
        <w:tab w:val="left" w:pos="4820"/>
        <w:tab w:val="left" w:pos="5529"/>
      </w:tabs>
      <w:overflowPunct/>
      <w:autoSpaceDE/>
      <w:autoSpaceDN/>
      <w:adjustRightInd/>
      <w:spacing w:before="120"/>
      <w:ind w:left="794"/>
      <w:jc w:val="left"/>
      <w:textAlignment w:val="auto"/>
    </w:pPr>
    <w:rPr>
      <w:sz w:val="24"/>
    </w:rPr>
  </w:style>
  <w:style w:type="paragraph" w:customStyle="1" w:styleId="Keywords">
    <w:name w:val="Keywords"/>
    <w:basedOn w:val="Normal"/>
    <w:pPr>
      <w:tabs>
        <w:tab w:val="clear" w:pos="1191"/>
        <w:tab w:val="clear" w:pos="1588"/>
      </w:tabs>
      <w:overflowPunct/>
      <w:autoSpaceDE/>
      <w:autoSpaceDN/>
      <w:adjustRightInd/>
      <w:spacing w:before="120"/>
      <w:ind w:left="794" w:hanging="794"/>
      <w:jc w:val="left"/>
      <w:textAlignment w:val="auto"/>
    </w:pPr>
    <w:rPr>
      <w:sz w:val="24"/>
    </w:rPr>
  </w:style>
  <w:style w:type="paragraph" w:customStyle="1" w:styleId="EquationLegend">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rPr>
  </w:style>
  <w:style w:type="paragraph" w:customStyle="1" w:styleId="Title1">
    <w:name w:val="Title 1"/>
    <w:basedOn w:val="Rec"/>
    <w:next w:val="Heading1"/>
    <w:pPr>
      <w:tabs>
        <w:tab w:val="clear" w:pos="4849"/>
        <w:tab w:val="clear" w:pos="9696"/>
        <w:tab w:val="left" w:pos="794"/>
        <w:tab w:val="left" w:pos="1191"/>
        <w:tab w:val="left" w:pos="1588"/>
        <w:tab w:val="left" w:pos="1985"/>
      </w:tabs>
      <w:overflowPunct/>
      <w:autoSpaceDE/>
      <w:autoSpaceDN/>
      <w:adjustRightInd/>
      <w:spacing w:before="480"/>
      <w:textAlignment w:val="auto"/>
    </w:pPr>
    <w:rPr>
      <w:caps/>
      <w:sz w:val="24"/>
    </w:rPr>
  </w:style>
  <w:style w:type="paragraph" w:customStyle="1" w:styleId="meeting">
    <w:name w:val="meeting"/>
    <w:basedOn w:val="Head"/>
    <w:next w:val="Head"/>
    <w:pPr>
      <w:tabs>
        <w:tab w:val="left" w:pos="7371"/>
      </w:tabs>
      <w:spacing w:after="560"/>
    </w:pPr>
  </w:style>
  <w:style w:type="paragraph" w:customStyle="1" w:styleId="Qlist">
    <w:name w:val="Qlist"/>
    <w:basedOn w:val="Normal"/>
    <w:pPr>
      <w:tabs>
        <w:tab w:val="clear" w:pos="794"/>
        <w:tab w:val="clear" w:pos="1191"/>
        <w:tab w:val="clear" w:pos="1588"/>
        <w:tab w:val="clear" w:pos="1985"/>
        <w:tab w:val="left" w:pos="1843"/>
        <w:tab w:val="left" w:pos="2268"/>
      </w:tabs>
      <w:overflowPunct/>
      <w:autoSpaceDE/>
      <w:autoSpaceDN/>
      <w:adjustRightInd/>
      <w:spacing w:before="120"/>
      <w:ind w:left="2268" w:hanging="2268"/>
      <w:jc w:val="left"/>
      <w:textAlignment w:val="auto"/>
    </w:pPr>
    <w:rPr>
      <w:b/>
      <w:sz w:val="24"/>
    </w:rPr>
  </w:style>
  <w:style w:type="paragraph" w:customStyle="1" w:styleId="Subject">
    <w:name w:val="Subject"/>
    <w:basedOn w:val="Normal"/>
    <w:next w:val="Sourc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sz w:val="24"/>
    </w:rPr>
  </w:style>
  <w:style w:type="paragraph" w:customStyle="1" w:styleId="Source">
    <w:name w:val="Source"/>
    <w:basedOn w:val="Normal"/>
    <w:next w:val="Rec"/>
    <w:pPr>
      <w:tabs>
        <w:tab w:val="clear" w:pos="794"/>
        <w:tab w:val="clear" w:pos="1191"/>
        <w:tab w:val="clear" w:pos="1588"/>
        <w:tab w:val="clear" w:pos="1985"/>
      </w:tabs>
      <w:overflowPunct/>
      <w:autoSpaceDE/>
      <w:autoSpaceDN/>
      <w:adjustRightInd/>
      <w:spacing w:before="720"/>
      <w:jc w:val="center"/>
      <w:textAlignment w:val="auto"/>
    </w:pPr>
    <w:rPr>
      <w:b/>
      <w:sz w:val="24"/>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rPr>
  </w:style>
  <w:style w:type="paragraph" w:customStyle="1" w:styleId="Title3">
    <w:name w:val="Title 3"/>
    <w:basedOn w:val="Title2"/>
    <w:next w:val="Title4"/>
    <w:pPr>
      <w:spacing w:before="240"/>
    </w:pPr>
    <w:rPr>
      <w:b/>
    </w:rPr>
  </w:style>
  <w:style w:type="paragraph" w:customStyle="1" w:styleId="Title4">
    <w:name w:val="Title 4"/>
    <w:basedOn w:val="Title3"/>
    <w:next w:val="Heading1"/>
    <w:pPr>
      <w:tabs>
        <w:tab w:val="left" w:pos="7513"/>
      </w:tabs>
    </w:pPr>
    <w:rPr>
      <w:b w:val="0"/>
    </w:rPr>
  </w:style>
  <w:style w:type="paragraph" w:styleId="TOC9">
    <w:name w:val="toc 9"/>
    <w:basedOn w:val="TOC3"/>
    <w:next w:val="Normal"/>
    <w:autoRedefine/>
    <w:semiHidden/>
    <w:pPr>
      <w:keepNext w:val="0"/>
      <w:tabs>
        <w:tab w:val="clear" w:pos="2041"/>
        <w:tab w:val="clear" w:pos="9072"/>
        <w:tab w:val="clear" w:pos="9725"/>
        <w:tab w:val="left" w:pos="794"/>
        <w:tab w:val="left" w:leader="dot" w:pos="8789"/>
        <w:tab w:val="right" w:pos="9639"/>
      </w:tabs>
      <w:overflowPunct/>
      <w:autoSpaceDE/>
      <w:autoSpaceDN/>
      <w:adjustRightInd/>
      <w:spacing w:before="80"/>
      <w:ind w:left="794" w:right="0"/>
      <w:jc w:val="left"/>
      <w:textAlignment w:val="auto"/>
    </w:pPr>
    <w:rPr>
      <w:sz w:val="24"/>
    </w:rPr>
  </w:style>
  <w:style w:type="paragraph" w:customStyle="1" w:styleId="SpecialFooter">
    <w:name w:val="Special Footer"/>
    <w:basedOn w:val="Footer"/>
    <w:pPr>
      <w:tabs>
        <w:tab w:val="clear" w:pos="4849"/>
        <w:tab w:val="clear" w:pos="9696"/>
        <w:tab w:val="left" w:pos="5954"/>
        <w:tab w:val="right" w:pos="9639"/>
      </w:tabs>
      <w:overflowPunct/>
      <w:autoSpaceDE/>
      <w:autoSpaceDN/>
      <w:adjustRightInd/>
      <w:spacing w:before="0"/>
      <w:jc w:val="both"/>
      <w:textAlignment w:val="auto"/>
    </w:pPr>
    <w:rPr>
      <w:b w:val="0"/>
      <w:sz w:val="18"/>
    </w:rPr>
  </w:style>
  <w:style w:type="paragraph" w:customStyle="1" w:styleId="Statement">
    <w:name w:val="Statement"/>
    <w:basedOn w:val="SpecialFooter"/>
    <w:rPr>
      <w:b/>
      <w:sz w:val="22"/>
      <w:u w:val="single"/>
    </w:rPr>
  </w:style>
  <w:style w:type="paragraph" w:customStyle="1" w:styleId="headingb">
    <w:name w:val="heading_b"/>
    <w:basedOn w:val="Heading3"/>
    <w:next w:val="Normal"/>
    <w:pPr>
      <w:tabs>
        <w:tab w:val="left" w:pos="2127"/>
        <w:tab w:val="left" w:pos="2410"/>
        <w:tab w:val="left" w:pos="2921"/>
        <w:tab w:val="left" w:pos="3261"/>
      </w:tabs>
      <w:overflowPunct/>
      <w:autoSpaceDE/>
      <w:autoSpaceDN/>
      <w:adjustRightInd/>
      <w:spacing w:before="160"/>
      <w:ind w:left="0" w:firstLine="0"/>
      <w:jc w:val="left"/>
      <w:textAlignment w:val="auto"/>
      <w:outlineLvl w:val="9"/>
    </w:pPr>
    <w:rPr>
      <w:sz w:val="24"/>
    </w:rPr>
  </w:style>
  <w:style w:type="paragraph" w:customStyle="1" w:styleId="headingi">
    <w:name w:val="heading_i"/>
    <w:basedOn w:val="Heading3"/>
    <w:next w:val="Normal"/>
    <w:pPr>
      <w:tabs>
        <w:tab w:val="left" w:pos="2127"/>
        <w:tab w:val="left" w:pos="2410"/>
        <w:tab w:val="left" w:pos="2921"/>
        <w:tab w:val="left" w:pos="3261"/>
      </w:tabs>
      <w:overflowPunct/>
      <w:autoSpaceDE/>
      <w:autoSpaceDN/>
      <w:adjustRightInd/>
      <w:spacing w:before="160"/>
      <w:ind w:left="0" w:firstLine="0"/>
      <w:jc w:val="left"/>
      <w:textAlignment w:val="auto"/>
      <w:outlineLvl w:val="9"/>
    </w:pPr>
    <w:rPr>
      <w:b w:val="0"/>
      <w:i/>
      <w:sz w:val="24"/>
    </w:rPr>
  </w:style>
  <w:style w:type="paragraph" w:customStyle="1" w:styleId="foot">
    <w:name w:val="foot"/>
    <w:basedOn w:val="headfoot"/>
  </w:style>
  <w:style w:type="character" w:styleId="PageNumber">
    <w:name w:val="page number"/>
    <w:basedOn w:val="DefaultParagraphFont"/>
  </w:style>
  <w:style w:type="paragraph" w:customStyle="1" w:styleId="Tablehead0">
    <w:name w:val="Table_head"/>
    <w:basedOn w:val="Normal"/>
    <w:next w:val="Normal"/>
    <w:rsid w:val="007A3A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7A3A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7A3AF0"/>
    <w:pPr>
      <w:keepNext/>
      <w:keepLines/>
      <w:spacing w:before="240"/>
      <w:jc w:val="center"/>
    </w:pPr>
    <w:rPr>
      <w:b/>
      <w:sz w:val="28"/>
      <w:lang w:val="fr-FR"/>
    </w:rPr>
  </w:style>
  <w:style w:type="character" w:styleId="Hyperlink">
    <w:name w:val="Hyperlink"/>
    <w:basedOn w:val="DefaultParagraphFont"/>
    <w:rsid w:val="007A3AF0"/>
    <w:rPr>
      <w:color w:val="0000FF"/>
      <w:u w:val="single"/>
    </w:rPr>
  </w:style>
  <w:style w:type="paragraph" w:customStyle="1" w:styleId="Headingb0">
    <w:name w:val="Heading_b"/>
    <w:basedOn w:val="Normal"/>
    <w:next w:val="Normal"/>
    <w:qFormat/>
    <w:rsid w:val="006A0844"/>
    <w:pPr>
      <w:keepNext/>
      <w:keepLines/>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6</TotalTime>
  <Pages>17</Pages>
  <Words>5164</Words>
  <Characters>29437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SM.1446 - Definition and measurement of intermodulation products in transmitter using frequency, phase, or complex modulation techniques</vt:lpstr>
    </vt:vector>
  </TitlesOfParts>
  <Manager>CP..1706 / DD</Manager>
  <Company>ITU</Company>
  <LinksUpToDate>false</LinksUpToDate>
  <CharactersWithSpaces>34532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SM.1446 - Definition and measurement of intermodulation products in transmitter using frequency, phase, or complex modulation techniques</dc:title>
  <dc:subject>SM Series = Spectrum management</dc:subject>
  <dc:creator>ITU Radiocommunication Bureau (BR)</dc:creator>
  <cp:keywords>SM, 1446</cp:keywords>
  <dc:description>Saisie + MEP + Ins. FIG:  13.06.2000/DD  (dict. ok)_x000d_
Corr. BAT:   16.06.2000/DD_x000d_
Ultimes:        19.06.2000/JC</dc:description>
  <cp:lastModifiedBy>Gachet, Christelle</cp:lastModifiedBy>
  <cp:revision>8</cp:revision>
  <cp:lastPrinted>2019-09-13T11:52:00Z</cp:lastPrinted>
  <dcterms:created xsi:type="dcterms:W3CDTF">2016-06-28T13:11:00Z</dcterms:created>
  <dcterms:modified xsi:type="dcterms:W3CDTF">2019-09-13T11:54:00Z</dcterms:modified>
  <cp:category>WW9 / Folios: 1 - 15</cp:category>
</cp:coreProperties>
</file>