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7E7D20" w14:textId="77777777" w:rsidR="00663E65" w:rsidRPr="00575CB8" w:rsidRDefault="00663E65" w:rsidP="00663E65">
      <w:pPr>
        <w:rPr>
          <w:lang w:val="en-US"/>
        </w:rPr>
      </w:pPr>
      <w:bookmarkStart w:id="0" w:name="irecnoe"/>
      <w:bookmarkStart w:id="1" w:name="dbreak"/>
      <w:bookmarkEnd w:id="0"/>
      <w:bookmarkEnd w:id="1"/>
    </w:p>
    <w:p w14:paraId="55933802" w14:textId="77777777" w:rsidR="00663E65" w:rsidRDefault="00663E65" w:rsidP="00663E65"/>
    <w:p w14:paraId="0BD88E4E" w14:textId="77777777" w:rsidR="00663E65" w:rsidRDefault="00663E65" w:rsidP="00663E65"/>
    <w:p w14:paraId="0DD7F731" w14:textId="77777777" w:rsidR="00663E65" w:rsidRDefault="00663E65" w:rsidP="00663E65"/>
    <w:p w14:paraId="3132D6C3" w14:textId="77777777" w:rsidR="00663E65" w:rsidRDefault="00663E65" w:rsidP="00663E65"/>
    <w:p w14:paraId="0665C704" w14:textId="77777777" w:rsidR="00663E65" w:rsidRDefault="00663E65" w:rsidP="00663E65"/>
    <w:p w14:paraId="0990A592" w14:textId="77777777" w:rsidR="00663E65" w:rsidRDefault="00663E65" w:rsidP="00663E65"/>
    <w:p w14:paraId="0D2C7F99" w14:textId="77777777" w:rsidR="00663E65" w:rsidRDefault="00663E65" w:rsidP="00663E65"/>
    <w:p w14:paraId="7F27D4D7" w14:textId="77777777" w:rsidR="00663E65" w:rsidRDefault="00663E65" w:rsidP="00663E65"/>
    <w:p w14:paraId="361D2827" w14:textId="77777777" w:rsidR="00663E65" w:rsidRDefault="00663E65" w:rsidP="00663E65"/>
    <w:p w14:paraId="179A3750" w14:textId="77777777" w:rsidR="00663E65" w:rsidRDefault="00663E65" w:rsidP="00663E65"/>
    <w:p w14:paraId="1248B50F" w14:textId="77777777" w:rsidR="00663E65" w:rsidRDefault="00663E65" w:rsidP="00663E65"/>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663E65" w:rsidRPr="00663E65" w14:paraId="3AB7B83A" w14:textId="77777777" w:rsidTr="00DF0230">
        <w:tc>
          <w:tcPr>
            <w:tcW w:w="10089" w:type="dxa"/>
          </w:tcPr>
          <w:p w14:paraId="0A56AE62" w14:textId="77777777" w:rsidR="00663E65" w:rsidRPr="0010336F" w:rsidRDefault="00663E65" w:rsidP="00DF0230">
            <w:pPr>
              <w:spacing w:before="380" w:line="280" w:lineRule="exact"/>
              <w:jc w:val="right"/>
              <w:rPr>
                <w:rFonts w:ascii="Tahoma" w:hAnsi="Tahoma" w:cs="Tahoma"/>
                <w:b/>
                <w:bCs/>
                <w:iCs/>
                <w:color w:val="243285"/>
                <w:sz w:val="32"/>
                <w:szCs w:val="32"/>
                <w:lang w:val="en-US"/>
              </w:rPr>
            </w:pPr>
          </w:p>
          <w:p w14:paraId="3A6CA657" w14:textId="67E94854" w:rsidR="00663E65" w:rsidRPr="0010336F" w:rsidRDefault="00663E65" w:rsidP="000D5059">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 xml:space="preserve">-R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sidR="000D5059">
              <w:rPr>
                <w:rFonts w:ascii="Tahoma" w:hAnsi="Tahoma" w:cs="Tahoma"/>
                <w:b/>
                <w:bCs/>
                <w:iCs/>
                <w:color w:val="243285"/>
                <w:sz w:val="36"/>
                <w:szCs w:val="36"/>
                <w:lang w:val="es-ES_tradnl"/>
              </w:rPr>
              <w:t>1394</w:t>
            </w:r>
            <w:r w:rsidR="0084016E">
              <w:rPr>
                <w:rFonts w:ascii="Tahoma" w:hAnsi="Tahoma" w:cs="Tahoma"/>
                <w:b/>
                <w:bCs/>
                <w:iCs/>
                <w:color w:val="243285"/>
                <w:sz w:val="36"/>
                <w:szCs w:val="36"/>
                <w:lang w:val="es-ES_tradnl"/>
              </w:rPr>
              <w:t>-0</w:t>
            </w:r>
          </w:p>
          <w:p w14:paraId="75362F0B" w14:textId="77777777" w:rsidR="00663E65" w:rsidRPr="0010336F" w:rsidRDefault="00663E65" w:rsidP="000D505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0D5059">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sidR="000D5059">
              <w:rPr>
                <w:rFonts w:ascii="Tahoma" w:hAnsi="Tahoma" w:cs="Tahoma"/>
                <w:b/>
                <w:bCs/>
                <w:iCs/>
                <w:color w:val="243285"/>
                <w:szCs w:val="24"/>
                <w:lang w:val="es-ES_tradnl"/>
              </w:rPr>
              <w:t>1999</w:t>
            </w:r>
            <w:r w:rsidRPr="0010336F">
              <w:rPr>
                <w:rFonts w:ascii="Tahoma" w:hAnsi="Tahoma" w:cs="Tahoma"/>
                <w:b/>
                <w:bCs/>
                <w:iCs/>
                <w:color w:val="243285"/>
                <w:szCs w:val="24"/>
                <w:lang w:val="es-ES_tradnl"/>
              </w:rPr>
              <w:t>)</w:t>
            </w:r>
          </w:p>
        </w:tc>
      </w:tr>
      <w:tr w:rsidR="00663E65" w:rsidRPr="0084016E" w14:paraId="3423B6F2" w14:textId="77777777" w:rsidTr="00DF0230">
        <w:tc>
          <w:tcPr>
            <w:tcW w:w="10089" w:type="dxa"/>
          </w:tcPr>
          <w:p w14:paraId="35234D08" w14:textId="77777777" w:rsidR="00663E65" w:rsidRPr="0010336F" w:rsidRDefault="00663E65" w:rsidP="00DF0230">
            <w:pPr>
              <w:spacing w:before="80" w:line="500" w:lineRule="exact"/>
              <w:jc w:val="right"/>
              <w:rPr>
                <w:rFonts w:ascii="Tahoma" w:hAnsi="Tahoma" w:cs="Tahoma"/>
                <w:b/>
                <w:bCs/>
                <w:iCs/>
                <w:color w:val="243285"/>
                <w:sz w:val="44"/>
                <w:szCs w:val="44"/>
                <w:lang w:val="es-ES_tradnl"/>
              </w:rPr>
            </w:pPr>
          </w:p>
          <w:p w14:paraId="264EFC15" w14:textId="77777777" w:rsidR="00663E65" w:rsidRDefault="000D5059" w:rsidP="00C16685">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Formato común para un M</w:t>
            </w:r>
            <w:r w:rsidR="004B29C9">
              <w:rPr>
                <w:rFonts w:ascii="Tahoma" w:hAnsi="Tahoma" w:cs="Tahoma"/>
                <w:b/>
                <w:bCs/>
                <w:color w:val="243285"/>
                <w:sz w:val="44"/>
                <w:szCs w:val="44"/>
                <w:lang w:val="es-ES_tradnl"/>
              </w:rPr>
              <w:t>e</w:t>
            </w:r>
            <w:r>
              <w:rPr>
                <w:rFonts w:ascii="Tahoma" w:hAnsi="Tahoma" w:cs="Tahoma"/>
                <w:b/>
                <w:bCs/>
                <w:color w:val="243285"/>
                <w:sz w:val="44"/>
                <w:szCs w:val="44"/>
                <w:lang w:val="es-ES_tradnl"/>
              </w:rPr>
              <w:t>mor</w:t>
            </w:r>
            <w:r w:rsidR="004B29C9">
              <w:rPr>
                <w:rFonts w:ascii="Tahoma" w:hAnsi="Tahoma" w:cs="Tahoma"/>
                <w:b/>
                <w:bCs/>
                <w:color w:val="243285"/>
                <w:sz w:val="44"/>
                <w:szCs w:val="44"/>
                <w:lang w:val="es-ES_tradnl"/>
              </w:rPr>
              <w:t>á</w:t>
            </w:r>
            <w:r>
              <w:rPr>
                <w:rFonts w:ascii="Tahoma" w:hAnsi="Tahoma" w:cs="Tahoma"/>
                <w:b/>
                <w:bCs/>
                <w:color w:val="243285"/>
                <w:sz w:val="44"/>
                <w:szCs w:val="44"/>
                <w:lang w:val="es-ES_tradnl"/>
              </w:rPr>
              <w:t xml:space="preserve">ndum de </w:t>
            </w:r>
            <w:r w:rsidR="007B5515">
              <w:rPr>
                <w:rFonts w:ascii="Tahoma" w:hAnsi="Tahoma" w:cs="Tahoma"/>
                <w:b/>
                <w:bCs/>
                <w:color w:val="243285"/>
                <w:sz w:val="44"/>
                <w:szCs w:val="44"/>
                <w:lang w:val="es-ES_tradnl"/>
              </w:rPr>
              <w:t>E</w:t>
            </w:r>
            <w:r>
              <w:rPr>
                <w:rFonts w:ascii="Tahoma" w:hAnsi="Tahoma" w:cs="Tahoma"/>
                <w:b/>
                <w:bCs/>
                <w:color w:val="243285"/>
                <w:sz w:val="44"/>
                <w:szCs w:val="44"/>
                <w:lang w:val="es-ES_tradnl"/>
              </w:rPr>
              <w:t>ntendimiento entre los países que lo acuerden relativo a la cooperación</w:t>
            </w:r>
            <w:r w:rsidR="00C16685">
              <w:rPr>
                <w:rFonts w:ascii="Tahoma" w:hAnsi="Tahoma" w:cs="Tahoma"/>
                <w:b/>
                <w:bCs/>
                <w:color w:val="243285"/>
                <w:sz w:val="44"/>
                <w:szCs w:val="44"/>
                <w:lang w:val="es-ES_tradnl"/>
              </w:rPr>
              <w:br/>
            </w:r>
            <w:r>
              <w:rPr>
                <w:rFonts w:ascii="Tahoma" w:hAnsi="Tahoma" w:cs="Tahoma"/>
                <w:b/>
                <w:bCs/>
                <w:color w:val="243285"/>
                <w:sz w:val="44"/>
                <w:szCs w:val="44"/>
                <w:lang w:val="es-ES_tradnl"/>
              </w:rPr>
              <w:t xml:space="preserve">en asuntos de comprobación </w:t>
            </w:r>
            <w:r>
              <w:rPr>
                <w:rFonts w:ascii="Tahoma" w:hAnsi="Tahoma" w:cs="Tahoma"/>
                <w:b/>
                <w:bCs/>
                <w:color w:val="243285"/>
                <w:sz w:val="44"/>
                <w:szCs w:val="44"/>
                <w:lang w:val="es-ES_tradnl"/>
              </w:rPr>
              <w:br/>
              <w:t>técnica del espectro</w:t>
            </w:r>
          </w:p>
          <w:p w14:paraId="3F2972BE" w14:textId="77777777" w:rsidR="00663E65" w:rsidRPr="0010336F" w:rsidRDefault="00663E65" w:rsidP="00DF0230">
            <w:pPr>
              <w:spacing w:before="80" w:line="500" w:lineRule="exact"/>
              <w:jc w:val="right"/>
              <w:rPr>
                <w:rFonts w:ascii="Tahoma" w:hAnsi="Tahoma" w:cs="Tahoma"/>
                <w:b/>
                <w:bCs/>
                <w:iCs/>
                <w:color w:val="243285"/>
                <w:sz w:val="44"/>
                <w:szCs w:val="44"/>
                <w:lang w:val="es-ES_tradnl"/>
              </w:rPr>
            </w:pPr>
          </w:p>
        </w:tc>
      </w:tr>
      <w:tr w:rsidR="00663E65" w:rsidRPr="0084016E" w14:paraId="0C2DBDA1" w14:textId="77777777" w:rsidTr="00DF0230">
        <w:tc>
          <w:tcPr>
            <w:tcW w:w="10089" w:type="dxa"/>
          </w:tcPr>
          <w:p w14:paraId="592E262C" w14:textId="77777777" w:rsidR="00663E65" w:rsidRPr="0010336F" w:rsidRDefault="00663E65" w:rsidP="00DF0230">
            <w:pPr>
              <w:spacing w:before="80" w:line="280" w:lineRule="exact"/>
              <w:ind w:right="640"/>
              <w:rPr>
                <w:rFonts w:ascii="Tahoma" w:hAnsi="Tahoma" w:cs="Tahoma"/>
                <w:b/>
                <w:bCs/>
                <w:iCs/>
                <w:color w:val="243285"/>
                <w:sz w:val="32"/>
                <w:szCs w:val="32"/>
                <w:lang w:val="es-ES_tradnl"/>
              </w:rPr>
            </w:pPr>
          </w:p>
          <w:p w14:paraId="5A7B5208" w14:textId="77777777" w:rsidR="00663E65" w:rsidRPr="0010336F" w:rsidRDefault="00663E65" w:rsidP="00DF0230">
            <w:pPr>
              <w:spacing w:before="80" w:line="280" w:lineRule="exact"/>
              <w:ind w:right="640"/>
              <w:rPr>
                <w:rFonts w:ascii="Tahoma" w:hAnsi="Tahoma" w:cs="Tahoma"/>
                <w:b/>
                <w:bCs/>
                <w:iCs/>
                <w:color w:val="243285"/>
                <w:sz w:val="32"/>
                <w:szCs w:val="32"/>
                <w:lang w:val="es-ES_tradnl"/>
              </w:rPr>
            </w:pPr>
          </w:p>
          <w:p w14:paraId="4806D3E6" w14:textId="77777777" w:rsidR="00663E65" w:rsidRPr="0010336F" w:rsidRDefault="00663E65" w:rsidP="00DF0230">
            <w:pPr>
              <w:spacing w:before="80" w:after="180" w:line="360" w:lineRule="exact"/>
              <w:ind w:right="720"/>
              <w:rPr>
                <w:rFonts w:ascii="Tahoma" w:hAnsi="Tahoma" w:cs="Tahoma"/>
                <w:b/>
                <w:bCs/>
                <w:iCs/>
                <w:color w:val="243285"/>
                <w:sz w:val="36"/>
                <w:szCs w:val="36"/>
                <w:lang w:val="es-ES_tradnl"/>
              </w:rPr>
            </w:pPr>
          </w:p>
          <w:p w14:paraId="48FBF3F9" w14:textId="77777777" w:rsidR="00663E65" w:rsidRPr="0010336F" w:rsidRDefault="00663E65" w:rsidP="00DF0230">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14:paraId="04CB73FF" w14:textId="77777777" w:rsidR="00663E65" w:rsidRPr="0010336F" w:rsidRDefault="00663E65" w:rsidP="00DF0230">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14:paraId="51D0819C" w14:textId="77777777" w:rsidR="00663E65" w:rsidRPr="0026666F" w:rsidRDefault="00663E65" w:rsidP="00663E65">
      <w:pPr>
        <w:spacing w:before="80"/>
        <w:rPr>
          <w:i/>
          <w:sz w:val="22"/>
          <w:lang w:val="es-ES_tradnl"/>
        </w:rPr>
      </w:pPr>
    </w:p>
    <w:p w14:paraId="47091962" w14:textId="77777777" w:rsidR="00663E65" w:rsidRPr="0026666F" w:rsidRDefault="00663E65" w:rsidP="00663E65">
      <w:pPr>
        <w:spacing w:before="80"/>
        <w:rPr>
          <w:i/>
          <w:sz w:val="22"/>
          <w:lang w:val="es-ES_tradnl"/>
        </w:rPr>
      </w:pPr>
    </w:p>
    <w:p w14:paraId="431FAB07" w14:textId="77777777" w:rsidR="00663E65" w:rsidRPr="0026666F" w:rsidRDefault="00663E65" w:rsidP="00663E65">
      <w:pPr>
        <w:spacing w:before="80"/>
        <w:rPr>
          <w:i/>
          <w:sz w:val="22"/>
          <w:lang w:val="es-ES_tradnl"/>
        </w:rPr>
      </w:pPr>
    </w:p>
    <w:p w14:paraId="30F110FF" w14:textId="77777777" w:rsidR="00663E65" w:rsidRPr="0026666F" w:rsidRDefault="00663E65" w:rsidP="00663E65">
      <w:pPr>
        <w:spacing w:before="80"/>
        <w:rPr>
          <w:i/>
          <w:sz w:val="22"/>
          <w:lang w:val="es-ES_tradnl"/>
        </w:rPr>
      </w:pPr>
    </w:p>
    <w:p w14:paraId="2B25DE3B" w14:textId="77777777" w:rsidR="00663E65" w:rsidRPr="0026666F" w:rsidRDefault="00663E65" w:rsidP="00663E65">
      <w:pPr>
        <w:spacing w:before="80"/>
        <w:rPr>
          <w:i/>
          <w:sz w:val="22"/>
          <w:lang w:val="es-ES_tradnl"/>
        </w:rPr>
      </w:pPr>
    </w:p>
    <w:p w14:paraId="66CB3DDF" w14:textId="77777777" w:rsidR="00663E65" w:rsidRPr="0026666F" w:rsidRDefault="00663E65" w:rsidP="00663E65">
      <w:pPr>
        <w:spacing w:before="80"/>
        <w:rPr>
          <w:i/>
          <w:sz w:val="22"/>
          <w:lang w:val="es-ES_tradnl"/>
        </w:rPr>
      </w:pPr>
    </w:p>
    <w:p w14:paraId="1E1175F2" w14:textId="77777777" w:rsidR="00663E65" w:rsidRPr="0026666F" w:rsidRDefault="00663E65" w:rsidP="00663E65">
      <w:pPr>
        <w:pStyle w:val="Equation"/>
        <w:tabs>
          <w:tab w:val="left" w:pos="1191"/>
          <w:tab w:val="left" w:pos="1588"/>
          <w:tab w:val="left" w:pos="1985"/>
        </w:tabs>
        <w:rPr>
          <w:rFonts w:ascii="Palatino Linotype" w:hAnsi="Palatino Linotype"/>
          <w:lang w:val="es-ES_tradnl"/>
        </w:rPr>
        <w:sectPr w:rsidR="00663E65" w:rsidRPr="0026666F" w:rsidSect="00663E65">
          <w:headerReference w:type="even" r:id="rId7"/>
          <w:headerReference w:type="default" r:id="rId8"/>
          <w:headerReference w:type="first" r:id="rId9"/>
          <w:type w:val="continuous"/>
          <w:pgSz w:w="11907" w:h="16840" w:code="9"/>
          <w:pgMar w:top="1089" w:right="1089" w:bottom="284" w:left="1089" w:header="567" w:footer="284" w:gutter="0"/>
          <w:pgNumType w:start="1"/>
          <w:cols w:space="720"/>
        </w:sectPr>
      </w:pPr>
    </w:p>
    <w:p w14:paraId="1EE687E7" w14:textId="77777777" w:rsidR="00663E65" w:rsidRPr="006C718C" w:rsidRDefault="00663E65" w:rsidP="00663E6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14:paraId="0CF86B3C" w14:textId="77777777" w:rsidR="00663E65" w:rsidRPr="006C718C" w:rsidRDefault="00663E65" w:rsidP="00663E65">
      <w:pPr>
        <w:spacing w:before="180"/>
        <w:rPr>
          <w:lang w:val="es-ES_tradnl"/>
        </w:rPr>
      </w:pPr>
      <w:r w:rsidRPr="006C718C">
        <w:rPr>
          <w:lang w:val="es-ES_tradnl"/>
        </w:rPr>
        <w:t>El Sector de Radiocomunicaciones tiene como cometido garantizar la utilizaci</w:t>
      </w:r>
      <w:r>
        <w:rPr>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313686C2" w14:textId="77777777" w:rsidR="00663E65" w:rsidRPr="006C718C" w:rsidRDefault="00663E65" w:rsidP="00663E65">
      <w:pPr>
        <w:rPr>
          <w:lang w:val="es-ES_tradnl"/>
        </w:rPr>
      </w:pPr>
      <w:r w:rsidRPr="006C718C">
        <w:rPr>
          <w:lang w:val="es-ES_tradnl"/>
        </w:rPr>
        <w:t>Las Conferencias Mundiales y Regionales de Radiocomunicaciones y las Asambleas de Radiocomunicaciones, c</w:t>
      </w:r>
      <w:r>
        <w:rPr>
          <w:lang w:val="es-ES_tradnl"/>
        </w:rPr>
        <w:t>on la colaboración de las Comisiones de Estudio, cumplen las funciones reglamentarias y políticas del Sector de Radiocomunicaciones.</w:t>
      </w:r>
    </w:p>
    <w:p w14:paraId="13DC8F87" w14:textId="77777777" w:rsidR="00663E65" w:rsidRPr="00021E8A" w:rsidRDefault="00663E65" w:rsidP="00663E65">
      <w:pPr>
        <w:pStyle w:val="Heading1"/>
        <w:spacing w:before="340"/>
        <w:jc w:val="center"/>
        <w:rPr>
          <w:lang w:val="es-ES_tradnl"/>
        </w:rPr>
      </w:pPr>
      <w:r w:rsidRPr="007C36CA">
        <w:rPr>
          <w:lang w:val="es-ES_tradnl"/>
        </w:rPr>
        <w:t>Política sobre Derechos de Propiedad Intelectual</w:t>
      </w:r>
      <w:r w:rsidRPr="00021E8A">
        <w:rPr>
          <w:lang w:val="es-ES_tradnl"/>
        </w:rPr>
        <w:t xml:space="preserve"> (IPR)</w:t>
      </w:r>
    </w:p>
    <w:p w14:paraId="0F7AF9B9" w14:textId="77777777" w:rsidR="00663E65" w:rsidRPr="00021E8A" w:rsidRDefault="00663E65" w:rsidP="00663E65">
      <w:pPr>
        <w:spacing w:before="180"/>
        <w:rPr>
          <w:lang w:val="es-ES_tradnl"/>
        </w:rPr>
      </w:pPr>
      <w:r w:rsidRPr="00021E8A">
        <w:rPr>
          <w:lang w:val="es-ES_tradnl"/>
        </w:rPr>
        <w:t>La política del UIT</w:t>
      </w:r>
      <w:r w:rsidRPr="00021E8A">
        <w:rPr>
          <w:lang w:val="es-ES_tradnl"/>
        </w:rPr>
        <w:noBreakHyphen/>
        <w:t>R sobre Derechos de Propiedad Intelectual se describe en la Política Común de Patentes UIT</w:t>
      </w:r>
      <w:r w:rsidRPr="00021E8A">
        <w:rPr>
          <w:lang w:val="es-ES_tradnl"/>
        </w:rPr>
        <w:noBreakHyphen/>
        <w:t>T/UIT</w:t>
      </w:r>
      <w:r w:rsidRPr="00021E8A">
        <w:rPr>
          <w:lang w:val="es-ES_tradnl"/>
        </w:rPr>
        <w:noBreakHyphen/>
        <w:t>R/ISO/CEI a la que se hace referencia en el Anexo 1 a la Resolución UIT</w:t>
      </w:r>
      <w:r w:rsidRPr="00021E8A">
        <w:rPr>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lang w:val="es-ES_tradnl"/>
          </w:rPr>
          <w:t>http://www.itu.int/ITU-R/go/patents/es</w:t>
        </w:r>
      </w:hyperlink>
      <w:r w:rsidRPr="00021E8A">
        <w:rPr>
          <w:lang w:val="es-ES_tradnl"/>
        </w:rPr>
        <w:t>, donde también aparecen las Directrices para la implementación de la Política Común de Patentes UIT</w:t>
      </w:r>
      <w:r w:rsidRPr="00021E8A">
        <w:rPr>
          <w:lang w:val="es-ES_tradnl"/>
        </w:rPr>
        <w:noBreakHyphen/>
        <w:t>T/UIT</w:t>
      </w:r>
      <w:r w:rsidRPr="00021E8A">
        <w:rPr>
          <w:lang w:val="es-ES_tradnl"/>
        </w:rPr>
        <w:noBreakHyphen/>
        <w:t>R/ISO/CEI y la base de datos sobre información de patentes del UIT</w:t>
      </w:r>
      <w:r w:rsidRPr="00021E8A">
        <w:rPr>
          <w:lang w:val="es-ES_tradnl"/>
        </w:rPr>
        <w:noBreakHyphen/>
        <w:t>R sobre este asunto.</w:t>
      </w:r>
    </w:p>
    <w:p w14:paraId="7BCAF336" w14:textId="77777777" w:rsidR="00663E65" w:rsidRPr="007C36CA" w:rsidRDefault="00663E65" w:rsidP="00663E65">
      <w:pPr>
        <w:spacing w:before="0"/>
        <w:jc w:val="center"/>
        <w:rPr>
          <w:sz w:val="22"/>
          <w:lang w:val="es-ES_tradnl"/>
        </w:rPr>
      </w:pPr>
    </w:p>
    <w:p w14:paraId="33E169FC" w14:textId="77777777" w:rsidR="00663E65" w:rsidRPr="007C36CA" w:rsidRDefault="00663E65" w:rsidP="00663E6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63E65" w:rsidRPr="0084016E" w14:paraId="5628D3EA" w14:textId="77777777" w:rsidTr="00DF0230">
        <w:tc>
          <w:tcPr>
            <w:tcW w:w="9360" w:type="dxa"/>
            <w:gridSpan w:val="2"/>
          </w:tcPr>
          <w:p w14:paraId="69ABBCB0" w14:textId="77777777" w:rsidR="00663E65" w:rsidRPr="00021E8A" w:rsidRDefault="00663E65" w:rsidP="00DF023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7C72AB76" w14:textId="77777777" w:rsidR="00663E65" w:rsidRPr="00763D08" w:rsidRDefault="00663E65" w:rsidP="00DF023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663E65" w:rsidRPr="00036EE3" w14:paraId="06542BA9" w14:textId="77777777" w:rsidTr="00DF0230">
        <w:tc>
          <w:tcPr>
            <w:tcW w:w="1140" w:type="dxa"/>
            <w:tcBorders>
              <w:bottom w:val="nil"/>
            </w:tcBorders>
          </w:tcPr>
          <w:p w14:paraId="77569032" w14:textId="77777777" w:rsidR="00663E65" w:rsidRPr="00036EE3" w:rsidRDefault="00663E65" w:rsidP="00DF0230">
            <w:pPr>
              <w:spacing w:before="180" w:after="100"/>
              <w:ind w:left="57"/>
              <w:rPr>
                <w:b/>
                <w:bCs/>
                <w:lang w:val="en-US"/>
              </w:rPr>
            </w:pPr>
            <w:r w:rsidRPr="00036EE3">
              <w:rPr>
                <w:b/>
                <w:bCs/>
                <w:lang w:val="en-US"/>
              </w:rPr>
              <w:t>Series</w:t>
            </w:r>
          </w:p>
        </w:tc>
        <w:tc>
          <w:tcPr>
            <w:tcW w:w="8220" w:type="dxa"/>
            <w:tcBorders>
              <w:bottom w:val="nil"/>
            </w:tcBorders>
          </w:tcPr>
          <w:p w14:paraId="4EE6C659" w14:textId="77777777" w:rsidR="00663E65" w:rsidRPr="00036EE3" w:rsidRDefault="00663E65" w:rsidP="00DF023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663E65" w:rsidRPr="004532F7" w14:paraId="6D5096F4" w14:textId="77777777" w:rsidTr="00DF0230">
        <w:tc>
          <w:tcPr>
            <w:tcW w:w="1140" w:type="dxa"/>
            <w:tcBorders>
              <w:top w:val="nil"/>
              <w:bottom w:val="nil"/>
            </w:tcBorders>
            <w:shd w:val="clear" w:color="auto" w:fill="auto"/>
          </w:tcPr>
          <w:p w14:paraId="661BB860" w14:textId="77777777" w:rsidR="00663E65" w:rsidRPr="004532F7" w:rsidRDefault="00663E65" w:rsidP="00DF0230">
            <w:pPr>
              <w:spacing w:before="30" w:after="30"/>
              <w:ind w:left="57"/>
              <w:jc w:val="left"/>
              <w:rPr>
                <w:b/>
                <w:bCs/>
                <w:lang w:val="en-US"/>
              </w:rPr>
            </w:pPr>
            <w:r w:rsidRPr="004532F7">
              <w:rPr>
                <w:b/>
                <w:bCs/>
                <w:lang w:val="en-US"/>
              </w:rPr>
              <w:t>BO</w:t>
            </w:r>
          </w:p>
        </w:tc>
        <w:tc>
          <w:tcPr>
            <w:tcW w:w="8220" w:type="dxa"/>
            <w:tcBorders>
              <w:top w:val="nil"/>
              <w:bottom w:val="nil"/>
            </w:tcBorders>
            <w:shd w:val="clear" w:color="auto" w:fill="auto"/>
          </w:tcPr>
          <w:p w14:paraId="507D2DBD" w14:textId="77777777" w:rsidR="00663E65" w:rsidRPr="004532F7" w:rsidRDefault="00663E65" w:rsidP="00DF023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663E65" w:rsidRPr="0084016E" w14:paraId="6A03B637" w14:textId="77777777" w:rsidTr="00DF0230">
        <w:tc>
          <w:tcPr>
            <w:tcW w:w="1140" w:type="dxa"/>
            <w:tcBorders>
              <w:top w:val="nil"/>
              <w:bottom w:val="nil"/>
            </w:tcBorders>
            <w:shd w:val="clear" w:color="auto" w:fill="auto"/>
          </w:tcPr>
          <w:p w14:paraId="47BC130A" w14:textId="77777777" w:rsidR="00663E65" w:rsidRPr="006B22C3" w:rsidRDefault="00663E65" w:rsidP="00DF0230">
            <w:pPr>
              <w:spacing w:before="30" w:after="30"/>
              <w:ind w:left="57"/>
              <w:jc w:val="left"/>
              <w:rPr>
                <w:b/>
                <w:bCs/>
                <w:lang w:val="en-US"/>
              </w:rPr>
            </w:pPr>
            <w:r w:rsidRPr="006B22C3">
              <w:rPr>
                <w:b/>
                <w:bCs/>
                <w:lang w:val="en-US"/>
              </w:rPr>
              <w:t>BR</w:t>
            </w:r>
          </w:p>
        </w:tc>
        <w:tc>
          <w:tcPr>
            <w:tcW w:w="8220" w:type="dxa"/>
            <w:tcBorders>
              <w:top w:val="nil"/>
              <w:bottom w:val="nil"/>
            </w:tcBorders>
            <w:shd w:val="clear" w:color="auto" w:fill="auto"/>
          </w:tcPr>
          <w:p w14:paraId="15333EFA" w14:textId="77777777" w:rsidR="00663E65" w:rsidRPr="006B22C3" w:rsidRDefault="00663E65" w:rsidP="00DF023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63E65" w:rsidRPr="00847DD5" w14:paraId="2D2BCD1B" w14:textId="77777777" w:rsidTr="00DF0230">
        <w:tc>
          <w:tcPr>
            <w:tcW w:w="1140" w:type="dxa"/>
            <w:tcBorders>
              <w:top w:val="nil"/>
              <w:bottom w:val="nil"/>
            </w:tcBorders>
            <w:shd w:val="clear" w:color="auto" w:fill="auto"/>
          </w:tcPr>
          <w:p w14:paraId="2B723B11" w14:textId="77777777" w:rsidR="00663E65" w:rsidRPr="00847DD5" w:rsidRDefault="00663E65" w:rsidP="00DF0230">
            <w:pPr>
              <w:spacing w:before="30" w:after="30"/>
              <w:ind w:left="57"/>
              <w:jc w:val="left"/>
              <w:rPr>
                <w:b/>
                <w:bCs/>
                <w:lang w:val="en-US"/>
              </w:rPr>
            </w:pPr>
            <w:r w:rsidRPr="00847DD5">
              <w:rPr>
                <w:b/>
                <w:bCs/>
                <w:lang w:val="en-US"/>
              </w:rPr>
              <w:t>BS</w:t>
            </w:r>
          </w:p>
        </w:tc>
        <w:tc>
          <w:tcPr>
            <w:tcW w:w="8220" w:type="dxa"/>
            <w:tcBorders>
              <w:top w:val="nil"/>
              <w:bottom w:val="nil"/>
            </w:tcBorders>
            <w:shd w:val="clear" w:color="auto" w:fill="auto"/>
          </w:tcPr>
          <w:p w14:paraId="5850C1E8" w14:textId="77777777" w:rsidR="00663E65" w:rsidRPr="00847DD5" w:rsidRDefault="00663E65" w:rsidP="00DF023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847DD5">
              <w:rPr>
                <w:b w:val="0"/>
                <w:sz w:val="20"/>
              </w:rPr>
              <w:t>Servicio</w:t>
            </w:r>
            <w:proofErr w:type="spellEnd"/>
            <w:r w:rsidRPr="00847DD5">
              <w:rPr>
                <w:b w:val="0"/>
                <w:sz w:val="20"/>
              </w:rPr>
              <w:t xml:space="preserve"> de </w:t>
            </w:r>
            <w:proofErr w:type="spellStart"/>
            <w:r w:rsidRPr="00847DD5">
              <w:rPr>
                <w:b w:val="0"/>
                <w:sz w:val="20"/>
              </w:rPr>
              <w:t>radiodifusión</w:t>
            </w:r>
            <w:proofErr w:type="spellEnd"/>
            <w:r w:rsidRPr="00847DD5">
              <w:rPr>
                <w:b w:val="0"/>
                <w:sz w:val="20"/>
              </w:rPr>
              <w:t xml:space="preserve"> </w:t>
            </w:r>
            <w:proofErr w:type="spellStart"/>
            <w:r w:rsidRPr="00847DD5">
              <w:rPr>
                <w:b w:val="0"/>
                <w:sz w:val="20"/>
              </w:rPr>
              <w:t>sonora</w:t>
            </w:r>
            <w:proofErr w:type="spellEnd"/>
          </w:p>
        </w:tc>
      </w:tr>
      <w:tr w:rsidR="00663E65" w:rsidRPr="00ED2695" w14:paraId="28504BDF" w14:textId="77777777" w:rsidTr="00DF0230">
        <w:tc>
          <w:tcPr>
            <w:tcW w:w="1140" w:type="dxa"/>
            <w:tcBorders>
              <w:top w:val="nil"/>
              <w:bottom w:val="nil"/>
            </w:tcBorders>
            <w:shd w:val="clear" w:color="auto" w:fill="auto"/>
          </w:tcPr>
          <w:p w14:paraId="046846E6" w14:textId="77777777" w:rsidR="00663E65" w:rsidRPr="00ED2695" w:rsidRDefault="00663E65" w:rsidP="00DF0230">
            <w:pPr>
              <w:spacing w:before="30" w:after="30"/>
              <w:ind w:left="57"/>
              <w:jc w:val="left"/>
              <w:rPr>
                <w:b/>
                <w:bCs/>
                <w:lang w:val="en-US"/>
              </w:rPr>
            </w:pPr>
            <w:r w:rsidRPr="00ED2695">
              <w:rPr>
                <w:b/>
                <w:bCs/>
                <w:lang w:val="en-US"/>
              </w:rPr>
              <w:t>BT</w:t>
            </w:r>
          </w:p>
        </w:tc>
        <w:tc>
          <w:tcPr>
            <w:tcW w:w="8220" w:type="dxa"/>
            <w:tcBorders>
              <w:top w:val="nil"/>
              <w:bottom w:val="nil"/>
            </w:tcBorders>
            <w:shd w:val="clear" w:color="auto" w:fill="auto"/>
          </w:tcPr>
          <w:p w14:paraId="2F74A0F9" w14:textId="77777777" w:rsidR="00663E65" w:rsidRPr="00021E8A" w:rsidRDefault="00663E65" w:rsidP="00DF023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663E65" w:rsidRPr="00366CEE" w14:paraId="6BB0A357" w14:textId="77777777" w:rsidTr="00DF0230">
        <w:tc>
          <w:tcPr>
            <w:tcW w:w="1140" w:type="dxa"/>
            <w:tcBorders>
              <w:top w:val="nil"/>
              <w:bottom w:val="nil"/>
            </w:tcBorders>
            <w:shd w:val="clear" w:color="auto" w:fill="auto"/>
          </w:tcPr>
          <w:p w14:paraId="2B7B7491" w14:textId="77777777" w:rsidR="00663E65" w:rsidRPr="00366CEE" w:rsidRDefault="00663E65" w:rsidP="00DF0230">
            <w:pPr>
              <w:spacing w:before="30" w:after="30"/>
              <w:ind w:left="57"/>
              <w:jc w:val="left"/>
              <w:rPr>
                <w:b/>
                <w:bCs/>
                <w:lang w:val="fr-CH"/>
              </w:rPr>
            </w:pPr>
            <w:r w:rsidRPr="00366CEE">
              <w:rPr>
                <w:b/>
                <w:bCs/>
                <w:lang w:val="fr-CH"/>
              </w:rPr>
              <w:t>F</w:t>
            </w:r>
          </w:p>
        </w:tc>
        <w:tc>
          <w:tcPr>
            <w:tcW w:w="8220" w:type="dxa"/>
            <w:tcBorders>
              <w:top w:val="nil"/>
              <w:bottom w:val="nil"/>
            </w:tcBorders>
            <w:shd w:val="clear" w:color="auto" w:fill="auto"/>
          </w:tcPr>
          <w:p w14:paraId="3A33AE40" w14:textId="77777777" w:rsidR="00663E65" w:rsidRPr="00366CEE" w:rsidRDefault="00663E65" w:rsidP="00DF023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663E65" w:rsidRPr="0084016E" w14:paraId="1A37CCFD" w14:textId="77777777" w:rsidTr="00DF0230">
        <w:tc>
          <w:tcPr>
            <w:tcW w:w="1140" w:type="dxa"/>
            <w:tcBorders>
              <w:top w:val="nil"/>
              <w:bottom w:val="nil"/>
            </w:tcBorders>
            <w:shd w:val="clear" w:color="auto" w:fill="auto"/>
          </w:tcPr>
          <w:p w14:paraId="7277357E" w14:textId="77777777" w:rsidR="00663E65" w:rsidRPr="0010336F" w:rsidRDefault="00663E65" w:rsidP="00DF0230">
            <w:pPr>
              <w:spacing w:before="30" w:after="30"/>
              <w:ind w:left="57"/>
              <w:jc w:val="left"/>
              <w:rPr>
                <w:rFonts w:hAnsi="Times New Roman Bold"/>
                <w:b/>
                <w:bCs/>
                <w:lang w:val="en-US"/>
              </w:rPr>
            </w:pPr>
            <w:r w:rsidRPr="0010336F">
              <w:rPr>
                <w:rFonts w:hAnsi="Times New Roman Bold"/>
                <w:b/>
                <w:bCs/>
                <w:lang w:val="en-US"/>
              </w:rPr>
              <w:t>M</w:t>
            </w:r>
          </w:p>
        </w:tc>
        <w:tc>
          <w:tcPr>
            <w:tcW w:w="8220" w:type="dxa"/>
            <w:tcBorders>
              <w:top w:val="nil"/>
              <w:bottom w:val="nil"/>
            </w:tcBorders>
            <w:shd w:val="clear" w:color="auto" w:fill="auto"/>
          </w:tcPr>
          <w:p w14:paraId="624C0A66" w14:textId="77777777" w:rsidR="00663E65" w:rsidRPr="0010336F" w:rsidRDefault="00663E65" w:rsidP="00DF023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63E65" w:rsidRPr="0084016E" w14:paraId="5407D1F8" w14:textId="77777777" w:rsidTr="00DF0230">
        <w:tc>
          <w:tcPr>
            <w:tcW w:w="1140" w:type="dxa"/>
            <w:tcBorders>
              <w:top w:val="nil"/>
              <w:bottom w:val="nil"/>
            </w:tcBorders>
            <w:shd w:val="clear" w:color="auto" w:fill="auto"/>
          </w:tcPr>
          <w:p w14:paraId="69BFC8E5" w14:textId="77777777" w:rsidR="00663E65" w:rsidRPr="00F95576" w:rsidRDefault="00663E65" w:rsidP="00DF0230">
            <w:pPr>
              <w:spacing w:before="30" w:after="30"/>
              <w:ind w:left="57"/>
              <w:jc w:val="left"/>
              <w:rPr>
                <w:b/>
                <w:bCs/>
                <w:lang w:val="fr-CH"/>
              </w:rPr>
            </w:pPr>
            <w:r w:rsidRPr="00F95576">
              <w:rPr>
                <w:b/>
                <w:bCs/>
                <w:lang w:val="fr-CH"/>
              </w:rPr>
              <w:t>P</w:t>
            </w:r>
          </w:p>
        </w:tc>
        <w:tc>
          <w:tcPr>
            <w:tcW w:w="8220" w:type="dxa"/>
            <w:tcBorders>
              <w:top w:val="nil"/>
              <w:bottom w:val="nil"/>
            </w:tcBorders>
            <w:shd w:val="clear" w:color="auto" w:fill="auto"/>
          </w:tcPr>
          <w:p w14:paraId="7D8AE1DD" w14:textId="77777777" w:rsidR="00663E65" w:rsidRPr="00F95576" w:rsidRDefault="00663E65" w:rsidP="00DF0230">
            <w:pPr>
              <w:spacing w:before="30" w:after="30"/>
              <w:jc w:val="left"/>
              <w:rPr>
                <w:lang w:val="es-ES_tradnl"/>
              </w:rPr>
            </w:pPr>
            <w:r w:rsidRPr="00F95576">
              <w:rPr>
                <w:lang w:val="es-ES_tradnl"/>
              </w:rPr>
              <w:t>Propagación de las ondas radioeléctricas</w:t>
            </w:r>
          </w:p>
        </w:tc>
      </w:tr>
      <w:tr w:rsidR="00663E65" w:rsidRPr="00DE71F7" w14:paraId="3EF9634A" w14:textId="77777777" w:rsidTr="00DF0230">
        <w:tc>
          <w:tcPr>
            <w:tcW w:w="1140" w:type="dxa"/>
            <w:tcBorders>
              <w:top w:val="nil"/>
              <w:bottom w:val="nil"/>
            </w:tcBorders>
            <w:shd w:val="clear" w:color="auto" w:fill="auto"/>
          </w:tcPr>
          <w:p w14:paraId="4B0F0C82" w14:textId="77777777" w:rsidR="00663E65" w:rsidRPr="00DE71F7" w:rsidRDefault="00663E65" w:rsidP="00DF0230">
            <w:pPr>
              <w:spacing w:before="30" w:after="30"/>
              <w:ind w:left="57"/>
              <w:jc w:val="left"/>
              <w:rPr>
                <w:b/>
                <w:bCs/>
                <w:lang w:val="en-US"/>
              </w:rPr>
            </w:pPr>
            <w:r w:rsidRPr="00DE71F7">
              <w:rPr>
                <w:b/>
                <w:bCs/>
                <w:lang w:val="en-US"/>
              </w:rPr>
              <w:t>RA</w:t>
            </w:r>
          </w:p>
        </w:tc>
        <w:tc>
          <w:tcPr>
            <w:tcW w:w="8220" w:type="dxa"/>
            <w:tcBorders>
              <w:top w:val="nil"/>
              <w:bottom w:val="nil"/>
            </w:tcBorders>
            <w:shd w:val="clear" w:color="auto" w:fill="auto"/>
          </w:tcPr>
          <w:p w14:paraId="1B5FA2E8" w14:textId="77777777" w:rsidR="00663E65" w:rsidRPr="00DE71F7" w:rsidRDefault="00663E65" w:rsidP="00DF023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 xml:space="preserve">Radio </w:t>
            </w:r>
            <w:proofErr w:type="spellStart"/>
            <w:r w:rsidRPr="00DE71F7">
              <w:rPr>
                <w:sz w:val="20"/>
              </w:rPr>
              <w:t>astronomía</w:t>
            </w:r>
            <w:proofErr w:type="spellEnd"/>
          </w:p>
        </w:tc>
      </w:tr>
      <w:tr w:rsidR="00663E65" w:rsidRPr="0084016E" w14:paraId="5792B3D6" w14:textId="77777777" w:rsidTr="00DF0230">
        <w:tc>
          <w:tcPr>
            <w:tcW w:w="1140" w:type="dxa"/>
            <w:tcBorders>
              <w:top w:val="nil"/>
              <w:bottom w:val="nil"/>
            </w:tcBorders>
            <w:shd w:val="clear" w:color="auto" w:fill="auto"/>
          </w:tcPr>
          <w:p w14:paraId="0062F2E4" w14:textId="77777777" w:rsidR="00663E65" w:rsidRPr="00D12388" w:rsidRDefault="00663E65" w:rsidP="00DF0230">
            <w:pPr>
              <w:spacing w:before="30" w:after="30"/>
              <w:ind w:left="57"/>
              <w:jc w:val="left"/>
              <w:rPr>
                <w:b/>
                <w:bCs/>
                <w:lang w:val="en-US"/>
              </w:rPr>
            </w:pPr>
            <w:r w:rsidRPr="00D12388">
              <w:rPr>
                <w:b/>
                <w:bCs/>
                <w:lang w:val="en-US"/>
              </w:rPr>
              <w:t>RS</w:t>
            </w:r>
          </w:p>
        </w:tc>
        <w:tc>
          <w:tcPr>
            <w:tcW w:w="8220" w:type="dxa"/>
            <w:tcBorders>
              <w:top w:val="nil"/>
              <w:bottom w:val="nil"/>
            </w:tcBorders>
            <w:shd w:val="clear" w:color="auto" w:fill="auto"/>
          </w:tcPr>
          <w:p w14:paraId="6F0CC29B" w14:textId="77777777" w:rsidR="00663E65" w:rsidRPr="00D12388" w:rsidRDefault="00663E65" w:rsidP="00DF023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663E65" w:rsidRPr="00025336" w14:paraId="2C2AB358" w14:textId="77777777" w:rsidTr="00DF0230">
        <w:tc>
          <w:tcPr>
            <w:tcW w:w="1140" w:type="dxa"/>
            <w:tcBorders>
              <w:top w:val="nil"/>
              <w:bottom w:val="nil"/>
            </w:tcBorders>
            <w:shd w:val="clear" w:color="auto" w:fill="auto"/>
          </w:tcPr>
          <w:p w14:paraId="320A06D0" w14:textId="77777777" w:rsidR="00663E65" w:rsidRPr="00025336" w:rsidRDefault="00663E65" w:rsidP="00DF0230">
            <w:pPr>
              <w:spacing w:before="30" w:after="30"/>
              <w:ind w:left="57"/>
              <w:jc w:val="left"/>
              <w:rPr>
                <w:b/>
                <w:bCs/>
                <w:lang w:val="en-US"/>
              </w:rPr>
            </w:pPr>
            <w:r w:rsidRPr="00025336">
              <w:rPr>
                <w:b/>
                <w:bCs/>
                <w:lang w:val="en-US"/>
              </w:rPr>
              <w:t>S</w:t>
            </w:r>
          </w:p>
        </w:tc>
        <w:tc>
          <w:tcPr>
            <w:tcW w:w="8220" w:type="dxa"/>
            <w:tcBorders>
              <w:top w:val="nil"/>
              <w:bottom w:val="nil"/>
            </w:tcBorders>
            <w:shd w:val="clear" w:color="auto" w:fill="auto"/>
          </w:tcPr>
          <w:p w14:paraId="45B42CE2" w14:textId="77777777" w:rsidR="00663E65" w:rsidRPr="00025336" w:rsidRDefault="00663E65" w:rsidP="00DF0230">
            <w:pPr>
              <w:spacing w:before="30" w:after="30"/>
              <w:jc w:val="left"/>
              <w:rPr>
                <w:lang w:val="en-US"/>
              </w:rPr>
            </w:pPr>
            <w:proofErr w:type="spellStart"/>
            <w:r w:rsidRPr="00025336">
              <w:t>Servicio</w:t>
            </w:r>
            <w:proofErr w:type="spellEnd"/>
            <w:r w:rsidRPr="00025336">
              <w:t xml:space="preserve"> </w:t>
            </w:r>
            <w:proofErr w:type="spellStart"/>
            <w:r w:rsidRPr="00025336">
              <w:t>fijo</w:t>
            </w:r>
            <w:proofErr w:type="spellEnd"/>
            <w:r w:rsidRPr="00025336">
              <w:t xml:space="preserve"> por </w:t>
            </w:r>
            <w:proofErr w:type="spellStart"/>
            <w:r w:rsidRPr="00025336">
              <w:t>satélite</w:t>
            </w:r>
            <w:proofErr w:type="spellEnd"/>
          </w:p>
        </w:tc>
      </w:tr>
      <w:tr w:rsidR="00663E65" w:rsidRPr="00975AEB" w14:paraId="10D785C3" w14:textId="77777777" w:rsidTr="00DF0230">
        <w:tc>
          <w:tcPr>
            <w:tcW w:w="1140" w:type="dxa"/>
            <w:tcBorders>
              <w:top w:val="nil"/>
              <w:bottom w:val="nil"/>
            </w:tcBorders>
            <w:shd w:val="clear" w:color="auto" w:fill="auto"/>
          </w:tcPr>
          <w:p w14:paraId="7D2EF741" w14:textId="77777777" w:rsidR="00663E65" w:rsidRPr="00975AEB" w:rsidRDefault="00663E65" w:rsidP="00DF0230">
            <w:pPr>
              <w:spacing w:before="30" w:after="30"/>
              <w:ind w:left="57"/>
              <w:jc w:val="left"/>
              <w:rPr>
                <w:b/>
                <w:bCs/>
                <w:lang w:val="en-US"/>
              </w:rPr>
            </w:pPr>
            <w:r w:rsidRPr="00975AEB">
              <w:rPr>
                <w:b/>
                <w:bCs/>
                <w:lang w:val="en-US"/>
              </w:rPr>
              <w:t>SA</w:t>
            </w:r>
          </w:p>
        </w:tc>
        <w:tc>
          <w:tcPr>
            <w:tcW w:w="8220" w:type="dxa"/>
            <w:tcBorders>
              <w:top w:val="nil"/>
              <w:bottom w:val="nil"/>
            </w:tcBorders>
            <w:shd w:val="clear" w:color="auto" w:fill="auto"/>
          </w:tcPr>
          <w:p w14:paraId="0DD072F9" w14:textId="77777777" w:rsidR="00663E65" w:rsidRPr="00975AEB" w:rsidRDefault="00663E65" w:rsidP="00DF0230">
            <w:pPr>
              <w:spacing w:before="30" w:after="30"/>
              <w:jc w:val="left"/>
              <w:rPr>
                <w:lang w:val="en-US"/>
              </w:rPr>
            </w:pPr>
            <w:proofErr w:type="spellStart"/>
            <w:r w:rsidRPr="00975AEB">
              <w:t>Aplicaciones</w:t>
            </w:r>
            <w:proofErr w:type="spellEnd"/>
            <w:r w:rsidRPr="00975AEB">
              <w:t xml:space="preserve"> </w:t>
            </w:r>
            <w:proofErr w:type="spellStart"/>
            <w:r w:rsidRPr="00975AEB">
              <w:t>espaciales</w:t>
            </w:r>
            <w:proofErr w:type="spellEnd"/>
            <w:r w:rsidRPr="00975AEB">
              <w:t xml:space="preserve"> y </w:t>
            </w:r>
            <w:proofErr w:type="spellStart"/>
            <w:r w:rsidRPr="00975AEB">
              <w:t>meteorología</w:t>
            </w:r>
            <w:proofErr w:type="spellEnd"/>
          </w:p>
        </w:tc>
      </w:tr>
      <w:tr w:rsidR="00663E65" w:rsidRPr="0084016E" w14:paraId="610DB9BF" w14:textId="77777777" w:rsidTr="00DF0230">
        <w:tc>
          <w:tcPr>
            <w:tcW w:w="1140" w:type="dxa"/>
            <w:tcBorders>
              <w:top w:val="nil"/>
              <w:bottom w:val="nil"/>
            </w:tcBorders>
            <w:shd w:val="clear" w:color="auto" w:fill="auto"/>
          </w:tcPr>
          <w:p w14:paraId="3733525F" w14:textId="77777777" w:rsidR="00663E65" w:rsidRPr="00746AC6" w:rsidRDefault="00663E65" w:rsidP="00DF0230">
            <w:pPr>
              <w:spacing w:before="30" w:after="30"/>
              <w:ind w:left="57"/>
              <w:jc w:val="left"/>
              <w:rPr>
                <w:b/>
                <w:bCs/>
                <w:lang w:val="en-US"/>
              </w:rPr>
            </w:pPr>
            <w:r w:rsidRPr="00746AC6">
              <w:rPr>
                <w:b/>
                <w:bCs/>
                <w:lang w:val="en-US"/>
              </w:rPr>
              <w:t>SF</w:t>
            </w:r>
          </w:p>
        </w:tc>
        <w:tc>
          <w:tcPr>
            <w:tcW w:w="8220" w:type="dxa"/>
            <w:tcBorders>
              <w:top w:val="nil"/>
              <w:bottom w:val="nil"/>
            </w:tcBorders>
            <w:shd w:val="clear" w:color="auto" w:fill="auto"/>
          </w:tcPr>
          <w:p w14:paraId="46EBD9C2" w14:textId="77777777" w:rsidR="00663E65" w:rsidRPr="00746AC6" w:rsidRDefault="00663E65" w:rsidP="00DF0230">
            <w:pPr>
              <w:spacing w:before="30" w:after="30"/>
              <w:jc w:val="left"/>
              <w:rPr>
                <w:lang w:val="es-ES_tradnl"/>
              </w:rPr>
            </w:pPr>
            <w:r w:rsidRPr="00746AC6">
              <w:rPr>
                <w:lang w:val="es-ES_tradnl"/>
              </w:rPr>
              <w:t>Compartición de frecuencias y coordinación entre los sistemas del servicio fijo por satélite y del servicio fijo</w:t>
            </w:r>
          </w:p>
        </w:tc>
      </w:tr>
      <w:tr w:rsidR="00663E65" w:rsidRPr="00746AC6" w14:paraId="4F20A5B4" w14:textId="77777777" w:rsidTr="00DF0230">
        <w:tc>
          <w:tcPr>
            <w:tcW w:w="1140" w:type="dxa"/>
            <w:tcBorders>
              <w:top w:val="nil"/>
              <w:bottom w:val="nil"/>
            </w:tcBorders>
            <w:shd w:val="clear" w:color="auto" w:fill="F3F3F3"/>
          </w:tcPr>
          <w:p w14:paraId="669BBF28" w14:textId="77777777" w:rsidR="00663E65" w:rsidRPr="00746AC6" w:rsidRDefault="00663E65" w:rsidP="00DF0230">
            <w:pPr>
              <w:spacing w:before="30" w:after="30"/>
              <w:ind w:left="57"/>
              <w:jc w:val="left"/>
              <w:rPr>
                <w:b/>
                <w:bCs/>
                <w:color w:val="000080"/>
                <w:lang w:val="en-US"/>
              </w:rPr>
            </w:pPr>
            <w:r w:rsidRPr="00746AC6">
              <w:rPr>
                <w:b/>
                <w:bCs/>
                <w:color w:val="000080"/>
                <w:lang w:val="en-US"/>
              </w:rPr>
              <w:t>SM</w:t>
            </w:r>
          </w:p>
        </w:tc>
        <w:tc>
          <w:tcPr>
            <w:tcW w:w="8220" w:type="dxa"/>
            <w:tcBorders>
              <w:top w:val="nil"/>
              <w:bottom w:val="nil"/>
            </w:tcBorders>
            <w:shd w:val="clear" w:color="auto" w:fill="F3F3F3"/>
          </w:tcPr>
          <w:p w14:paraId="00015B85" w14:textId="77777777" w:rsidR="00663E65" w:rsidRPr="00746AC6" w:rsidRDefault="00663E65" w:rsidP="00DF0230">
            <w:pPr>
              <w:spacing w:before="30" w:after="30"/>
              <w:jc w:val="left"/>
              <w:rPr>
                <w:b/>
                <w:bCs/>
                <w:color w:val="000080"/>
                <w:lang w:val="en-US"/>
              </w:rPr>
            </w:pPr>
            <w:proofErr w:type="spellStart"/>
            <w:r w:rsidRPr="00746AC6">
              <w:rPr>
                <w:b/>
                <w:bCs/>
                <w:color w:val="000080"/>
              </w:rPr>
              <w:t>Gestión</w:t>
            </w:r>
            <w:proofErr w:type="spellEnd"/>
            <w:r w:rsidRPr="00746AC6">
              <w:rPr>
                <w:b/>
                <w:bCs/>
                <w:color w:val="000080"/>
              </w:rPr>
              <w:t xml:space="preserve"> del </w:t>
            </w:r>
            <w:proofErr w:type="spellStart"/>
            <w:r w:rsidRPr="00746AC6">
              <w:rPr>
                <w:b/>
                <w:bCs/>
                <w:color w:val="000080"/>
              </w:rPr>
              <w:t>espectro</w:t>
            </w:r>
            <w:proofErr w:type="spellEnd"/>
          </w:p>
        </w:tc>
      </w:tr>
      <w:tr w:rsidR="00663E65" w:rsidRPr="00036EE3" w14:paraId="4135B1A1" w14:textId="77777777" w:rsidTr="00DF0230">
        <w:tc>
          <w:tcPr>
            <w:tcW w:w="1140" w:type="dxa"/>
            <w:tcBorders>
              <w:top w:val="nil"/>
            </w:tcBorders>
          </w:tcPr>
          <w:p w14:paraId="3281C090" w14:textId="77777777" w:rsidR="00663E65" w:rsidRPr="00036EE3" w:rsidRDefault="00663E65" w:rsidP="00DF0230">
            <w:pPr>
              <w:spacing w:before="30" w:after="30"/>
              <w:ind w:left="57"/>
              <w:jc w:val="left"/>
              <w:rPr>
                <w:b/>
                <w:bCs/>
                <w:lang w:val="en-US"/>
              </w:rPr>
            </w:pPr>
            <w:r w:rsidRPr="00036EE3">
              <w:rPr>
                <w:b/>
                <w:bCs/>
                <w:lang w:val="en-US"/>
              </w:rPr>
              <w:t>SNG</w:t>
            </w:r>
          </w:p>
        </w:tc>
        <w:tc>
          <w:tcPr>
            <w:tcW w:w="8220" w:type="dxa"/>
            <w:tcBorders>
              <w:top w:val="nil"/>
            </w:tcBorders>
          </w:tcPr>
          <w:p w14:paraId="36C5114E" w14:textId="77777777" w:rsidR="00663E65" w:rsidRPr="00021E8A" w:rsidRDefault="00663E65" w:rsidP="00DF0230">
            <w:pPr>
              <w:spacing w:before="30" w:after="30"/>
              <w:jc w:val="left"/>
              <w:rPr>
                <w:bCs/>
                <w:lang w:val="en-US"/>
              </w:rPr>
            </w:pPr>
            <w:proofErr w:type="spellStart"/>
            <w:r w:rsidRPr="00021E8A">
              <w:rPr>
                <w:bCs/>
              </w:rPr>
              <w:t>Periodismo</w:t>
            </w:r>
            <w:proofErr w:type="spellEnd"/>
            <w:r w:rsidRPr="00021E8A">
              <w:rPr>
                <w:bCs/>
              </w:rPr>
              <w:t xml:space="preserve"> </w:t>
            </w:r>
            <w:proofErr w:type="spellStart"/>
            <w:r w:rsidRPr="00021E8A">
              <w:rPr>
                <w:bCs/>
              </w:rPr>
              <w:t>electrónico</w:t>
            </w:r>
            <w:proofErr w:type="spellEnd"/>
            <w:r w:rsidRPr="00021E8A">
              <w:rPr>
                <w:bCs/>
              </w:rPr>
              <w:t xml:space="preserve"> por </w:t>
            </w:r>
            <w:proofErr w:type="spellStart"/>
            <w:r w:rsidRPr="00021E8A">
              <w:rPr>
                <w:bCs/>
              </w:rPr>
              <w:t>satélite</w:t>
            </w:r>
            <w:proofErr w:type="spellEnd"/>
          </w:p>
        </w:tc>
      </w:tr>
      <w:tr w:rsidR="00663E65" w:rsidRPr="0084016E" w14:paraId="355CC87A" w14:textId="77777777" w:rsidTr="00DF0230">
        <w:tc>
          <w:tcPr>
            <w:tcW w:w="1140" w:type="dxa"/>
          </w:tcPr>
          <w:p w14:paraId="43EC5497" w14:textId="77777777" w:rsidR="00663E65" w:rsidRPr="00036EE3" w:rsidRDefault="00663E65" w:rsidP="00DF0230">
            <w:pPr>
              <w:spacing w:before="30" w:after="30"/>
              <w:ind w:left="57"/>
              <w:jc w:val="left"/>
              <w:rPr>
                <w:b/>
                <w:bCs/>
                <w:lang w:val="en-US"/>
              </w:rPr>
            </w:pPr>
            <w:r w:rsidRPr="00036EE3">
              <w:rPr>
                <w:b/>
                <w:bCs/>
                <w:lang w:val="en-US"/>
              </w:rPr>
              <w:t>TF</w:t>
            </w:r>
          </w:p>
        </w:tc>
        <w:tc>
          <w:tcPr>
            <w:tcW w:w="8220" w:type="dxa"/>
          </w:tcPr>
          <w:p w14:paraId="5C75FC4C" w14:textId="77777777" w:rsidR="00663E65" w:rsidRPr="00021E8A" w:rsidRDefault="00663E65" w:rsidP="00DF0230">
            <w:pPr>
              <w:spacing w:before="30" w:after="30"/>
              <w:jc w:val="left"/>
              <w:rPr>
                <w:bCs/>
                <w:lang w:val="es-ES_tradnl"/>
              </w:rPr>
            </w:pPr>
            <w:r w:rsidRPr="00021E8A">
              <w:rPr>
                <w:bCs/>
                <w:lang w:val="es-ES_tradnl"/>
              </w:rPr>
              <w:t>Emisiones de frecuencias patrón y señales horarias</w:t>
            </w:r>
          </w:p>
        </w:tc>
      </w:tr>
      <w:tr w:rsidR="00663E65" w:rsidRPr="00036EE3" w14:paraId="2147F036" w14:textId="77777777" w:rsidTr="00DF0230">
        <w:tc>
          <w:tcPr>
            <w:tcW w:w="1140" w:type="dxa"/>
          </w:tcPr>
          <w:p w14:paraId="4383B421" w14:textId="77777777" w:rsidR="00663E65" w:rsidRPr="00036EE3" w:rsidRDefault="00663E65" w:rsidP="00DF0230">
            <w:pPr>
              <w:spacing w:before="30" w:after="30"/>
              <w:ind w:left="57"/>
              <w:jc w:val="left"/>
              <w:rPr>
                <w:b/>
                <w:bCs/>
                <w:lang w:val="en-US"/>
              </w:rPr>
            </w:pPr>
            <w:r w:rsidRPr="00036EE3">
              <w:rPr>
                <w:b/>
                <w:bCs/>
                <w:lang w:val="en-US"/>
              </w:rPr>
              <w:t>V</w:t>
            </w:r>
          </w:p>
        </w:tc>
        <w:tc>
          <w:tcPr>
            <w:tcW w:w="8220" w:type="dxa"/>
          </w:tcPr>
          <w:p w14:paraId="2EA23E97" w14:textId="77777777" w:rsidR="00663E65" w:rsidRPr="00021E8A" w:rsidRDefault="00663E65" w:rsidP="00DF0230">
            <w:pPr>
              <w:spacing w:before="30" w:after="140"/>
              <w:jc w:val="left"/>
              <w:rPr>
                <w:bCs/>
                <w:lang w:val="en-US"/>
              </w:rPr>
            </w:pPr>
            <w:proofErr w:type="spellStart"/>
            <w:r w:rsidRPr="00021E8A">
              <w:rPr>
                <w:bCs/>
              </w:rPr>
              <w:t>Vocabulario</w:t>
            </w:r>
            <w:proofErr w:type="spellEnd"/>
            <w:r w:rsidRPr="00021E8A">
              <w:rPr>
                <w:bCs/>
              </w:rPr>
              <w:t xml:space="preserve"> y </w:t>
            </w:r>
            <w:proofErr w:type="spellStart"/>
            <w:r w:rsidRPr="00021E8A">
              <w:rPr>
                <w:bCs/>
              </w:rPr>
              <w:t>cuestiones</w:t>
            </w:r>
            <w:proofErr w:type="spellEnd"/>
            <w:r w:rsidRPr="00021E8A">
              <w:rPr>
                <w:bCs/>
              </w:rPr>
              <w:t xml:space="preserve"> </w:t>
            </w:r>
            <w:proofErr w:type="spellStart"/>
            <w:r w:rsidRPr="00021E8A">
              <w:rPr>
                <w:bCs/>
              </w:rPr>
              <w:t>afines</w:t>
            </w:r>
            <w:proofErr w:type="spellEnd"/>
          </w:p>
        </w:tc>
      </w:tr>
    </w:tbl>
    <w:p w14:paraId="5FD71AC9" w14:textId="77777777" w:rsidR="00663E65" w:rsidRPr="00036EE3" w:rsidRDefault="00663E65" w:rsidP="00663E65">
      <w:pPr>
        <w:spacing w:before="0" w:after="14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63E65" w14:paraId="52416278" w14:textId="77777777" w:rsidTr="00DF0230">
        <w:tc>
          <w:tcPr>
            <w:tcW w:w="720" w:type="dxa"/>
          </w:tcPr>
          <w:p w14:paraId="5A2B82AF" w14:textId="77777777" w:rsidR="00663E65" w:rsidRDefault="00663E65" w:rsidP="00DF0230">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663E65" w:rsidRPr="0084016E" w14:paraId="00A1D262" w14:textId="77777777" w:rsidTr="00DF0230">
        <w:tc>
          <w:tcPr>
            <w:tcW w:w="9360" w:type="dxa"/>
          </w:tcPr>
          <w:p w14:paraId="316B68D7" w14:textId="77777777" w:rsidR="00663E65" w:rsidRPr="00763D08" w:rsidRDefault="00663E65" w:rsidP="00DF0230">
            <w:pPr>
              <w:spacing w:before="92" w:after="92"/>
              <w:jc w:val="left"/>
              <w:rPr>
                <w:i/>
                <w:iCs/>
                <w:lang w:val="es-ES_tradnl"/>
              </w:rPr>
            </w:pPr>
            <w:r w:rsidRPr="00763D08">
              <w:rPr>
                <w:b/>
                <w:bCs/>
                <w:i/>
                <w:iCs/>
                <w:lang w:val="es-ES_tradnl"/>
              </w:rPr>
              <w:t xml:space="preserve">     </w:t>
            </w:r>
            <w:r>
              <w:rPr>
                <w:b/>
                <w:bCs/>
                <w:i/>
                <w:iCs/>
                <w:lang w:val="es-ES_tradnl"/>
              </w:rPr>
              <w:t xml:space="preserve">    </w:t>
            </w:r>
            <w:r w:rsidRPr="00763D08">
              <w:rPr>
                <w:b/>
                <w:bCs/>
                <w:i/>
                <w:iCs/>
                <w:lang w:val="es-ES_tradnl"/>
              </w:rPr>
              <w:t>Nota</w:t>
            </w:r>
            <w:r w:rsidRPr="00763D08">
              <w:rPr>
                <w:i/>
                <w:iCs/>
                <w:lang w:val="es-ES_tradnl"/>
              </w:rPr>
              <w:t xml:space="preserve">: Esta Recomendación UIT-R fue aprobada en inglés conforme al procedimiento detallado en la </w:t>
            </w:r>
            <w:r w:rsidRPr="00763D08">
              <w:rPr>
                <w:i/>
                <w:iCs/>
                <w:lang w:val="es-ES_tradnl"/>
              </w:rPr>
              <w:br/>
              <w:t xml:space="preserve">   </w:t>
            </w:r>
            <w:r>
              <w:rPr>
                <w:i/>
                <w:iCs/>
                <w:lang w:val="es-ES_tradnl"/>
              </w:rPr>
              <w:t xml:space="preserve">     </w:t>
            </w:r>
            <w:r w:rsidRPr="00763D08">
              <w:rPr>
                <w:i/>
                <w:iCs/>
                <w:lang w:val="es-ES_tradnl"/>
              </w:rPr>
              <w:t>Resolución UIT-R 1.</w:t>
            </w:r>
          </w:p>
        </w:tc>
      </w:tr>
    </w:tbl>
    <w:p w14:paraId="5B1097A6" w14:textId="77777777" w:rsidR="00663E65" w:rsidRPr="00763D08" w:rsidRDefault="00663E65" w:rsidP="00663E65">
      <w:pPr>
        <w:spacing w:before="0"/>
        <w:jc w:val="center"/>
        <w:rPr>
          <w:sz w:val="22"/>
          <w:lang w:val="es-ES_tradnl"/>
        </w:rPr>
      </w:pPr>
    </w:p>
    <w:p w14:paraId="26968EED" w14:textId="77777777" w:rsidR="00663E65" w:rsidRPr="00763D08" w:rsidRDefault="00663E65" w:rsidP="00663E65">
      <w:pPr>
        <w:spacing w:before="60"/>
        <w:jc w:val="right"/>
        <w:rPr>
          <w:i/>
          <w:iCs/>
          <w:lang w:val="es-ES_tradnl"/>
        </w:rPr>
      </w:pPr>
      <w:r w:rsidRPr="00763D08">
        <w:rPr>
          <w:i/>
          <w:iCs/>
          <w:lang w:val="es-ES_tradnl"/>
        </w:rPr>
        <w:t>Publicación electrónica</w:t>
      </w:r>
    </w:p>
    <w:p w14:paraId="78F5F44F" w14:textId="77777777" w:rsidR="00663E65" w:rsidRPr="00763D08" w:rsidRDefault="00663E65" w:rsidP="00663E65">
      <w:pPr>
        <w:spacing w:before="0" w:after="40"/>
        <w:jc w:val="right"/>
        <w:rPr>
          <w:lang w:val="es-ES_tradnl"/>
        </w:rPr>
      </w:pPr>
      <w:r w:rsidRPr="00763D08">
        <w:rPr>
          <w:lang w:val="es-ES_tradnl"/>
        </w:rPr>
        <w:t>Ginebra, 20</w:t>
      </w:r>
      <w:r>
        <w:rPr>
          <w:lang w:val="es-ES_tradnl"/>
        </w:rPr>
        <w:t>11</w:t>
      </w:r>
    </w:p>
    <w:p w14:paraId="0EAA6F37" w14:textId="77777777" w:rsidR="00663E65" w:rsidRPr="00763D08" w:rsidRDefault="00663E65" w:rsidP="00663E65">
      <w:pPr>
        <w:spacing w:before="0"/>
        <w:jc w:val="center"/>
        <w:rPr>
          <w:sz w:val="22"/>
          <w:lang w:val="es-ES_tradnl"/>
        </w:rPr>
      </w:pPr>
    </w:p>
    <w:p w14:paraId="3B7955D7" w14:textId="77777777" w:rsidR="00663E65" w:rsidRPr="00763D08" w:rsidRDefault="00663E65" w:rsidP="00663E65">
      <w:pPr>
        <w:spacing w:before="0"/>
        <w:jc w:val="center"/>
        <w:rPr>
          <w:lang w:val="es-ES_tradnl"/>
        </w:rPr>
      </w:pPr>
      <w:r w:rsidRPr="00470E28">
        <w:rPr>
          <w:lang w:val="en-US"/>
        </w:rPr>
        <w:sym w:font="Symbol" w:char="F0E3"/>
      </w:r>
      <w:r w:rsidRPr="00763D08">
        <w:rPr>
          <w:lang w:val="es-ES_tradnl"/>
        </w:rPr>
        <w:t xml:space="preserve"> UIT </w:t>
      </w:r>
      <w:bookmarkStart w:id="3" w:name="iiannee"/>
      <w:bookmarkEnd w:id="3"/>
      <w:r w:rsidRPr="00763D08">
        <w:rPr>
          <w:lang w:val="es-ES_tradnl"/>
        </w:rPr>
        <w:t>20</w:t>
      </w:r>
      <w:r>
        <w:rPr>
          <w:lang w:val="es-ES_tradnl"/>
        </w:rPr>
        <w:t>11</w:t>
      </w:r>
    </w:p>
    <w:p w14:paraId="38DEF02C" w14:textId="77777777" w:rsidR="00663E65" w:rsidRPr="006C718C" w:rsidRDefault="00663E65" w:rsidP="00663E6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5BB0A45F" w14:textId="77777777" w:rsidR="00663E65" w:rsidRPr="006C718C" w:rsidRDefault="00663E65" w:rsidP="00663E65">
      <w:pPr>
        <w:spacing w:before="160"/>
        <w:rPr>
          <w:i/>
          <w:highlight w:val="yellow"/>
          <w:lang w:val="es-ES_tradnl"/>
        </w:rPr>
        <w:sectPr w:rsidR="00663E65"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14:paraId="229EA8EE" w14:textId="6F2FC521" w:rsidR="00160F6C" w:rsidRDefault="00663E65" w:rsidP="00160F6C">
      <w:pPr>
        <w:pStyle w:val="Rec"/>
        <w:spacing w:before="0"/>
        <w:rPr>
          <w:lang w:val="es-ES_tradnl"/>
        </w:rPr>
      </w:pPr>
      <w:proofErr w:type="gramStart"/>
      <w:r>
        <w:rPr>
          <w:lang w:val="es-ES_tradnl"/>
        </w:rPr>
        <w:lastRenderedPageBreak/>
        <w:t xml:space="preserve">RECOMENDACIÓN  </w:t>
      </w:r>
      <w:r w:rsidRPr="004B29C9">
        <w:rPr>
          <w:rStyle w:val="href"/>
          <w:lang w:val="es-ES_tradnl"/>
        </w:rPr>
        <w:t>UIT</w:t>
      </w:r>
      <w:proofErr w:type="gramEnd"/>
      <w:r w:rsidRPr="004B29C9">
        <w:rPr>
          <w:rStyle w:val="href"/>
          <w:lang w:val="es-ES_tradnl"/>
        </w:rPr>
        <w:t>-R  SM.1394</w:t>
      </w:r>
      <w:r w:rsidR="0084016E">
        <w:rPr>
          <w:rStyle w:val="href"/>
          <w:lang w:val="es-ES_tradnl"/>
        </w:rPr>
        <w:t>-0</w:t>
      </w:r>
      <w:r w:rsidR="00160F6C">
        <w:rPr>
          <w:rStyle w:val="FootnoteReference"/>
          <w:lang w:val="es-ES_tradnl"/>
        </w:rPr>
        <w:footnoteReference w:id="1"/>
      </w:r>
    </w:p>
    <w:p w14:paraId="3BC372D3" w14:textId="77777777" w:rsidR="00B06E71" w:rsidRPr="00160F6C" w:rsidRDefault="00B06E71" w:rsidP="00160F6C">
      <w:pPr>
        <w:pStyle w:val="RecTitle"/>
        <w:rPr>
          <w:lang w:val="es-ES_tradnl"/>
        </w:rPr>
      </w:pPr>
      <w:proofErr w:type="gramStart"/>
      <w:r w:rsidRPr="00160F6C">
        <w:rPr>
          <w:lang w:val="es-ES_tradnl"/>
        </w:rPr>
        <w:t>FORMATO  COMÚN</w:t>
      </w:r>
      <w:proofErr w:type="gramEnd"/>
      <w:r w:rsidRPr="00160F6C">
        <w:rPr>
          <w:lang w:val="es-ES_tradnl"/>
        </w:rPr>
        <w:t xml:space="preserve">  PARA  UN  MEMORÁNDUM  DE  ENTENDIMIENTO  ENTRE</w:t>
      </w:r>
      <w:r w:rsidRPr="00160F6C">
        <w:rPr>
          <w:lang w:val="es-ES_tradnl"/>
        </w:rPr>
        <w:br/>
        <w:t>LOS  PAÍSES  QUE  LO  ACUERDEN  RELATIVO  A  LA  COOPERACIÓN</w:t>
      </w:r>
      <w:r w:rsidRPr="00160F6C">
        <w:rPr>
          <w:lang w:val="es-ES_tradnl"/>
        </w:rPr>
        <w:br/>
        <w:t>EN  ASUNTOS  DE  COMPROBACIÓN  TÉCNICA  DEL  ESPECTRO</w:t>
      </w:r>
    </w:p>
    <w:p w14:paraId="5418E39D" w14:textId="77777777" w:rsidR="00B06E71" w:rsidRPr="004B29C9" w:rsidRDefault="00160F6C">
      <w:pPr>
        <w:pStyle w:val="RecTitleRef"/>
        <w:rPr>
          <w:lang w:val="es-ES_tradnl"/>
        </w:rPr>
      </w:pPr>
      <w:r w:rsidRPr="004B29C9">
        <w:rPr>
          <w:lang w:val="es-ES_tradnl"/>
        </w:rPr>
        <w:t xml:space="preserve">(Artículo </w:t>
      </w:r>
      <w:r w:rsidR="00B06E71" w:rsidRPr="004B29C9">
        <w:rPr>
          <w:lang w:val="es-ES_tradnl"/>
        </w:rPr>
        <w:t>16 del RR)</w:t>
      </w:r>
    </w:p>
    <w:p w14:paraId="59E0EB81" w14:textId="77777777" w:rsidR="00B06E71" w:rsidRPr="00160F6C" w:rsidRDefault="00B06E71">
      <w:pPr>
        <w:pStyle w:val="RecTitleDate"/>
        <w:rPr>
          <w:lang w:val="es-ES_tradnl"/>
        </w:rPr>
      </w:pPr>
      <w:r w:rsidRPr="00160F6C">
        <w:rPr>
          <w:lang w:val="es-ES_tradnl"/>
        </w:rPr>
        <w:t>(1999)</w:t>
      </w:r>
    </w:p>
    <w:p w14:paraId="24B79C2A" w14:textId="77777777" w:rsidR="00B06E71" w:rsidRPr="004B29C9" w:rsidRDefault="00B06E71">
      <w:pPr>
        <w:pStyle w:val="headfoot"/>
        <w:rPr>
          <w:color w:val="FFFFFF" w:themeColor="background1"/>
          <w:lang w:val="es-ES_tradnl"/>
        </w:rPr>
      </w:pPr>
      <w:r w:rsidRPr="004B29C9">
        <w:rPr>
          <w:color w:val="FFFFFF" w:themeColor="background1"/>
          <w:lang w:val="es-ES_tradnl"/>
        </w:rPr>
        <w:t xml:space="preserve">Rec. </w:t>
      </w:r>
      <w:r w:rsidR="004B29C9" w:rsidRPr="004B29C9">
        <w:rPr>
          <w:color w:val="FFFFFF" w:themeColor="background1"/>
          <w:lang w:val="es-ES_tradnl"/>
        </w:rPr>
        <w:t xml:space="preserve"> </w:t>
      </w:r>
      <w:r w:rsidRPr="004B29C9">
        <w:rPr>
          <w:color w:val="FFFFFF" w:themeColor="background1"/>
          <w:lang w:val="es-ES_tradnl"/>
        </w:rPr>
        <w:t>UIT-</w:t>
      </w:r>
      <w:proofErr w:type="gramStart"/>
      <w:r w:rsidRPr="004B29C9">
        <w:rPr>
          <w:color w:val="FFFFFF" w:themeColor="background1"/>
          <w:lang w:val="es-ES_tradnl"/>
        </w:rPr>
        <w:t xml:space="preserve">R </w:t>
      </w:r>
      <w:r w:rsidR="004B29C9" w:rsidRPr="004B29C9">
        <w:rPr>
          <w:color w:val="FFFFFF" w:themeColor="background1"/>
          <w:lang w:val="es-ES_tradnl"/>
        </w:rPr>
        <w:t xml:space="preserve"> </w:t>
      </w:r>
      <w:r w:rsidRPr="004B29C9">
        <w:rPr>
          <w:color w:val="FFFFFF" w:themeColor="background1"/>
          <w:lang w:val="es-ES_tradnl"/>
        </w:rPr>
        <w:t>SM</w:t>
      </w:r>
      <w:proofErr w:type="gramEnd"/>
      <w:r w:rsidRPr="004B29C9">
        <w:rPr>
          <w:color w:val="FFFFFF" w:themeColor="background1"/>
          <w:lang w:val="es-ES_tradnl"/>
        </w:rPr>
        <w:t>.1394</w:t>
      </w:r>
    </w:p>
    <w:p w14:paraId="5D5415A9" w14:textId="77777777" w:rsidR="0084016E" w:rsidRPr="0084016E" w:rsidRDefault="0084016E" w:rsidP="0084016E">
      <w:pPr>
        <w:pStyle w:val="Headingb0"/>
        <w:rPr>
          <w:sz w:val="20"/>
          <w:lang w:val="es-ES_tradnl" w:eastAsia="zh-CN"/>
        </w:rPr>
      </w:pPr>
      <w:r w:rsidRPr="0084016E">
        <w:rPr>
          <w:sz w:val="20"/>
          <w:lang w:val="es-ES_tradnl" w:eastAsia="zh-CN"/>
        </w:rPr>
        <w:t>Alcance</w:t>
      </w:r>
    </w:p>
    <w:p w14:paraId="7DCFE156" w14:textId="77777777" w:rsidR="0084016E" w:rsidRPr="0084016E" w:rsidRDefault="0084016E" w:rsidP="0084016E">
      <w:pPr>
        <w:rPr>
          <w:lang w:val="es-ES_tradnl"/>
        </w:rPr>
      </w:pPr>
      <w:r w:rsidRPr="0084016E">
        <w:rPr>
          <w:lang w:val="es-ES_tradnl"/>
        </w:rPr>
        <w:t xml:space="preserve">Esta Recomendación ofrece orientaciones respecto de los requisitos para la creación de un Memorando de Entendimiento relativo a la cooperación en cuestiones de comprobación técnica del espectro. </w:t>
      </w:r>
    </w:p>
    <w:p w14:paraId="2B04A47E" w14:textId="77777777" w:rsidR="0084016E" w:rsidRPr="0084016E" w:rsidRDefault="0084016E" w:rsidP="0084016E">
      <w:pPr>
        <w:pStyle w:val="Headingb0"/>
        <w:rPr>
          <w:sz w:val="20"/>
          <w:lang w:val="es-ES_tradnl" w:eastAsia="zh-CN"/>
        </w:rPr>
      </w:pPr>
      <w:r w:rsidRPr="0084016E">
        <w:rPr>
          <w:sz w:val="20"/>
          <w:lang w:val="es-ES_tradnl" w:eastAsia="zh-CN"/>
        </w:rPr>
        <w:t>Palabras clave</w:t>
      </w:r>
    </w:p>
    <w:p w14:paraId="6C27402D" w14:textId="77777777" w:rsidR="0084016E" w:rsidRPr="00515F12" w:rsidRDefault="0084016E" w:rsidP="0084016E">
      <w:pPr>
        <w:rPr>
          <w:lang w:val="es-ES_tradnl"/>
        </w:rPr>
      </w:pPr>
      <w:r w:rsidRPr="0084016E">
        <w:rPr>
          <w:lang w:val="es-ES_tradnl"/>
        </w:rPr>
        <w:t>Memorándum, formato común, comprobación técnica del espectro</w:t>
      </w:r>
    </w:p>
    <w:p w14:paraId="32EECB1B" w14:textId="6AB89A12" w:rsidR="00B06E71" w:rsidRPr="00160F6C" w:rsidRDefault="00B06E71">
      <w:pPr>
        <w:pStyle w:val="Normalaftertitle"/>
        <w:rPr>
          <w:lang w:val="es-ES_tradnl"/>
        </w:rPr>
      </w:pPr>
      <w:r w:rsidRPr="00160F6C">
        <w:rPr>
          <w:lang w:val="es-ES_tradnl"/>
        </w:rPr>
        <w:t>La Asamblea de Radiocomunicaciones de la UIT,</w:t>
      </w:r>
    </w:p>
    <w:p w14:paraId="0DF2881A" w14:textId="77777777" w:rsidR="00B06E71" w:rsidRPr="00160F6C" w:rsidRDefault="00B06E71">
      <w:pPr>
        <w:pStyle w:val="call"/>
        <w:spacing w:line="0" w:lineRule="atLeast"/>
        <w:rPr>
          <w:lang w:val="es-ES_tradnl"/>
        </w:rPr>
      </w:pPr>
      <w:r w:rsidRPr="00160F6C">
        <w:rPr>
          <w:lang w:val="es-ES_tradnl"/>
        </w:rPr>
        <w:t>considerando</w:t>
      </w:r>
    </w:p>
    <w:p w14:paraId="2C5C1740" w14:textId="77777777" w:rsidR="00B06E71" w:rsidRPr="00160F6C" w:rsidRDefault="00B06E71">
      <w:pPr>
        <w:spacing w:line="0" w:lineRule="atLeast"/>
        <w:rPr>
          <w:lang w:val="es-ES_tradnl"/>
        </w:rPr>
      </w:pPr>
      <w:r w:rsidRPr="00160F6C">
        <w:rPr>
          <w:lang w:val="es-ES_tradnl"/>
        </w:rPr>
        <w:t>a)</w:t>
      </w:r>
      <w:r w:rsidRPr="00160F6C">
        <w:rPr>
          <w:lang w:val="es-ES_tradnl"/>
        </w:rPr>
        <w:tab/>
        <w:t>la necesidad de cooperación entre administraciones sobre asuntos de comprobación técnica del espectro, incluidos visitas de formación y formatos normalizados;</w:t>
      </w:r>
    </w:p>
    <w:p w14:paraId="63F4C8DE" w14:textId="77777777" w:rsidR="00B06E71" w:rsidRPr="00160F6C" w:rsidRDefault="00B06E71">
      <w:pPr>
        <w:spacing w:line="0" w:lineRule="atLeast"/>
        <w:rPr>
          <w:lang w:val="es-ES_tradnl"/>
        </w:rPr>
      </w:pPr>
      <w:r w:rsidRPr="00160F6C">
        <w:rPr>
          <w:lang w:val="es-ES_tradnl"/>
        </w:rPr>
        <w:t>b)</w:t>
      </w:r>
      <w:r w:rsidRPr="00160F6C">
        <w:rPr>
          <w:lang w:val="es-ES_tradnl"/>
        </w:rPr>
        <w:tab/>
        <w:t>la necesidad de cooperación entre administraciones en la resolución de interferencias del espectro radioeléctrico;</w:t>
      </w:r>
    </w:p>
    <w:p w14:paraId="40CAC597" w14:textId="77777777" w:rsidR="00B06E71" w:rsidRPr="00160F6C" w:rsidRDefault="00B06E71">
      <w:pPr>
        <w:spacing w:line="0" w:lineRule="atLeast"/>
        <w:rPr>
          <w:lang w:val="es-ES_tradnl"/>
        </w:rPr>
      </w:pPr>
      <w:r w:rsidRPr="00160F6C">
        <w:rPr>
          <w:lang w:val="es-ES_tradnl"/>
        </w:rPr>
        <w:t>c)</w:t>
      </w:r>
      <w:r w:rsidRPr="00160F6C">
        <w:rPr>
          <w:lang w:val="es-ES_tradnl"/>
        </w:rPr>
        <w:tab/>
        <w:t>la necesidad de un intercambio rápido de información técnica entre administraciones relativa a la comprobación técnica internacional de emisiones,</w:t>
      </w:r>
    </w:p>
    <w:p w14:paraId="3E0AFCA2" w14:textId="77777777" w:rsidR="00B06E71" w:rsidRPr="00160F6C" w:rsidRDefault="00B06E71">
      <w:pPr>
        <w:pStyle w:val="call"/>
        <w:spacing w:line="0" w:lineRule="atLeast"/>
        <w:rPr>
          <w:lang w:val="es-ES_tradnl"/>
        </w:rPr>
      </w:pPr>
      <w:r w:rsidRPr="00160F6C">
        <w:rPr>
          <w:lang w:val="es-ES_tradnl"/>
        </w:rPr>
        <w:t>tomando nota</w:t>
      </w:r>
    </w:p>
    <w:p w14:paraId="468AB755" w14:textId="77777777" w:rsidR="00B06E71" w:rsidRPr="00160F6C" w:rsidRDefault="00B06E71" w:rsidP="00160F6C">
      <w:pPr>
        <w:spacing w:line="0" w:lineRule="atLeast"/>
        <w:rPr>
          <w:lang w:val="es-ES_tradnl"/>
        </w:rPr>
      </w:pPr>
      <w:r w:rsidRPr="00160F6C">
        <w:rPr>
          <w:lang w:val="es-ES_tradnl"/>
        </w:rPr>
        <w:t>a)</w:t>
      </w:r>
      <w:r w:rsidRPr="00160F6C">
        <w:rPr>
          <w:lang w:val="es-ES_tradnl"/>
        </w:rPr>
        <w:tab/>
      </w:r>
      <w:r w:rsidR="00160F6C">
        <w:rPr>
          <w:lang w:val="es-ES_tradnl"/>
        </w:rPr>
        <w:t>que en el Artículo 16 del Reglamento de Radiocomunicaciones (RR) y en la Resolución UIT-R 23-1 (2000) se reconfirmó la necesidad de extender al ámbito mundial el sistema internacional de comprobación técnica de las emisiones y que debe alentarse y mejorarse la cooperación entre las estaciones de comprobación técnica de las emisiones de las diferentes administraciones para el intercambio de la información de comprobación técnica</w:t>
      </w:r>
      <w:r w:rsidRPr="00160F6C">
        <w:rPr>
          <w:lang w:val="es-ES_tradnl"/>
        </w:rPr>
        <w:t>;</w:t>
      </w:r>
    </w:p>
    <w:p w14:paraId="52A8019C" w14:textId="77777777" w:rsidR="00B06E71" w:rsidRPr="00160F6C" w:rsidRDefault="00B06E71">
      <w:pPr>
        <w:spacing w:line="0" w:lineRule="atLeast"/>
        <w:rPr>
          <w:lang w:val="es-ES_tradnl"/>
        </w:rPr>
      </w:pPr>
      <w:r w:rsidRPr="00160F6C">
        <w:rPr>
          <w:lang w:val="es-ES_tradnl"/>
        </w:rPr>
        <w:t>b)</w:t>
      </w:r>
      <w:r w:rsidRPr="00160F6C">
        <w:rPr>
          <w:lang w:val="es-ES_tradnl"/>
        </w:rPr>
        <w:tab/>
        <w:t>de que la necesidad de intercambiar información de comprobación técnica en tiempo real, necesaria para contribuir a resolver los problemas de interferencias internacionales, mejorará con la cooperación entre administraciones;</w:t>
      </w:r>
    </w:p>
    <w:p w14:paraId="12528D53" w14:textId="77777777" w:rsidR="00B06E71" w:rsidRPr="00160F6C" w:rsidRDefault="00B06E71">
      <w:pPr>
        <w:spacing w:line="0" w:lineRule="atLeast"/>
        <w:rPr>
          <w:lang w:val="es-ES_tradnl"/>
        </w:rPr>
      </w:pPr>
      <w:r w:rsidRPr="00160F6C">
        <w:rPr>
          <w:lang w:val="es-ES_tradnl"/>
        </w:rPr>
        <w:t>c)</w:t>
      </w:r>
      <w:r w:rsidRPr="00160F6C">
        <w:rPr>
          <w:lang w:val="es-ES_tradnl"/>
        </w:rPr>
        <w:tab/>
        <w:t>de que las administraciones de países en desarrollo pueden tener una mayor necesidad de intercambiar información con estaciones de comprobación técnica avanzadas,</w:t>
      </w:r>
    </w:p>
    <w:p w14:paraId="04045FDB" w14:textId="77777777" w:rsidR="00B06E71" w:rsidRPr="00160F6C" w:rsidRDefault="00B06E71">
      <w:pPr>
        <w:pStyle w:val="call"/>
        <w:spacing w:line="0" w:lineRule="atLeast"/>
        <w:rPr>
          <w:lang w:val="es-ES_tradnl"/>
        </w:rPr>
      </w:pPr>
      <w:r w:rsidRPr="00160F6C">
        <w:rPr>
          <w:lang w:val="es-ES_tradnl"/>
        </w:rPr>
        <w:t>recomienda</w:t>
      </w:r>
    </w:p>
    <w:p w14:paraId="36DDF89A" w14:textId="77777777" w:rsidR="00B06E71" w:rsidRPr="00160F6C" w:rsidRDefault="00B06E71">
      <w:pPr>
        <w:spacing w:line="0" w:lineRule="atLeast"/>
        <w:rPr>
          <w:b/>
          <w:lang w:val="es-ES_tradnl"/>
        </w:rPr>
      </w:pPr>
      <w:r w:rsidRPr="00160F6C">
        <w:rPr>
          <w:b/>
          <w:lang w:val="es-ES_tradnl"/>
        </w:rPr>
        <w:t>1</w:t>
      </w:r>
      <w:r w:rsidRPr="00160F6C">
        <w:rPr>
          <w:lang w:val="es-ES_tradnl"/>
        </w:rPr>
        <w:tab/>
        <w:t>que se considere un formato común de un Memorándum de Entendimiento relativo a la cooperación en asuntos de comprobación técnica del espectro entre administraciones, como se muestra en el Anexo 1;</w:t>
      </w:r>
    </w:p>
    <w:p w14:paraId="7C96ED94" w14:textId="77777777" w:rsidR="00B06E71" w:rsidRPr="00160F6C" w:rsidRDefault="00B06E71">
      <w:pPr>
        <w:spacing w:line="0" w:lineRule="atLeast"/>
        <w:rPr>
          <w:lang w:val="es-ES_tradnl"/>
        </w:rPr>
      </w:pPr>
      <w:r w:rsidRPr="00160F6C">
        <w:rPr>
          <w:b/>
          <w:lang w:val="es-ES_tradnl"/>
        </w:rPr>
        <w:t>2</w:t>
      </w:r>
      <w:r w:rsidRPr="00160F6C">
        <w:rPr>
          <w:lang w:val="es-ES_tradnl"/>
        </w:rPr>
        <w:tab/>
        <w:t>que las administraciones consideren elementos adecuados, como se muestra en el Anexo 1, para cumplir sus requisitos al establecer el Memorándum de Entendimiento.</w:t>
      </w:r>
    </w:p>
    <w:p w14:paraId="45254B77" w14:textId="77777777" w:rsidR="00B06E71" w:rsidRPr="00160F6C" w:rsidRDefault="00B06E71">
      <w:pPr>
        <w:pStyle w:val="Annex"/>
        <w:rPr>
          <w:lang w:val="es-ES_tradnl"/>
        </w:rPr>
      </w:pPr>
      <w:r w:rsidRPr="00160F6C">
        <w:rPr>
          <w:lang w:val="es-ES_tradnl"/>
        </w:rPr>
        <w:t>ANEXO  1</w:t>
      </w:r>
    </w:p>
    <w:p w14:paraId="42CCE215" w14:textId="77777777" w:rsidR="00B06E71" w:rsidRPr="00160F6C" w:rsidRDefault="00B06E71">
      <w:pPr>
        <w:pStyle w:val="AnnexRef"/>
        <w:spacing w:line="0" w:lineRule="atLeast"/>
        <w:rPr>
          <w:lang w:val="es-ES_tradnl"/>
        </w:rPr>
      </w:pPr>
      <w:r w:rsidRPr="00160F6C">
        <w:rPr>
          <w:lang w:val="es-ES_tradnl"/>
        </w:rPr>
        <w:t>(Se anima a las administraciones para que utilicen todos o algunos de los elementos</w:t>
      </w:r>
      <w:r w:rsidRPr="00160F6C">
        <w:rPr>
          <w:lang w:val="es-ES_tradnl"/>
        </w:rPr>
        <w:br/>
        <w:t>del ejemplo siguiente, según se precise)</w:t>
      </w:r>
    </w:p>
    <w:p w14:paraId="490A0EE7" w14:textId="77777777" w:rsidR="00B06E71" w:rsidRPr="00160F6C" w:rsidRDefault="00B06E71">
      <w:pPr>
        <w:pStyle w:val="AnnexTitle"/>
        <w:rPr>
          <w:lang w:val="es-ES_tradnl"/>
        </w:rPr>
      </w:pPr>
      <w:r w:rsidRPr="00160F6C">
        <w:rPr>
          <w:lang w:val="es-ES_tradnl"/>
        </w:rPr>
        <w:t xml:space="preserve">Memorándum de entendimiento relativo a la cooperación en asuntos de </w:t>
      </w:r>
      <w:r w:rsidRPr="00160F6C">
        <w:rPr>
          <w:lang w:val="es-ES_tradnl"/>
        </w:rPr>
        <w:br/>
        <w:t>comprobación técnica del espectro entre administraciones</w:t>
      </w:r>
    </w:p>
    <w:p w14:paraId="21EA9481" w14:textId="77777777" w:rsidR="00B06E71" w:rsidRPr="00160F6C" w:rsidRDefault="00B06E71">
      <w:pPr>
        <w:pStyle w:val="Annex"/>
        <w:rPr>
          <w:lang w:val="es-ES_tradnl"/>
        </w:rPr>
      </w:pPr>
      <w:proofErr w:type="gramStart"/>
      <w:r w:rsidRPr="00160F6C">
        <w:rPr>
          <w:lang w:val="es-ES_tradnl"/>
        </w:rPr>
        <w:lastRenderedPageBreak/>
        <w:t>ARTÍCULO  I</w:t>
      </w:r>
      <w:proofErr w:type="gramEnd"/>
    </w:p>
    <w:p w14:paraId="3F4FD182" w14:textId="77777777" w:rsidR="00B06E71" w:rsidRPr="00160F6C" w:rsidRDefault="00B06E71">
      <w:pPr>
        <w:pStyle w:val="Normalaftertitle"/>
        <w:rPr>
          <w:lang w:val="es-ES_tradnl"/>
        </w:rPr>
      </w:pPr>
      <w:r w:rsidRPr="00160F6C">
        <w:rPr>
          <w:lang w:val="es-ES_tradnl"/>
        </w:rPr>
        <w:t>El objetivo de este Memorándum de Entendimiento es establecer un programa para la cooperación en asuntos de comprobación técnica del espectro.</w:t>
      </w:r>
    </w:p>
    <w:p w14:paraId="74254E5A" w14:textId="77777777" w:rsidR="00B06E71" w:rsidRPr="00160F6C" w:rsidRDefault="00B06E71">
      <w:pPr>
        <w:pStyle w:val="Annex"/>
        <w:rPr>
          <w:lang w:val="es-ES_tradnl"/>
        </w:rPr>
      </w:pPr>
      <w:proofErr w:type="gramStart"/>
      <w:r w:rsidRPr="00160F6C">
        <w:rPr>
          <w:lang w:val="es-ES_tradnl"/>
        </w:rPr>
        <w:t>ARTÍCULO  II</w:t>
      </w:r>
      <w:proofErr w:type="gramEnd"/>
    </w:p>
    <w:p w14:paraId="563BC2A3" w14:textId="77777777" w:rsidR="00B06E71" w:rsidRPr="00160F6C" w:rsidRDefault="00B06E71">
      <w:pPr>
        <w:pStyle w:val="Normalaftertitle"/>
        <w:rPr>
          <w:lang w:val="es-ES_tradnl"/>
        </w:rPr>
      </w:pPr>
      <w:r w:rsidRPr="00160F6C">
        <w:rPr>
          <w:b/>
          <w:lang w:val="es-ES_tradnl"/>
        </w:rPr>
        <w:t>1</w:t>
      </w:r>
      <w:r w:rsidRPr="00160F6C">
        <w:rPr>
          <w:lang w:val="es-ES_tradnl"/>
        </w:rPr>
        <w:tab/>
      </w:r>
      <w:proofErr w:type="gramStart"/>
      <w:r w:rsidRPr="00160F6C">
        <w:rPr>
          <w:lang w:val="es-ES_tradnl"/>
        </w:rPr>
        <w:t>Las</w:t>
      </w:r>
      <w:proofErr w:type="gramEnd"/>
      <w:r w:rsidRPr="00160F6C">
        <w:rPr>
          <w:lang w:val="es-ES_tradnl"/>
        </w:rPr>
        <w:t xml:space="preserve"> áreas de cooperación consideradas por el presente Memorándum de Entendimiento incluyen (por ejemplo):</w:t>
      </w:r>
    </w:p>
    <w:p w14:paraId="4DA6CF71" w14:textId="77777777" w:rsidR="00B06E71" w:rsidRPr="00160F6C" w:rsidRDefault="00B06E71">
      <w:pPr>
        <w:pStyle w:val="enumlev1"/>
        <w:rPr>
          <w:lang w:val="es-ES_tradnl"/>
        </w:rPr>
      </w:pPr>
      <w:r w:rsidRPr="00160F6C">
        <w:rPr>
          <w:lang w:val="es-ES_tradnl"/>
        </w:rPr>
        <w:t>a)</w:t>
      </w:r>
      <w:r w:rsidRPr="00160F6C">
        <w:rPr>
          <w:lang w:val="es-ES_tradnl"/>
        </w:rPr>
        <w:tab/>
        <w:t>el desarrollo de sistemas de estudio para la comprobación técnica de emisiones en frecuencias radioeléctricas y de análisis de interferencias;</w:t>
      </w:r>
    </w:p>
    <w:p w14:paraId="1370EEEE" w14:textId="77777777" w:rsidR="00B06E71" w:rsidRPr="00160F6C" w:rsidRDefault="00B06E71">
      <w:pPr>
        <w:pStyle w:val="enumlev1"/>
        <w:rPr>
          <w:lang w:val="es-ES_tradnl"/>
        </w:rPr>
      </w:pPr>
      <w:r w:rsidRPr="00160F6C">
        <w:rPr>
          <w:lang w:val="es-ES_tradnl"/>
        </w:rPr>
        <w:t>b)</w:t>
      </w:r>
      <w:r w:rsidRPr="00160F6C">
        <w:rPr>
          <w:lang w:val="es-ES_tradnl"/>
        </w:rPr>
        <w:tab/>
        <w:t>la homologación de características técnicas de las facilidades de comprobación técnica y de comunicaciones;</w:t>
      </w:r>
    </w:p>
    <w:p w14:paraId="6E8AE1DF" w14:textId="77777777" w:rsidR="00B06E71" w:rsidRPr="00160F6C" w:rsidRDefault="00B06E71">
      <w:pPr>
        <w:pStyle w:val="enumlev1"/>
        <w:rPr>
          <w:lang w:val="es-ES_tradnl"/>
        </w:rPr>
      </w:pPr>
      <w:r w:rsidRPr="00160F6C">
        <w:rPr>
          <w:lang w:val="es-ES_tradnl"/>
        </w:rPr>
        <w:t>c)</w:t>
      </w:r>
      <w:r w:rsidRPr="00160F6C">
        <w:rPr>
          <w:lang w:val="es-ES_tradnl"/>
        </w:rPr>
        <w:tab/>
        <w:t>el intercambio rápido, entre las oficinas centralizadoras de las administraciones, de datos de comprobación técnica del espectro radioeléctrico y de marcaciones de radiogoniómetros una vez se hayan desarrollado adecuadamente los sistemas de comprobación técnica, de conformidad con el artículo S16 del RR, relativo a la comprobación técnica internacional de las emisiones;</w:t>
      </w:r>
    </w:p>
    <w:p w14:paraId="610817CE" w14:textId="77777777" w:rsidR="00B06E71" w:rsidRPr="00160F6C" w:rsidRDefault="00B06E71">
      <w:pPr>
        <w:pStyle w:val="enumlev1"/>
        <w:rPr>
          <w:lang w:val="es-ES_tradnl"/>
        </w:rPr>
      </w:pPr>
      <w:r w:rsidRPr="00160F6C">
        <w:rPr>
          <w:lang w:val="es-ES_tradnl"/>
        </w:rPr>
        <w:t>d)</w:t>
      </w:r>
      <w:r w:rsidRPr="00160F6C">
        <w:rPr>
          <w:lang w:val="es-ES_tradnl"/>
        </w:rPr>
        <w:tab/>
        <w:t>la cooperación en la identificación de transmisores radioeléctricos inadecuados que producen interferencias;</w:t>
      </w:r>
    </w:p>
    <w:p w14:paraId="0E8613FA" w14:textId="77777777" w:rsidR="00B06E71" w:rsidRPr="00160F6C" w:rsidRDefault="00B06E71">
      <w:pPr>
        <w:pStyle w:val="enumlev1"/>
        <w:rPr>
          <w:lang w:val="es-ES_tradnl"/>
        </w:rPr>
      </w:pPr>
      <w:r w:rsidRPr="00160F6C">
        <w:rPr>
          <w:lang w:val="es-ES_tradnl"/>
        </w:rPr>
        <w:t>e)</w:t>
      </w:r>
      <w:r w:rsidRPr="00160F6C">
        <w:rPr>
          <w:lang w:val="es-ES_tradnl"/>
        </w:rPr>
        <w:tab/>
        <w:t>visitas de formación a las oficinas centrales y a las facilidades de comprobación técnica según proceda.</w:t>
      </w:r>
    </w:p>
    <w:p w14:paraId="48B92501" w14:textId="77777777" w:rsidR="00B06E71" w:rsidRPr="00160F6C" w:rsidRDefault="00B06E71">
      <w:pPr>
        <w:rPr>
          <w:lang w:val="es-ES_tradnl"/>
        </w:rPr>
      </w:pPr>
      <w:r w:rsidRPr="00160F6C">
        <w:rPr>
          <w:b/>
          <w:lang w:val="es-ES_tradnl"/>
        </w:rPr>
        <w:t>2</w:t>
      </w:r>
      <w:r w:rsidRPr="00160F6C">
        <w:rPr>
          <w:lang w:val="es-ES_tradnl"/>
        </w:rPr>
        <w:tab/>
      </w:r>
      <w:proofErr w:type="gramStart"/>
      <w:r w:rsidRPr="00160F6C">
        <w:rPr>
          <w:lang w:val="es-ES_tradnl"/>
        </w:rPr>
        <w:t>Las</w:t>
      </w:r>
      <w:proofErr w:type="gramEnd"/>
      <w:r w:rsidRPr="00160F6C">
        <w:rPr>
          <w:lang w:val="es-ES_tradnl"/>
        </w:rPr>
        <w:t xml:space="preserve"> áreas de cooperación se pueden ampliar mediante acuerdo entre las partes.</w:t>
      </w:r>
    </w:p>
    <w:p w14:paraId="01CD6046" w14:textId="77777777" w:rsidR="00B06E71" w:rsidRPr="00160F6C" w:rsidRDefault="00B06E71">
      <w:pPr>
        <w:rPr>
          <w:lang w:val="es-ES_tradnl"/>
        </w:rPr>
      </w:pPr>
      <w:r w:rsidRPr="00160F6C">
        <w:rPr>
          <w:b/>
          <w:lang w:val="es-ES_tradnl"/>
        </w:rPr>
        <w:t>3</w:t>
      </w:r>
      <w:r w:rsidRPr="00160F6C">
        <w:rPr>
          <w:lang w:val="es-ES_tradnl"/>
        </w:rPr>
        <w:tab/>
      </w:r>
      <w:proofErr w:type="gramStart"/>
      <w:r w:rsidRPr="00160F6C">
        <w:rPr>
          <w:lang w:val="es-ES_tradnl"/>
        </w:rPr>
        <w:t>Las</w:t>
      </w:r>
      <w:proofErr w:type="gramEnd"/>
      <w:r w:rsidRPr="00160F6C">
        <w:rPr>
          <w:lang w:val="es-ES_tradnl"/>
        </w:rPr>
        <w:t xml:space="preserve"> administraciones establecerán un programa de trabajo que definirá las áreas específicas de cooperación en asuntos de comprobación técnica del espectro, así como la disponibilidad de investigadores expertos, técnicos y el material necesario para llevar a cabo el programa. Este programa de trabajo puede ser modificado, según proceda.</w:t>
      </w:r>
    </w:p>
    <w:p w14:paraId="3EF306CA" w14:textId="77777777" w:rsidR="00B06E71" w:rsidRPr="00160F6C" w:rsidRDefault="00B06E71">
      <w:pPr>
        <w:pStyle w:val="Annex"/>
        <w:rPr>
          <w:lang w:val="es-ES_tradnl"/>
        </w:rPr>
      </w:pPr>
      <w:proofErr w:type="gramStart"/>
      <w:r w:rsidRPr="00160F6C">
        <w:rPr>
          <w:lang w:val="es-ES_tradnl"/>
        </w:rPr>
        <w:t>ARTÍCULO  III</w:t>
      </w:r>
      <w:proofErr w:type="gramEnd"/>
    </w:p>
    <w:p w14:paraId="0C58576B" w14:textId="77777777" w:rsidR="00B06E71" w:rsidRPr="00160F6C" w:rsidRDefault="00B06E71">
      <w:pPr>
        <w:pStyle w:val="Normalaftertitle"/>
        <w:rPr>
          <w:lang w:val="es-ES_tradnl"/>
        </w:rPr>
      </w:pPr>
      <w:r w:rsidRPr="00160F6C">
        <w:rPr>
          <w:lang w:val="es-ES_tradnl"/>
        </w:rPr>
        <w:t>La capacidad de cada administración para comprometerse a un programa de trabajo dependerá de la disponibilidad de personal y de recursos financieros.</w:t>
      </w:r>
    </w:p>
    <w:p w14:paraId="341E5ACB" w14:textId="77777777" w:rsidR="00B06E71" w:rsidRPr="00160F6C" w:rsidRDefault="00B06E71">
      <w:pPr>
        <w:pStyle w:val="Annex"/>
        <w:rPr>
          <w:lang w:val="es-ES_tradnl"/>
        </w:rPr>
      </w:pPr>
      <w:proofErr w:type="gramStart"/>
      <w:r w:rsidRPr="00160F6C">
        <w:rPr>
          <w:lang w:val="es-ES_tradnl"/>
        </w:rPr>
        <w:t>ARTÍCULO  IV</w:t>
      </w:r>
      <w:proofErr w:type="gramEnd"/>
    </w:p>
    <w:p w14:paraId="0B8DFD0F" w14:textId="77777777" w:rsidR="00B06E71" w:rsidRPr="00160F6C" w:rsidRDefault="00B06E71">
      <w:pPr>
        <w:pStyle w:val="Normalaftertitle"/>
        <w:rPr>
          <w:lang w:val="es-ES_tradnl"/>
        </w:rPr>
      </w:pPr>
      <w:r w:rsidRPr="00160F6C">
        <w:rPr>
          <w:lang w:val="es-ES_tradnl"/>
        </w:rPr>
        <w:t>Las administraciones protegerán, de conformidad con las leyes, regulaciones y prácticas administrativas nacionales aplicables, la documentación e información internas recibidas de la otra parte como resultado de la aplicación de este Memorándum de Entendimiento.</w:t>
      </w:r>
    </w:p>
    <w:p w14:paraId="6131DDB9" w14:textId="77777777" w:rsidR="00B06E71" w:rsidRPr="00160F6C" w:rsidRDefault="00B06E71">
      <w:pPr>
        <w:pStyle w:val="Annex"/>
        <w:rPr>
          <w:lang w:val="es-ES_tradnl"/>
        </w:rPr>
      </w:pPr>
      <w:proofErr w:type="gramStart"/>
      <w:r w:rsidRPr="00160F6C">
        <w:rPr>
          <w:lang w:val="es-ES_tradnl"/>
        </w:rPr>
        <w:t>ARTÍCULO  V</w:t>
      </w:r>
      <w:proofErr w:type="gramEnd"/>
    </w:p>
    <w:p w14:paraId="5113E1AA" w14:textId="77777777" w:rsidR="00B06E71" w:rsidRPr="00160F6C" w:rsidRDefault="00B06E71">
      <w:pPr>
        <w:pStyle w:val="Normalaftertitle"/>
        <w:rPr>
          <w:lang w:val="es-ES_tradnl"/>
        </w:rPr>
      </w:pPr>
      <w:r w:rsidRPr="00160F6C">
        <w:rPr>
          <w:lang w:val="es-ES_tradnl"/>
        </w:rPr>
        <w:t>Este Memorándum de Entendimiento entrará en vigor en el momento de su firma y se mantendrá en vigor durante un periodo de cinco años. Podrá ser enmendado por acuerdo entre las partes. En el caso de que concluya este Memorándum de Entendimiento, deberán tomarse las medidas necesarias para finalizar las actividades en curso iniciadas por este Memorándum de Entendimiento.</w:t>
      </w:r>
    </w:p>
    <w:p w14:paraId="02C52056" w14:textId="77777777" w:rsidR="00B06E71" w:rsidRPr="00160F6C" w:rsidRDefault="00B06E71">
      <w:pPr>
        <w:spacing w:line="0" w:lineRule="atLeast"/>
        <w:rPr>
          <w:lang w:val="es-ES_tradnl"/>
        </w:rPr>
      </w:pPr>
      <w:r w:rsidRPr="00160F6C">
        <w:rPr>
          <w:lang w:val="es-ES_tradnl"/>
        </w:rPr>
        <w:t>Preparado por duplicado en ________________ a ______________, ____, en el idioma o idiomas de ambas partes, siendo ambos textos igualmente válidos.</w:t>
      </w:r>
    </w:p>
    <w:p w14:paraId="5F763418" w14:textId="77777777" w:rsidR="00B06E71" w:rsidRPr="00160F6C" w:rsidRDefault="00B06E71">
      <w:pPr>
        <w:rPr>
          <w:lang w:val="es-ES_tradnl"/>
        </w:rPr>
      </w:pPr>
    </w:p>
    <w:p w14:paraId="54B9670B" w14:textId="77777777" w:rsidR="00B06E71" w:rsidRPr="00160F6C" w:rsidRDefault="00B06E71">
      <w:pPr>
        <w:pStyle w:val="Line"/>
        <w:rPr>
          <w:lang w:val="es-ES_tradnl"/>
        </w:rPr>
      </w:pPr>
    </w:p>
    <w:sectPr w:rsidR="00B06E71" w:rsidRPr="00160F6C" w:rsidSect="000D5059">
      <w:headerReference w:type="even" r:id="rId14"/>
      <w:headerReference w:type="default" r:id="rId15"/>
      <w:footnotePr>
        <w:numFmt w:val="chicago"/>
      </w:footnotePr>
      <w:pgSz w:w="11907" w:h="16840" w:code="9"/>
      <w:pgMar w:top="1089" w:right="1089" w:bottom="1089" w:left="1089" w:header="482" w:footer="482" w:gutter="0"/>
      <w:paperSrc w:first="15" w:other="15"/>
      <w:pgNumType w:start="1"/>
      <w:cols w:space="720"/>
      <w:vAlign w:val="both"/>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77E117" w14:textId="77777777" w:rsidR="00B06E71" w:rsidRDefault="00B06E71">
      <w:pPr>
        <w:spacing w:before="0"/>
      </w:pPr>
      <w:r>
        <w:separator/>
      </w:r>
    </w:p>
  </w:endnote>
  <w:endnote w:type="continuationSeparator" w:id="0">
    <w:p w14:paraId="48B572A3" w14:textId="77777777" w:rsidR="00B06E71" w:rsidRDefault="00B06E7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B2F82C" w14:textId="77777777" w:rsidR="00B06E71" w:rsidRDefault="00B06E71">
      <w:r>
        <w:t>____________________</w:t>
      </w:r>
    </w:p>
  </w:footnote>
  <w:footnote w:type="continuationSeparator" w:id="0">
    <w:p w14:paraId="694E8D6F" w14:textId="77777777" w:rsidR="00B06E71" w:rsidRDefault="00B06E71">
      <w:pPr>
        <w:spacing w:before="0"/>
      </w:pPr>
      <w:r>
        <w:continuationSeparator/>
      </w:r>
    </w:p>
  </w:footnote>
  <w:footnote w:id="1">
    <w:p w14:paraId="4D1B64A6" w14:textId="080D093A" w:rsidR="00B06E71" w:rsidRPr="00160F6C" w:rsidRDefault="00B06E71" w:rsidP="00160F6C">
      <w:pPr>
        <w:pStyle w:val="FootnoteText"/>
        <w:ind w:left="313" w:hanging="313"/>
        <w:rPr>
          <w:lang w:val="es-ES_tradnl"/>
        </w:rPr>
      </w:pPr>
      <w:r>
        <w:rPr>
          <w:rStyle w:val="FootnoteReference"/>
        </w:rPr>
        <w:footnoteRef/>
      </w:r>
      <w:r w:rsidRPr="00160F6C">
        <w:rPr>
          <w:lang w:val="es-ES_tradnl"/>
        </w:rPr>
        <w:t xml:space="preserve"> </w:t>
      </w:r>
      <w:r>
        <w:rPr>
          <w:lang w:val="es-ES_tradnl"/>
        </w:rPr>
        <w:tab/>
        <w:t>La Comisión de Estudio 1 de Radiocomunicaciones incorporó enmiendas de forma a la presente Recomendación en 2010</w:t>
      </w:r>
      <w:r w:rsidR="0084016E">
        <w:rPr>
          <w:lang w:val="es-ES_tradnl"/>
        </w:rPr>
        <w:t xml:space="preserve"> y 2019</w:t>
      </w:r>
      <w:r>
        <w:rPr>
          <w:lang w:val="es-ES_tradnl"/>
        </w:rPr>
        <w:t xml:space="preserve"> con arreglo a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2CD07" w14:textId="77777777" w:rsidR="00663E65" w:rsidRDefault="00663E6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58192" w14:textId="77777777" w:rsidR="00663E65" w:rsidRDefault="00663E65" w:rsidP="00D62884">
    <w:pPr>
      <w:pStyle w:val="Header"/>
      <w:ind w:right="360" w:firstLine="360"/>
    </w:pPr>
    <w:r>
      <w:rPr>
        <w:noProof/>
        <w:lang w:val="en-US"/>
      </w:rPr>
      <w:drawing>
        <wp:anchor distT="0" distB="0" distL="114300" distR="114300" simplePos="0" relativeHeight="251659264" behindDoc="1" locked="0" layoutInCell="1" allowOverlap="1" wp14:anchorId="589F0BA7" wp14:editId="688EE60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D2866" w14:textId="53E57665" w:rsidR="000D5059" w:rsidRDefault="000D5059">
    <w:pPr>
      <w:pStyle w:val="Header"/>
    </w:pPr>
    <w:r w:rsidRPr="000D5059">
      <w:rPr>
        <w:lang w:val="fr-FR"/>
      </w:rPr>
      <w:fldChar w:fldCharType="begin"/>
    </w:r>
    <w:r w:rsidRPr="004B29C9">
      <w:rPr>
        <w:lang w:val="en-US"/>
      </w:rPr>
      <w:instrText xml:space="preserve"> DOCPROPERTY "Header" \* MERGEFORMAT </w:instrText>
    </w:r>
    <w:r w:rsidRPr="000D5059">
      <w:rPr>
        <w:lang w:val="fr-FR"/>
      </w:rPr>
      <w:fldChar w:fldCharType="separate"/>
    </w:r>
    <w:r w:rsidR="000E039E">
      <w:rPr>
        <w:b w:val="0"/>
        <w:bCs w:val="0"/>
        <w:lang w:val="en-US"/>
      </w:rPr>
      <w:t>Error! Unknown document property name.</w:t>
    </w:r>
    <w:r w:rsidRPr="000D5059">
      <w:rPr>
        <w:lang w:val="en-US"/>
      </w:rPr>
      <w:fldChar w:fldCharType="end"/>
    </w:r>
    <w:r w:rsidRPr="004B29C9">
      <w:rPr>
        <w:lang w:val="en-US"/>
      </w:rPr>
      <w:t xml:space="preserve"> </w:t>
    </w:r>
    <w:r w:rsidRPr="000D5059">
      <w:fldChar w:fldCharType="begin"/>
    </w:r>
    <w:r w:rsidRPr="004B29C9">
      <w:rPr>
        <w:lang w:val="en-US"/>
      </w:rPr>
      <w:instrText>styleref href</w:instrText>
    </w:r>
    <w:r w:rsidRPr="000D5059">
      <w:fldChar w:fldCharType="separate"/>
    </w:r>
    <w:r w:rsidR="000E039E">
      <w:rPr>
        <w:noProof/>
        <w:lang w:val="en-US"/>
      </w:rPr>
      <w:t>UIT-R  SM.1394-0</w:t>
    </w:r>
    <w:r w:rsidRPr="000D5059">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45927" w14:textId="0EC2902B" w:rsidR="00663E65" w:rsidRPr="00663E65" w:rsidRDefault="00663E65" w:rsidP="004B29C9">
    <w:pPr>
      <w:pStyle w:val="Header"/>
      <w:jc w:val="left"/>
      <w:rPr>
        <w:lang w:val="fr-CH"/>
      </w:rPr>
    </w:pPr>
    <w:r>
      <w:rPr>
        <w:rStyle w:val="PageNumber"/>
        <w:b w:val="0"/>
        <w:bCs w:val="0"/>
      </w:rPr>
      <w:fldChar w:fldCharType="begin"/>
    </w:r>
    <w:r w:rsidRPr="00663E65">
      <w:rPr>
        <w:rStyle w:val="PageNumber"/>
        <w:lang w:val="fr-CH"/>
      </w:rPr>
      <w:instrText xml:space="preserve"> PAGE </w:instrText>
    </w:r>
    <w:r>
      <w:rPr>
        <w:rStyle w:val="PageNumber"/>
        <w:b w:val="0"/>
        <w:bCs w:val="0"/>
      </w:rPr>
      <w:fldChar w:fldCharType="separate"/>
    </w:r>
    <w:r w:rsidR="007B5515">
      <w:rPr>
        <w:rStyle w:val="PageNumber"/>
        <w:noProof/>
        <w:lang w:val="fr-CH"/>
      </w:rPr>
      <w:t>ii</w:t>
    </w:r>
    <w:r>
      <w:rPr>
        <w:rStyle w:val="PageNumber"/>
        <w:b w:val="0"/>
        <w:bCs w:val="0"/>
      </w:rPr>
      <w:fldChar w:fldCharType="end"/>
    </w:r>
    <w:r w:rsidRPr="00663E65">
      <w:rPr>
        <w:lang w:val="fr-CH"/>
      </w:rPr>
      <w:tab/>
    </w:r>
    <w:r w:rsidR="004B29C9">
      <w:fldChar w:fldCharType="begin"/>
    </w:r>
    <w:r w:rsidR="004B29C9">
      <w:instrText>styleref head_foot</w:instrText>
    </w:r>
    <w:r w:rsidR="004B29C9">
      <w:fldChar w:fldCharType="separate"/>
    </w:r>
    <w:r w:rsidR="000E039E">
      <w:rPr>
        <w:noProof/>
      </w:rPr>
      <w:t>Rec.  UIT-R  SM.1394</w:t>
    </w:r>
    <w:r w:rsidR="004B29C9">
      <w:fldChar w:fldCharType="end"/>
    </w:r>
    <w:r w:rsidR="0084016E">
      <w:t>-0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77AC9" w14:textId="19B65202" w:rsidR="00663E65" w:rsidRDefault="00663E65">
    <w:pPr>
      <w:pStyle w:val="Header"/>
    </w:pPr>
    <w:r>
      <w:tab/>
    </w:r>
    <w:r>
      <w:rPr>
        <w:lang w:val="fr-FR"/>
      </w:rPr>
      <w:fldChar w:fldCharType="begin"/>
    </w:r>
    <w:r>
      <w:instrText xml:space="preserve"> DOCPROPERTY "Header" \* MERGEFORMAT </w:instrText>
    </w:r>
    <w:r>
      <w:rPr>
        <w:lang w:val="fr-FR"/>
      </w:rPr>
      <w:fldChar w:fldCharType="separate"/>
    </w:r>
    <w:r w:rsidR="000E039E">
      <w:rPr>
        <w:b w:val="0"/>
        <w:bCs w:val="0"/>
        <w:lang w:val="en-US"/>
      </w:rPr>
      <w:t>Error! Unknown document property name.</w:t>
    </w:r>
    <w:r>
      <w:rPr>
        <w:lang w:val="en-US"/>
      </w:rPr>
      <w:fldChar w:fldCharType="end"/>
    </w:r>
    <w:r>
      <w:t xml:space="preserve">  </w:t>
    </w:r>
    <w:r>
      <w:rPr>
        <w:b w:val="0"/>
        <w:bCs w:val="0"/>
      </w:rPr>
      <w:fldChar w:fldCharType="begin"/>
    </w:r>
    <w:r>
      <w:instrText>styleref href</w:instrText>
    </w:r>
    <w:r>
      <w:rPr>
        <w:b w:val="0"/>
        <w:bCs w:val="0"/>
      </w:rPr>
      <w:fldChar w:fldCharType="separate"/>
    </w:r>
    <w:r w:rsidR="000E039E">
      <w:rPr>
        <w:noProof/>
      </w:rPr>
      <w:t>UIT-R  SM.1394-0</w:t>
    </w:r>
    <w:r>
      <w:rPr>
        <w:b w:val="0"/>
        <w:bCs w:val="0"/>
      </w:rPr>
      <w:fldChar w:fldCharType="end"/>
    </w:r>
    <w:r>
      <w:tab/>
    </w:r>
    <w:r>
      <w:rPr>
        <w:rStyle w:val="PageNumber"/>
        <w:b w:val="0"/>
        <w:bCs w:val="0"/>
      </w:rPr>
      <w:fldChar w:fldCharType="begin"/>
    </w:r>
    <w:r>
      <w:rPr>
        <w:rStyle w:val="PageNumber"/>
      </w:rPr>
      <w:instrText xml:space="preserve"> PAGE </w:instrText>
    </w:r>
    <w:r>
      <w:rPr>
        <w:rStyle w:val="PageNumber"/>
        <w:b w:val="0"/>
        <w:bCs w:val="0"/>
      </w:rPr>
      <w:fldChar w:fldCharType="separate"/>
    </w:r>
    <w:r>
      <w:rPr>
        <w:rStyle w:val="PageNumber"/>
        <w:noProof/>
      </w:rPr>
      <w:t>1</w:t>
    </w:r>
    <w:r>
      <w:rPr>
        <w:rStyle w:val="PageNumber"/>
        <w:b w:val="0"/>
        <w:bCs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D558E" w14:textId="2815E093" w:rsidR="00B06E71" w:rsidRDefault="00B06E71">
    <w:pPr>
      <w:pStyle w:val="Header"/>
    </w:pPr>
    <w:r>
      <w:rPr>
        <w:rStyle w:val="PageNumber"/>
      </w:rPr>
      <w:fldChar w:fldCharType="begin"/>
    </w:r>
    <w:r>
      <w:rPr>
        <w:rStyle w:val="PageNumber"/>
      </w:rPr>
      <w:instrText xml:space="preserve"> PAGE </w:instrText>
    </w:r>
    <w:r>
      <w:rPr>
        <w:rStyle w:val="PageNumber"/>
      </w:rPr>
      <w:fldChar w:fldCharType="separate"/>
    </w:r>
    <w:r w:rsidR="007B5515">
      <w:rPr>
        <w:rStyle w:val="PageNumber"/>
        <w:noProof/>
      </w:rPr>
      <w:t>2</w:t>
    </w:r>
    <w:r>
      <w:rPr>
        <w:rStyle w:val="PageNumber"/>
      </w:rPr>
      <w:fldChar w:fldCharType="end"/>
    </w:r>
    <w:r>
      <w:tab/>
    </w:r>
    <w:r>
      <w:fldChar w:fldCharType="begin"/>
    </w:r>
    <w:r>
      <w:instrText>styleref head_foot</w:instrText>
    </w:r>
    <w:r>
      <w:fldChar w:fldCharType="separate"/>
    </w:r>
    <w:r w:rsidR="000E039E">
      <w:rPr>
        <w:noProof/>
      </w:rPr>
      <w:t>Rec.  UIT-R  SM.1394</w:t>
    </w:r>
    <w:r>
      <w:fldChar w:fldCharType="end"/>
    </w:r>
    <w:r w:rsidR="0084016E">
      <w:t>-0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07248" w14:textId="758D1B1E" w:rsidR="00B06E71" w:rsidRDefault="00B06E71">
    <w:pPr>
      <w:pStyle w:val="Header"/>
    </w:pPr>
    <w:r>
      <w:tab/>
    </w:r>
    <w:r>
      <w:fldChar w:fldCharType="begin"/>
    </w:r>
    <w:r>
      <w:instrText>styleref head_foot</w:instrText>
    </w:r>
    <w:r>
      <w:fldChar w:fldCharType="separate"/>
    </w:r>
    <w:r w:rsidR="000E039E">
      <w:rPr>
        <w:noProof/>
      </w:rPr>
      <w:t>Rec.  UIT-R  SM.1394</w:t>
    </w:r>
    <w:r>
      <w:fldChar w:fldCharType="end"/>
    </w:r>
    <w:r w:rsidR="0084016E">
      <w:t>-0</w:t>
    </w:r>
    <w:r>
      <w:tab/>
    </w:r>
    <w:r w:rsidR="00663E65" w:rsidRPr="000D5059">
      <w:rPr>
        <w:rFonts w:eastAsiaTheme="minorEastAsia"/>
      </w:rPr>
      <w:fldChar w:fldCharType="begin"/>
    </w:r>
    <w:r w:rsidR="00663E65" w:rsidRPr="000D5059">
      <w:instrText xml:space="preserve"> PAGE   \* MERGEFORMAT </w:instrText>
    </w:r>
    <w:r w:rsidR="00663E65" w:rsidRPr="000D5059">
      <w:rPr>
        <w:rFonts w:eastAsiaTheme="minorEastAsia"/>
      </w:rPr>
      <w:fldChar w:fldCharType="separate"/>
    </w:r>
    <w:r w:rsidR="007B5515" w:rsidRPr="007B5515">
      <w:rPr>
        <w:rFonts w:eastAsiaTheme="majorEastAsia"/>
        <w:noProof/>
      </w:rPr>
      <w:t>1</w:t>
    </w:r>
    <w:r w:rsidR="00663E65" w:rsidRPr="000D5059">
      <w:rPr>
        <w:rFonts w:eastAsiaTheme="majorEastAsia"/>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6D50"/>
    <w:rsid w:val="0005367C"/>
    <w:rsid w:val="000D5059"/>
    <w:rsid w:val="000E039E"/>
    <w:rsid w:val="00160F6C"/>
    <w:rsid w:val="004B29C9"/>
    <w:rsid w:val="00663E65"/>
    <w:rsid w:val="007B5515"/>
    <w:rsid w:val="0084016E"/>
    <w:rsid w:val="00AE6D50"/>
    <w:rsid w:val="00B06E71"/>
    <w:rsid w:val="00C16685"/>
    <w:rsid w:val="00C852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ACF46F0"/>
  <w15:docId w15:val="{62073357-4804-453B-8769-E80DBBF81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bCs/>
      <w:sz w:val="24"/>
      <w:szCs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bCs/>
      <w:sz w:val="22"/>
      <w:szCs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bCs/>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6">
    <w:name w:val="toc 6"/>
    <w:basedOn w:val="Normal"/>
    <w:next w:val="Normal"/>
    <w:semiHidden/>
    <w:pPr>
      <w:tabs>
        <w:tab w:val="left" w:pos="5104"/>
        <w:tab w:val="right" w:leader="dot" w:pos="9725"/>
      </w:tabs>
      <w:ind w:left="3969"/>
    </w:pPr>
  </w:style>
  <w:style w:type="paragraph" w:styleId="TOC5">
    <w:name w:val="toc 5"/>
    <w:basedOn w:val="Normal"/>
    <w:next w:val="Normal"/>
    <w:semiHidden/>
    <w:pPr>
      <w:tabs>
        <w:tab w:val="left" w:pos="3969"/>
        <w:tab w:val="right" w:leader="dot" w:pos="9725"/>
      </w:tabs>
      <w:ind w:left="2948"/>
    </w:pPr>
  </w:style>
  <w:style w:type="paragraph" w:styleId="TOC4">
    <w:name w:val="toc 4"/>
    <w:basedOn w:val="TOC3"/>
    <w:next w:val="TOC5"/>
    <w:semiHidden/>
    <w:pPr>
      <w:tabs>
        <w:tab w:val="left" w:pos="2948"/>
      </w:tabs>
      <w:ind w:left="2948" w:hanging="907"/>
    </w:pPr>
  </w:style>
  <w:style w:type="paragraph" w:styleId="TOC3">
    <w:name w:val="toc 3"/>
    <w:basedOn w:val="TOC2"/>
    <w:next w:val="TOC4"/>
    <w:semiHidden/>
    <w:pPr>
      <w:tabs>
        <w:tab w:val="clear" w:pos="1247"/>
        <w:tab w:val="left" w:pos="2041"/>
      </w:tabs>
      <w:spacing w:before="20"/>
      <w:ind w:left="2041" w:hanging="794"/>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bCs/>
    </w:rPr>
  </w:style>
  <w:style w:type="paragraph" w:styleId="Header">
    <w:name w:val="header"/>
    <w:basedOn w:val="Normal"/>
    <w:link w:val="HeaderChar"/>
    <w:pPr>
      <w:tabs>
        <w:tab w:val="clear" w:pos="794"/>
        <w:tab w:val="clear" w:pos="1191"/>
        <w:tab w:val="clear" w:pos="1588"/>
        <w:tab w:val="clear" w:pos="1985"/>
        <w:tab w:val="center" w:pos="4849"/>
        <w:tab w:val="right" w:pos="9696"/>
      </w:tabs>
    </w:pPr>
    <w:rPr>
      <w:b/>
      <w:bCs/>
    </w:rPr>
  </w:style>
  <w:style w:type="character" w:styleId="FootnoteReference">
    <w:name w:val="footnote reference"/>
    <w:basedOn w:val="DefaultParagraphFont"/>
    <w:semiHidden/>
    <w:rPr>
      <w:position w:val="4"/>
      <w:sz w:val="16"/>
      <w:szCs w:val="16"/>
    </w:rPr>
  </w:style>
  <w:style w:type="paragraph" w:styleId="FootnoteText">
    <w:name w:val="footnote text"/>
    <w:basedOn w:val="Normal"/>
    <w:semiHidden/>
    <w:pPr>
      <w:tabs>
        <w:tab w:val="clear" w:pos="794"/>
        <w:tab w:val="clear" w:pos="1191"/>
        <w:tab w:val="clear" w:pos="1588"/>
        <w:tab w:val="clear" w:pos="1985"/>
        <w:tab w:val="left" w:pos="313"/>
      </w:tabs>
    </w:pPr>
    <w:rPr>
      <w:sz w:val="18"/>
      <w:szCs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ind w:left="-85" w:right="-85"/>
    </w:pPr>
    <w:rPr>
      <w:sz w:val="18"/>
      <w:szCs w:val="18"/>
    </w:rPr>
  </w:style>
  <w:style w:type="paragraph" w:customStyle="1" w:styleId="TableText">
    <w:name w:val="Table_Text"/>
    <w:basedOn w:val="TableLegend"/>
    <w:pPr>
      <w:spacing w:before="100" w:after="100" w:line="190" w:lineRule="exact"/>
      <w:ind w:left="0" w:right="0"/>
    </w:pPr>
  </w:style>
  <w:style w:type="paragraph" w:customStyle="1" w:styleId="TableTitle">
    <w:name w:val="Table_Title"/>
    <w:basedOn w:val="Table"/>
    <w:next w:val="Blanc"/>
    <w:pPr>
      <w:spacing w:before="0"/>
    </w:pPr>
    <w:rPr>
      <w:b/>
      <w:bCs/>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szCs w:val="18"/>
    </w:r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TableHead">
    <w:name w:val="Table_Head"/>
    <w:basedOn w:val="TableText"/>
    <w:pPr>
      <w:spacing w:before="80" w:after="80"/>
      <w:jc w:val="center"/>
    </w:pPr>
    <w:rPr>
      <w:b/>
      <w:bCs/>
    </w:rPr>
  </w:style>
  <w:style w:type="paragraph" w:customStyle="1" w:styleId="FigureLegend">
    <w:name w:val="Figure_Legend"/>
    <w:basedOn w:val="TableLegend"/>
    <w:next w:val="FigureRemark"/>
    <w:pPr>
      <w:jc w:val="left"/>
    </w:pPr>
  </w:style>
  <w:style w:type="paragraph" w:customStyle="1" w:styleId="Figure">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szCs w:val="18"/>
    </w:rPr>
  </w:style>
  <w:style w:type="paragraph" w:customStyle="1" w:styleId="RefText">
    <w:name w:val="Ref_Text"/>
    <w:basedOn w:val="Normal"/>
    <w:pPr>
      <w:ind w:left="567" w:hanging="567"/>
    </w:pPr>
    <w:rPr>
      <w:sz w:val="18"/>
      <w:szCs w:val="18"/>
    </w:rPr>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szCs w:val="22"/>
    </w:rPr>
  </w:style>
  <w:style w:type="paragraph" w:customStyle="1" w:styleId="Head">
    <w:name w:val="Head"/>
    <w:basedOn w:val="Normal"/>
    <w:pPr>
      <w:tabs>
        <w:tab w:val="clear" w:pos="794"/>
        <w:tab w:val="clear" w:pos="1191"/>
        <w:tab w:val="clear" w:pos="1588"/>
        <w:tab w:val="clear" w:pos="1985"/>
        <w:tab w:val="left" w:pos="6663"/>
      </w:tabs>
      <w:spacing w:before="0"/>
    </w:pPr>
  </w:style>
  <w:style w:type="paragraph" w:customStyle="1" w:styleId="RecTitle">
    <w:name w:val="Rec_Title"/>
    <w:basedOn w:val="Rec"/>
    <w:next w:val="RecTitleRef"/>
    <w:pPr>
      <w:spacing w:before="180"/>
    </w:pPr>
    <w:rPr>
      <w:b/>
      <w:bCs/>
    </w:rPr>
  </w:style>
  <w:style w:type="paragraph" w:customStyle="1" w:styleId="Normalaftertitle">
    <w:name w:val="Normal after title"/>
    <w:basedOn w:val="Normal"/>
    <w:next w:val="Normal"/>
    <w:pPr>
      <w:spacing w:before="480"/>
    </w:p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iCs/>
    </w:r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toc0">
    <w:name w:val="toc 0"/>
    <w:basedOn w:val="Normal"/>
    <w:next w:val="TOC1"/>
    <w:pPr>
      <w:tabs>
        <w:tab w:val="clear" w:pos="794"/>
        <w:tab w:val="clear" w:pos="1191"/>
        <w:tab w:val="clear" w:pos="1588"/>
        <w:tab w:val="clear" w:pos="1985"/>
        <w:tab w:val="right" w:pos="9781"/>
      </w:tabs>
    </w:pPr>
    <w:rPr>
      <w:b/>
      <w:bCs/>
    </w:rPr>
  </w:style>
  <w:style w:type="paragraph" w:styleId="List">
    <w:name w:val="List"/>
    <w:basedOn w:val="Normal"/>
    <w:semiHidden/>
    <w:pPr>
      <w:tabs>
        <w:tab w:val="clear" w:pos="794"/>
        <w:tab w:val="clear" w:pos="1191"/>
        <w:tab w:val="clear" w:pos="1588"/>
        <w:tab w:val="clear" w:pos="1985"/>
        <w:tab w:val="left" w:pos="1701"/>
        <w:tab w:val="left" w:pos="2127"/>
      </w:tabs>
      <w:spacing w:before="120"/>
      <w:ind w:left="2127" w:hanging="2127"/>
    </w:p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p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pPr>
      <w:tabs>
        <w:tab w:val="clear" w:pos="794"/>
        <w:tab w:val="clear" w:pos="1191"/>
        <w:tab w:val="clear" w:pos="1588"/>
        <w:tab w:val="clear" w:pos="1985"/>
        <w:tab w:val="left" w:pos="4820"/>
        <w:tab w:val="left" w:pos="5529"/>
      </w:tabs>
      <w:spacing w:before="120"/>
      <w:ind w:left="79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Keywords">
    <w:name w:val="Keywords"/>
    <w:basedOn w:val="Normal"/>
    <w:pPr>
      <w:tabs>
        <w:tab w:val="clear" w:pos="1191"/>
        <w:tab w:val="clear" w:pos="1588"/>
      </w:tabs>
      <w:spacing w:before="120"/>
      <w:ind w:left="794" w:hanging="794"/>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pPr>
  </w:style>
  <w:style w:type="character" w:styleId="PageNumber">
    <w:name w:val="page number"/>
    <w:basedOn w:val="DefaultParagraphFont"/>
  </w:style>
  <w:style w:type="paragraph" w:customStyle="1" w:styleId="meeting">
    <w:name w:val="meeting"/>
    <w:basedOn w:val="Head"/>
    <w:next w:val="Head"/>
    <w:pPr>
      <w:tabs>
        <w:tab w:val="left" w:pos="7371"/>
      </w:tabs>
      <w:spacing w:after="560"/>
    </w:pPr>
  </w:style>
  <w:style w:type="paragraph" w:customStyle="1" w:styleId="listitem">
    <w:name w:val="listitem"/>
    <w:basedOn w:val="Normal"/>
    <w:pPr>
      <w:keepLines/>
      <w:spacing w:before="0"/>
      <w:jc w:val="left"/>
    </w:p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pPr>
    <w:rPr>
      <w:b/>
      <w:bCs/>
    </w:rPr>
  </w:style>
  <w:style w:type="paragraph" w:customStyle="1" w:styleId="Subject">
    <w:name w:val="Subject"/>
    <w:basedOn w:val="Normal"/>
    <w:next w:val="Source"/>
    <w:pPr>
      <w:tabs>
        <w:tab w:val="clear" w:pos="794"/>
        <w:tab w:val="clear" w:pos="1191"/>
        <w:tab w:val="clear" w:pos="1588"/>
        <w:tab w:val="clear" w:pos="1985"/>
        <w:tab w:val="left" w:pos="1134"/>
      </w:tabs>
      <w:spacing w:before="0"/>
      <w:ind w:left="1134" w:hanging="1134"/>
    </w:pPr>
  </w:style>
  <w:style w:type="paragraph" w:customStyle="1" w:styleId="Source">
    <w:name w:val="Source"/>
    <w:basedOn w:val="Normal"/>
    <w:next w:val="Rec"/>
    <w:pPr>
      <w:tabs>
        <w:tab w:val="clear" w:pos="794"/>
        <w:tab w:val="clear" w:pos="1191"/>
        <w:tab w:val="clear" w:pos="1588"/>
        <w:tab w:val="clear" w:pos="1985"/>
      </w:tabs>
      <w:spacing w:before="720"/>
      <w:jc w:val="center"/>
    </w:pPr>
    <w:rPr>
      <w:b/>
      <w:bCs/>
    </w:rPr>
  </w:style>
  <w:style w:type="paragraph" w:customStyle="1" w:styleId="Object">
    <w:name w:val="Object"/>
    <w:basedOn w:val="Subject"/>
    <w:next w:val="Subject"/>
  </w:style>
  <w:style w:type="paragraph" w:customStyle="1" w:styleId="Data">
    <w:name w:val="Data"/>
    <w:basedOn w:val="Subject"/>
    <w:next w:val="Subject"/>
  </w:style>
  <w:style w:type="paragraph" w:customStyle="1" w:styleId="Title2">
    <w:name w:val="Title 2"/>
    <w:basedOn w:val="Source"/>
    <w:next w:val="Title3"/>
    <w:pPr>
      <w:spacing w:before="480"/>
    </w:pPr>
    <w:rPr>
      <w:b w:val="0"/>
      <w:bCs w:val="0"/>
    </w:rPr>
  </w:style>
  <w:style w:type="paragraph" w:customStyle="1" w:styleId="Title3">
    <w:name w:val="Title 3"/>
    <w:basedOn w:val="Title2"/>
    <w:next w:val="Title4"/>
    <w:pPr>
      <w:spacing w:before="240"/>
    </w:pPr>
    <w:rPr>
      <w:b/>
      <w:bCs/>
    </w:rPr>
  </w:style>
  <w:style w:type="paragraph" w:customStyle="1" w:styleId="Title4">
    <w:name w:val="Title 4"/>
    <w:basedOn w:val="Title3"/>
    <w:next w:val="Heading1"/>
    <w:pPr>
      <w:tabs>
        <w:tab w:val="left" w:pos="7513"/>
      </w:tabs>
    </w:pPr>
    <w:rPr>
      <w:b w:val="0"/>
      <w:bCs w:val="0"/>
    </w:rPr>
  </w:style>
  <w:style w:type="paragraph" w:styleId="TOC9">
    <w:name w:val="toc 9"/>
    <w:basedOn w:val="TOC3"/>
    <w:next w:val="Normal"/>
    <w:semiHidden/>
  </w:style>
  <w:style w:type="paragraph" w:customStyle="1" w:styleId="SpecialFooter">
    <w:name w:val="Special Footer"/>
    <w:basedOn w:val="Footer"/>
    <w:pPr>
      <w:jc w:val="both"/>
    </w:pPr>
    <w:rPr>
      <w:caps/>
    </w:rPr>
  </w:style>
  <w:style w:type="paragraph" w:customStyle="1" w:styleId="Statement">
    <w:name w:val="Statement"/>
    <w:basedOn w:val="SpecialFooter"/>
    <w:rPr>
      <w:b w:val="0"/>
      <w:bCs w:val="0"/>
      <w:sz w:val="22"/>
      <w:szCs w:val="22"/>
      <w:u w:val="single"/>
    </w:rPr>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outlineLvl w:val="9"/>
    </w:pPr>
    <w:rPr>
      <w:b w:val="0"/>
      <w:bCs w:val="0"/>
      <w:i/>
      <w:iCs/>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szCs w:val="16"/>
    </w:rPr>
  </w:style>
  <w:style w:type="paragraph" w:customStyle="1" w:styleId="Figure0">
    <w:name w:val="Figure"/>
    <w:basedOn w:val="Normal"/>
    <w:next w:val="Normal"/>
    <w:pPr>
      <w:keepNext/>
      <w:keepLines/>
      <w:spacing w:before="240"/>
      <w:jc w:val="center"/>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RecTitleRef">
    <w:name w:val="Rec_Title/Ref"/>
    <w:basedOn w:val="RecTitle"/>
    <w:next w:val="RecTitleDate"/>
    <w:pPr>
      <w:spacing w:before="136"/>
    </w:pPr>
    <w:rPr>
      <w:b w:val="0"/>
      <w:bCs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color w:val="FF0000"/>
      <w:sz w:val="8"/>
      <w:szCs w:val="8"/>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iCs/>
    </w:rPr>
  </w:style>
  <w:style w:type="paragraph" w:customStyle="1" w:styleId="heading">
    <w:name w:val="heading"/>
    <w:basedOn w:val="Heading2"/>
    <w:pPr>
      <w:tabs>
        <w:tab w:val="left" w:pos="1191"/>
        <w:tab w:val="left" w:pos="1588"/>
      </w:tabs>
      <w:outlineLvl w:val="9"/>
    </w:p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0">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iCs/>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Style">
    <w:name w:val="Style"/>
    <w:basedOn w:val="Normal"/>
    <w:pPr>
      <w:tabs>
        <w:tab w:val="center" w:pos="4196"/>
        <w:tab w:val="left" w:pos="9242"/>
        <w:tab w:val="center" w:pos="12587"/>
      </w:tabs>
      <w:spacing w:before="340" w:line="318" w:lineRule="atLeast"/>
      <w:ind w:right="618"/>
    </w:pPr>
    <w:rPr>
      <w:i/>
      <w:iCs/>
      <w:sz w:val="28"/>
      <w:szCs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0"/>
    <w:next w:val="Fig0"/>
    <w:pPr>
      <w:keepNext w:val="0"/>
      <w:keepLines w:val="0"/>
      <w:spacing w:before="136"/>
    </w:pPr>
    <w:rPr>
      <w:lang w:val="en-US"/>
    </w:rPr>
  </w:style>
  <w:style w:type="paragraph" w:customStyle="1" w:styleId="Fig0">
    <w:name w:val="Fig_#"/>
    <w:basedOn w:val="Fig"/>
    <w:next w:val="Normal"/>
    <w:pPr>
      <w:jc w:val="left"/>
    </w:pPr>
    <w:rPr>
      <w:color w:val="FF0000"/>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pPr>
      <w:tabs>
        <w:tab w:val="clear" w:pos="794"/>
        <w:tab w:val="left" w:pos="1077"/>
        <w:tab w:val="right" w:pos="9696"/>
      </w:tabs>
      <w:spacing w:before="240"/>
      <w:ind w:left="1077" w:hanging="1077"/>
      <w:outlineLvl w:val="9"/>
    </w:pPr>
    <w:rPr>
      <w:b w:val="0"/>
      <w:bCs w:val="0"/>
      <w:i/>
      <w:iCs/>
    </w:rPr>
  </w:style>
  <w:style w:type="character" w:customStyle="1" w:styleId="HeaderChar">
    <w:name w:val="Header Char"/>
    <w:basedOn w:val="DefaultParagraphFont"/>
    <w:link w:val="Header"/>
    <w:rsid w:val="00B06E71"/>
    <w:rPr>
      <w:rFonts w:ascii="Times New Roman" w:hAnsi="Times New Roman"/>
      <w:b/>
      <w:bCs/>
      <w:lang w:val="en-GB"/>
    </w:rPr>
  </w:style>
  <w:style w:type="character" w:customStyle="1" w:styleId="href">
    <w:name w:val="href"/>
    <w:basedOn w:val="DefaultParagraphFont"/>
    <w:rsid w:val="00B06E71"/>
  </w:style>
  <w:style w:type="paragraph" w:customStyle="1" w:styleId="RecNo">
    <w:name w:val="Rec_No"/>
    <w:basedOn w:val="Normal"/>
    <w:next w:val="Normal"/>
    <w:rsid w:val="00B06E71"/>
    <w:pPr>
      <w:keepNext/>
      <w:keepLines/>
      <w:tabs>
        <w:tab w:val="clear" w:pos="794"/>
        <w:tab w:val="clear" w:pos="1191"/>
        <w:tab w:val="clear" w:pos="1588"/>
        <w:tab w:val="clear" w:pos="1985"/>
      </w:tabs>
      <w:spacing w:before="480"/>
      <w:jc w:val="center"/>
    </w:pPr>
    <w:rPr>
      <w:sz w:val="28"/>
      <w:lang w:val="fr-FR" w:eastAsia="en-US"/>
    </w:rPr>
  </w:style>
  <w:style w:type="paragraph" w:customStyle="1" w:styleId="Tablehead0">
    <w:name w:val="Table_head"/>
    <w:basedOn w:val="Normal"/>
    <w:next w:val="Normal"/>
    <w:rsid w:val="00B06E7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eastAsia="en-US"/>
    </w:rPr>
  </w:style>
  <w:style w:type="paragraph" w:customStyle="1" w:styleId="Tabletext0">
    <w:name w:val="Table_text"/>
    <w:basedOn w:val="Normal"/>
    <w:rsid w:val="00B06E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eastAsia="en-US"/>
    </w:rPr>
  </w:style>
  <w:style w:type="paragraph" w:customStyle="1" w:styleId="Chaptitle">
    <w:name w:val="Chap_title"/>
    <w:basedOn w:val="Normal"/>
    <w:next w:val="Normal"/>
    <w:rsid w:val="00B06E71"/>
    <w:pPr>
      <w:keepNext/>
      <w:keepLines/>
      <w:spacing w:before="240"/>
      <w:jc w:val="center"/>
    </w:pPr>
    <w:rPr>
      <w:b/>
      <w:sz w:val="28"/>
      <w:lang w:val="fr-FR" w:eastAsia="en-US"/>
    </w:rPr>
  </w:style>
  <w:style w:type="character" w:styleId="Hyperlink">
    <w:name w:val="Hyperlink"/>
    <w:basedOn w:val="DefaultParagraphFont"/>
    <w:rsid w:val="00B06E71"/>
    <w:rPr>
      <w:color w:val="0000FF"/>
      <w:u w:val="single"/>
    </w:rPr>
  </w:style>
  <w:style w:type="table" w:styleId="TableGrid">
    <w:name w:val="Table Grid"/>
    <w:basedOn w:val="TableNormal"/>
    <w:rsid w:val="00B06E71"/>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0">
    <w:name w:val="Heading_b"/>
    <w:basedOn w:val="Heading3"/>
    <w:next w:val="Normal"/>
    <w:link w:val="HeadingbChar"/>
    <w:qFormat/>
    <w:rsid w:val="0084016E"/>
    <w:pPr>
      <w:tabs>
        <w:tab w:val="left" w:pos="1191"/>
        <w:tab w:val="left" w:pos="1588"/>
        <w:tab w:val="left" w:pos="1985"/>
      </w:tabs>
      <w:spacing w:before="160"/>
      <w:ind w:left="0" w:firstLine="0"/>
      <w:outlineLvl w:val="9"/>
    </w:pPr>
    <w:rPr>
      <w:bCs w:val="0"/>
      <w:sz w:val="24"/>
      <w:lang w:val="fr-FR" w:eastAsia="en-US"/>
    </w:rPr>
  </w:style>
  <w:style w:type="character" w:customStyle="1" w:styleId="HeadingbChar">
    <w:name w:val="Heading_b Char"/>
    <w:basedOn w:val="DefaultParagraphFont"/>
    <w:link w:val="Headingb0"/>
    <w:locked/>
    <w:rsid w:val="0084016E"/>
    <w:rPr>
      <w:rFonts w:ascii="Times New Roman" w:hAnsi="Times New Roman"/>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ITU-R/go/patents/es"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EF26E-D122-4CA1-9A51-2D9FB9562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BR_REC.DOT</Template>
  <TotalTime>509</TotalTime>
  <Pages>4</Pages>
  <Words>1175</Words>
  <Characters>6703</Characters>
  <Application>Microsoft Office Word</Application>
  <DocSecurity>0</DocSecurity>
  <Lines>55</Lines>
  <Paragraphs>15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 FORMATO  COMÚN  PARA  UN  MEMORÁNDUM  DE  ENTENDIMIENTO  ENTRE LOS  PAÍSES  QUE  LO  ACUERDEN  RELATIVO  A  LA  COOPERACIÓN EN  ASUNTOS  DE  COMPROBACIÓN  TÉCNICA  DEL  ESPECTRO</vt:lpstr>
      <vt:lpstr>Política sobre Derechos de Propiedad Intelectual (IPR)</vt:lpstr>
    </vt:vector>
  </TitlesOfParts>
  <Manager>CP 1934</Manager>
  <Company>ITU</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FORMATO  COMÚN  PARA  UN  MEMORÁNDUM  DE  ENTENDIMIENTO  ENTRE LOS  PAÍSES  QUE  LO  ACUERDEN  RELATIVO  A  LA  COOPERACIÓN EN  ASUNTOS  DE  COMPROBACIÓN  TÉCNICA  DEL  ESPECTRO</dc:title>
  <dc:subject/>
  <dc:creator>Oficina de Radiocomunicaciones del UIT (BR)</dc:creator>
  <cp:keywords>,</cp:keywords>
  <dc:description>Santosbo, 31.05.2011, MSB106309</dc:description>
  <cp:lastModifiedBy>Catalano Moreira, Rossana</cp:lastModifiedBy>
  <cp:revision>12</cp:revision>
  <cp:lastPrinted>2020-06-02T16:01:00Z</cp:lastPrinted>
  <dcterms:created xsi:type="dcterms:W3CDTF">2011-05-30T21:32:00Z</dcterms:created>
  <dcterms:modified xsi:type="dcterms:W3CDTF">2020-06-02T16:04:00Z</dcterms:modified>
  <cp:category>Folios: 1-2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Spanish</vt:lpwstr>
  </property>
  <property fmtid="{D5CDD505-2E9C-101B-9397-08002B2CF9AE}" pid="3" name="Typist">
    <vt:lpwstr>Santosbo</vt:lpwstr>
  </property>
  <property fmtid="{D5CDD505-2E9C-101B-9397-08002B2CF9AE}" pid="4" name="Date completed">
    <vt:lpwstr>31 May 2011</vt:lpwstr>
  </property>
</Properties>
</file>